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EA36" w14:textId="77777777" w:rsidR="00000000" w:rsidRDefault="00C1661D">
      <w:pPr>
        <w:divId w:val="1640721510"/>
        <w:rPr>
          <w:rFonts w:eastAsia="Times New Roman"/>
          <w:vanish/>
        </w:rPr>
      </w:pPr>
      <w:r>
        <w:rPr>
          <w:rFonts w:eastAsia="Times New Roman"/>
          <w:vanish/>
        </w:rPr>
        <w:t>0000884614false2022FYhttp://fasb.org/us-gaap/2022#SellingGeneralAndAdministrativeExpensehttp://fasb.org/us-gaap/2022#SellingGeneralAndAdministrativeExpense</w:t>
      </w:r>
      <w:r>
        <w:rPr>
          <w:rFonts w:eastAsia="Times New Roman"/>
          <w:vanish/>
        </w:rPr>
        <w:t>http://fasb.org/us-gaap/2022#SellingGeneralAndAdministrativeExpensehttp://fasb.org/us-gaap/2022#SellingGeneralAndAdministrativeExpensehttp://www.ugicorp.com/20220930#EnvironmentalLossContingencyStatementOfFinancialPositionExtensibleEnumerationNotDisclosedF</w:t>
      </w:r>
      <w:r>
        <w:rPr>
          <w:rFonts w:eastAsia="Times New Roman"/>
          <w:vanish/>
        </w:rPr>
        <w:t>lagMemberP1Yhttp://fasb.org/us-gaap/2022#OtherAssetsNoncurrenthttp://fasb.org/us-gaap/2022#OtherAssetsNoncurrenthttp://fasb.org/us-gaap/2022#PropertyPlantAndEquipmentAndFinanceLeaseRightOfUseAssetAfterAccumulatedDepreciationAndAmortizationhttp://fasb.org/u</w:t>
      </w:r>
      <w:r>
        <w:rPr>
          <w:rFonts w:eastAsia="Times New Roman"/>
          <w:vanish/>
        </w:rPr>
        <w:t>s-gaap/2022#PropertyPlantAndEquipmentAndFinanceLeaseRightOfUseAssetAfterAccumulatedDepreciationAndAmortizationhttp://fasb.org/us-gaap/2022#OtherLiabilitiesCurrenthttp://fasb.org/us-gaap/2022#OtherLiabilitiesCurrenthttp://fasb.org/us-gaap/2022#OtherLiabilit</w:t>
      </w:r>
      <w:r>
        <w:rPr>
          <w:rFonts w:eastAsia="Times New Roman"/>
          <w:vanish/>
        </w:rPr>
        <w:t>iesNoncurrenthttp://fasb.org/us-gaap/2022#OtherLiabilitiesNoncurrenthttp://fasb.org/us-gaap/2022#LongTermDebtAndCapitalLeaseObligationsCurrenthttp://fasb.org/us-gaap/2022#LongTermDebtAndCapitalLeaseObligationsCurrenthttp://fasb.org/us-gaap/2022#LongTermDeb</w:t>
      </w:r>
      <w:r>
        <w:rPr>
          <w:rFonts w:eastAsia="Times New Roman"/>
          <w:vanish/>
        </w:rPr>
        <w:t>tAndCapitalLeaseObligationshttp://fasb.org/us-gaap/2022#LongTermDebtAndCapitalLeaseObligationshttp://fasb.org/us-gaap/2022#SellingGeneralAndAdministrativeExpensehttp://fasb.org/us-gaap/2022#SellingGeneralAndAdministrativeExpensehttp://fasb.org/us-gaap/2022</w:t>
      </w:r>
      <w:r>
        <w:rPr>
          <w:rFonts w:eastAsia="Times New Roman"/>
          <w:vanish/>
        </w:rPr>
        <w:t>#SellingGeneralAndAdministrativeExpensehttp://fasb.org/us-gaap/2022#SellingGeneralAndAdministrativeExpensehttp://fasb.org/us-gaap/2022#SellingGeneralAndAdministrativeExpensehttp://fasb.org/us-gaap/2022#SellingGeneralAndAdministrativeExpensehttp://fasb.org/</w:t>
      </w:r>
      <w:r>
        <w:rPr>
          <w:rFonts w:eastAsia="Times New Roman"/>
          <w:vanish/>
        </w:rPr>
        <w:t>us-gaap/2022#SellingGeneralAndAdministrativeExpensehttp://fasb.org/us-gaap/2022#SellingGeneralAndAdministrativeExpensehttp://fasb.org/us-gaap/2022#SellingGeneralAndAdministrativeExpensehttp://fasb.org/us-gaap/2022#SellingGeneralAndAdministrativeExpensehttp</w:t>
      </w:r>
      <w:r>
        <w:rPr>
          <w:rFonts w:eastAsia="Times New Roman"/>
          <w:vanish/>
        </w:rPr>
        <w:t>://fasb.org/us-gaap/2022#SellingGeneralAndAdministrativeExpensehttp://fasb.org/us-gaap/2022#SellingGeneralAndAdministrativeExpensehttp://fasb.org/us-gaap/2022#SellingGeneralAndAdministrativeExpensehttp://fasb.org/us-gaap/2022#SellingGeneralAndAdministrativ</w:t>
      </w:r>
      <w:r>
        <w:rPr>
          <w:rFonts w:eastAsia="Times New Roman"/>
          <w:vanish/>
        </w:rPr>
        <w:t>eExpense00008846142021-10-012022-09-300000884614us-gaap:CommonStockMember2021-10-012022-09-300000884614us-gaap:CapitalUnitsMember2021-10-012022-09-3000008846142022-03-31iso4217:USD00008846142022-11-11xbrli:shares00008846142022-09-3000008846142021-09-300000</w:t>
      </w:r>
      <w:r>
        <w:rPr>
          <w:rFonts w:eastAsia="Times New Roman"/>
          <w:vanish/>
        </w:rPr>
        <w:t>8846142020-10-012021-09-3000008846142019-10-012020-09-30iso4217:USDxbrli:shares00008846142020-09-3000008846142019-09-300000884614us-gaap:PreferredStockMember2021-09-300000884614us-gaap:PreferredStockMember2020-09-300000884614us-gaap:PreferredStockMember201</w:t>
      </w:r>
      <w:r>
        <w:rPr>
          <w:rFonts w:eastAsia="Times New Roman"/>
          <w:vanish/>
        </w:rPr>
        <w:t>9-09-300000884614us-gaap:PreferredStockMember2020-10-012021-09-300000884614us-gaap:PreferredStockMember2021-10-012022-09-300000884614us-gaap:PreferredStockMember2022-09-300000884614us-gaap:CommonStockIncludingAdditionalPaidInCapitalMember2021-09-3000008846</w:t>
      </w:r>
      <w:r>
        <w:rPr>
          <w:rFonts w:eastAsia="Times New Roman"/>
          <w:vanish/>
        </w:rPr>
        <w:t>14us-gaap:CommonStockIncludingAdditionalPaidInCapitalMember2020-09-300000884614us-gaap:CommonStockIncludingAdditionalPaidInCapitalMember2019-09-300000884614us-gaap:CommonStockIncludingAdditionalPaidInCapitalMember2021-10-012022-09-300000884614us-gaap:Commo</w:t>
      </w:r>
      <w:r>
        <w:rPr>
          <w:rFonts w:eastAsia="Times New Roman"/>
          <w:vanish/>
        </w:rPr>
        <w:t>nStockIncludingAdditionalPaidInCapitalMember2020-10-012021-09-300000884614us-gaap:CommonStockIncludingAdditionalPaidInCapitalMember2019-10-012020-09-300000884614us-gaap:CommonStockIncludingAdditionalPaidInCapitalMember2022-09-300000884614us-gaap:RetainedEa</w:t>
      </w:r>
      <w:r>
        <w:rPr>
          <w:rFonts w:eastAsia="Times New Roman"/>
          <w:vanish/>
        </w:rPr>
        <w:t>rningsMember2021-09-300000884614us-gaap:RetainedEarningsMember2020-09-300000884614us-gaap:RetainedEarningsMember2019-09-300000884614us-gaap:RetainedEarningsMember2021-10-012022-09-300000884614us-gaap:RetainedEarningsMember2020-10-012021-09-300000884614us-g</w:t>
      </w:r>
      <w:r>
        <w:rPr>
          <w:rFonts w:eastAsia="Times New Roman"/>
          <w:vanish/>
        </w:rPr>
        <w:t>aap:RetainedEarningsMember2019-10-012020-09-300000884614us-gaap:RetainedEarningsMember2022-09-300000884614us-gaap:AociIncludingPortionAttributableToNoncontrollingInterestMember2021-09-300000884614us-gaap:AociIncludingPortionAttributableToNoncontrollingInte</w:t>
      </w:r>
      <w:r>
        <w:rPr>
          <w:rFonts w:eastAsia="Times New Roman"/>
          <w:vanish/>
        </w:rPr>
        <w:t>restMember2020-09-300000884614us-gaap:AociIncludingPortionAttributableToNoncontrollingInterestMember2019-09-300000884614us-gaap:AociIncludingPortionAttributableToNoncontrollingInterestMember2021-10-012022-09-300000884614us-gaap:AociIncludingPortionAttribut</w:t>
      </w:r>
      <w:r>
        <w:rPr>
          <w:rFonts w:eastAsia="Times New Roman"/>
          <w:vanish/>
        </w:rPr>
        <w:t>ableToNoncontrollingInterestMember2020-10-012021-09-300000884614us-gaap:AociIncludingPortionAttributableToNoncontrollingInterestMember2019-10-012020-09-300000884614us-gaap:AociIncludingPortionAttributableToNoncontrollingInterestMember2022-09-300000884614us</w:t>
      </w:r>
      <w:r>
        <w:rPr>
          <w:rFonts w:eastAsia="Times New Roman"/>
          <w:vanish/>
        </w:rPr>
        <w:t>-gaap:TreasuryStockCommonMember2021-09-300000884614us-gaap:TreasuryStockCommonMember2020-09-300000884614us-gaap:TreasuryStockCommonMember2019-09-300000884614us-gaap:TreasuryStockCommonMember2021-10-012022-09-300000884614us-gaap:TreasuryStockCommonMember202</w:t>
      </w:r>
      <w:r>
        <w:rPr>
          <w:rFonts w:eastAsia="Times New Roman"/>
          <w:vanish/>
        </w:rPr>
        <w:t>0-10-012021-09-300000884614us-gaap:TreasuryStockCommonMember2019-10-012020-09-300000884614us-gaap:TreasuryStockCommonMember2022-09-300000884614us-gaap:ParentMember2022-09-300000884614us-gaap:ParentMember2021-09-300000884614us-gaap:ParentMember2020-09-30000</w:t>
      </w:r>
      <w:r>
        <w:rPr>
          <w:rFonts w:eastAsia="Times New Roman"/>
          <w:vanish/>
        </w:rPr>
        <w:t>0884614us-gaap:NoncontrollingInterestMember2021-09-300000884614us-gaap:NoncontrollingInterestMember2020-09-300000884614us-gaap:NoncontrollingInterestMember2019-09-300000884614us-gaap:NoncontrollingInterestMember2021-10-012022-09-300000884614us-gaap:Noncont</w:t>
      </w:r>
      <w:r>
        <w:rPr>
          <w:rFonts w:eastAsia="Times New Roman"/>
          <w:vanish/>
        </w:rPr>
        <w:t>rollingInterestMember2019-10-012020-09-300000884614us-gaap:NoncontrollingInterestMember2022-09-300000884614ugi:UGIUtilitiesIncMember2021-10-012022-09-300000884614ugi:AmerigasPropaneMember2022-09-30xbrli:pure0000884614ugi:NaturalGasTransportationAndGatherin</w:t>
      </w:r>
      <w:r>
        <w:rPr>
          <w:rFonts w:eastAsia="Times New Roman"/>
          <w:vanish/>
        </w:rPr>
        <w:t>gServicesMember2021-10-012022-09-300000884614ugi:StorageServicesMember2021-10-012022-09-300000884614ugi:NaturalGasMember2021-10-012022-09-300000884614ugi:ResidentialMember2021-10-012022-09-300000884614ugi:ResidentialMemberus-gaap:IntersegmentEliminationMem</w:t>
      </w:r>
      <w:r>
        <w:rPr>
          <w:rFonts w:eastAsia="Times New Roman"/>
          <w:vanish/>
        </w:rPr>
        <w:t>ber2021-10-012022-09-300000884614ugi:ResidentialMemberugi:AmerigasPropaneMemberus-gaap:OperatingSegmentsMember2021-10-012022-09-300000884614ugi:ResidentialMemberugi:UGIInternationalMemberus-gaap:OperatingSegmentsMember2021-10-012022-09-300000884614ugi:Resi</w:t>
      </w:r>
      <w:r>
        <w:rPr>
          <w:rFonts w:eastAsia="Times New Roman"/>
          <w:vanish/>
        </w:rPr>
        <w:t>dentialMemberugi:MidstreamAndMarketingMemberus-gaap:OperatingSegmentsMember2021-10-012022-09-300000884614ugi:ResidentialMemberugi:UGIUtilitiesIncMemberus-gaap:OperatingSegmentsMember2021-10-012022-09-300000884614ugi:ResidentialMemberugi:CorporateAndReconci</w:t>
      </w:r>
      <w:r>
        <w:rPr>
          <w:rFonts w:eastAsia="Times New Roman"/>
          <w:vanish/>
        </w:rPr>
        <w:t>lingItemsMember2021-10-012022-09-300000884614ugi:CommercialandIndustrialMember2021-10-012022-09-300000884614ugi:CommercialandIndustrialMemberus-gaap:IntersegmentEliminationMember2021-10-012022-09-300000884614ugi:CommercialandIndustrialMemberugi:AmerigasPro</w:t>
      </w:r>
      <w:r>
        <w:rPr>
          <w:rFonts w:eastAsia="Times New Roman"/>
          <w:vanish/>
        </w:rPr>
        <w:t>paneMemberus-gaap:OperatingSegmentsMember2021-10-012022-09-300000884614ugi:CommercialandIndustrialMemberugi:UGIInternationalMemberus-gaap:OperatingSegmentsMember2021-10-012022-09-300000884614ugi:CommercialandIndustrialMemberugi:MidstreamAndMarketingMemberu</w:t>
      </w:r>
      <w:r>
        <w:rPr>
          <w:rFonts w:eastAsia="Times New Roman"/>
          <w:vanish/>
        </w:rPr>
        <w:t>s-gaap:OperatingSegmentsMember2021-10-012022-09-300000884614ugi:CommercialandIndustrialMemberugi:UGIUtilitiesIncMemberus-gaap:OperatingSegmentsMember2021-10-012022-09-300000884614ugi:CommercialandIndustrialMemberugi:CorporateAndReconcilingItemsMember2021-1</w:t>
      </w:r>
      <w:r>
        <w:rPr>
          <w:rFonts w:eastAsia="Times New Roman"/>
          <w:vanish/>
        </w:rPr>
        <w:t>0-012022-09-300000884614ugi:LargeDeliveryServiceMember2021-10-012022-09-300000884614ugi:LargeDeliveryServiceMemberus-gaap:IntersegmentEliminationMember2021-10-012022-09-300000884614ugi:AmerigasPropaneMemberugi:LargeDeliveryServiceMemberus-gaap:OperatingSeg</w:t>
      </w:r>
      <w:r>
        <w:rPr>
          <w:rFonts w:eastAsia="Times New Roman"/>
          <w:vanish/>
        </w:rPr>
        <w:t>mentsMember2021-10-012022-09-300000884614ugi:UGIInternationalMemberugi:LargeDeliveryServiceMemberus-gaap:OperatingSegmentsMember2021-10-012022-09-300000884614ugi:MidstreamAndMarketingMemberugi:LargeDeliveryServiceMemberus-gaap:OperatingSegmentsMember2021-1</w:t>
      </w:r>
      <w:r>
        <w:rPr>
          <w:rFonts w:eastAsia="Times New Roman"/>
          <w:vanish/>
        </w:rPr>
        <w:t>0-012022-09-300000884614ugi:UGIUtilitiesIncMemberugi:LargeDeliveryServiceMemberus-gaap:OperatingSegmentsMember2021-10-012022-09-300000884614ugi:CorporateAndReconcilingItemsMemberugi:LargeDeliveryServiceMember2021-10-012022-09-300000884614ugi:OffSystemSales</w:t>
      </w:r>
      <w:r>
        <w:rPr>
          <w:rFonts w:eastAsia="Times New Roman"/>
          <w:vanish/>
        </w:rPr>
        <w:t>andCapacityReleasesMember2021-10-012022-09-300000884614ugi:OffSystemSalesandCapacityReleasesMemberus-gaap:IntersegmentEliminationMember2021-10-012022-09-300000884614ugi:AmerigasPropaneMemberugi:OffSystemSalesandCapacityReleasesMemberus-gaap:OperatingSegmen</w:t>
      </w:r>
      <w:r>
        <w:rPr>
          <w:rFonts w:eastAsia="Times New Roman"/>
          <w:vanish/>
        </w:rPr>
        <w:t>tsMember2021-10-012022-09-300000884614ugi:UGIInternationalMemberugi:OffSystemSalesandCapacityReleasesMemberus-gaap:OperatingSegmentsMember2021-10-012022-09-300000884614ugi:MidstreamAndMarketingMemberugi:OffSystemSalesandCapacityReleasesMemberus-gaap:Operat</w:t>
      </w:r>
      <w:r>
        <w:rPr>
          <w:rFonts w:eastAsia="Times New Roman"/>
          <w:vanish/>
        </w:rPr>
        <w:t>ingSegmentsMember2021-10-012022-09-300000884614ugi:UGIUtilitiesIncMemberugi:OffSystemSalesandCapacityReleasesMemberus-gaap:OperatingSegmentsMember2021-10-012022-09-300000884614ugi:CorporateAndReconcilingItemsMemberugi:OffSystemSalesandCapacityReleasesMembe</w:t>
      </w:r>
      <w:r>
        <w:rPr>
          <w:rFonts w:eastAsia="Times New Roman"/>
          <w:vanish/>
        </w:rPr>
        <w:t>r2021-10-012022-09-300000884614ugi:UtilityOtherMember2021-10-012022-09-300000884614ugi:UtilityOtherMemberus-gaap:IntersegmentEliminationMember2021-10-012022-09-300000884614ugi:AmerigasPropaneMemberugi:UtilityOtherMemberus-gaap:OperatingSegmentsMember2021-1</w:t>
      </w:r>
      <w:r>
        <w:rPr>
          <w:rFonts w:eastAsia="Times New Roman"/>
          <w:vanish/>
        </w:rPr>
        <w:t>0-012022-09-300000884614ugi:UGIInternationalMemberugi:UtilityOtherMemberus-gaap:OperatingSegmentsMember2021-10-012022-09-300000884614ugi:MidstreamAndMarketingMemberugi:UtilityOtherMemberus-gaap:OperatingSegmentsMember2021-10-012022-09-300000884614ugi:UGIUt</w:t>
      </w:r>
      <w:r>
        <w:rPr>
          <w:rFonts w:eastAsia="Times New Roman"/>
          <w:vanish/>
        </w:rPr>
        <w:t>ilitiesIncMemberugi:UtilityOtherMemberus-gaap:OperatingSegmentsMember2021-10-012022-09-300000884614ugi:CorporateAndReconcilingItemsMemberugi:UtilityOtherMember2021-10-012022-09-300000884614ugi:UtilityMember2021-10-012022-09-300000884614ugi:UtilityMemberus-</w:t>
      </w:r>
      <w:r>
        <w:rPr>
          <w:rFonts w:eastAsia="Times New Roman"/>
          <w:vanish/>
        </w:rPr>
        <w:t>gaap:IntersegmentEliminationMember2021-10-012022-09-300000884614ugi:AmerigasPropaneMemberugi:UtilityMemberus-gaap:OperatingSegmentsMember2021-10-012022-09-300000884614ugi:UGIInternationalMemberugi:UtilityMemberus-gaap:OperatingSegmentsMember2021-10-012022-</w:t>
      </w:r>
      <w:r>
        <w:rPr>
          <w:rFonts w:eastAsia="Times New Roman"/>
          <w:vanish/>
        </w:rPr>
        <w:t>09-300000884614ugi:MidstreamAndMarketingMemberugi:UtilityMemberus-gaap:OperatingSegmentsMember2021-10-012022-09-300000884614ugi:UGIUtilitiesIncMemberugi:UtilityMemberus-gaap:OperatingSegmentsMember2021-10-012022-09-300000884614ugi:CorporateAndReconcilingIt</w:t>
      </w:r>
      <w:r>
        <w:rPr>
          <w:rFonts w:eastAsia="Times New Roman"/>
          <w:vanish/>
        </w:rPr>
        <w:t>emsMemberugi:UtilityMember2021-10-012022-09-300000884614us-gaap:RetailMember2021-10-012022-09-300000884614us-gaap:RetailMemberus-gaap:IntersegmentEliminationMember2021-10-012022-09-300000884614us-gaap:RetailMemberugi:AmerigasPropaneMemberus-gaap:OperatingS</w:t>
      </w:r>
      <w:r>
        <w:rPr>
          <w:rFonts w:eastAsia="Times New Roman"/>
          <w:vanish/>
        </w:rPr>
        <w:t>egmentsMember2021-10-012022-09-300000884614us-gaap:RetailMemberugi:UGIInternationalMemberus-gaap:OperatingSegmentsMember2021-10-012022-09-300000884614us-gaap:RetailMemberugi:MidstreamAndMarketingMemberus-gaap:OperatingSegmentsMember2021-10-012022-09-300000</w:t>
      </w:r>
      <w:r>
        <w:rPr>
          <w:rFonts w:eastAsia="Times New Roman"/>
          <w:vanish/>
        </w:rPr>
        <w:t>884614us-gaap:RetailMemberugi:UGIUtilitiesIncMemberus-gaap:OperatingSegmentsMember2021-10-012022-09-300000884614us-gaap:RetailMemberugi:CorporateAndReconcilingItemsMember2021-10-012022-09-300000884614ugi:WholesaleMember2021-10-012022-09-300000884614ugi:Who</w:t>
      </w:r>
      <w:r>
        <w:rPr>
          <w:rFonts w:eastAsia="Times New Roman"/>
          <w:vanish/>
        </w:rPr>
        <w:t>lesaleMemberus-gaap:IntersegmentEliminationMember2021-10-012022-09-300000884614ugi:AmerigasPropaneMemberugi:WholesaleMemberus-gaap:OperatingSegmentsMember2021-10-012022-09-300000884614ugi:UGIInternationalMemberugi:WholesaleMemberus-gaap:OperatingSegmentsMe</w:t>
      </w:r>
      <w:r>
        <w:rPr>
          <w:rFonts w:eastAsia="Times New Roman"/>
          <w:vanish/>
        </w:rPr>
        <w:t>mber2021-10-012022-09-300000884614ugi:MidstreamAndMarketingMemberugi:WholesaleMemberus-gaap:OperatingSegmentsMember2021-10-012022-09-300000884614ugi:UGIUtilitiesIncMemberugi:WholesaleMemberus-gaap:OperatingSegmentsMember2021-10-012022-09-300000884614ugi:Co</w:t>
      </w:r>
      <w:r>
        <w:rPr>
          <w:rFonts w:eastAsia="Times New Roman"/>
          <w:vanish/>
        </w:rPr>
        <w:t>rporateAndReconcilingItemsMemberugi:WholesaleMember2021-10-012022-09-300000884614ugi:EnergyMarketingMember2021-10-012022-09-300000884614ugi:EnergyMarketingMemberus-gaap:IntersegmentEliminationMember2021-10-012022-09-300000884614ugi:EnergyMarketingMemberugi</w:t>
      </w:r>
      <w:r>
        <w:rPr>
          <w:rFonts w:eastAsia="Times New Roman"/>
          <w:vanish/>
        </w:rPr>
        <w:t>:AmerigasPropaneMemberus-gaap:OperatingSegmentsMember2021-10-012022-09-300000884614ugi:UGIInternationalMemberugi:EnergyMarketingMemberus-gaap:OperatingSegmentsMember2021-10-012022-09-300000884614ugi:MidstreamAndMarketingMemberugi:EnergyMarketingMemberus-ga</w:t>
      </w:r>
      <w:r>
        <w:rPr>
          <w:rFonts w:eastAsia="Times New Roman"/>
          <w:vanish/>
        </w:rPr>
        <w:t>ap:OperatingSegmentsMember2021-10-012022-09-300000884614ugi:EnergyMarketingMemberugi:UGIUtilitiesIncMemberus-gaap:OperatingSegmentsMember2021-10-012022-09-300000884614ugi:EnergyMarketingMemberugi:CorporateAndReconcilingItemsMember2021-10-012022-09-30000088</w:t>
      </w:r>
      <w:r>
        <w:rPr>
          <w:rFonts w:eastAsia="Times New Roman"/>
          <w:vanish/>
        </w:rPr>
        <w:t>4614ugi:PipelineMember2021-10-012022-09-300000884614us-gaap:IntersegmentEliminationMemberugi:PipelineMember2021-10-012022-09-300000884614ugi:AmerigasPropaneMemberus-gaap:OperatingSegmentsMemberugi:PipelineMember2021-10-012022-09-300000884614ugi:UGIInternat</w:t>
      </w:r>
      <w:r>
        <w:rPr>
          <w:rFonts w:eastAsia="Times New Roman"/>
          <w:vanish/>
        </w:rPr>
        <w:t>ionalMemberus-gaap:OperatingSegmentsMemberugi:PipelineMember2021-10-012022-09-300000884614ugi:MidstreamAndMarketingMemberus-gaap:OperatingSegmentsMemberugi:PipelineMember2021-10-012022-09-300000884614ugi:UGIUtilitiesIncMemberus-gaap:OperatingSegmentsMember</w:t>
      </w:r>
      <w:r>
        <w:rPr>
          <w:rFonts w:eastAsia="Times New Roman"/>
          <w:vanish/>
        </w:rPr>
        <w:t>ugi:PipelineMember2021-10-012022-09-300000884614ugi:CorporateAndReconcilingItemsMemberugi:PipelineMember2021-10-012022-09-300000884614ugi:PeakingMember2021-10-012022-09-300000884614ugi:PeakingMemberus-gaap:IntersegmentEliminationMember2021-10-012022-09-300</w:t>
      </w:r>
      <w:r>
        <w:rPr>
          <w:rFonts w:eastAsia="Times New Roman"/>
          <w:vanish/>
        </w:rPr>
        <w:t>000884614ugi:AmerigasPropaneMemberugi:PeakingMemberus-gaap:OperatingSegmentsMember2021-10-012022-09-300000884614ugi:UGIInternationalMemberugi:PeakingMemberus-gaap:OperatingSegmentsMember2021-10-012022-09-300000884614ugi:MidstreamAndMarketingMemberugi:Peaki</w:t>
      </w:r>
      <w:r>
        <w:rPr>
          <w:rFonts w:eastAsia="Times New Roman"/>
          <w:vanish/>
        </w:rPr>
        <w:t>ngMemberus-gaap:OperatingSegmentsMember2021-10-012022-09-300000884614ugi:UGIUtilitiesIncMemberugi:PeakingMemberus-gaap:OperatingSegmentsMember2021-10-012022-09-300000884614ugi:CorporateAndReconcilingItemsMemberugi:PeakingMember2021-10-012022-09-30000088461</w:t>
      </w:r>
      <w:r>
        <w:rPr>
          <w:rFonts w:eastAsia="Times New Roman"/>
          <w:vanish/>
        </w:rPr>
        <w:t>4ugi:MidstreamOtherMember2021-10-012022-09-300000884614ugi:MidstreamOtherMemberus-gaap:IntersegmentEliminationMember2021-10-012022-09-300000884614ugi:MidstreamOtherMemberugi:AmerigasPropaneMemberus-gaap:OperatingSegmentsMember2021-10-012022-09-300000884614</w:t>
      </w:r>
      <w:r>
        <w:rPr>
          <w:rFonts w:eastAsia="Times New Roman"/>
          <w:vanish/>
        </w:rPr>
        <w:t>ugi:MidstreamOtherMemberugi:UGIInternationalMemberus-gaap:OperatingSegmentsMember2021-10-012022-09-300000884614ugi:MidstreamOtherMemberugi:MidstreamAndMarketingMemberus-gaap:OperatingSegmentsMember2021-10-012022-09-300000884614ugi:MidstreamOtherMemberugi:U</w:t>
      </w:r>
      <w:r>
        <w:rPr>
          <w:rFonts w:eastAsia="Times New Roman"/>
          <w:vanish/>
        </w:rPr>
        <w:t>GIUtilitiesIncMemberus-gaap:OperatingSegmentsMember2021-10-012022-09-300000884614ugi:MidstreamOtherMemberugi:CorporateAndReconcilingItemsMember2021-10-012022-09-300000884614us-gaap:ElectricityGenerationMember2021-10-012022-09-300000884614us-gaap:Intersegme</w:t>
      </w:r>
      <w:r>
        <w:rPr>
          <w:rFonts w:eastAsia="Times New Roman"/>
          <w:vanish/>
        </w:rPr>
        <w:t>ntEliminationMemberus-gaap:ElectricityGenerationMember2021-10-012022-09-300000884614ugi:AmerigasPropaneMemberus-gaap:OperatingSegmentsMemberus-gaap:ElectricityGenerationMember2021-10-012022-09-300000884614ugi:UGIInternationalMemberus-gaap:OperatingSegments</w:t>
      </w:r>
      <w:r>
        <w:rPr>
          <w:rFonts w:eastAsia="Times New Roman"/>
          <w:vanish/>
        </w:rPr>
        <w:t>Memberus-gaap:ElectricityGenerationMember2021-10-012022-09-300000884614ugi:MidstreamAndMarketingMemberus-gaap:OperatingSegmentsMemberus-gaap:ElectricityGenerationMember2021-10-012022-09-300000884614ugi:UGIUtilitiesIncMemberus-gaap:OperatingSegmentsMemberus</w:t>
      </w:r>
      <w:r>
        <w:rPr>
          <w:rFonts w:eastAsia="Times New Roman"/>
          <w:vanish/>
        </w:rPr>
        <w:t>-gaap:ElectricityGenerationMember2021-10-012022-09-300000884614ugi:CorporateAndReconcilingItemsMemberus-gaap:ElectricityGenerationMember2021-10-012022-09-300000884614ugi:NonutilityOtherMember2021-10-012022-09-300000884614ugi:NonutilityOtherMemberus-gaap:In</w:t>
      </w:r>
      <w:r>
        <w:rPr>
          <w:rFonts w:eastAsia="Times New Roman"/>
          <w:vanish/>
        </w:rPr>
        <w:t>tersegmentEliminationMember2021-10-012022-09-300000884614ugi:AmerigasPropaneMemberugi:NonutilityOtherMemberus-gaap:OperatingSegmentsMember2021-10-012022-09-300000884614ugi:UGIInternationalMemberugi:NonutilityOtherMemberus-gaap:OperatingSegmentsMember2021-1</w:t>
      </w:r>
      <w:r>
        <w:rPr>
          <w:rFonts w:eastAsia="Times New Roman"/>
          <w:vanish/>
        </w:rPr>
        <w:t>0-012022-09-300000884614ugi:MidstreamAndMarketingMemberugi:NonutilityOtherMemberus-gaap:OperatingSegmentsMember2021-10-012022-09-300000884614ugi:UGIUtilitiesIncMemberugi:NonutilityOtherMemberus-gaap:OperatingSegmentsMember2021-10-012022-09-300000884614ugi:</w:t>
      </w:r>
      <w:r>
        <w:rPr>
          <w:rFonts w:eastAsia="Times New Roman"/>
          <w:vanish/>
        </w:rPr>
        <w:t>CorporateAndReconcilingItemsMemberugi:NonutilityOtherMember2021-10-012022-09-300000884614ugi:NonutilityMember2021-10-012022-09-300000884614ugi:NonutilityMemberus-gaap:IntersegmentEliminationMember2021-10-012022-09-300000884614ugi:NonutilityMemberugi:Amerig</w:t>
      </w:r>
      <w:r>
        <w:rPr>
          <w:rFonts w:eastAsia="Times New Roman"/>
          <w:vanish/>
        </w:rPr>
        <w:t>asPropaneMemberus-gaap:OperatingSegmentsMember2021-10-012022-09-300000884614ugi:NonutilityMemberugi:UGIInternationalMemberus-gaap:OperatingSegmentsMember2021-10-012022-09-300000884614ugi:NonutilityMemberugi:MidstreamAndMarketingMemberus-gaap:OperatingSegme</w:t>
      </w:r>
      <w:r>
        <w:rPr>
          <w:rFonts w:eastAsia="Times New Roman"/>
          <w:vanish/>
        </w:rPr>
        <w:t>ntsMember2021-10-012022-09-300000884614ugi:NonutilityMemberugi:UGIUtilitiesIncMemberus-gaap:OperatingSegmentsMember2021-10-012022-09-300000884614ugi:NonutilityMemberugi:CorporateAndReconcilingItemsMember2021-10-012022-09-300000884614us-gaap:IntersegmentEli</w:t>
      </w:r>
      <w:r>
        <w:rPr>
          <w:rFonts w:eastAsia="Times New Roman"/>
          <w:vanish/>
        </w:rPr>
        <w:t>minationMember2021-10-012022-09-300000884614ugi:AmerigasPropaneMemberus-gaap:OperatingSegmentsMember2021-10-012022-09-300000884614ugi:UGIInternationalMemberus-gaap:OperatingSegmentsMember2021-10-012022-09-300000884614ugi:MidstreamAndMarketingMemberus-gaap:</w:t>
      </w:r>
      <w:r>
        <w:rPr>
          <w:rFonts w:eastAsia="Times New Roman"/>
          <w:vanish/>
        </w:rPr>
        <w:t>OperatingSegmentsMember2021-10-012022-09-300000884614ugi:UGIUtilitiesIncMemberus-gaap:OperatingSegmentsMember2021-10-012022-09-300000884614ugi:CorporateAndReconcilingItemsMember2021-10-012022-09-300000884614ugi:ResidentialMember2020-10-012021-09-3000008846</w:t>
      </w:r>
      <w:r>
        <w:rPr>
          <w:rFonts w:eastAsia="Times New Roman"/>
          <w:vanish/>
        </w:rPr>
        <w:t>14ugi:ResidentialMemberus-gaap:IntersegmentEliminationMember2020-10-012021-09-300000884614ugi:ResidentialMemberugi:AmerigasPropaneMemberus-gaap:OperatingSegmentsMember2020-10-012021-09-300000884614ugi:ResidentialMemberugi:UGIInternationalMemberus-gaap:Oper</w:t>
      </w:r>
      <w:r>
        <w:rPr>
          <w:rFonts w:eastAsia="Times New Roman"/>
          <w:vanish/>
        </w:rPr>
        <w:t>atingSegmentsMember2020-10-012021-09-300000884614ugi:ResidentialMemberugi:MidstreamAndMarketingMemberus-gaap:OperatingSegmentsMember2020-10-012021-09-300000884614ugi:ResidentialMemberugi:UGIUtilitiesIncMemberus-gaap:OperatingSegmentsMember2020-10-012021-09</w:t>
      </w:r>
      <w:r>
        <w:rPr>
          <w:rFonts w:eastAsia="Times New Roman"/>
          <w:vanish/>
        </w:rPr>
        <w:t>-300000884614ugi:ResidentialMemberugi:CorporateAndReconcilingItemsMember2020-10-012021-09-300000884614ugi:CommercialandIndustrialMember2020-10-012021-09-300000884614ugi:CommercialandIndustrialMemberus-gaap:IntersegmentEliminationMember2020-10-012021-09-300</w:t>
      </w:r>
      <w:r>
        <w:rPr>
          <w:rFonts w:eastAsia="Times New Roman"/>
          <w:vanish/>
        </w:rPr>
        <w:t>000884614ugi:CommercialandIndustrialMemberugi:AmerigasPropaneMemberus-gaap:OperatingSegmentsMember2020-10-012021-09-300000884614ugi:CommercialandIndustrialMemberugi:UGIInternationalMemberus-gaap:OperatingSegmentsMember2020-10-012021-09-300000884614ugi:Comm</w:t>
      </w:r>
      <w:r>
        <w:rPr>
          <w:rFonts w:eastAsia="Times New Roman"/>
          <w:vanish/>
        </w:rPr>
        <w:t>ercialandIndustrialMemberugi:MidstreamAndMarketingMemberus-gaap:OperatingSegmentsMember2020-10-012021-09-300000884614ugi:CommercialandIndustrialMemberugi:UGIUtilitiesIncMemberus-gaap:OperatingSegmentsMember2020-10-012021-09-300000884614ugi:CommercialandInd</w:t>
      </w:r>
      <w:r>
        <w:rPr>
          <w:rFonts w:eastAsia="Times New Roman"/>
          <w:vanish/>
        </w:rPr>
        <w:t>ustrialMemberugi:CorporateAndReconcilingItemsMember2020-10-012021-09-300000884614ugi:LargeDeliveryServiceMember2020-10-012021-09-300000884614ugi:LargeDeliveryServiceMemberus-gaap:IntersegmentEliminationMember2020-10-012021-09-300000884614ugi:AmerigasPropan</w:t>
      </w:r>
      <w:r>
        <w:rPr>
          <w:rFonts w:eastAsia="Times New Roman"/>
          <w:vanish/>
        </w:rPr>
        <w:t>eMemberugi:LargeDeliveryServiceMemberus-gaap:OperatingSegmentsMember2020-10-012021-09-300000884614ugi:UGIInternationalMemberugi:LargeDeliveryServiceMemberus-gaap:OperatingSegmentsMember2020-10-012021-09-300000884614ugi:MidstreamAndMarketingMemberugi:LargeD</w:t>
      </w:r>
      <w:r>
        <w:rPr>
          <w:rFonts w:eastAsia="Times New Roman"/>
          <w:vanish/>
        </w:rPr>
        <w:t>eliveryServiceMemberus-gaap:OperatingSegmentsMember2020-10-012021-09-300000884614ugi:UGIUtilitiesIncMemberugi:LargeDeliveryServiceMemberus-gaap:OperatingSegmentsMember2020-10-012021-09-300000884614ugi:CorporateAndReconcilingItemsMemberugi:LargeDeliveryServ</w:t>
      </w:r>
      <w:r>
        <w:rPr>
          <w:rFonts w:eastAsia="Times New Roman"/>
          <w:vanish/>
        </w:rPr>
        <w:t>iceMember2020-10-012021-09-300000884614ugi:OffSystemSalesandCapacityReleasesMember2020-10-012021-09-300000884614ugi:OffSystemSalesandCapacityReleasesMemberus-gaap:IntersegmentEliminationMember2020-10-012021-09-300000884614ugi:AmerigasPropaneMemberugi:OffSy</w:t>
      </w:r>
      <w:r>
        <w:rPr>
          <w:rFonts w:eastAsia="Times New Roman"/>
          <w:vanish/>
        </w:rPr>
        <w:t>stemSalesandCapacityReleasesMemberus-gaap:OperatingSegmentsMember2020-10-012021-09-300000884614ugi:UGIInternationalMemberugi:OffSystemSalesandCapacityReleasesMemberus-gaap:OperatingSegmentsMember2020-10-012021-09-300000884614ugi:MidstreamAndMarketingMember</w:t>
      </w:r>
      <w:r>
        <w:rPr>
          <w:rFonts w:eastAsia="Times New Roman"/>
          <w:vanish/>
        </w:rPr>
        <w:t>ugi:OffSystemSalesandCapacityReleasesMemberus-gaap:OperatingSegmentsMember2020-10-012021-09-300000884614ugi:UGIUtilitiesIncMemberugi:OffSystemSalesandCapacityReleasesMemberus-gaap:OperatingSegmentsMember2020-10-012021-09-300000884614ugi:CorporateAndReconci</w:t>
      </w:r>
      <w:r>
        <w:rPr>
          <w:rFonts w:eastAsia="Times New Roman"/>
          <w:vanish/>
        </w:rPr>
        <w:t>lingItemsMemberugi:OffSystemSalesandCapacityReleasesMember2020-10-012021-09-300000884614ugi:UtilityOtherMember2020-10-012021-09-300000884614ugi:UtilityOtherMemberus-gaap:IntersegmentEliminationMember2020-10-012021-09-300000884614ugi:AmerigasPropaneMemberug</w:t>
      </w:r>
      <w:r>
        <w:rPr>
          <w:rFonts w:eastAsia="Times New Roman"/>
          <w:vanish/>
        </w:rPr>
        <w:t>i:UtilityOtherMemberus-gaap:OperatingSegmentsMember2020-10-012021-09-300000884614ugi:UGIInternationalMemberugi:UtilityOtherMemberus-gaap:OperatingSegmentsMember2020-10-012021-09-300000884614ugi:MidstreamAndMarketingMemberugi:UtilityOtherMemberus-gaap:Opera</w:t>
      </w:r>
      <w:r>
        <w:rPr>
          <w:rFonts w:eastAsia="Times New Roman"/>
          <w:vanish/>
        </w:rPr>
        <w:t>tingSegmentsMember2020-10-012021-09-300000884614ugi:UGIUtilitiesIncMemberugi:UtilityOtherMemberus-gaap:OperatingSegmentsMember2020-10-012021-09-300000884614ugi:CorporateAndReconcilingItemsMemberugi:UtilityOtherMember2020-10-012021-09-300000884614ugi:Utilit</w:t>
      </w:r>
      <w:r>
        <w:rPr>
          <w:rFonts w:eastAsia="Times New Roman"/>
          <w:vanish/>
        </w:rPr>
        <w:t>yMember2020-10-012021-09-300000884614ugi:UtilityMemberus-gaap:IntersegmentEliminationMember2020-10-012021-09-300000884614ugi:AmerigasPropaneMemberugi:UtilityMemberus-gaap:OperatingSegmentsMember2020-10-012021-09-300000884614ugi:UGIInternationalMemberugi:Ut</w:t>
      </w:r>
      <w:r>
        <w:rPr>
          <w:rFonts w:eastAsia="Times New Roman"/>
          <w:vanish/>
        </w:rPr>
        <w:t>ilityMemberus-gaap:OperatingSegmentsMember2020-10-012021-09-300000884614ugi:MidstreamAndMarketingMemberugi:UtilityMemberus-gaap:OperatingSegmentsMember2020-10-012021-09-300000884614ugi:UGIUtilitiesIncMemberugi:UtilityMemberus-gaap:OperatingSegmentsMember20</w:t>
      </w:r>
      <w:r>
        <w:rPr>
          <w:rFonts w:eastAsia="Times New Roman"/>
          <w:vanish/>
        </w:rPr>
        <w:t>20-10-012021-09-300000884614ugi:CorporateAndReconcilingItemsMemberugi:UtilityMember2020-10-012021-09-300000884614us-gaap:RetailMember2020-10-012021-09-300000884614us-gaap:RetailMemberus-gaap:IntersegmentEliminationMember2020-10-012021-09-300000884614us-gaa</w:t>
      </w:r>
      <w:r>
        <w:rPr>
          <w:rFonts w:eastAsia="Times New Roman"/>
          <w:vanish/>
        </w:rPr>
        <w:t>p:RetailMemberugi:AmerigasPropaneMemberus-gaap:OperatingSegmentsMember2020-10-012021-09-300000884614us-gaap:RetailMemberugi:UGIInternationalMemberus-gaap:OperatingSegmentsMember2020-10-012021-09-300000884614us-gaap:RetailMemberugi:MidstreamAndMarketingMemb</w:t>
      </w:r>
      <w:r>
        <w:rPr>
          <w:rFonts w:eastAsia="Times New Roman"/>
          <w:vanish/>
        </w:rPr>
        <w:t>erus-gaap:OperatingSegmentsMember2020-10-012021-09-300000884614us-gaap:RetailMemberugi:UGIUtilitiesIncMemberus-gaap:OperatingSegmentsMember2020-10-012021-09-300000884614us-gaap:RetailMemberugi:CorporateAndReconcilingItemsMember2020-10-012021-09-30000088461</w:t>
      </w:r>
      <w:r>
        <w:rPr>
          <w:rFonts w:eastAsia="Times New Roman"/>
          <w:vanish/>
        </w:rPr>
        <w:t>4ugi:WholesaleMember2020-10-012021-09-300000884614ugi:WholesaleMemberus-gaap:IntersegmentEliminationMember2020-10-012021-09-300000884614ugi:AmerigasPropaneMemberugi:WholesaleMemberus-gaap:OperatingSegmentsMember2020-10-012021-09-300000884614ugi:UGIInternat</w:t>
      </w:r>
      <w:r>
        <w:rPr>
          <w:rFonts w:eastAsia="Times New Roman"/>
          <w:vanish/>
        </w:rPr>
        <w:t>ionalMemberugi:WholesaleMemberus-gaap:OperatingSegmentsMember2020-10-012021-09-300000884614ugi:MidstreamAndMarketingMemberugi:WholesaleMemberus-gaap:OperatingSegmentsMember2020-10-012021-09-300000884614ugi:UGIUtilitiesIncMemberugi:WholesaleMemberus-gaap:Op</w:t>
      </w:r>
      <w:r>
        <w:rPr>
          <w:rFonts w:eastAsia="Times New Roman"/>
          <w:vanish/>
        </w:rPr>
        <w:t>eratingSegmentsMember2020-10-012021-09-300000884614ugi:CorporateAndReconcilingItemsMemberugi:WholesaleMember2020-10-012021-09-300000884614ugi:EnergyMarketingMember2020-10-012021-09-300000884614ugi:EnergyMarketingMemberus-gaap:IntersegmentEliminationMember2</w:t>
      </w:r>
      <w:r>
        <w:rPr>
          <w:rFonts w:eastAsia="Times New Roman"/>
          <w:vanish/>
        </w:rPr>
        <w:t>020-10-012021-09-300000884614ugi:EnergyMarketingMemberugi:AmerigasPropaneMemberus-gaap:OperatingSegmentsMember2020-10-012021-09-300000884614ugi:UGIInternationalMemberugi:EnergyMarketingMemberus-gaap:OperatingSegmentsMember2020-10-012021-09-300000884614ugi:</w:t>
      </w:r>
      <w:r>
        <w:rPr>
          <w:rFonts w:eastAsia="Times New Roman"/>
          <w:vanish/>
        </w:rPr>
        <w:t>MidstreamAndMarketingMemberugi:EnergyMarketingMemberus-gaap:OperatingSegmentsMember2020-10-012021-09-300000884614ugi:EnergyMarketingMemberugi:UGIUtilitiesIncMemberus-gaap:OperatingSegmentsMember2020-10-012021-09-300000884614ugi:EnergyMarketingMemberugi:Cor</w:t>
      </w:r>
      <w:r>
        <w:rPr>
          <w:rFonts w:eastAsia="Times New Roman"/>
          <w:vanish/>
        </w:rPr>
        <w:t>porateAndReconcilingItemsMember2020-10-012021-09-300000884614ugi:PipelineMember2020-10-012021-09-300000884614us-gaap:IntersegmentEliminationMemberugi:PipelineMember2020-10-012021-09-300000884614ugi:AmerigasPropaneMemberus-gaap:OperatingSegmentsMemberugi:Pi</w:t>
      </w:r>
      <w:r>
        <w:rPr>
          <w:rFonts w:eastAsia="Times New Roman"/>
          <w:vanish/>
        </w:rPr>
        <w:t>pelineMember2020-10-012021-09-300000884614ugi:UGIInternationalMemberus-gaap:OperatingSegmentsMemberugi:PipelineMember2020-10-012021-09-300000884614ugi:MidstreamAndMarketingMemberus-gaap:OperatingSegmentsMemberugi:PipelineMember2020-10-012021-09-30000088461</w:t>
      </w:r>
      <w:r>
        <w:rPr>
          <w:rFonts w:eastAsia="Times New Roman"/>
          <w:vanish/>
        </w:rPr>
        <w:t>4ugi:UGIUtilitiesIncMemberus-gaap:OperatingSegmentsMemberugi:PipelineMember2020-10-012021-09-300000884614ugi:CorporateAndReconcilingItemsMemberugi:PipelineMember2020-10-012021-09-300000884614ugi:PeakingMember2020-10-012021-09-300000884614ugi:PeakingMemberu</w:t>
      </w:r>
      <w:r>
        <w:rPr>
          <w:rFonts w:eastAsia="Times New Roman"/>
          <w:vanish/>
        </w:rPr>
        <w:t>s-gaap:IntersegmentEliminationMember2020-10-012021-09-300000884614ugi:AmerigasPropaneMemberugi:PeakingMemberus-gaap:OperatingSegmentsMember2020-10-012021-09-300000884614ugi:UGIInternationalMemberugi:PeakingMemberus-gaap:OperatingSegmentsMember2020-10-01202</w:t>
      </w:r>
      <w:r>
        <w:rPr>
          <w:rFonts w:eastAsia="Times New Roman"/>
          <w:vanish/>
        </w:rPr>
        <w:t>1-09-300000884614ugi:MidstreamAndMarketingMemberugi:PeakingMemberus-gaap:OperatingSegmentsMember2020-10-012021-09-300000884614ugi:UGIUtilitiesIncMemberugi:PeakingMemberus-gaap:OperatingSegmentsMember2020-10-012021-09-300000884614ugi:CorporateAndReconciling</w:t>
      </w:r>
      <w:r>
        <w:rPr>
          <w:rFonts w:eastAsia="Times New Roman"/>
          <w:vanish/>
        </w:rPr>
        <w:t>ItemsMemberugi:PeakingMember2020-10-012021-09-300000884614ugi:MidstreamOtherMember2020-10-012021-09-300000884614ugi:MidstreamOtherMemberus-gaap:IntersegmentEliminationMember2020-10-012021-09-300000884614ugi:MidstreamOtherMemberugi:AmerigasPropaneMemberus-g</w:t>
      </w:r>
      <w:r>
        <w:rPr>
          <w:rFonts w:eastAsia="Times New Roman"/>
          <w:vanish/>
        </w:rPr>
        <w:t>aap:OperatingSegmentsMember2020-10-012021-09-300000884614ugi:MidstreamOtherMemberugi:UGIInternationalMemberus-gaap:OperatingSegmentsMember2020-10-012021-09-300000884614ugi:MidstreamOtherMemberugi:MidstreamAndMarketingMemberus-gaap:OperatingSegmentsMember20</w:t>
      </w:r>
      <w:r>
        <w:rPr>
          <w:rFonts w:eastAsia="Times New Roman"/>
          <w:vanish/>
        </w:rPr>
        <w:t>20-10-012021-09-300000884614ugi:MidstreamOtherMemberugi:UGIUtilitiesIncMemberus-gaap:OperatingSegmentsMember2020-10-012021-09-300000884614ugi:MidstreamOtherMemberugi:CorporateAndReconcilingItemsMember2020-10-012021-09-300000884614us-gaap:ElectricityGenerat</w:t>
      </w:r>
      <w:r>
        <w:rPr>
          <w:rFonts w:eastAsia="Times New Roman"/>
          <w:vanish/>
        </w:rPr>
        <w:t>ionMember2020-10-012021-09-300000884614us-gaap:IntersegmentEliminationMemberus-gaap:ElectricityGenerationMember2020-10-012021-09-300000884614ugi:AmerigasPropaneMemberus-gaap:OperatingSegmentsMemberus-gaap:ElectricityGenerationMember2020-10-012021-09-300000</w:t>
      </w:r>
      <w:r>
        <w:rPr>
          <w:rFonts w:eastAsia="Times New Roman"/>
          <w:vanish/>
        </w:rPr>
        <w:t>884614ugi:UGIInternationalMemberus-gaap:OperatingSegmentsMemberus-gaap:ElectricityGenerationMember2020-10-012021-09-300000884614ugi:MidstreamAndMarketingMemberus-gaap:OperatingSegmentsMemberus-gaap:ElectricityGenerationMember2020-10-012021-09-300000884614u</w:t>
      </w:r>
      <w:r>
        <w:rPr>
          <w:rFonts w:eastAsia="Times New Roman"/>
          <w:vanish/>
        </w:rPr>
        <w:t>gi:UGIUtilitiesIncMemberus-gaap:OperatingSegmentsMemberus-gaap:ElectricityGenerationMember2020-10-012021-09-300000884614ugi:CorporateAndReconcilingItemsMemberus-gaap:ElectricityGenerationMember2020-10-012021-09-300000884614ugi:NonutilityOtherMember2020-10-</w:t>
      </w:r>
      <w:r>
        <w:rPr>
          <w:rFonts w:eastAsia="Times New Roman"/>
          <w:vanish/>
        </w:rPr>
        <w:t>012021-09-300000884614ugi:NonutilityOtherMemberus-gaap:IntersegmentEliminationMember2020-10-012021-09-300000884614ugi:AmerigasPropaneMemberugi:NonutilityOtherMemberus-gaap:OperatingSegmentsMember2020-10-012021-09-300000884614ugi:UGIInternationalMemberugi:N</w:t>
      </w:r>
      <w:r>
        <w:rPr>
          <w:rFonts w:eastAsia="Times New Roman"/>
          <w:vanish/>
        </w:rPr>
        <w:t>onutilityOtherMemberus-gaap:OperatingSegmentsMember2020-10-012021-09-300000884614ugi:MidstreamAndMarketingMemberugi:NonutilityOtherMemberus-gaap:OperatingSegmentsMember2020-10-012021-09-300000884614ugi:UGIUtilitiesIncMemberugi:NonutilityOtherMemberus-gaap:</w:t>
      </w:r>
      <w:r>
        <w:rPr>
          <w:rFonts w:eastAsia="Times New Roman"/>
          <w:vanish/>
        </w:rPr>
        <w:t>OperatingSegmentsMember2020-10-012021-09-300000884614ugi:CorporateAndReconcilingItemsMemberugi:NonutilityOtherMember2020-10-012021-09-300000884614ugi:NonutilityMember2020-10-012021-09-300000884614ugi:NonutilityMemberus-gaap:IntersegmentEliminationMember202</w:t>
      </w:r>
      <w:r>
        <w:rPr>
          <w:rFonts w:eastAsia="Times New Roman"/>
          <w:vanish/>
        </w:rPr>
        <w:t>0-10-012021-09-300000884614ugi:NonutilityMemberugi:AmerigasPropaneMemberus-gaap:OperatingSegmentsMember2020-10-012021-09-300000884614ugi:NonutilityMemberugi:UGIInternationalMemberus-gaap:OperatingSegmentsMember2020-10-012021-09-300000884614ugi:NonutilityMe</w:t>
      </w:r>
      <w:r>
        <w:rPr>
          <w:rFonts w:eastAsia="Times New Roman"/>
          <w:vanish/>
        </w:rPr>
        <w:t>mberugi:MidstreamAndMarketingMemberus-gaap:OperatingSegmentsMember2020-10-012021-09-300000884614ugi:NonutilityMemberugi:UGIUtilitiesIncMemberus-gaap:OperatingSegmentsMember2020-10-012021-09-300000884614ugi:NonutilityMemberugi:CorporateAndReconcilingItemsMe</w:t>
      </w:r>
      <w:r>
        <w:rPr>
          <w:rFonts w:eastAsia="Times New Roman"/>
          <w:vanish/>
        </w:rPr>
        <w:t>mber2020-10-012021-09-300000884614us-gaap:IntersegmentEliminationMember2020-10-012021-09-300000884614ugi:AmerigasPropaneMemberus-gaap:OperatingSegmentsMember2020-10-012021-09-300000884614ugi:UGIInternationalMemberus-gaap:OperatingSegmentsMember2020-10-0120</w:t>
      </w:r>
      <w:r>
        <w:rPr>
          <w:rFonts w:eastAsia="Times New Roman"/>
          <w:vanish/>
        </w:rPr>
        <w:t>21-09-300000884614ugi:MidstreamAndMarketingMemberus-gaap:OperatingSegmentsMember2020-10-012021-09-300000884614ugi:UGIUtilitiesIncMemberus-gaap:OperatingSegmentsMember2020-10-012021-09-300000884614ugi:CorporateAndReconcilingItemsMember2020-10-012021-09-3000</w:t>
      </w:r>
      <w:r>
        <w:rPr>
          <w:rFonts w:eastAsia="Times New Roman"/>
          <w:vanish/>
        </w:rPr>
        <w:t>00884614ugi:ResidentialMember2019-10-012020-09-300000884614ugi:ResidentialMemberus-gaap:IntersegmentEliminationMember2019-10-012020-09-300000884614ugi:ResidentialMemberugi:AmerigasPropaneMemberus-gaap:OperatingSegmentsMember2019-10-012020-09-300000884614ug</w:t>
      </w:r>
      <w:r>
        <w:rPr>
          <w:rFonts w:eastAsia="Times New Roman"/>
          <w:vanish/>
        </w:rPr>
        <w:t>i:ResidentialMemberugi:UGIInternationalMemberus-gaap:OperatingSegmentsMember2019-10-012020-09-300000884614ugi:ResidentialMemberugi:MidstreamAndMarketingMemberus-gaap:OperatingSegmentsMember2019-10-012020-09-300000884614ugi:ResidentialMemberugi:UGIUtilities</w:t>
      </w:r>
      <w:r>
        <w:rPr>
          <w:rFonts w:eastAsia="Times New Roman"/>
          <w:vanish/>
        </w:rPr>
        <w:t>IncMemberus-gaap:OperatingSegmentsMember2019-10-012020-09-300000884614ugi:ResidentialMemberugi:CorporateAndReconcilingItemsMember2019-10-012020-09-300000884614ugi:CommercialandIndustrialMember2019-10-012020-09-300000884614ugi:CommercialandIndustrialMemberu</w:t>
      </w:r>
      <w:r>
        <w:rPr>
          <w:rFonts w:eastAsia="Times New Roman"/>
          <w:vanish/>
        </w:rPr>
        <w:t>s-gaap:IntersegmentEliminationMember2019-10-012020-09-300000884614ugi:CommercialandIndustrialMemberugi:AmerigasPropaneMemberus-gaap:OperatingSegmentsMember2019-10-012020-09-300000884614ugi:CommercialandIndustrialMemberugi:UGIInternationalMemberus-gaap:Oper</w:t>
      </w:r>
      <w:r>
        <w:rPr>
          <w:rFonts w:eastAsia="Times New Roman"/>
          <w:vanish/>
        </w:rPr>
        <w:t>atingSegmentsMember2019-10-012020-09-300000884614ugi:CommercialandIndustrialMemberugi:MidstreamAndMarketingMemberus-gaap:OperatingSegmentsMember2019-10-012020-09-300000884614ugi:CommercialandIndustrialMemberugi:UGIUtilitiesIncMemberus-gaap:OperatingSegment</w:t>
      </w:r>
      <w:r>
        <w:rPr>
          <w:rFonts w:eastAsia="Times New Roman"/>
          <w:vanish/>
        </w:rPr>
        <w:t>sMember2019-10-012020-09-300000884614ugi:CommercialandIndustrialMemberugi:CorporateAndReconcilingItemsMember2019-10-012020-09-300000884614ugi:LargeDeliveryServiceMember2019-10-012020-09-300000884614ugi:LargeDeliveryServiceMemberus-gaap:IntersegmentEliminat</w:t>
      </w:r>
      <w:r>
        <w:rPr>
          <w:rFonts w:eastAsia="Times New Roman"/>
          <w:vanish/>
        </w:rPr>
        <w:t>ionMember2019-10-012020-09-300000884614ugi:AmerigasPropaneMemberugi:LargeDeliveryServiceMemberus-gaap:OperatingSegmentsMember2019-10-012020-09-300000884614ugi:UGIInternationalMemberugi:LargeDeliveryServiceMemberus-gaap:OperatingSegmentsMember2019-10-012020</w:t>
      </w:r>
      <w:r>
        <w:rPr>
          <w:rFonts w:eastAsia="Times New Roman"/>
          <w:vanish/>
        </w:rPr>
        <w:t>-09-300000884614ugi:MidstreamAndMarketingMemberugi:LargeDeliveryServiceMemberus-gaap:OperatingSegmentsMember2019-10-012020-09-300000884614ugi:UGIUtilitiesIncMemberugi:LargeDeliveryServiceMemberus-gaap:OperatingSegmentsMember2019-10-012020-09-300000884614ug</w:t>
      </w:r>
      <w:r>
        <w:rPr>
          <w:rFonts w:eastAsia="Times New Roman"/>
          <w:vanish/>
        </w:rPr>
        <w:t>i:CorporateAndReconcilingItemsMemberugi:LargeDeliveryServiceMember2019-10-012020-09-300000884614ugi:OffSystemSalesandCapacityReleasesMember2019-10-012020-09-300000884614ugi:OffSystemSalesandCapacityReleasesMemberus-gaap:IntersegmentEliminationMember2019-10</w:t>
      </w:r>
      <w:r>
        <w:rPr>
          <w:rFonts w:eastAsia="Times New Roman"/>
          <w:vanish/>
        </w:rPr>
        <w:t>-012020-09-300000884614ugi:AmerigasPropaneMemberugi:OffSystemSalesandCapacityReleasesMemberus-gaap:OperatingSegmentsMember2019-10-012020-09-300000884614ugi:UGIInternationalMemberugi:OffSystemSalesandCapacityReleasesMemberus-gaap:OperatingSegmentsMember2019</w:t>
      </w:r>
      <w:r>
        <w:rPr>
          <w:rFonts w:eastAsia="Times New Roman"/>
          <w:vanish/>
        </w:rPr>
        <w:t>-10-012020-09-300000884614ugi:MidstreamAndMarketingMemberugi:OffSystemSalesandCapacityReleasesMemberus-gaap:OperatingSegmentsMember2019-10-012020-09-300000884614ugi:UGIUtilitiesIncMemberugi:OffSystemSalesandCapacityReleasesMemberus-gaap:OperatingSegmentsMe</w:t>
      </w:r>
      <w:r>
        <w:rPr>
          <w:rFonts w:eastAsia="Times New Roman"/>
          <w:vanish/>
        </w:rPr>
        <w:t>mber2019-10-012020-09-300000884614ugi:CorporateAndReconcilingItemsMemberugi:OffSystemSalesandCapacityReleasesMember2019-10-012020-09-300000884614ugi:UtilityOtherMember2019-10-012020-09-300000884614ugi:UtilityOtherMemberus-gaap:IntersegmentEliminationMember</w:t>
      </w:r>
      <w:r>
        <w:rPr>
          <w:rFonts w:eastAsia="Times New Roman"/>
          <w:vanish/>
        </w:rPr>
        <w:t>2019-10-012020-09-300000884614ugi:AmerigasPropaneMemberugi:UtilityOtherMemberus-gaap:OperatingSegmentsMember2019-10-012020-09-300000884614ugi:UGIInternationalMemberugi:UtilityOtherMemberus-gaap:OperatingSegmentsMember2019-10-012020-09-300000884614ugi:Midst</w:t>
      </w:r>
      <w:r>
        <w:rPr>
          <w:rFonts w:eastAsia="Times New Roman"/>
          <w:vanish/>
        </w:rPr>
        <w:t>reamAndMarketingMemberugi:UtilityOtherMemberus-gaap:OperatingSegmentsMember2019-10-012020-09-300000884614ugi:UGIUtilitiesIncMemberugi:UtilityOtherMemberus-gaap:OperatingSegmentsMember2019-10-012020-09-300000884614ugi:CorporateAndReconcilingItemsMemberugi:U</w:t>
      </w:r>
      <w:r>
        <w:rPr>
          <w:rFonts w:eastAsia="Times New Roman"/>
          <w:vanish/>
        </w:rPr>
        <w:t>tilityOtherMember2019-10-012020-09-300000884614ugi:UtilityMember2019-10-012020-09-300000884614ugi:UtilityMemberus-gaap:IntersegmentEliminationMember2019-10-012020-09-300000884614ugi:AmerigasPropaneMemberugi:UtilityMemberus-gaap:OperatingSegmentsMember2019-</w:t>
      </w:r>
      <w:r>
        <w:rPr>
          <w:rFonts w:eastAsia="Times New Roman"/>
          <w:vanish/>
        </w:rPr>
        <w:t>10-012020-09-300000884614ugi:UGIInternationalMemberugi:UtilityMemberus-gaap:OperatingSegmentsMember2019-10-012020-09-300000884614ugi:MidstreamAndMarketingMemberugi:UtilityMemberus-gaap:OperatingSegmentsMember2019-10-012020-09-300000884614ugi:UGIUtilitiesIn</w:t>
      </w:r>
      <w:r>
        <w:rPr>
          <w:rFonts w:eastAsia="Times New Roman"/>
          <w:vanish/>
        </w:rPr>
        <w:t>cMemberugi:UtilityMemberus-gaap:OperatingSegmentsMember2019-10-012020-09-300000884614ugi:CorporateAndReconcilingItemsMemberugi:UtilityMember2019-10-012020-09-300000884614us-gaap:RetailMember2019-10-012020-09-300000884614us-gaap:RetailMemberus-gaap:Interseg</w:t>
      </w:r>
      <w:r>
        <w:rPr>
          <w:rFonts w:eastAsia="Times New Roman"/>
          <w:vanish/>
        </w:rPr>
        <w:t>mentEliminationMember2019-10-012020-09-300000884614us-gaap:RetailMemberugi:AmerigasPropaneMemberus-gaap:OperatingSegmentsMember2019-10-012020-09-300000884614us-gaap:RetailMemberugi:UGIInternationalMemberus-gaap:OperatingSegmentsMember2019-10-012020-09-3000</w:t>
      </w:r>
      <w:r>
        <w:rPr>
          <w:rFonts w:eastAsia="Times New Roman"/>
          <w:vanish/>
        </w:rPr>
        <w:t>00884614us-gaap:RetailMemberugi:MidstreamAndMarketingMemberus-gaap:OperatingSegmentsMember2019-10-012020-09-300000884614us-gaap:RetailMemberugi:UGIUtilitiesIncMemberus-gaap:OperatingSegmentsMember2019-10-012020-09-300000884614us-gaap:RetailMemberugi:Corpor</w:t>
      </w:r>
      <w:r>
        <w:rPr>
          <w:rFonts w:eastAsia="Times New Roman"/>
          <w:vanish/>
        </w:rPr>
        <w:t>ateAndReconcilingItemsMember2019-10-012020-09-300000884614ugi:WholesaleMember2019-10-012020-09-300000884614ugi:WholesaleMemberus-gaap:IntersegmentEliminationMember2019-10-012020-09-300000884614ugi:AmerigasPropaneMemberugi:WholesaleMemberus-gaap:OperatingSe</w:t>
      </w:r>
      <w:r>
        <w:rPr>
          <w:rFonts w:eastAsia="Times New Roman"/>
          <w:vanish/>
        </w:rPr>
        <w:t>gmentsMember2019-10-012020-09-300000884614ugi:UGIInternationalMemberugi:WholesaleMemberus-gaap:OperatingSegmentsMember2019-10-012020-09-300000884614ugi:MidstreamAndMarketingMemberugi:WholesaleMemberus-gaap:OperatingSegmentsMember2019-10-012020-09-300000884</w:t>
      </w:r>
      <w:r>
        <w:rPr>
          <w:rFonts w:eastAsia="Times New Roman"/>
          <w:vanish/>
        </w:rPr>
        <w:t>614ugi:UGIUtilitiesIncMemberugi:WholesaleMemberus-gaap:OperatingSegmentsMember2019-10-012020-09-300000884614ugi:CorporateAndReconcilingItemsMemberugi:WholesaleMember2019-10-012020-09-300000884614ugi:EnergyMarketingMember2019-10-012020-09-300000884614ugi:En</w:t>
      </w:r>
      <w:r>
        <w:rPr>
          <w:rFonts w:eastAsia="Times New Roman"/>
          <w:vanish/>
        </w:rPr>
        <w:t>ergyMarketingMemberus-gaap:IntersegmentEliminationMember2019-10-012020-09-300000884614ugi:EnergyMarketingMemberugi:AmerigasPropaneMemberus-gaap:OperatingSegmentsMember2019-10-012020-09-300000884614ugi:UGIInternationalMemberugi:EnergyMarketingMemberus-gaap:</w:t>
      </w:r>
      <w:r>
        <w:rPr>
          <w:rFonts w:eastAsia="Times New Roman"/>
          <w:vanish/>
        </w:rPr>
        <w:t>OperatingSegmentsMember2019-10-012020-09-300000884614ugi:MidstreamAndMarketingMemberugi:EnergyMarketingMemberus-gaap:OperatingSegmentsMember2019-10-012020-09-300000884614ugi:EnergyMarketingMemberugi:UGIUtilitiesIncMemberus-gaap:OperatingSegmentsMember2019-</w:t>
      </w:r>
      <w:r>
        <w:rPr>
          <w:rFonts w:eastAsia="Times New Roman"/>
          <w:vanish/>
        </w:rPr>
        <w:t>10-012020-09-300000884614ugi:EnergyMarketingMemberugi:CorporateAndReconcilingItemsMember2019-10-012020-09-300000884614ugi:PipelineMember2019-10-012020-09-300000884614us-gaap:IntersegmentEliminationMemberugi:PipelineMember2019-10-012020-09-300000884614ugi:A</w:t>
      </w:r>
      <w:r>
        <w:rPr>
          <w:rFonts w:eastAsia="Times New Roman"/>
          <w:vanish/>
        </w:rPr>
        <w:t>merigasPropaneMemberus-gaap:OperatingSegmentsMemberugi:PipelineMember2019-10-012020-09-300000884614ugi:UGIInternationalMemberus-gaap:OperatingSegmentsMemberugi:PipelineMember2019-10-012020-09-300000884614ugi:MidstreamAndMarketingMemberus-gaap:OperatingSegm</w:t>
      </w:r>
      <w:r>
        <w:rPr>
          <w:rFonts w:eastAsia="Times New Roman"/>
          <w:vanish/>
        </w:rPr>
        <w:t>entsMemberugi:PipelineMember2019-10-012020-09-300000884614ugi:UGIUtilitiesIncMemberus-gaap:OperatingSegmentsMemberugi:PipelineMember2019-10-012020-09-300000884614ugi:CorporateAndReconcilingItemsMemberugi:PipelineMember2019-10-012020-09-300000884614ugi:Peak</w:t>
      </w:r>
      <w:r>
        <w:rPr>
          <w:rFonts w:eastAsia="Times New Roman"/>
          <w:vanish/>
        </w:rPr>
        <w:t>ingMember2019-10-012020-09-300000884614ugi:PeakingMemberus-gaap:IntersegmentEliminationMember2019-10-012020-09-300000884614ugi:AmerigasPropaneMemberugi:PeakingMemberus-gaap:OperatingSegmentsMember2019-10-012020-09-300000884614ugi:UGIInternationalMemberugi:</w:t>
      </w:r>
      <w:r>
        <w:rPr>
          <w:rFonts w:eastAsia="Times New Roman"/>
          <w:vanish/>
        </w:rPr>
        <w:t>PeakingMemberus-gaap:OperatingSegmentsMember2019-10-012020-09-300000884614ugi:MidstreamAndMarketingMemberugi:PeakingMemberus-gaap:OperatingSegmentsMember2019-10-012020-09-300000884614ugi:UGIUtilitiesIncMemberugi:PeakingMemberus-gaap:OperatingSegmentsMember</w:t>
      </w:r>
      <w:r>
        <w:rPr>
          <w:rFonts w:eastAsia="Times New Roman"/>
          <w:vanish/>
        </w:rPr>
        <w:t>2019-10-012020-09-300000884614ugi:CorporateAndReconcilingItemsMemberugi:PeakingMember2019-10-012020-09-300000884614ugi:MidstreamOtherMember2019-10-012020-09-300000884614ugi:MidstreamOtherMemberus-gaap:IntersegmentEliminationMember2019-10-012020-09-30000088</w:t>
      </w:r>
      <w:r>
        <w:rPr>
          <w:rFonts w:eastAsia="Times New Roman"/>
          <w:vanish/>
        </w:rPr>
        <w:t>4614ugi:MidstreamOtherMemberugi:AmerigasPropaneMemberus-gaap:OperatingSegmentsMember2019-10-012020-09-300000884614ugi:MidstreamOtherMemberugi:UGIInternationalMemberus-gaap:OperatingSegmentsMember2019-10-012020-09-300000884614ugi:MidstreamOtherMemberugi:Mid</w:t>
      </w:r>
      <w:r>
        <w:rPr>
          <w:rFonts w:eastAsia="Times New Roman"/>
          <w:vanish/>
        </w:rPr>
        <w:t>streamAndMarketingMemberus-gaap:OperatingSegmentsMember2019-10-012020-09-300000884614ugi:MidstreamOtherMemberugi:UGIUtilitiesIncMemberus-gaap:OperatingSegmentsMember2019-10-012020-09-300000884614ugi:MidstreamOtherMemberugi:CorporateAndReconcilingItemsMembe</w:t>
      </w:r>
      <w:r>
        <w:rPr>
          <w:rFonts w:eastAsia="Times New Roman"/>
          <w:vanish/>
        </w:rPr>
        <w:t>r2019-10-012020-09-300000884614us-gaap:ElectricityGenerationMember2019-10-012020-09-300000884614us-gaap:IntersegmentEliminationMemberus-gaap:ElectricityGenerationMember2019-10-012020-09-300000884614ugi:AmerigasPropaneMemberus-gaap:OperatingSegmentsMemberus</w:t>
      </w:r>
      <w:r>
        <w:rPr>
          <w:rFonts w:eastAsia="Times New Roman"/>
          <w:vanish/>
        </w:rPr>
        <w:t>-gaap:ElectricityGenerationMember2019-10-012020-09-300000884614ugi:UGIInternationalMemberus-gaap:OperatingSegmentsMemberus-gaap:ElectricityGenerationMember2019-10-012020-09-300000884614ugi:MidstreamAndMarketingMemberus-gaap:OperatingSegmentsMemberus-gaap:E</w:t>
      </w:r>
      <w:r>
        <w:rPr>
          <w:rFonts w:eastAsia="Times New Roman"/>
          <w:vanish/>
        </w:rPr>
        <w:t>lectricityGenerationMember2019-10-012020-09-300000884614ugi:UGIUtilitiesIncMemberus-gaap:OperatingSegmentsMemberus-gaap:ElectricityGenerationMember2019-10-012020-09-300000884614ugi:CorporateAndReconcilingItemsMemberus-gaap:ElectricityGenerationMember2019-1</w:t>
      </w:r>
      <w:r>
        <w:rPr>
          <w:rFonts w:eastAsia="Times New Roman"/>
          <w:vanish/>
        </w:rPr>
        <w:t>0-012020-09-300000884614ugi:NonutilityOtherMember2019-10-012020-09-300000884614ugi:NonutilityOtherMemberus-gaap:IntersegmentEliminationMember2019-10-012020-09-300000884614ugi:AmerigasPropaneMemberugi:NonutilityOtherMemberus-gaap:OperatingSegmentsMember2019</w:t>
      </w:r>
      <w:r>
        <w:rPr>
          <w:rFonts w:eastAsia="Times New Roman"/>
          <w:vanish/>
        </w:rPr>
        <w:t>-10-012020-09-300000884614ugi:UGIInternationalMemberugi:NonutilityOtherMemberus-gaap:OperatingSegmentsMember2019-10-012020-09-300000884614ugi:MidstreamAndMarketingMemberugi:NonutilityOtherMemberus-gaap:OperatingSegmentsMember2019-10-012020-09-300000884614u</w:t>
      </w:r>
      <w:r>
        <w:rPr>
          <w:rFonts w:eastAsia="Times New Roman"/>
          <w:vanish/>
        </w:rPr>
        <w:t>gi:UGIUtilitiesIncMemberugi:NonutilityOtherMemberus-gaap:OperatingSegmentsMember2019-10-012020-09-300000884614ugi:CorporateAndReconcilingItemsMemberugi:NonutilityOtherMember2019-10-012020-09-300000884614ugi:NonutilityMember2019-10-012020-09-300000884614ugi</w:t>
      </w:r>
      <w:r>
        <w:rPr>
          <w:rFonts w:eastAsia="Times New Roman"/>
          <w:vanish/>
        </w:rPr>
        <w:t>:NonutilityMemberus-gaap:IntersegmentEliminationMember2019-10-012020-09-300000884614ugi:NonutilityMemberugi:AmerigasPropaneMemberus-gaap:OperatingSegmentsMember2019-10-012020-09-300000884614ugi:NonutilityMemberugi:UGIInternationalMemberus-gaap:OperatingSeg</w:t>
      </w:r>
      <w:r>
        <w:rPr>
          <w:rFonts w:eastAsia="Times New Roman"/>
          <w:vanish/>
        </w:rPr>
        <w:t>mentsMember2019-10-012020-09-300000884614ugi:NonutilityMemberugi:MidstreamAndMarketingMemberus-gaap:OperatingSegmentsMember2019-10-012020-09-300000884614ugi:NonutilityMemberugi:UGIUtilitiesIncMemberus-gaap:OperatingSegmentsMember2019-10-012020-09-300000884</w:t>
      </w:r>
      <w:r>
        <w:rPr>
          <w:rFonts w:eastAsia="Times New Roman"/>
          <w:vanish/>
        </w:rPr>
        <w:t>614ugi:NonutilityMemberugi:CorporateAndReconcilingItemsMember2019-10-012020-09-300000884614us-gaap:IntersegmentEliminationMember2019-10-012020-09-300000884614ugi:AmerigasPropaneMemberus-gaap:OperatingSegmentsMember2019-10-012020-09-300000884614ugi:UGIInter</w:t>
      </w:r>
      <w:r>
        <w:rPr>
          <w:rFonts w:eastAsia="Times New Roman"/>
          <w:vanish/>
        </w:rPr>
        <w:t>nationalMemberus-gaap:OperatingSegmentsMember2019-10-012020-09-300000884614ugi:MidstreamAndMarketingMemberus-gaap:OperatingSegmentsMember2019-10-012020-09-300000884614ugi:UGIUtilitiesIncMemberus-gaap:OperatingSegmentsMember2019-10-012020-09-300000884614ugi</w:t>
      </w:r>
      <w:r>
        <w:rPr>
          <w:rFonts w:eastAsia="Times New Roman"/>
          <w:vanish/>
        </w:rPr>
        <w:t>:CorporateAndReconcilingItemsMember2019-10-012020-09-300000884614ugi:MidstreamAndMarketingMember2022-09-300000884614ugi:UGIUtilitiesIncMember2022-09-300000884614ugi:MountaineerMember2021-09-012021-09-010000884614ugi:UGICorporationSeniorCreditFacilityMember</w:t>
      </w:r>
      <w:r>
        <w:rPr>
          <w:rFonts w:eastAsia="Times New Roman"/>
          <w:vanish/>
        </w:rPr>
        <w:t>2021-09-012021-09-010000884614ugi:MountaineerMember2021-10-012022-09-300000884614ugi:MountaineerMember2021-09-010000884614ugi:MountaineerMember2021-09-300000884614ugi:UGIInternationalMember2020-10-012021-09-300000884614ugi:MidstreamAndMarketingMember2019-1</w:t>
      </w:r>
      <w:r>
        <w:rPr>
          <w:rFonts w:eastAsia="Times New Roman"/>
          <w:vanish/>
        </w:rPr>
        <w:t>0-012020-09-300000884614ugi:EnergyServicesMemberugi:PennantMember2021-09-300000884614ugi:EnergyServicesMemberugi:PennantMember2022-09-300000884614ugi:EnergyServicesMemberugi:PennantMember2021-10-012022-09-300000884614ugi:EnergyServicesMemberugi:StonehengeM</w:t>
      </w:r>
      <w:r>
        <w:rPr>
          <w:rFonts w:eastAsia="Times New Roman"/>
          <w:vanish/>
        </w:rPr>
        <w:t>ember2022-01-272022-01-270000884614ugi:ConemaughMemberus-gaap:DisposalGroupHeldForSaleOrDisposedOfBySaleNotDiscontinuedOperationsMemberus-gaap:JointlyOwnedElectricityGenerationPlantMember2020-07-310000884614ugi:ConemaughMemberus-gaap:DisposalGroupHeldForSa</w:t>
      </w:r>
      <w:r>
        <w:rPr>
          <w:rFonts w:eastAsia="Times New Roman"/>
          <w:vanish/>
        </w:rPr>
        <w:t>leOrDisposedOfBySaleNotDiscontinuedOperationsMemberus-gaap:JointlyOwnedElectricityGenerationPlantMember2020-04-012020-06-300000884614ugi:HVACBusinessMemberus-gaap:DisposalGroupHeldForSaleOrDisposedOfBySaleNotDiscontinuedOperationsMember2019-10-012020-09-30</w:t>
      </w:r>
      <w:r>
        <w:rPr>
          <w:rFonts w:eastAsia="Times New Roman"/>
          <w:vanish/>
        </w:rPr>
        <w:t>0000884614ugi:Mountaineer2023CreditAgreementMemberus-gaap:RevolvingCreditFacilityMemberugi:MountaineerMemberus-gaap:SubsequentEventMemberus-gaap:LineOfCreditMember2022-10-200000884614ugi:Mountaineer2023CreditAgreementMemberus-gaap:LetterOfCreditMemberugi:M</w:t>
      </w:r>
      <w:r>
        <w:rPr>
          <w:rFonts w:eastAsia="Times New Roman"/>
          <w:vanish/>
        </w:rPr>
        <w:t>ountaineerMemberus-gaap:SubsequentEventMemberus-gaap:LineOfCreditMember2022-10-200000884614ugi:A2022AmeriGasOLPCreditAgreementMemberugi:AmeriGasOLPMemberus-gaap:RevolvingCreditFacilityMemberus-gaap:LineOfCreditMember2022-09-280000884614ugi:A2022AmeriGasOLP</w:t>
      </w:r>
      <w:r>
        <w:rPr>
          <w:rFonts w:eastAsia="Times New Roman"/>
          <w:vanish/>
        </w:rPr>
        <w:t>CreditAgreementMemberugi:AmeriGasOLPMemberus-gaap:LetterOfCreditMemberus-gaap:LineOfCreditMember2022-09-280000884614ugi:UGIUtilitiesMemberugi:TermLoanMemberugi:VariableRateMember2022-07-122022-07-120000884614ugi:UGIUtilitiesMemberus-gaap:SeniorNotesMemberu</w:t>
      </w:r>
      <w:r>
        <w:rPr>
          <w:rFonts w:eastAsia="Times New Roman"/>
          <w:vanish/>
        </w:rPr>
        <w:t>gi:A475SeniorNotesDueJuly2032Member2022-06-300000884614ugi:UGIUtilitiesMemberugi:A499SeniorNotesDueSeptember2052Memberus-gaap:SeniorNotesMember2022-06-300000884614ugi:UGIUtilitiesMemberus-gaap:SeniorNotesMemberugi:A475SeniorNotesDueJuly2032Member2022-07-15</w:t>
      </w:r>
      <w:r>
        <w:rPr>
          <w:rFonts w:eastAsia="Times New Roman"/>
          <w:vanish/>
        </w:rPr>
        <w:t>0000884614ugi:UGIUtilitiesMemberugi:A499SeniorNotesDueSeptember2052Memberus-gaap:SeniorNotesMember2022-09-150000884614ugi:UGIUtilitiesMemberus-gaap:SeniorNotesMemberugi:A475SeniorNotesDueJuly2032Member2022-09-150000884614us-gaap:SeniorNotesMemberugi:A449Se</w:t>
      </w:r>
      <w:r>
        <w:rPr>
          <w:rFonts w:eastAsia="Times New Roman"/>
          <w:vanish/>
        </w:rPr>
        <w:t>niorNotesDueAugust2052Memberugi:MountaineerMember2022-06-300000884614us-gaap:SeniorNotesMemberugi:A449SeniorNotesDueAugust2052Memberugi:MountaineerMember2022-08-160000884614ugi:A250SeniorNotesDueDecember2029Memberugi:UGIInternationalLLCMemberus-gaap:Senior</w:t>
      </w:r>
      <w:r>
        <w:rPr>
          <w:rFonts w:eastAsia="Times New Roman"/>
          <w:vanish/>
        </w:rPr>
        <w:t>NotesMember2021-12-07iso4217:EUR0000884614ugi:UGIInternationalLLCMemberugi:A325SeniorNotesDueNovember2025Memberus-gaap:SeniorNotesMember2021-12-070000884614ugi:UGIInternationalLLCMemberugi:A325SeniorNotesDueNovember2025Memberus-gaap:SeniorNotesMember2021-1</w:t>
      </w:r>
      <w:r>
        <w:rPr>
          <w:rFonts w:eastAsia="Times New Roman"/>
          <w:vanish/>
        </w:rPr>
        <w:t>2-072021-12-070000884614ugi:AmeriGasOLPMember2022-09-300000884614ugi:UGIInternationalLLCMember2022-09-300000884614ugi:EnergyServicesMember2022-09-300000884614ugi:UGIUtilitiesMember2022-09-300000884614ugi:MountaineerMember2022-09-300000884614ugi:UGICorporat</w:t>
      </w:r>
      <w:r>
        <w:rPr>
          <w:rFonts w:eastAsia="Times New Roman"/>
          <w:vanish/>
        </w:rPr>
        <w:t>ionMember2022-09-300000884614ugi:UGICorporationMemberus-gaap:LineOfCreditMember2022-09-300000884614ugi:AmeriGasOLPMember2021-09-300000884614ugi:UGIInternationalLLCMember2021-09-300000884614ugi:EnergyServicesMember2021-09-300000884614ugi:UGIUtilitiesMember2</w:t>
      </w:r>
      <w:r>
        <w:rPr>
          <w:rFonts w:eastAsia="Times New Roman"/>
          <w:vanish/>
        </w:rPr>
        <w:t>021-09-300000884614ugi:MountaineerMember2021-09-300000884614ugi:UGICorporationMember2021-09-300000884614ugi:A2022AmeriGasOLPCreditAgreementMemberugi:AmeriGasOLPMemberus-gaap:LetterOfCreditMemberus-gaap:LineOfCreditMember2022-09-300000884614ugi:A2022AmeriGa</w:t>
      </w:r>
      <w:r>
        <w:rPr>
          <w:rFonts w:eastAsia="Times New Roman"/>
          <w:vanish/>
        </w:rPr>
        <w:t>sOLPCreditAgreementMemberugi:AmeriGasOLPMemberus-gaap:LetterOfCreditMemberus-gaap:LineOfCreditMember2021-09-300000884614ugi:EnergyServicesCreditAgreementMemberugi:EnergyServicesMemberus-gaap:LetterOfCreditMemberus-gaap:LineOfCreditMember2022-09-30000088461</w:t>
      </w:r>
      <w:r>
        <w:rPr>
          <w:rFonts w:eastAsia="Times New Roman"/>
          <w:vanish/>
        </w:rPr>
        <w:t>4ugi:UGIUtilitiesMemberus-gaap:LetterOfCreditMemberus-gaap:LineOfCreditMemberugi:UGIUtilitiesIncCreditAgreementMember2022-09-300000884614us-gaap:LetterOfCreditMemberugi:MountaineerMemberus-gaap:LineOfCreditMember2022-09-300000884614ugi:UGICorporationSenior</w:t>
      </w:r>
      <w:r>
        <w:rPr>
          <w:rFonts w:eastAsia="Times New Roman"/>
          <w:vanish/>
        </w:rPr>
        <w:t>CreditFacilityMemberugi:UGICorporationMemberus-gaap:SubsequentEventMemberus-gaap:LineOfCreditMember2022-10-012022-11-210000884614ugi:UGICorporationSeniorCreditFacilityMemberugi:UGICorporationMemberus-gaap:LineOfCreditMember2020-10-012021-09-300000884614ugi</w:t>
      </w:r>
      <w:r>
        <w:rPr>
          <w:rFonts w:eastAsia="Times New Roman"/>
          <w:vanish/>
        </w:rPr>
        <w:t>:UGICorporationSeniorCreditFacilityMemberus-gaap:LetterOfCreditMemberugi:UGICorporationMemberus-gaap:LineOfCreditMember2022-09-300000884614ugi:EnergyServicesAccountsReceivableSecuritizationFacilityMemberugi:EnergyServicesMembersrt:ScenarioForecastMemberugi</w:t>
      </w:r>
      <w:r>
        <w:rPr>
          <w:rFonts w:eastAsia="Times New Roman"/>
          <w:vanish/>
        </w:rPr>
        <w:t>:ReceivablesFacilityMember2022-10-212023-04-300000884614ugi:EnergyServicesAccountsReceivableSecuritizationFacilityMemberugi:EnergyServicesMembersrt:ScenarioForecastMemberugi:ReceivablesFacilityMember2023-05-012023-10-200000884614ugi:EnergyServicesAccountsR</w:t>
      </w:r>
      <w:r>
        <w:rPr>
          <w:rFonts w:eastAsia="Times New Roman"/>
          <w:vanish/>
        </w:rPr>
        <w:t>eceivableSecuritizationFacilityMemberugi:EnergyServicesMemberugi:ReceivablesFacilityMember2022-09-300000884614ugi:EnergyServicesAccountsReceivableSecuritizationFacilityMemberugi:EnergyServicesMemberugi:ReceivablesFacilityMember2021-09-300000884614ugi:Energ</w:t>
      </w:r>
      <w:r>
        <w:rPr>
          <w:rFonts w:eastAsia="Times New Roman"/>
          <w:vanish/>
        </w:rPr>
        <w:t>yServicesAccountsReceivableSecuritizationFacilityMemberugi:EnergyServicesMemberugi:ReceivablesFacilityMember2020-09-300000884614ugi:EnergyServicesAccountsReceivableSecuritizationFacilityMemberugi:EnergyServicesMemberugi:ReceivablesFacilityMember2021-10-012</w:t>
      </w:r>
      <w:r>
        <w:rPr>
          <w:rFonts w:eastAsia="Times New Roman"/>
          <w:vanish/>
        </w:rPr>
        <w:t>022-09-300000884614ugi:EnergyServicesAccountsReceivableSecuritizationFacilityMemberugi:EnergyServicesMemberugi:ReceivablesFacilityMember2020-10-012021-09-300000884614ugi:EnergyServicesAccountsReceivableSecuritizationFacilityMemberugi:EnergyServicesMemberug</w:t>
      </w:r>
      <w:r>
        <w:rPr>
          <w:rFonts w:eastAsia="Times New Roman"/>
          <w:vanish/>
        </w:rPr>
        <w:t>i:ReceivablesFacilityMember2019-10-012020-09-300000884614ugi:AmerigasPropaneMemberus-gaap:SeniorNotesMemberugi:A5.50SeniorNotesdueMay2025Member2022-09-300000884614ugi:AmerigasPropaneMemberus-gaap:SeniorNotesMemberugi:A5.50SeniorNotesdueMay2025Member2021-09</w:t>
      </w:r>
      <w:r>
        <w:rPr>
          <w:rFonts w:eastAsia="Times New Roman"/>
          <w:vanish/>
        </w:rPr>
        <w:t>-300000884614ugi:AmerigasPropaneMemberugi:SeniorNotesDueAugust2026Memberus-gaap:SeniorNotesMember2022-09-300000884614ugi:AmerigasPropaneMemberugi:SeniorNotesDueAugust2026Memberus-gaap:SeniorNotesMember2021-09-300000884614ugi:AmerigasPropaneMemberus-gaap:Se</w:t>
      </w:r>
      <w:r>
        <w:rPr>
          <w:rFonts w:eastAsia="Times New Roman"/>
          <w:vanish/>
        </w:rPr>
        <w:t>niorNotesMemberugi:SeniorNotesDueMay2024Member2022-09-300000884614ugi:AmerigasPropaneMemberus-gaap:SeniorNotesMemberugi:SeniorNotesDueMay2024Member2021-09-300000884614ugi:AmerigasPropaneMemberus-gaap:SeniorNotesMemberugi:A5.75SeniorNotesDueMay2027Member202</w:t>
      </w:r>
      <w:r>
        <w:rPr>
          <w:rFonts w:eastAsia="Times New Roman"/>
          <w:vanish/>
        </w:rPr>
        <w:t>2-09-300000884614ugi:AmerigasPropaneMemberus-gaap:SeniorNotesMemberugi:A5.75SeniorNotesDueMay2027Member2021-09-300000884614ugi:AmerigasPropaneMemberugi:OtherNotesMember2022-09-300000884614ugi:AmerigasPropaneMemberugi:OtherNotesMember2021-09-300000884614ugi</w:t>
      </w:r>
      <w:r>
        <w:rPr>
          <w:rFonts w:eastAsia="Times New Roman"/>
          <w:vanish/>
        </w:rPr>
        <w:t>:AmerigasPropaneMember2022-09-300000884614ugi:AmerigasPropaneMember2021-09-300000884614ugi:A3.25SeniorNotesdueNovember2025Memberugi:UGIInternationalMemberus-gaap:SeniorNotesMember2022-09-300000884614ugi:A3.25SeniorNotesdueNovember2025Memberugi:UGIInternati</w:t>
      </w:r>
      <w:r>
        <w:rPr>
          <w:rFonts w:eastAsia="Times New Roman"/>
          <w:vanish/>
        </w:rPr>
        <w:t>onalMemberus-gaap:SeniorNotesMember2021-09-300000884614ugi:A250SeniorNotesDueDecember2029Memberugi:UGIInternationalMemberus-gaap:SeniorNotesMember2022-09-300000884614ugi:A250SeniorNotesDueDecember2029Memberugi:UGIInternationalMemberus-gaap:SeniorNotesMembe</w:t>
      </w:r>
      <w:r>
        <w:rPr>
          <w:rFonts w:eastAsia="Times New Roman"/>
          <w:vanish/>
        </w:rPr>
        <w:t>r2021-09-300000884614ugi:UGIInternationalMemberugi:TermLoanMemberugi:VariableRateMember2022-09-300000884614ugi:UGIInternationalMemberugi:TermLoanMemberugi:VariableRateMember2021-09-300000884614ugi:OtherNotesMemberugi:OtherNotesMemberugi:UGIInternationalMem</w:t>
      </w:r>
      <w:r>
        <w:rPr>
          <w:rFonts w:eastAsia="Times New Roman"/>
          <w:vanish/>
        </w:rPr>
        <w:t>ber2022-09-300000884614ugi:OtherNotesMemberugi:OtherNotesMemberugi:UGIInternationalMember2021-09-300000884614ugi:UGIInternationalMember2022-09-300000884614ugi:UGIInternationalMember2021-09-300000884614ugi:MidstreamAndMarketingMemberugi:TermLoanMemberugi:Va</w:t>
      </w:r>
      <w:r>
        <w:rPr>
          <w:rFonts w:eastAsia="Times New Roman"/>
          <w:vanish/>
        </w:rPr>
        <w:t>riableRateMember2022-09-300000884614ugi:MidstreamAndMarketingMemberugi:TermLoanMemberugi:VariableRateMember2021-09-300000884614ugi:OtherNotesMemberugi:OtherNotesMemberugi:MidstreamAndMarketingMember2022-09-300000884614ugi:OtherNotesMemberugi:OtherNotesMemb</w:t>
      </w:r>
      <w:r>
        <w:rPr>
          <w:rFonts w:eastAsia="Times New Roman"/>
          <w:vanish/>
        </w:rPr>
        <w:t>erugi:MidstreamAndMarketingMember2021-09-300000884614ugi:MidstreamAndMarketingMember2022-09-300000884614ugi:MidstreamAndMarketingMember2021-09-300000884614ugi:SeniorNotesdueSeptember2046Memberugi:UGIUtilitiesIncMemberus-gaap:SeniorNotesMember2022-09-300000</w:t>
      </w:r>
      <w:r>
        <w:rPr>
          <w:rFonts w:eastAsia="Times New Roman"/>
          <w:vanish/>
        </w:rPr>
        <w:t>884614ugi:SeniorNotesdueSeptember2046Memberugi:UGIUtilitiesIncMemberus-gaap:SeniorNotesMember2021-09-300000884614ugi:FourPointNintyEightPercentSeniorNoteMemberugi:UGIUtilitiesIncMemberus-gaap:SeniorNotesMember2022-09-300000884614ugi:FourPointNintyEightPerc</w:t>
      </w:r>
      <w:r>
        <w:rPr>
          <w:rFonts w:eastAsia="Times New Roman"/>
          <w:vanish/>
        </w:rPr>
        <w:t>entSeniorNoteMemberugi:UGIUtilitiesIncMemberus-gaap:SeniorNotesMember2021-09-300000884614ugi:SeniorNotesDueSeptember2050Memberugi:UGIUtilitiesIncMemberus-gaap:SeniorNotesMember2022-09-300000884614ugi:SeniorNotesDueSeptember2050Memberugi:UGIUtilitiesIncMemb</w:t>
      </w:r>
      <w:r>
        <w:rPr>
          <w:rFonts w:eastAsia="Times New Roman"/>
          <w:vanish/>
        </w:rPr>
        <w:t>erus-gaap:SeniorNotesMember2021-09-300000884614ugi:UGIUtilitiesIncMemberus-gaap:SeniorNotesMemberugi:FourPointFiftyFivePercentSeniorNoteMember2022-09-300000884614ugi:UGIUtilitiesIncMemberus-gaap:SeniorNotesMemberugi:FourPointFiftyFivePercentSeniorNoteMembe</w:t>
      </w:r>
      <w:r>
        <w:rPr>
          <w:rFonts w:eastAsia="Times New Roman"/>
          <w:vanish/>
        </w:rPr>
        <w:t>r2021-09-300000884614ugi:UGIUtilitiesIncMemberus-gaap:SeniorNotesMemberugi:SeniorNotesdueOctober2046Member2022-09-300000884614ugi:UGIUtilitiesIncMemberus-gaap:SeniorNotesMemberugi:SeniorNotesdueOctober2046Member2021-09-300000884614ugi:UGIUtilitiesIncMember</w:t>
      </w:r>
      <w:r>
        <w:rPr>
          <w:rFonts w:eastAsia="Times New Roman"/>
          <w:vanish/>
        </w:rPr>
        <w:t>ugi:SeniorNotesDueSeptember2036Memberus-gaap:SeniorNotesMember2022-09-300000884614ugi:UGIUtilitiesIncMemberugi:SeniorNotesDueSeptember2036Memberus-gaap:SeniorNotesMember2021-09-300000884614ugi:UGIUtilitiesIncMemberus-gaap:SeniorNotesMemberugi:A295SeniorNot</w:t>
      </w:r>
      <w:r>
        <w:rPr>
          <w:rFonts w:eastAsia="Times New Roman"/>
          <w:vanish/>
        </w:rPr>
        <w:t>esDueJune2026Member2022-09-300000884614ugi:UGIUtilitiesIncMemberus-gaap:SeniorNotesMemberugi:A295SeniorNotesDueJune2026Member2021-09-300000884614ugi:UGIUtilitiesIncMemberus-gaap:SeniorNotesMemberugi:A159SeniorNotesDueJune2026Member2022-09-300000884614ugi:U</w:t>
      </w:r>
      <w:r>
        <w:rPr>
          <w:rFonts w:eastAsia="Times New Roman"/>
          <w:vanish/>
        </w:rPr>
        <w:t>GIUtilitiesIncMemberus-gaap:SeniorNotesMemberugi:A159SeniorNotesDueJune2026Member2021-09-300000884614ugi:UGIUtilitiesIncMemberugi:A164SeniorNotesDueSeptember2026Memberus-gaap:SeniorNotesMember2022-09-300000884614ugi:UGIUtilitiesIncMemberugi:A164SeniorNotes</w:t>
      </w:r>
      <w:r>
        <w:rPr>
          <w:rFonts w:eastAsia="Times New Roman"/>
          <w:vanish/>
        </w:rPr>
        <w:t>DueSeptember2026Memberus-gaap:SeniorNotesMember2021-09-300000884614ugi:UGIUtilitiesIncMemberus-gaap:SeniorNotesMemberugi:A475SeniorNotesDueJuly2032Member2022-09-300000884614ugi:UGIUtilitiesIncMemberus-gaap:SeniorNotesMemberugi:A475SeniorNotesDueJuly2032Mem</w:t>
      </w:r>
      <w:r>
        <w:rPr>
          <w:rFonts w:eastAsia="Times New Roman"/>
          <w:vanish/>
        </w:rPr>
        <w:t>ber2021-09-300000884614ugi:A499SeniorNotesDueSeptember2052Memberugi:UGIUtilitiesIncMemberus-gaap:SeniorNotesMember2022-09-300000884614ugi:A499SeniorNotesDueSeptember2052Memberugi:UGIUtilitiesIncMemberus-gaap:SeniorNotesMember2021-09-300000884614us-gaap:Med</w:t>
      </w:r>
      <w:r>
        <w:rPr>
          <w:rFonts w:eastAsia="Times New Roman"/>
          <w:vanish/>
        </w:rPr>
        <w:t>iumTermNotesMemberugi:UGIUtilitiesIncMemberugi:MediumTermNotesDueOctober2034Member2022-09-300000884614us-gaap:MediumTermNotesMemberugi:UGIUtilitiesIncMemberugi:MediumTermNotesDueOctober2034Member2021-09-300000884614us-gaap:MediumTermNotesMemberugi:UGIUtili</w:t>
      </w:r>
      <w:r>
        <w:rPr>
          <w:rFonts w:eastAsia="Times New Roman"/>
          <w:vanish/>
        </w:rPr>
        <w:t>tiesIncMemberugi:MediumTermNotesAugust2033Member2022-09-300000884614us-gaap:MediumTermNotesMemberugi:UGIUtilitiesIncMemberugi:MediumTermNotesAugust2033Member2021-09-300000884614ugi:UGIUtilitiesIncMemberugi:MountaineerSeniorNotesMember2022-09-300000884614ug</w:t>
      </w:r>
      <w:r>
        <w:rPr>
          <w:rFonts w:eastAsia="Times New Roman"/>
          <w:vanish/>
        </w:rPr>
        <w:t>i:UGIUtilitiesIncMemberugi:MountaineerSeniorNotesMember2021-09-300000884614ugi:UGIUtilitiesIncMemberugi:TermLoanMemberugi:VariableRateMember2022-09-300000884614ugi:UGIUtilitiesIncMemberugi:TermLoanMemberugi:VariableRateMember2021-09-300000884614ugi:OtherNo</w:t>
      </w:r>
      <w:r>
        <w:rPr>
          <w:rFonts w:eastAsia="Times New Roman"/>
          <w:vanish/>
        </w:rPr>
        <w:t>tesMemberugi:OtherNotesMemberugi:UGIUtilitiesIncMember2022-09-300000884614ugi:OtherNotesMemberugi:OtherNotesMemberugi:UGIUtilitiesIncMember2021-09-300000884614ugi:UGIUtilitiesIncMember2022-09-300000884614ugi:UGIUtilitiesIncMember2021-09-300000884614ugi:UGI</w:t>
      </w:r>
      <w:r>
        <w:rPr>
          <w:rFonts w:eastAsia="Times New Roman"/>
          <w:vanish/>
        </w:rPr>
        <w:t>CorporationMemberus-gaap:LineOfCreditMember2021-09-300000884614ugi:ThreeYearTermLoanMemberugi:TermLoanMemberugi:UGICorporationMember2022-09-300000884614ugi:ThreeYearTermLoanMemberugi:TermLoanMemberugi:UGICorporationMember2021-09-300000884614ugi:FiveYearTer</w:t>
      </w:r>
      <w:r>
        <w:rPr>
          <w:rFonts w:eastAsia="Times New Roman"/>
          <w:vanish/>
        </w:rPr>
        <w:t>mLoanMemberugi:TermLoanMemberugi:UGICorporationMember2022-09-300000884614ugi:FiveYearTermLoanMemberugi:TermLoanMemberugi:UGICorporationMember2021-09-300000884614ugi:TermLoanMemberugi:SevenYearTermLoanMemberugi:UGICorporationMember2022-09-300000884614ugi:Te</w:t>
      </w:r>
      <w:r>
        <w:rPr>
          <w:rFonts w:eastAsia="Times New Roman"/>
          <w:vanish/>
        </w:rPr>
        <w:t>rmLoanMemberugi:SevenYearTermLoanMemberugi:UGICorporationMember2021-09-300000884614ugi:OtherBusinessesMember2022-09-300000884614ugi:OtherBusinessesMember2021-09-300000884614ugi:MidstreamAndMarketingMemberugi:TermLoanMemberugi:VariableRateMember2021-10-0120</w:t>
      </w:r>
      <w:r>
        <w:rPr>
          <w:rFonts w:eastAsia="Times New Roman"/>
          <w:vanish/>
        </w:rPr>
        <w:t>22-09-300000884614us-gaap:SecuredDebtMemberugi:MountaineerSeniorNotesMember2022-09-300000884614us-gaap:SecuredDebtMemberugi:MountaineerSeniorNotesMember2021-09-300000884614srt:MinimumMemberus-gaap:SecuredDebtMemberugi:MountaineerSeniorNotesMember2022-09-30</w:t>
      </w:r>
      <w:r>
        <w:rPr>
          <w:rFonts w:eastAsia="Times New Roman"/>
          <w:vanish/>
        </w:rPr>
        <w:t>0000884614us-gaap:SecuredDebtMembersrt:MaximumMemberugi:MountaineerSeniorNotesMember2022-09-300000884614ugi:UGIUtilitiesIncMemberugi:TermLoanMemberugi:VariableRateMember2021-10-012022-09-300000884614ugi:FiveYearTermLoanMemberugi:TermLoanMemberugi:UGICorpor</w:t>
      </w:r>
      <w:r>
        <w:rPr>
          <w:rFonts w:eastAsia="Times New Roman"/>
          <w:vanish/>
        </w:rPr>
        <w:t>ationMember2021-10-012022-09-300000884614ugi:UGICorporationMemberus-gaap:SubsequentEventMember2022-10-012022-11-210000884614ugi:UGICorporationMember2020-10-012021-09-300000884614us-gaap:DomesticCountryMember2021-10-012022-09-300000884614us-gaap:DomesticCou</w:t>
      </w:r>
      <w:r>
        <w:rPr>
          <w:rFonts w:eastAsia="Times New Roman"/>
          <w:vanish/>
        </w:rPr>
        <w:t>ntryMember2020-10-012021-09-300000884614us-gaap:DomesticCountryMember2019-10-012020-09-300000884614us-gaap:ForeignCountryMember2021-10-012022-09-300000884614us-gaap:ForeignCountryMember2020-10-012021-09-300000884614us-gaap:ForeignCountryMember2019-10-01202</w:t>
      </w:r>
      <w:r>
        <w:rPr>
          <w:rFonts w:eastAsia="Times New Roman"/>
          <w:vanish/>
        </w:rPr>
        <w:t>0-09-300000884614us-gaap:StateAndLocalJurisdictionMember2021-10-012022-09-300000884614us-gaap:StateAndLocalJurisdictionMember2020-10-012021-09-300000884614us-gaap:StateAndLocalJurisdictionMember2019-10-012020-09-300000884614country:ITus-gaap:ForeignCountry</w:t>
      </w:r>
      <w:r>
        <w:rPr>
          <w:rFonts w:eastAsia="Times New Roman"/>
          <w:vanish/>
        </w:rPr>
        <w:t>Member2021-09-300000884614ugi:Fiscal2020CarrybackToFiscal2015Member2020-09-300000884614ugi:Fiscal2020CarrybackToFiscal2015Member2022-09-300000884614ugi:Fiscal2020CarrybackToFiscal2015Memberus-gaap:SubsequentEventMember2022-10-012022-11-210000884614ugi:Fisc</w:t>
      </w:r>
      <w:r>
        <w:rPr>
          <w:rFonts w:eastAsia="Times New Roman"/>
          <w:vanish/>
        </w:rPr>
        <w:t>al2020CarrybackToFiscal2015Member2021-09-300000884614us-gaap:ForeignCountryMemberugi:FlagaMember2022-09-300000884614us-gaap:ForeignCountryMemberugi:UGIFranceMember2022-09-300000884614us-gaap:ForeignCountryMembercountry:NL2022-09-300000884614us-gaap:StateAn</w:t>
      </w:r>
      <w:r>
        <w:rPr>
          <w:rFonts w:eastAsia="Times New Roman"/>
          <w:vanish/>
        </w:rPr>
        <w:t>dLocalJurisdictionMember2022-09-300000884614ugi:MountaintopEnergyHoldingLLCMemberus-gaap:DomesticCountryMember2022-09-300000884614ugi:OtherSubsidiariesMember2022-09-300000884614ugi:NotionalInterestDeductionCarryoverMember2021-10-012022-09-300000884614ugi:S</w:t>
      </w:r>
      <w:r>
        <w:rPr>
          <w:rFonts w:eastAsia="Times New Roman"/>
          <w:vanish/>
        </w:rPr>
        <w:t>tateTaxRateChangesMember2021-10-012022-09-300000884614ugi:FutureUtilizationOfForeignTaxCreditsMember2021-10-012022-09-300000884614ugi:ForeignNetOperatingLossCarryForwardsMember2021-10-012022-09-300000884614ugi:FutureCapitalLossesOnPennEastAndHudsonInvestme</w:t>
      </w:r>
      <w:r>
        <w:rPr>
          <w:rFonts w:eastAsia="Times New Roman"/>
          <w:vanish/>
        </w:rPr>
        <w:t>ntsMember2020-10-012021-09-300000884614ugi:NotionalInterestDeductionCarryoverMember2020-10-012021-09-300000884614ugi:FutureUtilizationOfForeignTaxCreditsMember2020-10-012021-09-300000884614us-gaap:PensionPlansDefinedBenefitMember2021-09-300000884614us-gaap</w:t>
      </w:r>
      <w:r>
        <w:rPr>
          <w:rFonts w:eastAsia="Times New Roman"/>
          <w:vanish/>
        </w:rPr>
        <w:t>:PensionPlansDefinedBenefitMember2020-09-300000884614us-gaap:PensionPlansDefinedBenefitMember2021-10-012022-09-300000884614us-gaap:PensionPlansDefinedBenefitMember2020-10-012021-09-300000884614us-gaap:PensionPlansDefinedBenefitMember2022-09-300000884614us-</w:t>
      </w:r>
      <w:r>
        <w:rPr>
          <w:rFonts w:eastAsia="Times New Roman"/>
          <w:vanish/>
        </w:rPr>
        <w:t>gaap:PensionPlansDefinedBenefitMember2019-10-012020-09-300000884614country:USus-gaap:PensionPlansDefinedBenefitMember2021-10-012022-09-300000884614country:USus-gaap:PensionPlansDefinedBenefitMember2020-10-012021-09-300000884614country:USus-gaap:PensionPlan</w:t>
      </w:r>
      <w:r>
        <w:rPr>
          <w:rFonts w:eastAsia="Times New Roman"/>
          <w:vanish/>
        </w:rPr>
        <w:t>sDefinedBenefitMember2019-10-012020-09-300000884614us-gaap:SupplementalEmployeeRetirementPlanDefinedBenefitMember2022-09-300000884614us-gaap:SupplementalEmployeeRetirementPlanDefinedBenefitMember2021-09-300000884614us-gaap:SupplementalEmployeeRetirementPla</w:t>
      </w:r>
      <w:r>
        <w:rPr>
          <w:rFonts w:eastAsia="Times New Roman"/>
          <w:vanish/>
        </w:rPr>
        <w:t>nDefinedBenefitMember2020-10-012021-09-300000884614us-gaap:SupplementalEmployeeRetirementPlanDefinedBenefitMember2021-10-012022-09-300000884614us-gaap:SupplementalEmployeeRetirementPlanDefinedBenefitMember2019-10-012020-09-300000884614country:USus-gaap:Pen</w:t>
      </w:r>
      <w:r>
        <w:rPr>
          <w:rFonts w:eastAsia="Times New Roman"/>
          <w:vanish/>
        </w:rPr>
        <w:t>sionPlansDefinedBenefitMemberus-gaap:DefinedBenefitPlanEquitySecuritiesUsMember2022-09-300000884614country:USus-gaap:PensionPlansDefinedBenefitMemberus-gaap:DefinedBenefitPlanEquitySecuritiesUsMember2021-09-300000884614country:USus-gaap:PensionPlansDefined</w:t>
      </w:r>
      <w:r>
        <w:rPr>
          <w:rFonts w:eastAsia="Times New Roman"/>
          <w:vanish/>
        </w:rPr>
        <w:t>BenefitMemberus-gaap:DefinedBenefitPlanEquitySecuritiesNonUsMember2022-09-300000884614country:USus-gaap:PensionPlansDefinedBenefitMemberus-gaap:DefinedBenefitPlanEquitySecuritiesNonUsMember2021-09-300000884614country:USus-gaap:PensionPlansDefinedBenefitMem</w:t>
      </w:r>
      <w:r>
        <w:rPr>
          <w:rFonts w:eastAsia="Times New Roman"/>
          <w:vanish/>
        </w:rPr>
        <w:t>berugi:DefinedBenefitPlanEquitySecuritiesUSNonUSMember2022-09-300000884614country:USus-gaap:PensionPlansDefinedBenefitMemberugi:DefinedBenefitPlanEquitySecuritiesUSNonUSMember2021-09-300000884614country:USus-gaap:PensionPlansDefinedBenefitMemberus-gaap:Equ</w:t>
      </w:r>
      <w:r>
        <w:rPr>
          <w:rFonts w:eastAsia="Times New Roman"/>
          <w:vanish/>
        </w:rPr>
        <w:t>itySecuritiesMember2022-09-300000884614country:USus-gaap:PensionPlansDefinedBenefitMemberus-gaap:EquitySecuritiesMember2021-09-300000884614country:USus-gaap:PensionPlansDefinedBenefitMemberugi:FixedIncomeFundsAndCashEquivalentsMember2022-09-300000884614cou</w:t>
      </w:r>
      <w:r>
        <w:rPr>
          <w:rFonts w:eastAsia="Times New Roman"/>
          <w:vanish/>
        </w:rPr>
        <w:t>ntry:USus-gaap:PensionPlansDefinedBenefitMemberugi:FixedIncomeFundsAndCashEquivalentsMember2021-09-300000884614country:USus-gaap:PensionPlansDefinedBenefitMemberugi:AlternativeInvestmentsMember2022-09-300000884614country:USus-gaap:PensionPlansDefinedBenefi</w:t>
      </w:r>
      <w:r>
        <w:rPr>
          <w:rFonts w:eastAsia="Times New Roman"/>
          <w:vanish/>
        </w:rPr>
        <w:t>tMemberugi:AlternativeInvestmentsMember2021-09-300000884614country:USus-gaap:PensionPlansDefinedBenefitMember2022-09-300000884614country:USus-gaap:PensionPlansDefinedBenefitMember2021-09-300000884614country:USus-gaap:DefinedBenefitPlanEquitySecuritiesCommo</w:t>
      </w:r>
      <w:r>
        <w:rPr>
          <w:rFonts w:eastAsia="Times New Roman"/>
          <w:vanish/>
        </w:rPr>
        <w:t>nStockMemberus-gaap:PensionPlansDefinedBenefitMember2022-09-300000884614country:USus-gaap:DefinedBenefitPlanEquitySecuritiesCommonStockMemberus-gaap:PensionPlansDefinedBenefitMember2021-09-300000884614ugi:DefinedBenefitUSEquityIndexInvestmentMembercountry:</w:t>
      </w:r>
      <w:r>
        <w:rPr>
          <w:rFonts w:eastAsia="Times New Roman"/>
          <w:vanish/>
        </w:rPr>
        <w:t>USus-gaap:PensionPlansDefinedBenefitMember2022-09-300000884614ugi:DefinedBenefitUSEquityIndexInvestmentMembercountry:USus-gaap:PensionPlansDefinedBenefitMember2021-09-300000884614country:USugi:DefinedBenefitPlanNonUsEquityIndexInvestmentsMemberus-gaap:Pens</w:t>
      </w:r>
      <w:r>
        <w:rPr>
          <w:rFonts w:eastAsia="Times New Roman"/>
          <w:vanish/>
        </w:rPr>
        <w:t>ionPlansDefinedBenefitMember2022-09-300000884614country:USugi:DefinedBenefitPlanNonUsEquityIndexInvestmentsMemberus-gaap:PensionPlansDefinedBenefitMember2021-09-300000884614country:USugi:BondIndexMutualFundsMemberus-gaap:PensionPlansDefinedBenefitMember202</w:t>
      </w:r>
      <w:r>
        <w:rPr>
          <w:rFonts w:eastAsia="Times New Roman"/>
          <w:vanish/>
        </w:rPr>
        <w:t>2-09-300000884614country:USugi:BondIndexMutualFundsMemberus-gaap:PensionPlansDefinedBenefitMember2021-09-300000884614country:USus-gaap:PensionPlansDefinedBenefitMemberus-gaap:DefinedBenefitPlanCashAndCashEquivalentsMember2022-09-300000884614country:USus-ga</w:t>
      </w:r>
      <w:r>
        <w:rPr>
          <w:rFonts w:eastAsia="Times New Roman"/>
          <w:vanish/>
        </w:rPr>
        <w:t>ap:PensionPlansDefinedBenefitMemberus-gaap:DefinedBenefitPlanCashAndCashEquivalentsMember2021-09-300000884614country:USus-gaap:PensionPlansDefinedBenefitMemberus-gaap:DefinedBenefitPlanCommonCollectiveTrustMember2022-09-300000884614country:USus-gaap:Pensio</w:t>
      </w:r>
      <w:r>
        <w:rPr>
          <w:rFonts w:eastAsia="Times New Roman"/>
          <w:vanish/>
        </w:rPr>
        <w:t>nPlansDefinedBenefitMemberus-gaap:DefinedBenefitPlanCommonCollectiveTrustMember2021-09-300000884614us-gaap:OtherPensionPlansPostretirementOrSupplementalPlansDefinedBenefitMember2021-10-012022-09-300000884614us-gaap:OtherPensionPlansPostretirementOrSuppleme</w:t>
      </w:r>
      <w:r>
        <w:rPr>
          <w:rFonts w:eastAsia="Times New Roman"/>
          <w:vanish/>
        </w:rPr>
        <w:t>ntalPlansDefinedBenefitMember2020-10-012021-09-300000884614us-gaap:OtherPensionPlansPostretirementOrSupplementalPlansDefinedBenefitMember2019-10-012020-09-300000884614us-gaap:OtherPensionPlansPostretirementOrSupplementalPlansDefinedBenefitMember2022-09-300</w:t>
      </w:r>
      <w:r>
        <w:rPr>
          <w:rFonts w:eastAsia="Times New Roman"/>
          <w:vanish/>
        </w:rPr>
        <w:t>000884614us-gaap:OtherPensionPlansPostretirementOrSupplementalPlansDefinedBenefitMember2021-09-300000884614ugi:IncomeTaxesRecoverableMemberugi:UGIUtilitiesIncMember2022-09-300000884614ugi:IncomeTaxesRecoverableMemberugi:UGIUtilitiesIncMember2021-09-3000008</w:t>
      </w:r>
      <w:r>
        <w:rPr>
          <w:rFonts w:eastAsia="Times New Roman"/>
          <w:vanish/>
        </w:rPr>
        <w:t>84614ugi:UGIUtilitiesIncMemberus-gaap:PensionCostsMember2022-09-300000884614ugi:UGIUtilitiesIncMemberus-gaap:PensionCostsMember2021-09-300000884614us-gaap:EnvironmentalRestorationCostsMemberugi:UGIUtilitiesIncMember2022-09-300000884614us-gaap:Environmental</w:t>
      </w:r>
      <w:r>
        <w:rPr>
          <w:rFonts w:eastAsia="Times New Roman"/>
          <w:vanish/>
        </w:rPr>
        <w:t>RestorationCostsMemberugi:UGIUtilitiesIncMember2021-09-300000884614ugi:UGIUtilitiesIncMemberus-gaap:DeferredFuelCostsMember2022-09-300000884614ugi:UGIUtilitiesIncMemberus-gaap:DeferredFuelCostsMember2021-09-300000884614ugi:UGIUtilitiesIncMemberugi:RemovalC</w:t>
      </w:r>
      <w:r>
        <w:rPr>
          <w:rFonts w:eastAsia="Times New Roman"/>
          <w:vanish/>
        </w:rPr>
        <w:t>ostsNetMember2022-09-300000884614ugi:UGIUtilitiesIncMemberugi:RemovalCostsNetMember2021-09-300000884614ugi:UGIUtilitiesIncMemberugi:OtherRegulatoryAssetsMember2022-09-300000884614ugi:UGIUtilitiesIncMemberugi:OtherRegulatoryAssetsMember2021-09-300000884614u</w:t>
      </w:r>
      <w:r>
        <w:rPr>
          <w:rFonts w:eastAsia="Times New Roman"/>
          <w:vanish/>
        </w:rPr>
        <w:t>gi:UGIUtilitiesIncMemberus-gaap:PostretirementBenefitCostsMember2022-09-300000884614ugi:UGIUtilitiesIncMemberus-gaap:PostretirementBenefitCostsMember2021-09-300000884614ugi:DeferredFuelAndPowerRefundsMemberugi:UGIUtilitiesIncMember2022-09-300000884614ugi:D</w:t>
      </w:r>
      <w:r>
        <w:rPr>
          <w:rFonts w:eastAsia="Times New Roman"/>
          <w:vanish/>
        </w:rPr>
        <w:t>eferredFuelAndPowerRefundsMemberugi:UGIUtilitiesIncMember2021-09-300000884614ugi:UGIUtilitiesIncMemberus-gaap:DeferredIncomeTaxChargesMember2022-09-300000884614ugi:UGIUtilitiesIncMemberus-gaap:DeferredIncomeTaxChargesMember2021-09-300000884614ugi:UGIUtilit</w:t>
      </w:r>
      <w:r>
        <w:rPr>
          <w:rFonts w:eastAsia="Times New Roman"/>
          <w:vanish/>
        </w:rPr>
        <w:t>iesIncMemberugi:ExcessFederalDeferredIncomeTaxesMember2022-09-300000884614ugi:UGIUtilitiesIncMemberugi:ExcessFederalDeferredIncomeTaxesMember2021-09-300000884614us-gaap:OtherLiabilitiesMemberugi:UGIUtilitiesIncMember2022-09-300000884614us-gaap:OtherLiabili</w:t>
      </w:r>
      <w:r>
        <w:rPr>
          <w:rFonts w:eastAsia="Times New Roman"/>
          <w:vanish/>
        </w:rPr>
        <w:t>tiesMemberugi:UGIUtilitiesIncMember2021-09-300000884614srt:MinimumMember2021-10-012022-09-300000884614srt:MaximumMember2021-10-012022-09-300000884614srt:MaximumMemberus-gaap:RemovalCostsMember2021-10-012022-09-300000884614us-gaap:PostretirementBenefitCosts</w:t>
      </w:r>
      <w:r>
        <w:rPr>
          <w:rFonts w:eastAsia="Times New Roman"/>
          <w:vanish/>
        </w:rPr>
        <w:t>Member2016-10-192016-10-1900008846142018-10-272018-10-270000884614ugi:GasUtilityMember2022-09-300000884614ugi:GasUtilityMember2021-09-300000884614ugi:PennsylvaniaPublicUtilityCommissionMemberugi:GasUtilityMember2022-01-282022-01-280000884614ugi:Pennsylvani</w:t>
      </w:r>
      <w:r>
        <w:rPr>
          <w:rFonts w:eastAsia="Times New Roman"/>
          <w:vanish/>
        </w:rPr>
        <w:t>aPublicUtilityCommissionMemberugi:JointPetitionForApprovalOfSettlementMemberugi:GasUtilityMember2022-09-152022-09-150000884614ugi:JointPetitionForApprovalOfSettlementPhaseIMemberugi:PennsylvaniaPublicUtilityCommissionMembersrt:ScenarioForecastMemberugi:Gas</w:t>
      </w:r>
      <w:r>
        <w:rPr>
          <w:rFonts w:eastAsia="Times New Roman"/>
          <w:vanish/>
        </w:rPr>
        <w:t>UtilityMember2022-10-292022-10-290000884614ugi:JointPetitionForApprovalOfSettlementPhaseIIMemberugi:PennsylvaniaPublicUtilityCommissionMembersrt:ScenarioForecastMemberugi:GasUtilityMember2023-10-012023-10-010000884614ugi:PennsylvaniaPublicUtilityCommission</w:t>
      </w:r>
      <w:r>
        <w:rPr>
          <w:rFonts w:eastAsia="Times New Roman"/>
          <w:vanish/>
        </w:rPr>
        <w:t>Memberugi:JointPetitionForApprovalOfSettlementMemberugi:GasUtilityMember2022-01-282022-01-280000884614ugi:PennsylvaniaPublicUtilityCommissionMemberugi:JointPetitionForApprovalOfSettlementMemberugi:GasUtilityMember2022-09-150000884614ugi:PennsylvaniaPublicU</w:t>
      </w:r>
      <w:r>
        <w:rPr>
          <w:rFonts w:eastAsia="Times New Roman"/>
          <w:vanish/>
        </w:rPr>
        <w:t>tilityCommissionMemberugi:UGIGasMember2021-02-082021-02-080000884614ugi:PennsylvaniaPublicUtilityCommissionMemberugi:UGIGasMember2021-11-092021-11-090000884614ugi:PennsylvaniaPublicUtilityCommissionMemberugi:UGIGasMember2020-01-282020-01-280000884614ugi:Pe</w:t>
      </w:r>
      <w:r>
        <w:rPr>
          <w:rFonts w:eastAsia="Times New Roman"/>
          <w:vanish/>
        </w:rPr>
        <w:t>nnsylvaniaPublicUtilityCommissionMemberugi:UGIGasMember2020-10-082020-10-080000884614ugi:PennsylvaniaPublicUtilityCommissionMemberugi:UGIGasMemberugi:PublicUtilityRequestedRateIncreaseTermOneMember2020-10-082020-10-080000884614ugi:PublicUtilityRequestedRat</w:t>
      </w:r>
      <w:r>
        <w:rPr>
          <w:rFonts w:eastAsia="Times New Roman"/>
          <w:vanish/>
        </w:rPr>
        <w:t>eIncreaseTermTwoMemberugi:PennsylvaniaPublicUtilityCommissionMemberugi:UGIGasMember2020-10-082020-10-080000884614ugi:PennsylvaniaPublicUtilityCommissionMemberugi:UGIGasMember2020-10-080000884614ugi:NonUtilityLpgAndNaturalGasMember2022-09-300000884614ugi:No</w:t>
      </w:r>
      <w:r>
        <w:rPr>
          <w:rFonts w:eastAsia="Times New Roman"/>
          <w:vanish/>
        </w:rPr>
        <w:t>nUtilityLpgAndNaturalGasMember2021-09-300000884614ugi:GasUtilityNaturalGasMember2022-09-300000884614ugi:GasUtilityNaturalGasMember2021-09-300000884614ugi:EnergyCertificatesMember2022-09-300000884614ugi:EnergyCertificatesMember2021-09-300000884614ugi:Materi</w:t>
      </w:r>
      <w:r>
        <w:rPr>
          <w:rFonts w:eastAsia="Times New Roman"/>
          <w:vanish/>
        </w:rPr>
        <w:t>alsSuppliesAndOtherMember2022-09-300000884614ugi:MaterialsSuppliesAndOtherMember2021-09-300000884614ugi:DistributionMember2022-09-300000884614ugi:DistributionMember2021-09-300000884614ugi:TransmissionMember2022-09-300000884614ugi:TransmissionMember2021-09-</w:t>
      </w:r>
      <w:r>
        <w:rPr>
          <w:rFonts w:eastAsia="Times New Roman"/>
          <w:vanish/>
        </w:rPr>
        <w:t>300000884614ugi:GeneralandOtherPropertyPlantandEquipmentMember2022-09-300000884614ugi:GeneralandOtherPropertyPlantandEquipmentMember2021-09-300000884614us-gaap:ConstructionInProgressMember2022-09-300000884614us-gaap:ConstructionInProgressMember2021-09-3000</w:t>
      </w:r>
      <w:r>
        <w:rPr>
          <w:rFonts w:eastAsia="Times New Roman"/>
          <w:vanish/>
        </w:rPr>
        <w:t>00884614us-gaap:LandMember2022-09-300000884614us-gaap:LandMember2021-09-300000884614us-gaap:BuildingImprovementsMember2022-09-300000884614us-gaap:BuildingImprovementsMember2021-09-300000884614srt:MinimumMemberus-gaap:BuildingImprovementsMember2021-10-01202</w:t>
      </w:r>
      <w:r>
        <w:rPr>
          <w:rFonts w:eastAsia="Times New Roman"/>
          <w:vanish/>
        </w:rPr>
        <w:t>2-09-300000884614srt:MaximumMemberus-gaap:BuildingImprovementsMember2021-10-012022-09-300000884614us-gaap:TransportationEquipmentMember2022-09-300000884614us-gaap:TransportationEquipmentMember2021-09-300000884614srt:MinimumMemberus-gaap:TransportationEquip</w:t>
      </w:r>
      <w:r>
        <w:rPr>
          <w:rFonts w:eastAsia="Times New Roman"/>
          <w:vanish/>
        </w:rPr>
        <w:t>mentMember2021-10-012022-09-300000884614us-gaap:TransportationEquipmentMembersrt:MaximumMember2021-10-012022-09-300000884614ugi:EquipmentPrimarilyCylindersAndTanksMember2022-09-300000884614ugi:EquipmentPrimarilyCylindersAndTanksMember2021-09-300000884614sr</w:t>
      </w:r>
      <w:r>
        <w:rPr>
          <w:rFonts w:eastAsia="Times New Roman"/>
          <w:vanish/>
        </w:rPr>
        <w:t>t:MinimumMemberugi:EquipmentPrimarilyCylindersAndTanksMember2021-10-012022-09-300000884614srt:MaximumMemberugi:EquipmentPrimarilyCylindersAndTanksMember2021-10-012022-09-300000884614us-gaap:ElectricGenerationEquipmentMember2022-09-300000884614us-gaap:Elect</w:t>
      </w:r>
      <w:r>
        <w:rPr>
          <w:rFonts w:eastAsia="Times New Roman"/>
          <w:vanish/>
        </w:rPr>
        <w:t>ricGenerationEquipmentMember2021-09-300000884614srt:MinimumMemberus-gaap:ElectricGenerationEquipmentMember2021-10-012022-09-300000884614srt:MaximumMemberus-gaap:ElectricGenerationEquipmentMember2021-10-012022-09-300000884614us-gaap:PipelinesMember2022-09-3</w:t>
      </w:r>
      <w:r>
        <w:rPr>
          <w:rFonts w:eastAsia="Times New Roman"/>
          <w:vanish/>
        </w:rPr>
        <w:t>00000884614us-gaap:PipelinesMember2021-09-300000884614srt:MinimumMemberus-gaap:PipelinesMember2021-10-012022-09-300000884614srt:MaximumMemberus-gaap:PipelinesMember2021-10-012022-09-300000884614us-gaap:OtherCapitalizedPropertyPlantAndEquipmentMember2022-09</w:t>
      </w:r>
      <w:r>
        <w:rPr>
          <w:rFonts w:eastAsia="Times New Roman"/>
          <w:vanish/>
        </w:rPr>
        <w:t>-300000884614us-gaap:OtherCapitalizedPropertyPlantAndEquipmentMember2021-09-300000884614srt:MinimumMemberus-gaap:OtherCapitalizedPropertyPlantAndEquipmentMember2021-10-012022-09-300000884614srt:MaximumMemberus-gaap:OtherCapitalizedPropertyPlantAndEquipment</w:t>
      </w:r>
      <w:r>
        <w:rPr>
          <w:rFonts w:eastAsia="Times New Roman"/>
          <w:vanish/>
        </w:rPr>
        <w:t>Member2021-10-012022-09-300000884614ugi:GasUtilityMember2021-10-012022-09-300000884614ugi:GasUtilityMember2020-10-012021-09-300000884614ugi:GasUtilityMember2019-10-012020-09-300000884614ugi:ElectricUtilityMember2021-10-012022-09-300000884614ugi:ElectricUti</w:t>
      </w:r>
      <w:r>
        <w:rPr>
          <w:rFonts w:eastAsia="Times New Roman"/>
          <w:vanish/>
        </w:rPr>
        <w:t>lityMember2020-10-012021-09-300000884614ugi:ElectricUtilityMember2019-10-012020-09-300000884614ugi:AmerigasPropaneMember2020-09-300000884614ugi:UGIInternationalMember2020-09-300000884614ugi:MidstreamAndMarketingMember2020-09-300000884614ugi:GasUtilityMembe</w:t>
      </w:r>
      <w:r>
        <w:rPr>
          <w:rFonts w:eastAsia="Times New Roman"/>
          <w:vanish/>
        </w:rPr>
        <w:t>r2020-09-300000884614ugi:AmerigasPropaneMember2020-10-012021-09-300000884614ugi:UGIInternationalMember2020-10-012021-09-300000884614ugi:MidstreamAndMarketingMember2020-10-012021-09-300000884614ugi:AmerigasPropaneMember2021-09-300000884614ugi:UGIInternation</w:t>
      </w:r>
      <w:r>
        <w:rPr>
          <w:rFonts w:eastAsia="Times New Roman"/>
          <w:vanish/>
        </w:rPr>
        <w:t>alMember2021-09-300000884614ugi:MidstreamAndMarketingMember2021-09-300000884614ugi:GasUtilityMember2021-09-300000884614ugi:AmerigasPropaneMember2021-10-012022-09-300000884614ugi:UGIInternationalMember2021-10-012022-09-300000884614ugi:MidstreamAndMarketingM</w:t>
      </w:r>
      <w:r>
        <w:rPr>
          <w:rFonts w:eastAsia="Times New Roman"/>
          <w:vanish/>
        </w:rPr>
        <w:t>ember2021-10-012022-09-300000884614ugi:AmerigasPropaneMember2022-09-300000884614ugi:UGIInternationalMember2022-09-300000884614ugi:GasUtilityMember2022-09-300000884614us-gaap:CommonStockMember2022-02-020000884614us-gaap:CommonStockMember2022-02-022022-02-02</w:t>
      </w:r>
      <w:r>
        <w:rPr>
          <w:rFonts w:eastAsia="Times New Roman"/>
          <w:vanish/>
        </w:rPr>
        <w:t>0000884614us-gaap:CommonStockMember2019-10-012020-09-300000884614us-gaap:CommonStockMember2020-10-012021-09-300000884614us-gaap:CommonStockMember2019-09-300000884614us-gaap:TreasuryStockCommonMemberus-gaap:CommonStockMember2019-09-300000884614us-gaap:Treas</w:t>
      </w:r>
      <w:r>
        <w:rPr>
          <w:rFonts w:eastAsia="Times New Roman"/>
          <w:vanish/>
        </w:rPr>
        <w:t>uryStockCommonMemberus-gaap:CommonStockMember2019-10-012020-09-300000884614us-gaap:PreferredStockMember2020-09-300000884614us-gaap:CommonStockMember2020-09-300000884614us-gaap:TreasuryStockCommonMemberus-gaap:CommonStockMember2020-09-300000884614us-gaap:Pr</w:t>
      </w:r>
      <w:r>
        <w:rPr>
          <w:rFonts w:eastAsia="Times New Roman"/>
          <w:vanish/>
        </w:rPr>
        <w:t>eferredStockMember2020-10-012021-09-300000884614us-gaap:TreasuryStockCommonMemberus-gaap:CommonStockMember2020-10-012021-09-300000884614us-gaap:PreferredStockMember2021-09-300000884614us-gaap:CommonStockMember2021-09-300000884614us-gaap:TreasuryStockCommon</w:t>
      </w:r>
      <w:r>
        <w:rPr>
          <w:rFonts w:eastAsia="Times New Roman"/>
          <w:vanish/>
        </w:rPr>
        <w:t>Memberus-gaap:CommonStockMember2021-09-300000884614us-gaap:TreasuryStockCommonMemberus-gaap:CommonStockMember2021-10-012022-09-300000884614us-gaap:PreferredStockMember2022-09-300000884614us-gaap:CommonStockMember2022-09-300000884614us-gaap:TreasuryStockCom</w:t>
      </w:r>
      <w:r>
        <w:rPr>
          <w:rFonts w:eastAsia="Times New Roman"/>
          <w:vanish/>
        </w:rPr>
        <w:t>monMemberus-gaap:CommonStockMember2022-09-300000884614us-gaap:CapitalUnitsMemberus-gaap:PreferredStockMember2021-05-252021-05-250000884614us-gaap:CapitalUnitsMemberus-gaap:PreferredStockMember2021-05-250000884614us-gaap:PreferredStockMemberus-gaap:Converti</w:t>
      </w:r>
      <w:r>
        <w:rPr>
          <w:rFonts w:eastAsia="Times New Roman"/>
          <w:vanish/>
        </w:rPr>
        <w:t>blePreferredStockMember2021-05-252021-05-250000884614us-gaap:ConvertiblePreferredStockMember2021-05-252021-05-2500008846142021-05-250000884614us-gaap:ConvertiblePreferredStockMember2021-05-250000884614us-gaap:SeriesBPreferredStockMember2022-09-300000884614</w:t>
      </w:r>
      <w:r>
        <w:rPr>
          <w:rFonts w:eastAsia="Times New Roman"/>
          <w:vanish/>
        </w:rPr>
        <w:t>us-gaap:SeriesBPreferredStockMember2021-09-300000884614srt:ScenarioForecastMemberugi:A2024PurchaseContractsMember2024-06-012024-06-010000884614ugi:A2024PurchaseContractsMember2021-05-252021-05-250000884614ugi:A2024PurchaseContractsMember2021-05-25000088461</w:t>
      </w:r>
      <w:r>
        <w:rPr>
          <w:rFonts w:eastAsia="Times New Roman"/>
          <w:vanish/>
        </w:rPr>
        <w:t>42021-05-170000884614us-gaap:CommonStockMemberugi:A2021IAPMember2021-01-290000884614us-gaap:CommonStockMemberugi:A2021IAPMember2021-01-292021-01-290000884614us-gaap:CommonStockMemberugi:A2021IAPMember2022-09-300000884614us-gaap:EmployeeStockOptionMember202</w:t>
      </w:r>
      <w:r>
        <w:rPr>
          <w:rFonts w:eastAsia="Times New Roman"/>
          <w:vanish/>
        </w:rPr>
        <w:t>2-09-300000884614us-gaap:EmployeeStockOptionMember2021-10-012022-09-300000884614ugi:UgiPerformanceUnitMember2021-10-012022-09-300000884614srt:MinimumMemberugi:UgiPerformanceUnitMember2021-10-012022-09-300000884614ugi:UgiPerformanceUnitMembersrt:MaximumMemb</w:t>
      </w:r>
      <w:r>
        <w:rPr>
          <w:rFonts w:eastAsia="Times New Roman"/>
          <w:vanish/>
        </w:rPr>
        <w:t>er2021-10-012022-09-300000884614ugi:UgiPerformanceUnitMember2020-10-012021-09-300000884614ugi:UgiPerformanceUnitMember2019-10-012020-09-300000884614ugi:UgiPerformanceUnitsAndStockUnitsMember2022-09-300000884614ugi:UgiPerformanceUnitsAndStockUnitsMember2021</w:t>
      </w:r>
      <w:r>
        <w:rPr>
          <w:rFonts w:eastAsia="Times New Roman"/>
          <w:vanish/>
        </w:rPr>
        <w:t>-10-012022-09-300000884614srt:MinimumMemberus-gaap:VehiclesMember2022-09-300000884614us-gaap:VehiclesMembersrt:MaximumMember2022-09-300000884614ugi:SegmentConcentrationRiskMemberugi:AmerigasPropaneMemberugi:LeaseLiabilityTotalMember2021-10-012022-09-300000</w:t>
      </w:r>
      <w:r>
        <w:rPr>
          <w:rFonts w:eastAsia="Times New Roman"/>
          <w:vanish/>
        </w:rPr>
        <w:t>884614ugi:UGIUtilitiesIncMemberugi:PNGandCPGMember2022-09-30ugi:subsidiary0000884614ugi:CPGCOA.PNGCOAandUGIGasCOAMember2022-09-300000884614ugi:CPGCOA.PNGCOAandUGIGasCOAMember2021-09-300000884614ugi:NewYorkStateDepartmentofEnvironmentConservationRemediation</w:t>
      </w:r>
      <w:r>
        <w:rPr>
          <w:rFonts w:eastAsia="Times New Roman"/>
          <w:vanish/>
        </w:rPr>
        <w:t>PlanMemberugi:AmeriGasOLPMemberugi:SaranacLakeNewYorkMember2017-01-012017-12-31ugi:record_of_decision0000884614ugi:NewYorkStateDepartmentofEnvironmentConservationRemediationPlanMemberugi:AmeriGasOLPMemberugi:SaranacLakeNewYorkMember2017-09-300000884614ugi:</w:t>
      </w:r>
      <w:r>
        <w:rPr>
          <w:rFonts w:eastAsia="Times New Roman"/>
          <w:vanish/>
        </w:rPr>
        <w:t>NewYorkStateDepartmentofEnvironmentConservationRemediationPlanMemberugi:AmeriGasOLPMemberugi:SaranacLakeNewYorkMember2021-09-300000884614ugi:NewYorkStateDepartmentofEnvironmentConservationRemediationPlanMemberugi:AmeriGasOLPMemberugi:SaranacLakeNewYorkMemb</w:t>
      </w:r>
      <w:r>
        <w:rPr>
          <w:rFonts w:eastAsia="Times New Roman"/>
          <w:vanish/>
        </w:rPr>
        <w:t>er2020-09-300000884614us-gaap:FairValueInputsLevel1Memberus-gaap:CommodityContractMember2022-09-300000884614us-gaap:FairValueInputsLevel2Memberus-gaap:CommodityContractMember2022-09-300000884614us-gaap:FairValueInputsLevel3Memberus-gaap:CommodityContractMe</w:t>
      </w:r>
      <w:r>
        <w:rPr>
          <w:rFonts w:eastAsia="Times New Roman"/>
          <w:vanish/>
        </w:rPr>
        <w:t>mber2022-09-300000884614us-gaap:CommodityContractMember2022-09-300000884614us-gaap:FairValueInputsLevel1Memberus-gaap:ForeignExchangeContractMember2022-09-300000884614us-gaap:ForeignExchangeContractMemberus-gaap:FairValueInputsLevel2Member2022-09-300000884</w:t>
      </w:r>
      <w:r>
        <w:rPr>
          <w:rFonts w:eastAsia="Times New Roman"/>
          <w:vanish/>
        </w:rPr>
        <w:t>614us-gaap:ForeignExchangeContractMemberus-gaap:FairValueInputsLevel3Member2022-09-300000884614us-gaap:ForeignExchangeContractMember2022-09-300000884614us-gaap:FairValueInputsLevel1Memberus-gaap:InterestRateContractMember2022-09-300000884614us-gaap:FairVal</w:t>
      </w:r>
      <w:r>
        <w:rPr>
          <w:rFonts w:eastAsia="Times New Roman"/>
          <w:vanish/>
        </w:rPr>
        <w:t>ueInputsLevel2Memberus-gaap:InterestRateContractMember2022-09-300000884614us-gaap:InterestRateContractMemberus-gaap:FairValueInputsLevel3Member2022-09-300000884614us-gaap:InterestRateContractMember2022-09-300000884614us-gaap:FairValueInputsLevel1Member2022</w:t>
      </w:r>
      <w:r>
        <w:rPr>
          <w:rFonts w:eastAsia="Times New Roman"/>
          <w:vanish/>
        </w:rPr>
        <w:t>-09-300000884614us-gaap:FairValueInputsLevel2Member2022-09-300000884614us-gaap:FairValueInputsLevel3Member2022-09-300000884614us-gaap:FairValueInputsLevel1Memberus-gaap:CommodityContractMember2021-09-300000884614us-gaap:FairValueInputsLevel2Memberus-gaap:C</w:t>
      </w:r>
      <w:r>
        <w:rPr>
          <w:rFonts w:eastAsia="Times New Roman"/>
          <w:vanish/>
        </w:rPr>
        <w:t>ommodityContractMember2021-09-300000884614us-gaap:FairValueInputsLevel3Memberus-gaap:CommodityContractMember2021-09-300000884614us-gaap:CommodityContractMember2021-09-300000884614us-gaap:FairValueInputsLevel1Memberus-gaap:ForeignExchangeContractMember2021-</w:t>
      </w:r>
      <w:r>
        <w:rPr>
          <w:rFonts w:eastAsia="Times New Roman"/>
          <w:vanish/>
        </w:rPr>
        <w:t>09-300000884614us-gaap:ForeignExchangeContractMemberus-gaap:FairValueInputsLevel2Member2021-09-300000884614us-gaap:ForeignExchangeContractMemberus-gaap:FairValueInputsLevel3Member2021-09-300000884614us-gaap:ForeignExchangeContractMember2021-09-300000884614</w:t>
      </w:r>
      <w:r>
        <w:rPr>
          <w:rFonts w:eastAsia="Times New Roman"/>
          <w:vanish/>
        </w:rPr>
        <w:t>us-gaap:FairValueInputsLevel1Memberus-gaap:InterestRateContractMember2021-09-300000884614us-gaap:FairValueInputsLevel2Memberus-gaap:InterestRateContractMember2021-09-300000884614us-gaap:InterestRateContractMemberus-gaap:FairValueInputsLevel3Member2021-09-3</w:t>
      </w:r>
      <w:r>
        <w:rPr>
          <w:rFonts w:eastAsia="Times New Roman"/>
          <w:vanish/>
        </w:rPr>
        <w:t>00000884614us-gaap:InterestRateContractMember2021-09-300000884614us-gaap:FairValueInputsLevel1Member2021-09-300000884614us-gaap:FairValueInputsLevel2Member2021-09-300000884614us-gaap:FairValueInputsLevel3Member2021-09-300000884614srt:MinimumMemberus-gaap:F</w:t>
      </w:r>
      <w:r>
        <w:rPr>
          <w:rFonts w:eastAsia="Times New Roman"/>
          <w:vanish/>
        </w:rPr>
        <w:t>airValueInputsLevel3Memberus-gaap:CommodityContractMember2022-09-300000884614srt:MaximumMemberus-gaap:FairValueInputsLevel3Memberus-gaap:CommodityContractMember2022-09-300000884614us-gaap:CarryingReportedAmountFairValueDisclosureMember2022-09-300000884614u</w:t>
      </w:r>
      <w:r>
        <w:rPr>
          <w:rFonts w:eastAsia="Times New Roman"/>
          <w:vanish/>
        </w:rPr>
        <w:t>s-gaap:CarryingReportedAmountFairValueDisclosureMember2021-09-300000884614us-gaap:EstimateOfFairValueFairValueDisclosureMember2022-09-300000884614us-gaap:EstimateOfFairValueFairValueDisclosureMember2021-09-300000884614ugi:InterestRateProtectionAgreementsMe</w:t>
      </w:r>
      <w:r>
        <w:rPr>
          <w:rFonts w:eastAsia="Times New Roman"/>
          <w:vanish/>
        </w:rPr>
        <w:t>mber2022-09-300000884614ugi:InterestRateProtectionAgreementsMember2021-09-300000884614us-gaap:ForeignExchangeForwardMember2022-09-300000884614us-gaap:NetInvestmentHedgingMemberus-gaap:ForeignExchangeContractMemberugi:UGIInternationalLLCMember2021-12-070000</w:t>
      </w:r>
      <w:r>
        <w:rPr>
          <w:rFonts w:eastAsia="Times New Roman"/>
          <w:vanish/>
        </w:rPr>
        <w:t>884614us-gaap:NetInvestmentHedgingMemberus-gaap:ForeignExchangeContractMemberugi:UGIInternationalLLCMember2021-10-012022-09-300000884614ugi:NaturalGasMemberus-gaap:CommodityContractMemberus-gaap:RegulatedOperationMember2022-09-30ugi:DTH0000884614ugi:Natura</w:t>
      </w:r>
      <w:r>
        <w:rPr>
          <w:rFonts w:eastAsia="Times New Roman"/>
          <w:vanish/>
        </w:rPr>
        <w:t>lGasMemberus-gaap:CommodityContractMemberus-gaap:RegulatedOperationMember2021-09-300000884614us-gaap:PublicUtilitiesInventoryPropaneMemberus-gaap:CommodityContractMember2021-10-012022-09-30utr:gal0000884614us-gaap:PublicUtilitiesInventoryPropaneMemberus-ga</w:t>
      </w:r>
      <w:r>
        <w:rPr>
          <w:rFonts w:eastAsia="Times New Roman"/>
          <w:vanish/>
        </w:rPr>
        <w:t>ap:CommodityContractMember2020-10-012021-09-300000884614ugi:NaturalGasFuturesForwardAndPipelineContractsMemberugi:NaturalGasMember2022-09-300000884614ugi:NaturalGasFuturesForwardAndPipelineContractsMemberugi:NaturalGasMember2021-09-300000884614us-gaap:Elec</w:t>
      </w:r>
      <w:r>
        <w:rPr>
          <w:rFonts w:eastAsia="Times New Roman"/>
          <w:vanish/>
        </w:rPr>
        <w:t>tricityMemberus-gaap:CommodityContractMember2021-10-012022-09-30utr:kWh0000884614us-gaap:ElectricityMemberus-gaap:CommodityContractMember2020-10-012021-09-300000884614us-gaap:InterestRateSwapMember2022-09-300000884614us-gaap:InterestRateSwapMember2021-09-3</w:t>
      </w:r>
      <w:r>
        <w:rPr>
          <w:rFonts w:eastAsia="Times New Roman"/>
          <w:vanish/>
        </w:rPr>
        <w:t>00000884614us-gaap:ForeignExchangeContractMemberus-gaap:DesignatedAsHedgingInstrumentMember2022-09-300000884614us-gaap:ForeignExchangeContractMemberus-gaap:DesignatedAsHedgingInstrumentMember2021-09-300000884614us-gaap:InterestRateContractMemberus-gaap:Des</w:t>
      </w:r>
      <w:r>
        <w:rPr>
          <w:rFonts w:eastAsia="Times New Roman"/>
          <w:vanish/>
        </w:rPr>
        <w:t>ignatedAsHedgingInstrumentMember2022-09-300000884614us-gaap:InterestRateContractMemberus-gaap:DesignatedAsHedgingInstrumentMember2021-09-300000884614us-gaap:DesignatedAsHedgingInstrumentMember2022-09-300000884614us-gaap:DesignatedAsHedgingInstrumentMember2</w:t>
      </w:r>
      <w:r>
        <w:rPr>
          <w:rFonts w:eastAsia="Times New Roman"/>
          <w:vanish/>
        </w:rPr>
        <w:t>021-09-300000884614ugi:CommodityContractSubjectToPGCandDSMechanismsMember2022-09-300000884614ugi:CommodityContractSubjectToPGCandDSMechanismsMember2021-09-300000884614us-gaap:NondesignatedMemberus-gaap:CommodityContractMember2022-09-300000884614us-gaap:Non</w:t>
      </w:r>
      <w:r>
        <w:rPr>
          <w:rFonts w:eastAsia="Times New Roman"/>
          <w:vanish/>
        </w:rPr>
        <w:t>designatedMemberus-gaap:CommodityContractMember2021-09-300000884614us-gaap:NondesignatedMemberus-gaap:ForeignExchangeContractMember2022-09-300000884614us-gaap:NondesignatedMemberus-gaap:ForeignExchangeContractMember2021-09-300000884614us-gaap:Nondesignated</w:t>
      </w:r>
      <w:r>
        <w:rPr>
          <w:rFonts w:eastAsia="Times New Roman"/>
          <w:vanish/>
        </w:rPr>
        <w:t>Member2022-09-300000884614us-gaap:NondesignatedMember2021-09-300000884614us-gaap:InterestRateContractMemberus-gaap:CashFlowHedgingMember2021-10-012022-09-300000884614us-gaap:InterestRateContractMemberus-gaap:CashFlowHedgingMember2020-10-012021-09-300000884</w:t>
      </w:r>
      <w:r>
        <w:rPr>
          <w:rFonts w:eastAsia="Times New Roman"/>
          <w:vanish/>
        </w:rPr>
        <w:t>614us-gaap:InterestRateContractMemberus-gaap:CashFlowHedgingMember2019-10-012020-09-300000884614us-gaap:InterestExpenseMemberus-gaap:InterestRateContractMemberus-gaap:CashFlowHedgingMember2021-10-012022-09-300000884614us-gaap:InterestExpenseMemberus-gaap:I</w:t>
      </w:r>
      <w:r>
        <w:rPr>
          <w:rFonts w:eastAsia="Times New Roman"/>
          <w:vanish/>
        </w:rPr>
        <w:t>nterestRateContractMemberus-gaap:CashFlowHedgingMember2020-10-012021-09-300000884614us-gaap:InterestExpenseMemberus-gaap:InterestRateContractMemberus-gaap:CashFlowHedgingMember2019-10-012020-09-300000884614us-gaap:NetInvestmentHedgingMemberus-gaap:ForeignE</w:t>
      </w:r>
      <w:r>
        <w:rPr>
          <w:rFonts w:eastAsia="Times New Roman"/>
          <w:vanish/>
        </w:rPr>
        <w:t>xchangeContractMember2021-10-012022-09-300000884614us-gaap:NetInvestmentHedgingMemberus-gaap:ForeignExchangeContractMember2020-10-012021-09-300000884614us-gaap:NetInvestmentHedgingMemberus-gaap:ForeignExchangeContractMember2019-10-012020-09-300000884614us-</w:t>
      </w:r>
      <w:r>
        <w:rPr>
          <w:rFonts w:eastAsia="Times New Roman"/>
          <w:vanish/>
        </w:rPr>
        <w:t>gaap:NondesignatedMemberus-gaap:SalesRevenueNetMemberus-gaap:CommodityContractMember2021-10-012022-09-300000884614us-gaap:NondesignatedMemberus-gaap:SalesRevenueNetMemberus-gaap:CommodityContractMember2020-10-012021-09-300000884614us-gaap:NondesignatedMemb</w:t>
      </w:r>
      <w:r>
        <w:rPr>
          <w:rFonts w:eastAsia="Times New Roman"/>
          <w:vanish/>
        </w:rPr>
        <w:t>erus-gaap:SalesRevenueNetMemberus-gaap:CommodityContractMember2019-10-012020-09-300000884614us-gaap:NondesignatedMemberus-gaap:CostOfSalesMemberus-gaap:CommodityContractMember2021-10-012022-09-300000884614us-gaap:NondesignatedMemberus-gaap:CostOfSalesMembe</w:t>
      </w:r>
      <w:r>
        <w:rPr>
          <w:rFonts w:eastAsia="Times New Roman"/>
          <w:vanish/>
        </w:rPr>
        <w:t>rus-gaap:CommodityContractMember2020-10-012021-09-300000884614us-gaap:NondesignatedMemberus-gaap:CostOfSalesMemberus-gaap:CommodityContractMember2019-10-012020-09-300000884614us-gaap:NondesignatedMemberus-gaap:OtherOperatingIncomeExpenseMemberus-gaap:Commo</w:t>
      </w:r>
      <w:r>
        <w:rPr>
          <w:rFonts w:eastAsia="Times New Roman"/>
          <w:vanish/>
        </w:rPr>
        <w:t>dityContractMember2021-10-012022-09-300000884614us-gaap:NondesignatedMemberus-gaap:OtherOperatingIncomeExpenseMemberus-gaap:CommodityContractMember2020-10-012021-09-300000884614us-gaap:NondesignatedMemberus-gaap:OtherOperatingIncomeExpenseMemberus-gaap:Com</w:t>
      </w:r>
      <w:r>
        <w:rPr>
          <w:rFonts w:eastAsia="Times New Roman"/>
          <w:vanish/>
        </w:rPr>
        <w:t>modityContractMember2019-10-012020-09-300000884614us-gaap:NondesignatedMemberus-gaap:ForeignExchangeContractMemberus-gaap:OtherIncomeMember2021-10-012022-09-300000884614us-gaap:NondesignatedMemberus-gaap:ForeignExchangeContractMemberus-gaap:OtherIncomeMemb</w:t>
      </w:r>
      <w:r>
        <w:rPr>
          <w:rFonts w:eastAsia="Times New Roman"/>
          <w:vanish/>
        </w:rPr>
        <w:t>er2020-10-012021-09-300000884614us-gaap:NondesignatedMemberus-gaap:ForeignExchangeContractMemberus-gaap:OtherIncomeMember2019-10-012020-09-300000884614us-gaap:NondesignatedMember2021-10-012022-09-300000884614us-gaap:NondesignatedMember2020-10-012021-09-300</w:t>
      </w:r>
      <w:r>
        <w:rPr>
          <w:rFonts w:eastAsia="Times New Roman"/>
          <w:vanish/>
        </w:rPr>
        <w:t>000884614us-gaap:NondesignatedMember2019-10-012020-09-300000884614us-gaap:AccumulatedDefinedBenefitPlansAdjustmentMember2019-09-300000884614us-gaap:AccumulatedGainLossNetCashFlowHedgeParentMember2019-09-300000884614us-gaap:AccumulatedTranslationAdjustmentM</w:t>
      </w:r>
      <w:r>
        <w:rPr>
          <w:rFonts w:eastAsia="Times New Roman"/>
          <w:vanish/>
        </w:rPr>
        <w:t>ember2019-09-300000884614us-gaap:AccumulatedDefinedBenefitPlansAdjustmentMember2019-10-012020-09-300000884614us-gaap:AccumulatedGainLossNetCashFlowHedgeParentMember2019-10-012020-09-300000884614us-gaap:AccumulatedTranslationAdjustmentMember2019-10-012020-0</w:t>
      </w:r>
      <w:r>
        <w:rPr>
          <w:rFonts w:eastAsia="Times New Roman"/>
          <w:vanish/>
        </w:rPr>
        <w:t>9-300000884614us-gaap:AccumulatedDefinedBenefitPlansAdjustmentMember2020-09-300000884614us-gaap:AccumulatedGainLossNetCashFlowHedgeParentMember2020-09-300000884614us-gaap:AccumulatedTranslationAdjustmentMember2020-09-300000884614us-gaap:AccumulatedDefinedB</w:t>
      </w:r>
      <w:r>
        <w:rPr>
          <w:rFonts w:eastAsia="Times New Roman"/>
          <w:vanish/>
        </w:rPr>
        <w:t>enefitPlansAdjustmentMember2020-10-012021-09-300000884614us-gaap:AccumulatedGainLossNetCashFlowHedgeParentMember2020-10-012021-09-300000884614us-gaap:AccumulatedTranslationAdjustmentMember2020-10-012021-09-300000884614us-gaap:AccumulatedDefinedBenefitPlans</w:t>
      </w:r>
      <w:r>
        <w:rPr>
          <w:rFonts w:eastAsia="Times New Roman"/>
          <w:vanish/>
        </w:rPr>
        <w:t>AdjustmentMember2021-09-300000884614us-gaap:AccumulatedGainLossNetCashFlowHedgeParentMember2021-09-300000884614us-gaap:AccumulatedTranslationAdjustmentMember2021-09-300000884614us-gaap:AccumulatedDefinedBenefitPlansAdjustmentMember2021-10-012022-09-3000008</w:t>
      </w:r>
      <w:r>
        <w:rPr>
          <w:rFonts w:eastAsia="Times New Roman"/>
          <w:vanish/>
        </w:rPr>
        <w:t>84614us-gaap:AccumulatedGainLossNetCashFlowHedgeParentMember2021-10-012022-09-300000884614us-gaap:AccumulatedTranslationAdjustmentMember2021-10-012022-09-300000884614us-gaap:AccumulatedDefinedBenefitPlansAdjustmentMember2022-09-300000884614us-gaap:Accumula</w:t>
      </w:r>
      <w:r>
        <w:rPr>
          <w:rFonts w:eastAsia="Times New Roman"/>
          <w:vanish/>
        </w:rPr>
        <w:t>tedGainLossNetCashFlowHedgeParentMember2022-09-300000884614us-gaap:AccumulatedTranslationAdjustmentMember2022-09-300000884614ugi:PineRunMidstreamLLCMemberMember2022-09-300000884614ugi:PineRunMidstreamLLCMemberMember2021-02-012021-02-280000884614ugi:PineRun</w:t>
      </w:r>
      <w:r>
        <w:rPr>
          <w:rFonts w:eastAsia="Times New Roman"/>
          <w:vanish/>
        </w:rPr>
        <w:t>MidstreamLLCMemberMember2021-09-300000884614ugi:PennantMember2021-10-012022-09-300000884614ugi:EnergyServicesMemberugi:PennantMember2022-09-300000884614ugi:PennantMember2021-09-300000884614srt:AffiliatedEntityMemberugi:PennEastPipelineCompanyLLCMemberugi:S</w:t>
      </w:r>
      <w:r>
        <w:rPr>
          <w:rFonts w:eastAsia="Times New Roman"/>
          <w:vanish/>
        </w:rPr>
        <w:t>outhernCompanyMember2022-09-300000884614srt:AffiliatedEntityMemberugi:PennEastPipelineCompanyLLCMemberugi:SouthJerseyIndustriesMember2022-09-300000884614srt:AffiliatedEntityMemberugi:PennEastPipelineCompanyLLCMemberugi:EnbridgeIncMember2022-09-300000884614</w:t>
      </w:r>
      <w:r>
        <w:rPr>
          <w:rFonts w:eastAsia="Times New Roman"/>
          <w:vanish/>
        </w:rPr>
        <w:t>ugi:UGIPennEastLLCMembersrt:AffiliatedEntityMemberugi:PennEastPipelineCompanyLLCMember2022-09-300000884614ugi:NewJerseyResourcesMembersrt:AffiliatedEntityMemberugi:PennEastPipelineCompanyLLCMember2022-09-300000884614srt:AffiliatedEntityMemberugi:PennEastPi</w:t>
      </w:r>
      <w:r>
        <w:rPr>
          <w:rFonts w:eastAsia="Times New Roman"/>
          <w:vanish/>
        </w:rPr>
        <w:t>pelineCompanyLLCMember2022-09-30utr:mi0000884614ugi:PennEastPipelineCompanyLLCMember2021-06-012021-06-300000884614ugi:PennEastPipelineCompanyLLCMember2021-10-012022-09-300000884614us-gaap:FairValueInputsLevel2Memberugi:PennEastPipelineCompanyLLCMember2022-</w:t>
      </w:r>
      <w:r>
        <w:rPr>
          <w:rFonts w:eastAsia="Times New Roman"/>
          <w:vanish/>
        </w:rPr>
        <w:t>09-300000884614us-gaap:FairValueInputsLevel2Memberugi:PennEastPipelineCompanyLLCMember2021-09-300000884614ugi:OtherEquityInvestmentsMember2021-10-012022-09-300000884614ugi:OtherEquityInvestmentsMember2020-10-012021-09-30ugi:segmentugi:state0000884614us-gaa</w:t>
      </w:r>
      <w:r>
        <w:rPr>
          <w:rFonts w:eastAsia="Times New Roman"/>
          <w:vanish/>
        </w:rPr>
        <w:t>p:SalesRevenueNetMemberus-gaap:GeographicConcentrationRiskMembercountry:FR2021-10-012022-09-300000884614ugi:LonglivedAssetsMemberus-gaap:GeographicConcentrationRiskMembercountry:FR2021-10-012022-09-300000884614ugi:AmerigasPropaneMemberus-gaap:IntersegmentE</w:t>
      </w:r>
      <w:r>
        <w:rPr>
          <w:rFonts w:eastAsia="Times New Roman"/>
          <w:vanish/>
        </w:rPr>
        <w:t>liminationMember2021-10-012022-09-300000884614ugi:UGIInternationalMemberus-gaap:IntersegmentEliminationMember2021-10-012022-09-300000884614ugi:MidstreamAndMarketingMemberus-gaap:IntersegmentEliminationMember2021-10-012022-09-300000884614ugi:UGIUtilitiesInc</w:t>
      </w:r>
      <w:r>
        <w:rPr>
          <w:rFonts w:eastAsia="Times New Roman"/>
          <w:vanish/>
        </w:rPr>
        <w:t>Memberus-gaap:IntersegmentEliminationMember2021-10-012022-09-300000884614ugi:CorporateReconcilingItemsAndEliminationsMember2021-10-012022-09-300000884614us-gaap:IntersegmentEliminationMember2022-09-300000884614ugi:AmerigasPropaneMemberus-gaap:OperatingSegm</w:t>
      </w:r>
      <w:r>
        <w:rPr>
          <w:rFonts w:eastAsia="Times New Roman"/>
          <w:vanish/>
        </w:rPr>
        <w:t>entsMember2022-09-300000884614ugi:UGIInternationalMemberus-gaap:OperatingSegmentsMember2022-09-300000884614ugi:MidstreamAndMarketingMemberus-gaap:OperatingSegmentsMember2022-09-300000884614ugi:UGIUtilitiesIncMemberus-gaap:OperatingSegmentsMember2022-09-300</w:t>
      </w:r>
      <w:r>
        <w:rPr>
          <w:rFonts w:eastAsia="Times New Roman"/>
          <w:vanish/>
        </w:rPr>
        <w:t>000884614ugi:CorporateAndReconcilingItemsMember2022-09-300000884614ugi:AmerigasPropaneMemberus-gaap:IntersegmentEliminationMember2020-10-012021-09-300000884614ugi:UGIInternationalMemberus-gaap:IntersegmentEliminationMember2020-10-012021-09-300000884614ugi:</w:t>
      </w:r>
      <w:r>
        <w:rPr>
          <w:rFonts w:eastAsia="Times New Roman"/>
          <w:vanish/>
        </w:rPr>
        <w:t>MidstreamAndMarketingMemberus-gaap:IntersegmentEliminationMember2020-10-012021-09-300000884614ugi:UGIUtilitiesIncMemberus-gaap:IntersegmentEliminationMember2020-10-012021-09-300000884614ugi:CorporateReconcilingItemsAndEliminationsMember2020-10-012021-09-30</w:t>
      </w:r>
      <w:r>
        <w:rPr>
          <w:rFonts w:eastAsia="Times New Roman"/>
          <w:vanish/>
        </w:rPr>
        <w:t>0000884614us-gaap:IntersegmentEliminationMember2021-09-300000884614ugi:AmerigasPropaneMemberus-gaap:OperatingSegmentsMember2021-09-300000884614ugi:UGIInternationalMemberus-gaap:OperatingSegmentsMember2021-09-300000884614ugi:MidstreamAndMarketingMemberus-ga</w:t>
      </w:r>
      <w:r>
        <w:rPr>
          <w:rFonts w:eastAsia="Times New Roman"/>
          <w:vanish/>
        </w:rPr>
        <w:t>ap:OperatingSegmentsMember2021-09-300000884614ugi:UGIUtilitiesIncMemberus-gaap:OperatingSegmentsMember2021-09-300000884614ugi:CorporateAndReconcilingItemsMember2021-09-300000884614ugi:AmerigasPropaneMemberus-gaap:IntersegmentEliminationMember2019-10-012020</w:t>
      </w:r>
      <w:r>
        <w:rPr>
          <w:rFonts w:eastAsia="Times New Roman"/>
          <w:vanish/>
        </w:rPr>
        <w:t>-09-300000884614ugi:UGIInternationalMemberus-gaap:IntersegmentEliminationMember2019-10-012020-09-300000884614ugi:MidstreamAndMarketingMemberus-gaap:IntersegmentEliminationMember2019-10-012020-09-300000884614ugi:UGIUtilitiesIncMemberus-gaap:IntersegmentElim</w:t>
      </w:r>
      <w:r>
        <w:rPr>
          <w:rFonts w:eastAsia="Times New Roman"/>
          <w:vanish/>
        </w:rPr>
        <w:t>inationMember2019-10-012020-09-300000884614ugi:CorporateReconcilingItemsAndEliminationsMember2019-10-012020-09-300000884614us-gaap:IntersegmentEliminationMember2020-09-300000884614ugi:AmerigasPropaneMemberus-gaap:OperatingSegmentsMember2020-09-300000884614</w:t>
      </w:r>
      <w:r>
        <w:rPr>
          <w:rFonts w:eastAsia="Times New Roman"/>
          <w:vanish/>
        </w:rPr>
        <w:t>ugi:UGIInternationalMemberus-gaap:OperatingSegmentsMember2020-09-300000884614ugi:MidstreamAndMarketingMemberus-gaap:OperatingSegmentsMember2020-09-300000884614ugi:UGIUtilitiesIncMemberus-gaap:OperatingSegmentsMember2020-09-300000884614ugi:CorporateAndRecon</w:t>
      </w:r>
      <w:r>
        <w:rPr>
          <w:rFonts w:eastAsia="Times New Roman"/>
          <w:vanish/>
        </w:rPr>
        <w:t>cilingItemsMember2020-09-300000884614us-gaap:SalesMemberugi:CorporateAndReconcilingItemsMemberugi:AmerigasPropaneMember2021-10-012022-09-300000884614ugi:UGIInternationalMemberus-gaap:SalesMemberugi:CorporateAndReconcilingItemsMember2021-10-012022-09-300000</w:t>
      </w:r>
      <w:r>
        <w:rPr>
          <w:rFonts w:eastAsia="Times New Roman"/>
          <w:vanish/>
        </w:rPr>
        <w:t>884614us-gaap:SalesMemberugi:MidstreamAndMarketingMemberugi:CorporateAndReconcilingItemsMember2021-10-012022-09-300000884614us-gaap:CostOfSalesMemberugi:CorporateAndReconcilingItemsMemberugi:AmerigasPropaneMember2021-10-012022-09-300000884614us-gaap:CostOf</w:t>
      </w:r>
      <w:r>
        <w:rPr>
          <w:rFonts w:eastAsia="Times New Roman"/>
          <w:vanish/>
        </w:rPr>
        <w:t>SalesMemberugi:UGIInternationalMemberugi:CorporateAndReconcilingItemsMember2021-10-012022-09-300000884614us-gaap:CostOfSalesMemberugi:MidstreamAndMarketingMemberugi:CorporateAndReconcilingItemsMember2021-10-012022-09-300000884614ugi:CorporateAndReconciling</w:t>
      </w:r>
      <w:r>
        <w:rPr>
          <w:rFonts w:eastAsia="Times New Roman"/>
          <w:vanish/>
        </w:rPr>
        <w:t>ItemsMemberus-gaap:OtherOperatingIncomeExpenseMemberugi:AmerigasPropaneMember2021-10-012022-09-300000884614ugi:UGIInternationalMemberugi:CorporateAndReconcilingItemsMemberus-gaap:OtherOperatingIncomeExpenseMember2021-10-012022-09-300000884614ugi:MidstreamA</w:t>
      </w:r>
      <w:r>
        <w:rPr>
          <w:rFonts w:eastAsia="Times New Roman"/>
          <w:vanish/>
        </w:rPr>
        <w:t>ndMarketingMemberugi:CorporateAndReconcilingItemsMemberus-gaap:OtherOperatingIncomeExpenseMember2021-10-012022-09-300000884614us-gaap:GeneralAndAdministrativeExpenseMemberugi:CorporateAndReconcilingItemsMemberugi:AmerigasPropaneMember2021-10-012022-09-3000</w:t>
      </w:r>
      <w:r>
        <w:rPr>
          <w:rFonts w:eastAsia="Times New Roman"/>
          <w:vanish/>
        </w:rPr>
        <w:t>00884614us-gaap:GeneralAndAdministrativeExpenseMemberugi:UGIInternationalMemberugi:CorporateAndReconcilingItemsMember2021-10-012022-09-300000884614us-gaap:GeneralAndAdministrativeExpenseMemberugi:MidstreamAndMarketingMemberugi:CorporateAndReconcilingItemsM</w:t>
      </w:r>
      <w:r>
        <w:rPr>
          <w:rFonts w:eastAsia="Times New Roman"/>
          <w:vanish/>
        </w:rPr>
        <w:t>ember2021-10-012022-09-300000884614ugi:CorporateAndReconcilingItemsMemberugi:AmerigasPropaneMember2021-10-012022-09-300000884614ugi:UGIInternationalMemberugi:CorporateAndReconcilingItemsMember2021-10-012022-09-300000884614ugi:MidstreamAndMarketingMemberugi</w:t>
      </w:r>
      <w:r>
        <w:rPr>
          <w:rFonts w:eastAsia="Times New Roman"/>
          <w:vanish/>
        </w:rPr>
        <w:t>:CorporateAndReconcilingItemsMember2021-10-012022-09-300000884614ugi:CorporateAndReconcilingItemsMemberugi:AmerigasPropaneMemberus-gaap:OtherNonoperatingIncomeExpenseMember2021-10-012022-09-300000884614ugi:UGIInternationalMemberugi:CorporateAndReconcilingI</w:t>
      </w:r>
      <w:r>
        <w:rPr>
          <w:rFonts w:eastAsia="Times New Roman"/>
          <w:vanish/>
        </w:rPr>
        <w:t>temsMemberus-gaap:OtherNonoperatingIncomeExpenseMember2021-10-012022-09-300000884614ugi:MidstreamAndMarketingMemberugi:CorporateAndReconcilingItemsMemberus-gaap:OtherNonoperatingIncomeExpenseMember2021-10-012022-09-300000884614ugi:CorporateAndReconcilingIt</w:t>
      </w:r>
      <w:r>
        <w:rPr>
          <w:rFonts w:eastAsia="Times New Roman"/>
          <w:vanish/>
        </w:rPr>
        <w:t>emsMemberugi:AmerigasPropaneMemberugi:IncomeLossFromEquityMethodInvestmentsMember2021-10-012022-09-300000884614ugi:UGIInternationalMemberugi:CorporateAndReconcilingItemsMemberugi:IncomeLossFromEquityMethodInvestmentsMember2021-10-012022-09-300000884614ugi:</w:t>
      </w:r>
      <w:r>
        <w:rPr>
          <w:rFonts w:eastAsia="Times New Roman"/>
          <w:vanish/>
        </w:rPr>
        <w:t>MidstreamAndMarketingMemberugi:CorporateAndReconcilingItemsMemberugi:IncomeLossFromEquityMethodInvestmentsMember2021-10-012022-09-300000884614us-gaap:SalesMemberugi:CorporateAndReconcilingItemsMemberugi:AmerigasPropaneMember2020-10-012021-09-300000884614ug</w:t>
      </w:r>
      <w:r>
        <w:rPr>
          <w:rFonts w:eastAsia="Times New Roman"/>
          <w:vanish/>
        </w:rPr>
        <w:t>i:UGIInternationalMemberus-gaap:SalesMemberugi:CorporateAndReconcilingItemsMember2020-10-012021-09-300000884614us-gaap:SalesMemberugi:MidstreamAndMarketingMemberugi:CorporateAndReconcilingItemsMember2020-10-012021-09-300000884614us-gaap:CostOfSalesMemberug</w:t>
      </w:r>
      <w:r>
        <w:rPr>
          <w:rFonts w:eastAsia="Times New Roman"/>
          <w:vanish/>
        </w:rPr>
        <w:t>i:CorporateAndReconcilingItemsMemberugi:AmerigasPropaneMember2020-10-012021-09-300000884614us-gaap:CostOfSalesMemberugi:UGIInternationalMemberugi:CorporateAndReconcilingItemsMember2020-10-012021-09-300000884614us-gaap:CostOfSalesMemberugi:MidstreamAndMarke</w:t>
      </w:r>
      <w:r>
        <w:rPr>
          <w:rFonts w:eastAsia="Times New Roman"/>
          <w:vanish/>
        </w:rPr>
        <w:t>tingMemberugi:CorporateAndReconcilingItemsMember2020-10-012021-09-300000884614ugi:CorporateAndReconcilingItemsMemberugi:AmerigasPropaneMemberus-gaap:OtherNonoperatingIncomeExpenseMember2020-10-012021-09-300000884614ugi:UGIInternationalMemberugi:CorporateAn</w:t>
      </w:r>
      <w:r>
        <w:rPr>
          <w:rFonts w:eastAsia="Times New Roman"/>
          <w:vanish/>
        </w:rPr>
        <w:t>dReconcilingItemsMemberus-gaap:OtherNonoperatingIncomeExpenseMember2020-10-012021-09-300000884614ugi:MidstreamAndMarketingMemberugi:CorporateAndReconcilingItemsMemberus-gaap:OtherNonoperatingIncomeExpenseMember2020-10-012021-09-300000884614us-gaap:GeneralA</w:t>
      </w:r>
      <w:r>
        <w:rPr>
          <w:rFonts w:eastAsia="Times New Roman"/>
          <w:vanish/>
        </w:rPr>
        <w:t>ndAdministrativeExpenseMemberugi:CorporateAndReconcilingItemsMemberugi:AmerigasPropaneMember2020-10-012021-09-300000884614us-gaap:GeneralAndAdministrativeExpenseMemberugi:UGIInternationalMemberugi:CorporateAndReconcilingItemsMember2020-10-012021-09-3000008</w:t>
      </w:r>
      <w:r>
        <w:rPr>
          <w:rFonts w:eastAsia="Times New Roman"/>
          <w:vanish/>
        </w:rPr>
        <w:t>84614us-gaap:GeneralAndAdministrativeExpenseMemberugi:MidstreamAndMarketingMemberugi:CorporateAndReconcilingItemsMember2020-10-012021-09-300000884614ugi:CorporateAndReconcilingItemsMemberugi:AmerigasPropaneMemberugi:IncomeLossFromEquityMethodInvestmentsMem</w:t>
      </w:r>
      <w:r>
        <w:rPr>
          <w:rFonts w:eastAsia="Times New Roman"/>
          <w:vanish/>
        </w:rPr>
        <w:t>ber2020-10-012021-09-300000884614ugi:UGIInternationalMemberugi:CorporateAndReconcilingItemsMemberugi:IncomeLossFromEquityMethodInvestmentsMember2020-10-012021-09-300000884614ugi:MidstreamAndMarketingMemberugi:CorporateAndReconcilingItemsMemberugi:IncomeLos</w:t>
      </w:r>
      <w:r>
        <w:rPr>
          <w:rFonts w:eastAsia="Times New Roman"/>
          <w:vanish/>
        </w:rPr>
        <w:t>sFromEquityMethodInvestmentsMember2020-10-012021-09-300000884614us-gaap:SalesMemberugi:CorporateAndReconcilingItemsMemberugi:AmerigasPropaneMember2019-10-012020-09-300000884614ugi:UGIInternationalMemberus-gaap:SalesMemberugi:CorporateAndReconcilingItemsMem</w:t>
      </w:r>
      <w:r>
        <w:rPr>
          <w:rFonts w:eastAsia="Times New Roman"/>
          <w:vanish/>
        </w:rPr>
        <w:t>ber2019-10-012020-09-300000884614us-gaap:SalesMemberugi:MidstreamAndMarketingMemberugi:CorporateAndReconcilingItemsMember2019-10-012020-09-300000884614us-gaap:CostOfSalesMemberugi:CorporateAndReconcilingItemsMemberugi:AmerigasPropaneMember2019-10-012020-09</w:t>
      </w:r>
      <w:r>
        <w:rPr>
          <w:rFonts w:eastAsia="Times New Roman"/>
          <w:vanish/>
        </w:rPr>
        <w:t>-300000884614us-gaap:CostOfSalesMemberugi:UGIInternationalMemberugi:CorporateAndReconcilingItemsMember2019-10-012020-09-300000884614us-gaap:CostOfSalesMemberugi:MidstreamAndMarketingMemberugi:CorporateAndReconcilingItemsMember2019-10-012020-09-300000884614</w:t>
      </w:r>
      <w:r>
        <w:rPr>
          <w:rFonts w:eastAsia="Times New Roman"/>
          <w:vanish/>
        </w:rPr>
        <w:t>ugi:CorporateAndReconcilingItemsMemberugi:AmerigasPropaneMemberus-gaap:OtherNonoperatingIncomeExpenseMember2019-10-012020-09-300000884614ugi:UGIInternationalMemberugi:CorporateAndReconcilingItemsMemberus-gaap:OtherNonoperatingIncomeExpenseMember2019-10-012</w:t>
      </w:r>
      <w:r>
        <w:rPr>
          <w:rFonts w:eastAsia="Times New Roman"/>
          <w:vanish/>
        </w:rPr>
        <w:t>020-09-300000884614ugi:MidstreamAndMarketingMemberugi:CorporateAndReconcilingItemsMemberus-gaap:OtherNonoperatingIncomeExpenseMember2019-10-012020-09-300000884614us-gaap:GeneralAndAdministrativeExpenseMemberugi:CorporateAndReconcilingItemsMemberugi:Ameriga</w:t>
      </w:r>
      <w:r>
        <w:rPr>
          <w:rFonts w:eastAsia="Times New Roman"/>
          <w:vanish/>
        </w:rPr>
        <w:t>sPropaneMember2019-10-012020-09-300000884614us-gaap:GeneralAndAdministrativeExpenseMemberugi:UGIInternationalMemberugi:CorporateAndReconcilingItemsMember2019-10-012020-09-300000884614us-gaap:GeneralAndAdministrativeExpenseMemberugi:MidstreamAndMarketingMem</w:t>
      </w:r>
      <w:r>
        <w:rPr>
          <w:rFonts w:eastAsia="Times New Roman"/>
          <w:vanish/>
        </w:rPr>
        <w:t>berugi:CorporateAndReconcilingItemsMember2019-10-012020-09-300000884614ugi:LossOnDisposalsOfConemaughAndHVACMemberugi:CorporateAndReconcilingItemsMemberugi:AmerigasPropaneMember2019-10-012020-09-300000884614ugi:UGIInternationalMemberugi:LossOnDisposalsOfCo</w:t>
      </w:r>
      <w:r>
        <w:rPr>
          <w:rFonts w:eastAsia="Times New Roman"/>
          <w:vanish/>
        </w:rPr>
        <w:t>nemaughAndHVACMemberugi:CorporateAndReconcilingItemsMember2019-10-012020-09-300000884614ugi:MidstreamAndMarketingMemberugi:LossOnDisposalsOfConemaughAndHVACMemberugi:CorporateAndReconcilingItemsMember2019-10-012020-09-300000884614ugi:CorporateServicesMembe</w:t>
      </w:r>
      <w:r>
        <w:rPr>
          <w:rFonts w:eastAsia="Times New Roman"/>
          <w:vanish/>
        </w:rPr>
        <w:t>rMember2021-10-012022-09-300000884614ugi:CorporateServicesMemberMember2020-10-012021-09-300000884614ugi:UGIInternationalUnitedKingdomEnergyMarketingMemberus-gaap:DisposalGroupHeldForSaleOrDisposedOfBySaleNotDiscontinuedOperationsMemberus-gaap:SubsequentEve</w:t>
      </w:r>
      <w:r>
        <w:rPr>
          <w:rFonts w:eastAsia="Times New Roman"/>
          <w:vanish/>
        </w:rPr>
        <w:t>ntMember2022-10-310000884614ugi:UGIInternationalUnitedKingdomEnergyMarketingMemberus-gaap:DisposalGroupHeldForSaleOrDisposedOfBySaleNotDiscontinuedOperationsMemberus-gaap:SubsequentEventMember2023-10-012023-12-310000884614ugi:UGIInternationalFranceEnergyMa</w:t>
      </w:r>
      <w:r>
        <w:rPr>
          <w:rFonts w:eastAsia="Times New Roman"/>
          <w:vanish/>
        </w:rPr>
        <w:t>rketingMemberus-gaap:DisposalGroupHeldForSaleOrDisposedOfBySaleNotDiscontinuedOperationsMember2022-09-300000884614srt:ParentCompanyMember2022-09-300000884614srt:ParentCompanyMember2021-09-300000884614srt:ParentCompanyMember2021-10-012022-09-300000884614srt</w:t>
      </w:r>
      <w:r>
        <w:rPr>
          <w:rFonts w:eastAsia="Times New Roman"/>
          <w:vanish/>
        </w:rPr>
        <w:t>:ParentCompanyMember2020-10-012021-09-300000884614srt:ParentCompanyMember2019-10-012020-09-300000884614srt:ParentCompanyMember2020-09-300000884614srt:ParentCompanyMember2019-09-300000884614us-gaap:AllowanceForCreditLossMember2021-09-300000884614us-gaap:All</w:t>
      </w:r>
      <w:r>
        <w:rPr>
          <w:rFonts w:eastAsia="Times New Roman"/>
          <w:vanish/>
        </w:rPr>
        <w:t>owanceForCreditLossMember2021-10-012022-09-300000884614us-gaap:AllowanceForCreditLossMember2022-09-300000884614us-gaap:ValuationAllowanceOfDeferredTaxAssetsMember2021-09-300000884614us-gaap:ValuationAllowanceOfDeferredTaxAssetsMember2021-10-012022-09-30000</w:t>
      </w:r>
      <w:r>
        <w:rPr>
          <w:rFonts w:eastAsia="Times New Roman"/>
          <w:vanish/>
        </w:rPr>
        <w:t>0884614us-gaap:ValuationAllowanceOfDeferredTaxAssetsMember2022-09-300000884614us-gaap:AllowanceForCreditLossMember2020-09-300000884614us-gaap:AllowanceForCreditLossMember2020-10-012021-09-300000884614us-gaap:ValuationAllowanceOfDeferredTaxAssetsMember2020-</w:t>
      </w:r>
      <w:r>
        <w:rPr>
          <w:rFonts w:eastAsia="Times New Roman"/>
          <w:vanish/>
        </w:rPr>
        <w:t>09-300000884614us-gaap:ValuationAllowanceOfDeferredTaxAssetsMember2020-10-012021-09-300000884614us-gaap:AllowanceForCreditLossMember2019-09-300000884614us-gaap:AllowanceForCreditLossMember2019-10-012020-09-300000884614us-gaap:ValuationAllowanceOfDeferredTa</w:t>
      </w:r>
      <w:r>
        <w:rPr>
          <w:rFonts w:eastAsia="Times New Roman"/>
          <w:vanish/>
        </w:rPr>
        <w:t>xAssetsMember2019-09-300000884614us-gaap:ValuationAllowanceOfDeferredTaxAssetsMember2019-10-012020-09-30</w:t>
      </w:r>
    </w:p>
    <w:p w14:paraId="362AE598" w14:textId="77777777" w:rsidR="00000000" w:rsidRDefault="00C1661D">
      <w:pPr>
        <w:divId w:val="849563733"/>
        <w:rPr>
          <w:rFonts w:eastAsia="Times New Roman"/>
        </w:rPr>
      </w:pPr>
      <w:hyperlink w:anchor="i3850c3c6c0104e42b9951aac2f16098a_7" w:history="1">
        <w:r>
          <w:rPr>
            <w:rStyle w:val="a3"/>
            <w:rFonts w:eastAsia="Times New Roman"/>
            <w:b/>
            <w:bCs/>
            <w:sz w:val="20"/>
            <w:szCs w:val="20"/>
          </w:rPr>
          <w:t>Table of Contents</w:t>
        </w:r>
      </w:hyperlink>
    </w:p>
    <w:p w14:paraId="26B6D91A" w14:textId="77777777" w:rsidR="00000000" w:rsidRDefault="00C1661D">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6A88EAA1" w14:textId="77777777">
        <w:trPr>
          <w:jc w:val="center"/>
        </w:trPr>
        <w:tc>
          <w:tcPr>
            <w:tcW w:w="50" w:type="pct"/>
            <w:vAlign w:val="center"/>
            <w:hideMark/>
          </w:tcPr>
          <w:p w14:paraId="4FB38EF7" w14:textId="77777777" w:rsidR="00000000" w:rsidRDefault="00C1661D">
            <w:pPr>
              <w:jc w:val="center"/>
              <w:rPr>
                <w:rFonts w:eastAsia="Times New Roman"/>
              </w:rPr>
            </w:pPr>
          </w:p>
        </w:tc>
        <w:tc>
          <w:tcPr>
            <w:tcW w:w="4945" w:type="pct"/>
            <w:vAlign w:val="center"/>
            <w:hideMark/>
          </w:tcPr>
          <w:p w14:paraId="36806F60" w14:textId="77777777" w:rsidR="00000000" w:rsidRDefault="00C1661D">
            <w:pPr>
              <w:spacing w:after="100"/>
              <w:rPr>
                <w:rFonts w:eastAsia="Times New Roman"/>
                <w:sz w:val="20"/>
                <w:szCs w:val="20"/>
              </w:rPr>
            </w:pPr>
          </w:p>
        </w:tc>
        <w:tc>
          <w:tcPr>
            <w:tcW w:w="5" w:type="pct"/>
            <w:vAlign w:val="center"/>
            <w:hideMark/>
          </w:tcPr>
          <w:p w14:paraId="783D80F3" w14:textId="77777777" w:rsidR="00000000" w:rsidRDefault="00C1661D">
            <w:pPr>
              <w:spacing w:after="100"/>
              <w:rPr>
                <w:rFonts w:eastAsia="Times New Roman"/>
                <w:sz w:val="20"/>
                <w:szCs w:val="20"/>
              </w:rPr>
            </w:pPr>
          </w:p>
        </w:tc>
      </w:tr>
      <w:tr w:rsidR="00000000" w14:paraId="45C62A1A" w14:textId="77777777">
        <w:trPr>
          <w:trHeight w:val="60"/>
          <w:jc w:val="center"/>
        </w:trPr>
        <w:tc>
          <w:tcPr>
            <w:tcW w:w="0" w:type="auto"/>
            <w:gridSpan w:val="3"/>
            <w:tcBorders>
              <w:top w:val="single" w:sz="24" w:space="0" w:color="000000"/>
              <w:bottom w:val="single" w:sz="8" w:space="0" w:color="000000"/>
            </w:tcBorders>
            <w:tcMar>
              <w:top w:w="0" w:type="dxa"/>
              <w:left w:w="20" w:type="dxa"/>
              <w:bottom w:w="0" w:type="dxa"/>
              <w:right w:w="20" w:type="dxa"/>
            </w:tcMar>
            <w:vAlign w:val="center"/>
            <w:hideMark/>
          </w:tcPr>
          <w:p w14:paraId="219E022D" w14:textId="77777777" w:rsidR="00000000" w:rsidRDefault="00C1661D">
            <w:pPr>
              <w:spacing w:after="100"/>
              <w:rPr>
                <w:rFonts w:eastAsia="Times New Roman"/>
                <w:sz w:val="20"/>
                <w:szCs w:val="20"/>
              </w:rPr>
            </w:pPr>
          </w:p>
        </w:tc>
      </w:tr>
    </w:tbl>
    <w:p w14:paraId="5E49F24C" w14:textId="77777777" w:rsidR="00000000" w:rsidRDefault="00C1661D">
      <w:pPr>
        <w:jc w:val="center"/>
        <w:rPr>
          <w:rFonts w:eastAsia="Times New Roman"/>
        </w:rPr>
      </w:pPr>
      <w:r>
        <w:rPr>
          <w:rFonts w:eastAsia="Times New Roman"/>
          <w:b/>
          <w:bCs/>
          <w:color w:val="000000"/>
        </w:rPr>
        <w:t>UNITED STATES</w:t>
      </w:r>
    </w:p>
    <w:p w14:paraId="55E1390E" w14:textId="77777777" w:rsidR="00000000" w:rsidRDefault="00C1661D">
      <w:pPr>
        <w:jc w:val="center"/>
        <w:rPr>
          <w:rFonts w:eastAsia="Times New Roman"/>
        </w:rPr>
      </w:pPr>
      <w:r>
        <w:rPr>
          <w:rFonts w:eastAsia="Times New Roman"/>
          <w:b/>
          <w:bCs/>
          <w:color w:val="000000"/>
        </w:rPr>
        <w:t>SECURITIES AND EXCHANGE COMMISSION</w:t>
      </w:r>
    </w:p>
    <w:p w14:paraId="3C56BA0F" w14:textId="77777777" w:rsidR="00000000" w:rsidRDefault="00C1661D">
      <w:pPr>
        <w:jc w:val="center"/>
        <w:rPr>
          <w:rFonts w:eastAsia="Times New Roman"/>
        </w:rPr>
      </w:pPr>
      <w:r>
        <w:rPr>
          <w:rFonts w:eastAsia="Times New Roman"/>
          <w:b/>
          <w:bCs/>
          <w:color w:val="000000"/>
          <w:sz w:val="22"/>
          <w:szCs w:val="22"/>
        </w:rPr>
        <w:t>WASHINGTON, D.C. 20549</w:t>
      </w:r>
    </w:p>
    <w:tbl>
      <w:tblPr>
        <w:tblW w:w="2640" w:type="dxa"/>
        <w:jc w:val="center"/>
        <w:tblCellMar>
          <w:top w:w="15" w:type="dxa"/>
          <w:left w:w="15" w:type="dxa"/>
          <w:bottom w:w="15" w:type="dxa"/>
          <w:right w:w="15" w:type="dxa"/>
        </w:tblCellMar>
        <w:tblLook w:val="04A0" w:firstRow="1" w:lastRow="0" w:firstColumn="1" w:lastColumn="0" w:noHBand="0" w:noVBand="1"/>
      </w:tblPr>
      <w:tblGrid>
        <w:gridCol w:w="36"/>
        <w:gridCol w:w="2568"/>
        <w:gridCol w:w="36"/>
      </w:tblGrid>
      <w:tr w:rsidR="00000000" w14:paraId="30CF597C" w14:textId="77777777">
        <w:trPr>
          <w:divId w:val="1279678660"/>
          <w:jc w:val="center"/>
        </w:trPr>
        <w:tc>
          <w:tcPr>
            <w:tcW w:w="20" w:type="dxa"/>
            <w:vAlign w:val="center"/>
            <w:hideMark/>
          </w:tcPr>
          <w:p w14:paraId="662CA178" w14:textId="77777777" w:rsidR="00000000" w:rsidRDefault="00C1661D">
            <w:pPr>
              <w:jc w:val="center"/>
              <w:rPr>
                <w:rFonts w:eastAsia="Times New Roman"/>
              </w:rPr>
            </w:pPr>
          </w:p>
        </w:tc>
        <w:tc>
          <w:tcPr>
            <w:tcW w:w="2600" w:type="dxa"/>
            <w:vAlign w:val="center"/>
            <w:hideMark/>
          </w:tcPr>
          <w:p w14:paraId="593B787F" w14:textId="77777777" w:rsidR="00000000" w:rsidRDefault="00C1661D">
            <w:pPr>
              <w:spacing w:after="100"/>
              <w:rPr>
                <w:rFonts w:eastAsia="Times New Roman"/>
                <w:sz w:val="20"/>
                <w:szCs w:val="20"/>
              </w:rPr>
            </w:pPr>
          </w:p>
        </w:tc>
        <w:tc>
          <w:tcPr>
            <w:tcW w:w="20" w:type="dxa"/>
            <w:vAlign w:val="center"/>
            <w:hideMark/>
          </w:tcPr>
          <w:p w14:paraId="598A7C4C" w14:textId="77777777" w:rsidR="00000000" w:rsidRDefault="00C1661D">
            <w:pPr>
              <w:spacing w:after="100"/>
              <w:rPr>
                <w:rFonts w:eastAsia="Times New Roman"/>
                <w:sz w:val="20"/>
                <w:szCs w:val="20"/>
              </w:rPr>
            </w:pPr>
          </w:p>
        </w:tc>
      </w:tr>
      <w:tr w:rsidR="00000000" w14:paraId="6C78A3C4" w14:textId="77777777">
        <w:trPr>
          <w:divId w:val="1279678660"/>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14:paraId="1DA8B6C7" w14:textId="77777777" w:rsidR="00000000" w:rsidRDefault="00C1661D">
            <w:pPr>
              <w:spacing w:after="100"/>
              <w:rPr>
                <w:rFonts w:eastAsia="Times New Roman"/>
                <w:sz w:val="20"/>
                <w:szCs w:val="20"/>
              </w:rPr>
            </w:pPr>
          </w:p>
        </w:tc>
      </w:tr>
    </w:tbl>
    <w:p w14:paraId="6B2F8E3C" w14:textId="77777777" w:rsidR="00000000" w:rsidRDefault="00C1661D">
      <w:pPr>
        <w:jc w:val="center"/>
        <w:rPr>
          <w:rFonts w:eastAsia="Times New Roman"/>
        </w:rPr>
      </w:pPr>
      <w:r>
        <w:rPr>
          <w:rFonts w:eastAsia="Times New Roman"/>
          <w:b/>
          <w:bCs/>
          <w:color w:val="000000"/>
          <w:sz w:val="36"/>
          <w:szCs w:val="36"/>
        </w:rPr>
        <w:t xml:space="preserve">FORM 10-K </w:t>
      </w:r>
    </w:p>
    <w:tbl>
      <w:tblPr>
        <w:tblW w:w="5000" w:type="pct"/>
        <w:jc w:val="center"/>
        <w:tblCellMar>
          <w:top w:w="15" w:type="dxa"/>
          <w:left w:w="15" w:type="dxa"/>
          <w:bottom w:w="15" w:type="dxa"/>
          <w:right w:w="15" w:type="dxa"/>
        </w:tblCellMar>
        <w:tblLook w:val="04A0" w:firstRow="1" w:lastRow="0" w:firstColumn="1" w:lastColumn="0" w:noHBand="0" w:noVBand="1"/>
      </w:tblPr>
      <w:tblGrid>
        <w:gridCol w:w="75"/>
        <w:gridCol w:w="239"/>
        <w:gridCol w:w="36"/>
        <w:gridCol w:w="69"/>
        <w:gridCol w:w="7851"/>
        <w:gridCol w:w="36"/>
      </w:tblGrid>
      <w:tr w:rsidR="00000000" w14:paraId="7FBD5EF0" w14:textId="77777777">
        <w:trPr>
          <w:jc w:val="center"/>
        </w:trPr>
        <w:tc>
          <w:tcPr>
            <w:tcW w:w="50" w:type="pct"/>
            <w:vAlign w:val="center"/>
            <w:hideMark/>
          </w:tcPr>
          <w:p w14:paraId="1A7093B4" w14:textId="77777777" w:rsidR="00000000" w:rsidRDefault="00C1661D">
            <w:pPr>
              <w:jc w:val="center"/>
              <w:rPr>
                <w:rFonts w:eastAsia="Times New Roman"/>
              </w:rPr>
            </w:pPr>
          </w:p>
        </w:tc>
        <w:tc>
          <w:tcPr>
            <w:tcW w:w="156" w:type="pct"/>
            <w:vAlign w:val="center"/>
            <w:hideMark/>
          </w:tcPr>
          <w:p w14:paraId="6BDF1643" w14:textId="77777777" w:rsidR="00000000" w:rsidRDefault="00C1661D">
            <w:pPr>
              <w:spacing w:after="100"/>
              <w:rPr>
                <w:rFonts w:eastAsia="Times New Roman"/>
                <w:sz w:val="20"/>
                <w:szCs w:val="20"/>
              </w:rPr>
            </w:pPr>
          </w:p>
        </w:tc>
        <w:tc>
          <w:tcPr>
            <w:tcW w:w="5" w:type="pct"/>
            <w:vAlign w:val="center"/>
            <w:hideMark/>
          </w:tcPr>
          <w:p w14:paraId="6865F92E" w14:textId="77777777" w:rsidR="00000000" w:rsidRDefault="00C1661D">
            <w:pPr>
              <w:spacing w:after="100"/>
              <w:rPr>
                <w:rFonts w:eastAsia="Times New Roman"/>
                <w:sz w:val="20"/>
                <w:szCs w:val="20"/>
              </w:rPr>
            </w:pPr>
          </w:p>
        </w:tc>
        <w:tc>
          <w:tcPr>
            <w:tcW w:w="50" w:type="pct"/>
            <w:vAlign w:val="center"/>
            <w:hideMark/>
          </w:tcPr>
          <w:p w14:paraId="2B1548D5" w14:textId="77777777" w:rsidR="00000000" w:rsidRDefault="00C1661D">
            <w:pPr>
              <w:spacing w:after="100"/>
              <w:rPr>
                <w:rFonts w:eastAsia="Times New Roman"/>
                <w:sz w:val="20"/>
                <w:szCs w:val="20"/>
              </w:rPr>
            </w:pPr>
          </w:p>
        </w:tc>
        <w:tc>
          <w:tcPr>
            <w:tcW w:w="4733" w:type="pct"/>
            <w:vAlign w:val="center"/>
            <w:hideMark/>
          </w:tcPr>
          <w:p w14:paraId="6A97D52A" w14:textId="77777777" w:rsidR="00000000" w:rsidRDefault="00C1661D">
            <w:pPr>
              <w:spacing w:after="100"/>
              <w:rPr>
                <w:rFonts w:eastAsia="Times New Roman"/>
                <w:sz w:val="20"/>
                <w:szCs w:val="20"/>
              </w:rPr>
            </w:pPr>
          </w:p>
        </w:tc>
        <w:tc>
          <w:tcPr>
            <w:tcW w:w="5" w:type="pct"/>
            <w:vAlign w:val="center"/>
            <w:hideMark/>
          </w:tcPr>
          <w:p w14:paraId="5DD99887" w14:textId="77777777" w:rsidR="00000000" w:rsidRDefault="00C1661D">
            <w:pPr>
              <w:spacing w:after="100"/>
              <w:rPr>
                <w:rFonts w:eastAsia="Times New Roman"/>
                <w:sz w:val="20"/>
                <w:szCs w:val="20"/>
              </w:rPr>
            </w:pPr>
          </w:p>
        </w:tc>
      </w:tr>
      <w:tr w:rsidR="00000000" w14:paraId="4A10ACC0" w14:textId="77777777">
        <w:trPr>
          <w:jc w:val="center"/>
        </w:trPr>
        <w:tc>
          <w:tcPr>
            <w:tcW w:w="0" w:type="auto"/>
            <w:gridSpan w:val="3"/>
            <w:tcMar>
              <w:top w:w="30" w:type="dxa"/>
              <w:left w:w="20" w:type="dxa"/>
              <w:bottom w:w="30" w:type="dxa"/>
              <w:right w:w="20" w:type="dxa"/>
            </w:tcMar>
            <w:hideMark/>
          </w:tcPr>
          <w:p w14:paraId="1EF00C9C" w14:textId="77777777" w:rsidR="00000000" w:rsidRDefault="00C1661D">
            <w:pPr>
              <w:spacing w:after="100"/>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center"/>
            <w:hideMark/>
          </w:tcPr>
          <w:p w14:paraId="7A20740A" w14:textId="77777777" w:rsidR="00000000" w:rsidRDefault="00C1661D">
            <w:pPr>
              <w:spacing w:after="100"/>
              <w:jc w:val="both"/>
              <w:divId w:val="2069986259"/>
              <w:rPr>
                <w:rFonts w:eastAsia="Times New Roman"/>
              </w:rPr>
            </w:pPr>
            <w:r>
              <w:rPr>
                <w:rFonts w:eastAsia="Times New Roman"/>
                <w:b/>
                <w:bCs/>
                <w:color w:val="000000"/>
                <w:sz w:val="22"/>
                <w:szCs w:val="22"/>
              </w:rPr>
              <w:t>ANNUAL REPORT PURSUANT TO SECTION 13 OR 15(d) OF THE SECURITIES EXCHANGE ACT OF 1934</w:t>
            </w:r>
          </w:p>
        </w:tc>
      </w:tr>
    </w:tbl>
    <w:p w14:paraId="7CC02B2C" w14:textId="77777777" w:rsidR="00000000" w:rsidRDefault="00C1661D">
      <w:pPr>
        <w:jc w:val="center"/>
        <w:rPr>
          <w:rFonts w:eastAsia="Times New Roman"/>
        </w:rPr>
      </w:pPr>
      <w:r>
        <w:rPr>
          <w:rFonts w:eastAsia="Times New Roman"/>
          <w:b/>
          <w:bCs/>
          <w:color w:val="000000"/>
          <w:sz w:val="18"/>
          <w:szCs w:val="18"/>
        </w:rPr>
        <w:t xml:space="preserve">FOR THE FISCAL YEAR ENDED SEPTEMBER 30, 2022 </w:t>
      </w:r>
    </w:p>
    <w:tbl>
      <w:tblPr>
        <w:tblW w:w="4970" w:type="pct"/>
        <w:jc w:val="center"/>
        <w:tblCellMar>
          <w:top w:w="15" w:type="dxa"/>
          <w:left w:w="15" w:type="dxa"/>
          <w:bottom w:w="15" w:type="dxa"/>
          <w:right w:w="15" w:type="dxa"/>
        </w:tblCellMar>
        <w:tblLook w:val="04A0" w:firstRow="1" w:lastRow="0" w:firstColumn="1" w:lastColumn="0" w:noHBand="0" w:noVBand="1"/>
      </w:tblPr>
      <w:tblGrid>
        <w:gridCol w:w="68"/>
        <w:gridCol w:w="234"/>
        <w:gridCol w:w="36"/>
        <w:gridCol w:w="69"/>
        <w:gridCol w:w="7813"/>
        <w:gridCol w:w="36"/>
      </w:tblGrid>
      <w:tr w:rsidR="00000000" w14:paraId="6CDFE6FA" w14:textId="77777777">
        <w:trPr>
          <w:jc w:val="center"/>
        </w:trPr>
        <w:tc>
          <w:tcPr>
            <w:tcW w:w="50" w:type="pct"/>
            <w:vAlign w:val="center"/>
            <w:hideMark/>
          </w:tcPr>
          <w:p w14:paraId="734526A0" w14:textId="77777777" w:rsidR="00000000" w:rsidRDefault="00C1661D">
            <w:pPr>
              <w:jc w:val="center"/>
              <w:rPr>
                <w:rFonts w:eastAsia="Times New Roman"/>
              </w:rPr>
            </w:pPr>
          </w:p>
        </w:tc>
        <w:tc>
          <w:tcPr>
            <w:tcW w:w="150" w:type="pct"/>
            <w:vAlign w:val="center"/>
            <w:hideMark/>
          </w:tcPr>
          <w:p w14:paraId="3EE7BAD7" w14:textId="77777777" w:rsidR="00000000" w:rsidRDefault="00C1661D">
            <w:pPr>
              <w:spacing w:after="100"/>
              <w:rPr>
                <w:rFonts w:eastAsia="Times New Roman"/>
                <w:sz w:val="20"/>
                <w:szCs w:val="20"/>
              </w:rPr>
            </w:pPr>
          </w:p>
        </w:tc>
        <w:tc>
          <w:tcPr>
            <w:tcW w:w="5" w:type="pct"/>
            <w:vAlign w:val="center"/>
            <w:hideMark/>
          </w:tcPr>
          <w:p w14:paraId="5AF7A78A" w14:textId="77777777" w:rsidR="00000000" w:rsidRDefault="00C1661D">
            <w:pPr>
              <w:spacing w:after="100"/>
              <w:rPr>
                <w:rFonts w:eastAsia="Times New Roman"/>
                <w:sz w:val="20"/>
                <w:szCs w:val="20"/>
              </w:rPr>
            </w:pPr>
          </w:p>
        </w:tc>
        <w:tc>
          <w:tcPr>
            <w:tcW w:w="50" w:type="pct"/>
            <w:vAlign w:val="center"/>
            <w:hideMark/>
          </w:tcPr>
          <w:p w14:paraId="69E34660" w14:textId="77777777" w:rsidR="00000000" w:rsidRDefault="00C1661D">
            <w:pPr>
              <w:spacing w:after="100"/>
              <w:rPr>
                <w:rFonts w:eastAsia="Times New Roman"/>
                <w:sz w:val="20"/>
                <w:szCs w:val="20"/>
              </w:rPr>
            </w:pPr>
          </w:p>
        </w:tc>
        <w:tc>
          <w:tcPr>
            <w:tcW w:w="4739" w:type="pct"/>
            <w:vAlign w:val="center"/>
            <w:hideMark/>
          </w:tcPr>
          <w:p w14:paraId="4F0FCAA2" w14:textId="77777777" w:rsidR="00000000" w:rsidRDefault="00C1661D">
            <w:pPr>
              <w:spacing w:after="100"/>
              <w:rPr>
                <w:rFonts w:eastAsia="Times New Roman"/>
                <w:sz w:val="20"/>
                <w:szCs w:val="20"/>
              </w:rPr>
            </w:pPr>
          </w:p>
        </w:tc>
        <w:tc>
          <w:tcPr>
            <w:tcW w:w="5" w:type="pct"/>
            <w:vAlign w:val="center"/>
            <w:hideMark/>
          </w:tcPr>
          <w:p w14:paraId="2BDD8910" w14:textId="77777777" w:rsidR="00000000" w:rsidRDefault="00C1661D">
            <w:pPr>
              <w:spacing w:after="100"/>
              <w:rPr>
                <w:rFonts w:eastAsia="Times New Roman"/>
                <w:sz w:val="20"/>
                <w:szCs w:val="20"/>
              </w:rPr>
            </w:pPr>
          </w:p>
        </w:tc>
      </w:tr>
      <w:tr w:rsidR="00000000" w14:paraId="09CE7A50" w14:textId="77777777">
        <w:trPr>
          <w:jc w:val="center"/>
        </w:trPr>
        <w:tc>
          <w:tcPr>
            <w:tcW w:w="0" w:type="auto"/>
            <w:gridSpan w:val="3"/>
            <w:tcMar>
              <w:top w:w="30" w:type="dxa"/>
              <w:left w:w="20" w:type="dxa"/>
              <w:bottom w:w="30" w:type="dxa"/>
              <w:right w:w="20" w:type="dxa"/>
            </w:tcMar>
            <w:vAlign w:val="bottom"/>
            <w:hideMark/>
          </w:tcPr>
          <w:p w14:paraId="64ACFF8D" w14:textId="77777777" w:rsidR="00000000" w:rsidRDefault="00C1661D">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5BD4B271" w14:textId="77777777" w:rsidR="00000000" w:rsidRDefault="00C1661D">
            <w:pPr>
              <w:spacing w:after="100"/>
              <w:jc w:val="both"/>
              <w:rPr>
                <w:rFonts w:eastAsia="Times New Roman"/>
              </w:rPr>
            </w:pPr>
            <w:r>
              <w:rPr>
                <w:rFonts w:eastAsia="Times New Roman"/>
                <w:b/>
                <w:bCs/>
                <w:color w:val="000000"/>
                <w:sz w:val="22"/>
                <w:szCs w:val="22"/>
              </w:rPr>
              <w:t>TRANSITION REPORT PURSUANT TO SECTION 13 OR 15(d) OF THE SECURITIES EXCHANGE ACT OF 1934</w:t>
            </w:r>
          </w:p>
        </w:tc>
      </w:tr>
    </w:tbl>
    <w:p w14:paraId="5136F9B2" w14:textId="77777777" w:rsidR="00000000" w:rsidRDefault="00C1661D">
      <w:pPr>
        <w:jc w:val="center"/>
        <w:rPr>
          <w:rFonts w:eastAsia="Times New Roman"/>
        </w:rPr>
      </w:pPr>
      <w:r>
        <w:rPr>
          <w:rFonts w:eastAsia="Times New Roman"/>
          <w:b/>
          <w:bCs/>
          <w:color w:val="000000"/>
          <w:sz w:val="20"/>
          <w:szCs w:val="20"/>
        </w:rPr>
        <w:t>For the transition period from  ________ to ________  </w:t>
      </w:r>
    </w:p>
    <w:p w14:paraId="45160911" w14:textId="77777777" w:rsidR="00000000" w:rsidRDefault="00C1661D">
      <w:pPr>
        <w:jc w:val="center"/>
        <w:rPr>
          <w:rFonts w:eastAsia="Times New Roman"/>
        </w:rPr>
      </w:pPr>
      <w:r>
        <w:rPr>
          <w:rFonts w:eastAsia="Times New Roman"/>
          <w:b/>
          <w:bCs/>
          <w:color w:val="000000"/>
          <w:sz w:val="18"/>
          <w:szCs w:val="18"/>
        </w:rPr>
        <w:t xml:space="preserve">Commission file number 1-11071 </w:t>
      </w:r>
    </w:p>
    <w:p w14:paraId="79669E20" w14:textId="77777777" w:rsidR="00000000" w:rsidRDefault="00C1661D">
      <w:pPr>
        <w:jc w:val="center"/>
        <w:rPr>
          <w:rFonts w:eastAsia="Times New Roman"/>
        </w:rPr>
      </w:pPr>
      <w:r>
        <w:rPr>
          <w:rFonts w:eastAsia="Times New Roman"/>
          <w:b/>
          <w:bCs/>
          <w:color w:val="000000"/>
          <w:sz w:val="48"/>
          <w:szCs w:val="48"/>
        </w:rPr>
        <w:t>UGI CORPORATION</w:t>
      </w:r>
    </w:p>
    <w:p w14:paraId="70CD205E" w14:textId="77777777" w:rsidR="00000000" w:rsidRDefault="00C1661D">
      <w:pPr>
        <w:jc w:val="center"/>
        <w:rPr>
          <w:rFonts w:eastAsia="Times New Roman"/>
        </w:rPr>
      </w:pPr>
      <w:r>
        <w:rPr>
          <w:rFonts w:eastAsia="Times New Roman"/>
          <w:b/>
          <w:bCs/>
          <w:color w:val="000000"/>
          <w:sz w:val="20"/>
          <w:szCs w:val="20"/>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3762"/>
        <w:gridCol w:w="36"/>
        <w:gridCol w:w="69"/>
        <w:gridCol w:w="465"/>
        <w:gridCol w:w="36"/>
        <w:gridCol w:w="70"/>
        <w:gridCol w:w="3763"/>
        <w:gridCol w:w="36"/>
      </w:tblGrid>
      <w:tr w:rsidR="00000000" w14:paraId="3B51731C" w14:textId="77777777">
        <w:trPr>
          <w:divId w:val="1207764215"/>
        </w:trPr>
        <w:tc>
          <w:tcPr>
            <w:tcW w:w="50" w:type="pct"/>
            <w:vAlign w:val="center"/>
            <w:hideMark/>
          </w:tcPr>
          <w:p w14:paraId="085FA1F9" w14:textId="77777777" w:rsidR="00000000" w:rsidRDefault="00C1661D">
            <w:pPr>
              <w:jc w:val="center"/>
              <w:rPr>
                <w:rFonts w:eastAsia="Times New Roman"/>
              </w:rPr>
            </w:pPr>
          </w:p>
        </w:tc>
        <w:tc>
          <w:tcPr>
            <w:tcW w:w="2273" w:type="pct"/>
            <w:vAlign w:val="center"/>
            <w:hideMark/>
          </w:tcPr>
          <w:p w14:paraId="57D58F9E" w14:textId="77777777" w:rsidR="00000000" w:rsidRDefault="00C1661D">
            <w:pPr>
              <w:spacing w:after="100"/>
              <w:rPr>
                <w:rFonts w:eastAsia="Times New Roman"/>
                <w:sz w:val="20"/>
                <w:szCs w:val="20"/>
              </w:rPr>
            </w:pPr>
          </w:p>
        </w:tc>
        <w:tc>
          <w:tcPr>
            <w:tcW w:w="5" w:type="pct"/>
            <w:vAlign w:val="center"/>
            <w:hideMark/>
          </w:tcPr>
          <w:p w14:paraId="36F38926" w14:textId="77777777" w:rsidR="00000000" w:rsidRDefault="00C1661D">
            <w:pPr>
              <w:spacing w:after="100"/>
              <w:rPr>
                <w:rFonts w:eastAsia="Times New Roman"/>
                <w:sz w:val="20"/>
                <w:szCs w:val="20"/>
              </w:rPr>
            </w:pPr>
          </w:p>
        </w:tc>
        <w:tc>
          <w:tcPr>
            <w:tcW w:w="50" w:type="pct"/>
            <w:vAlign w:val="center"/>
            <w:hideMark/>
          </w:tcPr>
          <w:p w14:paraId="37E14E19" w14:textId="77777777" w:rsidR="00000000" w:rsidRDefault="00C1661D">
            <w:pPr>
              <w:spacing w:after="100"/>
              <w:rPr>
                <w:rFonts w:eastAsia="Times New Roman"/>
                <w:sz w:val="20"/>
                <w:szCs w:val="20"/>
              </w:rPr>
            </w:pPr>
          </w:p>
        </w:tc>
        <w:tc>
          <w:tcPr>
            <w:tcW w:w="288" w:type="pct"/>
            <w:vAlign w:val="center"/>
            <w:hideMark/>
          </w:tcPr>
          <w:p w14:paraId="597DE002" w14:textId="77777777" w:rsidR="00000000" w:rsidRDefault="00C1661D">
            <w:pPr>
              <w:spacing w:after="100"/>
              <w:rPr>
                <w:rFonts w:eastAsia="Times New Roman"/>
                <w:sz w:val="20"/>
                <w:szCs w:val="20"/>
              </w:rPr>
            </w:pPr>
          </w:p>
        </w:tc>
        <w:tc>
          <w:tcPr>
            <w:tcW w:w="5" w:type="pct"/>
            <w:vAlign w:val="center"/>
            <w:hideMark/>
          </w:tcPr>
          <w:p w14:paraId="4D079F24" w14:textId="77777777" w:rsidR="00000000" w:rsidRDefault="00C1661D">
            <w:pPr>
              <w:spacing w:after="100"/>
              <w:rPr>
                <w:rFonts w:eastAsia="Times New Roman"/>
                <w:sz w:val="20"/>
                <w:szCs w:val="20"/>
              </w:rPr>
            </w:pPr>
          </w:p>
        </w:tc>
        <w:tc>
          <w:tcPr>
            <w:tcW w:w="50" w:type="pct"/>
            <w:vAlign w:val="center"/>
            <w:hideMark/>
          </w:tcPr>
          <w:p w14:paraId="38710FEE" w14:textId="77777777" w:rsidR="00000000" w:rsidRDefault="00C1661D">
            <w:pPr>
              <w:spacing w:after="100"/>
              <w:rPr>
                <w:rFonts w:eastAsia="Times New Roman"/>
                <w:sz w:val="20"/>
                <w:szCs w:val="20"/>
              </w:rPr>
            </w:pPr>
          </w:p>
        </w:tc>
        <w:tc>
          <w:tcPr>
            <w:tcW w:w="2273" w:type="pct"/>
            <w:vAlign w:val="center"/>
            <w:hideMark/>
          </w:tcPr>
          <w:p w14:paraId="647CEDDB" w14:textId="77777777" w:rsidR="00000000" w:rsidRDefault="00C1661D">
            <w:pPr>
              <w:spacing w:after="100"/>
              <w:rPr>
                <w:rFonts w:eastAsia="Times New Roman"/>
                <w:sz w:val="20"/>
                <w:szCs w:val="20"/>
              </w:rPr>
            </w:pPr>
          </w:p>
        </w:tc>
        <w:tc>
          <w:tcPr>
            <w:tcW w:w="5" w:type="pct"/>
            <w:vAlign w:val="center"/>
            <w:hideMark/>
          </w:tcPr>
          <w:p w14:paraId="27BDE6F1" w14:textId="77777777" w:rsidR="00000000" w:rsidRDefault="00C1661D">
            <w:pPr>
              <w:spacing w:after="100"/>
              <w:rPr>
                <w:rFonts w:eastAsia="Times New Roman"/>
                <w:sz w:val="20"/>
                <w:szCs w:val="20"/>
              </w:rPr>
            </w:pPr>
          </w:p>
        </w:tc>
      </w:tr>
      <w:tr w:rsidR="00000000" w14:paraId="47C02B4E" w14:textId="77777777">
        <w:trPr>
          <w:divId w:val="1207764215"/>
        </w:trPr>
        <w:tc>
          <w:tcPr>
            <w:tcW w:w="0" w:type="auto"/>
            <w:gridSpan w:val="3"/>
            <w:tcMar>
              <w:top w:w="30" w:type="dxa"/>
              <w:left w:w="20" w:type="dxa"/>
              <w:bottom w:w="30" w:type="dxa"/>
              <w:right w:w="20" w:type="dxa"/>
            </w:tcMar>
            <w:hideMark/>
          </w:tcPr>
          <w:p w14:paraId="3EB9BE8E" w14:textId="77777777" w:rsidR="00000000" w:rsidRDefault="00C1661D">
            <w:pPr>
              <w:spacing w:after="100"/>
              <w:jc w:val="center"/>
              <w:rPr>
                <w:rFonts w:eastAsia="Times New Roman"/>
              </w:rPr>
            </w:pPr>
            <w:r>
              <w:rPr>
                <w:rFonts w:eastAsia="Times New Roman"/>
                <w:color w:val="000000"/>
                <w:sz w:val="18"/>
                <w:szCs w:val="18"/>
              </w:rPr>
              <w:t>Pennsylvania</w:t>
            </w:r>
          </w:p>
        </w:tc>
        <w:tc>
          <w:tcPr>
            <w:tcW w:w="0" w:type="auto"/>
            <w:gridSpan w:val="3"/>
            <w:tcMar>
              <w:top w:w="30" w:type="dxa"/>
              <w:left w:w="20" w:type="dxa"/>
              <w:bottom w:w="30" w:type="dxa"/>
              <w:right w:w="20" w:type="dxa"/>
            </w:tcMar>
            <w:vAlign w:val="bottom"/>
            <w:hideMark/>
          </w:tcPr>
          <w:p w14:paraId="76D02F11" w14:textId="77777777" w:rsidR="00000000" w:rsidRDefault="00C1661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hideMark/>
          </w:tcPr>
          <w:p w14:paraId="2BAA8514" w14:textId="77777777" w:rsidR="00000000" w:rsidRDefault="00C1661D">
            <w:pPr>
              <w:spacing w:after="100"/>
              <w:jc w:val="center"/>
              <w:rPr>
                <w:rFonts w:eastAsia="Times New Roman"/>
              </w:rPr>
            </w:pPr>
            <w:r>
              <w:rPr>
                <w:rFonts w:eastAsia="Times New Roman"/>
                <w:color w:val="000000"/>
                <w:sz w:val="18"/>
                <w:szCs w:val="18"/>
              </w:rPr>
              <w:t>23-2668356</w:t>
            </w:r>
          </w:p>
        </w:tc>
      </w:tr>
      <w:tr w:rsidR="00000000" w14:paraId="481501A5" w14:textId="77777777">
        <w:trPr>
          <w:divId w:val="1207764215"/>
        </w:trPr>
        <w:tc>
          <w:tcPr>
            <w:tcW w:w="0" w:type="auto"/>
            <w:gridSpan w:val="3"/>
            <w:tcMar>
              <w:top w:w="30" w:type="dxa"/>
              <w:left w:w="20" w:type="dxa"/>
              <w:bottom w:w="30" w:type="dxa"/>
              <w:right w:w="20" w:type="dxa"/>
            </w:tcMar>
            <w:hideMark/>
          </w:tcPr>
          <w:p w14:paraId="324A1D6A" w14:textId="77777777" w:rsidR="00000000" w:rsidRDefault="00C1661D">
            <w:pPr>
              <w:spacing w:after="100"/>
              <w:jc w:val="center"/>
              <w:rPr>
                <w:rFonts w:eastAsia="Times New Roman"/>
              </w:rPr>
            </w:pPr>
            <w:r>
              <w:rPr>
                <w:rFonts w:eastAsia="Times New Roman"/>
                <w:b/>
                <w:bCs/>
                <w:color w:val="000000"/>
                <w:sz w:val="18"/>
                <w:szCs w:val="18"/>
              </w:rPr>
              <w:t>(State or Other Jurisdiction of</w:t>
            </w:r>
            <w:r>
              <w:rPr>
                <w:rFonts w:eastAsia="Times New Roman"/>
                <w:b/>
                <w:bCs/>
                <w:color w:val="000000"/>
                <w:sz w:val="18"/>
                <w:szCs w:val="18"/>
              </w:rPr>
              <w:br/>
              <w:t>Incorporation or Organization)</w:t>
            </w:r>
          </w:p>
        </w:tc>
        <w:tc>
          <w:tcPr>
            <w:tcW w:w="0" w:type="auto"/>
            <w:gridSpan w:val="3"/>
            <w:tcMar>
              <w:top w:w="30" w:type="dxa"/>
              <w:left w:w="20" w:type="dxa"/>
              <w:bottom w:w="30" w:type="dxa"/>
              <w:right w:w="20" w:type="dxa"/>
            </w:tcMar>
            <w:vAlign w:val="bottom"/>
            <w:hideMark/>
          </w:tcPr>
          <w:p w14:paraId="60572952" w14:textId="77777777" w:rsidR="00000000" w:rsidRDefault="00C1661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hideMark/>
          </w:tcPr>
          <w:p w14:paraId="0AD92960" w14:textId="77777777" w:rsidR="00000000" w:rsidRDefault="00C1661D">
            <w:pPr>
              <w:spacing w:after="100"/>
              <w:jc w:val="center"/>
              <w:rPr>
                <w:rFonts w:eastAsia="Times New Roman"/>
              </w:rPr>
            </w:pPr>
            <w:r>
              <w:rPr>
                <w:rFonts w:eastAsia="Times New Roman"/>
                <w:b/>
                <w:bCs/>
                <w:color w:val="000000"/>
                <w:sz w:val="18"/>
                <w:szCs w:val="18"/>
              </w:rPr>
              <w:t>(I.R.S. Employer Identification No.)</w:t>
            </w:r>
          </w:p>
        </w:tc>
      </w:tr>
    </w:tbl>
    <w:p w14:paraId="68ECF280" w14:textId="77777777" w:rsidR="00000000" w:rsidRDefault="00C1661D">
      <w:pPr>
        <w:jc w:val="center"/>
        <w:rPr>
          <w:rFonts w:eastAsia="Times New Roman"/>
        </w:rPr>
      </w:pPr>
      <w:r>
        <w:rPr>
          <w:rFonts w:eastAsia="Times New Roman"/>
          <w:color w:val="000000"/>
          <w:sz w:val="18"/>
          <w:szCs w:val="18"/>
        </w:rPr>
        <w:t xml:space="preserve">460 North Gulph Road, </w:t>
      </w:r>
      <w:r>
        <w:rPr>
          <w:rFonts w:eastAsia="Times New Roman"/>
          <w:color w:val="000000"/>
          <w:sz w:val="18"/>
          <w:szCs w:val="18"/>
        </w:rPr>
        <w:t xml:space="preserve">King of Prussia, PA 19406 </w:t>
      </w:r>
    </w:p>
    <w:p w14:paraId="6520175A" w14:textId="77777777" w:rsidR="00000000" w:rsidRDefault="00C1661D">
      <w:pPr>
        <w:jc w:val="center"/>
        <w:rPr>
          <w:rFonts w:eastAsia="Times New Roman"/>
        </w:rPr>
      </w:pPr>
      <w:r>
        <w:rPr>
          <w:rFonts w:eastAsia="Times New Roman"/>
          <w:b/>
          <w:bCs/>
          <w:color w:val="000000"/>
          <w:sz w:val="18"/>
          <w:szCs w:val="18"/>
        </w:rPr>
        <w:t>(Address of Principal Executive Offices) (Zip Code)</w:t>
      </w:r>
    </w:p>
    <w:p w14:paraId="1B2CC565" w14:textId="77777777" w:rsidR="00000000" w:rsidRDefault="00C1661D">
      <w:pPr>
        <w:jc w:val="center"/>
        <w:rPr>
          <w:rFonts w:eastAsia="Times New Roman"/>
        </w:rPr>
      </w:pPr>
      <w:r>
        <w:rPr>
          <w:rFonts w:eastAsia="Times New Roman"/>
          <w:color w:val="000000"/>
          <w:sz w:val="18"/>
          <w:szCs w:val="18"/>
        </w:rPr>
        <w:t xml:space="preserve">(610) 337-1000 </w:t>
      </w:r>
    </w:p>
    <w:p w14:paraId="1F9D642C" w14:textId="77777777" w:rsidR="00000000" w:rsidRDefault="00C1661D">
      <w:pPr>
        <w:jc w:val="center"/>
        <w:rPr>
          <w:rFonts w:eastAsia="Times New Roman"/>
        </w:rPr>
      </w:pPr>
      <w:r>
        <w:rPr>
          <w:rFonts w:eastAsia="Times New Roman"/>
          <w:b/>
          <w:bCs/>
          <w:color w:val="000000"/>
          <w:sz w:val="18"/>
          <w:szCs w:val="18"/>
        </w:rPr>
        <w:t>(Registrant’s telephone number, including area code)</w:t>
      </w:r>
    </w:p>
    <w:p w14:paraId="7418B377" w14:textId="77777777" w:rsidR="00000000" w:rsidRDefault="00C1661D">
      <w:pPr>
        <w:jc w:val="center"/>
        <w:rPr>
          <w:rFonts w:eastAsia="Times New Roman"/>
        </w:rPr>
      </w:pPr>
      <w:r>
        <w:rPr>
          <w:rFonts w:eastAsia="Times New Roman"/>
          <w:b/>
          <w:bCs/>
          <w:color w:val="000000"/>
          <w:sz w:val="18"/>
          <w:szCs w:val="18"/>
        </w:rPr>
        <w:t>Securities registered pursuant to Section 12(b) of the Act:</w:t>
      </w:r>
    </w:p>
    <w:tbl>
      <w:tblPr>
        <w:tblW w:w="4992" w:type="pct"/>
        <w:tblCellMar>
          <w:top w:w="15" w:type="dxa"/>
          <w:left w:w="15" w:type="dxa"/>
          <w:bottom w:w="15" w:type="dxa"/>
          <w:right w:w="15" w:type="dxa"/>
        </w:tblCellMar>
        <w:tblLook w:val="04A0" w:firstRow="1" w:lastRow="0" w:firstColumn="1" w:lastColumn="0" w:noHBand="0" w:noVBand="1"/>
      </w:tblPr>
      <w:tblGrid>
        <w:gridCol w:w="69"/>
        <w:gridCol w:w="3258"/>
        <w:gridCol w:w="37"/>
        <w:gridCol w:w="69"/>
        <w:gridCol w:w="1460"/>
        <w:gridCol w:w="36"/>
        <w:gridCol w:w="69"/>
        <w:gridCol w:w="3259"/>
        <w:gridCol w:w="36"/>
      </w:tblGrid>
      <w:tr w:rsidR="00000000" w14:paraId="2338DBC1" w14:textId="77777777">
        <w:trPr>
          <w:divId w:val="2127195128"/>
        </w:trPr>
        <w:tc>
          <w:tcPr>
            <w:tcW w:w="50" w:type="pct"/>
            <w:vAlign w:val="center"/>
            <w:hideMark/>
          </w:tcPr>
          <w:p w14:paraId="72A9C102" w14:textId="77777777" w:rsidR="00000000" w:rsidRDefault="00C1661D">
            <w:pPr>
              <w:jc w:val="center"/>
              <w:rPr>
                <w:rFonts w:eastAsia="Times New Roman"/>
              </w:rPr>
            </w:pPr>
          </w:p>
        </w:tc>
        <w:tc>
          <w:tcPr>
            <w:tcW w:w="1972" w:type="pct"/>
            <w:vAlign w:val="center"/>
            <w:hideMark/>
          </w:tcPr>
          <w:p w14:paraId="755E4F67" w14:textId="77777777" w:rsidR="00000000" w:rsidRDefault="00C1661D">
            <w:pPr>
              <w:spacing w:after="100"/>
              <w:rPr>
                <w:rFonts w:eastAsia="Times New Roman"/>
                <w:sz w:val="20"/>
                <w:szCs w:val="20"/>
              </w:rPr>
            </w:pPr>
          </w:p>
        </w:tc>
        <w:tc>
          <w:tcPr>
            <w:tcW w:w="5" w:type="pct"/>
            <w:vAlign w:val="center"/>
            <w:hideMark/>
          </w:tcPr>
          <w:p w14:paraId="3E190EFD" w14:textId="77777777" w:rsidR="00000000" w:rsidRDefault="00C1661D">
            <w:pPr>
              <w:spacing w:after="100"/>
              <w:rPr>
                <w:rFonts w:eastAsia="Times New Roman"/>
                <w:sz w:val="20"/>
                <w:szCs w:val="20"/>
              </w:rPr>
            </w:pPr>
          </w:p>
        </w:tc>
        <w:tc>
          <w:tcPr>
            <w:tcW w:w="50" w:type="pct"/>
            <w:vAlign w:val="center"/>
            <w:hideMark/>
          </w:tcPr>
          <w:p w14:paraId="6260E164" w14:textId="77777777" w:rsidR="00000000" w:rsidRDefault="00C1661D">
            <w:pPr>
              <w:spacing w:after="100"/>
              <w:rPr>
                <w:rFonts w:eastAsia="Times New Roman"/>
                <w:sz w:val="20"/>
                <w:szCs w:val="20"/>
              </w:rPr>
            </w:pPr>
          </w:p>
        </w:tc>
        <w:tc>
          <w:tcPr>
            <w:tcW w:w="889" w:type="pct"/>
            <w:vAlign w:val="center"/>
            <w:hideMark/>
          </w:tcPr>
          <w:p w14:paraId="39B39F3B" w14:textId="77777777" w:rsidR="00000000" w:rsidRDefault="00C1661D">
            <w:pPr>
              <w:spacing w:after="100"/>
              <w:rPr>
                <w:rFonts w:eastAsia="Times New Roman"/>
                <w:sz w:val="20"/>
                <w:szCs w:val="20"/>
              </w:rPr>
            </w:pPr>
          </w:p>
        </w:tc>
        <w:tc>
          <w:tcPr>
            <w:tcW w:w="5" w:type="pct"/>
            <w:vAlign w:val="center"/>
            <w:hideMark/>
          </w:tcPr>
          <w:p w14:paraId="3AF07579" w14:textId="77777777" w:rsidR="00000000" w:rsidRDefault="00C1661D">
            <w:pPr>
              <w:spacing w:after="100"/>
              <w:rPr>
                <w:rFonts w:eastAsia="Times New Roman"/>
                <w:sz w:val="20"/>
                <w:szCs w:val="20"/>
              </w:rPr>
            </w:pPr>
          </w:p>
        </w:tc>
        <w:tc>
          <w:tcPr>
            <w:tcW w:w="50" w:type="pct"/>
            <w:vAlign w:val="center"/>
            <w:hideMark/>
          </w:tcPr>
          <w:p w14:paraId="35D77109" w14:textId="77777777" w:rsidR="00000000" w:rsidRDefault="00C1661D">
            <w:pPr>
              <w:spacing w:after="100"/>
              <w:rPr>
                <w:rFonts w:eastAsia="Times New Roman"/>
                <w:sz w:val="20"/>
                <w:szCs w:val="20"/>
              </w:rPr>
            </w:pPr>
          </w:p>
        </w:tc>
        <w:tc>
          <w:tcPr>
            <w:tcW w:w="1972" w:type="pct"/>
            <w:vAlign w:val="center"/>
            <w:hideMark/>
          </w:tcPr>
          <w:p w14:paraId="25182416" w14:textId="77777777" w:rsidR="00000000" w:rsidRDefault="00C1661D">
            <w:pPr>
              <w:spacing w:after="100"/>
              <w:rPr>
                <w:rFonts w:eastAsia="Times New Roman"/>
                <w:sz w:val="20"/>
                <w:szCs w:val="20"/>
              </w:rPr>
            </w:pPr>
          </w:p>
        </w:tc>
        <w:tc>
          <w:tcPr>
            <w:tcW w:w="5" w:type="pct"/>
            <w:vAlign w:val="center"/>
            <w:hideMark/>
          </w:tcPr>
          <w:p w14:paraId="2A2D3437" w14:textId="77777777" w:rsidR="00000000" w:rsidRDefault="00C1661D">
            <w:pPr>
              <w:spacing w:after="100"/>
              <w:rPr>
                <w:rFonts w:eastAsia="Times New Roman"/>
                <w:sz w:val="20"/>
                <w:szCs w:val="20"/>
              </w:rPr>
            </w:pPr>
          </w:p>
        </w:tc>
      </w:tr>
      <w:tr w:rsidR="00000000" w14:paraId="4D835136" w14:textId="77777777">
        <w:trPr>
          <w:divId w:val="2127195128"/>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57533050" w14:textId="77777777" w:rsidR="00000000" w:rsidRDefault="00C1661D">
            <w:pPr>
              <w:spacing w:after="100"/>
              <w:jc w:val="center"/>
              <w:rPr>
                <w:rFonts w:eastAsia="Times New Roman"/>
              </w:rPr>
            </w:pPr>
            <w:r>
              <w:rPr>
                <w:rFonts w:eastAsia="Times New Roman"/>
                <w:color w:val="000000"/>
                <w:sz w:val="18"/>
                <w:szCs w:val="18"/>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2D71458E" w14:textId="77777777" w:rsidR="00000000" w:rsidRDefault="00C1661D">
            <w:pPr>
              <w:spacing w:after="100"/>
              <w:jc w:val="center"/>
              <w:rPr>
                <w:rFonts w:eastAsia="Times New Roman"/>
              </w:rPr>
            </w:pPr>
            <w:r>
              <w:rPr>
                <w:rFonts w:eastAsia="Times New Roman"/>
                <w:color w:val="000000"/>
                <w:sz w:val="18"/>
                <w:szCs w:val="18"/>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14:paraId="6D861FEA" w14:textId="77777777" w:rsidR="00000000" w:rsidRDefault="00C1661D">
            <w:pPr>
              <w:spacing w:after="100"/>
              <w:jc w:val="center"/>
              <w:rPr>
                <w:rFonts w:eastAsia="Times New Roman"/>
              </w:rPr>
            </w:pPr>
            <w:r>
              <w:rPr>
                <w:rFonts w:eastAsia="Times New Roman"/>
                <w:color w:val="000000"/>
                <w:sz w:val="18"/>
                <w:szCs w:val="18"/>
              </w:rPr>
              <w:t>Name of each exchange on which registered:</w:t>
            </w:r>
          </w:p>
        </w:tc>
      </w:tr>
      <w:tr w:rsidR="00000000" w14:paraId="6B587239" w14:textId="77777777">
        <w:trPr>
          <w:divId w:val="2127195128"/>
        </w:trPr>
        <w:tc>
          <w:tcPr>
            <w:tcW w:w="0" w:type="auto"/>
            <w:gridSpan w:val="3"/>
            <w:tcBorders>
              <w:top w:val="single" w:sz="8" w:space="0" w:color="000000"/>
              <w:left w:val="single" w:sz="8" w:space="0" w:color="000000"/>
            </w:tcBorders>
            <w:tcMar>
              <w:top w:w="30" w:type="dxa"/>
              <w:left w:w="20" w:type="dxa"/>
              <w:bottom w:w="30" w:type="dxa"/>
              <w:right w:w="20" w:type="dxa"/>
            </w:tcMar>
            <w:hideMark/>
          </w:tcPr>
          <w:p w14:paraId="41CF728A" w14:textId="77777777" w:rsidR="00000000" w:rsidRDefault="00C1661D">
            <w:pPr>
              <w:spacing w:after="100"/>
              <w:jc w:val="center"/>
              <w:rPr>
                <w:rFonts w:eastAsia="Times New Roman"/>
              </w:rPr>
            </w:pPr>
            <w:r>
              <w:rPr>
                <w:rFonts w:eastAsia="Times New Roman"/>
                <w:color w:val="000000"/>
                <w:sz w:val="18"/>
                <w:szCs w:val="18"/>
              </w:rPr>
              <w:t>Common Stock, without par value</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4E69DD84" w14:textId="77777777" w:rsidR="00000000" w:rsidRDefault="00C1661D">
            <w:pPr>
              <w:spacing w:after="100"/>
              <w:jc w:val="center"/>
              <w:rPr>
                <w:rFonts w:eastAsia="Times New Roman"/>
              </w:rPr>
            </w:pPr>
            <w:r>
              <w:rPr>
                <w:rFonts w:eastAsia="Times New Roman"/>
                <w:color w:val="000000"/>
                <w:sz w:val="18"/>
                <w:szCs w:val="18"/>
              </w:rPr>
              <w:t>UGI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14:paraId="4E63F26F" w14:textId="77777777" w:rsidR="00000000" w:rsidRDefault="00C1661D">
            <w:pPr>
              <w:spacing w:after="100"/>
              <w:jc w:val="center"/>
              <w:rPr>
                <w:rFonts w:eastAsia="Times New Roman"/>
              </w:rPr>
            </w:pPr>
            <w:r>
              <w:rPr>
                <w:rFonts w:eastAsia="Times New Roman"/>
                <w:color w:val="000000"/>
                <w:sz w:val="18"/>
                <w:szCs w:val="18"/>
              </w:rPr>
              <w:t>New York Stock Exchange</w:t>
            </w:r>
          </w:p>
        </w:tc>
      </w:tr>
      <w:tr w:rsidR="00000000" w14:paraId="38487949" w14:textId="77777777">
        <w:trPr>
          <w:divId w:val="2127195128"/>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14:paraId="3B22F61C" w14:textId="77777777" w:rsidR="00000000" w:rsidRDefault="00C1661D">
            <w:pPr>
              <w:spacing w:after="100"/>
              <w:jc w:val="center"/>
              <w:rPr>
                <w:rFonts w:eastAsia="Times New Roman"/>
              </w:rPr>
            </w:pPr>
            <w:r>
              <w:rPr>
                <w:rFonts w:eastAsia="Times New Roman"/>
                <w:color w:val="000000"/>
                <w:sz w:val="18"/>
                <w:szCs w:val="18"/>
              </w:rPr>
              <w:t>Corporate Units</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14:paraId="47485E52" w14:textId="77777777" w:rsidR="00000000" w:rsidRDefault="00C1661D">
            <w:pPr>
              <w:spacing w:after="100"/>
              <w:jc w:val="center"/>
              <w:rPr>
                <w:rFonts w:eastAsia="Times New Roman"/>
              </w:rPr>
            </w:pPr>
            <w:r>
              <w:rPr>
                <w:rFonts w:eastAsia="Times New Roman"/>
                <w:color w:val="000000"/>
                <w:sz w:val="18"/>
                <w:szCs w:val="18"/>
              </w:rPr>
              <w:t>UGIC</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14:paraId="3E575AF0" w14:textId="77777777" w:rsidR="00000000" w:rsidRDefault="00C1661D">
            <w:pPr>
              <w:spacing w:after="100"/>
              <w:jc w:val="center"/>
              <w:rPr>
                <w:rFonts w:eastAsia="Times New Roman"/>
              </w:rPr>
            </w:pPr>
            <w:r>
              <w:rPr>
                <w:rFonts w:eastAsia="Times New Roman"/>
                <w:color w:val="000000"/>
                <w:sz w:val="18"/>
                <w:szCs w:val="18"/>
              </w:rPr>
              <w:t>New York Stock Exchange</w:t>
            </w:r>
          </w:p>
        </w:tc>
      </w:tr>
    </w:tbl>
    <w:p w14:paraId="4F61C607" w14:textId="77777777" w:rsidR="00000000" w:rsidRDefault="00C1661D">
      <w:pPr>
        <w:jc w:val="center"/>
        <w:rPr>
          <w:rFonts w:eastAsia="Times New Roman"/>
        </w:rPr>
      </w:pPr>
      <w:r>
        <w:rPr>
          <w:rFonts w:eastAsia="Times New Roman"/>
          <w:b/>
          <w:bCs/>
          <w:color w:val="000000"/>
          <w:sz w:val="18"/>
          <w:szCs w:val="18"/>
        </w:rPr>
        <w:t>Securities registered pursuant to Section 12(g) of the Act:</w:t>
      </w:r>
      <w:r>
        <w:rPr>
          <w:rFonts w:eastAsia="Times New Roman"/>
          <w:color w:val="000000"/>
          <w:sz w:val="18"/>
          <w:szCs w:val="18"/>
        </w:rPr>
        <w:t xml:space="preserve"> None</w:t>
      </w:r>
    </w:p>
    <w:p w14:paraId="74F6D295" w14:textId="77777777" w:rsidR="00000000" w:rsidRDefault="00C1661D">
      <w:pPr>
        <w:jc w:val="both"/>
        <w:divId w:val="925843545"/>
        <w:rPr>
          <w:rFonts w:eastAsia="Times New Roman"/>
        </w:rPr>
      </w:pPr>
      <w:r>
        <w:rPr>
          <w:rFonts w:eastAsia="Times New Roman"/>
          <w:color w:val="000000"/>
          <w:sz w:val="18"/>
          <w:szCs w:val="18"/>
        </w:rPr>
        <w:t xml:space="preserve">Indicate by check mark if the registrant is a well-known seasoned issuer, as defined in Rule 405 of the Securities Act. Yes </w:t>
      </w:r>
      <w:r>
        <w:rPr>
          <w:rFonts w:ascii="Segoe UI Emoji" w:eastAsia="Times New Roman" w:hAnsi="Segoe UI Emoji" w:cs="Segoe UI Emoji"/>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14:paraId="3BF98861" w14:textId="77777777" w:rsidR="00000000" w:rsidRDefault="00C1661D">
      <w:pPr>
        <w:jc w:val="both"/>
        <w:divId w:val="640114050"/>
        <w:rPr>
          <w:rFonts w:eastAsia="Times New Roman"/>
        </w:rPr>
      </w:pPr>
      <w:r>
        <w:rPr>
          <w:rFonts w:eastAsia="Times New Roman"/>
          <w:color w:val="000000"/>
          <w:sz w:val="18"/>
          <w:szCs w:val="18"/>
        </w:rPr>
        <w:t xml:space="preserve">Indicate by check mark if the registrant is not required to </w:t>
      </w:r>
      <w:r>
        <w:rPr>
          <w:rFonts w:eastAsia="Times New Roman"/>
          <w:color w:val="000000"/>
          <w:sz w:val="18"/>
          <w:szCs w:val="18"/>
        </w:rPr>
        <w:t xml:space="preserve">file reports pursuant to Section 13 or Section 15(d) of the Act.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 </w:t>
      </w:r>
      <w:r>
        <w:rPr>
          <w:rFonts w:ascii="Segoe UI Emoji" w:eastAsia="Times New Roman" w:hAnsi="Segoe UI Emoji" w:cs="Segoe UI Emoji"/>
          <w:color w:val="000000"/>
          <w:sz w:val="18"/>
          <w:szCs w:val="18"/>
        </w:rPr>
        <w:t>☑</w:t>
      </w:r>
    </w:p>
    <w:p w14:paraId="6EF1BA97" w14:textId="77777777" w:rsidR="00000000" w:rsidRDefault="00C1661D">
      <w:pPr>
        <w:jc w:val="both"/>
        <w:divId w:val="2049983646"/>
        <w:rPr>
          <w:rFonts w:eastAsia="Times New Roman"/>
        </w:rPr>
      </w:pPr>
      <w:r>
        <w:rPr>
          <w:rFonts w:eastAsia="Times New Roman"/>
          <w:color w:val="000000"/>
          <w:sz w:val="18"/>
          <w:szCs w:val="18"/>
        </w:rPr>
        <w:t>Indicate by check mark whether the registrant (1) has filed all reports required to be filed by Section </w:t>
      </w:r>
      <w:r>
        <w:rPr>
          <w:rFonts w:eastAsia="Times New Roman"/>
          <w:color w:val="000000"/>
          <w:sz w:val="18"/>
          <w:szCs w:val="18"/>
        </w:rPr>
        <w:t xml:space="preserve">13 or 15(d) of the Securities Exchange Act of 1934 during the preceding 12 months (or for such shorter period that the registrant was required to file such reports), and (2) has been subject to such filing requirements for the past 90 days. Yes </w:t>
      </w:r>
      <w:r>
        <w:rPr>
          <w:rFonts w:ascii="Segoe UI Emoji" w:eastAsia="Times New Roman" w:hAnsi="Segoe UI Emoji" w:cs="Segoe UI Emoji"/>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14:paraId="4A902C64" w14:textId="77777777" w:rsidR="00000000" w:rsidRDefault="00C1661D">
      <w:pPr>
        <w:jc w:val="both"/>
        <w:divId w:val="191844225"/>
        <w:rPr>
          <w:rFonts w:eastAsia="Times New Roman"/>
        </w:rPr>
      </w:pPr>
      <w:r>
        <w:rPr>
          <w:rFonts w:eastAsia="Times New Roman"/>
          <w:color w:val="000000"/>
          <w:sz w:val="18"/>
          <w:szCs w:val="18"/>
        </w:rPr>
        <w:t>Indi</w:t>
      </w:r>
      <w:r>
        <w:rPr>
          <w:rFonts w:eastAsia="Times New Roman"/>
          <w:color w:val="000000"/>
          <w:sz w:val="18"/>
          <w:szCs w:val="18"/>
        </w:rPr>
        <w:t>cate by check mark whether the registrant has submitted electronically every Interactive Data File required to be submitted pursuant to Rule 405 of Regulation S-T (§232.405 of this chapter) during the preceding 12 months (or for such shorter period that th</w:t>
      </w:r>
      <w:r>
        <w:rPr>
          <w:rFonts w:eastAsia="Times New Roman"/>
          <w:color w:val="000000"/>
          <w:sz w:val="18"/>
          <w:szCs w:val="18"/>
        </w:rPr>
        <w:t xml:space="preserve">e registrant was required to submit such files). Yes </w:t>
      </w:r>
      <w:r>
        <w:rPr>
          <w:rFonts w:ascii="Segoe UI Emoji" w:eastAsia="Times New Roman" w:hAnsi="Segoe UI Emoji" w:cs="Segoe UI Emoji"/>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14:paraId="1803C3C9" w14:textId="77777777" w:rsidR="00000000" w:rsidRDefault="00C1661D">
      <w:pPr>
        <w:jc w:val="both"/>
        <w:divId w:val="800807140"/>
        <w:rPr>
          <w:rFonts w:eastAsia="Times New Roman"/>
        </w:rPr>
      </w:pPr>
      <w:r>
        <w:rPr>
          <w:rFonts w:eastAsia="Times New Roman"/>
          <w:color w:val="000000"/>
          <w:sz w:val="18"/>
          <w:szCs w:val="18"/>
        </w:rPr>
        <w:t>Indicate by check mark whether the registrant is a large accelerated filer, an accelerated filer, a non-accelerated filer, a smaller reporting company, or an emerging growth company. See the defin</w:t>
      </w:r>
      <w:r>
        <w:rPr>
          <w:rFonts w:eastAsia="Times New Roman"/>
          <w:color w:val="000000"/>
          <w:sz w:val="18"/>
          <w:szCs w:val="18"/>
        </w:rPr>
        <w:t>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5"/>
        <w:gridCol w:w="1919"/>
        <w:gridCol w:w="36"/>
        <w:gridCol w:w="95"/>
        <w:gridCol w:w="184"/>
        <w:gridCol w:w="36"/>
        <w:gridCol w:w="65"/>
        <w:gridCol w:w="618"/>
        <w:gridCol w:w="36"/>
        <w:gridCol w:w="65"/>
        <w:gridCol w:w="1919"/>
        <w:gridCol w:w="36"/>
        <w:gridCol w:w="65"/>
        <w:gridCol w:w="145"/>
        <w:gridCol w:w="36"/>
        <w:gridCol w:w="65"/>
        <w:gridCol w:w="618"/>
        <w:gridCol w:w="36"/>
        <w:gridCol w:w="65"/>
        <w:gridCol w:w="1919"/>
        <w:gridCol w:w="36"/>
        <w:gridCol w:w="65"/>
        <w:gridCol w:w="146"/>
        <w:gridCol w:w="36"/>
      </w:tblGrid>
      <w:tr w:rsidR="00000000" w14:paraId="3C5ED969" w14:textId="77777777">
        <w:trPr>
          <w:divId w:val="1957639536"/>
        </w:trPr>
        <w:tc>
          <w:tcPr>
            <w:tcW w:w="50" w:type="pct"/>
            <w:vAlign w:val="center"/>
            <w:hideMark/>
          </w:tcPr>
          <w:p w14:paraId="637AA61F" w14:textId="77777777" w:rsidR="00000000" w:rsidRDefault="00C1661D">
            <w:pPr>
              <w:jc w:val="both"/>
              <w:rPr>
                <w:rFonts w:eastAsia="Times New Roman"/>
              </w:rPr>
            </w:pPr>
          </w:p>
        </w:tc>
        <w:tc>
          <w:tcPr>
            <w:tcW w:w="1165" w:type="pct"/>
            <w:vAlign w:val="center"/>
            <w:hideMark/>
          </w:tcPr>
          <w:p w14:paraId="7343E4A0" w14:textId="77777777" w:rsidR="00000000" w:rsidRDefault="00C1661D">
            <w:pPr>
              <w:spacing w:after="100"/>
              <w:rPr>
                <w:rFonts w:eastAsia="Times New Roman"/>
                <w:sz w:val="20"/>
                <w:szCs w:val="20"/>
              </w:rPr>
            </w:pPr>
          </w:p>
        </w:tc>
        <w:tc>
          <w:tcPr>
            <w:tcW w:w="5" w:type="pct"/>
            <w:vAlign w:val="center"/>
            <w:hideMark/>
          </w:tcPr>
          <w:p w14:paraId="0EA6C783" w14:textId="77777777" w:rsidR="00000000" w:rsidRDefault="00C1661D">
            <w:pPr>
              <w:spacing w:after="100"/>
              <w:rPr>
                <w:rFonts w:eastAsia="Times New Roman"/>
                <w:sz w:val="20"/>
                <w:szCs w:val="20"/>
              </w:rPr>
            </w:pPr>
          </w:p>
        </w:tc>
        <w:tc>
          <w:tcPr>
            <w:tcW w:w="50" w:type="pct"/>
            <w:vAlign w:val="center"/>
            <w:hideMark/>
          </w:tcPr>
          <w:p w14:paraId="2F40A9F5" w14:textId="77777777" w:rsidR="00000000" w:rsidRDefault="00C1661D">
            <w:pPr>
              <w:spacing w:after="100"/>
              <w:rPr>
                <w:rFonts w:eastAsia="Times New Roman"/>
                <w:sz w:val="20"/>
                <w:szCs w:val="20"/>
              </w:rPr>
            </w:pPr>
          </w:p>
        </w:tc>
        <w:tc>
          <w:tcPr>
            <w:tcW w:w="98" w:type="pct"/>
            <w:vAlign w:val="center"/>
            <w:hideMark/>
          </w:tcPr>
          <w:p w14:paraId="5EC4ECC6" w14:textId="77777777" w:rsidR="00000000" w:rsidRDefault="00C1661D">
            <w:pPr>
              <w:spacing w:after="100"/>
              <w:rPr>
                <w:rFonts w:eastAsia="Times New Roman"/>
                <w:sz w:val="20"/>
                <w:szCs w:val="20"/>
              </w:rPr>
            </w:pPr>
          </w:p>
        </w:tc>
        <w:tc>
          <w:tcPr>
            <w:tcW w:w="5" w:type="pct"/>
            <w:vAlign w:val="center"/>
            <w:hideMark/>
          </w:tcPr>
          <w:p w14:paraId="43BC60CA" w14:textId="77777777" w:rsidR="00000000" w:rsidRDefault="00C1661D">
            <w:pPr>
              <w:spacing w:after="100"/>
              <w:rPr>
                <w:rFonts w:eastAsia="Times New Roman"/>
                <w:sz w:val="20"/>
                <w:szCs w:val="20"/>
              </w:rPr>
            </w:pPr>
          </w:p>
        </w:tc>
        <w:tc>
          <w:tcPr>
            <w:tcW w:w="50" w:type="pct"/>
            <w:vAlign w:val="center"/>
            <w:hideMark/>
          </w:tcPr>
          <w:p w14:paraId="2CD9FEB3" w14:textId="77777777" w:rsidR="00000000" w:rsidRDefault="00C1661D">
            <w:pPr>
              <w:spacing w:after="100"/>
              <w:rPr>
                <w:rFonts w:eastAsia="Times New Roman"/>
                <w:sz w:val="20"/>
                <w:szCs w:val="20"/>
              </w:rPr>
            </w:pPr>
          </w:p>
        </w:tc>
        <w:tc>
          <w:tcPr>
            <w:tcW w:w="383" w:type="pct"/>
            <w:vAlign w:val="center"/>
            <w:hideMark/>
          </w:tcPr>
          <w:p w14:paraId="420CE049" w14:textId="77777777" w:rsidR="00000000" w:rsidRDefault="00C1661D">
            <w:pPr>
              <w:spacing w:after="100"/>
              <w:rPr>
                <w:rFonts w:eastAsia="Times New Roman"/>
                <w:sz w:val="20"/>
                <w:szCs w:val="20"/>
              </w:rPr>
            </w:pPr>
          </w:p>
        </w:tc>
        <w:tc>
          <w:tcPr>
            <w:tcW w:w="5" w:type="pct"/>
            <w:vAlign w:val="center"/>
            <w:hideMark/>
          </w:tcPr>
          <w:p w14:paraId="03052066" w14:textId="77777777" w:rsidR="00000000" w:rsidRDefault="00C1661D">
            <w:pPr>
              <w:spacing w:after="100"/>
              <w:rPr>
                <w:rFonts w:eastAsia="Times New Roman"/>
                <w:sz w:val="20"/>
                <w:szCs w:val="20"/>
              </w:rPr>
            </w:pPr>
          </w:p>
        </w:tc>
        <w:tc>
          <w:tcPr>
            <w:tcW w:w="50" w:type="pct"/>
            <w:vAlign w:val="center"/>
            <w:hideMark/>
          </w:tcPr>
          <w:p w14:paraId="76B88E4B" w14:textId="77777777" w:rsidR="00000000" w:rsidRDefault="00C1661D">
            <w:pPr>
              <w:spacing w:after="100"/>
              <w:rPr>
                <w:rFonts w:eastAsia="Times New Roman"/>
                <w:sz w:val="20"/>
                <w:szCs w:val="20"/>
              </w:rPr>
            </w:pPr>
          </w:p>
        </w:tc>
        <w:tc>
          <w:tcPr>
            <w:tcW w:w="1165" w:type="pct"/>
            <w:vAlign w:val="center"/>
            <w:hideMark/>
          </w:tcPr>
          <w:p w14:paraId="2137B7A8" w14:textId="77777777" w:rsidR="00000000" w:rsidRDefault="00C1661D">
            <w:pPr>
              <w:spacing w:after="100"/>
              <w:rPr>
                <w:rFonts w:eastAsia="Times New Roman"/>
                <w:sz w:val="20"/>
                <w:szCs w:val="20"/>
              </w:rPr>
            </w:pPr>
          </w:p>
        </w:tc>
        <w:tc>
          <w:tcPr>
            <w:tcW w:w="5" w:type="pct"/>
            <w:vAlign w:val="center"/>
            <w:hideMark/>
          </w:tcPr>
          <w:p w14:paraId="718D5B81" w14:textId="77777777" w:rsidR="00000000" w:rsidRDefault="00C1661D">
            <w:pPr>
              <w:spacing w:after="100"/>
              <w:rPr>
                <w:rFonts w:eastAsia="Times New Roman"/>
                <w:sz w:val="20"/>
                <w:szCs w:val="20"/>
              </w:rPr>
            </w:pPr>
          </w:p>
        </w:tc>
        <w:tc>
          <w:tcPr>
            <w:tcW w:w="50" w:type="pct"/>
            <w:vAlign w:val="center"/>
            <w:hideMark/>
          </w:tcPr>
          <w:p w14:paraId="56FC5BE6" w14:textId="77777777" w:rsidR="00000000" w:rsidRDefault="00C1661D">
            <w:pPr>
              <w:spacing w:after="100"/>
              <w:rPr>
                <w:rFonts w:eastAsia="Times New Roman"/>
                <w:sz w:val="20"/>
                <w:szCs w:val="20"/>
              </w:rPr>
            </w:pPr>
          </w:p>
        </w:tc>
        <w:tc>
          <w:tcPr>
            <w:tcW w:w="98" w:type="pct"/>
            <w:vAlign w:val="center"/>
            <w:hideMark/>
          </w:tcPr>
          <w:p w14:paraId="2A5E6018" w14:textId="77777777" w:rsidR="00000000" w:rsidRDefault="00C1661D">
            <w:pPr>
              <w:spacing w:after="100"/>
              <w:rPr>
                <w:rFonts w:eastAsia="Times New Roman"/>
                <w:sz w:val="20"/>
                <w:szCs w:val="20"/>
              </w:rPr>
            </w:pPr>
          </w:p>
        </w:tc>
        <w:tc>
          <w:tcPr>
            <w:tcW w:w="5" w:type="pct"/>
            <w:vAlign w:val="center"/>
            <w:hideMark/>
          </w:tcPr>
          <w:p w14:paraId="019954E2" w14:textId="77777777" w:rsidR="00000000" w:rsidRDefault="00C1661D">
            <w:pPr>
              <w:spacing w:after="100"/>
              <w:rPr>
                <w:rFonts w:eastAsia="Times New Roman"/>
                <w:sz w:val="20"/>
                <w:szCs w:val="20"/>
              </w:rPr>
            </w:pPr>
          </w:p>
        </w:tc>
        <w:tc>
          <w:tcPr>
            <w:tcW w:w="50" w:type="pct"/>
            <w:vAlign w:val="center"/>
            <w:hideMark/>
          </w:tcPr>
          <w:p w14:paraId="725A259C" w14:textId="77777777" w:rsidR="00000000" w:rsidRDefault="00C1661D">
            <w:pPr>
              <w:spacing w:after="100"/>
              <w:rPr>
                <w:rFonts w:eastAsia="Times New Roman"/>
                <w:sz w:val="20"/>
                <w:szCs w:val="20"/>
              </w:rPr>
            </w:pPr>
          </w:p>
        </w:tc>
        <w:tc>
          <w:tcPr>
            <w:tcW w:w="383" w:type="pct"/>
            <w:vAlign w:val="center"/>
            <w:hideMark/>
          </w:tcPr>
          <w:p w14:paraId="0761C4C4" w14:textId="77777777" w:rsidR="00000000" w:rsidRDefault="00C1661D">
            <w:pPr>
              <w:spacing w:after="100"/>
              <w:rPr>
                <w:rFonts w:eastAsia="Times New Roman"/>
                <w:sz w:val="20"/>
                <w:szCs w:val="20"/>
              </w:rPr>
            </w:pPr>
          </w:p>
        </w:tc>
        <w:tc>
          <w:tcPr>
            <w:tcW w:w="5" w:type="pct"/>
            <w:vAlign w:val="center"/>
            <w:hideMark/>
          </w:tcPr>
          <w:p w14:paraId="4CC65238" w14:textId="77777777" w:rsidR="00000000" w:rsidRDefault="00C1661D">
            <w:pPr>
              <w:spacing w:after="100"/>
              <w:rPr>
                <w:rFonts w:eastAsia="Times New Roman"/>
                <w:sz w:val="20"/>
                <w:szCs w:val="20"/>
              </w:rPr>
            </w:pPr>
          </w:p>
        </w:tc>
        <w:tc>
          <w:tcPr>
            <w:tcW w:w="50" w:type="pct"/>
            <w:vAlign w:val="center"/>
            <w:hideMark/>
          </w:tcPr>
          <w:p w14:paraId="6F4CFEF7" w14:textId="77777777" w:rsidR="00000000" w:rsidRDefault="00C1661D">
            <w:pPr>
              <w:spacing w:after="100"/>
              <w:rPr>
                <w:rFonts w:eastAsia="Times New Roman"/>
                <w:sz w:val="20"/>
                <w:szCs w:val="20"/>
              </w:rPr>
            </w:pPr>
          </w:p>
        </w:tc>
        <w:tc>
          <w:tcPr>
            <w:tcW w:w="1165" w:type="pct"/>
            <w:vAlign w:val="center"/>
            <w:hideMark/>
          </w:tcPr>
          <w:p w14:paraId="77DE34A6" w14:textId="77777777" w:rsidR="00000000" w:rsidRDefault="00C1661D">
            <w:pPr>
              <w:spacing w:after="100"/>
              <w:rPr>
                <w:rFonts w:eastAsia="Times New Roman"/>
                <w:sz w:val="20"/>
                <w:szCs w:val="20"/>
              </w:rPr>
            </w:pPr>
          </w:p>
        </w:tc>
        <w:tc>
          <w:tcPr>
            <w:tcW w:w="5" w:type="pct"/>
            <w:vAlign w:val="center"/>
            <w:hideMark/>
          </w:tcPr>
          <w:p w14:paraId="2296CC4D" w14:textId="77777777" w:rsidR="00000000" w:rsidRDefault="00C1661D">
            <w:pPr>
              <w:spacing w:after="100"/>
              <w:rPr>
                <w:rFonts w:eastAsia="Times New Roman"/>
                <w:sz w:val="20"/>
                <w:szCs w:val="20"/>
              </w:rPr>
            </w:pPr>
          </w:p>
        </w:tc>
        <w:tc>
          <w:tcPr>
            <w:tcW w:w="50" w:type="pct"/>
            <w:vAlign w:val="center"/>
            <w:hideMark/>
          </w:tcPr>
          <w:p w14:paraId="0E287387" w14:textId="77777777" w:rsidR="00000000" w:rsidRDefault="00C1661D">
            <w:pPr>
              <w:spacing w:after="100"/>
              <w:rPr>
                <w:rFonts w:eastAsia="Times New Roman"/>
                <w:sz w:val="20"/>
                <w:szCs w:val="20"/>
              </w:rPr>
            </w:pPr>
          </w:p>
        </w:tc>
        <w:tc>
          <w:tcPr>
            <w:tcW w:w="98" w:type="pct"/>
            <w:vAlign w:val="center"/>
            <w:hideMark/>
          </w:tcPr>
          <w:p w14:paraId="40E4B572" w14:textId="77777777" w:rsidR="00000000" w:rsidRDefault="00C1661D">
            <w:pPr>
              <w:spacing w:after="100"/>
              <w:rPr>
                <w:rFonts w:eastAsia="Times New Roman"/>
                <w:sz w:val="20"/>
                <w:szCs w:val="20"/>
              </w:rPr>
            </w:pPr>
          </w:p>
        </w:tc>
        <w:tc>
          <w:tcPr>
            <w:tcW w:w="5" w:type="pct"/>
            <w:vAlign w:val="center"/>
            <w:hideMark/>
          </w:tcPr>
          <w:p w14:paraId="2111A11F" w14:textId="77777777" w:rsidR="00000000" w:rsidRDefault="00C1661D">
            <w:pPr>
              <w:spacing w:after="100"/>
              <w:rPr>
                <w:rFonts w:eastAsia="Times New Roman"/>
                <w:sz w:val="20"/>
                <w:szCs w:val="20"/>
              </w:rPr>
            </w:pPr>
          </w:p>
        </w:tc>
      </w:tr>
      <w:tr w:rsidR="00000000" w14:paraId="66460D41" w14:textId="77777777">
        <w:trPr>
          <w:divId w:val="1957639536"/>
        </w:trPr>
        <w:tc>
          <w:tcPr>
            <w:tcW w:w="0" w:type="auto"/>
            <w:gridSpan w:val="3"/>
            <w:tcMar>
              <w:top w:w="30" w:type="dxa"/>
              <w:left w:w="20" w:type="dxa"/>
              <w:bottom w:w="30" w:type="dxa"/>
              <w:right w:w="20" w:type="dxa"/>
            </w:tcMar>
            <w:vAlign w:val="bottom"/>
            <w:hideMark/>
          </w:tcPr>
          <w:p w14:paraId="1DC75EFF" w14:textId="77777777" w:rsidR="00000000" w:rsidRDefault="00C1661D">
            <w:pPr>
              <w:spacing w:after="100"/>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14:paraId="04942BEA" w14:textId="77777777" w:rsidR="00000000" w:rsidRDefault="00C1661D">
            <w:pPr>
              <w:spacing w:after="100"/>
              <w:rPr>
                <w:rFonts w:eastAsia="Times New Roman"/>
              </w:rPr>
            </w:pPr>
            <w:r>
              <w:rPr>
                <w:rFonts w:ascii="Segoe UI Emoji" w:eastAsia="Times New Roman" w:hAnsi="Segoe UI Emoji" w:cs="Segoe UI Emoji"/>
                <w:color w:val="000000"/>
                <w:sz w:val="18"/>
                <w:szCs w:val="18"/>
              </w:rPr>
              <w:t>☑</w:t>
            </w:r>
          </w:p>
        </w:tc>
        <w:tc>
          <w:tcPr>
            <w:tcW w:w="0" w:type="auto"/>
            <w:gridSpan w:val="3"/>
            <w:tcMar>
              <w:top w:w="0" w:type="dxa"/>
              <w:left w:w="20" w:type="dxa"/>
              <w:bottom w:w="0" w:type="dxa"/>
              <w:right w:w="20" w:type="dxa"/>
            </w:tcMar>
            <w:vAlign w:val="center"/>
            <w:hideMark/>
          </w:tcPr>
          <w:p w14:paraId="43656A3A"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24A91215" w14:textId="77777777" w:rsidR="00000000" w:rsidRDefault="00C1661D">
            <w:pPr>
              <w:spacing w:after="100"/>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14:paraId="05276F66" w14:textId="77777777" w:rsidR="00000000" w:rsidRDefault="00C1661D">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54E93F45"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132D2225" w14:textId="77777777" w:rsidR="00000000" w:rsidRDefault="00C1661D">
            <w:pPr>
              <w:spacing w:after="100"/>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14:paraId="4583A462" w14:textId="77777777" w:rsidR="00000000" w:rsidRDefault="00C1661D">
            <w:pPr>
              <w:spacing w:after="100"/>
              <w:rPr>
                <w:rFonts w:eastAsia="Times New Roman"/>
              </w:rPr>
            </w:pPr>
            <w:r>
              <w:rPr>
                <w:rFonts w:ascii="Segoe UI Symbol" w:eastAsia="Times New Roman" w:hAnsi="Segoe UI Symbol" w:cs="Segoe UI Symbol"/>
                <w:color w:val="000000"/>
                <w:sz w:val="18"/>
                <w:szCs w:val="18"/>
              </w:rPr>
              <w:t>☐</w:t>
            </w:r>
          </w:p>
        </w:tc>
      </w:tr>
      <w:tr w:rsidR="00000000" w14:paraId="7FFC4629" w14:textId="77777777">
        <w:trPr>
          <w:divId w:val="1957639536"/>
        </w:trPr>
        <w:tc>
          <w:tcPr>
            <w:tcW w:w="0" w:type="auto"/>
            <w:gridSpan w:val="3"/>
            <w:tcMar>
              <w:top w:w="30" w:type="dxa"/>
              <w:left w:w="20" w:type="dxa"/>
              <w:bottom w:w="30" w:type="dxa"/>
              <w:right w:w="20" w:type="dxa"/>
            </w:tcMar>
            <w:vAlign w:val="bottom"/>
            <w:hideMark/>
          </w:tcPr>
          <w:p w14:paraId="287765A9" w14:textId="77777777" w:rsidR="00000000" w:rsidRDefault="00C1661D">
            <w:pPr>
              <w:spacing w:after="100"/>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14:paraId="0783BF38" w14:textId="77777777" w:rsidR="00000000" w:rsidRDefault="00C1661D">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644B6B02"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3C551740" w14:textId="77777777" w:rsidR="00000000" w:rsidRDefault="00C1661D">
            <w:pPr>
              <w:spacing w:after="100"/>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14:paraId="2769BED4" w14:textId="77777777" w:rsidR="00000000" w:rsidRDefault="00C1661D">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1ECA96EC" w14:textId="77777777" w:rsidR="00000000" w:rsidRDefault="00C1661D">
            <w:pPr>
              <w:spacing w:after="100"/>
              <w:rPr>
                <w:rFonts w:eastAsia="Times New Roman"/>
              </w:rPr>
            </w:pPr>
          </w:p>
        </w:tc>
        <w:tc>
          <w:tcPr>
            <w:tcW w:w="0" w:type="auto"/>
            <w:gridSpan w:val="3"/>
            <w:tcMar>
              <w:top w:w="0" w:type="dxa"/>
              <w:left w:w="20" w:type="dxa"/>
              <w:bottom w:w="0" w:type="dxa"/>
              <w:right w:w="20" w:type="dxa"/>
            </w:tcMar>
            <w:vAlign w:val="center"/>
            <w:hideMark/>
          </w:tcPr>
          <w:p w14:paraId="5D0C8F49"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E1BC29" w14:textId="77777777" w:rsidR="00000000" w:rsidRDefault="00C1661D">
            <w:pPr>
              <w:spacing w:after="100"/>
              <w:rPr>
                <w:rFonts w:eastAsia="Times New Roman"/>
                <w:sz w:val="20"/>
                <w:szCs w:val="20"/>
              </w:rPr>
            </w:pPr>
          </w:p>
        </w:tc>
      </w:tr>
    </w:tbl>
    <w:p w14:paraId="0C1C87DC" w14:textId="77777777" w:rsidR="00000000" w:rsidRDefault="00C1661D">
      <w:pPr>
        <w:jc w:val="both"/>
        <w:rPr>
          <w:rFonts w:eastAsia="Times New Roman"/>
        </w:rPr>
      </w:pPr>
      <w:r>
        <w:rPr>
          <w:rFonts w:eastAsia="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14:paraId="3D94CB3A" w14:textId="77777777" w:rsidR="00000000" w:rsidRDefault="00C1661D">
      <w:pPr>
        <w:jc w:val="both"/>
        <w:divId w:val="515077194"/>
        <w:rPr>
          <w:rFonts w:eastAsia="Times New Roman"/>
        </w:rPr>
      </w:pPr>
      <w:r>
        <w:rPr>
          <w:rFonts w:eastAsia="Times New Roman"/>
          <w:color w:val="000000"/>
          <w:sz w:val="18"/>
          <w:szCs w:val="18"/>
        </w:rPr>
        <w:lastRenderedPageBreak/>
        <w:t>Indicate by check mark whether the registrant has filed a report on and attestation to its management’s assessment of the effectiveness of its internal control over financial reporting under Section 404(b) of the Sarbanes-Oxley Act (15 U.S.C. 7262(b)) by t</w:t>
      </w:r>
      <w:r>
        <w:rPr>
          <w:rFonts w:eastAsia="Times New Roman"/>
          <w:color w:val="000000"/>
          <w:sz w:val="18"/>
          <w:szCs w:val="18"/>
        </w:rPr>
        <w:t>he registered public accounting firm that prepared or issued its audit repo</w:t>
      </w:r>
      <w:r>
        <w:rPr>
          <w:rFonts w:ascii="Arial Unicode MS" w:eastAsia="Times New Roman" w:hAnsi="Arial Unicode MS"/>
          <w:color w:val="000000"/>
          <w:sz w:val="18"/>
          <w:szCs w:val="18"/>
        </w:rPr>
        <w:t xml:space="preserve">rt. </w:t>
      </w:r>
      <w:r>
        <w:rPr>
          <w:rFonts w:ascii="Segoe UI Emoji" w:eastAsia="Times New Roman" w:hAnsi="Segoe UI Emoji" w:cs="Segoe UI Emoji"/>
          <w:color w:val="000000"/>
          <w:sz w:val="18"/>
          <w:szCs w:val="18"/>
        </w:rPr>
        <w:t>☑</w:t>
      </w:r>
      <w:r>
        <w:rPr>
          <w:rFonts w:eastAsia="Times New Roman"/>
          <w:color w:val="000000"/>
          <w:sz w:val="18"/>
          <w:szCs w:val="18"/>
        </w:rPr>
        <w:t xml:space="preserve"> </w:t>
      </w:r>
    </w:p>
    <w:p w14:paraId="104554C7" w14:textId="77777777" w:rsidR="00000000" w:rsidRDefault="00C1661D">
      <w:pPr>
        <w:jc w:val="both"/>
        <w:divId w:val="1636326480"/>
        <w:rPr>
          <w:rFonts w:eastAsia="Times New Roman"/>
        </w:rPr>
      </w:pPr>
      <w:r>
        <w:rPr>
          <w:rFonts w:eastAsia="Times New Roman"/>
          <w:color w:val="000000"/>
          <w:sz w:val="18"/>
          <w:szCs w:val="18"/>
        </w:rPr>
        <w:t xml:space="preserve">Indicate by check mark whether the registrant is a shell company (as defined in Rule 12b-2 of the Act).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 </w:t>
      </w:r>
      <w:r>
        <w:rPr>
          <w:rFonts w:ascii="Segoe UI Emoji" w:eastAsia="Times New Roman" w:hAnsi="Segoe UI Emoji" w:cs="Segoe UI Emoji"/>
          <w:color w:val="000000"/>
          <w:sz w:val="18"/>
          <w:szCs w:val="18"/>
        </w:rPr>
        <w:t>☑</w:t>
      </w:r>
    </w:p>
    <w:p w14:paraId="4ED20E90" w14:textId="77777777" w:rsidR="00000000" w:rsidRDefault="00C1661D">
      <w:pPr>
        <w:jc w:val="both"/>
        <w:rPr>
          <w:rFonts w:eastAsia="Times New Roman"/>
        </w:rPr>
      </w:pPr>
      <w:r>
        <w:rPr>
          <w:rFonts w:eastAsia="Times New Roman"/>
          <w:color w:val="000000"/>
          <w:sz w:val="18"/>
          <w:szCs w:val="18"/>
        </w:rPr>
        <w:t xml:space="preserve">The aggregate market value of UGI Corporation Common Stock </w:t>
      </w:r>
      <w:r>
        <w:rPr>
          <w:rFonts w:eastAsia="Times New Roman"/>
          <w:color w:val="000000"/>
          <w:sz w:val="18"/>
          <w:szCs w:val="18"/>
        </w:rPr>
        <w:t>held by non-affiliates of the registrant on March 31, 2022 was $7,563,617,921.</w:t>
      </w:r>
    </w:p>
    <w:p w14:paraId="6B8593F6" w14:textId="77777777" w:rsidR="00000000" w:rsidRDefault="00C1661D">
      <w:pPr>
        <w:jc w:val="both"/>
        <w:divId w:val="110784014"/>
        <w:rPr>
          <w:rFonts w:eastAsia="Times New Roman"/>
        </w:rPr>
      </w:pPr>
      <w:r>
        <w:rPr>
          <w:rFonts w:eastAsia="Times New Roman"/>
          <w:color w:val="000000"/>
          <w:sz w:val="18"/>
          <w:szCs w:val="18"/>
        </w:rPr>
        <w:t>At November 11, 2022, there were 209,690,320 shares of UGI Corporation Common Stock issued and outstanding.</w:t>
      </w:r>
    </w:p>
    <w:p w14:paraId="7E8A228C" w14:textId="77777777" w:rsidR="00000000" w:rsidRDefault="00C1661D">
      <w:pPr>
        <w:jc w:val="both"/>
        <w:divId w:val="714236275"/>
        <w:rPr>
          <w:rFonts w:eastAsia="Times New Roman"/>
        </w:rPr>
      </w:pPr>
      <w:r>
        <w:rPr>
          <w:rFonts w:eastAsia="Times New Roman"/>
          <w:color w:val="000000"/>
          <w:sz w:val="18"/>
          <w:szCs w:val="18"/>
        </w:rPr>
        <w:t>Portions of the Proxy Statement for the Annual Meeting of Shareholder</w:t>
      </w:r>
      <w:r>
        <w:rPr>
          <w:rFonts w:eastAsia="Times New Roman"/>
          <w:color w:val="000000"/>
          <w:sz w:val="18"/>
          <w:szCs w:val="18"/>
        </w:rPr>
        <w:t>s to be held on January 27, 2023 are incorporated by reference into Part III of this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4C61D076" w14:textId="77777777">
        <w:trPr>
          <w:jc w:val="center"/>
        </w:trPr>
        <w:tc>
          <w:tcPr>
            <w:tcW w:w="50" w:type="pct"/>
            <w:vAlign w:val="center"/>
            <w:hideMark/>
          </w:tcPr>
          <w:p w14:paraId="145C6181" w14:textId="77777777" w:rsidR="00000000" w:rsidRDefault="00C1661D">
            <w:pPr>
              <w:jc w:val="both"/>
              <w:rPr>
                <w:rFonts w:eastAsia="Times New Roman"/>
              </w:rPr>
            </w:pPr>
          </w:p>
        </w:tc>
        <w:tc>
          <w:tcPr>
            <w:tcW w:w="4945" w:type="pct"/>
            <w:vAlign w:val="center"/>
            <w:hideMark/>
          </w:tcPr>
          <w:p w14:paraId="37154318" w14:textId="77777777" w:rsidR="00000000" w:rsidRDefault="00C1661D">
            <w:pPr>
              <w:spacing w:after="100"/>
              <w:rPr>
                <w:rFonts w:eastAsia="Times New Roman"/>
                <w:sz w:val="20"/>
                <w:szCs w:val="20"/>
              </w:rPr>
            </w:pPr>
          </w:p>
        </w:tc>
        <w:tc>
          <w:tcPr>
            <w:tcW w:w="5" w:type="pct"/>
            <w:vAlign w:val="center"/>
            <w:hideMark/>
          </w:tcPr>
          <w:p w14:paraId="45BBB028" w14:textId="77777777" w:rsidR="00000000" w:rsidRDefault="00C1661D">
            <w:pPr>
              <w:spacing w:after="100"/>
              <w:rPr>
                <w:rFonts w:eastAsia="Times New Roman"/>
                <w:sz w:val="20"/>
                <w:szCs w:val="20"/>
              </w:rPr>
            </w:pPr>
          </w:p>
        </w:tc>
      </w:tr>
      <w:tr w:rsidR="00000000" w14:paraId="5F1EAEA7" w14:textId="77777777">
        <w:trPr>
          <w:trHeight w:val="60"/>
          <w:jc w:val="center"/>
        </w:trPr>
        <w:tc>
          <w:tcPr>
            <w:tcW w:w="0" w:type="auto"/>
            <w:gridSpan w:val="3"/>
            <w:tcBorders>
              <w:top w:val="single" w:sz="8" w:space="0" w:color="000000"/>
              <w:bottom w:val="single" w:sz="24" w:space="0" w:color="000000"/>
            </w:tcBorders>
            <w:tcMar>
              <w:top w:w="0" w:type="dxa"/>
              <w:left w:w="20" w:type="dxa"/>
              <w:bottom w:w="0" w:type="dxa"/>
              <w:right w:w="20" w:type="dxa"/>
            </w:tcMar>
            <w:vAlign w:val="center"/>
            <w:hideMark/>
          </w:tcPr>
          <w:p w14:paraId="5F872837" w14:textId="77777777" w:rsidR="00000000" w:rsidRDefault="00C1661D">
            <w:pPr>
              <w:spacing w:after="100"/>
              <w:rPr>
                <w:rFonts w:eastAsia="Times New Roman"/>
                <w:sz w:val="20"/>
                <w:szCs w:val="20"/>
              </w:rPr>
            </w:pPr>
          </w:p>
        </w:tc>
      </w:tr>
    </w:tbl>
    <w:p w14:paraId="371F335B" w14:textId="77777777" w:rsidR="00000000" w:rsidRDefault="00C1661D">
      <w:pPr>
        <w:divId w:val="2143309503"/>
        <w:rPr>
          <w:rFonts w:eastAsia="Times New Roman"/>
        </w:rPr>
      </w:pPr>
    </w:p>
    <w:p w14:paraId="4301F91C" w14:textId="77777777" w:rsidR="00000000" w:rsidRDefault="00C1661D">
      <w:pPr>
        <w:rPr>
          <w:rFonts w:eastAsia="Times New Roman"/>
        </w:rPr>
      </w:pPr>
      <w:r>
        <w:rPr>
          <w:rFonts w:eastAsia="Times New Roman"/>
        </w:rPr>
        <w:pict w14:anchorId="74122E26">
          <v:rect id="_x0000_i1025" style="width:0;height:1.5pt" o:hralign="center" o:hrstd="t" o:hr="t" fillcolor="#a0a0a0" stroked="f"/>
        </w:pict>
      </w:r>
    </w:p>
    <w:p w14:paraId="3DBE72DA" w14:textId="77777777" w:rsidR="00000000" w:rsidRDefault="00C1661D">
      <w:pPr>
        <w:divId w:val="9918325"/>
        <w:rPr>
          <w:rFonts w:eastAsia="Times New Roman"/>
        </w:rPr>
      </w:pPr>
      <w:hyperlink w:anchor="i3850c3c6c0104e42b9951aac2f16098a_7" w:history="1">
        <w:r>
          <w:rPr>
            <w:rStyle w:val="a3"/>
            <w:rFonts w:eastAsia="Times New Roman"/>
            <w:b/>
            <w:bCs/>
            <w:sz w:val="20"/>
            <w:szCs w:val="20"/>
          </w:rPr>
          <w:t>Table of Contents</w:t>
        </w:r>
      </w:hyperlink>
    </w:p>
    <w:p w14:paraId="4E48DA34" w14:textId="77777777" w:rsidR="00000000" w:rsidRDefault="00C1661D">
      <w:pPr>
        <w:jc w:val="center"/>
        <w:rPr>
          <w:rFonts w:eastAsia="Times New Roman"/>
        </w:rPr>
      </w:pPr>
      <w:r>
        <w:rPr>
          <w:rFonts w:eastAsia="Times New Roman"/>
          <w:b/>
          <w:bCs/>
          <w:color w:val="000000"/>
          <w:sz w:val="20"/>
          <w:szCs w:val="20"/>
        </w:rPr>
        <w:t>TABLE OF CONTENTS</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9542"/>
        <w:gridCol w:w="36"/>
        <w:gridCol w:w="36"/>
        <w:gridCol w:w="559"/>
        <w:gridCol w:w="36"/>
      </w:tblGrid>
      <w:tr w:rsidR="00000000" w14:paraId="3A29C786" w14:textId="77777777">
        <w:trPr>
          <w:divId w:val="1278177666"/>
          <w:jc w:val="center"/>
        </w:trPr>
        <w:tc>
          <w:tcPr>
            <w:tcW w:w="20" w:type="dxa"/>
            <w:vAlign w:val="center"/>
            <w:hideMark/>
          </w:tcPr>
          <w:p w14:paraId="5BE7E1E5" w14:textId="77777777" w:rsidR="00000000" w:rsidRDefault="00C1661D">
            <w:pPr>
              <w:jc w:val="center"/>
              <w:rPr>
                <w:rFonts w:eastAsia="Times New Roman"/>
              </w:rPr>
            </w:pPr>
          </w:p>
        </w:tc>
        <w:tc>
          <w:tcPr>
            <w:tcW w:w="9605" w:type="dxa"/>
            <w:vAlign w:val="center"/>
            <w:hideMark/>
          </w:tcPr>
          <w:p w14:paraId="69D1E255" w14:textId="77777777" w:rsidR="00000000" w:rsidRDefault="00C1661D">
            <w:pPr>
              <w:spacing w:after="100"/>
              <w:rPr>
                <w:rFonts w:eastAsia="Times New Roman"/>
                <w:sz w:val="20"/>
                <w:szCs w:val="20"/>
              </w:rPr>
            </w:pPr>
          </w:p>
        </w:tc>
        <w:tc>
          <w:tcPr>
            <w:tcW w:w="20" w:type="dxa"/>
            <w:vAlign w:val="center"/>
            <w:hideMark/>
          </w:tcPr>
          <w:p w14:paraId="33E4D668" w14:textId="77777777" w:rsidR="00000000" w:rsidRDefault="00C1661D">
            <w:pPr>
              <w:spacing w:after="100"/>
              <w:rPr>
                <w:rFonts w:eastAsia="Times New Roman"/>
                <w:sz w:val="20"/>
                <w:szCs w:val="20"/>
              </w:rPr>
            </w:pPr>
          </w:p>
        </w:tc>
        <w:tc>
          <w:tcPr>
            <w:tcW w:w="20" w:type="dxa"/>
            <w:vAlign w:val="center"/>
            <w:hideMark/>
          </w:tcPr>
          <w:p w14:paraId="6D023376" w14:textId="77777777" w:rsidR="00000000" w:rsidRDefault="00C1661D">
            <w:pPr>
              <w:spacing w:after="100"/>
              <w:rPr>
                <w:rFonts w:eastAsia="Times New Roman"/>
                <w:sz w:val="20"/>
                <w:szCs w:val="20"/>
              </w:rPr>
            </w:pPr>
          </w:p>
        </w:tc>
        <w:tc>
          <w:tcPr>
            <w:tcW w:w="560" w:type="dxa"/>
            <w:vAlign w:val="center"/>
            <w:hideMark/>
          </w:tcPr>
          <w:p w14:paraId="087D345A" w14:textId="77777777" w:rsidR="00000000" w:rsidRDefault="00C1661D">
            <w:pPr>
              <w:spacing w:after="100"/>
              <w:rPr>
                <w:rFonts w:eastAsia="Times New Roman"/>
                <w:sz w:val="20"/>
                <w:szCs w:val="20"/>
              </w:rPr>
            </w:pPr>
          </w:p>
        </w:tc>
        <w:tc>
          <w:tcPr>
            <w:tcW w:w="20" w:type="dxa"/>
            <w:vAlign w:val="center"/>
            <w:hideMark/>
          </w:tcPr>
          <w:p w14:paraId="464E052F" w14:textId="77777777" w:rsidR="00000000" w:rsidRDefault="00C1661D">
            <w:pPr>
              <w:spacing w:after="100"/>
              <w:rPr>
                <w:rFonts w:eastAsia="Times New Roman"/>
                <w:sz w:val="20"/>
                <w:szCs w:val="20"/>
              </w:rPr>
            </w:pPr>
          </w:p>
        </w:tc>
      </w:tr>
      <w:tr w:rsidR="00000000" w14:paraId="7E0838D1" w14:textId="77777777">
        <w:trPr>
          <w:divId w:val="1278177666"/>
          <w:trHeight w:val="300"/>
          <w:jc w:val="center"/>
        </w:trPr>
        <w:tc>
          <w:tcPr>
            <w:tcW w:w="0" w:type="auto"/>
            <w:gridSpan w:val="3"/>
            <w:tcMar>
              <w:top w:w="30" w:type="dxa"/>
              <w:left w:w="20" w:type="dxa"/>
              <w:bottom w:w="30" w:type="dxa"/>
              <w:right w:w="20" w:type="dxa"/>
            </w:tcMar>
            <w:vAlign w:val="bottom"/>
            <w:hideMark/>
          </w:tcPr>
          <w:p w14:paraId="6FD82549"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21B57E8" w14:textId="77777777" w:rsidR="00000000" w:rsidRDefault="00C1661D">
            <w:pPr>
              <w:spacing w:after="100"/>
              <w:jc w:val="center"/>
              <w:rPr>
                <w:rFonts w:eastAsia="Times New Roman"/>
              </w:rPr>
            </w:pPr>
            <w:r>
              <w:rPr>
                <w:rFonts w:eastAsia="Times New Roman"/>
                <w:b/>
                <w:bCs/>
                <w:color w:val="000000"/>
                <w:sz w:val="20"/>
                <w:szCs w:val="20"/>
              </w:rPr>
              <w:t>Page</w:t>
            </w:r>
          </w:p>
        </w:tc>
      </w:tr>
      <w:tr w:rsidR="00000000" w14:paraId="34581023" w14:textId="77777777">
        <w:trPr>
          <w:divId w:val="1278177666"/>
          <w:trHeight w:val="300"/>
          <w:jc w:val="center"/>
        </w:trPr>
        <w:tc>
          <w:tcPr>
            <w:tcW w:w="0" w:type="auto"/>
            <w:gridSpan w:val="3"/>
            <w:tcMar>
              <w:top w:w="30" w:type="dxa"/>
              <w:left w:w="20" w:type="dxa"/>
              <w:bottom w:w="30" w:type="dxa"/>
              <w:right w:w="20" w:type="dxa"/>
            </w:tcMar>
            <w:vAlign w:val="bottom"/>
            <w:hideMark/>
          </w:tcPr>
          <w:p w14:paraId="1C78AC74" w14:textId="77777777" w:rsidR="00000000" w:rsidRDefault="00C1661D">
            <w:pPr>
              <w:spacing w:after="100"/>
              <w:divId w:val="97332452"/>
              <w:rPr>
                <w:rFonts w:eastAsia="Times New Roman"/>
              </w:rPr>
            </w:pPr>
            <w:hyperlink w:anchor="i3850c3c6c0104e42b9951aac2f16098a_10" w:history="1">
              <w:r>
                <w:rPr>
                  <w:rStyle w:val="a3"/>
                  <w:rFonts w:eastAsia="Times New Roman"/>
                  <w:sz w:val="20"/>
                  <w:szCs w:val="20"/>
                </w:rPr>
                <w:t>Glossary of Terms and Abbreviations</w:t>
              </w:r>
            </w:hyperlink>
          </w:p>
        </w:tc>
        <w:tc>
          <w:tcPr>
            <w:tcW w:w="0" w:type="auto"/>
            <w:gridSpan w:val="3"/>
            <w:tcBorders>
              <w:top w:val="single" w:sz="8" w:space="0" w:color="000000"/>
            </w:tcBorders>
            <w:tcMar>
              <w:top w:w="30" w:type="dxa"/>
              <w:left w:w="20" w:type="dxa"/>
              <w:bottom w:w="30" w:type="dxa"/>
              <w:right w:w="20" w:type="dxa"/>
            </w:tcMar>
            <w:vAlign w:val="bottom"/>
            <w:hideMark/>
          </w:tcPr>
          <w:p w14:paraId="5C7CA1CD" w14:textId="77777777" w:rsidR="00000000" w:rsidRDefault="00C1661D">
            <w:pPr>
              <w:spacing w:after="100"/>
              <w:jc w:val="right"/>
              <w:rPr>
                <w:rFonts w:eastAsia="Times New Roman"/>
              </w:rPr>
            </w:pPr>
            <w:hyperlink w:anchor="i3850c3c6c0104e42b9951aac2f16098a_10" w:history="1">
              <w:r>
                <w:rPr>
                  <w:rStyle w:val="a3"/>
                  <w:rFonts w:eastAsia="Times New Roman"/>
                  <w:sz w:val="20"/>
                  <w:szCs w:val="20"/>
                </w:rPr>
                <w:t>2</w:t>
              </w:r>
            </w:hyperlink>
          </w:p>
        </w:tc>
      </w:tr>
      <w:tr w:rsidR="00000000" w14:paraId="2B137A65" w14:textId="77777777">
        <w:trPr>
          <w:divId w:val="1278177666"/>
          <w:trHeight w:val="300"/>
          <w:jc w:val="center"/>
        </w:trPr>
        <w:tc>
          <w:tcPr>
            <w:tcW w:w="0" w:type="auto"/>
            <w:gridSpan w:val="3"/>
            <w:tcMar>
              <w:top w:w="30" w:type="dxa"/>
              <w:left w:w="20" w:type="dxa"/>
              <w:bottom w:w="30" w:type="dxa"/>
              <w:right w:w="20" w:type="dxa"/>
            </w:tcMar>
            <w:vAlign w:val="bottom"/>
            <w:hideMark/>
          </w:tcPr>
          <w:p w14:paraId="316FE050" w14:textId="77777777" w:rsidR="00000000" w:rsidRDefault="00C1661D">
            <w:pPr>
              <w:spacing w:after="100"/>
              <w:divId w:val="746656253"/>
              <w:rPr>
                <w:rFonts w:eastAsia="Times New Roman"/>
              </w:rPr>
            </w:pPr>
            <w:hyperlink w:anchor="i3850c3c6c0104e42b9951aac2f16098a_13" w:history="1">
              <w:r>
                <w:rPr>
                  <w:rStyle w:val="a3"/>
                  <w:rFonts w:eastAsia="Times New Roman"/>
                  <w:sz w:val="20"/>
                  <w:szCs w:val="20"/>
                </w:rPr>
                <w:t>Forward-Looking Information</w:t>
              </w:r>
            </w:hyperlink>
          </w:p>
        </w:tc>
        <w:tc>
          <w:tcPr>
            <w:tcW w:w="0" w:type="auto"/>
            <w:gridSpan w:val="3"/>
            <w:tcMar>
              <w:top w:w="30" w:type="dxa"/>
              <w:left w:w="20" w:type="dxa"/>
              <w:bottom w:w="30" w:type="dxa"/>
              <w:right w:w="20" w:type="dxa"/>
            </w:tcMar>
            <w:vAlign w:val="bottom"/>
            <w:hideMark/>
          </w:tcPr>
          <w:p w14:paraId="2BFD2F7C" w14:textId="77777777" w:rsidR="00000000" w:rsidRDefault="00C1661D">
            <w:pPr>
              <w:spacing w:after="100"/>
              <w:jc w:val="right"/>
              <w:rPr>
                <w:rFonts w:eastAsia="Times New Roman"/>
              </w:rPr>
            </w:pPr>
            <w:hyperlink w:anchor="i3850c3c6c0104e42b9951aac2f16098a_13" w:history="1">
              <w:r>
                <w:rPr>
                  <w:rStyle w:val="a3"/>
                  <w:rFonts w:eastAsia="Times New Roman"/>
                  <w:sz w:val="20"/>
                  <w:szCs w:val="20"/>
                </w:rPr>
                <w:t>9</w:t>
              </w:r>
            </w:hyperlink>
          </w:p>
        </w:tc>
      </w:tr>
      <w:tr w:rsidR="00000000" w14:paraId="5351C8C2" w14:textId="77777777">
        <w:trPr>
          <w:divId w:val="1278177666"/>
          <w:trHeight w:val="300"/>
          <w:jc w:val="center"/>
        </w:trPr>
        <w:tc>
          <w:tcPr>
            <w:tcW w:w="0" w:type="auto"/>
            <w:gridSpan w:val="3"/>
            <w:tcMar>
              <w:top w:w="30" w:type="dxa"/>
              <w:left w:w="20" w:type="dxa"/>
              <w:bottom w:w="30" w:type="dxa"/>
              <w:right w:w="20" w:type="dxa"/>
            </w:tcMar>
            <w:vAlign w:val="bottom"/>
            <w:hideMark/>
          </w:tcPr>
          <w:p w14:paraId="254B4012" w14:textId="77777777" w:rsidR="00000000" w:rsidRDefault="00C1661D">
            <w:pPr>
              <w:spacing w:after="100"/>
              <w:divId w:val="626593446"/>
              <w:rPr>
                <w:rFonts w:eastAsia="Times New Roman"/>
              </w:rPr>
            </w:pPr>
            <w:hyperlink w:anchor="i3850c3c6c0104e42b9951aac2f16098a_16" w:history="1">
              <w:r>
                <w:rPr>
                  <w:rStyle w:val="a3"/>
                  <w:rFonts w:eastAsia="Times New Roman"/>
                  <w:b/>
                  <w:bCs/>
                  <w:sz w:val="20"/>
                  <w:szCs w:val="20"/>
                </w:rPr>
                <w:t>PART I:</w:t>
              </w:r>
            </w:hyperlink>
          </w:p>
        </w:tc>
        <w:tc>
          <w:tcPr>
            <w:tcW w:w="0" w:type="auto"/>
            <w:gridSpan w:val="3"/>
            <w:tcMar>
              <w:top w:w="0" w:type="dxa"/>
              <w:left w:w="20" w:type="dxa"/>
              <w:bottom w:w="0" w:type="dxa"/>
              <w:right w:w="20" w:type="dxa"/>
            </w:tcMar>
            <w:vAlign w:val="center"/>
            <w:hideMark/>
          </w:tcPr>
          <w:p w14:paraId="52E5C20A" w14:textId="77777777" w:rsidR="00000000" w:rsidRDefault="00C1661D">
            <w:pPr>
              <w:spacing w:after="100"/>
              <w:rPr>
                <w:rFonts w:eastAsia="Times New Roman"/>
              </w:rPr>
            </w:pPr>
          </w:p>
        </w:tc>
      </w:tr>
      <w:tr w:rsidR="00000000" w14:paraId="051717F9" w14:textId="77777777">
        <w:trPr>
          <w:divId w:val="1278177666"/>
          <w:trHeight w:val="300"/>
          <w:jc w:val="center"/>
        </w:trPr>
        <w:tc>
          <w:tcPr>
            <w:tcW w:w="0" w:type="auto"/>
            <w:gridSpan w:val="3"/>
            <w:tcMar>
              <w:top w:w="30" w:type="dxa"/>
              <w:left w:w="20" w:type="dxa"/>
              <w:bottom w:w="30" w:type="dxa"/>
              <w:right w:w="20" w:type="dxa"/>
            </w:tcMar>
            <w:vAlign w:val="bottom"/>
            <w:hideMark/>
          </w:tcPr>
          <w:p w14:paraId="038F8D20" w14:textId="77777777" w:rsidR="00000000" w:rsidRDefault="00C1661D">
            <w:pPr>
              <w:spacing w:after="100"/>
              <w:divId w:val="120802833"/>
              <w:rPr>
                <w:rFonts w:eastAsia="Times New Roman"/>
              </w:rPr>
            </w:pPr>
            <w:hyperlink w:anchor="i3850c3c6c0104e42b9951aac2f16098a_19" w:history="1">
              <w:r>
                <w:rPr>
                  <w:rStyle w:val="a3"/>
                  <w:rFonts w:eastAsia="Times New Roman"/>
                  <w:sz w:val="20"/>
                  <w:szCs w:val="20"/>
                </w:rPr>
                <w:t>Items 1. and 2. Business and Properties</w:t>
              </w:r>
            </w:hyperlink>
          </w:p>
        </w:tc>
        <w:tc>
          <w:tcPr>
            <w:tcW w:w="0" w:type="auto"/>
            <w:gridSpan w:val="3"/>
            <w:tcMar>
              <w:top w:w="30" w:type="dxa"/>
              <w:left w:w="20" w:type="dxa"/>
              <w:bottom w:w="30" w:type="dxa"/>
              <w:right w:w="20" w:type="dxa"/>
            </w:tcMar>
            <w:vAlign w:val="bottom"/>
            <w:hideMark/>
          </w:tcPr>
          <w:p w14:paraId="3525C584" w14:textId="77777777" w:rsidR="00000000" w:rsidRDefault="00C1661D">
            <w:pPr>
              <w:spacing w:after="100"/>
              <w:jc w:val="right"/>
              <w:rPr>
                <w:rFonts w:eastAsia="Times New Roman"/>
              </w:rPr>
            </w:pPr>
            <w:hyperlink w:anchor="i3850c3c6c0104e42b9951aac2f16098a_19" w:history="1">
              <w:r>
                <w:rPr>
                  <w:rStyle w:val="a3"/>
                  <w:rFonts w:eastAsia="Times New Roman"/>
                  <w:sz w:val="20"/>
                  <w:szCs w:val="20"/>
                </w:rPr>
                <w:t>9</w:t>
              </w:r>
            </w:hyperlink>
          </w:p>
        </w:tc>
      </w:tr>
      <w:tr w:rsidR="00000000" w14:paraId="53E8A8F9" w14:textId="77777777">
        <w:trPr>
          <w:divId w:val="1278177666"/>
          <w:trHeight w:val="300"/>
          <w:jc w:val="center"/>
        </w:trPr>
        <w:tc>
          <w:tcPr>
            <w:tcW w:w="0" w:type="auto"/>
            <w:gridSpan w:val="3"/>
            <w:tcMar>
              <w:top w:w="30" w:type="dxa"/>
              <w:left w:w="20" w:type="dxa"/>
              <w:bottom w:w="30" w:type="dxa"/>
              <w:right w:w="20" w:type="dxa"/>
            </w:tcMar>
            <w:vAlign w:val="bottom"/>
            <w:hideMark/>
          </w:tcPr>
          <w:p w14:paraId="61FF55B7" w14:textId="77777777" w:rsidR="00000000" w:rsidRDefault="00C1661D">
            <w:pPr>
              <w:spacing w:after="100"/>
              <w:divId w:val="1887719725"/>
              <w:rPr>
                <w:rFonts w:eastAsia="Times New Roman"/>
              </w:rPr>
            </w:pPr>
            <w:hyperlink w:anchor="i3850c3c6c0104e42b9951aac2f16098a_43"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vAlign w:val="bottom"/>
            <w:hideMark/>
          </w:tcPr>
          <w:p w14:paraId="1B883868" w14:textId="77777777" w:rsidR="00000000" w:rsidRDefault="00C1661D">
            <w:pPr>
              <w:spacing w:after="100"/>
              <w:jc w:val="right"/>
              <w:rPr>
                <w:rFonts w:eastAsia="Times New Roman"/>
              </w:rPr>
            </w:pPr>
            <w:hyperlink w:anchor="i3850c3c6c0104e42b9951aac2f16098a_43" w:history="1">
              <w:r>
                <w:rPr>
                  <w:rStyle w:val="a3"/>
                  <w:rFonts w:eastAsia="Times New Roman"/>
                  <w:sz w:val="20"/>
                  <w:szCs w:val="20"/>
                </w:rPr>
                <w:t>34</w:t>
              </w:r>
            </w:hyperlink>
          </w:p>
        </w:tc>
      </w:tr>
      <w:tr w:rsidR="00000000" w14:paraId="0CCE36C7" w14:textId="77777777">
        <w:trPr>
          <w:divId w:val="1278177666"/>
          <w:trHeight w:val="300"/>
          <w:jc w:val="center"/>
        </w:trPr>
        <w:tc>
          <w:tcPr>
            <w:tcW w:w="0" w:type="auto"/>
            <w:gridSpan w:val="3"/>
            <w:tcMar>
              <w:top w:w="30" w:type="dxa"/>
              <w:left w:w="20" w:type="dxa"/>
              <w:bottom w:w="30" w:type="dxa"/>
              <w:right w:w="20" w:type="dxa"/>
            </w:tcMar>
            <w:vAlign w:val="bottom"/>
            <w:hideMark/>
          </w:tcPr>
          <w:p w14:paraId="1FA74555" w14:textId="77777777" w:rsidR="00000000" w:rsidRDefault="00C1661D">
            <w:pPr>
              <w:spacing w:after="100"/>
              <w:divId w:val="1553926084"/>
              <w:rPr>
                <w:rFonts w:eastAsia="Times New Roman"/>
              </w:rPr>
            </w:pPr>
            <w:hyperlink w:anchor="i3850c3c6c0104e42b9951aac2f16098a_46" w:history="1">
              <w:r>
                <w:rPr>
                  <w:rStyle w:val="a3"/>
                  <w:rFonts w:eastAsia="Times New Roman"/>
                  <w:sz w:val="20"/>
                  <w:szCs w:val="20"/>
                </w:rPr>
                <w:t>Item 1B. Unresolved Staff Comments</w:t>
              </w:r>
            </w:hyperlink>
          </w:p>
        </w:tc>
        <w:tc>
          <w:tcPr>
            <w:tcW w:w="0" w:type="auto"/>
            <w:gridSpan w:val="3"/>
            <w:tcMar>
              <w:top w:w="30" w:type="dxa"/>
              <w:left w:w="20" w:type="dxa"/>
              <w:bottom w:w="30" w:type="dxa"/>
              <w:right w:w="20" w:type="dxa"/>
            </w:tcMar>
            <w:vAlign w:val="bottom"/>
            <w:hideMark/>
          </w:tcPr>
          <w:p w14:paraId="6F1B7E6E" w14:textId="77777777" w:rsidR="00000000" w:rsidRDefault="00C1661D">
            <w:pPr>
              <w:spacing w:after="100"/>
              <w:jc w:val="right"/>
              <w:rPr>
                <w:rFonts w:eastAsia="Times New Roman"/>
              </w:rPr>
            </w:pPr>
            <w:hyperlink w:anchor="i3850c3c6c0104e42b9951aac2f16098a_46" w:history="1">
              <w:r>
                <w:rPr>
                  <w:rStyle w:val="a3"/>
                  <w:rFonts w:eastAsia="Times New Roman"/>
                  <w:sz w:val="20"/>
                  <w:szCs w:val="20"/>
                </w:rPr>
                <w:t>47</w:t>
              </w:r>
            </w:hyperlink>
          </w:p>
        </w:tc>
      </w:tr>
      <w:tr w:rsidR="00000000" w14:paraId="337A217E" w14:textId="77777777">
        <w:trPr>
          <w:divId w:val="1278177666"/>
          <w:trHeight w:val="300"/>
          <w:jc w:val="center"/>
        </w:trPr>
        <w:tc>
          <w:tcPr>
            <w:tcW w:w="0" w:type="auto"/>
            <w:gridSpan w:val="3"/>
            <w:tcMar>
              <w:top w:w="30" w:type="dxa"/>
              <w:left w:w="20" w:type="dxa"/>
              <w:bottom w:w="30" w:type="dxa"/>
              <w:right w:w="20" w:type="dxa"/>
            </w:tcMar>
            <w:vAlign w:val="bottom"/>
            <w:hideMark/>
          </w:tcPr>
          <w:p w14:paraId="5E182AA9" w14:textId="77777777" w:rsidR="00000000" w:rsidRDefault="00C1661D">
            <w:pPr>
              <w:spacing w:after="100"/>
              <w:divId w:val="1851410387"/>
              <w:rPr>
                <w:rFonts w:eastAsia="Times New Roman"/>
              </w:rPr>
            </w:pPr>
            <w:hyperlink w:anchor="i3850c3c6c0104e42b9951aac2f16098a_49" w:history="1">
              <w:r>
                <w:rPr>
                  <w:rStyle w:val="a3"/>
                  <w:rFonts w:eastAsia="Times New Roman"/>
                  <w:sz w:val="20"/>
                  <w:szCs w:val="20"/>
                </w:rPr>
                <w:t>Item 3. Legal Proceedings</w:t>
              </w:r>
            </w:hyperlink>
          </w:p>
        </w:tc>
        <w:tc>
          <w:tcPr>
            <w:tcW w:w="0" w:type="auto"/>
            <w:gridSpan w:val="3"/>
            <w:tcMar>
              <w:top w:w="30" w:type="dxa"/>
              <w:left w:w="20" w:type="dxa"/>
              <w:bottom w:w="30" w:type="dxa"/>
              <w:right w:w="20" w:type="dxa"/>
            </w:tcMar>
            <w:vAlign w:val="bottom"/>
            <w:hideMark/>
          </w:tcPr>
          <w:p w14:paraId="60298257" w14:textId="77777777" w:rsidR="00000000" w:rsidRDefault="00C1661D">
            <w:pPr>
              <w:spacing w:after="100"/>
              <w:jc w:val="right"/>
              <w:rPr>
                <w:rFonts w:eastAsia="Times New Roman"/>
              </w:rPr>
            </w:pPr>
            <w:hyperlink w:anchor="i3850c3c6c0104e42b9951aac2f16098a_49" w:history="1">
              <w:r>
                <w:rPr>
                  <w:rStyle w:val="a3"/>
                  <w:rFonts w:eastAsia="Times New Roman"/>
                  <w:sz w:val="20"/>
                  <w:szCs w:val="20"/>
                </w:rPr>
                <w:t>47</w:t>
              </w:r>
            </w:hyperlink>
          </w:p>
        </w:tc>
      </w:tr>
      <w:tr w:rsidR="00000000" w14:paraId="0D9FC9DB" w14:textId="77777777">
        <w:trPr>
          <w:divId w:val="1278177666"/>
          <w:trHeight w:val="300"/>
          <w:jc w:val="center"/>
        </w:trPr>
        <w:tc>
          <w:tcPr>
            <w:tcW w:w="0" w:type="auto"/>
            <w:gridSpan w:val="3"/>
            <w:tcMar>
              <w:top w:w="30" w:type="dxa"/>
              <w:left w:w="20" w:type="dxa"/>
              <w:bottom w:w="30" w:type="dxa"/>
              <w:right w:w="20" w:type="dxa"/>
            </w:tcMar>
            <w:vAlign w:val="bottom"/>
            <w:hideMark/>
          </w:tcPr>
          <w:p w14:paraId="6F63A91A" w14:textId="77777777" w:rsidR="00000000" w:rsidRDefault="00C1661D">
            <w:pPr>
              <w:spacing w:after="100"/>
              <w:divId w:val="246499388"/>
              <w:rPr>
                <w:rFonts w:eastAsia="Times New Roman"/>
              </w:rPr>
            </w:pPr>
            <w:hyperlink w:anchor="i3850c3c6c0104e42b9951aac2f16098a_52" w:history="1">
              <w:r>
                <w:rPr>
                  <w:rStyle w:val="a3"/>
                  <w:rFonts w:eastAsia="Times New Roman"/>
                  <w:sz w:val="20"/>
                  <w:szCs w:val="20"/>
                </w:rPr>
                <w:t>Item 4. Mine Safety Disclosures</w:t>
              </w:r>
            </w:hyperlink>
          </w:p>
        </w:tc>
        <w:tc>
          <w:tcPr>
            <w:tcW w:w="0" w:type="auto"/>
            <w:gridSpan w:val="3"/>
            <w:tcMar>
              <w:top w:w="30" w:type="dxa"/>
              <w:left w:w="20" w:type="dxa"/>
              <w:bottom w:w="30" w:type="dxa"/>
              <w:right w:w="20" w:type="dxa"/>
            </w:tcMar>
            <w:vAlign w:val="bottom"/>
            <w:hideMark/>
          </w:tcPr>
          <w:p w14:paraId="5D5B2B7A" w14:textId="77777777" w:rsidR="00000000" w:rsidRDefault="00C1661D">
            <w:pPr>
              <w:spacing w:after="100"/>
              <w:jc w:val="right"/>
              <w:rPr>
                <w:rFonts w:eastAsia="Times New Roman"/>
              </w:rPr>
            </w:pPr>
            <w:hyperlink w:anchor="i3850c3c6c0104e42b9951aac2f16098a_52" w:history="1">
              <w:r>
                <w:rPr>
                  <w:rStyle w:val="a3"/>
                  <w:rFonts w:eastAsia="Times New Roman"/>
                  <w:sz w:val="20"/>
                  <w:szCs w:val="20"/>
                </w:rPr>
                <w:t>47</w:t>
              </w:r>
            </w:hyperlink>
          </w:p>
        </w:tc>
      </w:tr>
      <w:tr w:rsidR="00000000" w14:paraId="089360ED" w14:textId="77777777">
        <w:trPr>
          <w:divId w:val="1278177666"/>
          <w:trHeight w:val="300"/>
          <w:jc w:val="center"/>
        </w:trPr>
        <w:tc>
          <w:tcPr>
            <w:tcW w:w="0" w:type="auto"/>
            <w:gridSpan w:val="3"/>
            <w:tcMar>
              <w:top w:w="30" w:type="dxa"/>
              <w:left w:w="20" w:type="dxa"/>
              <w:bottom w:w="30" w:type="dxa"/>
              <w:right w:w="20" w:type="dxa"/>
            </w:tcMar>
            <w:vAlign w:val="bottom"/>
            <w:hideMark/>
          </w:tcPr>
          <w:p w14:paraId="460F8491" w14:textId="77777777" w:rsidR="00000000" w:rsidRDefault="00C1661D">
            <w:pPr>
              <w:spacing w:after="100"/>
              <w:divId w:val="1077169377"/>
              <w:rPr>
                <w:rFonts w:eastAsia="Times New Roman"/>
              </w:rPr>
            </w:pPr>
            <w:hyperlink w:anchor="i3850c3c6c0104e42b9951aac2f16098a_55" w:history="1">
              <w:r>
                <w:rPr>
                  <w:rStyle w:val="a3"/>
                  <w:rFonts w:eastAsia="Times New Roman"/>
                  <w:b/>
                  <w:bCs/>
                  <w:sz w:val="20"/>
                  <w:szCs w:val="20"/>
                </w:rPr>
                <w:t>PART II:</w:t>
              </w:r>
            </w:hyperlink>
          </w:p>
        </w:tc>
        <w:tc>
          <w:tcPr>
            <w:tcW w:w="0" w:type="auto"/>
            <w:gridSpan w:val="3"/>
            <w:tcMar>
              <w:top w:w="0" w:type="dxa"/>
              <w:left w:w="20" w:type="dxa"/>
              <w:bottom w:w="0" w:type="dxa"/>
              <w:right w:w="20" w:type="dxa"/>
            </w:tcMar>
            <w:vAlign w:val="center"/>
            <w:hideMark/>
          </w:tcPr>
          <w:p w14:paraId="5C5D7661" w14:textId="77777777" w:rsidR="00000000" w:rsidRDefault="00C1661D">
            <w:pPr>
              <w:spacing w:after="100"/>
              <w:rPr>
                <w:rFonts w:eastAsia="Times New Roman"/>
              </w:rPr>
            </w:pPr>
          </w:p>
        </w:tc>
      </w:tr>
      <w:tr w:rsidR="00000000" w14:paraId="1912472B" w14:textId="77777777">
        <w:trPr>
          <w:divId w:val="1278177666"/>
          <w:trHeight w:val="480"/>
          <w:jc w:val="center"/>
        </w:trPr>
        <w:tc>
          <w:tcPr>
            <w:tcW w:w="0" w:type="auto"/>
            <w:gridSpan w:val="3"/>
            <w:tcMar>
              <w:top w:w="30" w:type="dxa"/>
              <w:left w:w="20" w:type="dxa"/>
              <w:bottom w:w="30" w:type="dxa"/>
              <w:right w:w="20" w:type="dxa"/>
            </w:tcMar>
            <w:vAlign w:val="bottom"/>
            <w:hideMark/>
          </w:tcPr>
          <w:p w14:paraId="18FA16FA" w14:textId="77777777" w:rsidR="00000000" w:rsidRDefault="00C1661D">
            <w:pPr>
              <w:spacing w:after="100"/>
              <w:divId w:val="1794514542"/>
              <w:rPr>
                <w:rFonts w:eastAsia="Times New Roman"/>
              </w:rPr>
            </w:pPr>
            <w:hyperlink w:anchor="i3850c3c6c0104e42b9951aac2f16098a_58" w:history="1">
              <w:r>
                <w:rPr>
                  <w:rStyle w:val="a3"/>
                  <w:rFonts w:eastAsia="Times New Roman"/>
                  <w:sz w:val="20"/>
                  <w:szCs w:val="20"/>
                </w:rPr>
                <w:t>Item 5. Market for Registrant’</w:t>
              </w:r>
              <w:r>
                <w:rPr>
                  <w:rStyle w:val="a3"/>
                  <w:rFonts w:eastAsia="Times New Roman"/>
                  <w:sz w:val="20"/>
                  <w:szCs w:val="20"/>
                </w:rPr>
                <w: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14:paraId="4D50351C" w14:textId="77777777" w:rsidR="00000000" w:rsidRDefault="00C1661D">
            <w:pPr>
              <w:spacing w:after="100"/>
              <w:jc w:val="right"/>
              <w:rPr>
                <w:rFonts w:eastAsia="Times New Roman"/>
              </w:rPr>
            </w:pPr>
            <w:hyperlink w:anchor="i3850c3c6c0104e42b9951aac2f16098a_58" w:history="1">
              <w:r>
                <w:rPr>
                  <w:rStyle w:val="a3"/>
                  <w:rFonts w:eastAsia="Times New Roman"/>
                  <w:sz w:val="20"/>
                  <w:szCs w:val="20"/>
                </w:rPr>
                <w:t>48</w:t>
              </w:r>
            </w:hyperlink>
          </w:p>
        </w:tc>
      </w:tr>
      <w:tr w:rsidR="00000000" w14:paraId="3BEBA4EB" w14:textId="77777777">
        <w:trPr>
          <w:divId w:val="1278177666"/>
          <w:trHeight w:val="300"/>
          <w:jc w:val="center"/>
        </w:trPr>
        <w:tc>
          <w:tcPr>
            <w:tcW w:w="0" w:type="auto"/>
            <w:gridSpan w:val="3"/>
            <w:tcMar>
              <w:top w:w="30" w:type="dxa"/>
              <w:left w:w="20" w:type="dxa"/>
              <w:bottom w:w="30" w:type="dxa"/>
              <w:right w:w="20" w:type="dxa"/>
            </w:tcMar>
            <w:vAlign w:val="bottom"/>
            <w:hideMark/>
          </w:tcPr>
          <w:p w14:paraId="6D4107D9" w14:textId="77777777" w:rsidR="00000000" w:rsidRDefault="00C1661D">
            <w:pPr>
              <w:spacing w:after="100"/>
              <w:divId w:val="1755007900"/>
              <w:rPr>
                <w:rFonts w:eastAsia="Times New Roman"/>
              </w:rPr>
            </w:pPr>
            <w:hyperlink w:anchor="i3850c3c6c0104e42b9951aac2f16098a_61" w:history="1">
              <w:r>
                <w:rPr>
                  <w:rStyle w:val="a3"/>
                  <w:rFonts w:eastAsia="Times New Roman"/>
                  <w:sz w:val="20"/>
                  <w:szCs w:val="20"/>
                </w:rPr>
                <w:t>Item 6. Selected Financial Data</w:t>
              </w:r>
            </w:hyperlink>
          </w:p>
        </w:tc>
        <w:tc>
          <w:tcPr>
            <w:tcW w:w="0" w:type="auto"/>
            <w:gridSpan w:val="3"/>
            <w:tcMar>
              <w:top w:w="30" w:type="dxa"/>
              <w:left w:w="20" w:type="dxa"/>
              <w:bottom w:w="30" w:type="dxa"/>
              <w:right w:w="20" w:type="dxa"/>
            </w:tcMar>
            <w:vAlign w:val="bottom"/>
            <w:hideMark/>
          </w:tcPr>
          <w:p w14:paraId="72D6F7C1" w14:textId="77777777" w:rsidR="00000000" w:rsidRDefault="00C1661D">
            <w:pPr>
              <w:spacing w:after="100"/>
              <w:jc w:val="right"/>
              <w:rPr>
                <w:rFonts w:eastAsia="Times New Roman"/>
              </w:rPr>
            </w:pPr>
            <w:hyperlink w:anchor="i3850c3c6c0104e42b9951aac2f16098a_61" w:history="1">
              <w:r>
                <w:rPr>
                  <w:rStyle w:val="a3"/>
                  <w:rFonts w:eastAsia="Times New Roman"/>
                  <w:sz w:val="20"/>
                  <w:szCs w:val="20"/>
                </w:rPr>
                <w:t>49</w:t>
              </w:r>
            </w:hyperlink>
          </w:p>
        </w:tc>
      </w:tr>
      <w:tr w:rsidR="00000000" w14:paraId="54FE2B95" w14:textId="77777777">
        <w:trPr>
          <w:divId w:val="1278177666"/>
          <w:trHeight w:val="300"/>
          <w:jc w:val="center"/>
        </w:trPr>
        <w:tc>
          <w:tcPr>
            <w:tcW w:w="0" w:type="auto"/>
            <w:gridSpan w:val="3"/>
            <w:tcMar>
              <w:top w:w="30" w:type="dxa"/>
              <w:left w:w="20" w:type="dxa"/>
              <w:bottom w:w="30" w:type="dxa"/>
              <w:right w:w="20" w:type="dxa"/>
            </w:tcMar>
            <w:vAlign w:val="bottom"/>
            <w:hideMark/>
          </w:tcPr>
          <w:p w14:paraId="5A22A44F" w14:textId="77777777" w:rsidR="00000000" w:rsidRDefault="00C1661D">
            <w:pPr>
              <w:spacing w:after="100"/>
              <w:divId w:val="748113537"/>
              <w:rPr>
                <w:rFonts w:eastAsia="Times New Roman"/>
              </w:rPr>
            </w:pPr>
            <w:hyperlink w:anchor="i3850c3c6c0104e42b9951aac2f16098a_64" w:history="1">
              <w:r>
                <w:rPr>
                  <w:rStyle w:val="a3"/>
                  <w:rFonts w:eastAsia="Times New Roman"/>
                  <w:sz w:val="20"/>
                  <w:szCs w:val="20"/>
                </w:rPr>
                <w:t>Item 7. Management’s Discussion and Ana</w:t>
              </w:r>
              <w:r>
                <w:rPr>
                  <w:rStyle w:val="a3"/>
                  <w:rFonts w:eastAsia="Times New Roman"/>
                  <w:sz w:val="20"/>
                  <w:szCs w:val="20"/>
                </w:rPr>
                <w:t>lysis of Financial Condition and Results of Operations</w:t>
              </w:r>
            </w:hyperlink>
          </w:p>
        </w:tc>
        <w:tc>
          <w:tcPr>
            <w:tcW w:w="0" w:type="auto"/>
            <w:gridSpan w:val="3"/>
            <w:tcMar>
              <w:top w:w="30" w:type="dxa"/>
              <w:left w:w="20" w:type="dxa"/>
              <w:bottom w:w="30" w:type="dxa"/>
              <w:right w:w="20" w:type="dxa"/>
            </w:tcMar>
            <w:vAlign w:val="bottom"/>
            <w:hideMark/>
          </w:tcPr>
          <w:p w14:paraId="7E065BD6" w14:textId="77777777" w:rsidR="00000000" w:rsidRDefault="00C1661D">
            <w:pPr>
              <w:spacing w:after="100"/>
              <w:jc w:val="right"/>
              <w:rPr>
                <w:rFonts w:eastAsia="Times New Roman"/>
              </w:rPr>
            </w:pPr>
            <w:hyperlink w:anchor="i3850c3c6c0104e42b9951aac2f16098a_64" w:history="1">
              <w:r>
                <w:rPr>
                  <w:rStyle w:val="a3"/>
                  <w:rFonts w:eastAsia="Times New Roman"/>
                  <w:sz w:val="20"/>
                  <w:szCs w:val="20"/>
                </w:rPr>
                <w:t>49</w:t>
              </w:r>
            </w:hyperlink>
          </w:p>
        </w:tc>
      </w:tr>
      <w:tr w:rsidR="00000000" w14:paraId="4AF1D703" w14:textId="77777777">
        <w:trPr>
          <w:divId w:val="1278177666"/>
          <w:trHeight w:val="300"/>
          <w:jc w:val="center"/>
        </w:trPr>
        <w:tc>
          <w:tcPr>
            <w:tcW w:w="0" w:type="auto"/>
            <w:gridSpan w:val="3"/>
            <w:tcMar>
              <w:top w:w="30" w:type="dxa"/>
              <w:left w:w="20" w:type="dxa"/>
              <w:bottom w:w="30" w:type="dxa"/>
              <w:right w:w="20" w:type="dxa"/>
            </w:tcMar>
            <w:vAlign w:val="bottom"/>
            <w:hideMark/>
          </w:tcPr>
          <w:p w14:paraId="35DAE34C" w14:textId="77777777" w:rsidR="00000000" w:rsidRDefault="00C1661D">
            <w:pPr>
              <w:spacing w:after="100"/>
              <w:divId w:val="1492939584"/>
              <w:rPr>
                <w:rFonts w:eastAsia="Times New Roman"/>
              </w:rPr>
            </w:pPr>
            <w:hyperlink w:anchor="i3850c3c6c0104e42b9951aac2f16098a_94" w:history="1">
              <w:r>
                <w:rPr>
                  <w:rStyle w:val="a3"/>
                  <w:rFonts w:eastAsia="Times New Roman"/>
                  <w:sz w:val="20"/>
                  <w:szCs w:val="20"/>
                </w:rPr>
                <w:t>Item 7A. Quantitative and Qualitative Disclosures About Market Risk</w:t>
              </w:r>
            </w:hyperlink>
          </w:p>
        </w:tc>
        <w:tc>
          <w:tcPr>
            <w:tcW w:w="0" w:type="auto"/>
            <w:gridSpan w:val="3"/>
            <w:tcMar>
              <w:top w:w="30" w:type="dxa"/>
              <w:left w:w="20" w:type="dxa"/>
              <w:bottom w:w="30" w:type="dxa"/>
              <w:right w:w="20" w:type="dxa"/>
            </w:tcMar>
            <w:vAlign w:val="bottom"/>
            <w:hideMark/>
          </w:tcPr>
          <w:p w14:paraId="294EB13A" w14:textId="77777777" w:rsidR="00000000" w:rsidRDefault="00C1661D">
            <w:pPr>
              <w:spacing w:after="100"/>
              <w:jc w:val="right"/>
              <w:rPr>
                <w:rFonts w:eastAsia="Times New Roman"/>
              </w:rPr>
            </w:pPr>
            <w:hyperlink w:anchor="i3850c3c6c0104e42b9951aac2f16098a_94" w:history="1">
              <w:r>
                <w:rPr>
                  <w:rStyle w:val="a3"/>
                  <w:rFonts w:eastAsia="Times New Roman"/>
                  <w:sz w:val="20"/>
                  <w:szCs w:val="20"/>
                </w:rPr>
                <w:t>67</w:t>
              </w:r>
            </w:hyperlink>
          </w:p>
        </w:tc>
      </w:tr>
      <w:tr w:rsidR="00000000" w14:paraId="770BB8B7" w14:textId="77777777">
        <w:trPr>
          <w:divId w:val="1278177666"/>
          <w:trHeight w:val="300"/>
          <w:jc w:val="center"/>
        </w:trPr>
        <w:tc>
          <w:tcPr>
            <w:tcW w:w="0" w:type="auto"/>
            <w:gridSpan w:val="3"/>
            <w:tcMar>
              <w:top w:w="30" w:type="dxa"/>
              <w:left w:w="20" w:type="dxa"/>
              <w:bottom w:w="30" w:type="dxa"/>
              <w:right w:w="20" w:type="dxa"/>
            </w:tcMar>
            <w:vAlign w:val="bottom"/>
            <w:hideMark/>
          </w:tcPr>
          <w:p w14:paraId="3AD258DE" w14:textId="77777777" w:rsidR="00000000" w:rsidRDefault="00C1661D">
            <w:pPr>
              <w:spacing w:after="100"/>
              <w:divId w:val="2044473281"/>
              <w:rPr>
                <w:rFonts w:eastAsia="Times New Roman"/>
              </w:rPr>
            </w:pPr>
            <w:hyperlink w:anchor="i3850c3c6c0104e42b9951aac2f16098a_97" w:history="1">
              <w:r>
                <w:rPr>
                  <w:rStyle w:val="a3"/>
                  <w:rFonts w:eastAsia="Times New Roman"/>
                  <w:sz w:val="20"/>
                  <w:szCs w:val="20"/>
                </w:rPr>
                <w:t>Item 8. Financial Statements and Supplementary Data</w:t>
              </w:r>
            </w:hyperlink>
          </w:p>
        </w:tc>
        <w:tc>
          <w:tcPr>
            <w:tcW w:w="0" w:type="auto"/>
            <w:gridSpan w:val="3"/>
            <w:tcMar>
              <w:top w:w="30" w:type="dxa"/>
              <w:left w:w="20" w:type="dxa"/>
              <w:bottom w:w="30" w:type="dxa"/>
              <w:right w:w="20" w:type="dxa"/>
            </w:tcMar>
            <w:vAlign w:val="bottom"/>
            <w:hideMark/>
          </w:tcPr>
          <w:p w14:paraId="32A82121" w14:textId="77777777" w:rsidR="00000000" w:rsidRDefault="00C1661D">
            <w:pPr>
              <w:spacing w:after="100"/>
              <w:jc w:val="right"/>
              <w:rPr>
                <w:rFonts w:eastAsia="Times New Roman"/>
              </w:rPr>
            </w:pPr>
            <w:hyperlink w:anchor="i3850c3c6c0104e42b9951aac2f16098a_97" w:history="1">
              <w:r>
                <w:rPr>
                  <w:rStyle w:val="a3"/>
                  <w:rFonts w:eastAsia="Times New Roman"/>
                  <w:sz w:val="20"/>
                  <w:szCs w:val="20"/>
                </w:rPr>
                <w:t>67</w:t>
              </w:r>
            </w:hyperlink>
          </w:p>
        </w:tc>
      </w:tr>
      <w:tr w:rsidR="00000000" w14:paraId="0FF54C05" w14:textId="77777777">
        <w:trPr>
          <w:divId w:val="1278177666"/>
          <w:trHeight w:val="300"/>
          <w:jc w:val="center"/>
        </w:trPr>
        <w:tc>
          <w:tcPr>
            <w:tcW w:w="0" w:type="auto"/>
            <w:gridSpan w:val="3"/>
            <w:tcMar>
              <w:top w:w="30" w:type="dxa"/>
              <w:left w:w="20" w:type="dxa"/>
              <w:bottom w:w="30" w:type="dxa"/>
              <w:right w:w="20" w:type="dxa"/>
            </w:tcMar>
            <w:vAlign w:val="bottom"/>
            <w:hideMark/>
          </w:tcPr>
          <w:p w14:paraId="17BA3A7F" w14:textId="77777777" w:rsidR="00000000" w:rsidRDefault="00C1661D">
            <w:pPr>
              <w:spacing w:after="100"/>
              <w:divId w:val="281962131"/>
              <w:rPr>
                <w:rFonts w:eastAsia="Times New Roman"/>
              </w:rPr>
            </w:pPr>
            <w:hyperlink w:anchor="i3850c3c6c0104e42b9951aac2f16098a_100" w:history="1">
              <w:r>
                <w:rPr>
                  <w:rStyle w:val="a3"/>
                  <w:rFonts w:eastAsia="Times New Roman"/>
                  <w:sz w:val="20"/>
                  <w:szCs w:val="20"/>
                </w:rPr>
                <w:t>Item 9. 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14:paraId="5E62D0E8" w14:textId="77777777" w:rsidR="00000000" w:rsidRDefault="00C1661D">
            <w:pPr>
              <w:spacing w:after="100"/>
              <w:jc w:val="right"/>
              <w:rPr>
                <w:rFonts w:eastAsia="Times New Roman"/>
              </w:rPr>
            </w:pPr>
            <w:hyperlink w:anchor="i3850c3c6c0104e42b9951aac2f16098a_100" w:history="1">
              <w:r>
                <w:rPr>
                  <w:rStyle w:val="a3"/>
                  <w:rFonts w:eastAsia="Times New Roman"/>
                  <w:sz w:val="20"/>
                  <w:szCs w:val="20"/>
                </w:rPr>
                <w:t>68</w:t>
              </w:r>
            </w:hyperlink>
          </w:p>
        </w:tc>
      </w:tr>
      <w:tr w:rsidR="00000000" w14:paraId="4D7D5B1C" w14:textId="77777777">
        <w:trPr>
          <w:divId w:val="1278177666"/>
          <w:trHeight w:val="300"/>
          <w:jc w:val="center"/>
        </w:trPr>
        <w:tc>
          <w:tcPr>
            <w:tcW w:w="0" w:type="auto"/>
            <w:gridSpan w:val="3"/>
            <w:tcMar>
              <w:top w:w="30" w:type="dxa"/>
              <w:left w:w="20" w:type="dxa"/>
              <w:bottom w:w="30" w:type="dxa"/>
              <w:right w:w="20" w:type="dxa"/>
            </w:tcMar>
            <w:vAlign w:val="bottom"/>
            <w:hideMark/>
          </w:tcPr>
          <w:p w14:paraId="50721955" w14:textId="77777777" w:rsidR="00000000" w:rsidRDefault="00C1661D">
            <w:pPr>
              <w:spacing w:after="100"/>
              <w:divId w:val="1171261989"/>
              <w:rPr>
                <w:rFonts w:eastAsia="Times New Roman"/>
              </w:rPr>
            </w:pPr>
            <w:hyperlink w:anchor="i3850c3c6c0104e42b9951aac2f16098a_103" w:history="1">
              <w:r>
                <w:rPr>
                  <w:rStyle w:val="a3"/>
                  <w:rFonts w:eastAsia="Times New Roman"/>
                  <w:sz w:val="20"/>
                  <w:szCs w:val="20"/>
                </w:rPr>
                <w:t>Item 9A. Controls and Procedures</w:t>
              </w:r>
            </w:hyperlink>
          </w:p>
        </w:tc>
        <w:tc>
          <w:tcPr>
            <w:tcW w:w="0" w:type="auto"/>
            <w:gridSpan w:val="3"/>
            <w:tcMar>
              <w:top w:w="30" w:type="dxa"/>
              <w:left w:w="20" w:type="dxa"/>
              <w:bottom w:w="30" w:type="dxa"/>
              <w:right w:w="20" w:type="dxa"/>
            </w:tcMar>
            <w:vAlign w:val="bottom"/>
            <w:hideMark/>
          </w:tcPr>
          <w:p w14:paraId="4442B097" w14:textId="77777777" w:rsidR="00000000" w:rsidRDefault="00C1661D">
            <w:pPr>
              <w:spacing w:after="100"/>
              <w:jc w:val="right"/>
              <w:rPr>
                <w:rFonts w:eastAsia="Times New Roman"/>
              </w:rPr>
            </w:pPr>
            <w:hyperlink w:anchor="i3850c3c6c0104e42b9951aac2f16098a_103" w:history="1">
              <w:r>
                <w:rPr>
                  <w:rStyle w:val="a3"/>
                  <w:rFonts w:eastAsia="Times New Roman"/>
                  <w:sz w:val="20"/>
                  <w:szCs w:val="20"/>
                </w:rPr>
                <w:t>68</w:t>
              </w:r>
            </w:hyperlink>
          </w:p>
        </w:tc>
      </w:tr>
      <w:tr w:rsidR="00000000" w14:paraId="6FB036E6" w14:textId="77777777">
        <w:trPr>
          <w:divId w:val="1278177666"/>
          <w:trHeight w:val="300"/>
          <w:jc w:val="center"/>
        </w:trPr>
        <w:tc>
          <w:tcPr>
            <w:tcW w:w="0" w:type="auto"/>
            <w:gridSpan w:val="3"/>
            <w:tcMar>
              <w:top w:w="30" w:type="dxa"/>
              <w:left w:w="20" w:type="dxa"/>
              <w:bottom w:w="30" w:type="dxa"/>
              <w:right w:w="20" w:type="dxa"/>
            </w:tcMar>
            <w:vAlign w:val="bottom"/>
            <w:hideMark/>
          </w:tcPr>
          <w:p w14:paraId="5D1D1B3C" w14:textId="77777777" w:rsidR="00000000" w:rsidRDefault="00C1661D">
            <w:pPr>
              <w:spacing w:after="100"/>
              <w:divId w:val="635141399"/>
              <w:rPr>
                <w:rFonts w:eastAsia="Times New Roman"/>
              </w:rPr>
            </w:pPr>
            <w:hyperlink w:anchor="i3850c3c6c0104e42b9951aac2f16098a_106" w:history="1">
              <w:r>
                <w:rPr>
                  <w:rStyle w:val="a3"/>
                  <w:rFonts w:eastAsia="Times New Roman"/>
                  <w:sz w:val="20"/>
                  <w:szCs w:val="20"/>
                </w:rPr>
                <w:t>Item </w:t>
              </w:r>
              <w:r>
                <w:rPr>
                  <w:rStyle w:val="a3"/>
                  <w:rFonts w:eastAsia="Times New Roman"/>
                  <w:sz w:val="20"/>
                  <w:szCs w:val="20"/>
                </w:rPr>
                <w:t>9B. Other Information</w:t>
              </w:r>
            </w:hyperlink>
          </w:p>
        </w:tc>
        <w:tc>
          <w:tcPr>
            <w:tcW w:w="0" w:type="auto"/>
            <w:gridSpan w:val="3"/>
            <w:tcMar>
              <w:top w:w="30" w:type="dxa"/>
              <w:left w:w="20" w:type="dxa"/>
              <w:bottom w:w="30" w:type="dxa"/>
              <w:right w:w="20" w:type="dxa"/>
            </w:tcMar>
            <w:vAlign w:val="bottom"/>
            <w:hideMark/>
          </w:tcPr>
          <w:p w14:paraId="40AAB360" w14:textId="77777777" w:rsidR="00000000" w:rsidRDefault="00C1661D">
            <w:pPr>
              <w:spacing w:after="100"/>
              <w:jc w:val="right"/>
              <w:rPr>
                <w:rFonts w:eastAsia="Times New Roman"/>
              </w:rPr>
            </w:pPr>
            <w:hyperlink w:anchor="i3850c3c6c0104e42b9951aac2f16098a_106" w:history="1">
              <w:r>
                <w:rPr>
                  <w:rStyle w:val="a3"/>
                  <w:rFonts w:eastAsia="Times New Roman"/>
                  <w:sz w:val="20"/>
                  <w:szCs w:val="20"/>
                </w:rPr>
                <w:t>69</w:t>
              </w:r>
            </w:hyperlink>
          </w:p>
        </w:tc>
      </w:tr>
      <w:tr w:rsidR="00000000" w14:paraId="6963D35F" w14:textId="77777777">
        <w:trPr>
          <w:divId w:val="1278177666"/>
          <w:trHeight w:val="300"/>
          <w:jc w:val="center"/>
        </w:trPr>
        <w:tc>
          <w:tcPr>
            <w:tcW w:w="0" w:type="auto"/>
            <w:gridSpan w:val="3"/>
            <w:tcMar>
              <w:top w:w="30" w:type="dxa"/>
              <w:left w:w="20" w:type="dxa"/>
              <w:bottom w:w="30" w:type="dxa"/>
              <w:right w:w="20" w:type="dxa"/>
            </w:tcMar>
            <w:vAlign w:val="bottom"/>
            <w:hideMark/>
          </w:tcPr>
          <w:p w14:paraId="56370B44" w14:textId="77777777" w:rsidR="00000000" w:rsidRDefault="00C1661D">
            <w:pPr>
              <w:spacing w:after="100"/>
              <w:divId w:val="384135952"/>
              <w:rPr>
                <w:rFonts w:eastAsia="Times New Roman"/>
              </w:rPr>
            </w:pPr>
            <w:hyperlink w:anchor="i3850c3c6c0104e42b9951aac2f16098a_10995" w:history="1">
              <w:r>
                <w:rPr>
                  <w:rStyle w:val="a3"/>
                  <w:rFonts w:eastAsia="Times New Roman"/>
                  <w:sz w:val="20"/>
                  <w:szCs w:val="20"/>
                </w:rPr>
                <w:t xml:space="preserve">Item 9C. Disclosure Regarding Foreign Jurisdictions </w:t>
              </w:r>
            </w:hyperlink>
            <w:hyperlink w:anchor="i3850c3c6c0104e42b9951aac2f16098a_10995" w:history="1">
              <w:r>
                <w:rPr>
                  <w:rStyle w:val="a3"/>
                  <w:rFonts w:eastAsia="Times New Roman"/>
                  <w:sz w:val="20"/>
                  <w:szCs w:val="20"/>
                </w:rPr>
                <w:t>t</w:t>
              </w:r>
            </w:hyperlink>
            <w:hyperlink w:anchor="i3850c3c6c0104e42b9951aac2f16098a_10995" w:history="1">
              <w:r>
                <w:rPr>
                  <w:rStyle w:val="a3"/>
                  <w:rFonts w:eastAsia="Times New Roman"/>
                  <w:sz w:val="20"/>
                  <w:szCs w:val="20"/>
                </w:rPr>
                <w:t>hat Prevent Inspections</w:t>
              </w:r>
            </w:hyperlink>
          </w:p>
        </w:tc>
        <w:tc>
          <w:tcPr>
            <w:tcW w:w="0" w:type="auto"/>
            <w:gridSpan w:val="3"/>
            <w:tcMar>
              <w:top w:w="30" w:type="dxa"/>
              <w:left w:w="20" w:type="dxa"/>
              <w:bottom w:w="30" w:type="dxa"/>
              <w:right w:w="20" w:type="dxa"/>
            </w:tcMar>
            <w:vAlign w:val="bottom"/>
            <w:hideMark/>
          </w:tcPr>
          <w:p w14:paraId="18B81755" w14:textId="77777777" w:rsidR="00000000" w:rsidRDefault="00C1661D">
            <w:pPr>
              <w:spacing w:after="100"/>
              <w:jc w:val="right"/>
              <w:rPr>
                <w:rFonts w:eastAsia="Times New Roman"/>
              </w:rPr>
            </w:pPr>
            <w:hyperlink w:anchor="i3850c3c6c0104e42b9951aac2f16098a_10995" w:history="1">
              <w:r>
                <w:rPr>
                  <w:rStyle w:val="a3"/>
                  <w:rFonts w:eastAsia="Times New Roman"/>
                  <w:sz w:val="20"/>
                  <w:szCs w:val="20"/>
                </w:rPr>
                <w:t>69</w:t>
              </w:r>
            </w:hyperlink>
          </w:p>
        </w:tc>
      </w:tr>
      <w:tr w:rsidR="00000000" w14:paraId="1CE5D213" w14:textId="77777777">
        <w:trPr>
          <w:divId w:val="1278177666"/>
          <w:trHeight w:val="300"/>
          <w:jc w:val="center"/>
        </w:trPr>
        <w:tc>
          <w:tcPr>
            <w:tcW w:w="0" w:type="auto"/>
            <w:gridSpan w:val="3"/>
            <w:tcMar>
              <w:top w:w="30" w:type="dxa"/>
              <w:left w:w="20" w:type="dxa"/>
              <w:bottom w:w="30" w:type="dxa"/>
              <w:right w:w="20" w:type="dxa"/>
            </w:tcMar>
            <w:vAlign w:val="bottom"/>
            <w:hideMark/>
          </w:tcPr>
          <w:p w14:paraId="35B0C5E5" w14:textId="77777777" w:rsidR="00000000" w:rsidRDefault="00C1661D">
            <w:pPr>
              <w:spacing w:after="100"/>
              <w:divId w:val="1278558230"/>
              <w:rPr>
                <w:rFonts w:eastAsia="Times New Roman"/>
              </w:rPr>
            </w:pPr>
            <w:hyperlink w:anchor="i3850c3c6c0104e42b9951aac2f16098a_109" w:history="1">
              <w:r>
                <w:rPr>
                  <w:rStyle w:val="a3"/>
                  <w:rFonts w:eastAsia="Times New Roman"/>
                  <w:b/>
                  <w:bCs/>
                  <w:sz w:val="20"/>
                  <w:szCs w:val="20"/>
                </w:rPr>
                <w:t>PART III:</w:t>
              </w:r>
            </w:hyperlink>
          </w:p>
        </w:tc>
        <w:tc>
          <w:tcPr>
            <w:tcW w:w="0" w:type="auto"/>
            <w:gridSpan w:val="3"/>
            <w:tcMar>
              <w:top w:w="0" w:type="dxa"/>
              <w:left w:w="20" w:type="dxa"/>
              <w:bottom w:w="0" w:type="dxa"/>
              <w:right w:w="20" w:type="dxa"/>
            </w:tcMar>
            <w:vAlign w:val="center"/>
            <w:hideMark/>
          </w:tcPr>
          <w:p w14:paraId="59A4A89F" w14:textId="77777777" w:rsidR="00000000" w:rsidRDefault="00C1661D">
            <w:pPr>
              <w:spacing w:after="100"/>
              <w:rPr>
                <w:rFonts w:eastAsia="Times New Roman"/>
              </w:rPr>
            </w:pPr>
          </w:p>
        </w:tc>
      </w:tr>
      <w:tr w:rsidR="00000000" w14:paraId="27BF24A9" w14:textId="77777777">
        <w:trPr>
          <w:divId w:val="1278177666"/>
          <w:trHeight w:val="300"/>
          <w:jc w:val="center"/>
        </w:trPr>
        <w:tc>
          <w:tcPr>
            <w:tcW w:w="0" w:type="auto"/>
            <w:gridSpan w:val="3"/>
            <w:tcMar>
              <w:top w:w="30" w:type="dxa"/>
              <w:left w:w="20" w:type="dxa"/>
              <w:bottom w:w="30" w:type="dxa"/>
              <w:right w:w="20" w:type="dxa"/>
            </w:tcMar>
            <w:vAlign w:val="bottom"/>
            <w:hideMark/>
          </w:tcPr>
          <w:p w14:paraId="37B8F579" w14:textId="77777777" w:rsidR="00000000" w:rsidRDefault="00C1661D">
            <w:pPr>
              <w:spacing w:after="100"/>
              <w:divId w:val="887765856"/>
              <w:rPr>
                <w:rFonts w:eastAsia="Times New Roman"/>
              </w:rPr>
            </w:pPr>
            <w:hyperlink w:anchor="i3850c3c6c0104e42b9951aac2f16098a_112" w:history="1">
              <w:r>
                <w:rPr>
                  <w:rStyle w:val="a3"/>
                  <w:rFonts w:eastAsia="Times New Roman"/>
                  <w:sz w:val="20"/>
                  <w:szCs w:val="20"/>
                </w:rPr>
                <w:t>Item 10. Directors, Executive Officers and Corporate Governance</w:t>
              </w:r>
            </w:hyperlink>
          </w:p>
        </w:tc>
        <w:tc>
          <w:tcPr>
            <w:tcW w:w="0" w:type="auto"/>
            <w:gridSpan w:val="3"/>
            <w:tcMar>
              <w:top w:w="30" w:type="dxa"/>
              <w:left w:w="20" w:type="dxa"/>
              <w:bottom w:w="30" w:type="dxa"/>
              <w:right w:w="20" w:type="dxa"/>
            </w:tcMar>
            <w:vAlign w:val="bottom"/>
            <w:hideMark/>
          </w:tcPr>
          <w:p w14:paraId="4DAE033D" w14:textId="77777777" w:rsidR="00000000" w:rsidRDefault="00C1661D">
            <w:pPr>
              <w:spacing w:after="100"/>
              <w:jc w:val="right"/>
              <w:rPr>
                <w:rFonts w:eastAsia="Times New Roman"/>
              </w:rPr>
            </w:pPr>
            <w:hyperlink w:anchor="i3850c3c6c0104e42b9951aac2f16098a_112" w:history="1">
              <w:r>
                <w:rPr>
                  <w:rStyle w:val="a3"/>
                  <w:rFonts w:eastAsia="Times New Roman"/>
                  <w:sz w:val="20"/>
                  <w:szCs w:val="20"/>
                </w:rPr>
                <w:t>70</w:t>
              </w:r>
            </w:hyperlink>
          </w:p>
        </w:tc>
      </w:tr>
      <w:tr w:rsidR="00000000" w14:paraId="659E1F20" w14:textId="77777777">
        <w:trPr>
          <w:divId w:val="1278177666"/>
          <w:trHeight w:val="300"/>
          <w:jc w:val="center"/>
        </w:trPr>
        <w:tc>
          <w:tcPr>
            <w:tcW w:w="0" w:type="auto"/>
            <w:gridSpan w:val="3"/>
            <w:tcMar>
              <w:top w:w="30" w:type="dxa"/>
              <w:left w:w="20" w:type="dxa"/>
              <w:bottom w:w="30" w:type="dxa"/>
              <w:right w:w="20" w:type="dxa"/>
            </w:tcMar>
            <w:vAlign w:val="bottom"/>
            <w:hideMark/>
          </w:tcPr>
          <w:p w14:paraId="6AEE37A4" w14:textId="77777777" w:rsidR="00000000" w:rsidRDefault="00C1661D">
            <w:pPr>
              <w:spacing w:after="100"/>
              <w:divId w:val="2007394541"/>
              <w:rPr>
                <w:rFonts w:eastAsia="Times New Roman"/>
              </w:rPr>
            </w:pPr>
            <w:hyperlink w:anchor="i3850c3c6c0104e42b9951aac2f16098a_112" w:history="1">
              <w:r>
                <w:rPr>
                  <w:rStyle w:val="a3"/>
                  <w:rFonts w:eastAsia="Times New Roman"/>
                  <w:sz w:val="20"/>
                  <w:szCs w:val="20"/>
                </w:rPr>
                <w:t>Item 11. Executive Compensation</w:t>
              </w:r>
            </w:hyperlink>
          </w:p>
        </w:tc>
        <w:tc>
          <w:tcPr>
            <w:tcW w:w="0" w:type="auto"/>
            <w:gridSpan w:val="3"/>
            <w:tcMar>
              <w:top w:w="30" w:type="dxa"/>
              <w:left w:w="20" w:type="dxa"/>
              <w:bottom w:w="30" w:type="dxa"/>
              <w:right w:w="20" w:type="dxa"/>
            </w:tcMar>
            <w:vAlign w:val="bottom"/>
            <w:hideMark/>
          </w:tcPr>
          <w:p w14:paraId="4FD97D06" w14:textId="77777777" w:rsidR="00000000" w:rsidRDefault="00C1661D">
            <w:pPr>
              <w:spacing w:after="100"/>
              <w:jc w:val="right"/>
              <w:rPr>
                <w:rFonts w:eastAsia="Times New Roman"/>
              </w:rPr>
            </w:pPr>
            <w:hyperlink w:anchor="i3850c3c6c0104e42b9951aac2f16098a_112" w:history="1">
              <w:r>
                <w:rPr>
                  <w:rStyle w:val="a3"/>
                  <w:rFonts w:eastAsia="Times New Roman"/>
                  <w:sz w:val="20"/>
                  <w:szCs w:val="20"/>
                </w:rPr>
                <w:t>70</w:t>
              </w:r>
            </w:hyperlink>
          </w:p>
        </w:tc>
      </w:tr>
      <w:tr w:rsidR="00000000" w14:paraId="3A159602" w14:textId="77777777">
        <w:trPr>
          <w:divId w:val="1278177666"/>
          <w:trHeight w:val="300"/>
          <w:jc w:val="center"/>
        </w:trPr>
        <w:tc>
          <w:tcPr>
            <w:tcW w:w="0" w:type="auto"/>
            <w:gridSpan w:val="3"/>
            <w:tcMar>
              <w:top w:w="30" w:type="dxa"/>
              <w:left w:w="20" w:type="dxa"/>
              <w:bottom w:w="30" w:type="dxa"/>
              <w:right w:w="20" w:type="dxa"/>
            </w:tcMar>
            <w:vAlign w:val="bottom"/>
            <w:hideMark/>
          </w:tcPr>
          <w:p w14:paraId="7E1D078E" w14:textId="77777777" w:rsidR="00000000" w:rsidRDefault="00C1661D">
            <w:pPr>
              <w:spacing w:after="100"/>
              <w:divId w:val="1637493355"/>
              <w:rPr>
                <w:rFonts w:eastAsia="Times New Roman"/>
              </w:rPr>
            </w:pPr>
            <w:hyperlink w:anchor="i3850c3c6c0104e42b9951aac2f16098a_112" w:history="1">
              <w:r>
                <w:rPr>
                  <w:rStyle w:val="a3"/>
                  <w:rFonts w:eastAsia="Times New Roman"/>
                  <w:sz w:val="20"/>
                  <w:szCs w:val="20"/>
                </w:rPr>
                <w:t>Item 12. 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14:paraId="3AB7D93C" w14:textId="77777777" w:rsidR="00000000" w:rsidRDefault="00C1661D">
            <w:pPr>
              <w:spacing w:after="100"/>
              <w:jc w:val="right"/>
              <w:rPr>
                <w:rFonts w:eastAsia="Times New Roman"/>
              </w:rPr>
            </w:pPr>
            <w:hyperlink w:anchor="i3850c3c6c0104e42b9951aac2f16098a_112" w:history="1">
              <w:r>
                <w:rPr>
                  <w:rStyle w:val="a3"/>
                  <w:rFonts w:eastAsia="Times New Roman"/>
                  <w:sz w:val="20"/>
                  <w:szCs w:val="20"/>
                </w:rPr>
                <w:t>70</w:t>
              </w:r>
            </w:hyperlink>
          </w:p>
        </w:tc>
      </w:tr>
      <w:tr w:rsidR="00000000" w14:paraId="71CB558C" w14:textId="77777777">
        <w:trPr>
          <w:divId w:val="1278177666"/>
          <w:trHeight w:val="300"/>
          <w:jc w:val="center"/>
        </w:trPr>
        <w:tc>
          <w:tcPr>
            <w:tcW w:w="0" w:type="auto"/>
            <w:gridSpan w:val="3"/>
            <w:tcMar>
              <w:top w:w="30" w:type="dxa"/>
              <w:left w:w="20" w:type="dxa"/>
              <w:bottom w:w="30" w:type="dxa"/>
              <w:right w:w="20" w:type="dxa"/>
            </w:tcMar>
            <w:vAlign w:val="bottom"/>
            <w:hideMark/>
          </w:tcPr>
          <w:p w14:paraId="6928A1F1" w14:textId="77777777" w:rsidR="00000000" w:rsidRDefault="00C1661D">
            <w:pPr>
              <w:spacing w:after="100"/>
              <w:divId w:val="1528329573"/>
              <w:rPr>
                <w:rFonts w:eastAsia="Times New Roman"/>
              </w:rPr>
            </w:pPr>
            <w:hyperlink w:anchor="i3850c3c6c0104e42b9951aac2f16098a_112" w:history="1">
              <w:r>
                <w:rPr>
                  <w:rStyle w:val="a3"/>
                  <w:rFonts w:eastAsia="Times New Roman"/>
                  <w:sz w:val="20"/>
                  <w:szCs w:val="20"/>
                </w:rPr>
                <w:t>Item 13. Certain Relationships and Related Transactions and Director Independence</w:t>
              </w:r>
            </w:hyperlink>
          </w:p>
        </w:tc>
        <w:tc>
          <w:tcPr>
            <w:tcW w:w="0" w:type="auto"/>
            <w:gridSpan w:val="3"/>
            <w:tcMar>
              <w:top w:w="30" w:type="dxa"/>
              <w:left w:w="20" w:type="dxa"/>
              <w:bottom w:w="30" w:type="dxa"/>
              <w:right w:w="20" w:type="dxa"/>
            </w:tcMar>
            <w:vAlign w:val="bottom"/>
            <w:hideMark/>
          </w:tcPr>
          <w:p w14:paraId="56D984DF" w14:textId="77777777" w:rsidR="00000000" w:rsidRDefault="00C1661D">
            <w:pPr>
              <w:spacing w:after="100"/>
              <w:jc w:val="right"/>
              <w:rPr>
                <w:rFonts w:eastAsia="Times New Roman"/>
              </w:rPr>
            </w:pPr>
            <w:hyperlink w:anchor="i3850c3c6c0104e42b9951aac2f16098a_112" w:history="1">
              <w:r>
                <w:rPr>
                  <w:rStyle w:val="a3"/>
                  <w:rFonts w:eastAsia="Times New Roman"/>
                  <w:sz w:val="20"/>
                  <w:szCs w:val="20"/>
                </w:rPr>
                <w:t>70</w:t>
              </w:r>
            </w:hyperlink>
          </w:p>
        </w:tc>
      </w:tr>
      <w:tr w:rsidR="00000000" w14:paraId="566C8563" w14:textId="77777777">
        <w:trPr>
          <w:divId w:val="1278177666"/>
          <w:trHeight w:val="300"/>
          <w:jc w:val="center"/>
        </w:trPr>
        <w:tc>
          <w:tcPr>
            <w:tcW w:w="0" w:type="auto"/>
            <w:gridSpan w:val="3"/>
            <w:tcMar>
              <w:top w:w="30" w:type="dxa"/>
              <w:left w:w="20" w:type="dxa"/>
              <w:bottom w:w="30" w:type="dxa"/>
              <w:right w:w="20" w:type="dxa"/>
            </w:tcMar>
            <w:vAlign w:val="bottom"/>
            <w:hideMark/>
          </w:tcPr>
          <w:p w14:paraId="209DC356" w14:textId="77777777" w:rsidR="00000000" w:rsidRDefault="00C1661D">
            <w:pPr>
              <w:spacing w:after="100"/>
              <w:divId w:val="1402828078"/>
              <w:rPr>
                <w:rFonts w:eastAsia="Times New Roman"/>
              </w:rPr>
            </w:pPr>
            <w:hyperlink w:anchor="i3850c3c6c0104e42b9951aac2f16098a_112" w:history="1">
              <w:r>
                <w:rPr>
                  <w:rStyle w:val="a3"/>
                  <w:rFonts w:eastAsia="Times New Roman"/>
                  <w:sz w:val="20"/>
                  <w:szCs w:val="20"/>
                </w:rPr>
                <w:t>Item 14. Principal Accounting Fees and Services</w:t>
              </w:r>
            </w:hyperlink>
          </w:p>
        </w:tc>
        <w:tc>
          <w:tcPr>
            <w:tcW w:w="0" w:type="auto"/>
            <w:gridSpan w:val="3"/>
            <w:tcMar>
              <w:top w:w="30" w:type="dxa"/>
              <w:left w:w="20" w:type="dxa"/>
              <w:bottom w:w="30" w:type="dxa"/>
              <w:right w:w="20" w:type="dxa"/>
            </w:tcMar>
            <w:vAlign w:val="bottom"/>
            <w:hideMark/>
          </w:tcPr>
          <w:p w14:paraId="5F5B8E3C" w14:textId="77777777" w:rsidR="00000000" w:rsidRDefault="00C1661D">
            <w:pPr>
              <w:spacing w:after="100"/>
              <w:jc w:val="right"/>
              <w:rPr>
                <w:rFonts w:eastAsia="Times New Roman"/>
              </w:rPr>
            </w:pPr>
            <w:hyperlink w:anchor="i3850c3c6c0104e42b9951aac2f16098a_112" w:history="1">
              <w:r>
                <w:rPr>
                  <w:rStyle w:val="a3"/>
                  <w:rFonts w:eastAsia="Times New Roman"/>
                  <w:sz w:val="20"/>
                  <w:szCs w:val="20"/>
                </w:rPr>
                <w:t>70</w:t>
              </w:r>
            </w:hyperlink>
          </w:p>
        </w:tc>
      </w:tr>
      <w:tr w:rsidR="00000000" w14:paraId="52CB080F" w14:textId="77777777">
        <w:trPr>
          <w:divId w:val="1278177666"/>
          <w:trHeight w:val="300"/>
          <w:jc w:val="center"/>
        </w:trPr>
        <w:tc>
          <w:tcPr>
            <w:tcW w:w="0" w:type="auto"/>
            <w:gridSpan w:val="3"/>
            <w:tcMar>
              <w:top w:w="30" w:type="dxa"/>
              <w:left w:w="20" w:type="dxa"/>
              <w:bottom w:w="30" w:type="dxa"/>
              <w:right w:w="20" w:type="dxa"/>
            </w:tcMar>
            <w:vAlign w:val="bottom"/>
            <w:hideMark/>
          </w:tcPr>
          <w:p w14:paraId="1C460EE5" w14:textId="77777777" w:rsidR="00000000" w:rsidRDefault="00C1661D">
            <w:pPr>
              <w:spacing w:after="100"/>
              <w:divId w:val="100534646"/>
              <w:rPr>
                <w:rFonts w:eastAsia="Times New Roman"/>
              </w:rPr>
            </w:pPr>
            <w:hyperlink w:anchor="i3850c3c6c0104e42b9951aac2f16098a_115" w:history="1">
              <w:r>
                <w:rPr>
                  <w:rStyle w:val="a3"/>
                  <w:rFonts w:eastAsia="Times New Roman"/>
                  <w:b/>
                  <w:bCs/>
                  <w:sz w:val="20"/>
                  <w:szCs w:val="20"/>
                </w:rPr>
                <w:t>PART IV:</w:t>
              </w:r>
            </w:hyperlink>
          </w:p>
        </w:tc>
        <w:tc>
          <w:tcPr>
            <w:tcW w:w="0" w:type="auto"/>
            <w:gridSpan w:val="3"/>
            <w:tcMar>
              <w:top w:w="0" w:type="dxa"/>
              <w:left w:w="20" w:type="dxa"/>
              <w:bottom w:w="0" w:type="dxa"/>
              <w:right w:w="20" w:type="dxa"/>
            </w:tcMar>
            <w:vAlign w:val="center"/>
            <w:hideMark/>
          </w:tcPr>
          <w:p w14:paraId="46B61832" w14:textId="77777777" w:rsidR="00000000" w:rsidRDefault="00C1661D">
            <w:pPr>
              <w:spacing w:after="100"/>
              <w:rPr>
                <w:rFonts w:eastAsia="Times New Roman"/>
              </w:rPr>
            </w:pPr>
          </w:p>
        </w:tc>
      </w:tr>
      <w:tr w:rsidR="00000000" w14:paraId="77DF1E20" w14:textId="77777777">
        <w:trPr>
          <w:divId w:val="1278177666"/>
          <w:trHeight w:val="300"/>
          <w:jc w:val="center"/>
        </w:trPr>
        <w:tc>
          <w:tcPr>
            <w:tcW w:w="0" w:type="auto"/>
            <w:gridSpan w:val="3"/>
            <w:tcMar>
              <w:top w:w="30" w:type="dxa"/>
              <w:left w:w="20" w:type="dxa"/>
              <w:bottom w:w="30" w:type="dxa"/>
              <w:right w:w="20" w:type="dxa"/>
            </w:tcMar>
            <w:vAlign w:val="bottom"/>
            <w:hideMark/>
          </w:tcPr>
          <w:p w14:paraId="520115BE" w14:textId="77777777" w:rsidR="00000000" w:rsidRDefault="00C1661D">
            <w:pPr>
              <w:spacing w:after="100"/>
              <w:divId w:val="2101484841"/>
              <w:rPr>
                <w:rFonts w:eastAsia="Times New Roman"/>
              </w:rPr>
            </w:pPr>
            <w:hyperlink w:anchor="i3850c3c6c0104e42b9951aac2f16098a_118" w:history="1">
              <w:r>
                <w:rPr>
                  <w:rStyle w:val="a3"/>
                  <w:rFonts w:eastAsia="Times New Roman"/>
                  <w:sz w:val="20"/>
                  <w:szCs w:val="20"/>
                </w:rPr>
                <w:t>Item 15. Exhibits and Financial Statement Schedules</w:t>
              </w:r>
            </w:hyperlink>
          </w:p>
        </w:tc>
        <w:tc>
          <w:tcPr>
            <w:tcW w:w="0" w:type="auto"/>
            <w:gridSpan w:val="3"/>
            <w:tcMar>
              <w:top w:w="30" w:type="dxa"/>
              <w:left w:w="20" w:type="dxa"/>
              <w:bottom w:w="30" w:type="dxa"/>
              <w:right w:w="20" w:type="dxa"/>
            </w:tcMar>
            <w:vAlign w:val="bottom"/>
            <w:hideMark/>
          </w:tcPr>
          <w:p w14:paraId="0EAC0241" w14:textId="77777777" w:rsidR="00000000" w:rsidRDefault="00C1661D">
            <w:pPr>
              <w:spacing w:after="100"/>
              <w:jc w:val="right"/>
              <w:rPr>
                <w:rFonts w:eastAsia="Times New Roman"/>
              </w:rPr>
            </w:pPr>
            <w:hyperlink w:anchor="i3850c3c6c0104e42b9951aac2f16098a_118" w:history="1">
              <w:r>
                <w:rPr>
                  <w:rStyle w:val="a3"/>
                  <w:rFonts w:eastAsia="Times New Roman"/>
                  <w:sz w:val="20"/>
                  <w:szCs w:val="20"/>
                </w:rPr>
                <w:t>73</w:t>
              </w:r>
            </w:hyperlink>
          </w:p>
        </w:tc>
      </w:tr>
      <w:tr w:rsidR="00000000" w14:paraId="6498B7D7" w14:textId="77777777">
        <w:trPr>
          <w:divId w:val="1278177666"/>
          <w:trHeight w:val="300"/>
          <w:jc w:val="center"/>
        </w:trPr>
        <w:tc>
          <w:tcPr>
            <w:tcW w:w="0" w:type="auto"/>
            <w:gridSpan w:val="3"/>
            <w:tcMar>
              <w:top w:w="30" w:type="dxa"/>
              <w:left w:w="20" w:type="dxa"/>
              <w:bottom w:w="30" w:type="dxa"/>
              <w:right w:w="20" w:type="dxa"/>
            </w:tcMar>
            <w:vAlign w:val="bottom"/>
            <w:hideMark/>
          </w:tcPr>
          <w:p w14:paraId="45939967" w14:textId="77777777" w:rsidR="00000000" w:rsidRDefault="00C1661D">
            <w:pPr>
              <w:spacing w:after="100"/>
              <w:divId w:val="948507224"/>
              <w:rPr>
                <w:rFonts w:eastAsia="Times New Roman"/>
              </w:rPr>
            </w:pPr>
            <w:hyperlink w:anchor="i3850c3c6c0104e42b9951aac2f16098a_121" w:history="1">
              <w:r>
                <w:rPr>
                  <w:rStyle w:val="a3"/>
                  <w:rFonts w:eastAsia="Times New Roman"/>
                  <w:sz w:val="20"/>
                  <w:szCs w:val="20"/>
                </w:rPr>
                <w:t>Item 16. Form 10-K Summary</w:t>
              </w:r>
            </w:hyperlink>
          </w:p>
        </w:tc>
        <w:tc>
          <w:tcPr>
            <w:tcW w:w="0" w:type="auto"/>
            <w:gridSpan w:val="3"/>
            <w:tcMar>
              <w:top w:w="30" w:type="dxa"/>
              <w:left w:w="20" w:type="dxa"/>
              <w:bottom w:w="30" w:type="dxa"/>
              <w:right w:w="20" w:type="dxa"/>
            </w:tcMar>
            <w:vAlign w:val="bottom"/>
            <w:hideMark/>
          </w:tcPr>
          <w:p w14:paraId="4A70CDEC" w14:textId="77777777" w:rsidR="00000000" w:rsidRDefault="00C1661D">
            <w:pPr>
              <w:spacing w:after="100"/>
              <w:jc w:val="right"/>
              <w:rPr>
                <w:rFonts w:eastAsia="Times New Roman"/>
              </w:rPr>
            </w:pPr>
            <w:hyperlink w:anchor="i3850c3c6c0104e42b9951aac2f16098a_121" w:history="1">
              <w:r>
                <w:rPr>
                  <w:rStyle w:val="a3"/>
                  <w:rFonts w:eastAsia="Times New Roman"/>
                  <w:sz w:val="20"/>
                  <w:szCs w:val="20"/>
                </w:rPr>
                <w:t>84</w:t>
              </w:r>
            </w:hyperlink>
          </w:p>
        </w:tc>
      </w:tr>
      <w:tr w:rsidR="00000000" w14:paraId="442EEA24" w14:textId="77777777">
        <w:trPr>
          <w:divId w:val="1278177666"/>
          <w:trHeight w:val="300"/>
          <w:jc w:val="center"/>
        </w:trPr>
        <w:tc>
          <w:tcPr>
            <w:tcW w:w="0" w:type="auto"/>
            <w:gridSpan w:val="3"/>
            <w:tcMar>
              <w:top w:w="30" w:type="dxa"/>
              <w:left w:w="20" w:type="dxa"/>
              <w:bottom w:w="30" w:type="dxa"/>
              <w:right w:w="20" w:type="dxa"/>
            </w:tcMar>
            <w:vAlign w:val="bottom"/>
            <w:hideMark/>
          </w:tcPr>
          <w:p w14:paraId="51D19C87" w14:textId="77777777" w:rsidR="00000000" w:rsidRDefault="00C1661D">
            <w:pPr>
              <w:spacing w:after="100"/>
              <w:divId w:val="918490720"/>
              <w:rPr>
                <w:rFonts w:eastAsia="Times New Roman"/>
              </w:rPr>
            </w:pPr>
            <w:hyperlink w:anchor="i3850c3c6c0104e42b9951aac2f16098a_127"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bottom"/>
            <w:hideMark/>
          </w:tcPr>
          <w:p w14:paraId="716ED6AF" w14:textId="77777777" w:rsidR="00000000" w:rsidRDefault="00C1661D">
            <w:pPr>
              <w:spacing w:after="100"/>
              <w:jc w:val="right"/>
              <w:rPr>
                <w:rFonts w:eastAsia="Times New Roman"/>
              </w:rPr>
            </w:pPr>
            <w:hyperlink w:anchor="i3850c3c6c0104e42b9951aac2f16098a_127" w:history="1">
              <w:r>
                <w:rPr>
                  <w:rStyle w:val="a3"/>
                  <w:rFonts w:eastAsia="Times New Roman"/>
                  <w:sz w:val="20"/>
                  <w:szCs w:val="20"/>
                </w:rPr>
                <w:t>86</w:t>
              </w:r>
            </w:hyperlink>
          </w:p>
        </w:tc>
      </w:tr>
      <w:tr w:rsidR="00000000" w14:paraId="7FB5EF78" w14:textId="77777777">
        <w:trPr>
          <w:divId w:val="1278177666"/>
          <w:trHeight w:val="220"/>
          <w:jc w:val="center"/>
        </w:trPr>
        <w:tc>
          <w:tcPr>
            <w:tcW w:w="0" w:type="auto"/>
            <w:gridSpan w:val="3"/>
            <w:tcMar>
              <w:top w:w="30" w:type="dxa"/>
              <w:left w:w="20" w:type="dxa"/>
              <w:bottom w:w="30" w:type="dxa"/>
              <w:right w:w="20" w:type="dxa"/>
            </w:tcMar>
            <w:vAlign w:val="bottom"/>
            <w:hideMark/>
          </w:tcPr>
          <w:p w14:paraId="56D93693" w14:textId="77777777" w:rsidR="00000000" w:rsidRDefault="00C1661D">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14:paraId="660F9AE3" w14:textId="77777777" w:rsidR="00000000" w:rsidRDefault="00C1661D">
            <w:pPr>
              <w:spacing w:after="100"/>
              <w:rPr>
                <w:rFonts w:eastAsia="Times New Roman"/>
              </w:rPr>
            </w:pPr>
          </w:p>
        </w:tc>
      </w:tr>
      <w:tr w:rsidR="00000000" w14:paraId="13C95139" w14:textId="77777777">
        <w:trPr>
          <w:divId w:val="1278177666"/>
          <w:trHeight w:val="300"/>
          <w:jc w:val="center"/>
        </w:trPr>
        <w:tc>
          <w:tcPr>
            <w:tcW w:w="0" w:type="auto"/>
            <w:gridSpan w:val="3"/>
            <w:tcMar>
              <w:top w:w="30" w:type="dxa"/>
              <w:left w:w="20" w:type="dxa"/>
              <w:bottom w:w="30" w:type="dxa"/>
              <w:right w:w="20" w:type="dxa"/>
            </w:tcMar>
            <w:vAlign w:val="bottom"/>
            <w:hideMark/>
          </w:tcPr>
          <w:p w14:paraId="01B0DC36" w14:textId="77777777" w:rsidR="00000000" w:rsidRDefault="00C1661D">
            <w:pPr>
              <w:spacing w:after="100"/>
              <w:divId w:val="1934630620"/>
              <w:rPr>
                <w:rFonts w:eastAsia="Times New Roman"/>
              </w:rPr>
            </w:pPr>
            <w:hyperlink w:anchor="i3850c3c6c0104e42b9951aac2f16098a_133" w:history="1">
              <w:r>
                <w:rPr>
                  <w:rStyle w:val="a3"/>
                  <w:rFonts w:eastAsia="Times New Roman"/>
                  <w:sz w:val="20"/>
                  <w:szCs w:val="20"/>
                </w:rPr>
                <w:t>Index to Financial Statements and Financial Statement Schedules</w:t>
              </w:r>
            </w:hyperlink>
          </w:p>
        </w:tc>
        <w:tc>
          <w:tcPr>
            <w:tcW w:w="0" w:type="auto"/>
            <w:gridSpan w:val="3"/>
            <w:tcMar>
              <w:top w:w="30" w:type="dxa"/>
              <w:left w:w="20" w:type="dxa"/>
              <w:bottom w:w="30" w:type="dxa"/>
              <w:right w:w="20" w:type="dxa"/>
            </w:tcMar>
            <w:vAlign w:val="bottom"/>
            <w:hideMark/>
          </w:tcPr>
          <w:p w14:paraId="78FCC2C7" w14:textId="77777777" w:rsidR="00000000" w:rsidRDefault="00C1661D">
            <w:pPr>
              <w:spacing w:after="100"/>
              <w:jc w:val="right"/>
              <w:rPr>
                <w:rFonts w:eastAsia="Times New Roman"/>
              </w:rPr>
            </w:pPr>
            <w:r>
              <w:rPr>
                <w:rFonts w:eastAsia="Times New Roman"/>
                <w:color w:val="0000FF"/>
                <w:sz w:val="20"/>
                <w:szCs w:val="20"/>
                <w:u w:val="single"/>
              </w:rPr>
              <w:t>F-</w:t>
            </w:r>
            <w:hyperlink w:anchor="i3850c3c6c0104e42b9951aac2f16098a_133" w:history="1">
              <w:r>
                <w:rPr>
                  <w:rStyle w:val="a3"/>
                  <w:rFonts w:eastAsia="Times New Roman"/>
                  <w:sz w:val="20"/>
                  <w:szCs w:val="20"/>
                </w:rPr>
                <w:t>2</w:t>
              </w:r>
            </w:hyperlink>
          </w:p>
        </w:tc>
      </w:tr>
      <w:tr w:rsidR="00000000" w14:paraId="7A0B152D" w14:textId="77777777">
        <w:trPr>
          <w:divId w:val="1278177666"/>
          <w:trHeight w:val="220"/>
          <w:jc w:val="center"/>
        </w:trPr>
        <w:tc>
          <w:tcPr>
            <w:tcW w:w="0" w:type="auto"/>
            <w:gridSpan w:val="3"/>
            <w:tcMar>
              <w:top w:w="30" w:type="dxa"/>
              <w:left w:w="20" w:type="dxa"/>
              <w:bottom w:w="30" w:type="dxa"/>
              <w:right w:w="20" w:type="dxa"/>
            </w:tcMar>
            <w:vAlign w:val="bottom"/>
            <w:hideMark/>
          </w:tcPr>
          <w:p w14:paraId="2D3DA4BE" w14:textId="77777777" w:rsidR="00000000" w:rsidRDefault="00C1661D">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14:paraId="30E5C6DF" w14:textId="77777777" w:rsidR="00000000" w:rsidRDefault="00C1661D">
            <w:pPr>
              <w:spacing w:after="100"/>
              <w:jc w:val="right"/>
              <w:rPr>
                <w:rFonts w:eastAsia="Times New Roman"/>
              </w:rPr>
            </w:pPr>
            <w:r>
              <w:rPr>
                <w:rFonts w:eastAsia="Times New Roman"/>
                <w:color w:val="000000"/>
                <w:sz w:val="12"/>
                <w:szCs w:val="12"/>
              </w:rPr>
              <w:t> </w:t>
            </w:r>
          </w:p>
        </w:tc>
      </w:tr>
    </w:tbl>
    <w:p w14:paraId="16385A15" w14:textId="77777777" w:rsidR="00000000" w:rsidRDefault="00C1661D">
      <w:pPr>
        <w:divId w:val="738670484"/>
        <w:rPr>
          <w:rFonts w:eastAsia="Times New Roman"/>
        </w:rPr>
      </w:pPr>
    </w:p>
    <w:p w14:paraId="0AE49F7D" w14:textId="77777777" w:rsidR="00000000" w:rsidRDefault="00C1661D">
      <w:pPr>
        <w:jc w:val="center"/>
        <w:divId w:val="1288662226"/>
        <w:rPr>
          <w:rFonts w:eastAsia="Times New Roman"/>
        </w:rPr>
      </w:pPr>
      <w:r>
        <w:rPr>
          <w:rFonts w:eastAsia="Times New Roman"/>
          <w:color w:val="000000"/>
          <w:sz w:val="20"/>
          <w:szCs w:val="20"/>
        </w:rPr>
        <w:t>1</w:t>
      </w:r>
    </w:p>
    <w:p w14:paraId="7FC7394D" w14:textId="77777777" w:rsidR="00000000" w:rsidRDefault="00C1661D">
      <w:pPr>
        <w:rPr>
          <w:rFonts w:eastAsia="Times New Roman"/>
        </w:rPr>
      </w:pPr>
      <w:r>
        <w:rPr>
          <w:rFonts w:eastAsia="Times New Roman"/>
        </w:rPr>
        <w:pict w14:anchorId="78816F32">
          <v:rect id="_x0000_i1026" style="width:0;height:1.5pt" o:hralign="center" o:hrstd="t" o:hr="t" fillcolor="#a0a0a0" stroked="f"/>
        </w:pict>
      </w:r>
    </w:p>
    <w:p w14:paraId="18EE3656" w14:textId="77777777" w:rsidR="00000000" w:rsidRDefault="00C1661D">
      <w:pPr>
        <w:divId w:val="1878200000"/>
        <w:rPr>
          <w:rFonts w:eastAsia="Times New Roman"/>
        </w:rPr>
      </w:pPr>
      <w:hyperlink w:anchor="i3850c3c6c0104e42b9951aac2f16098a_7" w:history="1">
        <w:r>
          <w:rPr>
            <w:rStyle w:val="a3"/>
            <w:rFonts w:eastAsia="Times New Roman"/>
            <w:b/>
            <w:bCs/>
            <w:sz w:val="20"/>
            <w:szCs w:val="20"/>
          </w:rPr>
          <w:t>Table of Contents</w:t>
        </w:r>
      </w:hyperlink>
    </w:p>
    <w:p w14:paraId="05A7425C" w14:textId="77777777" w:rsidR="00000000" w:rsidRDefault="00C1661D">
      <w:pPr>
        <w:jc w:val="center"/>
        <w:rPr>
          <w:rFonts w:eastAsia="Times New Roman"/>
        </w:rPr>
      </w:pPr>
      <w:r>
        <w:rPr>
          <w:rFonts w:eastAsia="Times New Roman"/>
          <w:b/>
          <w:bCs/>
          <w:color w:val="000000"/>
          <w:sz w:val="20"/>
          <w:szCs w:val="20"/>
        </w:rPr>
        <w:t>GLOSSARY OF TERMS AND ABBREVIATIONS</w:t>
      </w:r>
    </w:p>
    <w:p w14:paraId="7CA970FA" w14:textId="77777777" w:rsidR="00000000" w:rsidRDefault="00C1661D">
      <w:pPr>
        <w:jc w:val="both"/>
        <w:rPr>
          <w:rFonts w:eastAsia="Times New Roman"/>
        </w:rPr>
      </w:pPr>
      <w:r>
        <w:rPr>
          <w:rFonts w:eastAsia="Times New Roman"/>
          <w:b/>
          <w:bCs/>
          <w:i/>
          <w:iCs/>
          <w:color w:val="000000"/>
          <w:sz w:val="20"/>
          <w:szCs w:val="20"/>
        </w:rPr>
        <w:t> </w:t>
      </w:r>
    </w:p>
    <w:p w14:paraId="0B601172" w14:textId="77777777" w:rsidR="00000000" w:rsidRDefault="00C1661D">
      <w:pPr>
        <w:jc w:val="both"/>
        <w:rPr>
          <w:rFonts w:eastAsia="Times New Roman"/>
        </w:rPr>
      </w:pPr>
      <w:r>
        <w:rPr>
          <w:rFonts w:eastAsia="Times New Roman"/>
          <w:color w:val="000000"/>
          <w:sz w:val="20"/>
          <w:szCs w:val="20"/>
        </w:rPr>
        <w:t>Terms and abbreviations used in this Form 10-K are defined below:</w:t>
      </w:r>
    </w:p>
    <w:p w14:paraId="7F8A082B" w14:textId="77777777" w:rsidR="00000000" w:rsidRDefault="00C1661D">
      <w:pPr>
        <w:jc w:val="both"/>
        <w:rPr>
          <w:rFonts w:eastAsia="Times New Roman"/>
        </w:rPr>
      </w:pPr>
    </w:p>
    <w:p w14:paraId="6D685DF1" w14:textId="77777777" w:rsidR="00000000" w:rsidRDefault="00C1661D">
      <w:pPr>
        <w:jc w:val="center"/>
        <w:rPr>
          <w:rFonts w:eastAsia="Times New Roman"/>
        </w:rPr>
      </w:pPr>
      <w:r>
        <w:rPr>
          <w:rFonts w:eastAsia="Times New Roman"/>
          <w:b/>
          <w:bCs/>
          <w:i/>
          <w:iCs/>
          <w:color w:val="000000"/>
          <w:sz w:val="20"/>
          <w:szCs w:val="20"/>
          <w:u w:val="single"/>
        </w:rPr>
        <w:t>UGI Corporation and Related Entities</w:t>
      </w:r>
    </w:p>
    <w:p w14:paraId="57E8DE5C" w14:textId="77777777" w:rsidR="00000000" w:rsidRDefault="00C1661D">
      <w:pPr>
        <w:jc w:val="both"/>
        <w:rPr>
          <w:rFonts w:eastAsia="Times New Roman"/>
        </w:rPr>
      </w:pPr>
      <w:r>
        <w:rPr>
          <w:rFonts w:eastAsia="Times New Roman"/>
          <w:b/>
          <w:bCs/>
          <w:i/>
          <w:iCs/>
          <w:color w:val="000000"/>
          <w:sz w:val="20"/>
          <w:szCs w:val="20"/>
        </w:rPr>
        <w:t> </w:t>
      </w:r>
    </w:p>
    <w:p w14:paraId="1BA75A59" w14:textId="77777777" w:rsidR="00000000" w:rsidRDefault="00C1661D">
      <w:pPr>
        <w:jc w:val="both"/>
        <w:rPr>
          <w:rFonts w:eastAsia="Times New Roman"/>
        </w:rPr>
      </w:pPr>
      <w:r>
        <w:rPr>
          <w:rFonts w:eastAsia="Times New Roman"/>
          <w:b/>
          <w:bCs/>
          <w:i/>
          <w:iCs/>
          <w:color w:val="000000"/>
          <w:sz w:val="20"/>
          <w:szCs w:val="20"/>
        </w:rPr>
        <w:t xml:space="preserve">AmeriGas OLP - </w:t>
      </w:r>
      <w:r>
        <w:rPr>
          <w:rFonts w:eastAsia="Times New Roman"/>
          <w:color w:val="000000"/>
          <w:sz w:val="20"/>
          <w:szCs w:val="20"/>
        </w:rPr>
        <w:t>AmeriGas Propane, L.P., the principal operating subsidiary of AmeriGas Partners</w:t>
      </w:r>
    </w:p>
    <w:p w14:paraId="7E41C386" w14:textId="77777777" w:rsidR="00000000" w:rsidRDefault="00C1661D">
      <w:pPr>
        <w:jc w:val="both"/>
        <w:rPr>
          <w:rFonts w:eastAsia="Times New Roman"/>
        </w:rPr>
      </w:pPr>
    </w:p>
    <w:p w14:paraId="3BF6D88D" w14:textId="77777777" w:rsidR="00000000" w:rsidRDefault="00C1661D">
      <w:pPr>
        <w:jc w:val="both"/>
        <w:rPr>
          <w:rFonts w:eastAsia="Times New Roman"/>
        </w:rPr>
      </w:pPr>
      <w:r>
        <w:rPr>
          <w:rFonts w:eastAsia="Times New Roman"/>
          <w:b/>
          <w:bCs/>
          <w:i/>
          <w:iCs/>
          <w:color w:val="000000"/>
          <w:sz w:val="20"/>
          <w:szCs w:val="20"/>
        </w:rPr>
        <w:t>AmeriGas Partners -</w:t>
      </w:r>
      <w:r>
        <w:rPr>
          <w:rFonts w:eastAsia="Times New Roman"/>
          <w:color w:val="000000"/>
          <w:sz w:val="20"/>
          <w:szCs w:val="20"/>
        </w:rPr>
        <w:t xml:space="preserve"> AmeriGas Partners, L.P., a Delaw</w:t>
      </w:r>
      <w:r>
        <w:rPr>
          <w:rFonts w:eastAsia="Times New Roman"/>
          <w:color w:val="000000"/>
          <w:sz w:val="20"/>
          <w:szCs w:val="20"/>
        </w:rPr>
        <w:t xml:space="preserve">are limited partnership and an indirect wholly owned subsidiary of UGI; also referred to, together with its consolidated subsidiaries, as the “Partnership” </w:t>
      </w:r>
    </w:p>
    <w:p w14:paraId="07DE7038" w14:textId="77777777" w:rsidR="00000000" w:rsidRDefault="00C1661D">
      <w:pPr>
        <w:jc w:val="both"/>
        <w:rPr>
          <w:rFonts w:eastAsia="Times New Roman"/>
        </w:rPr>
      </w:pPr>
    </w:p>
    <w:p w14:paraId="7B83C365" w14:textId="77777777" w:rsidR="00000000" w:rsidRDefault="00C1661D">
      <w:pPr>
        <w:jc w:val="both"/>
        <w:rPr>
          <w:rFonts w:eastAsia="Times New Roman"/>
        </w:rPr>
      </w:pPr>
      <w:r>
        <w:rPr>
          <w:rFonts w:eastAsia="Times New Roman"/>
          <w:b/>
          <w:bCs/>
          <w:i/>
          <w:iCs/>
          <w:color w:val="000000"/>
          <w:sz w:val="20"/>
          <w:szCs w:val="20"/>
        </w:rPr>
        <w:t>AmeriGas Propane -</w:t>
      </w:r>
      <w:r>
        <w:rPr>
          <w:rFonts w:eastAsia="Times New Roman"/>
          <w:color w:val="000000"/>
          <w:sz w:val="20"/>
          <w:szCs w:val="20"/>
        </w:rPr>
        <w:t xml:space="preserve"> Reportable segment comprising AmeriGas Propane, Inc. and its subsidiaries, inc</w:t>
      </w:r>
      <w:r>
        <w:rPr>
          <w:rFonts w:eastAsia="Times New Roman"/>
          <w:color w:val="000000"/>
          <w:sz w:val="20"/>
          <w:szCs w:val="20"/>
        </w:rPr>
        <w:t>luding AmeriGas Partners and AmeriGas OLP</w:t>
      </w:r>
    </w:p>
    <w:p w14:paraId="08EBFC98" w14:textId="77777777" w:rsidR="00000000" w:rsidRDefault="00C1661D">
      <w:pPr>
        <w:jc w:val="both"/>
        <w:rPr>
          <w:rFonts w:eastAsia="Times New Roman"/>
        </w:rPr>
      </w:pPr>
    </w:p>
    <w:p w14:paraId="60461348" w14:textId="77777777" w:rsidR="00000000" w:rsidRDefault="00C1661D">
      <w:pPr>
        <w:jc w:val="both"/>
        <w:rPr>
          <w:rFonts w:eastAsia="Times New Roman"/>
        </w:rPr>
      </w:pPr>
      <w:r>
        <w:rPr>
          <w:rFonts w:eastAsia="Times New Roman"/>
          <w:b/>
          <w:bCs/>
          <w:i/>
          <w:iCs/>
          <w:color w:val="000000"/>
          <w:sz w:val="20"/>
          <w:szCs w:val="20"/>
        </w:rPr>
        <w:t>AmeriGas Propane, Inc. -</w:t>
      </w:r>
      <w:r>
        <w:rPr>
          <w:rFonts w:eastAsia="Times New Roman"/>
          <w:color w:val="000000"/>
          <w:sz w:val="20"/>
          <w:szCs w:val="20"/>
        </w:rPr>
        <w:t xml:space="preserve"> A wholly owned second-tier subsidiary of UGI and the general partner of AmeriGas Partners; also referred to as the “General Partner”</w:t>
      </w:r>
    </w:p>
    <w:p w14:paraId="7B5E969B" w14:textId="77777777" w:rsidR="00000000" w:rsidRDefault="00C1661D">
      <w:pPr>
        <w:jc w:val="both"/>
        <w:rPr>
          <w:rFonts w:eastAsia="Times New Roman"/>
        </w:rPr>
      </w:pPr>
    </w:p>
    <w:p w14:paraId="76C4B643" w14:textId="77777777" w:rsidR="00000000" w:rsidRDefault="00C1661D">
      <w:pPr>
        <w:jc w:val="both"/>
        <w:rPr>
          <w:rFonts w:eastAsia="Times New Roman"/>
        </w:rPr>
      </w:pPr>
      <w:r>
        <w:rPr>
          <w:rFonts w:eastAsia="Times New Roman"/>
          <w:b/>
          <w:bCs/>
          <w:i/>
          <w:iCs/>
          <w:color w:val="000000"/>
          <w:sz w:val="20"/>
          <w:szCs w:val="20"/>
        </w:rPr>
        <w:t xml:space="preserve">AvantiGas - </w:t>
      </w:r>
      <w:r>
        <w:rPr>
          <w:rFonts w:eastAsia="Times New Roman"/>
          <w:color w:val="000000"/>
          <w:sz w:val="20"/>
          <w:szCs w:val="20"/>
        </w:rPr>
        <w:t>AvantiGas Limited, an indirect wholly ow</w:t>
      </w:r>
      <w:r>
        <w:rPr>
          <w:rFonts w:eastAsia="Times New Roman"/>
          <w:color w:val="000000"/>
          <w:sz w:val="20"/>
          <w:szCs w:val="20"/>
        </w:rPr>
        <w:t>ned subsidiary of UGI International, LLC</w:t>
      </w:r>
    </w:p>
    <w:p w14:paraId="73910F37" w14:textId="77777777" w:rsidR="00000000" w:rsidRDefault="00C1661D">
      <w:pPr>
        <w:jc w:val="both"/>
        <w:rPr>
          <w:rFonts w:eastAsia="Times New Roman"/>
        </w:rPr>
      </w:pPr>
    </w:p>
    <w:p w14:paraId="1F0199F5" w14:textId="77777777" w:rsidR="00000000" w:rsidRDefault="00C1661D">
      <w:pPr>
        <w:jc w:val="both"/>
        <w:rPr>
          <w:rFonts w:eastAsia="Times New Roman"/>
        </w:rPr>
      </w:pPr>
      <w:r>
        <w:rPr>
          <w:rFonts w:eastAsia="Times New Roman"/>
          <w:b/>
          <w:bCs/>
          <w:i/>
          <w:iCs/>
          <w:color w:val="000000"/>
          <w:sz w:val="20"/>
          <w:szCs w:val="20"/>
        </w:rPr>
        <w:t>Company -</w:t>
      </w:r>
      <w:r>
        <w:rPr>
          <w:rFonts w:eastAsia="Times New Roman"/>
          <w:color w:val="000000"/>
          <w:sz w:val="20"/>
          <w:szCs w:val="20"/>
        </w:rPr>
        <w:t xml:space="preserve"> UGI and its consolidated subsidiaries collectively</w:t>
      </w:r>
    </w:p>
    <w:p w14:paraId="1B7C11EA" w14:textId="77777777" w:rsidR="00000000" w:rsidRDefault="00C1661D">
      <w:pPr>
        <w:jc w:val="both"/>
        <w:rPr>
          <w:rFonts w:eastAsia="Times New Roman"/>
        </w:rPr>
      </w:pPr>
    </w:p>
    <w:p w14:paraId="01C8038C" w14:textId="77777777" w:rsidR="00000000" w:rsidRDefault="00C1661D">
      <w:pPr>
        <w:jc w:val="both"/>
        <w:rPr>
          <w:rFonts w:eastAsia="Times New Roman"/>
        </w:rPr>
      </w:pPr>
      <w:r>
        <w:rPr>
          <w:rFonts w:eastAsia="Times New Roman"/>
          <w:b/>
          <w:bCs/>
          <w:i/>
          <w:iCs/>
          <w:color w:val="000000"/>
          <w:sz w:val="20"/>
          <w:szCs w:val="20"/>
        </w:rPr>
        <w:t>DVEP -</w:t>
      </w:r>
      <w:r>
        <w:rPr>
          <w:rFonts w:eastAsia="Times New Roman"/>
          <w:color w:val="000000"/>
          <w:sz w:val="20"/>
          <w:szCs w:val="20"/>
        </w:rPr>
        <w:t xml:space="preserve"> DVEP Investeringen B.V., an indirect wholly owned subsidiary of UGI International, LLC</w:t>
      </w:r>
    </w:p>
    <w:p w14:paraId="713CB48C" w14:textId="77777777" w:rsidR="00000000" w:rsidRDefault="00C1661D">
      <w:pPr>
        <w:jc w:val="both"/>
        <w:rPr>
          <w:rFonts w:eastAsia="Times New Roman"/>
        </w:rPr>
      </w:pPr>
    </w:p>
    <w:p w14:paraId="40E762E3" w14:textId="77777777" w:rsidR="00000000" w:rsidRDefault="00C1661D">
      <w:pPr>
        <w:jc w:val="both"/>
        <w:rPr>
          <w:rFonts w:eastAsia="Times New Roman"/>
        </w:rPr>
      </w:pPr>
      <w:r>
        <w:rPr>
          <w:rFonts w:eastAsia="Times New Roman"/>
          <w:b/>
          <w:bCs/>
          <w:i/>
          <w:iCs/>
          <w:color w:val="000000"/>
          <w:sz w:val="20"/>
          <w:szCs w:val="20"/>
        </w:rPr>
        <w:t>Electric Utility -</w:t>
      </w:r>
      <w:r>
        <w:rPr>
          <w:rFonts w:eastAsia="Times New Roman"/>
          <w:color w:val="000000"/>
          <w:sz w:val="20"/>
          <w:szCs w:val="20"/>
        </w:rPr>
        <w:t xml:space="preserve"> UGI Utilities’ regulated electric d</w:t>
      </w:r>
      <w:r>
        <w:rPr>
          <w:rFonts w:eastAsia="Times New Roman"/>
          <w:color w:val="000000"/>
          <w:sz w:val="20"/>
          <w:szCs w:val="20"/>
        </w:rPr>
        <w:t>istribution utility</w:t>
      </w:r>
    </w:p>
    <w:p w14:paraId="07C96AF8" w14:textId="77777777" w:rsidR="00000000" w:rsidRDefault="00C1661D">
      <w:pPr>
        <w:jc w:val="both"/>
        <w:rPr>
          <w:rFonts w:eastAsia="Times New Roman"/>
        </w:rPr>
      </w:pPr>
    </w:p>
    <w:p w14:paraId="55197107" w14:textId="77777777" w:rsidR="00000000" w:rsidRDefault="00C1661D">
      <w:pPr>
        <w:jc w:val="both"/>
        <w:rPr>
          <w:rFonts w:eastAsia="Times New Roman"/>
        </w:rPr>
      </w:pPr>
      <w:r>
        <w:rPr>
          <w:rFonts w:eastAsia="Times New Roman"/>
          <w:b/>
          <w:bCs/>
          <w:i/>
          <w:iCs/>
          <w:color w:val="000000"/>
          <w:sz w:val="20"/>
          <w:szCs w:val="20"/>
        </w:rPr>
        <w:t>Energy Services -</w:t>
      </w:r>
      <w:r>
        <w:rPr>
          <w:rFonts w:eastAsia="Times New Roman"/>
          <w:color w:val="000000"/>
          <w:sz w:val="20"/>
          <w:szCs w:val="20"/>
        </w:rPr>
        <w:t xml:space="preserve"> UGI Energy Services, LLC, a wholly owned subsidiary of Enterprises</w:t>
      </w:r>
    </w:p>
    <w:p w14:paraId="4C11F794" w14:textId="77777777" w:rsidR="00000000" w:rsidRDefault="00C1661D">
      <w:pPr>
        <w:jc w:val="both"/>
        <w:rPr>
          <w:rFonts w:eastAsia="Times New Roman"/>
        </w:rPr>
      </w:pPr>
    </w:p>
    <w:p w14:paraId="6853C107" w14:textId="77777777" w:rsidR="00000000" w:rsidRDefault="00C1661D">
      <w:pPr>
        <w:jc w:val="both"/>
        <w:rPr>
          <w:rFonts w:eastAsia="Times New Roman"/>
        </w:rPr>
      </w:pPr>
      <w:r>
        <w:rPr>
          <w:rFonts w:eastAsia="Times New Roman"/>
          <w:b/>
          <w:bCs/>
          <w:i/>
          <w:iCs/>
          <w:color w:val="000000"/>
          <w:sz w:val="20"/>
          <w:szCs w:val="20"/>
        </w:rPr>
        <w:t>Enterprises -</w:t>
      </w:r>
      <w:r>
        <w:rPr>
          <w:rFonts w:eastAsia="Times New Roman"/>
          <w:color w:val="000000"/>
          <w:sz w:val="20"/>
          <w:szCs w:val="20"/>
        </w:rPr>
        <w:t xml:space="preserve"> UGI Enterprises, LLC, a wholly owned subsidiary of UGI</w:t>
      </w:r>
    </w:p>
    <w:p w14:paraId="702128B2" w14:textId="77777777" w:rsidR="00000000" w:rsidRDefault="00C1661D">
      <w:pPr>
        <w:jc w:val="both"/>
        <w:rPr>
          <w:rFonts w:eastAsia="Times New Roman"/>
        </w:rPr>
      </w:pPr>
    </w:p>
    <w:p w14:paraId="432317DF" w14:textId="77777777" w:rsidR="00000000" w:rsidRDefault="00C1661D">
      <w:pPr>
        <w:jc w:val="both"/>
        <w:rPr>
          <w:rFonts w:eastAsia="Times New Roman"/>
        </w:rPr>
      </w:pPr>
      <w:r>
        <w:rPr>
          <w:rFonts w:eastAsia="Times New Roman"/>
          <w:b/>
          <w:bCs/>
          <w:i/>
          <w:iCs/>
          <w:color w:val="000000"/>
          <w:sz w:val="20"/>
          <w:szCs w:val="20"/>
        </w:rPr>
        <w:t>ESFC -</w:t>
      </w:r>
      <w:r>
        <w:rPr>
          <w:rFonts w:eastAsia="Times New Roman"/>
          <w:color w:val="000000"/>
          <w:sz w:val="20"/>
          <w:szCs w:val="20"/>
        </w:rPr>
        <w:t xml:space="preserve"> Energy Services Funding Corporation, a wholly owned subsidiary of Ene</w:t>
      </w:r>
      <w:r>
        <w:rPr>
          <w:rFonts w:eastAsia="Times New Roman"/>
          <w:color w:val="000000"/>
          <w:sz w:val="20"/>
          <w:szCs w:val="20"/>
        </w:rPr>
        <w:t>rgy Services</w:t>
      </w:r>
    </w:p>
    <w:p w14:paraId="34578C5F" w14:textId="77777777" w:rsidR="00000000" w:rsidRDefault="00C1661D">
      <w:pPr>
        <w:jc w:val="both"/>
        <w:rPr>
          <w:rFonts w:eastAsia="Times New Roman"/>
        </w:rPr>
      </w:pPr>
    </w:p>
    <w:p w14:paraId="1DB0E17F" w14:textId="77777777" w:rsidR="00000000" w:rsidRDefault="00C1661D">
      <w:pPr>
        <w:jc w:val="both"/>
        <w:rPr>
          <w:rFonts w:eastAsia="Times New Roman"/>
        </w:rPr>
      </w:pPr>
      <w:r>
        <w:rPr>
          <w:rFonts w:eastAsia="Times New Roman"/>
          <w:b/>
          <w:bCs/>
          <w:i/>
          <w:iCs/>
          <w:color w:val="000000"/>
          <w:sz w:val="20"/>
          <w:szCs w:val="20"/>
        </w:rPr>
        <w:t xml:space="preserve">Flaga - </w:t>
      </w:r>
      <w:r>
        <w:rPr>
          <w:rFonts w:eastAsia="Times New Roman"/>
          <w:color w:val="000000"/>
          <w:sz w:val="20"/>
          <w:szCs w:val="20"/>
        </w:rPr>
        <w:t>Flaga GmbH, an indirect wholly owned subsidiary of UGI International, LLC</w:t>
      </w:r>
    </w:p>
    <w:p w14:paraId="25C77578" w14:textId="77777777" w:rsidR="00000000" w:rsidRDefault="00C1661D">
      <w:pPr>
        <w:jc w:val="both"/>
        <w:rPr>
          <w:rFonts w:eastAsia="Times New Roman"/>
        </w:rPr>
      </w:pPr>
    </w:p>
    <w:p w14:paraId="6FF23623" w14:textId="77777777" w:rsidR="00000000" w:rsidRDefault="00C1661D">
      <w:pPr>
        <w:jc w:val="both"/>
        <w:rPr>
          <w:rFonts w:eastAsia="Times New Roman"/>
        </w:rPr>
      </w:pPr>
      <w:r>
        <w:rPr>
          <w:rFonts w:eastAsia="Times New Roman"/>
          <w:b/>
          <w:bCs/>
          <w:i/>
          <w:iCs/>
          <w:color w:val="000000"/>
          <w:sz w:val="20"/>
          <w:szCs w:val="20"/>
        </w:rPr>
        <w:t>Gas Utility -</w:t>
      </w:r>
      <w:r>
        <w:rPr>
          <w:rFonts w:eastAsia="Times New Roman"/>
          <w:color w:val="000000"/>
          <w:sz w:val="20"/>
          <w:szCs w:val="20"/>
        </w:rPr>
        <w:t xml:space="preserve"> UGI’</w:t>
      </w:r>
      <w:r>
        <w:rPr>
          <w:rFonts w:eastAsia="Times New Roman"/>
          <w:color w:val="000000"/>
          <w:sz w:val="20"/>
          <w:szCs w:val="20"/>
        </w:rPr>
        <w:t>s regulated natural gas businesses, inclusive of PA Gas Utility and WV Gas Utility</w:t>
      </w:r>
    </w:p>
    <w:p w14:paraId="3A13C9BC" w14:textId="77777777" w:rsidR="00000000" w:rsidRDefault="00C1661D">
      <w:pPr>
        <w:jc w:val="both"/>
        <w:rPr>
          <w:rFonts w:eastAsia="Times New Roman"/>
        </w:rPr>
      </w:pPr>
    </w:p>
    <w:p w14:paraId="242F163A" w14:textId="77777777" w:rsidR="00000000" w:rsidRDefault="00C1661D">
      <w:pPr>
        <w:jc w:val="both"/>
        <w:rPr>
          <w:rFonts w:eastAsia="Times New Roman"/>
        </w:rPr>
      </w:pPr>
      <w:r>
        <w:rPr>
          <w:rFonts w:eastAsia="Times New Roman"/>
          <w:b/>
          <w:bCs/>
          <w:i/>
          <w:iCs/>
          <w:color w:val="000000"/>
          <w:sz w:val="20"/>
          <w:szCs w:val="20"/>
        </w:rPr>
        <w:t>General Partner -</w:t>
      </w:r>
      <w:r>
        <w:rPr>
          <w:rFonts w:eastAsia="Times New Roman"/>
          <w:b/>
          <w:bCs/>
          <w:color w:val="000000"/>
          <w:sz w:val="20"/>
          <w:szCs w:val="20"/>
        </w:rPr>
        <w:t xml:space="preserve"> </w:t>
      </w:r>
      <w:r>
        <w:rPr>
          <w:rFonts w:eastAsia="Times New Roman"/>
          <w:color w:val="000000"/>
          <w:sz w:val="20"/>
          <w:szCs w:val="20"/>
        </w:rPr>
        <w:t>AmeriGas Propane, Inc., the general partner of AmeriGas Partners</w:t>
      </w:r>
    </w:p>
    <w:p w14:paraId="3D747C3F" w14:textId="77777777" w:rsidR="00000000" w:rsidRDefault="00C1661D">
      <w:pPr>
        <w:jc w:val="both"/>
        <w:rPr>
          <w:rFonts w:eastAsia="Times New Roman"/>
        </w:rPr>
      </w:pPr>
    </w:p>
    <w:p w14:paraId="38CF5A2C" w14:textId="77777777" w:rsidR="00000000" w:rsidRDefault="00C1661D">
      <w:pPr>
        <w:jc w:val="both"/>
        <w:rPr>
          <w:rFonts w:eastAsia="Times New Roman"/>
        </w:rPr>
      </w:pPr>
      <w:r>
        <w:rPr>
          <w:rFonts w:eastAsia="Times New Roman"/>
          <w:b/>
          <w:bCs/>
          <w:i/>
          <w:iCs/>
          <w:color w:val="000000"/>
          <w:sz w:val="20"/>
          <w:szCs w:val="20"/>
        </w:rPr>
        <w:t>GHI</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GHI Energy, LLC, a Houston-based renewable natural gas company and indirect whol</w:t>
      </w:r>
      <w:r>
        <w:rPr>
          <w:rFonts w:eastAsia="Times New Roman"/>
          <w:color w:val="000000"/>
          <w:sz w:val="20"/>
          <w:szCs w:val="20"/>
        </w:rPr>
        <w:t>ly owned subsidiary of Energy Services</w:t>
      </w:r>
    </w:p>
    <w:p w14:paraId="05C3294C" w14:textId="77777777" w:rsidR="00000000" w:rsidRDefault="00C1661D">
      <w:pPr>
        <w:jc w:val="both"/>
        <w:rPr>
          <w:rFonts w:eastAsia="Times New Roman"/>
        </w:rPr>
      </w:pPr>
    </w:p>
    <w:p w14:paraId="2B13FDE3" w14:textId="77777777" w:rsidR="00000000" w:rsidRDefault="00C1661D">
      <w:pPr>
        <w:jc w:val="both"/>
        <w:rPr>
          <w:rFonts w:eastAsia="Times New Roman"/>
        </w:rPr>
      </w:pPr>
      <w:r>
        <w:rPr>
          <w:rFonts w:eastAsia="Times New Roman"/>
          <w:b/>
          <w:bCs/>
          <w:i/>
          <w:iCs/>
          <w:color w:val="000000"/>
          <w:sz w:val="20"/>
          <w:szCs w:val="20"/>
        </w:rPr>
        <w:t>HVAC -</w:t>
      </w:r>
      <w:r>
        <w:rPr>
          <w:rFonts w:eastAsia="Times New Roman"/>
          <w:color w:val="000000"/>
          <w:sz w:val="20"/>
          <w:szCs w:val="20"/>
        </w:rPr>
        <w:t xml:space="preserve"> UGI HVAC Enterprises, Inc., a wholly owned subsidiary of Enterprises</w:t>
      </w:r>
    </w:p>
    <w:p w14:paraId="38FFA690" w14:textId="77777777" w:rsidR="00000000" w:rsidRDefault="00C1661D">
      <w:pPr>
        <w:jc w:val="both"/>
        <w:rPr>
          <w:rFonts w:eastAsia="Times New Roman"/>
        </w:rPr>
      </w:pPr>
    </w:p>
    <w:p w14:paraId="42A5A586" w14:textId="77777777" w:rsidR="00000000" w:rsidRDefault="00C1661D">
      <w:pPr>
        <w:jc w:val="both"/>
        <w:rPr>
          <w:rFonts w:eastAsia="Times New Roman"/>
        </w:rPr>
      </w:pPr>
      <w:r>
        <w:rPr>
          <w:rFonts w:eastAsia="Times New Roman"/>
          <w:b/>
          <w:bCs/>
          <w:i/>
          <w:iCs/>
          <w:color w:val="000000"/>
          <w:sz w:val="20"/>
          <w:szCs w:val="20"/>
        </w:rPr>
        <w:t>Midstream &amp; Marketing -</w:t>
      </w:r>
      <w:r>
        <w:rPr>
          <w:rFonts w:eastAsia="Times New Roman"/>
          <w:color w:val="000000"/>
          <w:sz w:val="20"/>
          <w:szCs w:val="20"/>
        </w:rPr>
        <w:t xml:space="preserve"> Reportable segment comprising Energy Services, UGID and, prior to its sale in September 2020, HVAC</w:t>
      </w:r>
    </w:p>
    <w:p w14:paraId="67CBDCE5" w14:textId="77777777" w:rsidR="00000000" w:rsidRDefault="00C1661D">
      <w:pPr>
        <w:jc w:val="both"/>
        <w:rPr>
          <w:rFonts w:eastAsia="Times New Roman"/>
        </w:rPr>
      </w:pPr>
    </w:p>
    <w:p w14:paraId="12E62785" w14:textId="77777777" w:rsidR="00000000" w:rsidRDefault="00C1661D">
      <w:pPr>
        <w:jc w:val="both"/>
        <w:rPr>
          <w:rFonts w:eastAsia="Times New Roman"/>
        </w:rPr>
      </w:pPr>
      <w:r>
        <w:rPr>
          <w:rFonts w:eastAsia="Times New Roman"/>
          <w:b/>
          <w:bCs/>
          <w:i/>
          <w:iCs/>
          <w:color w:val="000000"/>
          <w:sz w:val="20"/>
          <w:szCs w:val="20"/>
        </w:rPr>
        <w:t>Mountaineer</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Mountaineer Gas Company, a natural gas distribution company in West Virginia and a wholly owned subsidiary of Mountaintop Energy Holdings, LLC</w:t>
      </w:r>
    </w:p>
    <w:p w14:paraId="2286C321" w14:textId="77777777" w:rsidR="00000000" w:rsidRDefault="00C1661D">
      <w:pPr>
        <w:divId w:val="1981690259"/>
        <w:rPr>
          <w:rFonts w:eastAsia="Times New Roman"/>
        </w:rPr>
      </w:pPr>
    </w:p>
    <w:p w14:paraId="26F88A1A" w14:textId="77777777" w:rsidR="00000000" w:rsidRDefault="00C1661D">
      <w:pPr>
        <w:jc w:val="both"/>
        <w:rPr>
          <w:rFonts w:eastAsia="Times New Roman"/>
        </w:rPr>
      </w:pPr>
      <w:r>
        <w:rPr>
          <w:rFonts w:eastAsia="Times New Roman"/>
          <w:b/>
          <w:bCs/>
          <w:i/>
          <w:iCs/>
          <w:color w:val="000000"/>
          <w:sz w:val="20"/>
          <w:szCs w:val="20"/>
        </w:rPr>
        <w:t>Mountaintop Energy Holdings, LLC -</w:t>
      </w:r>
      <w:r>
        <w:rPr>
          <w:rFonts w:eastAsia="Times New Roman"/>
          <w:color w:val="000000"/>
          <w:sz w:val="20"/>
          <w:szCs w:val="20"/>
        </w:rPr>
        <w:t xml:space="preserve"> Parent company of Mountaineer and wholly owned subsidiary of UGI, acquired</w:t>
      </w:r>
      <w:r>
        <w:rPr>
          <w:rFonts w:eastAsia="Times New Roman"/>
          <w:color w:val="000000"/>
          <w:sz w:val="20"/>
          <w:szCs w:val="20"/>
        </w:rPr>
        <w:t xml:space="preserve"> on September 1, 2021</w:t>
      </w:r>
    </w:p>
    <w:p w14:paraId="27D6DB5E" w14:textId="77777777" w:rsidR="00000000" w:rsidRDefault="00C1661D">
      <w:pPr>
        <w:jc w:val="both"/>
        <w:rPr>
          <w:rFonts w:eastAsia="Times New Roman"/>
        </w:rPr>
      </w:pPr>
    </w:p>
    <w:p w14:paraId="78AA6968" w14:textId="77777777" w:rsidR="00000000" w:rsidRDefault="00C1661D">
      <w:pPr>
        <w:jc w:val="both"/>
        <w:rPr>
          <w:rFonts w:eastAsia="Times New Roman"/>
        </w:rPr>
      </w:pPr>
      <w:r>
        <w:rPr>
          <w:rFonts w:eastAsia="Times New Roman"/>
          <w:b/>
          <w:bCs/>
          <w:i/>
          <w:iCs/>
          <w:color w:val="000000"/>
          <w:sz w:val="20"/>
          <w:szCs w:val="20"/>
        </w:rPr>
        <w:t xml:space="preserve">PA Gas Utility - </w:t>
      </w:r>
      <w:r>
        <w:rPr>
          <w:rFonts w:eastAsia="Times New Roman"/>
          <w:color w:val="000000"/>
          <w:sz w:val="20"/>
          <w:szCs w:val="20"/>
        </w:rPr>
        <w:t>UGI Utilities’ regulated natural gas distribution business, primarily located in Pennsylvania</w:t>
      </w:r>
    </w:p>
    <w:p w14:paraId="3C9AA6D4" w14:textId="77777777" w:rsidR="00000000" w:rsidRDefault="00C1661D">
      <w:pPr>
        <w:jc w:val="both"/>
        <w:rPr>
          <w:rFonts w:eastAsia="Times New Roman"/>
        </w:rPr>
      </w:pPr>
    </w:p>
    <w:p w14:paraId="13FEEA29" w14:textId="77777777" w:rsidR="00000000" w:rsidRDefault="00C1661D">
      <w:pPr>
        <w:jc w:val="both"/>
        <w:rPr>
          <w:rFonts w:eastAsia="Times New Roman"/>
        </w:rPr>
      </w:pPr>
      <w:r>
        <w:rPr>
          <w:rFonts w:eastAsia="Times New Roman"/>
          <w:b/>
          <w:bCs/>
          <w:i/>
          <w:iCs/>
          <w:color w:val="000000"/>
          <w:sz w:val="20"/>
          <w:szCs w:val="20"/>
        </w:rPr>
        <w:t>Partnership -</w:t>
      </w:r>
      <w:r>
        <w:rPr>
          <w:rFonts w:eastAsia="Times New Roman"/>
          <w:color w:val="000000"/>
          <w:sz w:val="20"/>
          <w:szCs w:val="20"/>
        </w:rPr>
        <w:t xml:space="preserve"> AmeriGas Partners and its consolidated subsidiaries, including AmeriGas OLP</w:t>
      </w:r>
    </w:p>
    <w:p w14:paraId="3569E3E3" w14:textId="77777777" w:rsidR="00000000" w:rsidRDefault="00C1661D">
      <w:pPr>
        <w:jc w:val="both"/>
        <w:rPr>
          <w:rFonts w:eastAsia="Times New Roman"/>
        </w:rPr>
      </w:pPr>
    </w:p>
    <w:p w14:paraId="3A584FC3" w14:textId="77777777" w:rsidR="00000000" w:rsidRDefault="00C1661D">
      <w:pPr>
        <w:jc w:val="both"/>
        <w:rPr>
          <w:rFonts w:eastAsia="Times New Roman"/>
        </w:rPr>
      </w:pPr>
      <w:r>
        <w:rPr>
          <w:rFonts w:eastAsia="Times New Roman"/>
          <w:b/>
          <w:bCs/>
          <w:i/>
          <w:iCs/>
          <w:color w:val="000000"/>
          <w:sz w:val="20"/>
          <w:szCs w:val="20"/>
        </w:rPr>
        <w:t>Pennant -</w:t>
      </w:r>
      <w:r>
        <w:rPr>
          <w:rFonts w:eastAsia="Times New Roman"/>
          <w:color w:val="000000"/>
          <w:sz w:val="20"/>
          <w:szCs w:val="20"/>
        </w:rPr>
        <w:t xml:space="preserve"> </w:t>
      </w:r>
      <w:r>
        <w:rPr>
          <w:rFonts w:eastAsia="Times New Roman"/>
          <w:color w:val="000000"/>
          <w:sz w:val="20"/>
          <w:szCs w:val="20"/>
        </w:rPr>
        <w:t>Pennant Midstream, LLC, a Delaware limited liability company</w:t>
      </w:r>
    </w:p>
    <w:p w14:paraId="68F8AC93" w14:textId="77777777" w:rsidR="00000000" w:rsidRDefault="00C1661D">
      <w:pPr>
        <w:jc w:val="both"/>
        <w:rPr>
          <w:rFonts w:eastAsia="Times New Roman"/>
        </w:rPr>
      </w:pPr>
    </w:p>
    <w:p w14:paraId="27018135" w14:textId="77777777" w:rsidR="00000000" w:rsidRDefault="00C1661D">
      <w:pPr>
        <w:jc w:val="both"/>
        <w:rPr>
          <w:rFonts w:eastAsia="Times New Roman"/>
        </w:rPr>
      </w:pPr>
      <w:r>
        <w:rPr>
          <w:rFonts w:eastAsia="Times New Roman"/>
          <w:b/>
          <w:bCs/>
          <w:i/>
          <w:iCs/>
          <w:color w:val="000000"/>
          <w:sz w:val="20"/>
          <w:szCs w:val="20"/>
        </w:rPr>
        <w:t>PennEast -</w:t>
      </w:r>
      <w:r>
        <w:rPr>
          <w:rFonts w:eastAsia="Times New Roman"/>
          <w:color w:val="000000"/>
          <w:sz w:val="20"/>
          <w:szCs w:val="20"/>
        </w:rPr>
        <w:t xml:space="preserve"> PennEast Pipeline Company, LLC</w:t>
      </w:r>
    </w:p>
    <w:p w14:paraId="7FC6A71E" w14:textId="77777777" w:rsidR="00000000" w:rsidRDefault="00C1661D">
      <w:pPr>
        <w:jc w:val="center"/>
        <w:divId w:val="1849103242"/>
        <w:rPr>
          <w:rFonts w:eastAsia="Times New Roman"/>
        </w:rPr>
      </w:pPr>
      <w:r>
        <w:rPr>
          <w:rFonts w:eastAsia="Times New Roman"/>
          <w:color w:val="000000"/>
          <w:sz w:val="20"/>
          <w:szCs w:val="20"/>
        </w:rPr>
        <w:t>2</w:t>
      </w:r>
    </w:p>
    <w:p w14:paraId="03061413" w14:textId="77777777" w:rsidR="00000000" w:rsidRDefault="00C1661D">
      <w:pPr>
        <w:rPr>
          <w:rFonts w:eastAsia="Times New Roman"/>
        </w:rPr>
      </w:pPr>
      <w:r>
        <w:rPr>
          <w:rFonts w:eastAsia="Times New Roman"/>
        </w:rPr>
        <w:pict w14:anchorId="1893DA10">
          <v:rect id="_x0000_i1027" style="width:0;height:1.5pt" o:hralign="center" o:hrstd="t" o:hr="t" fillcolor="#a0a0a0" stroked="f"/>
        </w:pict>
      </w:r>
    </w:p>
    <w:p w14:paraId="1B3CDF37" w14:textId="77777777" w:rsidR="00000000" w:rsidRDefault="00C1661D">
      <w:pPr>
        <w:divId w:val="762871682"/>
        <w:rPr>
          <w:rFonts w:eastAsia="Times New Roman"/>
        </w:rPr>
      </w:pPr>
      <w:hyperlink w:anchor="i3850c3c6c0104e42b9951aac2f16098a_7" w:history="1">
        <w:r>
          <w:rPr>
            <w:rStyle w:val="a3"/>
            <w:rFonts w:eastAsia="Times New Roman"/>
            <w:b/>
            <w:bCs/>
            <w:sz w:val="20"/>
            <w:szCs w:val="20"/>
          </w:rPr>
          <w:t>Table of Contents</w:t>
        </w:r>
      </w:hyperlink>
    </w:p>
    <w:p w14:paraId="094C114F" w14:textId="77777777" w:rsidR="00000000" w:rsidRDefault="00C1661D">
      <w:pPr>
        <w:jc w:val="both"/>
        <w:rPr>
          <w:rFonts w:eastAsia="Times New Roman"/>
        </w:rPr>
      </w:pPr>
    </w:p>
    <w:p w14:paraId="4640C363" w14:textId="77777777" w:rsidR="00000000" w:rsidRDefault="00C1661D">
      <w:pPr>
        <w:jc w:val="both"/>
        <w:rPr>
          <w:rFonts w:eastAsia="Times New Roman"/>
        </w:rPr>
      </w:pPr>
      <w:r>
        <w:rPr>
          <w:rFonts w:eastAsia="Times New Roman"/>
          <w:b/>
          <w:bCs/>
          <w:i/>
          <w:iCs/>
          <w:color w:val="000000"/>
          <w:sz w:val="20"/>
          <w:szCs w:val="20"/>
        </w:rPr>
        <w:t>Pine Run</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Pine Run Gathering, LLC</w:t>
      </w:r>
    </w:p>
    <w:p w14:paraId="3D9495F1" w14:textId="77777777" w:rsidR="00000000" w:rsidRDefault="00C1661D">
      <w:pPr>
        <w:jc w:val="both"/>
        <w:rPr>
          <w:rFonts w:eastAsia="Times New Roman"/>
        </w:rPr>
      </w:pPr>
    </w:p>
    <w:p w14:paraId="08490463" w14:textId="77777777" w:rsidR="00000000" w:rsidRDefault="00C1661D">
      <w:pPr>
        <w:jc w:val="both"/>
        <w:rPr>
          <w:rFonts w:eastAsia="Times New Roman"/>
        </w:rPr>
      </w:pPr>
      <w:r>
        <w:rPr>
          <w:rFonts w:eastAsia="Times New Roman"/>
          <w:b/>
          <w:bCs/>
          <w:i/>
          <w:iCs/>
          <w:color w:val="000000"/>
          <w:sz w:val="20"/>
          <w:szCs w:val="20"/>
        </w:rPr>
        <w:t>UGI</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UGI Corporation or, collectively, UGI Corporation and its consolidated subsidiaries</w:t>
      </w:r>
    </w:p>
    <w:p w14:paraId="743A0887" w14:textId="77777777" w:rsidR="00000000" w:rsidRDefault="00C1661D">
      <w:pPr>
        <w:jc w:val="both"/>
        <w:rPr>
          <w:rFonts w:eastAsia="Times New Roman"/>
        </w:rPr>
      </w:pPr>
    </w:p>
    <w:p w14:paraId="71661694" w14:textId="77777777" w:rsidR="00000000" w:rsidRDefault="00C1661D">
      <w:pPr>
        <w:jc w:val="both"/>
        <w:rPr>
          <w:rFonts w:eastAsia="Times New Roman"/>
        </w:rPr>
      </w:pPr>
      <w:r>
        <w:rPr>
          <w:rFonts w:eastAsia="Times New Roman"/>
          <w:b/>
          <w:bCs/>
          <w:i/>
          <w:iCs/>
          <w:color w:val="000000"/>
          <w:sz w:val="20"/>
          <w:szCs w:val="20"/>
        </w:rPr>
        <w:t>UGI Appalachia</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UGI Appalachia, LLC, a wholly owned subsidiary of Energy Services</w:t>
      </w:r>
    </w:p>
    <w:p w14:paraId="747D2F90" w14:textId="77777777" w:rsidR="00000000" w:rsidRDefault="00C1661D">
      <w:pPr>
        <w:jc w:val="both"/>
        <w:rPr>
          <w:rFonts w:eastAsia="Times New Roman"/>
        </w:rPr>
      </w:pPr>
    </w:p>
    <w:p w14:paraId="019694A3" w14:textId="77777777" w:rsidR="00000000" w:rsidRDefault="00C1661D">
      <w:pPr>
        <w:jc w:val="both"/>
        <w:rPr>
          <w:rFonts w:eastAsia="Times New Roman"/>
        </w:rPr>
      </w:pPr>
      <w:r>
        <w:rPr>
          <w:rFonts w:eastAsia="Times New Roman"/>
          <w:b/>
          <w:bCs/>
          <w:i/>
          <w:iCs/>
          <w:color w:val="000000"/>
          <w:sz w:val="20"/>
          <w:szCs w:val="20"/>
        </w:rPr>
        <w:t xml:space="preserve">UGI France - </w:t>
      </w:r>
      <w:r>
        <w:rPr>
          <w:rFonts w:eastAsia="Times New Roman"/>
          <w:color w:val="000000"/>
          <w:sz w:val="20"/>
          <w:szCs w:val="20"/>
        </w:rPr>
        <w:t>UGI France SAS (</w:t>
      </w:r>
      <w:r>
        <w:rPr>
          <w:rFonts w:eastAsia="Times New Roman"/>
          <w:i/>
          <w:iCs/>
          <w:color w:val="000000"/>
          <w:sz w:val="20"/>
          <w:szCs w:val="20"/>
        </w:rPr>
        <w:t xml:space="preserve">a Société </w:t>
      </w:r>
      <w:r>
        <w:rPr>
          <w:rFonts w:eastAsia="Times New Roman"/>
          <w:i/>
          <w:iCs/>
          <w:color w:val="000000"/>
          <w:sz w:val="20"/>
          <w:szCs w:val="20"/>
        </w:rPr>
        <w:t>par actions simplifiée</w:t>
      </w:r>
      <w:r>
        <w:rPr>
          <w:rFonts w:eastAsia="Times New Roman"/>
          <w:color w:val="000000"/>
          <w:sz w:val="20"/>
          <w:szCs w:val="20"/>
        </w:rPr>
        <w:t>), an indirect wholly owned subsidiary of UGI International, LLC</w:t>
      </w:r>
    </w:p>
    <w:p w14:paraId="08D0E54B" w14:textId="77777777" w:rsidR="00000000" w:rsidRDefault="00C1661D">
      <w:pPr>
        <w:jc w:val="both"/>
        <w:rPr>
          <w:rFonts w:eastAsia="Times New Roman"/>
        </w:rPr>
      </w:pPr>
    </w:p>
    <w:p w14:paraId="50F92AF0" w14:textId="77777777" w:rsidR="00000000" w:rsidRDefault="00C1661D">
      <w:pPr>
        <w:jc w:val="both"/>
        <w:rPr>
          <w:rFonts w:eastAsia="Times New Roman"/>
        </w:rPr>
      </w:pPr>
      <w:r>
        <w:rPr>
          <w:rFonts w:eastAsia="Times New Roman"/>
          <w:b/>
          <w:bCs/>
          <w:i/>
          <w:iCs/>
          <w:color w:val="000000"/>
          <w:sz w:val="20"/>
          <w:szCs w:val="20"/>
        </w:rPr>
        <w:t>UGI International</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Reportable segment principally comprising UGI’s foreign operations</w:t>
      </w:r>
    </w:p>
    <w:p w14:paraId="01F1237A" w14:textId="77777777" w:rsidR="00000000" w:rsidRDefault="00C1661D">
      <w:pPr>
        <w:jc w:val="both"/>
        <w:rPr>
          <w:rFonts w:eastAsia="Times New Roman"/>
        </w:rPr>
      </w:pPr>
    </w:p>
    <w:p w14:paraId="1AEAB8DE" w14:textId="77777777" w:rsidR="00000000" w:rsidRDefault="00C1661D">
      <w:pPr>
        <w:jc w:val="both"/>
        <w:rPr>
          <w:rFonts w:eastAsia="Times New Roman"/>
        </w:rPr>
      </w:pPr>
      <w:r>
        <w:rPr>
          <w:rFonts w:eastAsia="Times New Roman"/>
          <w:b/>
          <w:bCs/>
          <w:i/>
          <w:iCs/>
          <w:color w:val="000000"/>
          <w:sz w:val="20"/>
          <w:szCs w:val="20"/>
        </w:rPr>
        <w:t>UGI International, LLC</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UGI International, LLC, a wholly owned subsidiary of </w:t>
      </w:r>
      <w:r>
        <w:rPr>
          <w:rFonts w:eastAsia="Times New Roman"/>
          <w:color w:val="000000"/>
          <w:sz w:val="20"/>
          <w:szCs w:val="20"/>
        </w:rPr>
        <w:t>Enterprises</w:t>
      </w:r>
    </w:p>
    <w:p w14:paraId="39C2E34F" w14:textId="77777777" w:rsidR="00000000" w:rsidRDefault="00C1661D">
      <w:pPr>
        <w:jc w:val="both"/>
        <w:rPr>
          <w:rFonts w:eastAsia="Times New Roman"/>
        </w:rPr>
      </w:pPr>
    </w:p>
    <w:p w14:paraId="04972332" w14:textId="77777777" w:rsidR="00000000" w:rsidRDefault="00C1661D">
      <w:pPr>
        <w:jc w:val="both"/>
        <w:rPr>
          <w:rFonts w:eastAsia="Times New Roman"/>
        </w:rPr>
      </w:pPr>
      <w:r>
        <w:rPr>
          <w:rFonts w:eastAsia="Times New Roman"/>
          <w:b/>
          <w:bCs/>
          <w:i/>
          <w:iCs/>
          <w:color w:val="000000"/>
          <w:sz w:val="20"/>
          <w:szCs w:val="20"/>
        </w:rPr>
        <w:t>UGI PennEast, LLC -</w:t>
      </w:r>
      <w:r>
        <w:rPr>
          <w:rFonts w:eastAsia="Times New Roman"/>
          <w:color w:val="000000"/>
          <w:sz w:val="20"/>
          <w:szCs w:val="20"/>
        </w:rPr>
        <w:t xml:space="preserve"> A wholly owned subsidiary of Energy Services that holds a 20% membership interest in PennEast</w:t>
      </w:r>
    </w:p>
    <w:p w14:paraId="352DF24E" w14:textId="77777777" w:rsidR="00000000" w:rsidRDefault="00C1661D">
      <w:pPr>
        <w:jc w:val="both"/>
        <w:rPr>
          <w:rFonts w:eastAsia="Times New Roman"/>
        </w:rPr>
      </w:pPr>
    </w:p>
    <w:p w14:paraId="3EB57C91" w14:textId="77777777" w:rsidR="00000000" w:rsidRDefault="00C1661D">
      <w:pPr>
        <w:jc w:val="both"/>
        <w:rPr>
          <w:rFonts w:eastAsia="Times New Roman"/>
        </w:rPr>
      </w:pPr>
      <w:r>
        <w:rPr>
          <w:rFonts w:eastAsia="Times New Roman"/>
          <w:b/>
          <w:bCs/>
          <w:i/>
          <w:iCs/>
          <w:color w:val="000000"/>
          <w:sz w:val="20"/>
          <w:szCs w:val="20"/>
        </w:rPr>
        <w:t>UGI Pine Run, LLC</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 wholly owned subsidiary of Energy Services that holds a 49% membership interest in Pine Run</w:t>
      </w:r>
    </w:p>
    <w:p w14:paraId="5378A589" w14:textId="77777777" w:rsidR="00000000" w:rsidRDefault="00C1661D">
      <w:pPr>
        <w:jc w:val="both"/>
        <w:rPr>
          <w:rFonts w:eastAsia="Times New Roman"/>
        </w:rPr>
      </w:pPr>
    </w:p>
    <w:p w14:paraId="567350F6" w14:textId="77777777" w:rsidR="00000000" w:rsidRDefault="00C1661D">
      <w:pPr>
        <w:jc w:val="both"/>
        <w:rPr>
          <w:rFonts w:eastAsia="Times New Roman"/>
        </w:rPr>
      </w:pPr>
      <w:r>
        <w:rPr>
          <w:rFonts w:eastAsia="Times New Roman"/>
          <w:b/>
          <w:bCs/>
          <w:i/>
          <w:iCs/>
          <w:color w:val="000000"/>
          <w:sz w:val="20"/>
          <w:szCs w:val="20"/>
        </w:rPr>
        <w:t xml:space="preserve">Utilities </w:t>
      </w:r>
      <w:r>
        <w:rPr>
          <w:rFonts w:eastAsia="Times New Roman"/>
          <w:b/>
          <w:bCs/>
          <w:i/>
          <w:iCs/>
          <w:color w:val="000000"/>
          <w:sz w:val="20"/>
          <w:szCs w:val="20"/>
        </w:rPr>
        <w:t>-</w:t>
      </w:r>
      <w:r>
        <w:rPr>
          <w:rFonts w:eastAsia="Times New Roman"/>
          <w:color w:val="000000"/>
          <w:sz w:val="20"/>
          <w:szCs w:val="20"/>
        </w:rPr>
        <w:t xml:space="preserve"> Reportable segment comprising UGI Utilities and Mountaintop Energy Holdings, LLC</w:t>
      </w:r>
    </w:p>
    <w:p w14:paraId="20F5BF31" w14:textId="77777777" w:rsidR="00000000" w:rsidRDefault="00C1661D">
      <w:pPr>
        <w:jc w:val="both"/>
        <w:rPr>
          <w:rFonts w:eastAsia="Times New Roman"/>
        </w:rPr>
      </w:pPr>
    </w:p>
    <w:p w14:paraId="0EB47BC4" w14:textId="77777777" w:rsidR="00000000" w:rsidRDefault="00C1661D">
      <w:pPr>
        <w:jc w:val="both"/>
        <w:rPr>
          <w:rFonts w:eastAsia="Times New Roman"/>
        </w:rPr>
      </w:pPr>
      <w:r>
        <w:rPr>
          <w:rFonts w:eastAsia="Times New Roman"/>
          <w:b/>
          <w:bCs/>
          <w:i/>
          <w:iCs/>
          <w:color w:val="000000"/>
          <w:sz w:val="20"/>
          <w:szCs w:val="20"/>
        </w:rPr>
        <w:t>UGI Utilities -</w:t>
      </w:r>
      <w:r>
        <w:rPr>
          <w:rFonts w:eastAsia="Times New Roman"/>
          <w:color w:val="000000"/>
          <w:sz w:val="20"/>
          <w:szCs w:val="20"/>
        </w:rPr>
        <w:t xml:space="preserve"> UGI Utilities, Inc., a wholly owned subsidiary of UGI comprising PA Gas Utility and Electric Utility</w:t>
      </w:r>
    </w:p>
    <w:p w14:paraId="3CFCD430" w14:textId="77777777" w:rsidR="00000000" w:rsidRDefault="00C1661D">
      <w:pPr>
        <w:jc w:val="both"/>
        <w:rPr>
          <w:rFonts w:eastAsia="Times New Roman"/>
        </w:rPr>
      </w:pPr>
    </w:p>
    <w:p w14:paraId="4A6501F0" w14:textId="77777777" w:rsidR="00000000" w:rsidRDefault="00C1661D">
      <w:pPr>
        <w:jc w:val="both"/>
        <w:rPr>
          <w:rFonts w:eastAsia="Times New Roman"/>
        </w:rPr>
      </w:pPr>
      <w:r>
        <w:rPr>
          <w:rFonts w:eastAsia="Times New Roman"/>
          <w:b/>
          <w:bCs/>
          <w:i/>
          <w:iCs/>
          <w:color w:val="000000"/>
          <w:sz w:val="20"/>
          <w:szCs w:val="20"/>
        </w:rPr>
        <w:t>UGID -</w:t>
      </w:r>
      <w:r>
        <w:rPr>
          <w:rFonts w:eastAsia="Times New Roman"/>
          <w:color w:val="000000"/>
          <w:sz w:val="20"/>
          <w:szCs w:val="20"/>
        </w:rPr>
        <w:t xml:space="preserve"> </w:t>
      </w:r>
      <w:r>
        <w:rPr>
          <w:rFonts w:eastAsia="Times New Roman"/>
          <w:color w:val="000000"/>
          <w:sz w:val="20"/>
          <w:szCs w:val="20"/>
        </w:rPr>
        <w:t>UGI Development Company, a wholly owned subsidiary of Energy Services</w:t>
      </w:r>
    </w:p>
    <w:p w14:paraId="20083F7D" w14:textId="77777777" w:rsidR="00000000" w:rsidRDefault="00C1661D">
      <w:pPr>
        <w:jc w:val="both"/>
        <w:rPr>
          <w:rFonts w:eastAsia="Times New Roman"/>
        </w:rPr>
      </w:pPr>
    </w:p>
    <w:p w14:paraId="77785614" w14:textId="77777777" w:rsidR="00000000" w:rsidRDefault="00C1661D">
      <w:pPr>
        <w:jc w:val="both"/>
        <w:rPr>
          <w:rFonts w:eastAsia="Times New Roman"/>
        </w:rPr>
      </w:pPr>
      <w:r>
        <w:rPr>
          <w:rFonts w:eastAsia="Times New Roman"/>
          <w:b/>
          <w:bCs/>
          <w:i/>
          <w:iCs/>
          <w:color w:val="000000"/>
          <w:sz w:val="20"/>
          <w:szCs w:val="20"/>
        </w:rPr>
        <w:t>UniverGas -</w:t>
      </w:r>
      <w:r>
        <w:rPr>
          <w:rFonts w:eastAsia="Times New Roman"/>
          <w:color w:val="000000"/>
          <w:sz w:val="20"/>
          <w:szCs w:val="20"/>
        </w:rPr>
        <w:t xml:space="preserve"> UniverGas Italia S.r.l, an indirect wholly owned subsidiary of UGI International, LLC</w:t>
      </w:r>
    </w:p>
    <w:p w14:paraId="5E8B3BE5" w14:textId="77777777" w:rsidR="00000000" w:rsidRDefault="00C1661D">
      <w:pPr>
        <w:jc w:val="both"/>
        <w:rPr>
          <w:rFonts w:eastAsia="Times New Roman"/>
        </w:rPr>
      </w:pPr>
    </w:p>
    <w:p w14:paraId="1E859922" w14:textId="77777777" w:rsidR="00000000" w:rsidRDefault="00C1661D">
      <w:pPr>
        <w:jc w:val="both"/>
        <w:rPr>
          <w:rFonts w:eastAsia="Times New Roman"/>
        </w:rPr>
      </w:pPr>
      <w:r>
        <w:rPr>
          <w:rFonts w:eastAsia="Times New Roman"/>
          <w:b/>
          <w:bCs/>
          <w:i/>
          <w:iCs/>
          <w:color w:val="000000"/>
          <w:sz w:val="20"/>
          <w:szCs w:val="20"/>
        </w:rPr>
        <w:t>WV Gas Utility</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Mountaineer’s regulated natural gas distribution business, located </w:t>
      </w:r>
      <w:r>
        <w:rPr>
          <w:rFonts w:eastAsia="Times New Roman"/>
          <w:color w:val="000000"/>
          <w:sz w:val="20"/>
          <w:szCs w:val="20"/>
        </w:rPr>
        <w:t>in West Virginia</w:t>
      </w:r>
    </w:p>
    <w:p w14:paraId="06507822" w14:textId="77777777" w:rsidR="00000000" w:rsidRDefault="00C1661D">
      <w:pPr>
        <w:jc w:val="both"/>
        <w:divId w:val="1600455599"/>
        <w:rPr>
          <w:rFonts w:eastAsia="Times New Roman"/>
        </w:rPr>
      </w:pPr>
    </w:p>
    <w:p w14:paraId="581D6E77" w14:textId="77777777" w:rsidR="00000000" w:rsidRDefault="00C1661D">
      <w:pPr>
        <w:jc w:val="center"/>
        <w:rPr>
          <w:rFonts w:eastAsia="Times New Roman"/>
        </w:rPr>
      </w:pPr>
      <w:r>
        <w:rPr>
          <w:rFonts w:eastAsia="Times New Roman"/>
          <w:b/>
          <w:bCs/>
          <w:i/>
          <w:iCs/>
          <w:color w:val="000000"/>
          <w:sz w:val="20"/>
          <w:szCs w:val="20"/>
          <w:u w:val="single"/>
        </w:rPr>
        <w:t>Other Terms and Abbreviations</w:t>
      </w:r>
    </w:p>
    <w:p w14:paraId="7C23BB52" w14:textId="77777777" w:rsidR="00000000" w:rsidRDefault="00C1661D">
      <w:pPr>
        <w:jc w:val="both"/>
        <w:rPr>
          <w:rFonts w:eastAsia="Times New Roman"/>
        </w:rPr>
      </w:pPr>
    </w:p>
    <w:p w14:paraId="01D62ECE" w14:textId="77777777" w:rsidR="00000000" w:rsidRDefault="00C1661D">
      <w:pPr>
        <w:jc w:val="both"/>
        <w:rPr>
          <w:rFonts w:eastAsia="Times New Roman"/>
        </w:rPr>
      </w:pPr>
      <w:r>
        <w:rPr>
          <w:rFonts w:eastAsia="Times New Roman"/>
          <w:b/>
          <w:bCs/>
          <w:i/>
          <w:iCs/>
          <w:color w:val="000000"/>
          <w:sz w:val="20"/>
          <w:szCs w:val="20"/>
        </w:rPr>
        <w:t xml:space="preserve">2013 OICP - </w:t>
      </w:r>
      <w:r>
        <w:rPr>
          <w:rFonts w:eastAsia="Times New Roman"/>
          <w:color w:val="000000"/>
          <w:sz w:val="20"/>
          <w:szCs w:val="20"/>
        </w:rPr>
        <w:t xml:space="preserve">UGI Corporation 2013 Omnibus Incentive Compensation Plan </w:t>
      </w:r>
    </w:p>
    <w:p w14:paraId="10CE4B9D" w14:textId="77777777" w:rsidR="00000000" w:rsidRDefault="00C1661D">
      <w:pPr>
        <w:jc w:val="both"/>
        <w:rPr>
          <w:rFonts w:eastAsia="Times New Roman"/>
        </w:rPr>
      </w:pPr>
    </w:p>
    <w:p w14:paraId="5537710C" w14:textId="77777777" w:rsidR="00000000" w:rsidRDefault="00C1661D">
      <w:pPr>
        <w:jc w:val="both"/>
        <w:rPr>
          <w:rFonts w:eastAsia="Times New Roman"/>
        </w:rPr>
      </w:pPr>
      <w:r>
        <w:rPr>
          <w:rFonts w:eastAsia="Times New Roman"/>
          <w:b/>
          <w:bCs/>
          <w:i/>
          <w:iCs/>
          <w:color w:val="000000"/>
          <w:sz w:val="20"/>
          <w:szCs w:val="20"/>
        </w:rPr>
        <w:t>4.75% Senior Note</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w:t>
      </w:r>
      <w:r>
        <w:rPr>
          <w:rFonts w:eastAsia="Times New Roman"/>
          <w:color w:val="000000"/>
          <w:sz w:val="20"/>
          <w:szCs w:val="20"/>
        </w:rPr>
        <w:t>A private placement of $90 million principal amount of senior notes due July 2032, issued by UGI Utilities</w:t>
      </w:r>
    </w:p>
    <w:p w14:paraId="4AF8ADE1" w14:textId="77777777" w:rsidR="00000000" w:rsidRDefault="00C1661D">
      <w:pPr>
        <w:jc w:val="both"/>
        <w:rPr>
          <w:rFonts w:eastAsia="Times New Roman"/>
        </w:rPr>
      </w:pPr>
    </w:p>
    <w:p w14:paraId="41336662" w14:textId="77777777" w:rsidR="00000000" w:rsidRDefault="00C1661D">
      <w:pPr>
        <w:jc w:val="both"/>
        <w:rPr>
          <w:rFonts w:eastAsia="Times New Roman"/>
        </w:rPr>
      </w:pPr>
      <w:r>
        <w:rPr>
          <w:rFonts w:eastAsia="Times New Roman"/>
          <w:b/>
          <w:bCs/>
          <w:i/>
          <w:iCs/>
          <w:color w:val="000000"/>
          <w:sz w:val="20"/>
          <w:szCs w:val="20"/>
        </w:rPr>
        <w:t>4.99% Senior Note -</w:t>
      </w:r>
      <w:r>
        <w:rPr>
          <w:rFonts w:eastAsia="Times New Roman"/>
          <w:color w:val="000000"/>
          <w:sz w:val="20"/>
          <w:szCs w:val="20"/>
        </w:rPr>
        <w:t xml:space="preserve"> A private placement of $85 million principal amount of senior notes due September 2052, issued by UGI Utilities</w:t>
      </w:r>
    </w:p>
    <w:p w14:paraId="6BEB88AD" w14:textId="77777777" w:rsidR="00000000" w:rsidRDefault="00C1661D">
      <w:pPr>
        <w:jc w:val="both"/>
        <w:rPr>
          <w:rFonts w:eastAsia="Times New Roman"/>
        </w:rPr>
      </w:pPr>
    </w:p>
    <w:p w14:paraId="45E75533" w14:textId="77777777" w:rsidR="00000000" w:rsidRDefault="00C1661D">
      <w:pPr>
        <w:jc w:val="both"/>
        <w:rPr>
          <w:rFonts w:eastAsia="Times New Roman"/>
        </w:rPr>
      </w:pPr>
      <w:r>
        <w:rPr>
          <w:rFonts w:eastAsia="Times New Roman"/>
          <w:b/>
          <w:bCs/>
          <w:i/>
          <w:iCs/>
          <w:color w:val="000000"/>
          <w:sz w:val="20"/>
          <w:szCs w:val="20"/>
        </w:rPr>
        <w:t xml:space="preserve">4.49% Senior </w:t>
      </w:r>
      <w:r>
        <w:rPr>
          <w:rFonts w:eastAsia="Times New Roman"/>
          <w:b/>
          <w:bCs/>
          <w:i/>
          <w:iCs/>
          <w:color w:val="000000"/>
          <w:sz w:val="20"/>
          <w:szCs w:val="20"/>
        </w:rPr>
        <w:t>Note</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 private placement of $40 million principal amount of senior notes due August 2052, issued by Mountaineer</w:t>
      </w:r>
    </w:p>
    <w:p w14:paraId="56BC6536" w14:textId="77777777" w:rsidR="00000000" w:rsidRDefault="00C1661D">
      <w:pPr>
        <w:jc w:val="both"/>
        <w:rPr>
          <w:rFonts w:eastAsia="Times New Roman"/>
        </w:rPr>
      </w:pPr>
    </w:p>
    <w:p w14:paraId="1483A0BC" w14:textId="77777777" w:rsidR="00000000" w:rsidRDefault="00C1661D">
      <w:pPr>
        <w:jc w:val="both"/>
        <w:rPr>
          <w:rFonts w:eastAsia="Times New Roman"/>
        </w:rPr>
      </w:pPr>
      <w:r>
        <w:rPr>
          <w:rFonts w:eastAsia="Times New Roman"/>
          <w:b/>
          <w:bCs/>
          <w:i/>
          <w:iCs/>
          <w:color w:val="000000"/>
          <w:sz w:val="20"/>
          <w:szCs w:val="20"/>
        </w:rPr>
        <w:t xml:space="preserve">2021 IAP - </w:t>
      </w:r>
      <w:r>
        <w:rPr>
          <w:rFonts w:eastAsia="Times New Roman"/>
          <w:color w:val="000000"/>
          <w:sz w:val="20"/>
          <w:szCs w:val="20"/>
        </w:rPr>
        <w:t>UGI Corporation 2021 Incentive Award Plan</w:t>
      </w:r>
    </w:p>
    <w:p w14:paraId="18BA1727" w14:textId="77777777" w:rsidR="00000000" w:rsidRDefault="00C1661D">
      <w:pPr>
        <w:jc w:val="both"/>
        <w:rPr>
          <w:rFonts w:eastAsia="Times New Roman"/>
        </w:rPr>
      </w:pPr>
    </w:p>
    <w:p w14:paraId="3616F841" w14:textId="77777777" w:rsidR="00000000" w:rsidRDefault="00C1661D">
      <w:pPr>
        <w:jc w:val="both"/>
        <w:rPr>
          <w:rFonts w:eastAsia="Times New Roman"/>
        </w:rPr>
      </w:pPr>
      <w:r>
        <w:rPr>
          <w:rFonts w:eastAsia="Times New Roman"/>
          <w:b/>
          <w:bCs/>
          <w:i/>
          <w:iCs/>
          <w:color w:val="000000"/>
          <w:sz w:val="20"/>
          <w:szCs w:val="20"/>
        </w:rPr>
        <w:t>2021 UGI Corporation Senior Credit Facility</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An amended unsecured senior facilities </w:t>
      </w:r>
      <w:r>
        <w:rPr>
          <w:rFonts w:eastAsia="Times New Roman"/>
          <w:color w:val="000000"/>
          <w:sz w:val="20"/>
          <w:szCs w:val="20"/>
        </w:rPr>
        <w:t xml:space="preserve">agreement entered into on May 4, 2021, by UGI which extended the maturity date of the previous three-year $300 million loan term facility included in the UGI Corporation Senior Credit Facility, now due in May 2025 and includes a new four-year $215 million </w:t>
      </w:r>
      <w:r>
        <w:rPr>
          <w:rFonts w:eastAsia="Times New Roman"/>
          <w:color w:val="000000"/>
          <w:sz w:val="20"/>
          <w:szCs w:val="20"/>
        </w:rPr>
        <w:t>term loan commitment</w:t>
      </w:r>
    </w:p>
    <w:p w14:paraId="2A3E9B39" w14:textId="77777777" w:rsidR="00000000" w:rsidRDefault="00C1661D">
      <w:pPr>
        <w:jc w:val="both"/>
        <w:rPr>
          <w:rFonts w:eastAsia="Times New Roman"/>
        </w:rPr>
      </w:pPr>
    </w:p>
    <w:p w14:paraId="3ED5A9BB" w14:textId="77777777" w:rsidR="00000000" w:rsidRDefault="00C1661D">
      <w:pPr>
        <w:jc w:val="both"/>
        <w:rPr>
          <w:rFonts w:eastAsia="Times New Roman"/>
        </w:rPr>
      </w:pPr>
      <w:r>
        <w:rPr>
          <w:rFonts w:eastAsia="Times New Roman"/>
          <w:b/>
          <w:bCs/>
          <w:i/>
          <w:iCs/>
          <w:color w:val="000000"/>
          <w:sz w:val="20"/>
          <w:szCs w:val="20"/>
        </w:rPr>
        <w:t>2022 AmeriGas OLP Credit Agreement -</w:t>
      </w:r>
      <w:r>
        <w:rPr>
          <w:rFonts w:eastAsia="Times New Roman"/>
          <w:color w:val="000000"/>
          <w:sz w:val="20"/>
          <w:szCs w:val="20"/>
        </w:rPr>
        <w:t xml:space="preserve"> entered into by AmeriGas OLP providing for borrowings of up to $600 million, with the option to increase to a maximum principal amount of $900 million assuming certain conditions are met, includin</w:t>
      </w:r>
      <w:r>
        <w:rPr>
          <w:rFonts w:eastAsia="Times New Roman"/>
          <w:color w:val="000000"/>
          <w:sz w:val="20"/>
          <w:szCs w:val="20"/>
        </w:rPr>
        <w:t>g a letter of credit subfacility of up to $100 million</w:t>
      </w:r>
    </w:p>
    <w:p w14:paraId="25DD447A" w14:textId="77777777" w:rsidR="00000000" w:rsidRDefault="00C1661D">
      <w:pPr>
        <w:jc w:val="both"/>
        <w:rPr>
          <w:rFonts w:eastAsia="Times New Roman"/>
        </w:rPr>
      </w:pPr>
    </w:p>
    <w:p w14:paraId="3498B21F" w14:textId="77777777" w:rsidR="00000000" w:rsidRDefault="00C1661D">
      <w:pPr>
        <w:jc w:val="both"/>
        <w:rPr>
          <w:rFonts w:eastAsia="Times New Roman"/>
        </w:rPr>
      </w:pPr>
      <w:r>
        <w:rPr>
          <w:rFonts w:eastAsia="Times New Roman"/>
          <w:b/>
          <w:bCs/>
          <w:i/>
          <w:iCs/>
          <w:color w:val="000000"/>
          <w:sz w:val="20"/>
          <w:szCs w:val="20"/>
        </w:rPr>
        <w:t>2024 Purchase Contract</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 forward stock purchase contract issued by UGI Corporation as a part of the issuance of Equity Units which obligates holders to purchase a number of shares of UGI Common Sto</w:t>
      </w:r>
      <w:r>
        <w:rPr>
          <w:rFonts w:eastAsia="Times New Roman"/>
          <w:color w:val="000000"/>
          <w:sz w:val="20"/>
          <w:szCs w:val="20"/>
        </w:rPr>
        <w:t>ck from the Company on June 1, 2024</w:t>
      </w:r>
    </w:p>
    <w:p w14:paraId="60F612C5" w14:textId="77777777" w:rsidR="00000000" w:rsidRDefault="00C1661D">
      <w:pPr>
        <w:jc w:val="both"/>
        <w:rPr>
          <w:rFonts w:eastAsia="Times New Roman"/>
        </w:rPr>
      </w:pPr>
    </w:p>
    <w:p w14:paraId="5B3B02A8" w14:textId="77777777" w:rsidR="00000000" w:rsidRDefault="00C1661D">
      <w:pPr>
        <w:jc w:val="both"/>
        <w:rPr>
          <w:rFonts w:eastAsia="Times New Roman"/>
        </w:rPr>
      </w:pPr>
      <w:r>
        <w:rPr>
          <w:rFonts w:eastAsia="Times New Roman"/>
          <w:b/>
          <w:bCs/>
          <w:i/>
          <w:iCs/>
          <w:color w:val="000000"/>
          <w:sz w:val="20"/>
          <w:szCs w:val="20"/>
        </w:rPr>
        <w:t>ABO -</w:t>
      </w:r>
      <w:r>
        <w:rPr>
          <w:rFonts w:eastAsia="Times New Roman"/>
          <w:color w:val="000000"/>
          <w:sz w:val="20"/>
          <w:szCs w:val="20"/>
        </w:rPr>
        <w:t xml:space="preserve"> Accumulated Benefit Obligation</w:t>
      </w:r>
    </w:p>
    <w:p w14:paraId="01E1C0E0" w14:textId="77777777" w:rsidR="00000000" w:rsidRDefault="00C1661D">
      <w:pPr>
        <w:jc w:val="both"/>
        <w:rPr>
          <w:rFonts w:eastAsia="Times New Roman"/>
        </w:rPr>
      </w:pPr>
    </w:p>
    <w:p w14:paraId="4CB0FCAF" w14:textId="77777777" w:rsidR="00000000" w:rsidRDefault="00C1661D">
      <w:pPr>
        <w:jc w:val="both"/>
        <w:rPr>
          <w:rFonts w:eastAsia="Times New Roman"/>
        </w:rPr>
      </w:pPr>
      <w:r>
        <w:rPr>
          <w:rFonts w:eastAsia="Times New Roman"/>
          <w:b/>
          <w:bCs/>
          <w:i/>
          <w:iCs/>
          <w:color w:val="000000"/>
          <w:sz w:val="20"/>
          <w:szCs w:val="20"/>
        </w:rPr>
        <w:t>ACE -</w:t>
      </w:r>
      <w:r>
        <w:rPr>
          <w:rFonts w:eastAsia="Times New Roman"/>
          <w:color w:val="000000"/>
          <w:sz w:val="20"/>
          <w:szCs w:val="20"/>
        </w:rPr>
        <w:t xml:space="preserve"> AmeriGas Cylinder Exchange</w:t>
      </w:r>
    </w:p>
    <w:p w14:paraId="3CDA9EF7" w14:textId="77777777" w:rsidR="00000000" w:rsidRDefault="00C1661D">
      <w:pPr>
        <w:jc w:val="both"/>
        <w:rPr>
          <w:rFonts w:eastAsia="Times New Roman"/>
        </w:rPr>
      </w:pPr>
    </w:p>
    <w:p w14:paraId="2A114EF6" w14:textId="77777777" w:rsidR="00000000" w:rsidRDefault="00C1661D">
      <w:pPr>
        <w:jc w:val="center"/>
        <w:divId w:val="1599213448"/>
        <w:rPr>
          <w:rFonts w:eastAsia="Times New Roman"/>
        </w:rPr>
      </w:pPr>
      <w:r>
        <w:rPr>
          <w:rFonts w:eastAsia="Times New Roman"/>
          <w:color w:val="000000"/>
          <w:sz w:val="20"/>
          <w:szCs w:val="20"/>
        </w:rPr>
        <w:t>3</w:t>
      </w:r>
    </w:p>
    <w:p w14:paraId="750EF60D" w14:textId="77777777" w:rsidR="00000000" w:rsidRDefault="00C1661D">
      <w:pPr>
        <w:rPr>
          <w:rFonts w:eastAsia="Times New Roman"/>
        </w:rPr>
      </w:pPr>
      <w:r>
        <w:rPr>
          <w:rFonts w:eastAsia="Times New Roman"/>
        </w:rPr>
        <w:pict w14:anchorId="7B2145E4">
          <v:rect id="_x0000_i1028" style="width:0;height:1.5pt" o:hralign="center" o:hrstd="t" o:hr="t" fillcolor="#a0a0a0" stroked="f"/>
        </w:pict>
      </w:r>
    </w:p>
    <w:p w14:paraId="5A0243E3" w14:textId="77777777" w:rsidR="00000000" w:rsidRDefault="00C1661D">
      <w:pPr>
        <w:divId w:val="1475875636"/>
        <w:rPr>
          <w:rFonts w:eastAsia="Times New Roman"/>
        </w:rPr>
      </w:pPr>
      <w:hyperlink w:anchor="i3850c3c6c0104e42b9951aac2f16098a_7" w:history="1">
        <w:r>
          <w:rPr>
            <w:rStyle w:val="a3"/>
            <w:rFonts w:eastAsia="Times New Roman"/>
            <w:b/>
            <w:bCs/>
            <w:sz w:val="20"/>
            <w:szCs w:val="20"/>
          </w:rPr>
          <w:t>Table of Contents</w:t>
        </w:r>
      </w:hyperlink>
    </w:p>
    <w:p w14:paraId="23F33C59" w14:textId="77777777" w:rsidR="00000000" w:rsidRDefault="00C1661D">
      <w:pPr>
        <w:jc w:val="both"/>
        <w:rPr>
          <w:rFonts w:eastAsia="Times New Roman"/>
        </w:rPr>
      </w:pPr>
      <w:r>
        <w:rPr>
          <w:rFonts w:eastAsia="Times New Roman"/>
          <w:b/>
          <w:bCs/>
          <w:i/>
          <w:iCs/>
          <w:color w:val="000000"/>
          <w:sz w:val="20"/>
          <w:szCs w:val="20"/>
        </w:rPr>
        <w:t>Act 11 -</w:t>
      </w:r>
      <w:r>
        <w:rPr>
          <w:rFonts w:eastAsia="Times New Roman"/>
          <w:color w:val="000000"/>
          <w:sz w:val="20"/>
          <w:szCs w:val="20"/>
        </w:rPr>
        <w:t xml:space="preserve"> </w:t>
      </w:r>
      <w:r>
        <w:rPr>
          <w:rFonts w:eastAsia="Times New Roman"/>
          <w:color w:val="000000"/>
          <w:sz w:val="20"/>
          <w:szCs w:val="20"/>
        </w:rPr>
        <w:t xml:space="preserve">Act 11 of 2012 </w:t>
      </w:r>
    </w:p>
    <w:p w14:paraId="455EF6DA" w14:textId="77777777" w:rsidR="00000000" w:rsidRDefault="00C1661D">
      <w:pPr>
        <w:jc w:val="both"/>
        <w:rPr>
          <w:rFonts w:eastAsia="Times New Roman"/>
        </w:rPr>
      </w:pPr>
    </w:p>
    <w:p w14:paraId="6730DED6" w14:textId="77777777" w:rsidR="00000000" w:rsidRDefault="00C1661D">
      <w:pPr>
        <w:jc w:val="both"/>
        <w:rPr>
          <w:rFonts w:eastAsia="Times New Roman"/>
        </w:rPr>
      </w:pPr>
      <w:r>
        <w:rPr>
          <w:rFonts w:eastAsia="Times New Roman"/>
          <w:b/>
          <w:bCs/>
          <w:i/>
          <w:iCs/>
          <w:color w:val="000000"/>
          <w:sz w:val="20"/>
          <w:szCs w:val="20"/>
        </w:rPr>
        <w:t>AFUDC -</w:t>
      </w:r>
      <w:r>
        <w:rPr>
          <w:rFonts w:eastAsia="Times New Roman"/>
          <w:color w:val="000000"/>
          <w:sz w:val="20"/>
          <w:szCs w:val="20"/>
        </w:rPr>
        <w:t xml:space="preserve"> Allowance for Funds Used During Construction</w:t>
      </w:r>
    </w:p>
    <w:p w14:paraId="58E1A92F" w14:textId="77777777" w:rsidR="00000000" w:rsidRDefault="00C1661D">
      <w:pPr>
        <w:jc w:val="both"/>
        <w:rPr>
          <w:rFonts w:eastAsia="Times New Roman"/>
        </w:rPr>
      </w:pPr>
    </w:p>
    <w:p w14:paraId="64244A10" w14:textId="77777777" w:rsidR="00000000" w:rsidRDefault="00C1661D">
      <w:pPr>
        <w:jc w:val="both"/>
        <w:rPr>
          <w:rFonts w:eastAsia="Times New Roman"/>
        </w:rPr>
      </w:pPr>
      <w:r>
        <w:rPr>
          <w:rFonts w:eastAsia="Times New Roman"/>
          <w:b/>
          <w:bCs/>
          <w:i/>
          <w:iCs/>
          <w:color w:val="000000"/>
          <w:sz w:val="20"/>
          <w:szCs w:val="20"/>
        </w:rPr>
        <w:t>AmeriGas Merger -</w:t>
      </w:r>
      <w:r>
        <w:rPr>
          <w:rFonts w:eastAsia="Times New Roman"/>
          <w:color w:val="000000"/>
          <w:sz w:val="20"/>
          <w:szCs w:val="20"/>
        </w:rPr>
        <w:t xml:space="preserve"> The transaction contemplated by the Merger Agreement pursuant to which AmeriGas Propane Holdings, LLC merged with and into the Partnership, on August 21, 2019, with </w:t>
      </w:r>
      <w:r>
        <w:rPr>
          <w:rFonts w:eastAsia="Times New Roman"/>
          <w:color w:val="000000"/>
          <w:sz w:val="20"/>
          <w:szCs w:val="20"/>
        </w:rPr>
        <w:t>the Partnership surviving as an indirect wholly owned subsidiary of UGI</w:t>
      </w:r>
    </w:p>
    <w:p w14:paraId="5F3A276B" w14:textId="77777777" w:rsidR="00000000" w:rsidRDefault="00C1661D">
      <w:pPr>
        <w:jc w:val="both"/>
        <w:rPr>
          <w:rFonts w:eastAsia="Times New Roman"/>
        </w:rPr>
      </w:pPr>
    </w:p>
    <w:p w14:paraId="55072B61" w14:textId="77777777" w:rsidR="00000000" w:rsidRDefault="00C1661D">
      <w:pPr>
        <w:jc w:val="both"/>
        <w:rPr>
          <w:rFonts w:eastAsia="Times New Roman"/>
        </w:rPr>
      </w:pPr>
      <w:r>
        <w:rPr>
          <w:rFonts w:eastAsia="Times New Roman"/>
          <w:b/>
          <w:bCs/>
          <w:i/>
          <w:iCs/>
          <w:color w:val="000000"/>
          <w:sz w:val="20"/>
          <w:szCs w:val="20"/>
        </w:rPr>
        <w:t>AmeriGas OLP Credit Agreement</w:t>
      </w:r>
      <w:r>
        <w:rPr>
          <w:rFonts w:eastAsia="Times New Roman"/>
          <w:color w:val="000000"/>
          <w:sz w:val="20"/>
          <w:szCs w:val="20"/>
        </w:rPr>
        <w:t xml:space="preserve"> </w:t>
      </w:r>
      <w:r>
        <w:rPr>
          <w:rFonts w:eastAsia="Times New Roman"/>
          <w:color w:val="000000"/>
          <w:sz w:val="20"/>
          <w:szCs w:val="20"/>
        </w:rPr>
        <w:t>- The second amended and restated credit agreement entered into by AmeriGas OLP providing for borrowings of up to $600 million, including a letter of credit subfacility of up to $150 million</w:t>
      </w:r>
    </w:p>
    <w:p w14:paraId="0F181D94" w14:textId="77777777" w:rsidR="00000000" w:rsidRDefault="00C1661D">
      <w:pPr>
        <w:jc w:val="both"/>
        <w:rPr>
          <w:rFonts w:eastAsia="Times New Roman"/>
        </w:rPr>
      </w:pPr>
    </w:p>
    <w:p w14:paraId="2B337B7A" w14:textId="77777777" w:rsidR="00000000" w:rsidRDefault="00C1661D">
      <w:pPr>
        <w:jc w:val="both"/>
        <w:rPr>
          <w:rFonts w:eastAsia="Times New Roman"/>
        </w:rPr>
      </w:pPr>
      <w:r>
        <w:rPr>
          <w:rFonts w:eastAsia="Times New Roman"/>
          <w:b/>
          <w:bCs/>
          <w:i/>
          <w:iCs/>
          <w:color w:val="000000"/>
          <w:sz w:val="20"/>
          <w:szCs w:val="20"/>
        </w:rPr>
        <w:t xml:space="preserve">AOCI - </w:t>
      </w:r>
      <w:r>
        <w:rPr>
          <w:rFonts w:eastAsia="Times New Roman"/>
          <w:color w:val="000000"/>
          <w:sz w:val="20"/>
          <w:szCs w:val="20"/>
        </w:rPr>
        <w:t>Accumulated Other Comprehensive Income (Loss)</w:t>
      </w:r>
    </w:p>
    <w:p w14:paraId="7114C073" w14:textId="77777777" w:rsidR="00000000" w:rsidRDefault="00C1661D">
      <w:pPr>
        <w:jc w:val="both"/>
        <w:rPr>
          <w:rFonts w:eastAsia="Times New Roman"/>
        </w:rPr>
      </w:pPr>
    </w:p>
    <w:p w14:paraId="4427E068" w14:textId="77777777" w:rsidR="00000000" w:rsidRDefault="00C1661D">
      <w:pPr>
        <w:jc w:val="both"/>
        <w:rPr>
          <w:rFonts w:eastAsia="Times New Roman"/>
        </w:rPr>
      </w:pPr>
      <w:r>
        <w:rPr>
          <w:rFonts w:eastAsia="Times New Roman"/>
          <w:b/>
          <w:bCs/>
          <w:i/>
          <w:iCs/>
          <w:color w:val="000000"/>
          <w:sz w:val="20"/>
          <w:szCs w:val="20"/>
        </w:rPr>
        <w:t>ASC -</w:t>
      </w:r>
      <w:r>
        <w:rPr>
          <w:rFonts w:eastAsia="Times New Roman"/>
          <w:color w:val="000000"/>
          <w:sz w:val="20"/>
          <w:szCs w:val="20"/>
        </w:rPr>
        <w:t xml:space="preserve"> Ac</w:t>
      </w:r>
      <w:r>
        <w:rPr>
          <w:rFonts w:eastAsia="Times New Roman"/>
          <w:color w:val="000000"/>
          <w:sz w:val="20"/>
          <w:szCs w:val="20"/>
        </w:rPr>
        <w:t>counting Standards Codification</w:t>
      </w:r>
    </w:p>
    <w:p w14:paraId="48D8CD86" w14:textId="77777777" w:rsidR="00000000" w:rsidRDefault="00C1661D">
      <w:pPr>
        <w:jc w:val="both"/>
        <w:rPr>
          <w:rFonts w:eastAsia="Times New Roman"/>
        </w:rPr>
      </w:pPr>
    </w:p>
    <w:p w14:paraId="40515C0E" w14:textId="77777777" w:rsidR="00000000" w:rsidRDefault="00C1661D">
      <w:pPr>
        <w:jc w:val="both"/>
        <w:rPr>
          <w:rFonts w:eastAsia="Times New Roman"/>
        </w:rPr>
      </w:pPr>
      <w:r>
        <w:rPr>
          <w:rFonts w:eastAsia="Times New Roman"/>
          <w:b/>
          <w:bCs/>
          <w:i/>
          <w:iCs/>
          <w:color w:val="000000"/>
          <w:sz w:val="20"/>
          <w:szCs w:val="20"/>
        </w:rPr>
        <w:t>ASC 606</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ASC 606, “Revenue from Contracts with Customers”</w:t>
      </w:r>
    </w:p>
    <w:p w14:paraId="0C455EC7" w14:textId="77777777" w:rsidR="00000000" w:rsidRDefault="00C1661D">
      <w:pPr>
        <w:jc w:val="both"/>
        <w:rPr>
          <w:rFonts w:eastAsia="Times New Roman"/>
        </w:rPr>
      </w:pPr>
    </w:p>
    <w:p w14:paraId="5C51BC07" w14:textId="77777777" w:rsidR="00000000" w:rsidRDefault="00C1661D">
      <w:pPr>
        <w:jc w:val="both"/>
        <w:rPr>
          <w:rFonts w:eastAsia="Times New Roman"/>
        </w:rPr>
      </w:pPr>
      <w:r>
        <w:rPr>
          <w:rFonts w:eastAsia="Times New Roman"/>
          <w:b/>
          <w:bCs/>
          <w:i/>
          <w:iCs/>
          <w:color w:val="000000"/>
          <w:sz w:val="20"/>
          <w:szCs w:val="20"/>
        </w:rPr>
        <w:t xml:space="preserve">ASC 820 - </w:t>
      </w:r>
      <w:r>
        <w:rPr>
          <w:rFonts w:eastAsia="Times New Roman"/>
          <w:color w:val="000000"/>
          <w:sz w:val="20"/>
          <w:szCs w:val="20"/>
        </w:rPr>
        <w:t xml:space="preserve">ASC 820, “Fair Value Measurement” </w:t>
      </w:r>
    </w:p>
    <w:p w14:paraId="46A73A2D" w14:textId="77777777" w:rsidR="00000000" w:rsidRDefault="00C1661D">
      <w:pPr>
        <w:jc w:val="both"/>
        <w:rPr>
          <w:rFonts w:eastAsia="Times New Roman"/>
        </w:rPr>
      </w:pPr>
    </w:p>
    <w:p w14:paraId="186F9DD4" w14:textId="77777777" w:rsidR="00000000" w:rsidRDefault="00C1661D">
      <w:pPr>
        <w:jc w:val="both"/>
        <w:rPr>
          <w:rFonts w:eastAsia="Times New Roman"/>
        </w:rPr>
      </w:pPr>
      <w:r>
        <w:rPr>
          <w:rFonts w:eastAsia="Times New Roman"/>
          <w:b/>
          <w:bCs/>
          <w:i/>
          <w:iCs/>
          <w:color w:val="000000"/>
          <w:sz w:val="20"/>
          <w:szCs w:val="20"/>
        </w:rPr>
        <w:t>ASC 980</w:t>
      </w:r>
      <w:r>
        <w:rPr>
          <w:rFonts w:eastAsia="Times New Roman"/>
          <w:color w:val="000000"/>
          <w:sz w:val="20"/>
          <w:szCs w:val="20"/>
        </w:rPr>
        <w:t xml:space="preserve"> </w:t>
      </w:r>
      <w:r>
        <w:rPr>
          <w:rFonts w:eastAsia="Times New Roman"/>
          <w:b/>
          <w:bCs/>
          <w:i/>
          <w:iCs/>
          <w:color w:val="000000"/>
          <w:sz w:val="20"/>
          <w:szCs w:val="20"/>
        </w:rPr>
        <w:t xml:space="preserve">- </w:t>
      </w:r>
      <w:r>
        <w:rPr>
          <w:rFonts w:eastAsia="Times New Roman"/>
          <w:color w:val="000000"/>
          <w:sz w:val="20"/>
          <w:szCs w:val="20"/>
        </w:rPr>
        <w:t>ASC 980, “Regulated Operations”</w:t>
      </w:r>
    </w:p>
    <w:p w14:paraId="0D067A74" w14:textId="77777777" w:rsidR="00000000" w:rsidRDefault="00C1661D">
      <w:pPr>
        <w:jc w:val="both"/>
        <w:rPr>
          <w:rFonts w:eastAsia="Times New Roman"/>
        </w:rPr>
      </w:pPr>
    </w:p>
    <w:p w14:paraId="4C945C9A" w14:textId="77777777" w:rsidR="00000000" w:rsidRDefault="00C1661D">
      <w:pPr>
        <w:jc w:val="both"/>
        <w:rPr>
          <w:rFonts w:eastAsia="Times New Roman"/>
        </w:rPr>
      </w:pPr>
      <w:r>
        <w:rPr>
          <w:rFonts w:eastAsia="Times New Roman"/>
          <w:b/>
          <w:bCs/>
          <w:i/>
          <w:iCs/>
          <w:color w:val="000000"/>
          <w:sz w:val="20"/>
          <w:szCs w:val="20"/>
        </w:rPr>
        <w:t>ASU -</w:t>
      </w:r>
      <w:r>
        <w:rPr>
          <w:rFonts w:eastAsia="Times New Roman"/>
          <w:color w:val="000000"/>
          <w:sz w:val="20"/>
          <w:szCs w:val="20"/>
        </w:rPr>
        <w:t xml:space="preserve"> Accounting Standards Update</w:t>
      </w:r>
    </w:p>
    <w:p w14:paraId="72B15D14" w14:textId="77777777" w:rsidR="00000000" w:rsidRDefault="00C1661D">
      <w:pPr>
        <w:jc w:val="both"/>
        <w:rPr>
          <w:rFonts w:eastAsia="Times New Roman"/>
        </w:rPr>
      </w:pPr>
    </w:p>
    <w:p w14:paraId="194CC001" w14:textId="77777777" w:rsidR="00000000" w:rsidRDefault="00C1661D">
      <w:pPr>
        <w:jc w:val="both"/>
        <w:rPr>
          <w:rFonts w:eastAsia="Times New Roman"/>
        </w:rPr>
      </w:pPr>
      <w:r>
        <w:rPr>
          <w:rFonts w:eastAsia="Times New Roman"/>
          <w:b/>
          <w:bCs/>
          <w:i/>
          <w:iCs/>
          <w:color w:val="000000"/>
          <w:sz w:val="20"/>
          <w:szCs w:val="20"/>
        </w:rPr>
        <w:lastRenderedPageBreak/>
        <w:t>Bcf -</w:t>
      </w:r>
      <w:r>
        <w:rPr>
          <w:rFonts w:eastAsia="Times New Roman"/>
          <w:color w:val="000000"/>
          <w:sz w:val="20"/>
          <w:szCs w:val="20"/>
        </w:rPr>
        <w:t xml:space="preserve"> Billions of cubic feet</w:t>
      </w:r>
    </w:p>
    <w:p w14:paraId="306EA408" w14:textId="77777777" w:rsidR="00000000" w:rsidRDefault="00C1661D">
      <w:pPr>
        <w:jc w:val="both"/>
        <w:rPr>
          <w:rFonts w:eastAsia="Times New Roman"/>
        </w:rPr>
      </w:pPr>
    </w:p>
    <w:p w14:paraId="1F978D31" w14:textId="77777777" w:rsidR="00000000" w:rsidRDefault="00C1661D">
      <w:pPr>
        <w:jc w:val="both"/>
        <w:rPr>
          <w:rFonts w:eastAsia="Times New Roman"/>
        </w:rPr>
      </w:pPr>
      <w:r>
        <w:rPr>
          <w:rFonts w:eastAsia="Times New Roman"/>
          <w:b/>
          <w:bCs/>
          <w:i/>
          <w:iCs/>
          <w:color w:val="000000"/>
          <w:sz w:val="20"/>
          <w:szCs w:val="20"/>
        </w:rPr>
        <w:t>Boa</w:t>
      </w:r>
      <w:r>
        <w:rPr>
          <w:rFonts w:eastAsia="Times New Roman"/>
          <w:b/>
          <w:bCs/>
          <w:i/>
          <w:iCs/>
          <w:color w:val="000000"/>
          <w:sz w:val="20"/>
          <w:szCs w:val="20"/>
        </w:rPr>
        <w:t>rd of Directors -</w:t>
      </w:r>
      <w:r>
        <w:rPr>
          <w:rFonts w:eastAsia="Times New Roman"/>
          <w:i/>
          <w:iCs/>
          <w:color w:val="000000"/>
          <w:sz w:val="20"/>
          <w:szCs w:val="20"/>
        </w:rPr>
        <w:t xml:space="preserve"> </w:t>
      </w:r>
      <w:r>
        <w:rPr>
          <w:rFonts w:eastAsia="Times New Roman"/>
          <w:color w:val="000000"/>
          <w:sz w:val="20"/>
          <w:szCs w:val="20"/>
        </w:rPr>
        <w:t>The board of directors of UGI</w:t>
      </w:r>
    </w:p>
    <w:p w14:paraId="141052D1" w14:textId="77777777" w:rsidR="00000000" w:rsidRDefault="00C1661D">
      <w:pPr>
        <w:jc w:val="both"/>
        <w:rPr>
          <w:rFonts w:eastAsia="Times New Roman"/>
        </w:rPr>
      </w:pPr>
    </w:p>
    <w:p w14:paraId="5145D060" w14:textId="77777777" w:rsidR="00000000" w:rsidRDefault="00C1661D">
      <w:pPr>
        <w:jc w:val="both"/>
        <w:rPr>
          <w:rFonts w:eastAsia="Times New Roman"/>
        </w:rPr>
      </w:pPr>
      <w:r>
        <w:rPr>
          <w:rFonts w:eastAsia="Times New Roman"/>
          <w:b/>
          <w:bCs/>
          <w:i/>
          <w:iCs/>
          <w:color w:val="000000"/>
          <w:sz w:val="20"/>
          <w:szCs w:val="20"/>
        </w:rPr>
        <w:t>Btu -</w:t>
      </w:r>
      <w:r>
        <w:rPr>
          <w:rFonts w:eastAsia="Times New Roman"/>
          <w:color w:val="000000"/>
          <w:sz w:val="20"/>
          <w:szCs w:val="20"/>
        </w:rPr>
        <w:t xml:space="preserve"> British thermal unit</w:t>
      </w:r>
    </w:p>
    <w:p w14:paraId="7E57D268" w14:textId="77777777" w:rsidR="00000000" w:rsidRDefault="00C1661D">
      <w:pPr>
        <w:jc w:val="both"/>
        <w:rPr>
          <w:rFonts w:eastAsia="Times New Roman"/>
        </w:rPr>
      </w:pPr>
    </w:p>
    <w:p w14:paraId="0A2FD054" w14:textId="77777777" w:rsidR="00000000" w:rsidRDefault="00C1661D">
      <w:pPr>
        <w:jc w:val="both"/>
        <w:rPr>
          <w:rFonts w:eastAsia="Times New Roman"/>
        </w:rPr>
      </w:pPr>
      <w:r>
        <w:rPr>
          <w:rFonts w:eastAsia="Times New Roman"/>
          <w:b/>
          <w:bCs/>
          <w:i/>
          <w:iCs/>
          <w:color w:val="000000"/>
          <w:sz w:val="20"/>
          <w:szCs w:val="20"/>
        </w:rPr>
        <w:t>CARES Act</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Coronavirus Aid, Relief, and Economic Security Act</w:t>
      </w:r>
    </w:p>
    <w:p w14:paraId="6757D365" w14:textId="77777777" w:rsidR="00000000" w:rsidRDefault="00C1661D">
      <w:pPr>
        <w:jc w:val="both"/>
        <w:rPr>
          <w:rFonts w:eastAsia="Times New Roman"/>
        </w:rPr>
      </w:pPr>
    </w:p>
    <w:p w14:paraId="2F55C254" w14:textId="77777777" w:rsidR="00000000" w:rsidRDefault="00C1661D">
      <w:pPr>
        <w:jc w:val="both"/>
        <w:rPr>
          <w:rFonts w:eastAsia="Times New Roman"/>
        </w:rPr>
      </w:pPr>
      <w:r>
        <w:rPr>
          <w:rFonts w:eastAsia="Times New Roman"/>
          <w:b/>
          <w:bCs/>
          <w:i/>
          <w:iCs/>
          <w:color w:val="000000"/>
          <w:sz w:val="20"/>
          <w:szCs w:val="20"/>
        </w:rPr>
        <w:t>CDC</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Centers for Disease Control and Prevention</w:t>
      </w:r>
    </w:p>
    <w:p w14:paraId="080CD4EE" w14:textId="77777777" w:rsidR="00000000" w:rsidRDefault="00C1661D">
      <w:pPr>
        <w:jc w:val="both"/>
        <w:rPr>
          <w:rFonts w:eastAsia="Times New Roman"/>
        </w:rPr>
      </w:pPr>
    </w:p>
    <w:p w14:paraId="6F515BB7" w14:textId="77777777" w:rsidR="00000000" w:rsidRDefault="00C1661D">
      <w:pPr>
        <w:jc w:val="both"/>
        <w:rPr>
          <w:rFonts w:eastAsia="Times New Roman"/>
        </w:rPr>
      </w:pPr>
      <w:r>
        <w:rPr>
          <w:rFonts w:eastAsia="Times New Roman"/>
          <w:b/>
          <w:bCs/>
          <w:i/>
          <w:iCs/>
          <w:color w:val="000000"/>
          <w:sz w:val="20"/>
          <w:szCs w:val="20"/>
        </w:rPr>
        <w:t>CERCLA -</w:t>
      </w:r>
      <w:r>
        <w:rPr>
          <w:rFonts w:eastAsia="Times New Roman"/>
          <w:color w:val="000000"/>
          <w:sz w:val="20"/>
          <w:szCs w:val="20"/>
        </w:rPr>
        <w:t xml:space="preserve"> Comprehensive Environmental Response, Compensation a</w:t>
      </w:r>
      <w:r>
        <w:rPr>
          <w:rFonts w:eastAsia="Times New Roman"/>
          <w:color w:val="000000"/>
          <w:sz w:val="20"/>
          <w:szCs w:val="20"/>
        </w:rPr>
        <w:t>nd Liability Act</w:t>
      </w:r>
    </w:p>
    <w:p w14:paraId="1F387099" w14:textId="77777777" w:rsidR="00000000" w:rsidRDefault="00C1661D">
      <w:pPr>
        <w:jc w:val="both"/>
        <w:rPr>
          <w:rFonts w:eastAsia="Times New Roman"/>
        </w:rPr>
      </w:pPr>
    </w:p>
    <w:p w14:paraId="53444D76" w14:textId="77777777" w:rsidR="00000000" w:rsidRDefault="00C1661D">
      <w:pPr>
        <w:jc w:val="both"/>
        <w:rPr>
          <w:rFonts w:eastAsia="Times New Roman"/>
        </w:rPr>
      </w:pPr>
      <w:r>
        <w:rPr>
          <w:rFonts w:eastAsia="Times New Roman"/>
          <w:b/>
          <w:bCs/>
          <w:i/>
          <w:iCs/>
          <w:color w:val="000000"/>
          <w:sz w:val="20"/>
          <w:szCs w:val="20"/>
        </w:rPr>
        <w:t>CFTC -</w:t>
      </w:r>
      <w:r>
        <w:rPr>
          <w:rFonts w:eastAsia="Times New Roman"/>
          <w:color w:val="000000"/>
          <w:sz w:val="20"/>
          <w:szCs w:val="20"/>
        </w:rPr>
        <w:t xml:space="preserve"> Commodity Futures Trading Commission</w:t>
      </w:r>
    </w:p>
    <w:p w14:paraId="7E5C8453" w14:textId="77777777" w:rsidR="00000000" w:rsidRDefault="00C1661D">
      <w:pPr>
        <w:jc w:val="both"/>
        <w:rPr>
          <w:rFonts w:eastAsia="Times New Roman"/>
        </w:rPr>
      </w:pPr>
    </w:p>
    <w:p w14:paraId="3E4D69E6" w14:textId="77777777" w:rsidR="00000000" w:rsidRDefault="00C1661D">
      <w:pPr>
        <w:jc w:val="both"/>
        <w:rPr>
          <w:rFonts w:eastAsia="Times New Roman"/>
        </w:rPr>
      </w:pPr>
      <w:r>
        <w:rPr>
          <w:rFonts w:eastAsia="Times New Roman"/>
          <w:b/>
          <w:bCs/>
          <w:i/>
          <w:iCs/>
          <w:color w:val="000000"/>
          <w:sz w:val="20"/>
          <w:szCs w:val="20"/>
        </w:rPr>
        <w:t>CMG Acquisition</w:t>
      </w:r>
      <w:r>
        <w:rPr>
          <w:rFonts w:eastAsia="Times New Roman"/>
          <w:b/>
          <w:bCs/>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Acquisition of Columbia Midstream Group, LLC and Columbia Pennant, LLC on August 1, 2019 pursuant to the CMG Acquisition Agreements</w:t>
      </w:r>
    </w:p>
    <w:p w14:paraId="3AE47F3C" w14:textId="77777777" w:rsidR="00000000" w:rsidRDefault="00C1661D">
      <w:pPr>
        <w:jc w:val="both"/>
        <w:rPr>
          <w:rFonts w:eastAsia="Times New Roman"/>
        </w:rPr>
      </w:pPr>
    </w:p>
    <w:p w14:paraId="6AF2031A" w14:textId="77777777" w:rsidR="00000000" w:rsidRDefault="00C1661D">
      <w:pPr>
        <w:jc w:val="both"/>
        <w:rPr>
          <w:rFonts w:eastAsia="Times New Roman"/>
        </w:rPr>
      </w:pPr>
      <w:r>
        <w:rPr>
          <w:rFonts w:eastAsia="Times New Roman"/>
          <w:b/>
          <w:bCs/>
          <w:i/>
          <w:iCs/>
          <w:color w:val="000000"/>
          <w:sz w:val="20"/>
          <w:szCs w:val="20"/>
        </w:rPr>
        <w:t>CMG Acquisition Agreements</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Agreements related to the CMG Acquisition comprising (1) a purchase and sale agreement related to the CMG acquisition, dated July 2, 2019, by and among Columbia Midstream &amp; Minerals Group, LLC, Energy Services, UGI and TransCan</w:t>
      </w:r>
      <w:r>
        <w:rPr>
          <w:rFonts w:eastAsia="Times New Roman"/>
          <w:color w:val="000000"/>
          <w:sz w:val="20"/>
          <w:szCs w:val="20"/>
        </w:rPr>
        <w:t>ada PipeLine USA Ltd., and (2) a purchase and sale agreement related to the Columbia Pennant, LLC acquisition, dated July 2, 2019, by and among Columbia Midstream &amp; Minerals Group, LLC, Energy Services, and TransCanada PipeLine USA Ltd.</w:t>
      </w:r>
    </w:p>
    <w:p w14:paraId="616DE245" w14:textId="77777777" w:rsidR="00000000" w:rsidRDefault="00C1661D">
      <w:pPr>
        <w:jc w:val="both"/>
        <w:rPr>
          <w:rFonts w:eastAsia="Times New Roman"/>
        </w:rPr>
      </w:pPr>
    </w:p>
    <w:p w14:paraId="4F8E6B93" w14:textId="77777777" w:rsidR="00000000" w:rsidRDefault="00C1661D">
      <w:pPr>
        <w:jc w:val="both"/>
        <w:rPr>
          <w:rFonts w:eastAsia="Times New Roman"/>
        </w:rPr>
      </w:pPr>
      <w:r>
        <w:rPr>
          <w:rFonts w:eastAsia="Times New Roman"/>
          <w:b/>
          <w:bCs/>
          <w:i/>
          <w:iCs/>
          <w:color w:val="000000"/>
          <w:sz w:val="20"/>
          <w:szCs w:val="20"/>
        </w:rPr>
        <w:t>COA -</w:t>
      </w:r>
      <w:r>
        <w:rPr>
          <w:rFonts w:eastAsia="Times New Roman"/>
          <w:color w:val="000000"/>
          <w:sz w:val="20"/>
          <w:szCs w:val="20"/>
        </w:rPr>
        <w:t xml:space="preserve"> Consent Ord</w:t>
      </w:r>
      <w:r>
        <w:rPr>
          <w:rFonts w:eastAsia="Times New Roman"/>
          <w:color w:val="000000"/>
          <w:sz w:val="20"/>
          <w:szCs w:val="20"/>
        </w:rPr>
        <w:t>er and Agreement</w:t>
      </w:r>
    </w:p>
    <w:p w14:paraId="25C1BF92" w14:textId="77777777" w:rsidR="00000000" w:rsidRDefault="00C1661D">
      <w:pPr>
        <w:jc w:val="both"/>
        <w:rPr>
          <w:rFonts w:eastAsia="Times New Roman"/>
        </w:rPr>
      </w:pPr>
    </w:p>
    <w:p w14:paraId="14DEFD5D" w14:textId="77777777" w:rsidR="00000000" w:rsidRDefault="00C1661D">
      <w:pPr>
        <w:jc w:val="both"/>
        <w:rPr>
          <w:rFonts w:eastAsia="Times New Roman"/>
        </w:rPr>
      </w:pPr>
      <w:r>
        <w:rPr>
          <w:rFonts w:eastAsia="Times New Roman"/>
          <w:b/>
          <w:bCs/>
          <w:i/>
          <w:iCs/>
          <w:color w:val="000000"/>
          <w:sz w:val="20"/>
          <w:szCs w:val="20"/>
        </w:rPr>
        <w:t>CODM -</w:t>
      </w:r>
      <w:r>
        <w:rPr>
          <w:rFonts w:eastAsia="Times New Roman"/>
          <w:color w:val="000000"/>
          <w:sz w:val="20"/>
          <w:szCs w:val="20"/>
        </w:rPr>
        <w:t xml:space="preserve"> Chief Operating Decision Maker as defined in ASC 280, “Segment Reporting”</w:t>
      </w:r>
    </w:p>
    <w:p w14:paraId="49AA8A8A" w14:textId="77777777" w:rsidR="00000000" w:rsidRDefault="00C1661D">
      <w:pPr>
        <w:jc w:val="both"/>
        <w:rPr>
          <w:rFonts w:eastAsia="Times New Roman"/>
        </w:rPr>
      </w:pPr>
    </w:p>
    <w:p w14:paraId="2E919AFD" w14:textId="77777777" w:rsidR="00000000" w:rsidRDefault="00C1661D">
      <w:pPr>
        <w:jc w:val="both"/>
        <w:rPr>
          <w:rFonts w:eastAsia="Times New Roman"/>
        </w:rPr>
      </w:pPr>
      <w:r>
        <w:rPr>
          <w:rFonts w:eastAsia="Times New Roman"/>
          <w:b/>
          <w:bCs/>
          <w:i/>
          <w:iCs/>
          <w:color w:val="000000"/>
          <w:sz w:val="20"/>
          <w:szCs w:val="20"/>
        </w:rPr>
        <w:t xml:space="preserve">Common Stock - </w:t>
      </w:r>
      <w:r>
        <w:rPr>
          <w:rFonts w:eastAsia="Times New Roman"/>
          <w:color w:val="000000"/>
          <w:sz w:val="20"/>
          <w:szCs w:val="20"/>
        </w:rPr>
        <w:t>Shares of UGI common stock</w:t>
      </w:r>
    </w:p>
    <w:p w14:paraId="22F3A0FF" w14:textId="77777777" w:rsidR="00000000" w:rsidRDefault="00C1661D">
      <w:pPr>
        <w:jc w:val="both"/>
        <w:rPr>
          <w:rFonts w:eastAsia="Times New Roman"/>
        </w:rPr>
      </w:pPr>
    </w:p>
    <w:p w14:paraId="77741C3E" w14:textId="77777777" w:rsidR="00000000" w:rsidRDefault="00C1661D">
      <w:pPr>
        <w:jc w:val="both"/>
        <w:rPr>
          <w:rFonts w:eastAsia="Times New Roman"/>
        </w:rPr>
      </w:pPr>
      <w:r>
        <w:rPr>
          <w:rFonts w:eastAsia="Times New Roman"/>
          <w:b/>
          <w:bCs/>
          <w:i/>
          <w:iCs/>
          <w:color w:val="000000"/>
          <w:sz w:val="20"/>
          <w:szCs w:val="20"/>
        </w:rPr>
        <w:t xml:space="preserve">Common Units - </w:t>
      </w:r>
      <w:r>
        <w:rPr>
          <w:rFonts w:eastAsia="Times New Roman"/>
          <w:color w:val="000000"/>
          <w:sz w:val="20"/>
          <w:szCs w:val="20"/>
        </w:rPr>
        <w:t>Limited partnership ownership interests in AmeriGas Partners</w:t>
      </w:r>
    </w:p>
    <w:p w14:paraId="3C6C6CE9" w14:textId="77777777" w:rsidR="00000000" w:rsidRDefault="00C1661D">
      <w:pPr>
        <w:jc w:val="both"/>
        <w:rPr>
          <w:rFonts w:eastAsia="Times New Roman"/>
        </w:rPr>
      </w:pPr>
    </w:p>
    <w:p w14:paraId="269B0030" w14:textId="77777777" w:rsidR="00000000" w:rsidRDefault="00C1661D">
      <w:pPr>
        <w:jc w:val="both"/>
        <w:rPr>
          <w:rFonts w:eastAsia="Times New Roman"/>
        </w:rPr>
      </w:pPr>
      <w:r>
        <w:rPr>
          <w:rFonts w:eastAsia="Times New Roman"/>
          <w:b/>
          <w:bCs/>
          <w:i/>
          <w:iCs/>
          <w:color w:val="000000"/>
          <w:sz w:val="20"/>
          <w:szCs w:val="20"/>
        </w:rPr>
        <w:t>Conemaugh -</w:t>
      </w:r>
      <w:r>
        <w:rPr>
          <w:rFonts w:eastAsia="Times New Roman"/>
          <w:color w:val="000000"/>
          <w:sz w:val="20"/>
          <w:szCs w:val="20"/>
        </w:rPr>
        <w:t xml:space="preserve"> Conemaugh generation station, a 1,711-megawatt, coal-fired electricity generation station located near Johnstown, Pennsylvania</w:t>
      </w:r>
    </w:p>
    <w:p w14:paraId="2362E73D" w14:textId="77777777" w:rsidR="00000000" w:rsidRDefault="00C1661D">
      <w:pPr>
        <w:jc w:val="both"/>
        <w:rPr>
          <w:rFonts w:eastAsia="Times New Roman"/>
        </w:rPr>
      </w:pPr>
    </w:p>
    <w:p w14:paraId="244DD2AC" w14:textId="77777777" w:rsidR="00000000" w:rsidRDefault="00C1661D">
      <w:pPr>
        <w:jc w:val="both"/>
        <w:rPr>
          <w:rFonts w:eastAsia="Times New Roman"/>
        </w:rPr>
      </w:pPr>
      <w:r>
        <w:rPr>
          <w:rFonts w:eastAsia="Times New Roman"/>
          <w:b/>
          <w:bCs/>
          <w:i/>
          <w:iCs/>
          <w:color w:val="000000"/>
          <w:sz w:val="20"/>
          <w:szCs w:val="20"/>
        </w:rPr>
        <w:t>Convertible Preferred Stock</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Preferred stock of UGI</w:t>
      </w:r>
      <w:r>
        <w:rPr>
          <w:rFonts w:eastAsia="Times New Roman"/>
          <w:color w:val="000000"/>
          <w:sz w:val="20"/>
          <w:szCs w:val="20"/>
        </w:rPr>
        <w:t xml:space="preserve"> titled 0.125% series A cumulative perpetual convertible preferred stock without par value and having a liquidation preference of $1,000 per share</w:t>
      </w:r>
    </w:p>
    <w:p w14:paraId="5897DD36" w14:textId="77777777" w:rsidR="00000000" w:rsidRDefault="00C1661D">
      <w:pPr>
        <w:jc w:val="center"/>
        <w:divId w:val="972979622"/>
        <w:rPr>
          <w:rFonts w:eastAsia="Times New Roman"/>
        </w:rPr>
      </w:pPr>
      <w:r>
        <w:rPr>
          <w:rFonts w:eastAsia="Times New Roman"/>
          <w:color w:val="000000"/>
          <w:sz w:val="20"/>
          <w:szCs w:val="20"/>
        </w:rPr>
        <w:t>4</w:t>
      </w:r>
    </w:p>
    <w:p w14:paraId="550E3A75" w14:textId="77777777" w:rsidR="00000000" w:rsidRDefault="00C1661D">
      <w:pPr>
        <w:rPr>
          <w:rFonts w:eastAsia="Times New Roman"/>
        </w:rPr>
      </w:pPr>
      <w:r>
        <w:rPr>
          <w:rFonts w:eastAsia="Times New Roman"/>
        </w:rPr>
        <w:pict w14:anchorId="468330DE">
          <v:rect id="_x0000_i1029" style="width:0;height:1.5pt" o:hralign="center" o:hrstd="t" o:hr="t" fillcolor="#a0a0a0" stroked="f"/>
        </w:pict>
      </w:r>
    </w:p>
    <w:p w14:paraId="1DE56C2E" w14:textId="77777777" w:rsidR="00000000" w:rsidRDefault="00C1661D">
      <w:pPr>
        <w:divId w:val="2019311807"/>
        <w:rPr>
          <w:rFonts w:eastAsia="Times New Roman"/>
        </w:rPr>
      </w:pPr>
      <w:hyperlink w:anchor="i3850c3c6c0104e42b9951aac2f16098a_7" w:history="1">
        <w:r>
          <w:rPr>
            <w:rStyle w:val="a3"/>
            <w:rFonts w:eastAsia="Times New Roman"/>
            <w:b/>
            <w:bCs/>
            <w:sz w:val="20"/>
            <w:szCs w:val="20"/>
          </w:rPr>
          <w:t>Table of Con</w:t>
        </w:r>
        <w:r>
          <w:rPr>
            <w:rStyle w:val="a3"/>
            <w:rFonts w:eastAsia="Times New Roman"/>
            <w:b/>
            <w:bCs/>
            <w:sz w:val="20"/>
            <w:szCs w:val="20"/>
          </w:rPr>
          <w:t>tents</w:t>
        </w:r>
      </w:hyperlink>
    </w:p>
    <w:p w14:paraId="0573D3BE" w14:textId="77777777" w:rsidR="00000000" w:rsidRDefault="00C1661D">
      <w:pPr>
        <w:jc w:val="both"/>
        <w:rPr>
          <w:rFonts w:eastAsia="Times New Roman"/>
        </w:rPr>
      </w:pPr>
    </w:p>
    <w:p w14:paraId="478EC7E3" w14:textId="77777777" w:rsidR="00000000" w:rsidRDefault="00C1661D">
      <w:pPr>
        <w:jc w:val="both"/>
        <w:rPr>
          <w:rFonts w:eastAsia="Times New Roman"/>
        </w:rPr>
      </w:pPr>
      <w:r>
        <w:rPr>
          <w:rFonts w:eastAsia="Times New Roman"/>
          <w:b/>
          <w:bCs/>
          <w:i/>
          <w:iCs/>
          <w:color w:val="000000"/>
          <w:sz w:val="20"/>
          <w:szCs w:val="20"/>
        </w:rPr>
        <w:t xml:space="preserve">Core market - </w:t>
      </w:r>
      <w:r>
        <w:rPr>
          <w:rFonts w:eastAsia="Times New Roman"/>
          <w:color w:val="000000"/>
          <w:sz w:val="20"/>
          <w:szCs w:val="20"/>
        </w:rPr>
        <w:t>Comprises (1) firm residential, commercial and industrial customers to whom Utilities has a statutory obligation to provide service who purchase their natural gas or electricity from Utilities; and (2) residential, commercial and indu</w:t>
      </w:r>
      <w:r>
        <w:rPr>
          <w:rFonts w:eastAsia="Times New Roman"/>
          <w:color w:val="000000"/>
          <w:sz w:val="20"/>
          <w:szCs w:val="20"/>
        </w:rPr>
        <w:t>strial customers to whom Utilities has a statutory obligation to provide service who purchase their natural gas or electricity from others</w:t>
      </w:r>
    </w:p>
    <w:p w14:paraId="4B971B38" w14:textId="77777777" w:rsidR="00000000" w:rsidRDefault="00C1661D">
      <w:pPr>
        <w:jc w:val="both"/>
        <w:rPr>
          <w:rFonts w:eastAsia="Times New Roman"/>
        </w:rPr>
      </w:pPr>
    </w:p>
    <w:p w14:paraId="7EFBFF51" w14:textId="77777777" w:rsidR="00000000" w:rsidRDefault="00C1661D">
      <w:pPr>
        <w:jc w:val="both"/>
        <w:rPr>
          <w:rFonts w:eastAsia="Times New Roman"/>
        </w:rPr>
      </w:pPr>
      <w:r>
        <w:rPr>
          <w:rFonts w:eastAsia="Times New Roman"/>
          <w:b/>
          <w:bCs/>
          <w:i/>
          <w:iCs/>
          <w:color w:val="000000"/>
          <w:sz w:val="20"/>
          <w:szCs w:val="20"/>
        </w:rPr>
        <w:t>COVID-19</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 novel strain of coronavirus disease discovered in 2019</w:t>
      </w:r>
    </w:p>
    <w:p w14:paraId="247ECDAC" w14:textId="77777777" w:rsidR="00000000" w:rsidRDefault="00C1661D">
      <w:pPr>
        <w:jc w:val="both"/>
        <w:rPr>
          <w:rFonts w:eastAsia="Times New Roman"/>
        </w:rPr>
      </w:pPr>
    </w:p>
    <w:p w14:paraId="2FA51414" w14:textId="77777777" w:rsidR="00000000" w:rsidRDefault="00C1661D">
      <w:pPr>
        <w:jc w:val="both"/>
        <w:rPr>
          <w:rFonts w:eastAsia="Times New Roman"/>
        </w:rPr>
      </w:pPr>
      <w:r>
        <w:rPr>
          <w:rFonts w:eastAsia="Times New Roman"/>
          <w:b/>
          <w:bCs/>
          <w:i/>
          <w:iCs/>
          <w:color w:val="000000"/>
          <w:sz w:val="20"/>
          <w:szCs w:val="20"/>
        </w:rPr>
        <w:t>DOT -</w:t>
      </w:r>
      <w:r>
        <w:rPr>
          <w:rFonts w:eastAsia="Times New Roman"/>
          <w:color w:val="000000"/>
          <w:sz w:val="20"/>
          <w:szCs w:val="20"/>
        </w:rPr>
        <w:t xml:space="preserve"> U.S. Department of Transportation      </w:t>
      </w:r>
      <w:r>
        <w:rPr>
          <w:rFonts w:eastAsia="Times New Roman"/>
          <w:color w:val="000000"/>
          <w:sz w:val="20"/>
          <w:szCs w:val="20"/>
        </w:rPr>
        <w:t>  </w:t>
      </w:r>
    </w:p>
    <w:p w14:paraId="6B001FE0" w14:textId="77777777" w:rsidR="00000000" w:rsidRDefault="00C1661D">
      <w:pPr>
        <w:jc w:val="both"/>
        <w:rPr>
          <w:rFonts w:eastAsia="Times New Roman"/>
        </w:rPr>
      </w:pPr>
    </w:p>
    <w:p w14:paraId="7ED3C1B1" w14:textId="77777777" w:rsidR="00000000" w:rsidRDefault="00C1661D">
      <w:pPr>
        <w:jc w:val="both"/>
        <w:rPr>
          <w:rFonts w:eastAsia="Times New Roman"/>
        </w:rPr>
      </w:pPr>
      <w:r>
        <w:rPr>
          <w:rFonts w:eastAsia="Times New Roman"/>
          <w:b/>
          <w:bCs/>
          <w:i/>
          <w:iCs/>
          <w:color w:val="000000"/>
          <w:sz w:val="20"/>
          <w:szCs w:val="20"/>
        </w:rPr>
        <w:t>DSIC -</w:t>
      </w:r>
      <w:r>
        <w:rPr>
          <w:rFonts w:eastAsia="Times New Roman"/>
          <w:color w:val="000000"/>
          <w:sz w:val="20"/>
          <w:szCs w:val="20"/>
        </w:rPr>
        <w:t xml:space="preserve"> Distribution System Improvement Charge</w:t>
      </w:r>
    </w:p>
    <w:p w14:paraId="1CBAA41B" w14:textId="77777777" w:rsidR="00000000" w:rsidRDefault="00C1661D">
      <w:pPr>
        <w:jc w:val="both"/>
        <w:rPr>
          <w:rFonts w:eastAsia="Times New Roman"/>
        </w:rPr>
      </w:pPr>
    </w:p>
    <w:p w14:paraId="3F365C93" w14:textId="77777777" w:rsidR="00000000" w:rsidRDefault="00C1661D">
      <w:pPr>
        <w:jc w:val="both"/>
        <w:rPr>
          <w:rFonts w:eastAsia="Times New Roman"/>
        </w:rPr>
      </w:pPr>
      <w:r>
        <w:rPr>
          <w:rFonts w:eastAsia="Times New Roman"/>
          <w:b/>
          <w:bCs/>
          <w:i/>
          <w:iCs/>
          <w:color w:val="000000"/>
          <w:sz w:val="20"/>
          <w:szCs w:val="20"/>
        </w:rPr>
        <w:t xml:space="preserve">Energy Services Credit Agreement - </w:t>
      </w:r>
      <w:r>
        <w:rPr>
          <w:rFonts w:eastAsia="Times New Roman"/>
          <w:color w:val="000000"/>
          <w:sz w:val="20"/>
          <w:szCs w:val="20"/>
        </w:rPr>
        <w:t>Third amended and restated credit agreement entered into by Energy Services, as borrower, providing for borrowings up to $260 million, including a letter or credit subf</w:t>
      </w:r>
      <w:r>
        <w:rPr>
          <w:rFonts w:eastAsia="Times New Roman"/>
          <w:color w:val="000000"/>
          <w:sz w:val="20"/>
          <w:szCs w:val="20"/>
        </w:rPr>
        <w:t>acility of up to $50 million, scheduled to expire in March 2025</w:t>
      </w:r>
    </w:p>
    <w:p w14:paraId="238A5928" w14:textId="77777777" w:rsidR="00000000" w:rsidRDefault="00C1661D">
      <w:pPr>
        <w:jc w:val="both"/>
        <w:rPr>
          <w:rFonts w:eastAsia="Times New Roman"/>
        </w:rPr>
      </w:pPr>
    </w:p>
    <w:p w14:paraId="0D8B20A3" w14:textId="77777777" w:rsidR="00000000" w:rsidRDefault="00C1661D">
      <w:pPr>
        <w:jc w:val="both"/>
        <w:rPr>
          <w:rFonts w:eastAsia="Times New Roman"/>
        </w:rPr>
      </w:pPr>
      <w:r>
        <w:rPr>
          <w:rFonts w:eastAsia="Times New Roman"/>
          <w:b/>
          <w:bCs/>
          <w:i/>
          <w:iCs/>
          <w:color w:val="000000"/>
          <w:sz w:val="20"/>
          <w:szCs w:val="20"/>
        </w:rPr>
        <w:t>EPACT 2005 -</w:t>
      </w:r>
      <w:r>
        <w:rPr>
          <w:rFonts w:eastAsia="Times New Roman"/>
          <w:color w:val="000000"/>
          <w:sz w:val="20"/>
          <w:szCs w:val="20"/>
        </w:rPr>
        <w:t xml:space="preserve"> Energy Policy Act of 2005</w:t>
      </w:r>
    </w:p>
    <w:p w14:paraId="2D6FBD2C" w14:textId="77777777" w:rsidR="00000000" w:rsidRDefault="00C1661D">
      <w:pPr>
        <w:jc w:val="both"/>
        <w:rPr>
          <w:rFonts w:eastAsia="Times New Roman"/>
        </w:rPr>
      </w:pPr>
    </w:p>
    <w:p w14:paraId="32B8FE0D" w14:textId="77777777" w:rsidR="00000000" w:rsidRDefault="00C1661D">
      <w:pPr>
        <w:jc w:val="both"/>
        <w:rPr>
          <w:rFonts w:eastAsia="Times New Roman"/>
        </w:rPr>
      </w:pPr>
      <w:r>
        <w:rPr>
          <w:rFonts w:eastAsia="Times New Roman"/>
          <w:b/>
          <w:bCs/>
          <w:i/>
          <w:iCs/>
          <w:color w:val="000000"/>
          <w:sz w:val="20"/>
          <w:szCs w:val="20"/>
        </w:rPr>
        <w:t xml:space="preserve">ERISA - </w:t>
      </w:r>
      <w:r>
        <w:rPr>
          <w:rFonts w:eastAsia="Times New Roman"/>
          <w:color w:val="000000"/>
          <w:sz w:val="20"/>
          <w:szCs w:val="20"/>
        </w:rPr>
        <w:t>Employee Retirement Income Security Act of 1974</w:t>
      </w:r>
    </w:p>
    <w:p w14:paraId="7DF713FB" w14:textId="77777777" w:rsidR="00000000" w:rsidRDefault="00C1661D">
      <w:pPr>
        <w:jc w:val="both"/>
        <w:rPr>
          <w:rFonts w:eastAsia="Times New Roman"/>
        </w:rPr>
      </w:pPr>
    </w:p>
    <w:p w14:paraId="0AC68D88" w14:textId="77777777" w:rsidR="00000000" w:rsidRDefault="00C1661D">
      <w:pPr>
        <w:jc w:val="both"/>
        <w:rPr>
          <w:rFonts w:eastAsia="Times New Roman"/>
        </w:rPr>
      </w:pPr>
      <w:r>
        <w:rPr>
          <w:rFonts w:eastAsia="Times New Roman"/>
          <w:b/>
          <w:bCs/>
          <w:i/>
          <w:iCs/>
          <w:color w:val="000000"/>
          <w:sz w:val="20"/>
          <w:szCs w:val="20"/>
        </w:rPr>
        <w:t>ERO -</w:t>
      </w:r>
      <w:r>
        <w:rPr>
          <w:rFonts w:eastAsia="Times New Roman"/>
          <w:color w:val="000000"/>
          <w:sz w:val="20"/>
          <w:szCs w:val="20"/>
        </w:rPr>
        <w:t xml:space="preserve"> Electric Reliability Organization</w:t>
      </w:r>
    </w:p>
    <w:p w14:paraId="7E304BEE" w14:textId="77777777" w:rsidR="00000000" w:rsidRDefault="00C1661D">
      <w:pPr>
        <w:jc w:val="both"/>
        <w:rPr>
          <w:rFonts w:eastAsia="Times New Roman"/>
        </w:rPr>
      </w:pPr>
    </w:p>
    <w:p w14:paraId="1DDDEC23" w14:textId="77777777" w:rsidR="00000000" w:rsidRDefault="00C1661D">
      <w:pPr>
        <w:jc w:val="both"/>
        <w:rPr>
          <w:rFonts w:eastAsia="Times New Roman"/>
        </w:rPr>
      </w:pPr>
      <w:r>
        <w:rPr>
          <w:rFonts w:eastAsia="Times New Roman"/>
          <w:b/>
          <w:bCs/>
          <w:i/>
          <w:iCs/>
          <w:color w:val="000000"/>
          <w:sz w:val="20"/>
          <w:szCs w:val="20"/>
        </w:rPr>
        <w:t>EU -</w:t>
      </w:r>
      <w:r>
        <w:rPr>
          <w:rFonts w:eastAsia="Times New Roman"/>
          <w:color w:val="000000"/>
          <w:sz w:val="20"/>
          <w:szCs w:val="20"/>
        </w:rPr>
        <w:t xml:space="preserve"> European Union</w:t>
      </w:r>
    </w:p>
    <w:p w14:paraId="65B8CC29" w14:textId="77777777" w:rsidR="00000000" w:rsidRDefault="00C1661D">
      <w:pPr>
        <w:jc w:val="both"/>
        <w:rPr>
          <w:rFonts w:eastAsia="Times New Roman"/>
        </w:rPr>
      </w:pPr>
    </w:p>
    <w:p w14:paraId="7D7D2BBD" w14:textId="77777777" w:rsidR="00000000" w:rsidRDefault="00C1661D">
      <w:pPr>
        <w:jc w:val="both"/>
        <w:rPr>
          <w:rFonts w:eastAsia="Times New Roman"/>
        </w:rPr>
      </w:pPr>
      <w:r>
        <w:rPr>
          <w:rFonts w:eastAsia="Times New Roman"/>
          <w:b/>
          <w:bCs/>
          <w:i/>
          <w:iCs/>
          <w:color w:val="000000"/>
          <w:sz w:val="20"/>
          <w:szCs w:val="20"/>
        </w:rPr>
        <w:t>Equity Unit Agreements</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Collection of agreements governing the rights, privileges and obligations of the holders of the Equity Units and UGI as issuer of the Equity Units, which were filed with the SEC on Form 8-K on May 25, 2021</w:t>
      </w:r>
    </w:p>
    <w:p w14:paraId="4603F29D" w14:textId="77777777" w:rsidR="00000000" w:rsidRDefault="00C1661D">
      <w:pPr>
        <w:jc w:val="both"/>
        <w:rPr>
          <w:rFonts w:eastAsia="Times New Roman"/>
        </w:rPr>
      </w:pPr>
    </w:p>
    <w:p w14:paraId="207F3BBE" w14:textId="77777777" w:rsidR="00000000" w:rsidRDefault="00C1661D">
      <w:pPr>
        <w:jc w:val="both"/>
        <w:rPr>
          <w:rFonts w:eastAsia="Times New Roman"/>
        </w:rPr>
      </w:pPr>
      <w:r>
        <w:rPr>
          <w:rFonts w:eastAsia="Times New Roman"/>
          <w:b/>
          <w:bCs/>
          <w:i/>
          <w:iCs/>
          <w:color w:val="000000"/>
          <w:sz w:val="20"/>
          <w:szCs w:val="20"/>
        </w:rPr>
        <w:t>Equity Unit</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 corpora</w:t>
      </w:r>
      <w:r>
        <w:rPr>
          <w:rFonts w:eastAsia="Times New Roman"/>
          <w:color w:val="000000"/>
          <w:sz w:val="20"/>
          <w:szCs w:val="20"/>
        </w:rPr>
        <w:t>te unit consisting of a 2024 Purchase Contract and 1/10th or 10% undivided interest in one share of Convertible Preferred Stock</w:t>
      </w:r>
    </w:p>
    <w:p w14:paraId="4C239F2C" w14:textId="77777777" w:rsidR="00000000" w:rsidRDefault="00C1661D">
      <w:pPr>
        <w:jc w:val="both"/>
        <w:rPr>
          <w:rFonts w:eastAsia="Times New Roman"/>
        </w:rPr>
      </w:pPr>
    </w:p>
    <w:p w14:paraId="0D9E28D7" w14:textId="77777777" w:rsidR="00000000" w:rsidRDefault="00C1661D">
      <w:pPr>
        <w:jc w:val="both"/>
        <w:rPr>
          <w:rFonts w:eastAsia="Times New Roman"/>
        </w:rPr>
      </w:pPr>
      <w:r>
        <w:rPr>
          <w:rFonts w:eastAsia="Times New Roman"/>
          <w:b/>
          <w:bCs/>
          <w:i/>
          <w:iCs/>
          <w:color w:val="000000"/>
          <w:sz w:val="20"/>
          <w:szCs w:val="20"/>
        </w:rPr>
        <w:t>Exchange Act -</w:t>
      </w:r>
      <w:r>
        <w:rPr>
          <w:rFonts w:eastAsia="Times New Roman"/>
          <w:color w:val="000000"/>
          <w:sz w:val="20"/>
          <w:szCs w:val="20"/>
        </w:rPr>
        <w:t xml:space="preserve"> Securities Exchange Act of 1934, as amended</w:t>
      </w:r>
    </w:p>
    <w:p w14:paraId="07916905" w14:textId="77777777" w:rsidR="00000000" w:rsidRDefault="00C1661D">
      <w:pPr>
        <w:jc w:val="both"/>
        <w:rPr>
          <w:rFonts w:eastAsia="Times New Roman"/>
        </w:rPr>
      </w:pPr>
    </w:p>
    <w:p w14:paraId="70769F08" w14:textId="77777777" w:rsidR="00000000" w:rsidRDefault="00C1661D">
      <w:pPr>
        <w:jc w:val="both"/>
        <w:rPr>
          <w:rFonts w:eastAsia="Times New Roman"/>
        </w:rPr>
      </w:pPr>
      <w:r>
        <w:rPr>
          <w:rFonts w:eastAsia="Times New Roman"/>
          <w:b/>
          <w:bCs/>
          <w:i/>
          <w:iCs/>
          <w:color w:val="000000"/>
          <w:sz w:val="20"/>
          <w:szCs w:val="20"/>
        </w:rPr>
        <w:t>FDIC -</w:t>
      </w:r>
      <w:r>
        <w:rPr>
          <w:rFonts w:eastAsia="Times New Roman"/>
          <w:color w:val="000000"/>
          <w:sz w:val="20"/>
          <w:szCs w:val="20"/>
        </w:rPr>
        <w:t xml:space="preserve"> </w:t>
      </w:r>
      <w:r>
        <w:rPr>
          <w:rFonts w:eastAsia="Times New Roman"/>
          <w:color w:val="000000"/>
          <w:sz w:val="20"/>
          <w:szCs w:val="20"/>
        </w:rPr>
        <w:t>Federal Deposit Insurance Corporation</w:t>
      </w:r>
    </w:p>
    <w:p w14:paraId="11BFFB48" w14:textId="77777777" w:rsidR="00000000" w:rsidRDefault="00C1661D">
      <w:pPr>
        <w:jc w:val="both"/>
        <w:rPr>
          <w:rFonts w:eastAsia="Times New Roman"/>
        </w:rPr>
      </w:pPr>
    </w:p>
    <w:p w14:paraId="0D17B8EC" w14:textId="77777777" w:rsidR="00000000" w:rsidRDefault="00C1661D">
      <w:pPr>
        <w:jc w:val="both"/>
        <w:rPr>
          <w:rFonts w:eastAsia="Times New Roman"/>
        </w:rPr>
      </w:pPr>
      <w:r>
        <w:rPr>
          <w:rFonts w:eastAsia="Times New Roman"/>
          <w:b/>
          <w:bCs/>
          <w:i/>
          <w:iCs/>
          <w:color w:val="000000"/>
          <w:sz w:val="20"/>
          <w:szCs w:val="20"/>
        </w:rPr>
        <w:t>FERC -</w:t>
      </w:r>
      <w:r>
        <w:rPr>
          <w:rFonts w:eastAsia="Times New Roman"/>
          <w:color w:val="000000"/>
          <w:sz w:val="20"/>
          <w:szCs w:val="20"/>
        </w:rPr>
        <w:t xml:space="preserve"> Federal Energy Regulatory Commission</w:t>
      </w:r>
    </w:p>
    <w:p w14:paraId="621DFF50" w14:textId="77777777" w:rsidR="00000000" w:rsidRDefault="00C1661D">
      <w:pPr>
        <w:jc w:val="both"/>
        <w:rPr>
          <w:rFonts w:eastAsia="Times New Roman"/>
        </w:rPr>
      </w:pPr>
    </w:p>
    <w:p w14:paraId="33D88824" w14:textId="77777777" w:rsidR="00000000" w:rsidRDefault="00C1661D">
      <w:pPr>
        <w:jc w:val="both"/>
        <w:rPr>
          <w:rFonts w:eastAsia="Times New Roman"/>
        </w:rPr>
      </w:pPr>
      <w:r>
        <w:rPr>
          <w:rFonts w:eastAsia="Times New Roman"/>
          <w:b/>
          <w:bCs/>
          <w:i/>
          <w:iCs/>
          <w:color w:val="000000"/>
          <w:sz w:val="20"/>
          <w:szCs w:val="20"/>
        </w:rPr>
        <w:t>FIFO</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First-in, first-out inventory valuation method</w:t>
      </w:r>
    </w:p>
    <w:p w14:paraId="14EB8C05" w14:textId="77777777" w:rsidR="00000000" w:rsidRDefault="00C1661D">
      <w:pPr>
        <w:jc w:val="both"/>
        <w:rPr>
          <w:rFonts w:eastAsia="Times New Roman"/>
        </w:rPr>
      </w:pPr>
    </w:p>
    <w:p w14:paraId="2B676579" w14:textId="77777777" w:rsidR="00000000" w:rsidRDefault="00C1661D">
      <w:pPr>
        <w:divId w:val="1352798974"/>
        <w:rPr>
          <w:rFonts w:eastAsia="Times New Roman"/>
        </w:rPr>
      </w:pPr>
      <w:r>
        <w:rPr>
          <w:rFonts w:eastAsia="Times New Roman"/>
          <w:b/>
          <w:bCs/>
          <w:i/>
          <w:iCs/>
          <w:color w:val="000000"/>
          <w:sz w:val="20"/>
          <w:szCs w:val="20"/>
        </w:rPr>
        <w:t>Fiscal 2019</w:t>
      </w:r>
      <w:r>
        <w:rPr>
          <w:rFonts w:eastAsia="Times New Roman"/>
          <w:color w:val="000000"/>
          <w:sz w:val="20"/>
          <w:szCs w:val="20"/>
        </w:rPr>
        <w:t xml:space="preserve"> </w:t>
      </w:r>
      <w:r>
        <w:rPr>
          <w:rFonts w:eastAsia="Times New Roman"/>
          <w:b/>
          <w:bCs/>
          <w:i/>
          <w:iCs/>
          <w:color w:val="000000"/>
          <w:sz w:val="20"/>
          <w:szCs w:val="20"/>
        </w:rPr>
        <w:t xml:space="preserve">- </w:t>
      </w:r>
      <w:r>
        <w:rPr>
          <w:rFonts w:eastAsia="Times New Roman"/>
          <w:color w:val="000000"/>
          <w:sz w:val="20"/>
          <w:szCs w:val="20"/>
        </w:rPr>
        <w:t>The fiscal year ended September 30, 2019</w:t>
      </w:r>
    </w:p>
    <w:p w14:paraId="38AC9BA3" w14:textId="77777777" w:rsidR="00000000" w:rsidRDefault="00C1661D">
      <w:pPr>
        <w:divId w:val="774599606"/>
        <w:rPr>
          <w:rFonts w:eastAsia="Times New Roman"/>
        </w:rPr>
      </w:pPr>
    </w:p>
    <w:p w14:paraId="50DB9D65" w14:textId="77777777" w:rsidR="00000000" w:rsidRDefault="00C1661D">
      <w:pPr>
        <w:divId w:val="870147187"/>
        <w:rPr>
          <w:rFonts w:eastAsia="Times New Roman"/>
        </w:rPr>
      </w:pPr>
      <w:r>
        <w:rPr>
          <w:rFonts w:eastAsia="Times New Roman"/>
          <w:b/>
          <w:bCs/>
          <w:i/>
          <w:iCs/>
          <w:color w:val="000000"/>
          <w:sz w:val="20"/>
          <w:szCs w:val="20"/>
        </w:rPr>
        <w:t>Fiscal 2020</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fiscal year ended September 30, 2020</w:t>
      </w:r>
    </w:p>
    <w:p w14:paraId="14321C16" w14:textId="77777777" w:rsidR="00000000" w:rsidRDefault="00C1661D">
      <w:pPr>
        <w:divId w:val="707998719"/>
        <w:rPr>
          <w:rFonts w:eastAsia="Times New Roman"/>
        </w:rPr>
      </w:pPr>
    </w:p>
    <w:p w14:paraId="616C3D26" w14:textId="77777777" w:rsidR="00000000" w:rsidRDefault="00C1661D">
      <w:pPr>
        <w:divId w:val="1716192795"/>
        <w:rPr>
          <w:rFonts w:eastAsia="Times New Roman"/>
        </w:rPr>
      </w:pPr>
      <w:r>
        <w:rPr>
          <w:rFonts w:eastAsia="Times New Roman"/>
          <w:b/>
          <w:bCs/>
          <w:i/>
          <w:iCs/>
          <w:color w:val="000000"/>
          <w:sz w:val="20"/>
          <w:szCs w:val="20"/>
        </w:rPr>
        <w:t>Fiscal 2021</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fiscal year ended September 30, 2021</w:t>
      </w:r>
    </w:p>
    <w:p w14:paraId="1072CDBF" w14:textId="77777777" w:rsidR="00000000" w:rsidRDefault="00C1661D">
      <w:pPr>
        <w:divId w:val="1047294106"/>
        <w:rPr>
          <w:rFonts w:eastAsia="Times New Roman"/>
        </w:rPr>
      </w:pPr>
    </w:p>
    <w:p w14:paraId="1F4BE44B" w14:textId="77777777" w:rsidR="00000000" w:rsidRDefault="00C1661D">
      <w:pPr>
        <w:divId w:val="1530027249"/>
        <w:rPr>
          <w:rFonts w:eastAsia="Times New Roman"/>
        </w:rPr>
      </w:pPr>
      <w:r>
        <w:rPr>
          <w:rFonts w:eastAsia="Times New Roman"/>
          <w:b/>
          <w:bCs/>
          <w:i/>
          <w:iCs/>
          <w:color w:val="000000"/>
          <w:sz w:val="20"/>
          <w:szCs w:val="20"/>
        </w:rPr>
        <w:t>Fiscal 2022</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fiscal year ended September 30, 2022</w:t>
      </w:r>
    </w:p>
    <w:p w14:paraId="3D81C4CC" w14:textId="77777777" w:rsidR="00000000" w:rsidRDefault="00C1661D">
      <w:pPr>
        <w:divId w:val="619917522"/>
        <w:rPr>
          <w:rFonts w:eastAsia="Times New Roman"/>
        </w:rPr>
      </w:pPr>
    </w:p>
    <w:p w14:paraId="36679EC0" w14:textId="77777777" w:rsidR="00000000" w:rsidRDefault="00C1661D">
      <w:pPr>
        <w:jc w:val="both"/>
        <w:rPr>
          <w:rFonts w:eastAsia="Times New Roman"/>
        </w:rPr>
      </w:pPr>
      <w:r>
        <w:rPr>
          <w:rFonts w:eastAsia="Times New Roman"/>
          <w:b/>
          <w:bCs/>
          <w:i/>
          <w:iCs/>
          <w:color w:val="000000"/>
          <w:sz w:val="20"/>
          <w:szCs w:val="20"/>
        </w:rPr>
        <w:t>Fiscal 2023</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fiscal year ending September 30, 2023</w:t>
      </w:r>
    </w:p>
    <w:p w14:paraId="40420105" w14:textId="77777777" w:rsidR="00000000" w:rsidRDefault="00C1661D">
      <w:pPr>
        <w:jc w:val="both"/>
        <w:rPr>
          <w:rFonts w:eastAsia="Times New Roman"/>
        </w:rPr>
      </w:pPr>
    </w:p>
    <w:p w14:paraId="3F2DEB6B" w14:textId="77777777" w:rsidR="00000000" w:rsidRDefault="00C1661D">
      <w:pPr>
        <w:jc w:val="both"/>
        <w:rPr>
          <w:rFonts w:eastAsia="Times New Roman"/>
        </w:rPr>
      </w:pPr>
      <w:r>
        <w:rPr>
          <w:rFonts w:eastAsia="Times New Roman"/>
          <w:b/>
          <w:bCs/>
          <w:i/>
          <w:iCs/>
          <w:color w:val="000000"/>
          <w:sz w:val="20"/>
          <w:szCs w:val="20"/>
        </w:rPr>
        <w:t>Fiscal 2024</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w:t>
      </w:r>
      <w:r>
        <w:rPr>
          <w:rFonts w:eastAsia="Times New Roman"/>
          <w:color w:val="000000"/>
          <w:sz w:val="20"/>
          <w:szCs w:val="20"/>
        </w:rPr>
        <w:t>The fiscal year ending September 30, 2024</w:t>
      </w:r>
    </w:p>
    <w:p w14:paraId="5FAD301A" w14:textId="77777777" w:rsidR="00000000" w:rsidRDefault="00C1661D">
      <w:pPr>
        <w:jc w:val="both"/>
        <w:rPr>
          <w:rFonts w:eastAsia="Times New Roman"/>
        </w:rPr>
      </w:pPr>
    </w:p>
    <w:p w14:paraId="121B332F" w14:textId="77777777" w:rsidR="00000000" w:rsidRDefault="00C1661D">
      <w:pPr>
        <w:jc w:val="both"/>
        <w:rPr>
          <w:rFonts w:eastAsia="Times New Roman"/>
        </w:rPr>
      </w:pPr>
      <w:r>
        <w:rPr>
          <w:rFonts w:eastAsia="Times New Roman"/>
          <w:b/>
          <w:bCs/>
          <w:i/>
          <w:iCs/>
          <w:color w:val="000000"/>
          <w:sz w:val="20"/>
          <w:szCs w:val="20"/>
        </w:rPr>
        <w:t>Fiscal 2025</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fiscal year ending September 30, 2025</w:t>
      </w:r>
    </w:p>
    <w:p w14:paraId="38874E78" w14:textId="77777777" w:rsidR="00000000" w:rsidRDefault="00C1661D">
      <w:pPr>
        <w:jc w:val="both"/>
        <w:rPr>
          <w:rFonts w:eastAsia="Times New Roman"/>
        </w:rPr>
      </w:pPr>
    </w:p>
    <w:p w14:paraId="39DA1481" w14:textId="77777777" w:rsidR="00000000" w:rsidRDefault="00C1661D">
      <w:pPr>
        <w:jc w:val="both"/>
        <w:rPr>
          <w:rFonts w:eastAsia="Times New Roman"/>
        </w:rPr>
      </w:pPr>
      <w:r>
        <w:rPr>
          <w:rFonts w:eastAsia="Times New Roman"/>
          <w:b/>
          <w:bCs/>
          <w:i/>
          <w:iCs/>
          <w:color w:val="000000"/>
          <w:sz w:val="20"/>
          <w:szCs w:val="20"/>
        </w:rPr>
        <w:t>Fiscal 2026</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fiscal year ending September 30, 2026</w:t>
      </w:r>
    </w:p>
    <w:p w14:paraId="7E517A91" w14:textId="77777777" w:rsidR="00000000" w:rsidRDefault="00C1661D">
      <w:pPr>
        <w:jc w:val="both"/>
        <w:rPr>
          <w:rFonts w:eastAsia="Times New Roman"/>
        </w:rPr>
      </w:pPr>
    </w:p>
    <w:p w14:paraId="16D8077C" w14:textId="77777777" w:rsidR="00000000" w:rsidRDefault="00C1661D">
      <w:pPr>
        <w:jc w:val="both"/>
        <w:rPr>
          <w:rFonts w:eastAsia="Times New Roman"/>
        </w:rPr>
      </w:pPr>
      <w:r>
        <w:rPr>
          <w:rFonts w:eastAsia="Times New Roman"/>
          <w:b/>
          <w:bCs/>
          <w:i/>
          <w:iCs/>
          <w:color w:val="000000"/>
          <w:sz w:val="20"/>
          <w:szCs w:val="20"/>
        </w:rPr>
        <w:t>Fiscal 2027</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fiscal year ending September 30, 2027</w:t>
      </w:r>
    </w:p>
    <w:p w14:paraId="78A3EECB" w14:textId="77777777" w:rsidR="00000000" w:rsidRDefault="00C1661D">
      <w:pPr>
        <w:jc w:val="both"/>
        <w:rPr>
          <w:rFonts w:eastAsia="Times New Roman"/>
        </w:rPr>
      </w:pPr>
    </w:p>
    <w:p w14:paraId="440CDE47" w14:textId="77777777" w:rsidR="00000000" w:rsidRDefault="00C1661D">
      <w:pPr>
        <w:jc w:val="both"/>
        <w:rPr>
          <w:rFonts w:eastAsia="Times New Roman"/>
        </w:rPr>
      </w:pPr>
      <w:r>
        <w:rPr>
          <w:rFonts w:eastAsia="Times New Roman"/>
          <w:b/>
          <w:bCs/>
          <w:i/>
          <w:iCs/>
          <w:color w:val="000000"/>
          <w:sz w:val="20"/>
          <w:szCs w:val="20"/>
        </w:rPr>
        <w:t>GAAP -</w:t>
      </w:r>
      <w:r>
        <w:rPr>
          <w:rFonts w:eastAsia="Times New Roman"/>
          <w:color w:val="000000"/>
          <w:sz w:val="20"/>
          <w:szCs w:val="20"/>
        </w:rPr>
        <w:t xml:space="preserve"> U.S. generally accepted account</w:t>
      </w:r>
      <w:r>
        <w:rPr>
          <w:rFonts w:eastAsia="Times New Roman"/>
          <w:color w:val="000000"/>
          <w:sz w:val="20"/>
          <w:szCs w:val="20"/>
        </w:rPr>
        <w:t>ing principles</w:t>
      </w:r>
    </w:p>
    <w:p w14:paraId="3CB81F70" w14:textId="77777777" w:rsidR="00000000" w:rsidRDefault="00C1661D">
      <w:pPr>
        <w:jc w:val="both"/>
        <w:rPr>
          <w:rFonts w:eastAsia="Times New Roman"/>
        </w:rPr>
      </w:pPr>
    </w:p>
    <w:p w14:paraId="7E9AD6C3" w14:textId="77777777" w:rsidR="00000000" w:rsidRDefault="00C1661D">
      <w:pPr>
        <w:jc w:val="both"/>
        <w:rPr>
          <w:rFonts w:eastAsia="Times New Roman"/>
        </w:rPr>
      </w:pPr>
      <w:r>
        <w:rPr>
          <w:rFonts w:eastAsia="Times New Roman"/>
          <w:b/>
          <w:bCs/>
          <w:i/>
          <w:iCs/>
          <w:color w:val="000000"/>
          <w:sz w:val="20"/>
          <w:szCs w:val="20"/>
        </w:rPr>
        <w:t>GDPR -</w:t>
      </w:r>
      <w:r>
        <w:rPr>
          <w:rFonts w:eastAsia="Times New Roman"/>
          <w:color w:val="000000"/>
          <w:sz w:val="20"/>
          <w:szCs w:val="20"/>
        </w:rPr>
        <w:t xml:space="preserve"> General Data Protection Regulation</w:t>
      </w:r>
    </w:p>
    <w:p w14:paraId="152DF732" w14:textId="77777777" w:rsidR="00000000" w:rsidRDefault="00C1661D">
      <w:pPr>
        <w:jc w:val="center"/>
        <w:divId w:val="99377463"/>
        <w:rPr>
          <w:rFonts w:eastAsia="Times New Roman"/>
        </w:rPr>
      </w:pPr>
      <w:r>
        <w:rPr>
          <w:rFonts w:eastAsia="Times New Roman"/>
          <w:color w:val="000000"/>
          <w:sz w:val="20"/>
          <w:szCs w:val="20"/>
        </w:rPr>
        <w:t>5</w:t>
      </w:r>
    </w:p>
    <w:p w14:paraId="1F70F27D" w14:textId="77777777" w:rsidR="00000000" w:rsidRDefault="00C1661D">
      <w:pPr>
        <w:rPr>
          <w:rFonts w:eastAsia="Times New Roman"/>
        </w:rPr>
      </w:pPr>
      <w:r>
        <w:rPr>
          <w:rFonts w:eastAsia="Times New Roman"/>
        </w:rPr>
        <w:pict w14:anchorId="31F68400">
          <v:rect id="_x0000_i1030" style="width:0;height:1.5pt" o:hralign="center" o:hrstd="t" o:hr="t" fillcolor="#a0a0a0" stroked="f"/>
        </w:pict>
      </w:r>
    </w:p>
    <w:p w14:paraId="4B13572A" w14:textId="77777777" w:rsidR="00000000" w:rsidRDefault="00C1661D">
      <w:pPr>
        <w:divId w:val="134833909"/>
        <w:rPr>
          <w:rFonts w:eastAsia="Times New Roman"/>
        </w:rPr>
      </w:pPr>
      <w:hyperlink w:anchor="i3850c3c6c0104e42b9951aac2f16098a_7" w:history="1">
        <w:r>
          <w:rPr>
            <w:rStyle w:val="a3"/>
            <w:rFonts w:eastAsia="Times New Roman"/>
            <w:b/>
            <w:bCs/>
            <w:sz w:val="20"/>
            <w:szCs w:val="20"/>
          </w:rPr>
          <w:t>Table of Contents</w:t>
        </w:r>
      </w:hyperlink>
    </w:p>
    <w:p w14:paraId="4003B11D" w14:textId="77777777" w:rsidR="00000000" w:rsidRDefault="00C1661D">
      <w:pPr>
        <w:jc w:val="both"/>
        <w:rPr>
          <w:rFonts w:eastAsia="Times New Roman"/>
        </w:rPr>
      </w:pPr>
    </w:p>
    <w:p w14:paraId="68AE6A9E" w14:textId="77777777" w:rsidR="00000000" w:rsidRDefault="00C1661D">
      <w:pPr>
        <w:jc w:val="both"/>
        <w:rPr>
          <w:rFonts w:eastAsia="Times New Roman"/>
        </w:rPr>
      </w:pPr>
      <w:r>
        <w:rPr>
          <w:rFonts w:eastAsia="Times New Roman"/>
          <w:b/>
          <w:bCs/>
          <w:i/>
          <w:iCs/>
          <w:color w:val="000000"/>
          <w:sz w:val="20"/>
          <w:szCs w:val="20"/>
        </w:rPr>
        <w:t>GHG -</w:t>
      </w:r>
      <w:r>
        <w:rPr>
          <w:rFonts w:eastAsia="Times New Roman"/>
          <w:color w:val="000000"/>
          <w:sz w:val="20"/>
          <w:szCs w:val="20"/>
        </w:rPr>
        <w:t xml:space="preserve"> Greenhouse gas</w:t>
      </w:r>
    </w:p>
    <w:p w14:paraId="063D1B60" w14:textId="77777777" w:rsidR="00000000" w:rsidRDefault="00C1661D">
      <w:pPr>
        <w:jc w:val="both"/>
        <w:rPr>
          <w:rFonts w:eastAsia="Times New Roman"/>
        </w:rPr>
      </w:pPr>
    </w:p>
    <w:p w14:paraId="714FDB88" w14:textId="77777777" w:rsidR="00000000" w:rsidRDefault="00C1661D">
      <w:pPr>
        <w:divId w:val="1541624579"/>
        <w:rPr>
          <w:rFonts w:eastAsia="Times New Roman"/>
        </w:rPr>
      </w:pPr>
      <w:r>
        <w:rPr>
          <w:rFonts w:eastAsia="Times New Roman"/>
          <w:b/>
          <w:bCs/>
          <w:i/>
          <w:iCs/>
          <w:color w:val="000000"/>
          <w:sz w:val="20"/>
          <w:szCs w:val="20"/>
        </w:rPr>
        <w:t>GILTI</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w:t>
      </w:r>
      <w:r>
        <w:rPr>
          <w:rFonts w:eastAsia="Times New Roman"/>
          <w:color w:val="000000"/>
          <w:sz w:val="20"/>
          <w:szCs w:val="20"/>
        </w:rPr>
        <w:t>Global Intangible Low Taxed Income</w:t>
      </w:r>
    </w:p>
    <w:p w14:paraId="1FA5F050" w14:textId="77777777" w:rsidR="00000000" w:rsidRDefault="00C1661D">
      <w:pPr>
        <w:jc w:val="both"/>
        <w:rPr>
          <w:rFonts w:eastAsia="Times New Roman"/>
        </w:rPr>
      </w:pPr>
    </w:p>
    <w:p w14:paraId="3C00E2F0" w14:textId="77777777" w:rsidR="00000000" w:rsidRDefault="00C1661D">
      <w:pPr>
        <w:jc w:val="both"/>
        <w:rPr>
          <w:rFonts w:eastAsia="Times New Roman"/>
        </w:rPr>
      </w:pPr>
      <w:r>
        <w:rPr>
          <w:rFonts w:eastAsia="Times New Roman"/>
          <w:b/>
          <w:bCs/>
          <w:i/>
          <w:iCs/>
          <w:color w:val="000000"/>
          <w:sz w:val="20"/>
          <w:szCs w:val="20"/>
        </w:rPr>
        <w:t>Gwh -</w:t>
      </w:r>
      <w:r>
        <w:rPr>
          <w:rFonts w:eastAsia="Times New Roman"/>
          <w:color w:val="000000"/>
          <w:sz w:val="20"/>
          <w:szCs w:val="20"/>
        </w:rPr>
        <w:t xml:space="preserve"> Millions of kilowatt hours</w:t>
      </w:r>
    </w:p>
    <w:p w14:paraId="090EDBAB" w14:textId="77777777" w:rsidR="00000000" w:rsidRDefault="00C1661D">
      <w:pPr>
        <w:jc w:val="both"/>
        <w:rPr>
          <w:rFonts w:eastAsia="Times New Roman"/>
        </w:rPr>
      </w:pPr>
    </w:p>
    <w:p w14:paraId="1A0DF7BB" w14:textId="77777777" w:rsidR="00000000" w:rsidRDefault="00C1661D">
      <w:pPr>
        <w:jc w:val="both"/>
        <w:rPr>
          <w:rFonts w:eastAsia="Times New Roman"/>
        </w:rPr>
      </w:pPr>
      <w:r>
        <w:rPr>
          <w:rFonts w:eastAsia="Times New Roman"/>
          <w:b/>
          <w:bCs/>
          <w:i/>
          <w:iCs/>
          <w:color w:val="000000"/>
          <w:sz w:val="20"/>
          <w:szCs w:val="20"/>
        </w:rPr>
        <w:t>Hunlock</w:t>
      </w:r>
      <w:r>
        <w:rPr>
          <w:rFonts w:eastAsia="Times New Roman"/>
          <w:color w:val="000000"/>
          <w:sz w:val="20"/>
          <w:szCs w:val="20"/>
        </w:rPr>
        <w:t xml:space="preserve"> - Hunlock Creek Energy Center located near Wilkes-Barre, Pennsylvania, a 174-megawatt natural gas-fueled electricity generating station</w:t>
      </w:r>
    </w:p>
    <w:p w14:paraId="24E574C9" w14:textId="77777777" w:rsidR="00000000" w:rsidRDefault="00C1661D">
      <w:pPr>
        <w:jc w:val="both"/>
        <w:rPr>
          <w:rFonts w:eastAsia="Times New Roman"/>
        </w:rPr>
      </w:pPr>
    </w:p>
    <w:p w14:paraId="11BE112C" w14:textId="77777777" w:rsidR="00000000" w:rsidRDefault="00C1661D">
      <w:pPr>
        <w:jc w:val="both"/>
        <w:rPr>
          <w:rFonts w:eastAsia="Times New Roman"/>
        </w:rPr>
      </w:pPr>
      <w:r>
        <w:rPr>
          <w:rFonts w:eastAsia="Times New Roman"/>
          <w:b/>
          <w:bCs/>
          <w:i/>
          <w:iCs/>
          <w:color w:val="000000"/>
          <w:sz w:val="20"/>
          <w:szCs w:val="20"/>
        </w:rPr>
        <w:t>ICE -</w:t>
      </w:r>
      <w:r>
        <w:rPr>
          <w:rFonts w:eastAsia="Times New Roman"/>
          <w:color w:val="000000"/>
          <w:sz w:val="20"/>
          <w:szCs w:val="20"/>
        </w:rPr>
        <w:t xml:space="preserve"> Intercontinental Exchange</w:t>
      </w:r>
    </w:p>
    <w:p w14:paraId="43A589C5" w14:textId="77777777" w:rsidR="00000000" w:rsidRDefault="00C1661D">
      <w:pPr>
        <w:jc w:val="both"/>
        <w:rPr>
          <w:rFonts w:eastAsia="Times New Roman"/>
        </w:rPr>
      </w:pPr>
    </w:p>
    <w:p w14:paraId="40A31AAA" w14:textId="77777777" w:rsidR="00000000" w:rsidRDefault="00C1661D">
      <w:pPr>
        <w:jc w:val="both"/>
        <w:rPr>
          <w:rFonts w:eastAsia="Times New Roman"/>
        </w:rPr>
      </w:pPr>
      <w:r>
        <w:rPr>
          <w:rFonts w:eastAsia="Times New Roman"/>
          <w:b/>
          <w:bCs/>
          <w:i/>
          <w:iCs/>
          <w:color w:val="000000"/>
          <w:sz w:val="20"/>
          <w:szCs w:val="20"/>
        </w:rPr>
        <w:t>IRC</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Internal Revenue Code</w:t>
      </w:r>
    </w:p>
    <w:p w14:paraId="4C42CC44" w14:textId="77777777" w:rsidR="00000000" w:rsidRDefault="00C1661D">
      <w:pPr>
        <w:jc w:val="both"/>
        <w:rPr>
          <w:rFonts w:eastAsia="Times New Roman"/>
        </w:rPr>
      </w:pPr>
    </w:p>
    <w:p w14:paraId="39A324BF" w14:textId="77777777" w:rsidR="00000000" w:rsidRDefault="00C1661D">
      <w:pPr>
        <w:divId w:val="768237214"/>
        <w:rPr>
          <w:rFonts w:eastAsia="Times New Roman"/>
        </w:rPr>
      </w:pPr>
      <w:r>
        <w:rPr>
          <w:rFonts w:eastAsia="Times New Roman"/>
          <w:b/>
          <w:bCs/>
          <w:i/>
          <w:iCs/>
          <w:color w:val="000000"/>
          <w:sz w:val="20"/>
          <w:szCs w:val="20"/>
        </w:rPr>
        <w:t>IREP -</w:t>
      </w:r>
      <w:r>
        <w:rPr>
          <w:rFonts w:eastAsia="Times New Roman"/>
          <w:color w:val="000000"/>
          <w:sz w:val="20"/>
          <w:szCs w:val="20"/>
        </w:rPr>
        <w:t xml:space="preserve"> Infrastructure Replacement and Expansion Plan </w:t>
      </w:r>
    </w:p>
    <w:p w14:paraId="42C57746" w14:textId="77777777" w:rsidR="00000000" w:rsidRDefault="00C1661D">
      <w:pPr>
        <w:divId w:val="1780955782"/>
        <w:rPr>
          <w:rFonts w:eastAsia="Times New Roman"/>
        </w:rPr>
      </w:pPr>
    </w:p>
    <w:p w14:paraId="2C7D81A3" w14:textId="77777777" w:rsidR="00000000" w:rsidRDefault="00C1661D">
      <w:pPr>
        <w:jc w:val="both"/>
        <w:rPr>
          <w:rFonts w:eastAsia="Times New Roman"/>
        </w:rPr>
      </w:pPr>
      <w:r>
        <w:rPr>
          <w:rFonts w:eastAsia="Times New Roman"/>
          <w:b/>
          <w:bCs/>
          <w:i/>
          <w:iCs/>
          <w:color w:val="000000"/>
          <w:sz w:val="20"/>
          <w:szCs w:val="20"/>
        </w:rPr>
        <w:t>IRPA -</w:t>
      </w:r>
      <w:r>
        <w:rPr>
          <w:rFonts w:eastAsia="Times New Roman"/>
          <w:color w:val="000000"/>
          <w:sz w:val="20"/>
          <w:szCs w:val="20"/>
        </w:rPr>
        <w:t xml:space="preserve"> Interest rate protection agreement</w:t>
      </w:r>
    </w:p>
    <w:p w14:paraId="65E30F72" w14:textId="77777777" w:rsidR="00000000" w:rsidRDefault="00C1661D">
      <w:pPr>
        <w:jc w:val="both"/>
        <w:rPr>
          <w:rFonts w:eastAsia="Times New Roman"/>
        </w:rPr>
      </w:pPr>
    </w:p>
    <w:p w14:paraId="52D48252" w14:textId="77777777" w:rsidR="00000000" w:rsidRDefault="00C1661D">
      <w:pPr>
        <w:jc w:val="both"/>
        <w:rPr>
          <w:rFonts w:eastAsia="Times New Roman"/>
        </w:rPr>
      </w:pPr>
      <w:r>
        <w:rPr>
          <w:rFonts w:eastAsia="Times New Roman"/>
          <w:b/>
          <w:bCs/>
          <w:i/>
          <w:iCs/>
          <w:color w:val="000000"/>
          <w:sz w:val="20"/>
          <w:szCs w:val="20"/>
        </w:rPr>
        <w:t>IRS</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Internal Revenue Service</w:t>
      </w:r>
    </w:p>
    <w:p w14:paraId="3D9871EF" w14:textId="77777777" w:rsidR="00000000" w:rsidRDefault="00C1661D">
      <w:pPr>
        <w:jc w:val="both"/>
        <w:rPr>
          <w:rFonts w:eastAsia="Times New Roman"/>
        </w:rPr>
      </w:pPr>
    </w:p>
    <w:p w14:paraId="1C57B81E" w14:textId="77777777" w:rsidR="00000000" w:rsidRDefault="00C1661D">
      <w:pPr>
        <w:jc w:val="both"/>
        <w:rPr>
          <w:rFonts w:eastAsia="Times New Roman"/>
        </w:rPr>
      </w:pPr>
      <w:r>
        <w:rPr>
          <w:rFonts w:eastAsia="Times New Roman"/>
          <w:b/>
          <w:bCs/>
          <w:i/>
          <w:iCs/>
          <w:color w:val="000000"/>
          <w:sz w:val="20"/>
          <w:szCs w:val="20"/>
        </w:rPr>
        <w:t>IT -</w:t>
      </w:r>
      <w:r>
        <w:rPr>
          <w:rFonts w:eastAsia="Times New Roman"/>
          <w:color w:val="000000"/>
          <w:sz w:val="20"/>
          <w:szCs w:val="20"/>
        </w:rPr>
        <w:t xml:space="preserve"> Information technology</w:t>
      </w:r>
    </w:p>
    <w:p w14:paraId="6C3F05A7" w14:textId="77777777" w:rsidR="00000000" w:rsidRDefault="00C1661D">
      <w:pPr>
        <w:jc w:val="both"/>
        <w:rPr>
          <w:rFonts w:eastAsia="Times New Roman"/>
        </w:rPr>
      </w:pPr>
    </w:p>
    <w:p w14:paraId="48C8BEB2" w14:textId="77777777" w:rsidR="00000000" w:rsidRDefault="00C1661D">
      <w:pPr>
        <w:jc w:val="both"/>
        <w:rPr>
          <w:rFonts w:eastAsia="Times New Roman"/>
        </w:rPr>
      </w:pPr>
      <w:r>
        <w:rPr>
          <w:rFonts w:eastAsia="Times New Roman"/>
          <w:b/>
          <w:bCs/>
          <w:i/>
          <w:iCs/>
          <w:color w:val="000000"/>
          <w:sz w:val="20"/>
          <w:szCs w:val="20"/>
        </w:rPr>
        <w:t>LIBOR -</w:t>
      </w:r>
      <w:r>
        <w:rPr>
          <w:rFonts w:eastAsia="Times New Roman"/>
          <w:color w:val="000000"/>
          <w:sz w:val="20"/>
          <w:szCs w:val="20"/>
        </w:rPr>
        <w:t xml:space="preserve"> </w:t>
      </w:r>
      <w:r>
        <w:rPr>
          <w:rFonts w:eastAsia="Times New Roman"/>
          <w:color w:val="000000"/>
          <w:sz w:val="20"/>
          <w:szCs w:val="20"/>
        </w:rPr>
        <w:t>London Inter-bank Offered Rate</w:t>
      </w:r>
    </w:p>
    <w:p w14:paraId="58488336" w14:textId="77777777" w:rsidR="00000000" w:rsidRDefault="00C1661D">
      <w:pPr>
        <w:jc w:val="both"/>
        <w:rPr>
          <w:rFonts w:eastAsia="Times New Roman"/>
        </w:rPr>
      </w:pPr>
    </w:p>
    <w:p w14:paraId="70DE9292" w14:textId="77777777" w:rsidR="00000000" w:rsidRDefault="00C1661D">
      <w:pPr>
        <w:jc w:val="both"/>
        <w:rPr>
          <w:rFonts w:eastAsia="Times New Roman"/>
        </w:rPr>
      </w:pPr>
      <w:r>
        <w:rPr>
          <w:rFonts w:eastAsia="Times New Roman"/>
          <w:b/>
          <w:bCs/>
          <w:i/>
          <w:iCs/>
          <w:color w:val="000000"/>
          <w:sz w:val="20"/>
          <w:szCs w:val="20"/>
        </w:rPr>
        <w:t>LNG -</w:t>
      </w:r>
      <w:r>
        <w:rPr>
          <w:rFonts w:eastAsia="Times New Roman"/>
          <w:color w:val="000000"/>
          <w:sz w:val="20"/>
          <w:szCs w:val="20"/>
        </w:rPr>
        <w:t xml:space="preserve"> Liquefied natural gas</w:t>
      </w:r>
    </w:p>
    <w:p w14:paraId="25A9D0B8" w14:textId="77777777" w:rsidR="00000000" w:rsidRDefault="00C1661D">
      <w:pPr>
        <w:jc w:val="both"/>
        <w:rPr>
          <w:rFonts w:eastAsia="Times New Roman"/>
        </w:rPr>
      </w:pPr>
    </w:p>
    <w:p w14:paraId="7EB8E90C" w14:textId="77777777" w:rsidR="00000000" w:rsidRDefault="00C1661D">
      <w:pPr>
        <w:jc w:val="both"/>
        <w:rPr>
          <w:rFonts w:eastAsia="Times New Roman"/>
        </w:rPr>
      </w:pPr>
      <w:r>
        <w:rPr>
          <w:rFonts w:eastAsia="Times New Roman"/>
          <w:b/>
          <w:bCs/>
          <w:i/>
          <w:iCs/>
          <w:color w:val="000000"/>
          <w:sz w:val="20"/>
          <w:szCs w:val="20"/>
        </w:rPr>
        <w:t>LPG -</w:t>
      </w:r>
      <w:r>
        <w:rPr>
          <w:rFonts w:eastAsia="Times New Roman"/>
          <w:color w:val="000000"/>
          <w:sz w:val="20"/>
          <w:szCs w:val="20"/>
        </w:rPr>
        <w:t xml:space="preserve"> Liquefied petroleum gas</w:t>
      </w:r>
    </w:p>
    <w:p w14:paraId="16D17922" w14:textId="77777777" w:rsidR="00000000" w:rsidRDefault="00C1661D">
      <w:pPr>
        <w:jc w:val="both"/>
        <w:rPr>
          <w:rFonts w:eastAsia="Times New Roman"/>
        </w:rPr>
      </w:pPr>
    </w:p>
    <w:p w14:paraId="7D20C5EB" w14:textId="77777777" w:rsidR="00000000" w:rsidRDefault="00C1661D">
      <w:pPr>
        <w:jc w:val="both"/>
        <w:rPr>
          <w:rFonts w:eastAsia="Times New Roman"/>
        </w:rPr>
      </w:pPr>
      <w:r>
        <w:rPr>
          <w:rFonts w:eastAsia="Times New Roman"/>
          <w:b/>
          <w:bCs/>
          <w:i/>
          <w:iCs/>
          <w:color w:val="000000"/>
          <w:sz w:val="20"/>
          <w:szCs w:val="20"/>
        </w:rPr>
        <w:t>LTIIP -</w:t>
      </w:r>
      <w:r>
        <w:rPr>
          <w:rFonts w:eastAsia="Times New Roman"/>
          <w:color w:val="000000"/>
          <w:sz w:val="20"/>
          <w:szCs w:val="20"/>
        </w:rPr>
        <w:t xml:space="preserve"> Long-term infrastructure improvement plans</w:t>
      </w:r>
    </w:p>
    <w:p w14:paraId="6D55CDE4" w14:textId="77777777" w:rsidR="00000000" w:rsidRDefault="00C1661D">
      <w:pPr>
        <w:jc w:val="both"/>
        <w:rPr>
          <w:rFonts w:eastAsia="Times New Roman"/>
        </w:rPr>
      </w:pPr>
    </w:p>
    <w:p w14:paraId="0FC8980C" w14:textId="77777777" w:rsidR="00000000" w:rsidRDefault="00C1661D">
      <w:pPr>
        <w:jc w:val="both"/>
        <w:rPr>
          <w:rFonts w:eastAsia="Times New Roman"/>
        </w:rPr>
      </w:pPr>
      <w:r>
        <w:rPr>
          <w:rFonts w:eastAsia="Times New Roman"/>
          <w:b/>
          <w:bCs/>
          <w:i/>
          <w:iCs/>
          <w:color w:val="000000"/>
          <w:sz w:val="20"/>
          <w:szCs w:val="20"/>
        </w:rPr>
        <w:t xml:space="preserve">MD&amp;A - </w:t>
      </w:r>
      <w:r>
        <w:rPr>
          <w:rFonts w:eastAsia="Times New Roman"/>
          <w:color w:val="000000"/>
          <w:sz w:val="20"/>
          <w:szCs w:val="20"/>
        </w:rPr>
        <w:t>Management’s Discussion and Analysis of Financial Condition and Results of Operations</w:t>
      </w:r>
    </w:p>
    <w:p w14:paraId="1D7DAD59" w14:textId="77777777" w:rsidR="00000000" w:rsidRDefault="00C1661D">
      <w:pPr>
        <w:jc w:val="both"/>
        <w:rPr>
          <w:rFonts w:eastAsia="Times New Roman"/>
        </w:rPr>
      </w:pPr>
    </w:p>
    <w:p w14:paraId="796FF084" w14:textId="77777777" w:rsidR="00000000" w:rsidRDefault="00C1661D">
      <w:pPr>
        <w:jc w:val="both"/>
        <w:rPr>
          <w:rFonts w:eastAsia="Times New Roman"/>
        </w:rPr>
      </w:pPr>
      <w:r>
        <w:rPr>
          <w:rFonts w:eastAsia="Times New Roman"/>
          <w:b/>
          <w:bCs/>
          <w:i/>
          <w:iCs/>
          <w:color w:val="000000"/>
          <w:sz w:val="20"/>
          <w:szCs w:val="20"/>
        </w:rPr>
        <w:t xml:space="preserve">MDPSC - </w:t>
      </w:r>
      <w:r>
        <w:rPr>
          <w:rFonts w:eastAsia="Times New Roman"/>
          <w:color w:val="000000"/>
          <w:sz w:val="20"/>
          <w:szCs w:val="20"/>
        </w:rPr>
        <w:t>Maryl</w:t>
      </w:r>
      <w:r>
        <w:rPr>
          <w:rFonts w:eastAsia="Times New Roman"/>
          <w:color w:val="000000"/>
          <w:sz w:val="20"/>
          <w:szCs w:val="20"/>
        </w:rPr>
        <w:t>and Public Service Commission</w:t>
      </w:r>
    </w:p>
    <w:p w14:paraId="566AF934" w14:textId="77777777" w:rsidR="00000000" w:rsidRDefault="00C1661D">
      <w:pPr>
        <w:jc w:val="both"/>
        <w:rPr>
          <w:rFonts w:eastAsia="Times New Roman"/>
        </w:rPr>
      </w:pPr>
    </w:p>
    <w:p w14:paraId="60E72677" w14:textId="77777777" w:rsidR="00000000" w:rsidRDefault="00C1661D">
      <w:pPr>
        <w:jc w:val="both"/>
        <w:rPr>
          <w:rFonts w:eastAsia="Times New Roman"/>
        </w:rPr>
      </w:pPr>
      <w:r>
        <w:rPr>
          <w:rFonts w:eastAsia="Times New Roman"/>
          <w:b/>
          <w:bCs/>
          <w:i/>
          <w:iCs/>
          <w:color w:val="000000"/>
          <w:sz w:val="20"/>
          <w:szCs w:val="20"/>
        </w:rPr>
        <w:t xml:space="preserve">MGP - </w:t>
      </w:r>
      <w:r>
        <w:rPr>
          <w:rFonts w:eastAsia="Times New Roman"/>
          <w:color w:val="000000"/>
          <w:sz w:val="20"/>
          <w:szCs w:val="20"/>
        </w:rPr>
        <w:t>Manufactured gas plant</w:t>
      </w:r>
    </w:p>
    <w:p w14:paraId="1EBB969F" w14:textId="77777777" w:rsidR="00000000" w:rsidRDefault="00C1661D">
      <w:pPr>
        <w:jc w:val="both"/>
        <w:rPr>
          <w:rFonts w:eastAsia="Times New Roman"/>
        </w:rPr>
      </w:pPr>
    </w:p>
    <w:p w14:paraId="1D8E211D" w14:textId="77777777" w:rsidR="00000000" w:rsidRDefault="00C1661D">
      <w:pPr>
        <w:jc w:val="both"/>
        <w:rPr>
          <w:rFonts w:eastAsia="Times New Roman"/>
        </w:rPr>
      </w:pPr>
      <w:r>
        <w:rPr>
          <w:rFonts w:eastAsia="Times New Roman"/>
          <w:b/>
          <w:bCs/>
          <w:i/>
          <w:iCs/>
          <w:color w:val="000000"/>
          <w:sz w:val="20"/>
          <w:szCs w:val="20"/>
        </w:rPr>
        <w:t>Mountaineer Acquisition</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Acquisition of Mountaintop Energy Holdings LLC, which closed on September 1, 2021</w:t>
      </w:r>
    </w:p>
    <w:p w14:paraId="709916B8" w14:textId="77777777" w:rsidR="00000000" w:rsidRDefault="00C1661D">
      <w:pPr>
        <w:jc w:val="both"/>
        <w:rPr>
          <w:rFonts w:eastAsia="Times New Roman"/>
        </w:rPr>
      </w:pPr>
    </w:p>
    <w:p w14:paraId="3C099218" w14:textId="77777777" w:rsidR="00000000" w:rsidRDefault="00C1661D">
      <w:pPr>
        <w:jc w:val="both"/>
        <w:rPr>
          <w:rFonts w:eastAsia="Times New Roman"/>
        </w:rPr>
      </w:pPr>
      <w:r>
        <w:rPr>
          <w:rFonts w:eastAsia="Times New Roman"/>
          <w:b/>
          <w:bCs/>
          <w:i/>
          <w:iCs/>
          <w:color w:val="000000"/>
          <w:sz w:val="20"/>
          <w:szCs w:val="20"/>
        </w:rPr>
        <w:t xml:space="preserve">Mountaineer Credit Agreement - </w:t>
      </w:r>
      <w:r>
        <w:rPr>
          <w:rFonts w:eastAsia="Times New Roman"/>
          <w:color w:val="000000"/>
          <w:sz w:val="20"/>
          <w:szCs w:val="20"/>
        </w:rPr>
        <w:t xml:space="preserve">Third amended and restated credit agreement entered </w:t>
      </w:r>
      <w:r>
        <w:rPr>
          <w:rFonts w:eastAsia="Times New Roman"/>
          <w:color w:val="000000"/>
          <w:sz w:val="20"/>
          <w:szCs w:val="20"/>
        </w:rPr>
        <w:t>into by Mountaineer, as borrower, providing for borrowings up to $100 million, with the option to increase to a maximum principal amount of $200 million assuming certain conditions are met, including a letter or credit subfacility of up to $20 million, sch</w:t>
      </w:r>
      <w:r>
        <w:rPr>
          <w:rFonts w:eastAsia="Times New Roman"/>
          <w:color w:val="000000"/>
          <w:sz w:val="20"/>
          <w:szCs w:val="20"/>
        </w:rPr>
        <w:t>eduled to expire in November 2024</w:t>
      </w:r>
    </w:p>
    <w:p w14:paraId="5636894B" w14:textId="77777777" w:rsidR="00000000" w:rsidRDefault="00C1661D">
      <w:pPr>
        <w:jc w:val="both"/>
        <w:rPr>
          <w:rFonts w:eastAsia="Times New Roman"/>
        </w:rPr>
      </w:pPr>
    </w:p>
    <w:p w14:paraId="053DF5A4" w14:textId="77777777" w:rsidR="00000000" w:rsidRDefault="00C1661D">
      <w:pPr>
        <w:jc w:val="both"/>
        <w:rPr>
          <w:rFonts w:eastAsia="Times New Roman"/>
        </w:rPr>
      </w:pPr>
      <w:r>
        <w:rPr>
          <w:rFonts w:eastAsia="Times New Roman"/>
          <w:b/>
          <w:bCs/>
          <w:i/>
          <w:iCs/>
          <w:color w:val="000000"/>
          <w:sz w:val="20"/>
          <w:szCs w:val="20"/>
        </w:rPr>
        <w:t>Mountaineer 2023 Credit Agreement</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w:t>
      </w:r>
      <w:r>
        <w:rPr>
          <w:rFonts w:eastAsia="Times New Roman"/>
          <w:color w:val="000000"/>
          <w:sz w:val="20"/>
          <w:szCs w:val="20"/>
        </w:rPr>
        <w:t xml:space="preserve">Third amendment to the third amended and restated credit agreement entered into by Mountaineer, as borrower, providing for borrowings up to $150 million, with the option to increase to a maximum principal amount of $250 million assuming certain conditions </w:t>
      </w:r>
      <w:r>
        <w:rPr>
          <w:rFonts w:eastAsia="Times New Roman"/>
          <w:color w:val="000000"/>
          <w:sz w:val="20"/>
          <w:szCs w:val="20"/>
        </w:rPr>
        <w:t>are met, including a letter or credit subfacility of up to $20 million, scheduled to expire in November 2024, with an option to extend the maturity date</w:t>
      </w:r>
    </w:p>
    <w:p w14:paraId="35053D91" w14:textId="77777777" w:rsidR="00000000" w:rsidRDefault="00C1661D">
      <w:pPr>
        <w:jc w:val="both"/>
        <w:rPr>
          <w:rFonts w:eastAsia="Times New Roman"/>
        </w:rPr>
      </w:pPr>
    </w:p>
    <w:p w14:paraId="2517A4DE" w14:textId="77777777" w:rsidR="00000000" w:rsidRDefault="00C1661D">
      <w:pPr>
        <w:jc w:val="both"/>
        <w:rPr>
          <w:rFonts w:eastAsia="Times New Roman"/>
        </w:rPr>
      </w:pPr>
      <w:r>
        <w:rPr>
          <w:rFonts w:eastAsia="Times New Roman"/>
          <w:b/>
          <w:bCs/>
          <w:i/>
          <w:iCs/>
          <w:color w:val="000000"/>
          <w:sz w:val="20"/>
          <w:szCs w:val="20"/>
        </w:rPr>
        <w:t xml:space="preserve">NAV - </w:t>
      </w:r>
      <w:r>
        <w:rPr>
          <w:rFonts w:eastAsia="Times New Roman"/>
          <w:color w:val="000000"/>
          <w:sz w:val="20"/>
          <w:szCs w:val="20"/>
        </w:rPr>
        <w:t>Net asset value</w:t>
      </w:r>
    </w:p>
    <w:p w14:paraId="171C8D2D" w14:textId="77777777" w:rsidR="00000000" w:rsidRDefault="00C1661D">
      <w:pPr>
        <w:jc w:val="both"/>
        <w:rPr>
          <w:rFonts w:eastAsia="Times New Roman"/>
        </w:rPr>
      </w:pPr>
    </w:p>
    <w:p w14:paraId="3D60B77D" w14:textId="77777777" w:rsidR="00000000" w:rsidRDefault="00C1661D">
      <w:pPr>
        <w:jc w:val="both"/>
        <w:rPr>
          <w:rFonts w:eastAsia="Times New Roman"/>
        </w:rPr>
      </w:pPr>
      <w:r>
        <w:rPr>
          <w:rFonts w:eastAsia="Times New Roman"/>
          <w:b/>
          <w:bCs/>
          <w:i/>
          <w:iCs/>
          <w:color w:val="000000"/>
          <w:sz w:val="20"/>
          <w:szCs w:val="20"/>
        </w:rPr>
        <w:t>NOAA -</w:t>
      </w:r>
      <w:r>
        <w:rPr>
          <w:rFonts w:eastAsia="Times New Roman"/>
          <w:color w:val="000000"/>
          <w:sz w:val="20"/>
          <w:szCs w:val="20"/>
        </w:rPr>
        <w:t xml:space="preserve"> </w:t>
      </w:r>
      <w:r>
        <w:rPr>
          <w:rFonts w:eastAsia="Times New Roman"/>
          <w:color w:val="000000"/>
          <w:sz w:val="20"/>
          <w:szCs w:val="20"/>
        </w:rPr>
        <w:t>National Oceanic and Atmospheric Administration</w:t>
      </w:r>
    </w:p>
    <w:p w14:paraId="426BFC78" w14:textId="77777777" w:rsidR="00000000" w:rsidRDefault="00C1661D">
      <w:pPr>
        <w:jc w:val="both"/>
        <w:rPr>
          <w:rFonts w:eastAsia="Times New Roman"/>
        </w:rPr>
      </w:pPr>
    </w:p>
    <w:p w14:paraId="43C15B10" w14:textId="77777777" w:rsidR="00000000" w:rsidRDefault="00C1661D">
      <w:pPr>
        <w:jc w:val="both"/>
        <w:rPr>
          <w:rFonts w:eastAsia="Times New Roman"/>
        </w:rPr>
      </w:pPr>
      <w:r>
        <w:rPr>
          <w:rFonts w:eastAsia="Times New Roman"/>
          <w:b/>
          <w:bCs/>
          <w:i/>
          <w:iCs/>
          <w:color w:val="000000"/>
          <w:sz w:val="20"/>
          <w:szCs w:val="20"/>
        </w:rPr>
        <w:t>NOL</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Net operating loss</w:t>
      </w:r>
    </w:p>
    <w:p w14:paraId="6BCF5BFD" w14:textId="77777777" w:rsidR="00000000" w:rsidRDefault="00C1661D">
      <w:pPr>
        <w:jc w:val="both"/>
        <w:rPr>
          <w:rFonts w:eastAsia="Times New Roman"/>
        </w:rPr>
      </w:pPr>
    </w:p>
    <w:p w14:paraId="0D08D753" w14:textId="77777777" w:rsidR="00000000" w:rsidRDefault="00C1661D">
      <w:pPr>
        <w:jc w:val="both"/>
        <w:rPr>
          <w:rFonts w:eastAsia="Times New Roman"/>
        </w:rPr>
      </w:pPr>
      <w:r>
        <w:rPr>
          <w:rFonts w:eastAsia="Times New Roman"/>
          <w:b/>
          <w:bCs/>
          <w:i/>
          <w:iCs/>
          <w:color w:val="000000"/>
          <w:sz w:val="20"/>
          <w:szCs w:val="20"/>
        </w:rPr>
        <w:t>NPNS -</w:t>
      </w:r>
      <w:r>
        <w:rPr>
          <w:rFonts w:eastAsia="Times New Roman"/>
          <w:color w:val="000000"/>
          <w:sz w:val="20"/>
          <w:szCs w:val="20"/>
        </w:rPr>
        <w:t xml:space="preserve"> Normal purchase and normal sale</w:t>
      </w:r>
    </w:p>
    <w:p w14:paraId="27393989" w14:textId="77777777" w:rsidR="00000000" w:rsidRDefault="00C1661D">
      <w:pPr>
        <w:jc w:val="both"/>
        <w:rPr>
          <w:rFonts w:eastAsia="Times New Roman"/>
        </w:rPr>
      </w:pPr>
    </w:p>
    <w:p w14:paraId="596100F4" w14:textId="77777777" w:rsidR="00000000" w:rsidRDefault="00C1661D">
      <w:pPr>
        <w:jc w:val="both"/>
        <w:rPr>
          <w:rFonts w:eastAsia="Times New Roman"/>
        </w:rPr>
      </w:pPr>
      <w:r>
        <w:rPr>
          <w:rFonts w:eastAsia="Times New Roman"/>
          <w:b/>
          <w:bCs/>
          <w:i/>
          <w:iCs/>
          <w:color w:val="000000"/>
          <w:sz w:val="20"/>
          <w:szCs w:val="20"/>
        </w:rPr>
        <w:t xml:space="preserve">NYDEC - </w:t>
      </w:r>
      <w:r>
        <w:rPr>
          <w:rFonts w:eastAsia="Times New Roman"/>
          <w:color w:val="000000"/>
          <w:sz w:val="20"/>
          <w:szCs w:val="20"/>
        </w:rPr>
        <w:t>New York State Department of Environmental Conservation</w:t>
      </w:r>
    </w:p>
    <w:p w14:paraId="796E75B7" w14:textId="77777777" w:rsidR="00000000" w:rsidRDefault="00C1661D">
      <w:pPr>
        <w:jc w:val="both"/>
        <w:rPr>
          <w:rFonts w:eastAsia="Times New Roman"/>
        </w:rPr>
      </w:pPr>
    </w:p>
    <w:p w14:paraId="1DA6EEF5" w14:textId="77777777" w:rsidR="00000000" w:rsidRDefault="00C1661D">
      <w:pPr>
        <w:jc w:val="both"/>
        <w:rPr>
          <w:rFonts w:eastAsia="Times New Roman"/>
        </w:rPr>
      </w:pPr>
      <w:r>
        <w:rPr>
          <w:rFonts w:eastAsia="Times New Roman"/>
          <w:b/>
          <w:bCs/>
          <w:i/>
          <w:iCs/>
          <w:color w:val="000000"/>
          <w:sz w:val="20"/>
          <w:szCs w:val="20"/>
        </w:rPr>
        <w:t>NYMEX -</w:t>
      </w:r>
      <w:r>
        <w:rPr>
          <w:rFonts w:eastAsia="Times New Roman"/>
          <w:color w:val="000000"/>
          <w:sz w:val="20"/>
          <w:szCs w:val="20"/>
        </w:rPr>
        <w:t xml:space="preserve"> New York Mercantile Exchange</w:t>
      </w:r>
    </w:p>
    <w:p w14:paraId="282A020D" w14:textId="77777777" w:rsidR="00000000" w:rsidRDefault="00C1661D">
      <w:pPr>
        <w:jc w:val="center"/>
        <w:divId w:val="758252193"/>
        <w:rPr>
          <w:rFonts w:eastAsia="Times New Roman"/>
        </w:rPr>
      </w:pPr>
      <w:r>
        <w:rPr>
          <w:rFonts w:eastAsia="Times New Roman"/>
          <w:color w:val="000000"/>
          <w:sz w:val="20"/>
          <w:szCs w:val="20"/>
        </w:rPr>
        <w:t>6</w:t>
      </w:r>
    </w:p>
    <w:p w14:paraId="6E9D666A" w14:textId="77777777" w:rsidR="00000000" w:rsidRDefault="00C1661D">
      <w:pPr>
        <w:rPr>
          <w:rFonts w:eastAsia="Times New Roman"/>
        </w:rPr>
      </w:pPr>
      <w:r>
        <w:rPr>
          <w:rFonts w:eastAsia="Times New Roman"/>
        </w:rPr>
        <w:pict w14:anchorId="5932B530">
          <v:rect id="_x0000_i1031" style="width:0;height:1.5pt" o:hralign="center" o:hrstd="t" o:hr="t" fillcolor="#a0a0a0" stroked="f"/>
        </w:pict>
      </w:r>
    </w:p>
    <w:p w14:paraId="276EEB78" w14:textId="77777777" w:rsidR="00000000" w:rsidRDefault="00C1661D">
      <w:pPr>
        <w:divId w:val="1909684619"/>
        <w:rPr>
          <w:rFonts w:eastAsia="Times New Roman"/>
        </w:rPr>
      </w:pPr>
      <w:hyperlink w:anchor="i3850c3c6c0104e42b9951aac2f16098a_7" w:history="1">
        <w:r>
          <w:rPr>
            <w:rStyle w:val="a3"/>
            <w:rFonts w:eastAsia="Times New Roman"/>
            <w:b/>
            <w:bCs/>
            <w:sz w:val="20"/>
            <w:szCs w:val="20"/>
          </w:rPr>
          <w:t>Table of Contents</w:t>
        </w:r>
      </w:hyperlink>
    </w:p>
    <w:p w14:paraId="654C10EA" w14:textId="77777777" w:rsidR="00000000" w:rsidRDefault="00C1661D">
      <w:pPr>
        <w:jc w:val="both"/>
        <w:rPr>
          <w:rFonts w:eastAsia="Times New Roman"/>
        </w:rPr>
      </w:pPr>
    </w:p>
    <w:p w14:paraId="3231D54C" w14:textId="77777777" w:rsidR="00000000" w:rsidRDefault="00C1661D">
      <w:pPr>
        <w:jc w:val="both"/>
        <w:rPr>
          <w:rFonts w:eastAsia="Times New Roman"/>
        </w:rPr>
      </w:pPr>
      <w:r>
        <w:rPr>
          <w:rFonts w:eastAsia="Times New Roman"/>
          <w:b/>
          <w:bCs/>
          <w:i/>
          <w:iCs/>
          <w:color w:val="000000"/>
          <w:sz w:val="20"/>
          <w:szCs w:val="20"/>
        </w:rPr>
        <w:t>OSHA -</w:t>
      </w:r>
      <w:r>
        <w:rPr>
          <w:rFonts w:eastAsia="Times New Roman"/>
          <w:color w:val="000000"/>
          <w:sz w:val="20"/>
          <w:szCs w:val="20"/>
        </w:rPr>
        <w:t xml:space="preserve"> Occupational Safety and Health Act</w:t>
      </w:r>
    </w:p>
    <w:p w14:paraId="3CD09ADA" w14:textId="77777777" w:rsidR="00000000" w:rsidRDefault="00C1661D">
      <w:pPr>
        <w:jc w:val="both"/>
        <w:rPr>
          <w:rFonts w:eastAsia="Times New Roman"/>
        </w:rPr>
      </w:pPr>
    </w:p>
    <w:p w14:paraId="29D179A9" w14:textId="77777777" w:rsidR="00000000" w:rsidRDefault="00C1661D">
      <w:pPr>
        <w:jc w:val="both"/>
        <w:rPr>
          <w:rFonts w:eastAsia="Times New Roman"/>
        </w:rPr>
      </w:pPr>
      <w:r>
        <w:rPr>
          <w:rFonts w:eastAsia="Times New Roman"/>
          <w:b/>
          <w:bCs/>
          <w:i/>
          <w:iCs/>
          <w:color w:val="000000"/>
          <w:sz w:val="20"/>
          <w:szCs w:val="20"/>
        </w:rPr>
        <w:t>PADEP -</w:t>
      </w:r>
      <w:r>
        <w:rPr>
          <w:rFonts w:eastAsia="Times New Roman"/>
          <w:color w:val="000000"/>
          <w:sz w:val="20"/>
          <w:szCs w:val="20"/>
        </w:rPr>
        <w:t xml:space="preserve"> Pennsylvania Department of Environmental Protection</w:t>
      </w:r>
    </w:p>
    <w:p w14:paraId="6435016A" w14:textId="77777777" w:rsidR="00000000" w:rsidRDefault="00C1661D">
      <w:pPr>
        <w:jc w:val="both"/>
        <w:rPr>
          <w:rFonts w:eastAsia="Times New Roman"/>
        </w:rPr>
      </w:pPr>
    </w:p>
    <w:p w14:paraId="6084221D" w14:textId="77777777" w:rsidR="00000000" w:rsidRDefault="00C1661D">
      <w:pPr>
        <w:jc w:val="both"/>
        <w:rPr>
          <w:rFonts w:eastAsia="Times New Roman"/>
        </w:rPr>
      </w:pPr>
      <w:r>
        <w:rPr>
          <w:rFonts w:eastAsia="Times New Roman"/>
          <w:b/>
          <w:bCs/>
          <w:i/>
          <w:iCs/>
          <w:color w:val="000000"/>
          <w:sz w:val="20"/>
          <w:szCs w:val="20"/>
        </w:rPr>
        <w:t>PAPUC -</w:t>
      </w:r>
      <w:r>
        <w:rPr>
          <w:rFonts w:eastAsia="Times New Roman"/>
          <w:color w:val="000000"/>
          <w:sz w:val="20"/>
          <w:szCs w:val="20"/>
        </w:rPr>
        <w:t xml:space="preserve"> Pennsylvania Public Utility Commission</w:t>
      </w:r>
    </w:p>
    <w:p w14:paraId="481D8DDF" w14:textId="77777777" w:rsidR="00000000" w:rsidRDefault="00C1661D">
      <w:pPr>
        <w:jc w:val="both"/>
        <w:rPr>
          <w:rFonts w:eastAsia="Times New Roman"/>
        </w:rPr>
      </w:pPr>
    </w:p>
    <w:p w14:paraId="30D88DF6" w14:textId="77777777" w:rsidR="00000000" w:rsidRDefault="00C1661D">
      <w:pPr>
        <w:jc w:val="both"/>
        <w:rPr>
          <w:rFonts w:eastAsia="Times New Roman"/>
        </w:rPr>
      </w:pPr>
      <w:r>
        <w:rPr>
          <w:rFonts w:eastAsia="Times New Roman"/>
          <w:b/>
          <w:bCs/>
          <w:i/>
          <w:iCs/>
          <w:color w:val="000000"/>
          <w:sz w:val="20"/>
          <w:szCs w:val="20"/>
        </w:rPr>
        <w:t>Partnership Agreeme</w:t>
      </w:r>
      <w:r>
        <w:rPr>
          <w:rFonts w:eastAsia="Times New Roman"/>
          <w:b/>
          <w:bCs/>
          <w:i/>
          <w:iCs/>
          <w:color w:val="000000"/>
          <w:sz w:val="20"/>
          <w:szCs w:val="20"/>
        </w:rPr>
        <w:t xml:space="preserve">nt - </w:t>
      </w:r>
      <w:r>
        <w:rPr>
          <w:rFonts w:eastAsia="Times New Roman"/>
          <w:color w:val="000000"/>
          <w:sz w:val="20"/>
          <w:szCs w:val="20"/>
        </w:rPr>
        <w:t>Fourth amended and restated agreement of Limited Partnership of AmeriGas Partners, L.P. dated as of July 27, 2009, as amended</w:t>
      </w:r>
    </w:p>
    <w:p w14:paraId="7ECAEA0F" w14:textId="77777777" w:rsidR="00000000" w:rsidRDefault="00C1661D">
      <w:pPr>
        <w:jc w:val="both"/>
        <w:rPr>
          <w:rFonts w:eastAsia="Times New Roman"/>
        </w:rPr>
      </w:pPr>
    </w:p>
    <w:p w14:paraId="49823D88" w14:textId="77777777" w:rsidR="00000000" w:rsidRDefault="00C1661D">
      <w:pPr>
        <w:jc w:val="both"/>
        <w:rPr>
          <w:rFonts w:eastAsia="Times New Roman"/>
        </w:rPr>
      </w:pPr>
      <w:r>
        <w:rPr>
          <w:rFonts w:eastAsia="Times New Roman"/>
          <w:b/>
          <w:bCs/>
          <w:i/>
          <w:iCs/>
          <w:color w:val="000000"/>
          <w:sz w:val="20"/>
          <w:szCs w:val="20"/>
        </w:rPr>
        <w:t xml:space="preserve">PBO - </w:t>
      </w:r>
      <w:r>
        <w:rPr>
          <w:rFonts w:eastAsia="Times New Roman"/>
          <w:color w:val="000000"/>
          <w:sz w:val="20"/>
          <w:szCs w:val="20"/>
        </w:rPr>
        <w:t>Projected benefit obligation</w:t>
      </w:r>
    </w:p>
    <w:p w14:paraId="247F5C74" w14:textId="77777777" w:rsidR="00000000" w:rsidRDefault="00C1661D">
      <w:pPr>
        <w:jc w:val="both"/>
        <w:rPr>
          <w:rFonts w:eastAsia="Times New Roman"/>
        </w:rPr>
      </w:pPr>
    </w:p>
    <w:p w14:paraId="450AA402" w14:textId="77777777" w:rsidR="00000000" w:rsidRDefault="00C1661D">
      <w:pPr>
        <w:jc w:val="both"/>
        <w:rPr>
          <w:rFonts w:eastAsia="Times New Roman"/>
        </w:rPr>
      </w:pPr>
      <w:r>
        <w:rPr>
          <w:rFonts w:eastAsia="Times New Roman"/>
          <w:b/>
          <w:bCs/>
          <w:i/>
          <w:iCs/>
          <w:color w:val="000000"/>
          <w:sz w:val="20"/>
          <w:szCs w:val="20"/>
        </w:rPr>
        <w:t>PennEnergy</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PennEnergy Resources, LLC</w:t>
      </w:r>
    </w:p>
    <w:p w14:paraId="4442C0B6" w14:textId="77777777" w:rsidR="00000000" w:rsidRDefault="00C1661D">
      <w:pPr>
        <w:jc w:val="both"/>
        <w:rPr>
          <w:rFonts w:eastAsia="Times New Roman"/>
        </w:rPr>
      </w:pPr>
    </w:p>
    <w:p w14:paraId="4FE7D3BE" w14:textId="77777777" w:rsidR="00000000" w:rsidRDefault="00C1661D">
      <w:pPr>
        <w:jc w:val="both"/>
        <w:rPr>
          <w:rFonts w:eastAsia="Times New Roman"/>
        </w:rPr>
      </w:pPr>
      <w:r>
        <w:rPr>
          <w:rFonts w:eastAsia="Times New Roman"/>
          <w:b/>
          <w:bCs/>
          <w:i/>
          <w:iCs/>
          <w:color w:val="000000"/>
          <w:sz w:val="20"/>
          <w:szCs w:val="20"/>
        </w:rPr>
        <w:t>PGA -</w:t>
      </w:r>
      <w:r>
        <w:rPr>
          <w:rFonts w:eastAsia="Times New Roman"/>
          <w:color w:val="000000"/>
          <w:sz w:val="20"/>
          <w:szCs w:val="20"/>
        </w:rPr>
        <w:t xml:space="preserve"> </w:t>
      </w:r>
      <w:r>
        <w:rPr>
          <w:rFonts w:eastAsia="Times New Roman"/>
          <w:color w:val="000000"/>
          <w:sz w:val="20"/>
          <w:szCs w:val="20"/>
        </w:rPr>
        <w:t>Purchased gas adjustment</w:t>
      </w:r>
    </w:p>
    <w:p w14:paraId="0BB300C2" w14:textId="77777777" w:rsidR="00000000" w:rsidRDefault="00C1661D">
      <w:pPr>
        <w:jc w:val="both"/>
        <w:rPr>
          <w:rFonts w:eastAsia="Times New Roman"/>
        </w:rPr>
      </w:pPr>
    </w:p>
    <w:p w14:paraId="6D30D90E" w14:textId="77777777" w:rsidR="00000000" w:rsidRDefault="00C1661D">
      <w:pPr>
        <w:jc w:val="both"/>
        <w:rPr>
          <w:rFonts w:eastAsia="Times New Roman"/>
        </w:rPr>
      </w:pPr>
      <w:r>
        <w:rPr>
          <w:rFonts w:eastAsia="Times New Roman"/>
          <w:b/>
          <w:bCs/>
          <w:i/>
          <w:iCs/>
          <w:color w:val="000000"/>
          <w:sz w:val="20"/>
          <w:szCs w:val="20"/>
        </w:rPr>
        <w:t>PGC -</w:t>
      </w:r>
      <w:r>
        <w:rPr>
          <w:rFonts w:eastAsia="Times New Roman"/>
          <w:color w:val="000000"/>
          <w:sz w:val="20"/>
          <w:szCs w:val="20"/>
        </w:rPr>
        <w:t xml:space="preserve"> Purchased gas costs</w:t>
      </w:r>
    </w:p>
    <w:p w14:paraId="0603F257" w14:textId="77777777" w:rsidR="00000000" w:rsidRDefault="00C1661D">
      <w:pPr>
        <w:jc w:val="both"/>
        <w:rPr>
          <w:rFonts w:eastAsia="Times New Roman"/>
        </w:rPr>
      </w:pPr>
    </w:p>
    <w:p w14:paraId="607497A5" w14:textId="77777777" w:rsidR="00000000" w:rsidRDefault="00C1661D">
      <w:pPr>
        <w:jc w:val="both"/>
        <w:rPr>
          <w:rFonts w:eastAsia="Times New Roman"/>
        </w:rPr>
      </w:pPr>
      <w:r>
        <w:rPr>
          <w:rFonts w:eastAsia="Times New Roman"/>
          <w:b/>
          <w:bCs/>
          <w:i/>
          <w:iCs/>
          <w:color w:val="000000"/>
          <w:sz w:val="20"/>
          <w:szCs w:val="20"/>
        </w:rPr>
        <w:t>PJM -</w:t>
      </w:r>
      <w:r>
        <w:rPr>
          <w:rFonts w:eastAsia="Times New Roman"/>
          <w:color w:val="000000"/>
          <w:sz w:val="20"/>
          <w:szCs w:val="20"/>
        </w:rPr>
        <w:t xml:space="preserve"> PJM Interconnection, LLC</w:t>
      </w:r>
    </w:p>
    <w:p w14:paraId="73EA7CF0" w14:textId="77777777" w:rsidR="00000000" w:rsidRDefault="00C1661D">
      <w:pPr>
        <w:jc w:val="both"/>
        <w:rPr>
          <w:rFonts w:eastAsia="Times New Roman"/>
        </w:rPr>
      </w:pPr>
    </w:p>
    <w:p w14:paraId="05C807E4" w14:textId="77777777" w:rsidR="00000000" w:rsidRDefault="00C1661D">
      <w:pPr>
        <w:jc w:val="both"/>
        <w:rPr>
          <w:rFonts w:eastAsia="Times New Roman"/>
        </w:rPr>
      </w:pPr>
      <w:r>
        <w:rPr>
          <w:rFonts w:eastAsia="Times New Roman"/>
          <w:b/>
          <w:bCs/>
          <w:i/>
          <w:iCs/>
          <w:color w:val="000000"/>
          <w:sz w:val="20"/>
          <w:szCs w:val="20"/>
        </w:rPr>
        <w:t xml:space="preserve">PRP - </w:t>
      </w:r>
      <w:r>
        <w:rPr>
          <w:rFonts w:eastAsia="Times New Roman"/>
          <w:color w:val="000000"/>
          <w:sz w:val="20"/>
          <w:szCs w:val="20"/>
        </w:rPr>
        <w:t>Potentially Responsible Party</w:t>
      </w:r>
    </w:p>
    <w:p w14:paraId="65E35D50" w14:textId="77777777" w:rsidR="00000000" w:rsidRDefault="00C1661D">
      <w:pPr>
        <w:jc w:val="both"/>
        <w:rPr>
          <w:rFonts w:eastAsia="Times New Roman"/>
        </w:rPr>
      </w:pPr>
    </w:p>
    <w:p w14:paraId="5E7FBBB3" w14:textId="77777777" w:rsidR="00000000" w:rsidRDefault="00C1661D">
      <w:pPr>
        <w:jc w:val="both"/>
        <w:rPr>
          <w:rFonts w:eastAsia="Times New Roman"/>
        </w:rPr>
      </w:pPr>
      <w:r>
        <w:rPr>
          <w:rFonts w:eastAsia="Times New Roman"/>
          <w:b/>
          <w:bCs/>
          <w:i/>
          <w:iCs/>
          <w:color w:val="000000"/>
          <w:sz w:val="20"/>
          <w:szCs w:val="20"/>
        </w:rPr>
        <w:t>PUHCA 2005 -</w:t>
      </w:r>
      <w:r>
        <w:rPr>
          <w:rFonts w:eastAsia="Times New Roman"/>
          <w:color w:val="000000"/>
          <w:sz w:val="20"/>
          <w:szCs w:val="20"/>
        </w:rPr>
        <w:t xml:space="preserve"> Public Utility Holding Company Act of 2005</w:t>
      </w:r>
    </w:p>
    <w:p w14:paraId="6550A29C" w14:textId="77777777" w:rsidR="00000000" w:rsidRDefault="00C1661D">
      <w:pPr>
        <w:jc w:val="both"/>
        <w:rPr>
          <w:rFonts w:eastAsia="Times New Roman"/>
        </w:rPr>
      </w:pPr>
    </w:p>
    <w:p w14:paraId="617B19AE" w14:textId="77777777" w:rsidR="00000000" w:rsidRDefault="00C1661D">
      <w:pPr>
        <w:jc w:val="both"/>
        <w:rPr>
          <w:rFonts w:eastAsia="Times New Roman"/>
        </w:rPr>
      </w:pPr>
      <w:r>
        <w:rPr>
          <w:rFonts w:eastAsia="Times New Roman"/>
          <w:b/>
          <w:bCs/>
          <w:i/>
          <w:iCs/>
          <w:color w:val="000000"/>
          <w:sz w:val="20"/>
          <w:szCs w:val="20"/>
        </w:rPr>
        <w:t>Receivables Facility -</w:t>
      </w:r>
      <w:r>
        <w:rPr>
          <w:rFonts w:eastAsia="Times New Roman"/>
          <w:color w:val="000000"/>
          <w:sz w:val="20"/>
          <w:szCs w:val="20"/>
        </w:rPr>
        <w:t xml:space="preserve"> </w:t>
      </w:r>
      <w:r>
        <w:rPr>
          <w:rFonts w:eastAsia="Times New Roman"/>
          <w:color w:val="000000"/>
          <w:sz w:val="20"/>
          <w:szCs w:val="20"/>
        </w:rPr>
        <w:t>A receivables purchase facility of Energy Services with an issuer of receivables-backed commercial paper</w:t>
      </w:r>
    </w:p>
    <w:p w14:paraId="4A950E56" w14:textId="77777777" w:rsidR="00000000" w:rsidRDefault="00C1661D">
      <w:pPr>
        <w:jc w:val="both"/>
        <w:rPr>
          <w:rFonts w:eastAsia="Times New Roman"/>
        </w:rPr>
      </w:pPr>
    </w:p>
    <w:p w14:paraId="5353E92F" w14:textId="77777777" w:rsidR="00000000" w:rsidRDefault="00C1661D">
      <w:pPr>
        <w:jc w:val="both"/>
        <w:rPr>
          <w:rFonts w:eastAsia="Times New Roman"/>
        </w:rPr>
      </w:pPr>
      <w:r>
        <w:rPr>
          <w:rFonts w:eastAsia="Times New Roman"/>
          <w:b/>
          <w:bCs/>
          <w:i/>
          <w:iCs/>
          <w:color w:val="000000"/>
          <w:sz w:val="20"/>
          <w:szCs w:val="20"/>
        </w:rPr>
        <w:t>Retail core-market -</w:t>
      </w:r>
      <w:r>
        <w:rPr>
          <w:rFonts w:eastAsia="Times New Roman"/>
          <w:color w:val="000000"/>
          <w:sz w:val="20"/>
          <w:szCs w:val="20"/>
        </w:rPr>
        <w:t xml:space="preserve"> Comprises firm residential, commercial and industrial customers to whom Utilities has a statutory obligation to provide service </w:t>
      </w:r>
      <w:r>
        <w:rPr>
          <w:rFonts w:eastAsia="Times New Roman"/>
          <w:color w:val="000000"/>
          <w:sz w:val="20"/>
          <w:szCs w:val="20"/>
        </w:rPr>
        <w:t>that purchase their natural gas from Utilities</w:t>
      </w:r>
    </w:p>
    <w:p w14:paraId="55259826" w14:textId="77777777" w:rsidR="00000000" w:rsidRDefault="00C1661D">
      <w:pPr>
        <w:jc w:val="both"/>
        <w:rPr>
          <w:rFonts w:eastAsia="Times New Roman"/>
        </w:rPr>
      </w:pPr>
    </w:p>
    <w:p w14:paraId="1E4ACF1C" w14:textId="77777777" w:rsidR="00000000" w:rsidRDefault="00C1661D">
      <w:pPr>
        <w:jc w:val="both"/>
        <w:rPr>
          <w:rFonts w:eastAsia="Times New Roman"/>
        </w:rPr>
      </w:pPr>
      <w:r>
        <w:rPr>
          <w:rFonts w:eastAsia="Times New Roman"/>
          <w:b/>
          <w:bCs/>
          <w:i/>
          <w:iCs/>
          <w:color w:val="000000"/>
          <w:sz w:val="20"/>
          <w:szCs w:val="20"/>
        </w:rPr>
        <w:t>RNG -</w:t>
      </w:r>
      <w:r>
        <w:rPr>
          <w:rFonts w:eastAsia="Times New Roman"/>
          <w:color w:val="000000"/>
          <w:sz w:val="20"/>
          <w:szCs w:val="20"/>
        </w:rPr>
        <w:t xml:space="preserve"> Renewable natural gas</w:t>
      </w:r>
    </w:p>
    <w:p w14:paraId="36F82ED4" w14:textId="77777777" w:rsidR="00000000" w:rsidRDefault="00C1661D">
      <w:pPr>
        <w:jc w:val="both"/>
        <w:rPr>
          <w:rFonts w:eastAsia="Times New Roman"/>
        </w:rPr>
      </w:pPr>
    </w:p>
    <w:p w14:paraId="6A2943B2" w14:textId="77777777" w:rsidR="00000000" w:rsidRDefault="00C1661D">
      <w:pPr>
        <w:jc w:val="both"/>
        <w:rPr>
          <w:rFonts w:eastAsia="Times New Roman"/>
        </w:rPr>
      </w:pPr>
      <w:r>
        <w:rPr>
          <w:rFonts w:eastAsia="Times New Roman"/>
          <w:b/>
          <w:bCs/>
          <w:i/>
          <w:iCs/>
          <w:color w:val="000000"/>
          <w:sz w:val="20"/>
          <w:szCs w:val="20"/>
        </w:rPr>
        <w:t>ROU</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Right-of-use</w:t>
      </w:r>
    </w:p>
    <w:p w14:paraId="4C16E4D8" w14:textId="77777777" w:rsidR="00000000" w:rsidRDefault="00C1661D">
      <w:pPr>
        <w:jc w:val="both"/>
        <w:rPr>
          <w:rFonts w:eastAsia="Times New Roman"/>
        </w:rPr>
      </w:pPr>
    </w:p>
    <w:p w14:paraId="255622DD" w14:textId="77777777" w:rsidR="00000000" w:rsidRDefault="00C1661D">
      <w:pPr>
        <w:jc w:val="both"/>
        <w:rPr>
          <w:rFonts w:eastAsia="Times New Roman"/>
        </w:rPr>
      </w:pPr>
      <w:r>
        <w:rPr>
          <w:rFonts w:eastAsia="Times New Roman"/>
          <w:b/>
          <w:bCs/>
          <w:i/>
          <w:iCs/>
          <w:color w:val="000000"/>
          <w:sz w:val="20"/>
          <w:szCs w:val="20"/>
        </w:rPr>
        <w:t xml:space="preserve">ROD - </w:t>
      </w:r>
      <w:r>
        <w:rPr>
          <w:rFonts w:eastAsia="Times New Roman"/>
          <w:color w:val="000000"/>
          <w:sz w:val="20"/>
          <w:szCs w:val="20"/>
        </w:rPr>
        <w:t>Record of Decision</w:t>
      </w:r>
    </w:p>
    <w:p w14:paraId="74843D71" w14:textId="77777777" w:rsidR="00000000" w:rsidRDefault="00C1661D">
      <w:pPr>
        <w:jc w:val="both"/>
        <w:rPr>
          <w:rFonts w:eastAsia="Times New Roman"/>
        </w:rPr>
      </w:pPr>
    </w:p>
    <w:p w14:paraId="10360AFE" w14:textId="77777777" w:rsidR="00000000" w:rsidRDefault="00C1661D">
      <w:pPr>
        <w:jc w:val="both"/>
        <w:rPr>
          <w:rFonts w:eastAsia="Times New Roman"/>
        </w:rPr>
      </w:pPr>
      <w:r>
        <w:rPr>
          <w:rFonts w:eastAsia="Times New Roman"/>
          <w:b/>
          <w:bCs/>
          <w:i/>
          <w:iCs/>
          <w:color w:val="000000"/>
          <w:sz w:val="20"/>
          <w:szCs w:val="20"/>
        </w:rPr>
        <w:t>SEC -</w:t>
      </w:r>
      <w:r>
        <w:rPr>
          <w:rFonts w:eastAsia="Times New Roman"/>
          <w:color w:val="000000"/>
          <w:sz w:val="20"/>
          <w:szCs w:val="20"/>
        </w:rPr>
        <w:t xml:space="preserve"> U.S. Securities and Exchange Commission</w:t>
      </w:r>
    </w:p>
    <w:p w14:paraId="04507E54" w14:textId="77777777" w:rsidR="00000000" w:rsidRDefault="00C1661D">
      <w:pPr>
        <w:jc w:val="both"/>
        <w:rPr>
          <w:rFonts w:eastAsia="Times New Roman"/>
        </w:rPr>
      </w:pPr>
    </w:p>
    <w:p w14:paraId="1F0B1E01" w14:textId="77777777" w:rsidR="00000000" w:rsidRDefault="00C1661D">
      <w:pPr>
        <w:jc w:val="both"/>
        <w:rPr>
          <w:rFonts w:eastAsia="Times New Roman"/>
        </w:rPr>
      </w:pPr>
      <w:r>
        <w:rPr>
          <w:rFonts w:eastAsia="Times New Roman"/>
          <w:b/>
          <w:bCs/>
          <w:i/>
          <w:iCs/>
          <w:color w:val="000000"/>
          <w:sz w:val="20"/>
          <w:szCs w:val="20"/>
        </w:rPr>
        <w:t>Series B preferred stock</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Preferred stock of UGI titled 0.125% series B cumulati</w:t>
      </w:r>
      <w:r>
        <w:rPr>
          <w:rFonts w:eastAsia="Times New Roman"/>
          <w:color w:val="000000"/>
          <w:sz w:val="20"/>
          <w:szCs w:val="20"/>
        </w:rPr>
        <w:t>ve perpetual preferred stock with terms substantially identical to the Convertible Preferred Stock, except that it will not be convertible</w:t>
      </w:r>
    </w:p>
    <w:p w14:paraId="088ADCC4" w14:textId="77777777" w:rsidR="00000000" w:rsidRDefault="00C1661D">
      <w:pPr>
        <w:jc w:val="both"/>
        <w:rPr>
          <w:rFonts w:eastAsia="Times New Roman"/>
        </w:rPr>
      </w:pPr>
    </w:p>
    <w:p w14:paraId="5243FADB" w14:textId="77777777" w:rsidR="00000000" w:rsidRDefault="00C1661D">
      <w:pPr>
        <w:jc w:val="both"/>
        <w:rPr>
          <w:rFonts w:eastAsia="Times New Roman"/>
        </w:rPr>
      </w:pPr>
      <w:r>
        <w:rPr>
          <w:rFonts w:eastAsia="Times New Roman"/>
          <w:b/>
          <w:bCs/>
          <w:i/>
          <w:iCs/>
          <w:color w:val="000000"/>
          <w:sz w:val="20"/>
          <w:szCs w:val="20"/>
        </w:rPr>
        <w:t>Stonehenge</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Stonehenge Energy Resources III, LLC, a portfolio company of Energy Spectrum Partners VIII, L.P.</w:t>
      </w:r>
    </w:p>
    <w:p w14:paraId="14FB917B" w14:textId="77777777" w:rsidR="00000000" w:rsidRDefault="00C1661D">
      <w:pPr>
        <w:jc w:val="both"/>
        <w:rPr>
          <w:rFonts w:eastAsia="Times New Roman"/>
        </w:rPr>
      </w:pPr>
    </w:p>
    <w:p w14:paraId="1208E112" w14:textId="77777777" w:rsidR="00000000" w:rsidRDefault="00C1661D">
      <w:pPr>
        <w:jc w:val="both"/>
        <w:rPr>
          <w:rFonts w:eastAsia="Times New Roman"/>
        </w:rPr>
      </w:pPr>
      <w:r>
        <w:rPr>
          <w:rFonts w:eastAsia="Times New Roman"/>
          <w:b/>
          <w:bCs/>
          <w:i/>
          <w:iCs/>
          <w:color w:val="000000"/>
          <w:sz w:val="20"/>
          <w:szCs w:val="20"/>
        </w:rPr>
        <w:t>Sto</w:t>
      </w:r>
      <w:r>
        <w:rPr>
          <w:rFonts w:eastAsia="Times New Roman"/>
          <w:b/>
          <w:bCs/>
          <w:i/>
          <w:iCs/>
          <w:color w:val="000000"/>
          <w:sz w:val="20"/>
          <w:szCs w:val="20"/>
        </w:rPr>
        <w:t>nehenge Acquisition -</w:t>
      </w:r>
      <w:r>
        <w:rPr>
          <w:rFonts w:eastAsia="Times New Roman"/>
          <w:color w:val="000000"/>
          <w:sz w:val="20"/>
          <w:szCs w:val="20"/>
        </w:rPr>
        <w:t xml:space="preserve"> Acquisition of Stonehenge Appalachia, LLC, which closed January 27, 2022</w:t>
      </w:r>
    </w:p>
    <w:p w14:paraId="79AF2AA7" w14:textId="77777777" w:rsidR="00000000" w:rsidRDefault="00C1661D">
      <w:pPr>
        <w:jc w:val="both"/>
        <w:rPr>
          <w:rFonts w:eastAsia="Times New Roman"/>
        </w:rPr>
      </w:pPr>
    </w:p>
    <w:p w14:paraId="500454EF" w14:textId="77777777" w:rsidR="00000000" w:rsidRDefault="00C1661D">
      <w:pPr>
        <w:jc w:val="both"/>
        <w:rPr>
          <w:rFonts w:eastAsia="Times New Roman"/>
        </w:rPr>
      </w:pPr>
      <w:r>
        <w:rPr>
          <w:rFonts w:eastAsia="Times New Roman"/>
          <w:b/>
          <w:bCs/>
          <w:i/>
          <w:iCs/>
          <w:color w:val="000000"/>
          <w:sz w:val="20"/>
          <w:szCs w:val="20"/>
        </w:rPr>
        <w:t xml:space="preserve">Stock Unit - </w:t>
      </w:r>
      <w:r>
        <w:rPr>
          <w:rFonts w:eastAsia="Times New Roman"/>
          <w:color w:val="000000"/>
          <w:sz w:val="20"/>
          <w:szCs w:val="20"/>
        </w:rPr>
        <w:t>Unit awards that entitle the grantee to shares of UGI Common Stock or cash subject to service conditions</w:t>
      </w:r>
    </w:p>
    <w:p w14:paraId="513B2FDD" w14:textId="77777777" w:rsidR="00000000" w:rsidRDefault="00C1661D">
      <w:pPr>
        <w:jc w:val="both"/>
        <w:rPr>
          <w:rFonts w:eastAsia="Times New Roman"/>
        </w:rPr>
      </w:pPr>
    </w:p>
    <w:p w14:paraId="66A7FF5C" w14:textId="77777777" w:rsidR="00000000" w:rsidRDefault="00C1661D">
      <w:pPr>
        <w:jc w:val="both"/>
        <w:rPr>
          <w:rFonts w:eastAsia="Times New Roman"/>
        </w:rPr>
      </w:pPr>
      <w:r>
        <w:rPr>
          <w:rFonts w:eastAsia="Times New Roman"/>
          <w:b/>
          <w:bCs/>
          <w:i/>
          <w:iCs/>
          <w:color w:val="000000"/>
          <w:sz w:val="20"/>
          <w:szCs w:val="20"/>
        </w:rPr>
        <w:t>TCJA -</w:t>
      </w:r>
      <w:r>
        <w:rPr>
          <w:rFonts w:eastAsia="Times New Roman"/>
          <w:color w:val="000000"/>
          <w:sz w:val="20"/>
          <w:szCs w:val="20"/>
        </w:rPr>
        <w:t xml:space="preserve"> </w:t>
      </w:r>
      <w:r>
        <w:rPr>
          <w:rFonts w:eastAsia="Times New Roman"/>
          <w:color w:val="000000"/>
          <w:sz w:val="20"/>
          <w:szCs w:val="20"/>
        </w:rPr>
        <w:t>Tax Cuts and Jobs Act</w:t>
      </w:r>
    </w:p>
    <w:p w14:paraId="55FC509A" w14:textId="77777777" w:rsidR="00000000" w:rsidRDefault="00C1661D">
      <w:pPr>
        <w:jc w:val="both"/>
        <w:rPr>
          <w:rFonts w:eastAsia="Times New Roman"/>
        </w:rPr>
      </w:pPr>
    </w:p>
    <w:p w14:paraId="4BACF82A" w14:textId="77777777" w:rsidR="00000000" w:rsidRDefault="00C1661D">
      <w:pPr>
        <w:jc w:val="both"/>
        <w:rPr>
          <w:rFonts w:eastAsia="Times New Roman"/>
        </w:rPr>
      </w:pPr>
      <w:r>
        <w:rPr>
          <w:rFonts w:eastAsia="Times New Roman"/>
          <w:b/>
          <w:bCs/>
          <w:i/>
          <w:iCs/>
          <w:color w:val="000000"/>
          <w:sz w:val="20"/>
          <w:szCs w:val="20"/>
        </w:rPr>
        <w:t>Temporary Rates Order -</w:t>
      </w:r>
      <w:r>
        <w:rPr>
          <w:rFonts w:eastAsia="Times New Roman"/>
          <w:color w:val="000000"/>
          <w:sz w:val="20"/>
          <w:szCs w:val="20"/>
        </w:rPr>
        <w:t xml:space="preserve"> Order issued by the PAPUC on March 15, 2018, that converted PAPUC approved rates of a defined group of large Pennsylvania public utilities into temporary rates for a period of not more than 12 months while th</w:t>
      </w:r>
      <w:r>
        <w:rPr>
          <w:rFonts w:eastAsia="Times New Roman"/>
          <w:color w:val="000000"/>
          <w:sz w:val="20"/>
          <w:szCs w:val="20"/>
        </w:rPr>
        <w:t>e PAPUC reviewed effects of the TCJA</w:t>
      </w:r>
    </w:p>
    <w:p w14:paraId="45B94364" w14:textId="77777777" w:rsidR="00000000" w:rsidRDefault="00C1661D">
      <w:pPr>
        <w:jc w:val="both"/>
        <w:rPr>
          <w:rFonts w:eastAsia="Times New Roman"/>
        </w:rPr>
      </w:pPr>
    </w:p>
    <w:p w14:paraId="6F5B2EE3" w14:textId="77777777" w:rsidR="00000000" w:rsidRDefault="00C1661D">
      <w:pPr>
        <w:jc w:val="both"/>
        <w:rPr>
          <w:rFonts w:eastAsia="Times New Roman"/>
        </w:rPr>
      </w:pPr>
      <w:r>
        <w:rPr>
          <w:rFonts w:eastAsia="Times New Roman"/>
          <w:b/>
          <w:bCs/>
          <w:i/>
          <w:iCs/>
          <w:color w:val="000000"/>
          <w:sz w:val="20"/>
          <w:szCs w:val="20"/>
        </w:rPr>
        <w:t>TSR</w:t>
      </w:r>
      <w:r>
        <w:rPr>
          <w:rFonts w:eastAsia="Times New Roman"/>
          <w:b/>
          <w:bCs/>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Total Shareholder Return</w:t>
      </w:r>
    </w:p>
    <w:p w14:paraId="1822B952" w14:textId="77777777" w:rsidR="00000000" w:rsidRDefault="00C1661D">
      <w:pPr>
        <w:jc w:val="both"/>
        <w:rPr>
          <w:rFonts w:eastAsia="Times New Roman"/>
        </w:rPr>
      </w:pPr>
    </w:p>
    <w:p w14:paraId="072C4633" w14:textId="77777777" w:rsidR="00000000" w:rsidRDefault="00C1661D">
      <w:pPr>
        <w:jc w:val="both"/>
        <w:rPr>
          <w:rFonts w:eastAsia="Times New Roman"/>
        </w:rPr>
      </w:pPr>
      <w:r>
        <w:rPr>
          <w:rFonts w:eastAsia="Times New Roman"/>
          <w:b/>
          <w:bCs/>
          <w:i/>
          <w:iCs/>
          <w:color w:val="000000"/>
          <w:sz w:val="20"/>
          <w:szCs w:val="20"/>
        </w:rPr>
        <w:t>UGI comparator group</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Russell Midcap Utility Index, excluding telecommunications companies and beginning in Fiscal 2021, a custom UGI performance peer group</w:t>
      </w:r>
    </w:p>
    <w:p w14:paraId="488DC9F9" w14:textId="77777777" w:rsidR="00000000" w:rsidRDefault="00C1661D">
      <w:pPr>
        <w:jc w:val="both"/>
        <w:rPr>
          <w:rFonts w:eastAsia="Times New Roman"/>
        </w:rPr>
      </w:pPr>
    </w:p>
    <w:p w14:paraId="028A3F2F" w14:textId="77777777" w:rsidR="00000000" w:rsidRDefault="00C1661D">
      <w:pPr>
        <w:jc w:val="center"/>
        <w:divId w:val="756249242"/>
        <w:rPr>
          <w:rFonts w:eastAsia="Times New Roman"/>
        </w:rPr>
      </w:pPr>
      <w:r>
        <w:rPr>
          <w:rFonts w:eastAsia="Times New Roman"/>
          <w:color w:val="000000"/>
          <w:sz w:val="20"/>
          <w:szCs w:val="20"/>
        </w:rPr>
        <w:t>7</w:t>
      </w:r>
    </w:p>
    <w:p w14:paraId="0CA6ACDE" w14:textId="77777777" w:rsidR="00000000" w:rsidRDefault="00C1661D">
      <w:pPr>
        <w:rPr>
          <w:rFonts w:eastAsia="Times New Roman"/>
        </w:rPr>
      </w:pPr>
      <w:r>
        <w:rPr>
          <w:rFonts w:eastAsia="Times New Roman"/>
        </w:rPr>
        <w:pict w14:anchorId="095DCD54">
          <v:rect id="_x0000_i1032" style="width:0;height:1.5pt" o:hralign="center" o:hrstd="t" o:hr="t" fillcolor="#a0a0a0" stroked="f"/>
        </w:pict>
      </w:r>
    </w:p>
    <w:p w14:paraId="71427C5E" w14:textId="77777777" w:rsidR="00000000" w:rsidRDefault="00C1661D">
      <w:pPr>
        <w:divId w:val="333991119"/>
        <w:rPr>
          <w:rFonts w:eastAsia="Times New Roman"/>
        </w:rPr>
      </w:pPr>
      <w:hyperlink w:anchor="i3850c3c6c0104e42b9951aac2f16098a_7" w:history="1">
        <w:r>
          <w:rPr>
            <w:rStyle w:val="a3"/>
            <w:rFonts w:eastAsia="Times New Roman"/>
            <w:b/>
            <w:bCs/>
            <w:sz w:val="20"/>
            <w:szCs w:val="20"/>
          </w:rPr>
          <w:t>Table of Contents</w:t>
        </w:r>
      </w:hyperlink>
    </w:p>
    <w:p w14:paraId="1EAA0A11" w14:textId="77777777" w:rsidR="00000000" w:rsidRDefault="00C1661D">
      <w:pPr>
        <w:jc w:val="both"/>
        <w:rPr>
          <w:rFonts w:eastAsia="Times New Roman"/>
        </w:rPr>
      </w:pPr>
      <w:r>
        <w:rPr>
          <w:rFonts w:eastAsia="Times New Roman"/>
          <w:b/>
          <w:bCs/>
          <w:i/>
          <w:iCs/>
          <w:color w:val="000000"/>
          <w:sz w:val="20"/>
          <w:szCs w:val="20"/>
        </w:rPr>
        <w:t>UGI Corporation Senior Credit Facility</w:t>
      </w:r>
      <w:r>
        <w:rPr>
          <w:rFonts w:eastAsia="Times New Roman"/>
          <w:color w:val="000000"/>
          <w:sz w:val="20"/>
          <w:szCs w:val="20"/>
        </w:rPr>
        <w:t xml:space="preserve"> </w:t>
      </w:r>
      <w:r>
        <w:rPr>
          <w:rFonts w:eastAsia="Times New Roman"/>
          <w:b/>
          <w:bCs/>
          <w:i/>
          <w:iCs/>
          <w:color w:val="000000"/>
          <w:sz w:val="20"/>
          <w:szCs w:val="20"/>
        </w:rPr>
        <w:t xml:space="preserve">- </w:t>
      </w:r>
      <w:r>
        <w:rPr>
          <w:rFonts w:eastAsia="Times New Roman"/>
          <w:color w:val="000000"/>
          <w:sz w:val="20"/>
          <w:szCs w:val="20"/>
        </w:rPr>
        <w:t>An amended unsecured senior facilities agreement entered into on May 4, 2021, by UGI comprising (1) a $250 million term loan due August 2024; (2) a $300 million term loan due May 2025; (3) a $215 million term loan due May 2025 and (3) a five-year $300 mill</w:t>
      </w:r>
      <w:r>
        <w:rPr>
          <w:rFonts w:eastAsia="Times New Roman"/>
          <w:color w:val="000000"/>
          <w:sz w:val="20"/>
          <w:szCs w:val="20"/>
        </w:rPr>
        <w:t>ion revolving credit facility (including a $10 million sublimit for letters of credit)</w:t>
      </w:r>
    </w:p>
    <w:p w14:paraId="7C50F654" w14:textId="77777777" w:rsidR="00000000" w:rsidRDefault="00C1661D">
      <w:pPr>
        <w:jc w:val="both"/>
        <w:rPr>
          <w:rFonts w:eastAsia="Times New Roman"/>
        </w:rPr>
      </w:pPr>
    </w:p>
    <w:p w14:paraId="4906F1A5" w14:textId="77777777" w:rsidR="00000000" w:rsidRDefault="00C1661D">
      <w:pPr>
        <w:jc w:val="both"/>
        <w:rPr>
          <w:rFonts w:eastAsia="Times New Roman"/>
        </w:rPr>
      </w:pPr>
      <w:r>
        <w:rPr>
          <w:rFonts w:eastAsia="Times New Roman"/>
          <w:b/>
          <w:bCs/>
          <w:i/>
          <w:iCs/>
          <w:color w:val="000000"/>
          <w:sz w:val="20"/>
          <w:szCs w:val="20"/>
        </w:rPr>
        <w:t>UGI International 2.50% Senior Notes</w:t>
      </w:r>
      <w:r>
        <w:rPr>
          <w:rFonts w:eastAsia="Times New Roman"/>
          <w:color w:val="000000"/>
          <w:sz w:val="20"/>
          <w:szCs w:val="20"/>
        </w:rPr>
        <w:t xml:space="preserve"> – An underwritten private placement of €400 million principal amount of senior unsecured notes due December 1, 2029 issued by UGI </w:t>
      </w:r>
      <w:r>
        <w:rPr>
          <w:rFonts w:eastAsia="Times New Roman"/>
          <w:color w:val="000000"/>
          <w:sz w:val="20"/>
          <w:szCs w:val="20"/>
        </w:rPr>
        <w:t>International, LLC</w:t>
      </w:r>
    </w:p>
    <w:p w14:paraId="2A712DF8" w14:textId="77777777" w:rsidR="00000000" w:rsidRDefault="00C1661D">
      <w:pPr>
        <w:jc w:val="both"/>
        <w:rPr>
          <w:rFonts w:eastAsia="Times New Roman"/>
        </w:rPr>
      </w:pPr>
    </w:p>
    <w:p w14:paraId="52FD5391" w14:textId="77777777" w:rsidR="00000000" w:rsidRDefault="00C1661D">
      <w:pPr>
        <w:jc w:val="both"/>
        <w:rPr>
          <w:rFonts w:eastAsia="Times New Roman"/>
        </w:rPr>
      </w:pPr>
      <w:r>
        <w:rPr>
          <w:rFonts w:eastAsia="Times New Roman"/>
          <w:b/>
          <w:bCs/>
          <w:i/>
          <w:iCs/>
          <w:color w:val="000000"/>
          <w:sz w:val="20"/>
          <w:szCs w:val="20"/>
        </w:rPr>
        <w:t>UGI International 3.25% Senior Notes -</w:t>
      </w:r>
      <w:r>
        <w:rPr>
          <w:rFonts w:eastAsia="Times New Roman"/>
          <w:color w:val="000000"/>
          <w:sz w:val="20"/>
          <w:szCs w:val="20"/>
        </w:rPr>
        <w:t xml:space="preserve"> An underwritten private placement of €350 million principal amount of senior unsecured notes originally due November 1, 2025, issued by UGI International, LLC. The UGI International 3.25% Senior N</w:t>
      </w:r>
      <w:r>
        <w:rPr>
          <w:rFonts w:eastAsia="Times New Roman"/>
          <w:color w:val="000000"/>
          <w:sz w:val="20"/>
          <w:szCs w:val="20"/>
        </w:rPr>
        <w:t>otes were repaid</w:t>
      </w:r>
      <w:r>
        <w:rPr>
          <w:rFonts w:eastAsia="Times New Roman"/>
          <w:color w:val="000000"/>
        </w:rPr>
        <w:t xml:space="preserve"> </w:t>
      </w:r>
      <w:r>
        <w:rPr>
          <w:rFonts w:eastAsia="Times New Roman"/>
          <w:color w:val="000000"/>
          <w:sz w:val="20"/>
          <w:szCs w:val="20"/>
        </w:rPr>
        <w:t>in December 2021.</w:t>
      </w:r>
    </w:p>
    <w:p w14:paraId="5B7BBEA9" w14:textId="77777777" w:rsidR="00000000" w:rsidRDefault="00C1661D">
      <w:pPr>
        <w:jc w:val="both"/>
        <w:rPr>
          <w:rFonts w:eastAsia="Times New Roman"/>
        </w:rPr>
      </w:pPr>
    </w:p>
    <w:p w14:paraId="354E4332" w14:textId="77777777" w:rsidR="00000000" w:rsidRDefault="00C1661D">
      <w:pPr>
        <w:jc w:val="both"/>
        <w:rPr>
          <w:rFonts w:eastAsia="Times New Roman"/>
        </w:rPr>
      </w:pPr>
      <w:r>
        <w:rPr>
          <w:rFonts w:eastAsia="Times New Roman"/>
          <w:b/>
          <w:bCs/>
          <w:i/>
          <w:iCs/>
          <w:color w:val="000000"/>
          <w:sz w:val="20"/>
          <w:szCs w:val="20"/>
        </w:rPr>
        <w:t xml:space="preserve">UGI International Credit Facilities Agreement - </w:t>
      </w:r>
      <w:r>
        <w:rPr>
          <w:rFonts w:eastAsia="Times New Roman"/>
          <w:color w:val="000000"/>
          <w:sz w:val="20"/>
          <w:szCs w:val="20"/>
        </w:rPr>
        <w:t>A five-year unsecured senior facilities agreement entered into in October 2018, by UGI International, LLC comprising a €300 million term loan facility and a €300 million r</w:t>
      </w:r>
      <w:r>
        <w:rPr>
          <w:rFonts w:eastAsia="Times New Roman"/>
          <w:color w:val="000000"/>
          <w:sz w:val="20"/>
          <w:szCs w:val="20"/>
        </w:rPr>
        <w:t>evolving credit facility, scheduled to expire in October 2023</w:t>
      </w:r>
    </w:p>
    <w:p w14:paraId="16749AED" w14:textId="77777777" w:rsidR="00000000" w:rsidRDefault="00C1661D">
      <w:pPr>
        <w:jc w:val="both"/>
        <w:rPr>
          <w:rFonts w:eastAsia="Times New Roman"/>
        </w:rPr>
      </w:pPr>
    </w:p>
    <w:p w14:paraId="12682DB3" w14:textId="77777777" w:rsidR="00000000" w:rsidRDefault="00C1661D">
      <w:pPr>
        <w:jc w:val="both"/>
        <w:rPr>
          <w:rFonts w:eastAsia="Times New Roman"/>
        </w:rPr>
      </w:pPr>
      <w:r>
        <w:rPr>
          <w:rFonts w:eastAsia="Times New Roman"/>
          <w:b/>
          <w:bCs/>
          <w:i/>
          <w:iCs/>
          <w:color w:val="000000"/>
          <w:sz w:val="20"/>
          <w:szCs w:val="20"/>
        </w:rPr>
        <w:t xml:space="preserve">UGI Performance Units - </w:t>
      </w:r>
      <w:r>
        <w:rPr>
          <w:rFonts w:eastAsia="Times New Roman"/>
          <w:color w:val="000000"/>
          <w:sz w:val="20"/>
          <w:szCs w:val="20"/>
        </w:rPr>
        <w:t>Unit awards that entitle the grantee to shares of UGI Common Stock or cash subject to service and market performance conditions</w:t>
      </w:r>
    </w:p>
    <w:p w14:paraId="41ADD6F6" w14:textId="77777777" w:rsidR="00000000" w:rsidRDefault="00C1661D">
      <w:pPr>
        <w:jc w:val="both"/>
        <w:rPr>
          <w:rFonts w:eastAsia="Times New Roman"/>
        </w:rPr>
      </w:pPr>
    </w:p>
    <w:p w14:paraId="451C7847" w14:textId="77777777" w:rsidR="00000000" w:rsidRDefault="00C1661D">
      <w:pPr>
        <w:jc w:val="both"/>
        <w:rPr>
          <w:rFonts w:eastAsia="Times New Roman"/>
        </w:rPr>
      </w:pPr>
      <w:r>
        <w:rPr>
          <w:rFonts w:eastAsia="Times New Roman"/>
          <w:b/>
          <w:bCs/>
          <w:i/>
          <w:iCs/>
          <w:color w:val="000000"/>
          <w:sz w:val="20"/>
          <w:szCs w:val="20"/>
        </w:rPr>
        <w:t>UGI Utilities Credit Agreement</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 fiv</w:t>
      </w:r>
      <w:r>
        <w:rPr>
          <w:rFonts w:eastAsia="Times New Roman"/>
          <w:color w:val="000000"/>
          <w:sz w:val="20"/>
          <w:szCs w:val="20"/>
        </w:rPr>
        <w:t>e-year unsecured revolving credit agreement entered into by UGI Utilities on June 27, 2019, providing for borrowings up to $350 million, including a letter of credit subfacility of up to $100 million, scheduled to expire in June 2024</w:t>
      </w:r>
    </w:p>
    <w:p w14:paraId="703F1E9F" w14:textId="77777777" w:rsidR="00000000" w:rsidRDefault="00C1661D">
      <w:pPr>
        <w:jc w:val="both"/>
        <w:rPr>
          <w:rFonts w:eastAsia="Times New Roman"/>
        </w:rPr>
      </w:pPr>
    </w:p>
    <w:p w14:paraId="4086AA01" w14:textId="77777777" w:rsidR="00000000" w:rsidRDefault="00C1661D">
      <w:pPr>
        <w:jc w:val="both"/>
        <w:rPr>
          <w:rFonts w:eastAsia="Times New Roman"/>
        </w:rPr>
      </w:pPr>
      <w:r>
        <w:rPr>
          <w:rFonts w:eastAsia="Times New Roman"/>
          <w:b/>
          <w:bCs/>
          <w:i/>
          <w:iCs/>
          <w:color w:val="000000"/>
          <w:sz w:val="20"/>
          <w:szCs w:val="20"/>
        </w:rPr>
        <w:t>USD -</w:t>
      </w:r>
      <w:r>
        <w:rPr>
          <w:rFonts w:eastAsia="Times New Roman"/>
          <w:color w:val="000000"/>
          <w:sz w:val="20"/>
          <w:szCs w:val="20"/>
        </w:rPr>
        <w:t xml:space="preserve"> U.S. dollar</w:t>
      </w:r>
    </w:p>
    <w:p w14:paraId="0934C61A" w14:textId="77777777" w:rsidR="00000000" w:rsidRDefault="00C1661D">
      <w:pPr>
        <w:jc w:val="both"/>
        <w:rPr>
          <w:rFonts w:eastAsia="Times New Roman"/>
        </w:rPr>
      </w:pPr>
    </w:p>
    <w:p w14:paraId="48A08FD6" w14:textId="77777777" w:rsidR="00000000" w:rsidRDefault="00C1661D">
      <w:pPr>
        <w:jc w:val="both"/>
        <w:rPr>
          <w:rFonts w:eastAsia="Times New Roman"/>
        </w:rPr>
      </w:pPr>
      <w:r>
        <w:rPr>
          <w:rFonts w:eastAsia="Times New Roman"/>
          <w:b/>
          <w:bCs/>
          <w:i/>
          <w:iCs/>
          <w:color w:val="000000"/>
          <w:sz w:val="20"/>
          <w:szCs w:val="20"/>
        </w:rPr>
        <w:t>U.S. Pension Plans -</w:t>
      </w:r>
      <w:r>
        <w:rPr>
          <w:rFonts w:eastAsia="Times New Roman"/>
          <w:color w:val="000000"/>
          <w:sz w:val="20"/>
          <w:szCs w:val="20"/>
        </w:rPr>
        <w:t xml:space="preserve"> Consists of (1) a defined benefit pension plan for employees hired prior to January 1, 2009 of UGI, UGI Utilities and certain of UGI’s other domestic wholly owned subsidiaries; and (2) a defined benefit pension plan for substantially a</w:t>
      </w:r>
      <w:r>
        <w:rPr>
          <w:rFonts w:eastAsia="Times New Roman"/>
          <w:color w:val="000000"/>
          <w:sz w:val="20"/>
          <w:szCs w:val="20"/>
        </w:rPr>
        <w:t>ll Mountaineer employees</w:t>
      </w:r>
    </w:p>
    <w:p w14:paraId="52BAEE04" w14:textId="77777777" w:rsidR="00000000" w:rsidRDefault="00C1661D">
      <w:pPr>
        <w:jc w:val="both"/>
        <w:rPr>
          <w:rFonts w:eastAsia="Times New Roman"/>
        </w:rPr>
      </w:pPr>
    </w:p>
    <w:p w14:paraId="6849F128" w14:textId="77777777" w:rsidR="00000000" w:rsidRDefault="00C1661D">
      <w:pPr>
        <w:jc w:val="both"/>
        <w:rPr>
          <w:rFonts w:eastAsia="Times New Roman"/>
        </w:rPr>
      </w:pPr>
      <w:r>
        <w:rPr>
          <w:rFonts w:eastAsia="Times New Roman"/>
          <w:b/>
          <w:bCs/>
          <w:i/>
          <w:iCs/>
          <w:color w:val="000000"/>
          <w:sz w:val="20"/>
          <w:szCs w:val="20"/>
        </w:rPr>
        <w:t>Utilities Term Loan</w:t>
      </w:r>
      <w:r>
        <w:rPr>
          <w:rFonts w:eastAsia="Times New Roman"/>
          <w:color w:val="000000"/>
          <w:sz w:val="20"/>
          <w:szCs w:val="20"/>
        </w:rPr>
        <w:t xml:space="preserve"> </w:t>
      </w:r>
      <w:r>
        <w:rPr>
          <w:rFonts w:eastAsia="Times New Roman"/>
          <w:color w:val="000000"/>
          <w:sz w:val="20"/>
          <w:szCs w:val="20"/>
        </w:rPr>
        <w:t>- A $125 million unsecured variable-rate term loan agreement entered into in October 2017, by UGI Utilities, Inc., which was amended in July 2022 to extend its maturity date from October 2022 to July 2027</w:t>
      </w:r>
    </w:p>
    <w:p w14:paraId="77B58656" w14:textId="77777777" w:rsidR="00000000" w:rsidRDefault="00C1661D">
      <w:pPr>
        <w:jc w:val="both"/>
        <w:rPr>
          <w:rFonts w:eastAsia="Times New Roman"/>
        </w:rPr>
      </w:pPr>
    </w:p>
    <w:p w14:paraId="09EF8649" w14:textId="77777777" w:rsidR="00000000" w:rsidRDefault="00C1661D">
      <w:pPr>
        <w:jc w:val="both"/>
        <w:rPr>
          <w:rFonts w:eastAsia="Times New Roman"/>
        </w:rPr>
      </w:pPr>
      <w:r>
        <w:rPr>
          <w:rFonts w:eastAsia="Times New Roman"/>
          <w:b/>
          <w:bCs/>
          <w:i/>
          <w:iCs/>
          <w:color w:val="000000"/>
          <w:sz w:val="20"/>
          <w:szCs w:val="20"/>
        </w:rPr>
        <w:t>VEBA -</w:t>
      </w:r>
      <w:r>
        <w:rPr>
          <w:rFonts w:eastAsia="Times New Roman"/>
          <w:color w:val="000000"/>
          <w:sz w:val="20"/>
          <w:szCs w:val="20"/>
        </w:rPr>
        <w:t xml:space="preserve"> Voluntary Employees’ Beneficiary Associati</w:t>
      </w:r>
      <w:r>
        <w:rPr>
          <w:rFonts w:eastAsia="Times New Roman"/>
          <w:color w:val="000000"/>
          <w:sz w:val="20"/>
          <w:szCs w:val="20"/>
        </w:rPr>
        <w:t>on</w:t>
      </w:r>
    </w:p>
    <w:p w14:paraId="44FF4781" w14:textId="77777777" w:rsidR="00000000" w:rsidRDefault="00C1661D">
      <w:pPr>
        <w:jc w:val="both"/>
        <w:rPr>
          <w:rFonts w:eastAsia="Times New Roman"/>
        </w:rPr>
      </w:pPr>
    </w:p>
    <w:p w14:paraId="1067076B" w14:textId="77777777" w:rsidR="00000000" w:rsidRDefault="00C1661D">
      <w:pPr>
        <w:jc w:val="both"/>
        <w:rPr>
          <w:rFonts w:eastAsia="Times New Roman"/>
        </w:rPr>
      </w:pPr>
      <w:r>
        <w:rPr>
          <w:rFonts w:eastAsia="Times New Roman"/>
          <w:b/>
          <w:bCs/>
          <w:i/>
          <w:iCs/>
          <w:color w:val="000000"/>
          <w:sz w:val="20"/>
          <w:szCs w:val="20"/>
        </w:rPr>
        <w:t>WHO</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World Health Organization</w:t>
      </w:r>
    </w:p>
    <w:p w14:paraId="5B944865" w14:textId="77777777" w:rsidR="00000000" w:rsidRDefault="00C1661D">
      <w:pPr>
        <w:jc w:val="both"/>
        <w:rPr>
          <w:rFonts w:eastAsia="Times New Roman"/>
        </w:rPr>
      </w:pPr>
    </w:p>
    <w:p w14:paraId="62AA3131" w14:textId="77777777" w:rsidR="00000000" w:rsidRDefault="00C1661D">
      <w:pPr>
        <w:jc w:val="both"/>
        <w:rPr>
          <w:rFonts w:eastAsia="Times New Roman"/>
        </w:rPr>
      </w:pPr>
      <w:r>
        <w:rPr>
          <w:rFonts w:eastAsia="Times New Roman"/>
          <w:b/>
          <w:bCs/>
          <w:i/>
          <w:iCs/>
          <w:color w:val="000000"/>
          <w:sz w:val="20"/>
          <w:szCs w:val="20"/>
        </w:rPr>
        <w:t>WVPSC</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Public Service Commission of West Virginia</w:t>
      </w:r>
    </w:p>
    <w:p w14:paraId="362E1139" w14:textId="77777777" w:rsidR="00000000" w:rsidRDefault="00C1661D">
      <w:pPr>
        <w:jc w:val="center"/>
        <w:divId w:val="1150099312"/>
        <w:rPr>
          <w:rFonts w:eastAsia="Times New Roman"/>
        </w:rPr>
      </w:pPr>
      <w:r>
        <w:rPr>
          <w:rFonts w:eastAsia="Times New Roman"/>
          <w:color w:val="000000"/>
          <w:sz w:val="20"/>
          <w:szCs w:val="20"/>
        </w:rPr>
        <w:t>8</w:t>
      </w:r>
    </w:p>
    <w:p w14:paraId="20578B2E" w14:textId="77777777" w:rsidR="00000000" w:rsidRDefault="00C1661D">
      <w:pPr>
        <w:rPr>
          <w:rFonts w:eastAsia="Times New Roman"/>
        </w:rPr>
      </w:pPr>
      <w:r>
        <w:rPr>
          <w:rFonts w:eastAsia="Times New Roman"/>
        </w:rPr>
        <w:pict w14:anchorId="6E9ACFA7">
          <v:rect id="_x0000_i1033" style="width:0;height:1.5pt" o:hralign="center" o:hrstd="t" o:hr="t" fillcolor="#a0a0a0" stroked="f"/>
        </w:pict>
      </w:r>
    </w:p>
    <w:p w14:paraId="59832486" w14:textId="77777777" w:rsidR="00000000" w:rsidRDefault="00C1661D">
      <w:pPr>
        <w:divId w:val="391779536"/>
        <w:rPr>
          <w:rFonts w:eastAsia="Times New Roman"/>
        </w:rPr>
      </w:pPr>
      <w:hyperlink w:anchor="i3850c3c6c0104e42b9951aac2f16098a_7" w:history="1">
        <w:r>
          <w:rPr>
            <w:rStyle w:val="a3"/>
            <w:rFonts w:eastAsia="Times New Roman"/>
            <w:b/>
            <w:bCs/>
            <w:sz w:val="20"/>
            <w:szCs w:val="20"/>
          </w:rPr>
          <w:t>Table of Contents</w:t>
        </w:r>
      </w:hyperlink>
    </w:p>
    <w:p w14:paraId="171D0718" w14:textId="77777777" w:rsidR="00000000" w:rsidRDefault="00C1661D">
      <w:pPr>
        <w:jc w:val="both"/>
        <w:rPr>
          <w:rFonts w:eastAsia="Times New Roman"/>
        </w:rPr>
      </w:pPr>
      <w:r>
        <w:rPr>
          <w:rFonts w:eastAsia="Times New Roman"/>
          <w:b/>
          <w:bCs/>
          <w:color w:val="000000"/>
          <w:sz w:val="20"/>
          <w:szCs w:val="20"/>
        </w:rPr>
        <w:t>FORWARD-LOOKING INFORMATION</w:t>
      </w:r>
    </w:p>
    <w:p w14:paraId="4FA5D219" w14:textId="77777777" w:rsidR="00000000" w:rsidRDefault="00C1661D">
      <w:pPr>
        <w:divId w:val="1969781201"/>
        <w:rPr>
          <w:rFonts w:eastAsia="Times New Roman"/>
        </w:rPr>
      </w:pPr>
    </w:p>
    <w:p w14:paraId="2779F3A2" w14:textId="77777777" w:rsidR="00000000" w:rsidRDefault="00C1661D">
      <w:pPr>
        <w:jc w:val="both"/>
        <w:rPr>
          <w:rFonts w:eastAsia="Times New Roman"/>
        </w:rPr>
      </w:pPr>
      <w:r>
        <w:rPr>
          <w:rFonts w:eastAsia="Times New Roman"/>
          <w:color w:val="000000"/>
          <w:sz w:val="20"/>
          <w:szCs w:val="20"/>
        </w:rPr>
        <w:t>Information contained in this Annual Report on Form 10-K contains forward-looking statements within the meaning of Section 27A of the Securities Act of 1933, as amended, and Section 21E of the Securities Exchange Act of 1934, as amended. Such statements us</w:t>
      </w:r>
      <w:r>
        <w:rPr>
          <w:rFonts w:eastAsia="Times New Roman"/>
          <w:color w:val="000000"/>
          <w:sz w:val="20"/>
          <w:szCs w:val="20"/>
        </w:rPr>
        <w:t>e forward-looking words such as “believe,” “plan,” “anticipate,” “continue,” “estimate,” “expect,” “may,” or other similar words and terms of similar meaning, although not all forward-looking statements contain such words. These statements discuss plans, s</w:t>
      </w:r>
      <w:r>
        <w:rPr>
          <w:rFonts w:eastAsia="Times New Roman"/>
          <w:color w:val="000000"/>
          <w:sz w:val="20"/>
          <w:szCs w:val="20"/>
        </w:rPr>
        <w:t>trategies, events or developments that we expect or anticipate will or may occur in the future. All forward-looking statements made in this Report rely upon the safe harbor protections provided under the Private Securities Litigation Reform Act of 1995.</w:t>
      </w:r>
    </w:p>
    <w:p w14:paraId="0C844C92" w14:textId="77777777" w:rsidR="00000000" w:rsidRDefault="00C1661D">
      <w:pPr>
        <w:jc w:val="both"/>
        <w:rPr>
          <w:rFonts w:eastAsia="Times New Roman"/>
        </w:rPr>
      </w:pPr>
    </w:p>
    <w:p w14:paraId="4A7A31CA" w14:textId="77777777" w:rsidR="00000000" w:rsidRDefault="00C1661D">
      <w:pPr>
        <w:jc w:val="both"/>
        <w:rPr>
          <w:rFonts w:eastAsia="Times New Roman"/>
        </w:rPr>
      </w:pPr>
      <w:r>
        <w:rPr>
          <w:rFonts w:eastAsia="Times New Roman"/>
          <w:color w:val="000000"/>
          <w:sz w:val="20"/>
          <w:szCs w:val="20"/>
        </w:rPr>
        <w:t xml:space="preserve">A forward-looking statement may include a statement of the assumptions or bases underlying the forward-looking statement. We believe that we have chosen these assumptions or bases in good faith and that they are reasonable. However, we caution you against </w:t>
      </w:r>
      <w:r>
        <w:rPr>
          <w:rFonts w:eastAsia="Times New Roman"/>
          <w:color w:val="000000"/>
          <w:sz w:val="20"/>
          <w:szCs w:val="20"/>
        </w:rPr>
        <w:t>relying on any forward-looking statement as these statements are subject to risks and uncertainties that may cause actual results to vary from assumed facts or bases, and the differences between actual results and assumed facts or bases can be material, de</w:t>
      </w:r>
      <w:r>
        <w:rPr>
          <w:rFonts w:eastAsia="Times New Roman"/>
          <w:color w:val="000000"/>
          <w:sz w:val="20"/>
          <w:szCs w:val="20"/>
        </w:rPr>
        <w:t xml:space="preserve">pending on the circumstances. When considering forward-looking statements, you should keep in mind our Risk Factors included in Item 1A herein and the following important factors that could affect our future results and could cause those results to differ </w:t>
      </w:r>
      <w:r>
        <w:rPr>
          <w:rFonts w:eastAsia="Times New Roman"/>
          <w:color w:val="000000"/>
          <w:sz w:val="20"/>
          <w:szCs w:val="20"/>
        </w:rPr>
        <w:t>materially from those expressed in our forward-looking statements: (1) weather conditions, including increasingly uncertain weather patterns due to climate change, resulting in reduced demand, the seasonal nature of our business, and disruptions in our ope</w:t>
      </w:r>
      <w:r>
        <w:rPr>
          <w:rFonts w:eastAsia="Times New Roman"/>
          <w:color w:val="000000"/>
          <w:sz w:val="20"/>
          <w:szCs w:val="20"/>
        </w:rPr>
        <w:t>rations and supply chain; (2) cost volatility and availability of energy products, including propane and other LPG, electricity, and natural gas, as well as the availability of LPG cylinders, and the capacity to transport product to our customers; (3) chan</w:t>
      </w:r>
      <w:r>
        <w:rPr>
          <w:rFonts w:eastAsia="Times New Roman"/>
          <w:color w:val="000000"/>
          <w:sz w:val="20"/>
          <w:szCs w:val="20"/>
        </w:rPr>
        <w:t>ges in domestic and foreign laws and regulations, including safety, health, tax, transportation, consumer protection, data privacy, accounting, and environmental matters, such as regulatory responses to climate change; (4) inability to timely recover costs</w:t>
      </w:r>
      <w:r>
        <w:rPr>
          <w:rFonts w:eastAsia="Times New Roman"/>
          <w:color w:val="000000"/>
          <w:sz w:val="20"/>
          <w:szCs w:val="20"/>
        </w:rPr>
        <w:t xml:space="preserve"> through utility rate proceedings; (5) the impact of pending and future legal or regulatory proceedings, inquiries or investigations; (6) competitive pressures from the same and alternative energy sources; (7) failure to acquire new customers or retain cur</w:t>
      </w:r>
      <w:r>
        <w:rPr>
          <w:rFonts w:eastAsia="Times New Roman"/>
          <w:color w:val="000000"/>
          <w:sz w:val="20"/>
          <w:szCs w:val="20"/>
        </w:rPr>
        <w:t>rent customers thereby reducing or limiting any increase in revenues; (8) liability for environmental claims; (9) increased customer conservation measures due to high energy prices and improvements in energy efficiency and technology resulting in reduced d</w:t>
      </w:r>
      <w:r>
        <w:rPr>
          <w:rFonts w:eastAsia="Times New Roman"/>
          <w:color w:val="000000"/>
          <w:sz w:val="20"/>
          <w:szCs w:val="20"/>
        </w:rPr>
        <w:t>emand; (10) adverse labor relations and our ability to address existing or potential workforce shortages; (11) customer, counterparty, supplier, or vendor defaults; (12) liability for uninsured claims and for claims in excess of insurance coverage, includi</w:t>
      </w:r>
      <w:r>
        <w:rPr>
          <w:rFonts w:eastAsia="Times New Roman"/>
          <w:color w:val="000000"/>
          <w:sz w:val="20"/>
          <w:szCs w:val="20"/>
        </w:rPr>
        <w:t>ng those for personal injury and property damage arising from explosions, acts of war, terrorism, natural disasters, pandemics, and other catastrophic events that may result from operating hazards and risks incidental to generating and distributing electri</w:t>
      </w:r>
      <w:r>
        <w:rPr>
          <w:rFonts w:eastAsia="Times New Roman"/>
          <w:color w:val="000000"/>
          <w:sz w:val="20"/>
          <w:szCs w:val="20"/>
        </w:rPr>
        <w:t>city and transporting, storing and distributing natural gas and LPG in all forms; (13) transmission or distribution system service interruptions; (14) political, regulatory and economic conditions in the United States, Europe and other foreign countries, i</w:t>
      </w:r>
      <w:r>
        <w:rPr>
          <w:rFonts w:eastAsia="Times New Roman"/>
          <w:color w:val="000000"/>
          <w:sz w:val="20"/>
          <w:szCs w:val="20"/>
        </w:rPr>
        <w:t>ncluding uncertainties related to the war between Russia and Ukraine, the European energy crisis, and foreign currency exchange rate fluctuations, particularly the euro; (15) credit and capital market conditions, including reduced access to capital markets</w:t>
      </w:r>
      <w:r>
        <w:rPr>
          <w:rFonts w:eastAsia="Times New Roman"/>
          <w:color w:val="000000"/>
          <w:sz w:val="20"/>
          <w:szCs w:val="20"/>
        </w:rPr>
        <w:t xml:space="preserve"> and interest rate fluctuations; (16) changes in commodity market prices resulting in significantly higher cash collateral requirements; (17) impacts of our indebtedness and the restrictive covenants in our debt agreements; (18) reduced distributions from </w:t>
      </w:r>
      <w:r>
        <w:rPr>
          <w:rFonts w:eastAsia="Times New Roman"/>
          <w:color w:val="000000"/>
          <w:sz w:val="20"/>
          <w:szCs w:val="20"/>
        </w:rPr>
        <w:t>subsidiaries impacting the ability to pay dividends or service debt; (19) changes in Marcellus and Utica Shale gas production; (20) the availability, timing and success of our acquisitions, commercial initiatives and investments to grow our businesses; (21</w:t>
      </w:r>
      <w:r>
        <w:rPr>
          <w:rFonts w:eastAsia="Times New Roman"/>
          <w:color w:val="000000"/>
          <w:sz w:val="20"/>
          <w:szCs w:val="20"/>
        </w:rPr>
        <w:t>) our ability to successfully integrate acquired businesses and achieve anticipated synergies; (22) the interruption, disruption, failure, malfunction, or breach of our information technology systems, and those of our third-party vendors or service provide</w:t>
      </w:r>
      <w:r>
        <w:rPr>
          <w:rFonts w:eastAsia="Times New Roman"/>
          <w:color w:val="000000"/>
          <w:sz w:val="20"/>
          <w:szCs w:val="20"/>
        </w:rPr>
        <w:t>rs, including due to cyber attack; (23) the inability to complete pending or future energy infrastructure projects; (24) our ability to achieve the operational benefits and cost efficiencies expected from the completion of pending and future business trans</w:t>
      </w:r>
      <w:r>
        <w:rPr>
          <w:rFonts w:eastAsia="Times New Roman"/>
          <w:color w:val="000000"/>
          <w:sz w:val="20"/>
          <w:szCs w:val="20"/>
        </w:rPr>
        <w:t>formation initiatives, including the impact of customer service disruptions resulting in potential customer loss due to the transformation activities; (25) our ability to attract, develop, retain and engage key employees; (26) uncertainties related to a gl</w:t>
      </w:r>
      <w:r>
        <w:rPr>
          <w:rFonts w:eastAsia="Times New Roman"/>
          <w:color w:val="000000"/>
          <w:sz w:val="20"/>
          <w:szCs w:val="20"/>
        </w:rPr>
        <w:t>obal pandemic, including the duration and/or impact of the COVID-19 pandemic; (27) the impact of proposed or future tax legislation; (28) the impact of declines in the stock market or bond market, and a low interest rate environment, on our pension liabili</w:t>
      </w:r>
      <w:r>
        <w:rPr>
          <w:rFonts w:eastAsia="Times New Roman"/>
          <w:color w:val="000000"/>
          <w:sz w:val="20"/>
          <w:szCs w:val="20"/>
        </w:rPr>
        <w:t>ty; (29) our ability to protect our intellectual property; and (30) our ability to overcome supply chain issues that may result in delays or shortages in, as well as increased costs of, equipment, materials or other resources that are critical to our busin</w:t>
      </w:r>
      <w:r>
        <w:rPr>
          <w:rFonts w:eastAsia="Times New Roman"/>
          <w:color w:val="000000"/>
          <w:sz w:val="20"/>
          <w:szCs w:val="20"/>
        </w:rPr>
        <w:t>ess operations.</w:t>
      </w:r>
    </w:p>
    <w:p w14:paraId="4CD4E76D" w14:textId="77777777" w:rsidR="00000000" w:rsidRDefault="00C1661D">
      <w:pPr>
        <w:jc w:val="both"/>
        <w:rPr>
          <w:rFonts w:eastAsia="Times New Roman"/>
        </w:rPr>
      </w:pPr>
    </w:p>
    <w:p w14:paraId="1EBF20A8" w14:textId="77777777" w:rsidR="00000000" w:rsidRDefault="00C1661D">
      <w:pPr>
        <w:jc w:val="both"/>
        <w:rPr>
          <w:rFonts w:eastAsia="Times New Roman"/>
        </w:rPr>
      </w:pPr>
      <w:r>
        <w:rPr>
          <w:rFonts w:eastAsia="Times New Roman"/>
          <w:color w:val="000000"/>
          <w:sz w:val="20"/>
          <w:szCs w:val="20"/>
        </w:rPr>
        <w:t>These factors are not necessarily all of the important factors that could cause actual results to differ materially from those expressed in any of our forward-looking statements. Other unknown or unpredictable factors could also have mate</w:t>
      </w:r>
      <w:r>
        <w:rPr>
          <w:rFonts w:eastAsia="Times New Roman"/>
          <w:color w:val="000000"/>
          <w:sz w:val="20"/>
          <w:szCs w:val="20"/>
        </w:rPr>
        <w:t>rial adverse effects on future results. Any forward-looking statement speaks only as of the date on which such statement is made. We undertake no obligation (and expressly disclaim any obligation) to update publicly any forward-looking statement whether as</w:t>
      </w:r>
      <w:r>
        <w:rPr>
          <w:rFonts w:eastAsia="Times New Roman"/>
          <w:color w:val="000000"/>
          <w:sz w:val="20"/>
          <w:szCs w:val="20"/>
        </w:rPr>
        <w:t xml:space="preserve"> a result of new information or future events except as required by the federal securities laws.</w:t>
      </w:r>
    </w:p>
    <w:p w14:paraId="2554A1A1" w14:textId="77777777" w:rsidR="00000000" w:rsidRDefault="00C1661D">
      <w:pPr>
        <w:jc w:val="both"/>
        <w:rPr>
          <w:rFonts w:eastAsia="Times New Roman"/>
        </w:rPr>
      </w:pPr>
    </w:p>
    <w:p w14:paraId="3AC953BD" w14:textId="77777777" w:rsidR="00000000" w:rsidRDefault="00C1661D">
      <w:pPr>
        <w:jc w:val="both"/>
        <w:rPr>
          <w:rFonts w:eastAsia="Times New Roman"/>
        </w:rPr>
      </w:pPr>
      <w:r>
        <w:rPr>
          <w:rFonts w:eastAsia="Times New Roman"/>
          <w:b/>
          <w:bCs/>
          <w:color w:val="000000"/>
          <w:sz w:val="20"/>
          <w:szCs w:val="20"/>
        </w:rPr>
        <w:t>PART I:</w:t>
      </w:r>
    </w:p>
    <w:p w14:paraId="589E409E" w14:textId="77777777" w:rsidR="00000000" w:rsidRDefault="00C1661D">
      <w:pPr>
        <w:jc w:val="both"/>
        <w:rPr>
          <w:rFonts w:eastAsia="Times New Roman"/>
        </w:rPr>
      </w:pPr>
    </w:p>
    <w:p w14:paraId="4A21C7C3" w14:textId="77777777" w:rsidR="00000000" w:rsidRDefault="00C1661D">
      <w:pPr>
        <w:jc w:val="both"/>
        <w:rPr>
          <w:rFonts w:eastAsia="Times New Roman"/>
        </w:rPr>
      </w:pPr>
      <w:r>
        <w:rPr>
          <w:rFonts w:eastAsia="Times New Roman"/>
          <w:b/>
          <w:bCs/>
          <w:color w:val="000000"/>
          <w:sz w:val="20"/>
          <w:szCs w:val="20"/>
        </w:rPr>
        <w:t>ITEMS 1. AND 2. BUSINESS AND PROPERTIES</w:t>
      </w:r>
    </w:p>
    <w:p w14:paraId="0CF95FEE" w14:textId="77777777" w:rsidR="00000000" w:rsidRDefault="00C1661D">
      <w:pPr>
        <w:jc w:val="both"/>
        <w:divId w:val="2101752108"/>
        <w:rPr>
          <w:rFonts w:eastAsia="Times New Roman"/>
        </w:rPr>
      </w:pPr>
      <w:r>
        <w:rPr>
          <w:rFonts w:eastAsia="Times New Roman"/>
          <w:b/>
          <w:bCs/>
          <w:color w:val="000000"/>
          <w:sz w:val="20"/>
          <w:szCs w:val="20"/>
        </w:rPr>
        <w:t>CORPORATE OVERVIEW</w:t>
      </w:r>
    </w:p>
    <w:p w14:paraId="55E1EA01" w14:textId="77777777" w:rsidR="00000000" w:rsidRDefault="00C1661D">
      <w:pPr>
        <w:jc w:val="both"/>
        <w:rPr>
          <w:rFonts w:eastAsia="Times New Roman"/>
        </w:rPr>
      </w:pPr>
    </w:p>
    <w:p w14:paraId="56DAF936" w14:textId="77777777" w:rsidR="00000000" w:rsidRDefault="00C1661D">
      <w:pPr>
        <w:jc w:val="both"/>
        <w:rPr>
          <w:rFonts w:eastAsia="Times New Roman"/>
        </w:rPr>
      </w:pPr>
      <w:r>
        <w:rPr>
          <w:rFonts w:eastAsia="Times New Roman"/>
          <w:color w:val="000000"/>
          <w:sz w:val="20"/>
          <w:szCs w:val="20"/>
        </w:rPr>
        <w:t>UGI Corporation is a holding company that, through subsidiaries and affiliates, distri</w:t>
      </w:r>
      <w:r>
        <w:rPr>
          <w:rFonts w:eastAsia="Times New Roman"/>
          <w:color w:val="000000"/>
          <w:sz w:val="20"/>
          <w:szCs w:val="20"/>
        </w:rPr>
        <w:t xml:space="preserve">butes, stores, transports and markets energy products and related services. In the U.S., we own and operate (1) a retail propane marketing and distribution business, </w:t>
      </w:r>
    </w:p>
    <w:p w14:paraId="29976615" w14:textId="77777777" w:rsidR="00000000" w:rsidRDefault="00C1661D">
      <w:pPr>
        <w:jc w:val="center"/>
        <w:divId w:val="137184278"/>
        <w:rPr>
          <w:rFonts w:eastAsia="Times New Roman"/>
        </w:rPr>
      </w:pPr>
      <w:r>
        <w:rPr>
          <w:rFonts w:eastAsia="Times New Roman"/>
          <w:color w:val="000000"/>
          <w:sz w:val="20"/>
          <w:szCs w:val="20"/>
        </w:rPr>
        <w:t>9</w:t>
      </w:r>
    </w:p>
    <w:p w14:paraId="303408D3" w14:textId="77777777" w:rsidR="00000000" w:rsidRDefault="00C1661D">
      <w:pPr>
        <w:rPr>
          <w:rFonts w:eastAsia="Times New Roman"/>
        </w:rPr>
      </w:pPr>
      <w:r>
        <w:rPr>
          <w:rFonts w:eastAsia="Times New Roman"/>
        </w:rPr>
        <w:pict w14:anchorId="441D2617">
          <v:rect id="_x0000_i1034" style="width:0;height:1.5pt" o:hralign="center" o:hrstd="t" o:hr="t" fillcolor="#a0a0a0" stroked="f"/>
        </w:pict>
      </w:r>
    </w:p>
    <w:p w14:paraId="57434E48" w14:textId="77777777" w:rsidR="00000000" w:rsidRDefault="00C1661D">
      <w:pPr>
        <w:divId w:val="753628579"/>
        <w:rPr>
          <w:rFonts w:eastAsia="Times New Roman"/>
        </w:rPr>
      </w:pPr>
      <w:hyperlink w:anchor="i3850c3c6c0104e42b9951aac2f16098a_7" w:history="1">
        <w:r>
          <w:rPr>
            <w:rStyle w:val="a3"/>
            <w:rFonts w:eastAsia="Times New Roman"/>
            <w:b/>
            <w:bCs/>
            <w:sz w:val="20"/>
            <w:szCs w:val="20"/>
          </w:rPr>
          <w:t>Table of Contents</w:t>
        </w:r>
      </w:hyperlink>
    </w:p>
    <w:p w14:paraId="4C1F12DF" w14:textId="77777777" w:rsidR="00000000" w:rsidRDefault="00C1661D">
      <w:pPr>
        <w:jc w:val="both"/>
        <w:rPr>
          <w:rFonts w:eastAsia="Times New Roman"/>
        </w:rPr>
      </w:pPr>
      <w:r>
        <w:rPr>
          <w:rFonts w:eastAsia="Times New Roman"/>
          <w:color w:val="000000"/>
          <w:sz w:val="20"/>
          <w:szCs w:val="20"/>
        </w:rPr>
        <w:t>(2) natural gas and electric distribution utilities, and (3) energy marketing (including RNG), midstream infrastructure, storage, natural gas gathering and processing, natural gas production, electricity generation and energy serv</w:t>
      </w:r>
      <w:r>
        <w:rPr>
          <w:rFonts w:eastAsia="Times New Roman"/>
          <w:color w:val="000000"/>
          <w:sz w:val="20"/>
          <w:szCs w:val="20"/>
        </w:rPr>
        <w:t xml:space="preserve">ices businesses. In Europe, we market and distribute propane and other LPG, and market other energy products and services. Our subsidiaries and affiliates operate principally in the following four business segments: </w:t>
      </w:r>
    </w:p>
    <w:p w14:paraId="5F23D25F" w14:textId="77777777" w:rsidR="00000000" w:rsidRDefault="00C1661D">
      <w:pPr>
        <w:jc w:val="both"/>
        <w:rPr>
          <w:rFonts w:eastAsia="Times New Roman"/>
        </w:rPr>
      </w:pPr>
    </w:p>
    <w:p w14:paraId="7C4A6CC9" w14:textId="77777777" w:rsidR="00000000" w:rsidRDefault="00C1661D">
      <w:pPr>
        <w:ind w:hanging="180"/>
        <w:jc w:val="both"/>
        <w:rPr>
          <w:rFonts w:eastAsia="Times New Roman"/>
        </w:rPr>
      </w:pPr>
      <w:r>
        <w:rPr>
          <w:rFonts w:eastAsia="Times New Roman"/>
          <w:color w:val="000000"/>
          <w:sz w:val="20"/>
          <w:szCs w:val="20"/>
        </w:rPr>
        <w:t xml:space="preserve">•AmeriGas Propane </w:t>
      </w:r>
    </w:p>
    <w:p w14:paraId="4E3C58E6" w14:textId="77777777" w:rsidR="00000000" w:rsidRDefault="00C1661D">
      <w:pPr>
        <w:ind w:hanging="180"/>
        <w:jc w:val="both"/>
        <w:rPr>
          <w:rFonts w:eastAsia="Times New Roman"/>
        </w:rPr>
      </w:pPr>
      <w:r>
        <w:rPr>
          <w:rFonts w:eastAsia="Times New Roman"/>
          <w:color w:val="000000"/>
          <w:sz w:val="20"/>
          <w:szCs w:val="20"/>
        </w:rPr>
        <w:t>•</w:t>
      </w:r>
      <w:r>
        <w:rPr>
          <w:rFonts w:eastAsia="Times New Roman"/>
          <w:color w:val="000000"/>
          <w:sz w:val="20"/>
          <w:szCs w:val="20"/>
        </w:rPr>
        <w:t xml:space="preserve">UGI International </w:t>
      </w:r>
    </w:p>
    <w:p w14:paraId="7C2B4F62" w14:textId="77777777" w:rsidR="00000000" w:rsidRDefault="00C1661D">
      <w:pPr>
        <w:ind w:hanging="180"/>
        <w:jc w:val="both"/>
        <w:rPr>
          <w:rFonts w:eastAsia="Times New Roman"/>
        </w:rPr>
      </w:pPr>
      <w:r>
        <w:rPr>
          <w:rFonts w:eastAsia="Times New Roman"/>
          <w:color w:val="000000"/>
          <w:sz w:val="20"/>
          <w:szCs w:val="20"/>
        </w:rPr>
        <w:t>•Midstream &amp; Marketing</w:t>
      </w:r>
    </w:p>
    <w:p w14:paraId="24916F05" w14:textId="77777777" w:rsidR="00000000" w:rsidRDefault="00C1661D">
      <w:pPr>
        <w:ind w:hanging="180"/>
        <w:jc w:val="both"/>
        <w:rPr>
          <w:rFonts w:eastAsia="Times New Roman"/>
        </w:rPr>
      </w:pPr>
      <w:r>
        <w:rPr>
          <w:rFonts w:eastAsia="Times New Roman"/>
          <w:color w:val="000000"/>
          <w:sz w:val="20"/>
          <w:szCs w:val="20"/>
        </w:rPr>
        <w:t xml:space="preserve">•Utilities </w:t>
      </w:r>
    </w:p>
    <w:p w14:paraId="7A5CD593" w14:textId="77777777" w:rsidR="00000000" w:rsidRDefault="00C1661D">
      <w:pPr>
        <w:jc w:val="both"/>
        <w:rPr>
          <w:rFonts w:eastAsia="Times New Roman"/>
        </w:rPr>
      </w:pPr>
    </w:p>
    <w:p w14:paraId="567A6289" w14:textId="77777777" w:rsidR="00000000" w:rsidRDefault="00C1661D">
      <w:pPr>
        <w:jc w:val="both"/>
        <w:rPr>
          <w:rFonts w:eastAsia="Times New Roman"/>
        </w:rPr>
      </w:pPr>
      <w:r>
        <w:rPr>
          <w:rFonts w:eastAsia="Times New Roman"/>
          <w:color w:val="000000"/>
          <w:sz w:val="20"/>
          <w:szCs w:val="20"/>
        </w:rPr>
        <w:t xml:space="preserve">The AmeriGas Propane segment consists of the propane distribution business of AmeriGas Partners, an indirect wholly owned subsidiary of UGI. The Partnership conducts its domestic propane distribution </w:t>
      </w:r>
      <w:r>
        <w:rPr>
          <w:rFonts w:eastAsia="Times New Roman"/>
          <w:color w:val="000000"/>
          <w:sz w:val="20"/>
          <w:szCs w:val="20"/>
        </w:rPr>
        <w:t xml:space="preserve">business through its principal operating subsidiary, AmeriGas OLP, and is the nation’s largest retail propane distributor based on the volume of propane gallons distributed annually. The general partner of AmeriGas Partners is our wholly owned subsidiary, </w:t>
      </w:r>
      <w:r>
        <w:rPr>
          <w:rFonts w:eastAsia="Times New Roman"/>
          <w:color w:val="000000"/>
          <w:sz w:val="20"/>
          <w:szCs w:val="20"/>
        </w:rPr>
        <w:t>AmeriGas Propane, Inc.</w:t>
      </w:r>
    </w:p>
    <w:p w14:paraId="3022FE9B" w14:textId="77777777" w:rsidR="00000000" w:rsidRDefault="00C1661D">
      <w:pPr>
        <w:divId w:val="713963850"/>
        <w:rPr>
          <w:rFonts w:eastAsia="Times New Roman"/>
        </w:rPr>
      </w:pPr>
    </w:p>
    <w:p w14:paraId="498E5C2C" w14:textId="77777777" w:rsidR="00000000" w:rsidRDefault="00C1661D">
      <w:pPr>
        <w:jc w:val="both"/>
        <w:rPr>
          <w:rFonts w:eastAsia="Times New Roman"/>
        </w:rPr>
      </w:pPr>
      <w:r>
        <w:rPr>
          <w:rFonts w:eastAsia="Times New Roman"/>
          <w:color w:val="000000"/>
          <w:sz w:val="20"/>
          <w:szCs w:val="20"/>
        </w:rPr>
        <w:t>The UGI International segment consists of LPG distribution businesses conducted by our subsidiaries and affiliates in Austria, Belgium, the Czech Republic, Denmark, Finland, France, Hungary, Italy, Luxembourg, the Netherlands, Norw</w:t>
      </w:r>
      <w:r>
        <w:rPr>
          <w:rFonts w:eastAsia="Times New Roman"/>
          <w:color w:val="000000"/>
          <w:sz w:val="20"/>
          <w:szCs w:val="20"/>
        </w:rPr>
        <w:t>ay, Poland, Romania, Slovakia, Sweden, Switzerland and the United Kingdom. In addition, UGI International conducts an energy marketing business in France, Belgium and the Netherlands. Based on market volumes for 2021, which is the most recent information a</w:t>
      </w:r>
      <w:r>
        <w:rPr>
          <w:rFonts w:eastAsia="Times New Roman"/>
          <w:color w:val="000000"/>
          <w:sz w:val="20"/>
          <w:szCs w:val="20"/>
        </w:rPr>
        <w:t>vailable, UGI International believes that it is the largest distributor of LPG in France, Austria, Belgium, Denmark, Luxembourg and Hungary and one of the largest distributors of LPG in Norway, Poland, the Czech Republic, Slovakia, the Netherlands and Swed</w:t>
      </w:r>
      <w:r>
        <w:rPr>
          <w:rFonts w:eastAsia="Times New Roman"/>
          <w:color w:val="000000"/>
          <w:sz w:val="20"/>
          <w:szCs w:val="20"/>
        </w:rPr>
        <w:t>en.</w:t>
      </w:r>
    </w:p>
    <w:p w14:paraId="7572D1FB" w14:textId="77777777" w:rsidR="00000000" w:rsidRDefault="00C1661D">
      <w:pPr>
        <w:divId w:val="1806852763"/>
        <w:rPr>
          <w:rFonts w:eastAsia="Times New Roman"/>
        </w:rPr>
      </w:pPr>
    </w:p>
    <w:p w14:paraId="50EE8DC2" w14:textId="77777777" w:rsidR="00000000" w:rsidRDefault="00C1661D">
      <w:pPr>
        <w:jc w:val="both"/>
        <w:rPr>
          <w:rFonts w:eastAsia="Times New Roman"/>
        </w:rPr>
      </w:pPr>
      <w:r>
        <w:rPr>
          <w:rFonts w:eastAsia="Times New Roman"/>
          <w:color w:val="000000"/>
          <w:sz w:val="20"/>
          <w:szCs w:val="20"/>
        </w:rPr>
        <w:t>The Midstream &amp; Marketing segment consists of energy-related businesses conducted by our indirect, wholly owned subsidiary, Energy Services. These businesses (i) conduct energy marketing, including RNG, in the Mid-Atlantic region of the United States</w:t>
      </w:r>
      <w:r>
        <w:rPr>
          <w:rFonts w:eastAsia="Times New Roman"/>
          <w:color w:val="000000"/>
          <w:sz w:val="20"/>
          <w:szCs w:val="20"/>
        </w:rPr>
        <w:t xml:space="preserve"> and California, (ii) own and operate natural gas liquefaction, storage and vaporization facilities and propane-air mixing assets, (iii) manage natural gas pipeline and storage contracts, (iv) develop, own and operate pipelines, gathering infrastructure an</w:t>
      </w:r>
      <w:r>
        <w:rPr>
          <w:rFonts w:eastAsia="Times New Roman"/>
          <w:color w:val="000000"/>
          <w:sz w:val="20"/>
          <w:szCs w:val="20"/>
        </w:rPr>
        <w:t>d gas storage facilities in the Marcellus and Utica Shale regions of Pennsylvania, eastern Ohio, and the panhandle of West Virginia, (v) own electricity generation facilities, and (vi) own RNG production facilities. Energy Services and its subsidiaries’ st</w:t>
      </w:r>
      <w:r>
        <w:rPr>
          <w:rFonts w:eastAsia="Times New Roman"/>
          <w:color w:val="000000"/>
          <w:sz w:val="20"/>
          <w:szCs w:val="20"/>
        </w:rPr>
        <w:t xml:space="preserve">orage, LNG and portions of its midstream transmission operations are subject to regulation by the FERC. </w:t>
      </w:r>
    </w:p>
    <w:p w14:paraId="6AC123D1" w14:textId="77777777" w:rsidR="00000000" w:rsidRDefault="00C1661D">
      <w:pPr>
        <w:divId w:val="1903641252"/>
        <w:rPr>
          <w:rFonts w:eastAsia="Times New Roman"/>
        </w:rPr>
      </w:pPr>
    </w:p>
    <w:p w14:paraId="0E87E8B0" w14:textId="77777777" w:rsidR="00000000" w:rsidRDefault="00C1661D">
      <w:pPr>
        <w:jc w:val="both"/>
        <w:rPr>
          <w:rFonts w:eastAsia="Times New Roman"/>
        </w:rPr>
      </w:pPr>
      <w:r>
        <w:rPr>
          <w:rFonts w:eastAsia="Times New Roman"/>
          <w:color w:val="000000"/>
          <w:sz w:val="20"/>
          <w:szCs w:val="20"/>
        </w:rPr>
        <w:t>The Utilities segment consists of the regulated natural gas (PA Gas Utility) and electric (Electric Utility) distribution businesses of our wholly ow</w:t>
      </w:r>
      <w:r>
        <w:rPr>
          <w:rFonts w:eastAsia="Times New Roman"/>
          <w:color w:val="000000"/>
          <w:sz w:val="20"/>
          <w:szCs w:val="20"/>
        </w:rPr>
        <w:t>ned subsidiary, UGI Utilities, and the regulated natural gas distribution business of our indirect, wholly owned subsidiary, Mountaineer. PA Gas Utility serves customers in eastern and central Pennsylvania and in portions of one Maryland county, and Mounta</w:t>
      </w:r>
      <w:r>
        <w:rPr>
          <w:rFonts w:eastAsia="Times New Roman"/>
          <w:color w:val="000000"/>
          <w:sz w:val="20"/>
          <w:szCs w:val="20"/>
        </w:rPr>
        <w:t>ineer serves customers in West Virginia. Electric Utility serves customers in portions of Luzerne and Wyoming counties in northeastern Pennsylvania. PA Gas Utility is subject to regulation by the PAPUC and FERC and, with respect to its customers in Marylan</w:t>
      </w:r>
      <w:r>
        <w:rPr>
          <w:rFonts w:eastAsia="Times New Roman"/>
          <w:color w:val="000000"/>
          <w:sz w:val="20"/>
          <w:szCs w:val="20"/>
        </w:rPr>
        <w:t xml:space="preserve">d, the MDPSC. Mountaineer is subject to regulation by the WVPSC and FERC. Electric Utility is subject to regulation by the PAPUC and FERC. </w:t>
      </w:r>
    </w:p>
    <w:p w14:paraId="0EF660A9" w14:textId="77777777" w:rsidR="00000000" w:rsidRDefault="00C1661D">
      <w:pPr>
        <w:jc w:val="center"/>
        <w:divId w:val="637145011"/>
        <w:rPr>
          <w:rFonts w:eastAsia="Times New Roman"/>
        </w:rPr>
      </w:pPr>
      <w:r>
        <w:rPr>
          <w:rFonts w:eastAsia="Times New Roman"/>
          <w:color w:val="000000"/>
          <w:sz w:val="20"/>
          <w:szCs w:val="20"/>
        </w:rPr>
        <w:t>10</w:t>
      </w:r>
    </w:p>
    <w:p w14:paraId="1CE6FA21" w14:textId="77777777" w:rsidR="00000000" w:rsidRDefault="00C1661D">
      <w:pPr>
        <w:rPr>
          <w:rFonts w:eastAsia="Times New Roman"/>
        </w:rPr>
      </w:pPr>
      <w:r>
        <w:rPr>
          <w:rFonts w:eastAsia="Times New Roman"/>
        </w:rPr>
        <w:pict w14:anchorId="2D4B13E7">
          <v:rect id="_x0000_i1035" style="width:0;height:1.5pt" o:hralign="center" o:hrstd="t" o:hr="t" fillcolor="#a0a0a0" stroked="f"/>
        </w:pict>
      </w:r>
    </w:p>
    <w:p w14:paraId="64168972" w14:textId="77777777" w:rsidR="00000000" w:rsidRDefault="00C1661D">
      <w:pPr>
        <w:divId w:val="266277095"/>
        <w:rPr>
          <w:rFonts w:eastAsia="Times New Roman"/>
        </w:rPr>
      </w:pPr>
      <w:hyperlink w:anchor="i3850c3c6c0104e42b9951aac2f16098a_7" w:history="1">
        <w:r>
          <w:rPr>
            <w:rStyle w:val="a3"/>
            <w:rFonts w:eastAsia="Times New Roman"/>
            <w:b/>
            <w:bCs/>
            <w:sz w:val="20"/>
            <w:szCs w:val="20"/>
          </w:rPr>
          <w:t>Table of Contents</w:t>
        </w:r>
      </w:hyperlink>
    </w:p>
    <w:p w14:paraId="4FA3C2DD" w14:textId="77777777" w:rsidR="00000000" w:rsidRDefault="00C1661D">
      <w:pPr>
        <w:jc w:val="both"/>
        <w:rPr>
          <w:rFonts w:eastAsia="Times New Roman"/>
        </w:rPr>
      </w:pPr>
    </w:p>
    <w:p w14:paraId="58777A11" w14:textId="77777777" w:rsidR="00000000" w:rsidRDefault="00C1661D">
      <w:pPr>
        <w:jc w:val="both"/>
        <w:rPr>
          <w:rFonts w:eastAsia="Times New Roman"/>
        </w:rPr>
      </w:pPr>
      <w:r>
        <w:rPr>
          <w:rFonts w:eastAsia="Times New Roman"/>
          <w:b/>
          <w:bCs/>
          <w:color w:val="000000"/>
          <w:sz w:val="20"/>
          <w:szCs w:val="20"/>
          <w:u w:val="single"/>
        </w:rPr>
        <w:t xml:space="preserve">Business Strategy </w:t>
      </w:r>
    </w:p>
    <w:p w14:paraId="7A92B996" w14:textId="77777777" w:rsidR="00000000" w:rsidRDefault="00C1661D">
      <w:pPr>
        <w:jc w:val="both"/>
        <w:rPr>
          <w:rFonts w:eastAsia="Times New Roman"/>
        </w:rPr>
      </w:pPr>
    </w:p>
    <w:p w14:paraId="69E6A068" w14:textId="77777777" w:rsidR="00000000" w:rsidRDefault="00C1661D">
      <w:pPr>
        <w:jc w:val="both"/>
        <w:rPr>
          <w:rFonts w:eastAsia="Times New Roman"/>
        </w:rPr>
      </w:pPr>
      <w:r>
        <w:rPr>
          <w:rFonts w:eastAsia="Times New Roman"/>
          <w:color w:val="000000"/>
          <w:sz w:val="20"/>
          <w:szCs w:val="20"/>
        </w:rPr>
        <w:t>Our business strategy is to grow the Company by focusing on our core competencies of distributing, storing, transporting and marketing energy products and services. We utilize our core competencies from our existing diversified busin</w:t>
      </w:r>
      <w:r>
        <w:rPr>
          <w:rFonts w:eastAsia="Times New Roman"/>
          <w:color w:val="000000"/>
          <w:sz w:val="20"/>
          <w:szCs w:val="20"/>
        </w:rPr>
        <w:t xml:space="preserve">esses and our international experience, extensive asset base and access to customers to accelerate both organic growth and growth through acquisitions in our existing businesses, as well as in related and complementary businesses. </w:t>
      </w:r>
    </w:p>
    <w:p w14:paraId="4FA4ABCB" w14:textId="77777777" w:rsidR="00000000" w:rsidRDefault="00C1661D">
      <w:pPr>
        <w:jc w:val="both"/>
        <w:rPr>
          <w:rFonts w:eastAsia="Times New Roman"/>
        </w:rPr>
      </w:pPr>
    </w:p>
    <w:p w14:paraId="7B5F67CE" w14:textId="77777777" w:rsidR="00000000" w:rsidRDefault="00C1661D">
      <w:pPr>
        <w:jc w:val="both"/>
        <w:rPr>
          <w:rFonts w:eastAsia="Times New Roman"/>
        </w:rPr>
      </w:pPr>
      <w:r>
        <w:rPr>
          <w:rFonts w:eastAsia="Times New Roman"/>
          <w:color w:val="000000"/>
          <w:sz w:val="20"/>
          <w:szCs w:val="20"/>
        </w:rPr>
        <w:t>We identified and comm</w:t>
      </w:r>
      <w:r>
        <w:rPr>
          <w:rFonts w:eastAsia="Times New Roman"/>
          <w:color w:val="000000"/>
          <w:sz w:val="20"/>
          <w:szCs w:val="20"/>
        </w:rPr>
        <w:t>unicated to our investors three key elements that we believe will advance our strategy: (1) providing reliable earnings growth; (2) investing in renewable energy solutions; and (3) rebalancing our portfolio, with an emphasis on natural gas and renewable en</w:t>
      </w:r>
      <w:r>
        <w:rPr>
          <w:rFonts w:eastAsia="Times New Roman"/>
          <w:color w:val="000000"/>
          <w:sz w:val="20"/>
          <w:szCs w:val="20"/>
        </w:rPr>
        <w:t xml:space="preserve">ergy solutions. </w:t>
      </w:r>
      <w:r>
        <w:rPr>
          <w:rFonts w:eastAsia="Times New Roman"/>
          <w:color w:val="000000"/>
          <w:sz w:val="20"/>
          <w:szCs w:val="20"/>
          <w:shd w:val="clear" w:color="auto" w:fill="FFFFFF"/>
        </w:rPr>
        <w:t>The following discussion highlights some of our key accomplishments in these areas during Fiscal 2022.</w:t>
      </w:r>
    </w:p>
    <w:p w14:paraId="161E3A9B" w14:textId="77777777" w:rsidR="00000000" w:rsidRDefault="00C1661D">
      <w:pPr>
        <w:jc w:val="both"/>
        <w:rPr>
          <w:rFonts w:eastAsia="Times New Roman"/>
        </w:rPr>
      </w:pPr>
    </w:p>
    <w:p w14:paraId="20BB0E06" w14:textId="77777777" w:rsidR="00000000" w:rsidRDefault="00C1661D">
      <w:pPr>
        <w:jc w:val="both"/>
        <w:rPr>
          <w:rFonts w:eastAsia="Times New Roman"/>
        </w:rPr>
      </w:pPr>
      <w:r>
        <w:rPr>
          <w:rFonts w:eastAsia="Times New Roman"/>
          <w:b/>
          <w:bCs/>
          <w:i/>
          <w:iCs/>
          <w:color w:val="000000"/>
          <w:sz w:val="20"/>
          <w:szCs w:val="20"/>
        </w:rPr>
        <w:t>Reliable Earnings Growth</w:t>
      </w:r>
    </w:p>
    <w:p w14:paraId="4315BB1F" w14:textId="77777777" w:rsidR="00000000" w:rsidRDefault="00C1661D">
      <w:pPr>
        <w:jc w:val="both"/>
        <w:rPr>
          <w:rFonts w:eastAsia="Times New Roman"/>
        </w:rPr>
      </w:pPr>
    </w:p>
    <w:p w14:paraId="33B85DEB" w14:textId="77777777" w:rsidR="00000000" w:rsidRDefault="00C1661D">
      <w:pPr>
        <w:jc w:val="both"/>
        <w:rPr>
          <w:rFonts w:eastAsia="Times New Roman"/>
        </w:rPr>
      </w:pPr>
      <w:r>
        <w:rPr>
          <w:rFonts w:eastAsia="Times New Roman"/>
          <w:color w:val="000000"/>
          <w:sz w:val="20"/>
          <w:szCs w:val="20"/>
        </w:rPr>
        <w:t xml:space="preserve">We are committed to consistently growing our earnings and plan to continue this growth through increased investments in our regulated utilities businesses, generating significant fee-based income in our Midstream and Marketing operations, and investing in </w:t>
      </w:r>
      <w:r>
        <w:rPr>
          <w:rFonts w:eastAsia="Times New Roman"/>
          <w:color w:val="000000"/>
          <w:sz w:val="20"/>
          <w:szCs w:val="20"/>
        </w:rPr>
        <w:t>high-growth and more weather resilient markets at our LPG businesses. We strive to be the preferred provider in all markets we serve and remain focused on making continuous improvements and focusing on growth across our business.</w:t>
      </w:r>
    </w:p>
    <w:p w14:paraId="42F7C90D" w14:textId="77777777" w:rsidR="00000000" w:rsidRDefault="00C1661D">
      <w:pPr>
        <w:jc w:val="both"/>
        <w:rPr>
          <w:rFonts w:eastAsia="Times New Roman"/>
        </w:rPr>
      </w:pPr>
    </w:p>
    <w:p w14:paraId="36E8D8E8" w14:textId="77777777" w:rsidR="00000000" w:rsidRDefault="00C1661D">
      <w:pPr>
        <w:jc w:val="both"/>
        <w:rPr>
          <w:rFonts w:eastAsia="Times New Roman"/>
        </w:rPr>
      </w:pPr>
      <w:r>
        <w:rPr>
          <w:rFonts w:eastAsia="Times New Roman"/>
          <w:color w:val="000000"/>
          <w:sz w:val="20"/>
          <w:szCs w:val="20"/>
        </w:rPr>
        <w:t>At our Utilities segment, we completed the acquisition of Mountaineer in Fiscal 2021 and continued integration efforts in Fiscal 2022. In September 2022, PA Gas Utility received PAPUC approval for a $49.45 million annual base distribution rate increase thr</w:t>
      </w:r>
      <w:r>
        <w:rPr>
          <w:rFonts w:eastAsia="Times New Roman"/>
          <w:color w:val="000000"/>
          <w:sz w:val="20"/>
          <w:szCs w:val="20"/>
        </w:rPr>
        <w:t>ough a phased approach, with an increase of $38 million beginning in October 2022 and an additional increase of $11.45 million beginning in October 2023. In addition, PA Gas Utility is authorized to implement a weather normalization adjustment rider as a f</w:t>
      </w:r>
      <w:r>
        <w:rPr>
          <w:rFonts w:eastAsia="Times New Roman"/>
          <w:color w:val="000000"/>
          <w:sz w:val="20"/>
          <w:szCs w:val="20"/>
        </w:rPr>
        <w:t>ive-year pilot program beginning on the effective date of the new rates. See Note 9 to Consolidated Financial Statements for additional information. In addition, our natural gas businesses completed a number of transactions in the renewable energy space, w</w:t>
      </w:r>
      <w:r>
        <w:rPr>
          <w:rFonts w:eastAsia="Times New Roman"/>
          <w:color w:val="000000"/>
          <w:sz w:val="20"/>
          <w:szCs w:val="20"/>
        </w:rPr>
        <w:t xml:space="preserve">hich we believe will contribute to our earnings growth. For more information on these transactions, see “Investment in Renewable Energy” below. </w:t>
      </w:r>
    </w:p>
    <w:p w14:paraId="1DD60650" w14:textId="77777777" w:rsidR="00000000" w:rsidRDefault="00C1661D">
      <w:pPr>
        <w:jc w:val="both"/>
        <w:rPr>
          <w:rFonts w:eastAsia="Times New Roman"/>
        </w:rPr>
      </w:pPr>
    </w:p>
    <w:p w14:paraId="36BCF039" w14:textId="77777777" w:rsidR="00000000" w:rsidRDefault="00C1661D">
      <w:pPr>
        <w:jc w:val="both"/>
        <w:rPr>
          <w:rFonts w:eastAsia="Times New Roman"/>
        </w:rPr>
      </w:pPr>
      <w:r>
        <w:rPr>
          <w:rFonts w:eastAsia="Times New Roman"/>
          <w:color w:val="000000"/>
          <w:sz w:val="20"/>
          <w:szCs w:val="20"/>
        </w:rPr>
        <w:t>At our Midstream &amp; Marketing segment, Energy Services completed the acquisition of Stonehenge in January 2022</w:t>
      </w:r>
      <w:r>
        <w:rPr>
          <w:rFonts w:eastAsia="Times New Roman"/>
          <w:color w:val="000000"/>
          <w:sz w:val="20"/>
          <w:szCs w:val="20"/>
        </w:rPr>
        <w:t xml:space="preserve">. The Stonehenge business includes a natural gas gathering system located in Western Pennsylvania, comprised of more than 47 miles of pipeline and associated compression assets. This acquisition is consistent with our growth strategies, including our goal </w:t>
      </w:r>
      <w:r>
        <w:rPr>
          <w:rFonts w:eastAsia="Times New Roman"/>
          <w:color w:val="000000"/>
          <w:sz w:val="20"/>
          <w:szCs w:val="20"/>
        </w:rPr>
        <w:t>to expand our midstream natural gas gathering assets within the Appalachian basin production region. Our Midstream and Marketing business also continues to provide a stable earnings stream, which is underpinned by fee-based contracts from customers. This f</w:t>
      </w:r>
      <w:r>
        <w:rPr>
          <w:rFonts w:eastAsia="Times New Roman"/>
          <w:color w:val="000000"/>
          <w:sz w:val="20"/>
          <w:szCs w:val="20"/>
        </w:rPr>
        <w:t xml:space="preserve">ee-based income is derived from fixed fee peaking, storage and gathering, and fixed rate, variable volume gathering and marketing transactions. In Fiscal 2022, approximately 84% of Midstream and Marketing’s total margin was fee-based. </w:t>
      </w:r>
    </w:p>
    <w:p w14:paraId="0958874A" w14:textId="77777777" w:rsidR="00000000" w:rsidRDefault="00C1661D">
      <w:pPr>
        <w:jc w:val="both"/>
        <w:rPr>
          <w:rFonts w:eastAsia="Times New Roman"/>
        </w:rPr>
      </w:pPr>
    </w:p>
    <w:p w14:paraId="244AC76D" w14:textId="77777777" w:rsidR="00000000" w:rsidRDefault="00C1661D">
      <w:pPr>
        <w:jc w:val="both"/>
        <w:rPr>
          <w:rFonts w:eastAsia="Times New Roman"/>
        </w:rPr>
      </w:pPr>
      <w:r>
        <w:rPr>
          <w:rFonts w:eastAsia="Times New Roman"/>
          <w:color w:val="000000"/>
          <w:sz w:val="20"/>
          <w:szCs w:val="20"/>
        </w:rPr>
        <w:t>In Fiscal 2022, Am</w:t>
      </w:r>
      <w:r>
        <w:rPr>
          <w:rFonts w:eastAsia="Times New Roman"/>
          <w:color w:val="000000"/>
          <w:sz w:val="20"/>
          <w:szCs w:val="20"/>
        </w:rPr>
        <w:t>eriGas Propane continued its expansion of its Cynch propane home delivery services, with Cynch now available in 25 cities as of September 30, 2022. Similarly, UGI International offers propane cylinder vending machines in several European countries. These p</w:t>
      </w:r>
      <w:r>
        <w:rPr>
          <w:rFonts w:eastAsia="Times New Roman"/>
          <w:color w:val="000000"/>
          <w:sz w:val="20"/>
          <w:szCs w:val="20"/>
        </w:rPr>
        <w:t>rograms are convenient for customers, and we believe they will position us for future growth.</w:t>
      </w:r>
    </w:p>
    <w:p w14:paraId="63D15425" w14:textId="77777777" w:rsidR="00000000" w:rsidRDefault="00C1661D">
      <w:pPr>
        <w:jc w:val="both"/>
        <w:rPr>
          <w:rFonts w:eastAsia="Times New Roman"/>
        </w:rPr>
      </w:pPr>
    </w:p>
    <w:p w14:paraId="70960E71" w14:textId="77777777" w:rsidR="00000000" w:rsidRDefault="00C1661D">
      <w:pPr>
        <w:jc w:val="both"/>
        <w:rPr>
          <w:rFonts w:eastAsia="Times New Roman"/>
        </w:rPr>
      </w:pPr>
      <w:r>
        <w:rPr>
          <w:rFonts w:eastAsia="Times New Roman"/>
          <w:b/>
          <w:bCs/>
          <w:i/>
          <w:iCs/>
          <w:color w:val="000000"/>
          <w:sz w:val="20"/>
          <w:szCs w:val="20"/>
        </w:rPr>
        <w:t>Investment in Renewable Energy</w:t>
      </w:r>
    </w:p>
    <w:p w14:paraId="47B500AF" w14:textId="77777777" w:rsidR="00000000" w:rsidRDefault="00C1661D">
      <w:pPr>
        <w:jc w:val="both"/>
        <w:rPr>
          <w:rFonts w:eastAsia="Times New Roman"/>
        </w:rPr>
      </w:pPr>
    </w:p>
    <w:p w14:paraId="05E80854" w14:textId="77777777" w:rsidR="00000000" w:rsidRDefault="00C1661D">
      <w:pPr>
        <w:jc w:val="both"/>
        <w:rPr>
          <w:rFonts w:eastAsia="Times New Roman"/>
        </w:rPr>
      </w:pPr>
      <w:r>
        <w:rPr>
          <w:rFonts w:eastAsia="Times New Roman"/>
          <w:color w:val="000000"/>
          <w:sz w:val="20"/>
          <w:szCs w:val="20"/>
        </w:rPr>
        <w:t>We are pursuing investments in a number of key renewable energy areas, including RNG, bio-LPG and renewable dimethyl ether (“rD</w:t>
      </w:r>
      <w:r>
        <w:rPr>
          <w:rFonts w:eastAsia="Times New Roman"/>
          <w:color w:val="000000"/>
          <w:sz w:val="20"/>
          <w:szCs w:val="20"/>
        </w:rPr>
        <w:t>ME”), among others. Our natural gas businesses are actively exploring RNG opportunities involving both distribution and RNG feedstock infrastructure, and our LPG businesses are developing bio-LPG sources to augment our existing bio-LPG source in Sweden. We</w:t>
      </w:r>
      <w:r>
        <w:rPr>
          <w:rFonts w:eastAsia="Times New Roman"/>
          <w:color w:val="000000"/>
          <w:sz w:val="20"/>
          <w:szCs w:val="20"/>
        </w:rPr>
        <w:t xml:space="preserve"> believe that UGI is particularly well-positioned to develop investment opportunities in these rapidly emerging markets due to our competencies in project development, project execution, gas transportation and storage, and energy marketing. </w:t>
      </w:r>
    </w:p>
    <w:p w14:paraId="31942E52" w14:textId="77777777" w:rsidR="00000000" w:rsidRDefault="00C1661D">
      <w:pPr>
        <w:jc w:val="both"/>
        <w:rPr>
          <w:rFonts w:eastAsia="Times New Roman"/>
        </w:rPr>
      </w:pPr>
    </w:p>
    <w:p w14:paraId="1CC1D549" w14:textId="77777777" w:rsidR="00000000" w:rsidRDefault="00C1661D">
      <w:pPr>
        <w:jc w:val="both"/>
        <w:rPr>
          <w:rFonts w:eastAsia="Times New Roman"/>
        </w:rPr>
      </w:pPr>
      <w:r>
        <w:rPr>
          <w:rFonts w:eastAsia="Times New Roman"/>
          <w:color w:val="000000"/>
          <w:sz w:val="20"/>
          <w:szCs w:val="20"/>
        </w:rPr>
        <w:t>We expect to</w:t>
      </w:r>
      <w:r>
        <w:rPr>
          <w:rFonts w:eastAsia="Times New Roman"/>
          <w:color w:val="000000"/>
          <w:sz w:val="20"/>
          <w:szCs w:val="20"/>
        </w:rPr>
        <w:t xml:space="preserve"> utilize our existing natural gas and LPG distribution infrastructure to deliver RNG and bio-LPG to the customers we serve. In most cases, these renewable solutions can be delivered to our customers with no additional local infrastructure, incremental inve</w:t>
      </w:r>
      <w:r>
        <w:rPr>
          <w:rFonts w:eastAsia="Times New Roman"/>
          <w:color w:val="000000"/>
          <w:sz w:val="20"/>
          <w:szCs w:val="20"/>
        </w:rPr>
        <w:t>stments by our customers, or community disruption related to infrastructure buildout.</w:t>
      </w:r>
    </w:p>
    <w:p w14:paraId="53200EA9" w14:textId="77777777" w:rsidR="00000000" w:rsidRDefault="00C1661D">
      <w:pPr>
        <w:jc w:val="both"/>
        <w:rPr>
          <w:rFonts w:eastAsia="Times New Roman"/>
        </w:rPr>
      </w:pPr>
    </w:p>
    <w:p w14:paraId="0FDF4BA1" w14:textId="77777777" w:rsidR="00000000" w:rsidRDefault="00C1661D">
      <w:pPr>
        <w:jc w:val="both"/>
        <w:rPr>
          <w:rFonts w:eastAsia="Times New Roman"/>
        </w:rPr>
      </w:pPr>
      <w:r>
        <w:rPr>
          <w:rFonts w:eastAsia="Times New Roman"/>
          <w:color w:val="000000"/>
          <w:sz w:val="20"/>
          <w:szCs w:val="20"/>
        </w:rPr>
        <w:t>In Fiscal 2022, we completed the following transactions, which we believe will provide a foundation for growth within the renewable energy space:</w:t>
      </w:r>
    </w:p>
    <w:p w14:paraId="046517FD" w14:textId="77777777" w:rsidR="00000000" w:rsidRDefault="00C1661D">
      <w:pPr>
        <w:jc w:val="both"/>
        <w:rPr>
          <w:rFonts w:eastAsia="Times New Roman"/>
        </w:rPr>
      </w:pPr>
    </w:p>
    <w:p w14:paraId="3555F6BD" w14:textId="77777777" w:rsidR="00000000" w:rsidRDefault="00C1661D">
      <w:pPr>
        <w:jc w:val="center"/>
        <w:divId w:val="1086193861"/>
        <w:rPr>
          <w:rFonts w:eastAsia="Times New Roman"/>
        </w:rPr>
      </w:pPr>
      <w:r>
        <w:rPr>
          <w:rFonts w:eastAsia="Times New Roman"/>
          <w:color w:val="000000"/>
          <w:sz w:val="20"/>
          <w:szCs w:val="20"/>
        </w:rPr>
        <w:t>11</w:t>
      </w:r>
    </w:p>
    <w:p w14:paraId="3DE7827B" w14:textId="77777777" w:rsidR="00000000" w:rsidRDefault="00C1661D">
      <w:pPr>
        <w:rPr>
          <w:rFonts w:eastAsia="Times New Roman"/>
        </w:rPr>
      </w:pPr>
      <w:r>
        <w:rPr>
          <w:rFonts w:eastAsia="Times New Roman"/>
        </w:rPr>
        <w:pict w14:anchorId="34474CB3">
          <v:rect id="_x0000_i1036" style="width:0;height:1.5pt" o:hralign="center" o:hrstd="t" o:hr="t" fillcolor="#a0a0a0" stroked="f"/>
        </w:pict>
      </w:r>
    </w:p>
    <w:p w14:paraId="75859002" w14:textId="77777777" w:rsidR="00000000" w:rsidRDefault="00C1661D">
      <w:pPr>
        <w:divId w:val="1225531990"/>
        <w:rPr>
          <w:rFonts w:eastAsia="Times New Roman"/>
        </w:rPr>
      </w:pPr>
      <w:hyperlink w:anchor="i3850c3c6c0104e42b9951aac2f16098a_7" w:history="1">
        <w:r>
          <w:rPr>
            <w:rStyle w:val="a3"/>
            <w:rFonts w:eastAsia="Times New Roman"/>
            <w:b/>
            <w:bCs/>
            <w:sz w:val="20"/>
            <w:szCs w:val="20"/>
          </w:rPr>
          <w:t>Table of Contents</w:t>
        </w:r>
      </w:hyperlink>
    </w:p>
    <w:p w14:paraId="1FF28913" w14:textId="77777777" w:rsidR="00000000" w:rsidRDefault="00C1661D">
      <w:pPr>
        <w:ind w:hanging="360"/>
        <w:jc w:val="both"/>
        <w:rPr>
          <w:rFonts w:eastAsia="Times New Roman"/>
        </w:rPr>
      </w:pPr>
      <w:r>
        <w:rPr>
          <w:rFonts w:eastAsia="Times New Roman"/>
          <w:color w:val="000000"/>
          <w:sz w:val="20"/>
          <w:szCs w:val="20"/>
        </w:rPr>
        <w:t>•Energy Services invested in a joint venture to develop dairy farm digester projects that produce RNG in upstate New York. In October 2021, Energy Services anno</w:t>
      </w:r>
      <w:r>
        <w:rPr>
          <w:rFonts w:eastAsia="Times New Roman"/>
          <w:color w:val="000000"/>
          <w:sz w:val="20"/>
          <w:szCs w:val="20"/>
        </w:rPr>
        <w:t>unced a project that includes the construction of a manure digester and gas upgrading equipment. Once completed, the project is expected to produce 55 million cubic feet of RNG annually. In September 2022, Energy Services announced a similar project that i</w:t>
      </w:r>
      <w:r>
        <w:rPr>
          <w:rFonts w:eastAsia="Times New Roman"/>
          <w:color w:val="000000"/>
          <w:sz w:val="20"/>
          <w:szCs w:val="20"/>
        </w:rPr>
        <w:t>s expected to produce approximately 150 million cubic feet of RNG annually. The more than 200 million cubic feet of RNG produced annually from these two projects will be delivered to a local natural gas pipeline serving the regional distribution system.</w:t>
      </w:r>
    </w:p>
    <w:p w14:paraId="36816A8E" w14:textId="77777777" w:rsidR="00000000" w:rsidRDefault="00C1661D">
      <w:pPr>
        <w:jc w:val="both"/>
        <w:rPr>
          <w:rFonts w:eastAsia="Times New Roman"/>
        </w:rPr>
      </w:pPr>
    </w:p>
    <w:p w14:paraId="1DE19C76" w14:textId="77777777" w:rsidR="00000000" w:rsidRDefault="00C1661D">
      <w:pPr>
        <w:ind w:hanging="360"/>
        <w:jc w:val="both"/>
        <w:rPr>
          <w:rFonts w:eastAsia="Times New Roman"/>
        </w:rPr>
      </w:pPr>
      <w:r>
        <w:rPr>
          <w:rFonts w:eastAsia="Times New Roman"/>
          <w:color w:val="000000"/>
          <w:sz w:val="20"/>
          <w:szCs w:val="20"/>
        </w:rPr>
        <w:t>•In October 2021, PA Gas Utility received regulatory approval from the PAPUC to purchase RNG as part of a five-year pilot program intended to explore how PA Gas Utility can integrate RNG into its supply portfolio to produce economic and environmental benef</w:t>
      </w:r>
      <w:r>
        <w:rPr>
          <w:rFonts w:eastAsia="Times New Roman"/>
          <w:color w:val="000000"/>
          <w:sz w:val="20"/>
          <w:szCs w:val="20"/>
        </w:rPr>
        <w:t>its for its customers. In January 2022, PA Gas Utility began accepting RNG into its pipeline distribution system pursuant to an interconnect agreement. When fully operational, the interconnect will be capable of accommodating up to 5.3 billion cubic feet o</w:t>
      </w:r>
      <w:r>
        <w:rPr>
          <w:rFonts w:eastAsia="Times New Roman"/>
          <w:color w:val="000000"/>
          <w:sz w:val="20"/>
          <w:szCs w:val="20"/>
        </w:rPr>
        <w:t>f RNG supply each year. The introduction of RNG supply into PA Gas Utility’s distribution system provides benefits to the environment and to the communities we serve by lowering net carbon emissions. It is anticipated that this project will reduce CO2 emis</w:t>
      </w:r>
      <w:r>
        <w:rPr>
          <w:rFonts w:eastAsia="Times New Roman"/>
          <w:color w:val="000000"/>
          <w:sz w:val="20"/>
          <w:szCs w:val="20"/>
        </w:rPr>
        <w:t>sions by an amount equivalent to removing 67,000 passenger vehicles over the course of a calendar year.</w:t>
      </w:r>
    </w:p>
    <w:p w14:paraId="733C0A4B" w14:textId="77777777" w:rsidR="00000000" w:rsidRDefault="00C1661D">
      <w:pPr>
        <w:jc w:val="both"/>
        <w:rPr>
          <w:rFonts w:eastAsia="Times New Roman"/>
        </w:rPr>
      </w:pPr>
    </w:p>
    <w:p w14:paraId="6163DE9F" w14:textId="77777777" w:rsidR="00000000" w:rsidRDefault="00C1661D">
      <w:pPr>
        <w:ind w:hanging="360"/>
        <w:jc w:val="both"/>
        <w:rPr>
          <w:rFonts w:eastAsia="Times New Roman"/>
        </w:rPr>
      </w:pPr>
      <w:r>
        <w:rPr>
          <w:rFonts w:eastAsia="Times New Roman"/>
          <w:color w:val="000000"/>
          <w:sz w:val="20"/>
          <w:szCs w:val="20"/>
        </w:rPr>
        <w:t>•In December 2021, UGI International received approval from the European Commission to launch a joint venture in calendar year 2022 to advance the pro</w:t>
      </w:r>
      <w:r>
        <w:rPr>
          <w:rFonts w:eastAsia="Times New Roman"/>
          <w:color w:val="000000"/>
          <w:sz w:val="20"/>
          <w:szCs w:val="20"/>
        </w:rPr>
        <w:t>duction and use of rDME, a low-carbon sustainable liquid gas. We anticipate the development of up to six production plants within the next five years, targeting a total production capacity of 300,000 tons of rDME per year by 2027</w:t>
      </w:r>
      <w:r>
        <w:rPr>
          <w:rFonts w:eastAsia="Times New Roman"/>
          <w:color w:val="000000"/>
          <w:sz w:val="20"/>
          <w:szCs w:val="20"/>
          <w:shd w:val="clear" w:color="auto" w:fill="FFFFFF"/>
        </w:rPr>
        <w:t>.</w:t>
      </w:r>
    </w:p>
    <w:p w14:paraId="4F6071DF" w14:textId="77777777" w:rsidR="00000000" w:rsidRDefault="00C1661D">
      <w:pPr>
        <w:jc w:val="both"/>
        <w:rPr>
          <w:rFonts w:eastAsia="Times New Roman"/>
        </w:rPr>
      </w:pPr>
    </w:p>
    <w:p w14:paraId="41FD585F" w14:textId="77777777" w:rsidR="00000000" w:rsidRDefault="00C1661D">
      <w:pPr>
        <w:ind w:hanging="360"/>
        <w:jc w:val="both"/>
        <w:rPr>
          <w:rFonts w:eastAsia="Times New Roman"/>
        </w:rPr>
      </w:pPr>
      <w:r>
        <w:rPr>
          <w:rFonts w:eastAsia="Times New Roman"/>
          <w:color w:val="000000"/>
          <w:sz w:val="20"/>
          <w:szCs w:val="20"/>
        </w:rPr>
        <w:t>•In January 2022, UGI e</w:t>
      </w:r>
      <w:r>
        <w:rPr>
          <w:rFonts w:eastAsia="Times New Roman"/>
          <w:color w:val="000000"/>
          <w:sz w:val="20"/>
          <w:szCs w:val="20"/>
        </w:rPr>
        <w:t>ntered into a 15-year agreement to produce renewable fuels from renewable-ethanol in the U.S. and Europe. UGI expects to make investments to build and operate multiple production facilities over the next 15 years, significantly increasing the supply of ren</w:t>
      </w:r>
      <w:r>
        <w:rPr>
          <w:rFonts w:eastAsia="Times New Roman"/>
          <w:color w:val="000000"/>
          <w:sz w:val="20"/>
          <w:szCs w:val="20"/>
        </w:rPr>
        <w:t>ewable-propane and sustainable aviation fuel, with the goal of having the first production facility onstream in Fiscal 2024 with an annual production target of approximately 50 million gallons of combined renewable fuels</w:t>
      </w:r>
      <w:r>
        <w:rPr>
          <w:rFonts w:eastAsia="Times New Roman"/>
          <w:color w:val="000000"/>
          <w:sz w:val="20"/>
          <w:szCs w:val="20"/>
          <w:shd w:val="clear" w:color="auto" w:fill="FFFFFF"/>
        </w:rPr>
        <w:t xml:space="preserve">. </w:t>
      </w:r>
    </w:p>
    <w:p w14:paraId="2F33FE9E" w14:textId="77777777" w:rsidR="00000000" w:rsidRDefault="00C1661D">
      <w:pPr>
        <w:jc w:val="both"/>
        <w:rPr>
          <w:rFonts w:eastAsia="Times New Roman"/>
        </w:rPr>
      </w:pPr>
    </w:p>
    <w:p w14:paraId="78BBBF86" w14:textId="77777777" w:rsidR="00000000" w:rsidRDefault="00C1661D">
      <w:pPr>
        <w:ind w:hanging="360"/>
        <w:jc w:val="both"/>
        <w:rPr>
          <w:rFonts w:eastAsia="Times New Roman"/>
        </w:rPr>
      </w:pPr>
      <w:r>
        <w:rPr>
          <w:rFonts w:eastAsia="Times New Roman"/>
          <w:color w:val="000000"/>
          <w:sz w:val="20"/>
          <w:szCs w:val="20"/>
        </w:rPr>
        <w:t>•In February 2022, Pennant anno</w:t>
      </w:r>
      <w:r>
        <w:rPr>
          <w:rFonts w:eastAsia="Times New Roman"/>
          <w:color w:val="000000"/>
          <w:sz w:val="20"/>
          <w:szCs w:val="20"/>
        </w:rPr>
        <w:t xml:space="preserve">unced that it entered into a series of agreements to accept delivery of RNG into its natural gas gathering system. The project is scheduled to become operational in 2023. When fully operational, the Pennant system will take up to 6,500 Mcf (thousand cubic </w:t>
      </w:r>
      <w:r>
        <w:rPr>
          <w:rFonts w:eastAsia="Times New Roman"/>
          <w:color w:val="000000"/>
          <w:sz w:val="20"/>
          <w:szCs w:val="20"/>
        </w:rPr>
        <w:t xml:space="preserve">feet) per day of RNG supply. Energy Services will manage construction of an interconnecting pipeline and interconnection with Pennant. </w:t>
      </w:r>
    </w:p>
    <w:p w14:paraId="55AF667F" w14:textId="77777777" w:rsidR="00000000" w:rsidRDefault="00C1661D">
      <w:pPr>
        <w:jc w:val="both"/>
        <w:rPr>
          <w:rFonts w:eastAsia="Times New Roman"/>
        </w:rPr>
      </w:pPr>
    </w:p>
    <w:p w14:paraId="44FC08DA" w14:textId="77777777" w:rsidR="00000000" w:rsidRDefault="00C1661D">
      <w:pPr>
        <w:ind w:hanging="360"/>
        <w:jc w:val="both"/>
        <w:rPr>
          <w:rFonts w:eastAsia="Times New Roman"/>
        </w:rPr>
      </w:pPr>
      <w:r>
        <w:rPr>
          <w:rFonts w:eastAsia="Times New Roman"/>
          <w:color w:val="000000"/>
          <w:sz w:val="20"/>
          <w:szCs w:val="20"/>
        </w:rPr>
        <w:t>•</w:t>
      </w:r>
      <w:r>
        <w:rPr>
          <w:rFonts w:eastAsia="Times New Roman"/>
          <w:color w:val="000000"/>
          <w:sz w:val="20"/>
          <w:szCs w:val="20"/>
        </w:rPr>
        <w:t>In February 2022, AmeriGas entered into a multi-year agreement to purchase and distribute renewable LPG. AmeriGas will leverage its supply and logistics infrastructure and sales and marketing teams to market and distribute renewable LPG to new and existing</w:t>
      </w:r>
      <w:r>
        <w:rPr>
          <w:rFonts w:eastAsia="Times New Roman"/>
          <w:color w:val="000000"/>
          <w:sz w:val="20"/>
          <w:szCs w:val="20"/>
        </w:rPr>
        <w:t xml:space="preserve"> customers primarily in the state of California</w:t>
      </w:r>
      <w:r>
        <w:rPr>
          <w:rFonts w:eastAsia="Times New Roman"/>
          <w:color w:val="000000"/>
          <w:sz w:val="20"/>
          <w:szCs w:val="20"/>
          <w:shd w:val="clear" w:color="auto" w:fill="FFFFFF"/>
        </w:rPr>
        <w:t>.</w:t>
      </w:r>
    </w:p>
    <w:p w14:paraId="13EC708F" w14:textId="77777777" w:rsidR="00000000" w:rsidRDefault="00C1661D">
      <w:pPr>
        <w:jc w:val="both"/>
        <w:rPr>
          <w:rFonts w:eastAsia="Times New Roman"/>
        </w:rPr>
      </w:pPr>
    </w:p>
    <w:p w14:paraId="70A6DDDC" w14:textId="77777777" w:rsidR="00000000" w:rsidRDefault="00C1661D">
      <w:pPr>
        <w:ind w:hanging="360"/>
        <w:jc w:val="both"/>
        <w:rPr>
          <w:rFonts w:eastAsia="Times New Roman"/>
        </w:rPr>
      </w:pPr>
      <w:r>
        <w:rPr>
          <w:rFonts w:eastAsia="Times New Roman"/>
          <w:color w:val="000000"/>
          <w:sz w:val="20"/>
          <w:szCs w:val="20"/>
        </w:rPr>
        <w:t>•In April 2022, Energy Services acquired a 33% equity interest in Ag-Grid Energy LLC (“Ag-Grid”), a renewable energy producer with projects in the U.S. Ag-Grid develops and operates small scale renewable p</w:t>
      </w:r>
      <w:r>
        <w:rPr>
          <w:rFonts w:eastAsia="Times New Roman"/>
          <w:color w:val="000000"/>
          <w:sz w:val="20"/>
          <w:szCs w:val="20"/>
        </w:rPr>
        <w:t xml:space="preserve">ower projects that support local energy demands while lowering emissions. Ag-Grid also has a strong pipeline of dairy and food waste digester projects that are expected to produce additional renewable power and RNG. Energy Services, through its subsidiary </w:t>
      </w:r>
      <w:r>
        <w:rPr>
          <w:rFonts w:eastAsia="Times New Roman"/>
          <w:color w:val="000000"/>
          <w:sz w:val="20"/>
          <w:szCs w:val="20"/>
        </w:rPr>
        <w:t>GHI, will be the exclusive off-taker and marketer of RNG for Ag-Grid</w:t>
      </w:r>
      <w:r>
        <w:rPr>
          <w:rFonts w:eastAsia="Times New Roman"/>
          <w:color w:val="000000"/>
          <w:sz w:val="20"/>
          <w:szCs w:val="20"/>
          <w:shd w:val="clear" w:color="auto" w:fill="FFFFFF"/>
        </w:rPr>
        <w:t>.</w:t>
      </w:r>
    </w:p>
    <w:p w14:paraId="4C9A3ECD" w14:textId="77777777" w:rsidR="00000000" w:rsidRDefault="00C1661D">
      <w:pPr>
        <w:ind w:hanging="360"/>
        <w:jc w:val="both"/>
        <w:rPr>
          <w:rFonts w:eastAsia="Times New Roman"/>
        </w:rPr>
      </w:pPr>
      <w:r>
        <w:rPr>
          <w:rFonts w:eastAsia="Times New Roman"/>
          <w:color w:val="000000"/>
          <w:sz w:val="20"/>
          <w:szCs w:val="20"/>
        </w:rPr>
        <w:t>•In May 2022, Energy Services entered into an agreement to fully fund the first set of RNG projects currently under development in South Dakota. In total, the project will represent over</w:t>
      </w:r>
      <w:r>
        <w:rPr>
          <w:rFonts w:eastAsia="Times New Roman"/>
          <w:color w:val="000000"/>
          <w:sz w:val="20"/>
          <w:szCs w:val="20"/>
        </w:rPr>
        <w:t xml:space="preserve"> $70 million of investment, of which 100% of the funds will be provided by Energy Services. The first set of projects will be built at three farms and is expected to generate approximately 300 million cubic feet of RNG annually once completed in calendar y</w:t>
      </w:r>
      <w:r>
        <w:rPr>
          <w:rFonts w:eastAsia="Times New Roman"/>
          <w:color w:val="000000"/>
          <w:sz w:val="20"/>
          <w:szCs w:val="20"/>
        </w:rPr>
        <w:t>ear 2024. Dairy waste from the farms will be anaerobically digested and then piped to a central upgrading facility before it is delivered into the interstate natural gas system.</w:t>
      </w:r>
    </w:p>
    <w:p w14:paraId="54681E4E" w14:textId="77777777" w:rsidR="00000000" w:rsidRDefault="00C1661D">
      <w:pPr>
        <w:jc w:val="both"/>
        <w:rPr>
          <w:rFonts w:eastAsia="Times New Roman"/>
        </w:rPr>
      </w:pPr>
    </w:p>
    <w:p w14:paraId="395F7C64" w14:textId="77777777" w:rsidR="00000000" w:rsidRDefault="00C1661D">
      <w:pPr>
        <w:jc w:val="both"/>
        <w:rPr>
          <w:rFonts w:eastAsia="Times New Roman"/>
        </w:rPr>
      </w:pPr>
      <w:r>
        <w:rPr>
          <w:rFonts w:eastAsia="Times New Roman"/>
          <w:color w:val="000000"/>
          <w:sz w:val="20"/>
          <w:szCs w:val="20"/>
        </w:rPr>
        <w:t>These projects provide a range of benefits, including reducing our carbon fo</w:t>
      </w:r>
      <w:r>
        <w:rPr>
          <w:rFonts w:eastAsia="Times New Roman"/>
          <w:color w:val="000000"/>
          <w:sz w:val="20"/>
          <w:szCs w:val="20"/>
        </w:rPr>
        <w:t>otprint while also addressing increased customer demand for low carbon energy sources, and we expect to continue to expand our renewable energy investments in the upcoming years.</w:t>
      </w:r>
    </w:p>
    <w:p w14:paraId="1F33CAF1" w14:textId="77777777" w:rsidR="00000000" w:rsidRDefault="00C1661D">
      <w:pPr>
        <w:jc w:val="both"/>
        <w:rPr>
          <w:rFonts w:eastAsia="Times New Roman"/>
        </w:rPr>
      </w:pPr>
    </w:p>
    <w:p w14:paraId="20FD4563" w14:textId="77777777" w:rsidR="00000000" w:rsidRDefault="00C1661D">
      <w:pPr>
        <w:jc w:val="both"/>
        <w:rPr>
          <w:rFonts w:eastAsia="Times New Roman"/>
        </w:rPr>
      </w:pPr>
      <w:r>
        <w:rPr>
          <w:rFonts w:eastAsia="Times New Roman"/>
          <w:b/>
          <w:bCs/>
          <w:i/>
          <w:iCs/>
          <w:color w:val="000000"/>
          <w:sz w:val="20"/>
          <w:szCs w:val="20"/>
        </w:rPr>
        <w:t>Rebalancing Our Portfolio</w:t>
      </w:r>
    </w:p>
    <w:p w14:paraId="2F5BA588" w14:textId="77777777" w:rsidR="00000000" w:rsidRDefault="00C1661D">
      <w:pPr>
        <w:jc w:val="both"/>
        <w:rPr>
          <w:rFonts w:eastAsia="Times New Roman"/>
        </w:rPr>
      </w:pPr>
    </w:p>
    <w:p w14:paraId="69EA1F95" w14:textId="77777777" w:rsidR="00000000" w:rsidRDefault="00C1661D">
      <w:pPr>
        <w:jc w:val="both"/>
        <w:rPr>
          <w:rFonts w:eastAsia="Times New Roman"/>
        </w:rPr>
      </w:pPr>
      <w:r>
        <w:rPr>
          <w:rFonts w:eastAsia="Times New Roman"/>
          <w:color w:val="000000"/>
          <w:sz w:val="20"/>
          <w:szCs w:val="20"/>
        </w:rPr>
        <w:t>In Fiscal 2019, we completed the AmeriGas Merge</w:t>
      </w:r>
      <w:r>
        <w:rPr>
          <w:rFonts w:eastAsia="Times New Roman"/>
          <w:color w:val="000000"/>
          <w:sz w:val="20"/>
          <w:szCs w:val="20"/>
        </w:rPr>
        <w:t>r, whereby AmeriGas Partners became a wholly owned subsidiary of UGI and increased LPG’s contribution to UGI’s overall product mix. We announced our plan to rebalance our portfolio through both organic growth and investment in natural gas and renewable ene</w:t>
      </w:r>
      <w:r>
        <w:rPr>
          <w:rFonts w:eastAsia="Times New Roman"/>
          <w:color w:val="000000"/>
          <w:sz w:val="20"/>
          <w:szCs w:val="20"/>
        </w:rPr>
        <w:t xml:space="preserve">rgy solutions. </w:t>
      </w:r>
    </w:p>
    <w:p w14:paraId="55CA746A" w14:textId="77777777" w:rsidR="00000000" w:rsidRDefault="00C1661D">
      <w:pPr>
        <w:jc w:val="both"/>
        <w:rPr>
          <w:rFonts w:eastAsia="Times New Roman"/>
        </w:rPr>
      </w:pPr>
    </w:p>
    <w:p w14:paraId="52E0E5D1" w14:textId="77777777" w:rsidR="00000000" w:rsidRDefault="00C1661D">
      <w:pPr>
        <w:jc w:val="both"/>
        <w:rPr>
          <w:rFonts w:eastAsia="Times New Roman"/>
        </w:rPr>
      </w:pPr>
      <w:r>
        <w:rPr>
          <w:rFonts w:eastAsia="Times New Roman"/>
          <w:color w:val="000000"/>
          <w:sz w:val="20"/>
          <w:szCs w:val="20"/>
        </w:rPr>
        <w:t>In Fiscal 2022, we executed on our rebalancing strategy through several transactions and investments, including the Stonehenge Acquisition and the aforementioned investments in renewable energy. In addition to these transactions and inves</w:t>
      </w:r>
      <w:r>
        <w:rPr>
          <w:rFonts w:eastAsia="Times New Roman"/>
          <w:color w:val="000000"/>
          <w:sz w:val="20"/>
          <w:szCs w:val="20"/>
        </w:rPr>
        <w:t xml:space="preserve">tments, Utilities continued to execute on its infrastructure replacement and system betterment program, with record capital expenditures </w:t>
      </w:r>
    </w:p>
    <w:p w14:paraId="18DD5E91" w14:textId="77777777" w:rsidR="00000000" w:rsidRDefault="00C1661D">
      <w:pPr>
        <w:jc w:val="center"/>
        <w:divId w:val="730883343"/>
        <w:rPr>
          <w:rFonts w:eastAsia="Times New Roman"/>
        </w:rPr>
      </w:pPr>
      <w:r>
        <w:rPr>
          <w:rFonts w:eastAsia="Times New Roman"/>
          <w:color w:val="000000"/>
          <w:sz w:val="20"/>
          <w:szCs w:val="20"/>
        </w:rPr>
        <w:t>12</w:t>
      </w:r>
    </w:p>
    <w:p w14:paraId="7F8199C5" w14:textId="77777777" w:rsidR="00000000" w:rsidRDefault="00C1661D">
      <w:pPr>
        <w:rPr>
          <w:rFonts w:eastAsia="Times New Roman"/>
        </w:rPr>
      </w:pPr>
      <w:r>
        <w:rPr>
          <w:rFonts w:eastAsia="Times New Roman"/>
        </w:rPr>
        <w:pict w14:anchorId="2E564951">
          <v:rect id="_x0000_i1037" style="width:0;height:1.5pt" o:hralign="center" o:hrstd="t" o:hr="t" fillcolor="#a0a0a0" stroked="f"/>
        </w:pict>
      </w:r>
    </w:p>
    <w:p w14:paraId="29F50424" w14:textId="77777777" w:rsidR="00000000" w:rsidRDefault="00C1661D">
      <w:pPr>
        <w:divId w:val="427509957"/>
        <w:rPr>
          <w:rFonts w:eastAsia="Times New Roman"/>
        </w:rPr>
      </w:pPr>
      <w:hyperlink w:anchor="i3850c3c6c0104e42b9951aac2f16098a_7" w:history="1">
        <w:r>
          <w:rPr>
            <w:rStyle w:val="a3"/>
            <w:rFonts w:eastAsia="Times New Roman"/>
            <w:b/>
            <w:bCs/>
            <w:sz w:val="20"/>
            <w:szCs w:val="20"/>
          </w:rPr>
          <w:t>Table of Contents</w:t>
        </w:r>
      </w:hyperlink>
    </w:p>
    <w:p w14:paraId="37ACB05F" w14:textId="77777777" w:rsidR="00000000" w:rsidRDefault="00C1661D">
      <w:pPr>
        <w:jc w:val="both"/>
        <w:rPr>
          <w:rFonts w:eastAsia="Times New Roman"/>
        </w:rPr>
      </w:pPr>
      <w:r>
        <w:rPr>
          <w:rFonts w:eastAsia="Times New Roman"/>
          <w:color w:val="000000"/>
          <w:sz w:val="20"/>
          <w:szCs w:val="20"/>
        </w:rPr>
        <w:t xml:space="preserve">in Fiscal 2022 and additional expenditures expected in the coming years. </w:t>
      </w:r>
      <w:r>
        <w:rPr>
          <w:rFonts w:eastAsia="Times New Roman"/>
          <w:color w:val="000000"/>
          <w:sz w:val="20"/>
          <w:szCs w:val="20"/>
          <w:shd w:val="clear" w:color="auto" w:fill="FFFFFF"/>
        </w:rPr>
        <w:t>Utilities remains on schedule to achieve its goal of replacing the cast</w:t>
      </w:r>
      <w:r>
        <w:rPr>
          <w:rFonts w:eastAsia="Times New Roman"/>
          <w:color w:val="000000"/>
          <w:sz w:val="20"/>
          <w:szCs w:val="20"/>
          <w:shd w:val="clear" w:color="auto" w:fill="FFFFFF"/>
        </w:rPr>
        <w:t xml:space="preserve"> iron portions of its gas mains by March 2027 and the bare steel portion of its gas mains by September 2041.</w:t>
      </w:r>
      <w:r>
        <w:rPr>
          <w:rFonts w:eastAsia="Times New Roman"/>
          <w:color w:val="000000"/>
          <w:sz w:val="20"/>
          <w:szCs w:val="20"/>
        </w:rPr>
        <w:t xml:space="preserve"> </w:t>
      </w:r>
      <w:r>
        <w:rPr>
          <w:rFonts w:eastAsia="Times New Roman"/>
          <w:color w:val="000000"/>
          <w:sz w:val="20"/>
          <w:szCs w:val="20"/>
          <w:shd w:val="clear" w:color="auto" w:fill="FFFFFF"/>
        </w:rPr>
        <w:t>We believe that the replacement of aging infrastructure results in increased contributions to rate base growth and also reduces emissions while imp</w:t>
      </w:r>
      <w:r>
        <w:rPr>
          <w:rFonts w:eastAsia="Times New Roman"/>
          <w:color w:val="000000"/>
          <w:sz w:val="20"/>
          <w:szCs w:val="20"/>
          <w:shd w:val="clear" w:color="auto" w:fill="FFFFFF"/>
        </w:rPr>
        <w:t xml:space="preserve">roving operational efficiency. </w:t>
      </w:r>
    </w:p>
    <w:p w14:paraId="76F6F770" w14:textId="77777777" w:rsidR="00000000" w:rsidRDefault="00C1661D">
      <w:pPr>
        <w:jc w:val="both"/>
        <w:rPr>
          <w:rFonts w:eastAsia="Times New Roman"/>
        </w:rPr>
      </w:pPr>
    </w:p>
    <w:p w14:paraId="7B7F761A" w14:textId="77777777" w:rsidR="00000000" w:rsidRDefault="00C1661D">
      <w:pPr>
        <w:jc w:val="both"/>
        <w:rPr>
          <w:rFonts w:eastAsia="Times New Roman"/>
        </w:rPr>
      </w:pPr>
      <w:r>
        <w:rPr>
          <w:rFonts w:eastAsia="Times New Roman"/>
          <w:b/>
          <w:bCs/>
          <w:color w:val="000000"/>
          <w:sz w:val="20"/>
          <w:szCs w:val="20"/>
          <w:u w:val="single"/>
        </w:rPr>
        <w:t>Environmental Strategy</w:t>
      </w:r>
    </w:p>
    <w:p w14:paraId="63E2AB5E" w14:textId="77777777" w:rsidR="00000000" w:rsidRDefault="00C1661D">
      <w:pPr>
        <w:jc w:val="both"/>
        <w:rPr>
          <w:rFonts w:eastAsia="Times New Roman"/>
        </w:rPr>
      </w:pPr>
    </w:p>
    <w:p w14:paraId="09D532F5" w14:textId="77777777" w:rsidR="00000000" w:rsidRDefault="00C1661D">
      <w:pPr>
        <w:jc w:val="both"/>
        <w:rPr>
          <w:rFonts w:eastAsia="Times New Roman"/>
        </w:rPr>
      </w:pPr>
      <w:r>
        <w:rPr>
          <w:rFonts w:eastAsia="Times New Roman"/>
          <w:color w:val="000000"/>
          <w:sz w:val="20"/>
          <w:szCs w:val="20"/>
        </w:rPr>
        <w:t xml:space="preserve">We believe that corporate sustainability is critical to our overall business success and we are committed to growing the Company in an environmentally responsible way. UGI’s environmental strategy </w:t>
      </w:r>
      <w:r>
        <w:rPr>
          <w:rFonts w:eastAsia="Times New Roman"/>
          <w:color w:val="000000"/>
          <w:sz w:val="20"/>
          <w:szCs w:val="20"/>
        </w:rPr>
        <w:t>is focused on three main areas: reducing our emissions; reducing our customers’ emissions affordably, reliably, and responsibly; and investing in renewable solutions. To support our strategy, we have made the following environmental commitments discussed b</w:t>
      </w:r>
      <w:r>
        <w:rPr>
          <w:rFonts w:eastAsia="Times New Roman"/>
          <w:color w:val="000000"/>
          <w:sz w:val="20"/>
          <w:szCs w:val="20"/>
        </w:rPr>
        <w:t>elow while also committing to continue to grow our earnings per share and dividends.</w:t>
      </w:r>
    </w:p>
    <w:p w14:paraId="53109381" w14:textId="77777777" w:rsidR="00000000" w:rsidRDefault="00C1661D">
      <w:pPr>
        <w:jc w:val="both"/>
        <w:rPr>
          <w:rFonts w:eastAsia="Times New Roman"/>
        </w:rPr>
      </w:pPr>
    </w:p>
    <w:p w14:paraId="3DF7A60A" w14:textId="77777777" w:rsidR="00000000" w:rsidRDefault="00C1661D">
      <w:pPr>
        <w:ind w:hanging="360"/>
        <w:jc w:val="both"/>
        <w:rPr>
          <w:rFonts w:eastAsia="Times New Roman"/>
        </w:rPr>
      </w:pPr>
      <w:r>
        <w:rPr>
          <w:rFonts w:eastAsia="Times New Roman"/>
          <w:color w:val="000000"/>
          <w:sz w:val="20"/>
          <w:szCs w:val="20"/>
        </w:rPr>
        <w:t xml:space="preserve">•Scope 1 Emissions Reduction Commitment – Reduce Scope 1 GHG emissions by 55% by 2025 (using Fiscal 2020 as a baseline). Our Scope 1 emissions reduction target does not </w:t>
      </w:r>
      <w:r>
        <w:rPr>
          <w:rFonts w:eastAsia="Times New Roman"/>
          <w:color w:val="000000"/>
          <w:sz w:val="20"/>
          <w:szCs w:val="20"/>
        </w:rPr>
        <w:t>include emissions from the Mountaineer Acquisition, which closed in September 2021. The emissions from the Pine Run acquisition, announced in February 2021, will be included in the baseline 2020 number as this investment will contribute to our goal. The 20</w:t>
      </w:r>
      <w:r>
        <w:rPr>
          <w:rFonts w:eastAsia="Times New Roman"/>
          <w:color w:val="000000"/>
          <w:sz w:val="20"/>
          <w:szCs w:val="20"/>
        </w:rPr>
        <w:t>20 base number also takes a five year emissions average from the Hunlock generation facility to account for year-over-year differences in run time.</w:t>
      </w:r>
    </w:p>
    <w:p w14:paraId="60A98FDE" w14:textId="77777777" w:rsidR="00000000" w:rsidRDefault="00C1661D">
      <w:pPr>
        <w:jc w:val="both"/>
        <w:rPr>
          <w:rFonts w:eastAsia="Times New Roman"/>
        </w:rPr>
      </w:pPr>
    </w:p>
    <w:p w14:paraId="6401275D" w14:textId="77777777" w:rsidR="00000000" w:rsidRDefault="00C1661D">
      <w:pPr>
        <w:ind w:hanging="360"/>
        <w:jc w:val="both"/>
        <w:rPr>
          <w:rFonts w:eastAsia="Times New Roman"/>
        </w:rPr>
      </w:pPr>
      <w:r>
        <w:rPr>
          <w:rFonts w:eastAsia="Times New Roman"/>
          <w:color w:val="000000"/>
          <w:sz w:val="20"/>
          <w:szCs w:val="20"/>
        </w:rPr>
        <w:t>•Methane Emissions Reduction Commitment – Reduce methane emissions by 92% by 2030 and 95% by 2040.</w:t>
      </w:r>
    </w:p>
    <w:p w14:paraId="1B501452" w14:textId="77777777" w:rsidR="00000000" w:rsidRDefault="00C1661D">
      <w:pPr>
        <w:ind w:hanging="360"/>
        <w:jc w:val="both"/>
        <w:rPr>
          <w:rFonts w:eastAsia="Times New Roman"/>
        </w:rPr>
      </w:pPr>
    </w:p>
    <w:p w14:paraId="6A285917" w14:textId="77777777" w:rsidR="00000000" w:rsidRDefault="00C1661D">
      <w:pPr>
        <w:ind w:hanging="360"/>
        <w:jc w:val="both"/>
        <w:rPr>
          <w:rFonts w:eastAsia="Times New Roman"/>
        </w:rPr>
      </w:pPr>
      <w:r>
        <w:rPr>
          <w:rFonts w:eastAsia="Times New Roman"/>
          <w:color w:val="000000"/>
          <w:sz w:val="20"/>
          <w:szCs w:val="20"/>
        </w:rPr>
        <w:t>•Pipe</w:t>
      </w:r>
      <w:r>
        <w:rPr>
          <w:rFonts w:eastAsia="Times New Roman"/>
          <w:color w:val="000000"/>
          <w:sz w:val="20"/>
          <w:szCs w:val="20"/>
        </w:rPr>
        <w:t>line Replacement and Betterment Commitment – Replace all cast iron pipelines by 2027 and all bare steel by 2041. Our pipeline replacement and betterment activities better enable us to achieve our emissions reductions goals.</w:t>
      </w:r>
    </w:p>
    <w:p w14:paraId="28EEB640" w14:textId="77777777" w:rsidR="00000000" w:rsidRDefault="00C1661D">
      <w:pPr>
        <w:ind w:hanging="360"/>
        <w:jc w:val="both"/>
        <w:rPr>
          <w:rFonts w:eastAsia="Times New Roman"/>
        </w:rPr>
      </w:pPr>
    </w:p>
    <w:p w14:paraId="68D2887E" w14:textId="77777777" w:rsidR="00000000" w:rsidRDefault="00C1661D">
      <w:pPr>
        <w:ind w:hanging="360"/>
        <w:jc w:val="both"/>
        <w:rPr>
          <w:rFonts w:eastAsia="Times New Roman"/>
        </w:rPr>
      </w:pPr>
      <w:r>
        <w:rPr>
          <w:rFonts w:eastAsia="Times New Roman"/>
          <w:color w:val="000000"/>
          <w:sz w:val="20"/>
          <w:szCs w:val="20"/>
        </w:rPr>
        <w:t>•</w:t>
      </w:r>
      <w:r>
        <w:rPr>
          <w:rFonts w:eastAsia="Times New Roman"/>
          <w:color w:val="000000"/>
          <w:sz w:val="20"/>
          <w:szCs w:val="20"/>
        </w:rPr>
        <w:t>Renewable Investment – Invest between $1 billion and $1.25 billion by 2025. Such renewable investments better enable us to achieve our emissions reductions goals.</w:t>
      </w:r>
    </w:p>
    <w:p w14:paraId="6FCB4268" w14:textId="77777777" w:rsidR="00000000" w:rsidRDefault="00C1661D">
      <w:pPr>
        <w:jc w:val="both"/>
        <w:rPr>
          <w:rFonts w:eastAsia="Times New Roman"/>
        </w:rPr>
      </w:pPr>
    </w:p>
    <w:p w14:paraId="63BF7A8D" w14:textId="77777777" w:rsidR="00000000" w:rsidRDefault="00C1661D">
      <w:pPr>
        <w:jc w:val="both"/>
        <w:rPr>
          <w:rFonts w:eastAsia="Times New Roman"/>
        </w:rPr>
      </w:pPr>
      <w:r>
        <w:rPr>
          <w:rFonts w:eastAsia="Times New Roman"/>
          <w:color w:val="000000"/>
          <w:sz w:val="20"/>
          <w:szCs w:val="20"/>
        </w:rPr>
        <w:t>We report our progress on the environmental goals and commitments annually in our Sustainab</w:t>
      </w:r>
      <w:r>
        <w:rPr>
          <w:rFonts w:eastAsia="Times New Roman"/>
          <w:color w:val="000000"/>
          <w:sz w:val="20"/>
          <w:szCs w:val="20"/>
        </w:rPr>
        <w:t xml:space="preserve">ility Reports, including our Scope 1 and 2 emissions, air quality impact, and water management efforts. Our Sustainability Reports may be accessed on our website under “ESG - Resources - Sustainability Reports.” Information published in our Sustainability </w:t>
      </w:r>
      <w:r>
        <w:rPr>
          <w:rFonts w:eastAsia="Times New Roman"/>
          <w:color w:val="000000"/>
          <w:sz w:val="20"/>
          <w:szCs w:val="20"/>
        </w:rPr>
        <w:t>Reports is not intended to be incorporated into this Report.</w:t>
      </w:r>
    </w:p>
    <w:p w14:paraId="43CD6D48" w14:textId="77777777" w:rsidR="00000000" w:rsidRDefault="00C1661D">
      <w:pPr>
        <w:jc w:val="both"/>
        <w:rPr>
          <w:rFonts w:eastAsia="Times New Roman"/>
        </w:rPr>
      </w:pPr>
    </w:p>
    <w:p w14:paraId="3AE638E0" w14:textId="77777777" w:rsidR="00000000" w:rsidRDefault="00C1661D">
      <w:pPr>
        <w:jc w:val="both"/>
        <w:rPr>
          <w:rFonts w:eastAsia="Times New Roman"/>
        </w:rPr>
      </w:pPr>
      <w:r>
        <w:rPr>
          <w:rFonts w:eastAsia="Times New Roman"/>
          <w:color w:val="000000"/>
          <w:sz w:val="20"/>
          <w:szCs w:val="20"/>
        </w:rPr>
        <w:t>In formulating our environmental strategy, our management and Board of Directors consider certain risks and uncertainties that may materially impact our financial condition and results of opera</w:t>
      </w:r>
      <w:r>
        <w:rPr>
          <w:rFonts w:eastAsia="Times New Roman"/>
          <w:color w:val="000000"/>
          <w:sz w:val="20"/>
          <w:szCs w:val="20"/>
        </w:rPr>
        <w:t>tions. For more information on these risks and uncertainties, see “Risk Factors - The potential effects of climate change may affect our business, operations, supply chain and customers, which could adversely impact our financial condition and results of o</w:t>
      </w:r>
      <w:r>
        <w:rPr>
          <w:rFonts w:eastAsia="Times New Roman"/>
          <w:color w:val="000000"/>
          <w:sz w:val="20"/>
          <w:szCs w:val="20"/>
        </w:rPr>
        <w:t>perations.”</w:t>
      </w:r>
    </w:p>
    <w:p w14:paraId="2D20BB6C" w14:textId="77777777" w:rsidR="00000000" w:rsidRDefault="00C1661D">
      <w:pPr>
        <w:jc w:val="both"/>
        <w:rPr>
          <w:rFonts w:eastAsia="Times New Roman"/>
        </w:rPr>
      </w:pPr>
    </w:p>
    <w:p w14:paraId="5BC2F41A" w14:textId="77777777" w:rsidR="00000000" w:rsidRDefault="00C1661D">
      <w:pPr>
        <w:jc w:val="both"/>
        <w:rPr>
          <w:rFonts w:eastAsia="Times New Roman"/>
        </w:rPr>
      </w:pPr>
      <w:r>
        <w:rPr>
          <w:rFonts w:eastAsia="Times New Roman"/>
          <w:b/>
          <w:bCs/>
          <w:color w:val="000000"/>
          <w:sz w:val="20"/>
          <w:szCs w:val="20"/>
        </w:rPr>
        <w:t>Corporate Information</w:t>
      </w:r>
    </w:p>
    <w:p w14:paraId="611B696D" w14:textId="77777777" w:rsidR="00000000" w:rsidRDefault="00C1661D">
      <w:pPr>
        <w:jc w:val="both"/>
        <w:rPr>
          <w:rFonts w:eastAsia="Times New Roman"/>
        </w:rPr>
      </w:pPr>
    </w:p>
    <w:p w14:paraId="73A86E95" w14:textId="77777777" w:rsidR="00000000" w:rsidRDefault="00C1661D">
      <w:pPr>
        <w:jc w:val="both"/>
        <w:rPr>
          <w:rFonts w:eastAsia="Times New Roman"/>
        </w:rPr>
      </w:pPr>
      <w:r>
        <w:rPr>
          <w:rFonts w:eastAsia="Times New Roman"/>
          <w:color w:val="000000"/>
          <w:sz w:val="20"/>
          <w:szCs w:val="20"/>
        </w:rPr>
        <w:t>UGI was incorporated in Pennsylvania in 1991. The Company is not subject to regulation by the PAPUC but, following completion of the Mountaineer Acquisition, is a regulated “holding company” under PUHCA 2005. PUHCA 200</w:t>
      </w:r>
      <w:r>
        <w:rPr>
          <w:rFonts w:eastAsia="Times New Roman"/>
          <w:color w:val="000000"/>
          <w:sz w:val="20"/>
          <w:szCs w:val="20"/>
        </w:rPr>
        <w:t>5 and the implementing regulations of FERC give FERC access to certain holding company books and records and impose certain accounting, record-keeping, and reporting requirements on holding companies. PUHCA 2005 also provides state utility regulatory commi</w:t>
      </w:r>
      <w:r>
        <w:rPr>
          <w:rFonts w:eastAsia="Times New Roman"/>
          <w:color w:val="000000"/>
          <w:sz w:val="20"/>
          <w:szCs w:val="20"/>
        </w:rPr>
        <w:t xml:space="preserve">ssions with access to holding company books and records in certain circumstances. </w:t>
      </w:r>
    </w:p>
    <w:p w14:paraId="1FA7513A" w14:textId="77777777" w:rsidR="00000000" w:rsidRDefault="00C1661D">
      <w:pPr>
        <w:jc w:val="both"/>
        <w:rPr>
          <w:rFonts w:eastAsia="Times New Roman"/>
        </w:rPr>
      </w:pPr>
    </w:p>
    <w:p w14:paraId="70E3E4BA" w14:textId="77777777" w:rsidR="00000000" w:rsidRDefault="00C1661D">
      <w:pPr>
        <w:jc w:val="both"/>
        <w:rPr>
          <w:rFonts w:eastAsia="Times New Roman"/>
        </w:rPr>
      </w:pPr>
      <w:r>
        <w:rPr>
          <w:rFonts w:eastAsia="Times New Roman"/>
          <w:color w:val="000000"/>
          <w:sz w:val="20"/>
          <w:szCs w:val="20"/>
        </w:rPr>
        <w:t>Our executive offices are located at 460 North Gulph Road, King of Prussia, Pennsylvania 19406, and our telephone number is (610) 337-1000. In this Report, the terms “Comp</w:t>
      </w:r>
      <w:r>
        <w:rPr>
          <w:rFonts w:eastAsia="Times New Roman"/>
          <w:color w:val="000000"/>
          <w:sz w:val="20"/>
          <w:szCs w:val="20"/>
        </w:rPr>
        <w:t>any” and “UGI,” as well as the terms “our,” “we,” “us,” and “its” are sometimes used as abbreviated references to UGI Corporation or, collectively, UGI Corporation and its consolidated subsidiaries. For further information on the meaning of certain terms u</w:t>
      </w:r>
      <w:r>
        <w:rPr>
          <w:rFonts w:eastAsia="Times New Roman"/>
          <w:color w:val="000000"/>
          <w:sz w:val="20"/>
          <w:szCs w:val="20"/>
        </w:rPr>
        <w:t>sed in this Report, see “Glossary of Terms and Abbreviations.”</w:t>
      </w:r>
    </w:p>
    <w:p w14:paraId="71CA986C" w14:textId="77777777" w:rsidR="00000000" w:rsidRDefault="00C1661D">
      <w:pPr>
        <w:jc w:val="both"/>
        <w:rPr>
          <w:rFonts w:eastAsia="Times New Roman"/>
        </w:rPr>
      </w:pPr>
    </w:p>
    <w:p w14:paraId="044653F6" w14:textId="77777777" w:rsidR="00000000" w:rsidRDefault="00C1661D">
      <w:pPr>
        <w:jc w:val="both"/>
        <w:rPr>
          <w:rFonts w:eastAsia="Times New Roman"/>
        </w:rPr>
      </w:pPr>
      <w:r>
        <w:rPr>
          <w:rFonts w:eastAsia="Times New Roman"/>
          <w:color w:val="000000"/>
          <w:sz w:val="20"/>
          <w:szCs w:val="20"/>
        </w:rPr>
        <w:t>The Company’s corporate website can be found at www.ugicorp.com. Information on our website, including the information published in our Sustainability Reports, is not intended to be incorpora</w:t>
      </w:r>
      <w:r>
        <w:rPr>
          <w:rFonts w:eastAsia="Times New Roman"/>
          <w:color w:val="000000"/>
          <w:sz w:val="20"/>
          <w:szCs w:val="20"/>
        </w:rPr>
        <w:t xml:space="preserve">ted into this Report. The Company makes available free of charge at this website (under the “Investors - Financial Reports - SEC Filings and Proxies” caption) copies of its reports filed or furnished pursuant to Section 13(a) or 15(d) of the Exchange Act, </w:t>
      </w:r>
      <w:r>
        <w:rPr>
          <w:rFonts w:eastAsia="Times New Roman"/>
          <w:color w:val="000000"/>
          <w:sz w:val="20"/>
          <w:szCs w:val="20"/>
        </w:rPr>
        <w:t xml:space="preserve">including its Annual Reports on Form 10-K, its Quarterly Reports on Form 10-Q, and its Current Reports on Form 8-K. The Company’s Principles of Corporate Governance, Code of Business Conduct and Ethics, and Supplier Code of Business Conduct and Ethics are </w:t>
      </w:r>
      <w:r>
        <w:rPr>
          <w:rFonts w:eastAsia="Times New Roman"/>
          <w:color w:val="000000"/>
          <w:sz w:val="20"/>
          <w:szCs w:val="20"/>
        </w:rPr>
        <w:t>available on the Company’s website under the caption “Company - Leadership and Governance - Governance Documents.” The charters of the Audit, Corporate Governance, Compensation and Management Development, Pension, and Safety, Environmental and Regulatory C</w:t>
      </w:r>
      <w:r>
        <w:rPr>
          <w:rFonts w:eastAsia="Times New Roman"/>
          <w:color w:val="000000"/>
          <w:sz w:val="20"/>
          <w:szCs w:val="20"/>
        </w:rPr>
        <w:t xml:space="preserve">ompliance Committees of the Board of Directors are available on the Company’s website under the caption “Company - Leadership and Governance - Committees &amp; Charters.” All of these documents are also available free of charge by writing to Director, </w:t>
      </w:r>
    </w:p>
    <w:p w14:paraId="190FA710" w14:textId="77777777" w:rsidR="00000000" w:rsidRDefault="00C1661D">
      <w:pPr>
        <w:jc w:val="center"/>
        <w:divId w:val="1118839840"/>
        <w:rPr>
          <w:rFonts w:eastAsia="Times New Roman"/>
        </w:rPr>
      </w:pPr>
      <w:r>
        <w:rPr>
          <w:rFonts w:eastAsia="Times New Roman"/>
          <w:color w:val="000000"/>
          <w:sz w:val="20"/>
          <w:szCs w:val="20"/>
        </w:rPr>
        <w:t>13</w:t>
      </w:r>
    </w:p>
    <w:p w14:paraId="0888C81D" w14:textId="77777777" w:rsidR="00000000" w:rsidRDefault="00C1661D">
      <w:pPr>
        <w:rPr>
          <w:rFonts w:eastAsia="Times New Roman"/>
        </w:rPr>
      </w:pPr>
      <w:r>
        <w:rPr>
          <w:rFonts w:eastAsia="Times New Roman"/>
        </w:rPr>
        <w:pict w14:anchorId="3F477D8B">
          <v:rect id="_x0000_i1038" style="width:0;height:1.5pt" o:hralign="center" o:hrstd="t" o:hr="t" fillcolor="#a0a0a0" stroked="f"/>
        </w:pict>
      </w:r>
    </w:p>
    <w:p w14:paraId="0271B5F7" w14:textId="77777777" w:rsidR="00000000" w:rsidRDefault="00C1661D">
      <w:pPr>
        <w:divId w:val="469517835"/>
        <w:rPr>
          <w:rFonts w:eastAsia="Times New Roman"/>
        </w:rPr>
      </w:pPr>
      <w:hyperlink w:anchor="i3850c3c6c0104e42b9951aac2f16098a_7" w:history="1">
        <w:r>
          <w:rPr>
            <w:rStyle w:val="a3"/>
            <w:rFonts w:eastAsia="Times New Roman"/>
            <w:b/>
            <w:bCs/>
            <w:sz w:val="20"/>
            <w:szCs w:val="20"/>
          </w:rPr>
          <w:t>Table of Contents</w:t>
        </w:r>
      </w:hyperlink>
    </w:p>
    <w:p w14:paraId="5F5E6566" w14:textId="77777777" w:rsidR="00000000" w:rsidRDefault="00C1661D">
      <w:pPr>
        <w:jc w:val="both"/>
        <w:rPr>
          <w:rFonts w:eastAsia="Times New Roman"/>
        </w:rPr>
      </w:pPr>
      <w:r>
        <w:rPr>
          <w:rFonts w:eastAsia="Times New Roman"/>
          <w:color w:val="000000"/>
          <w:sz w:val="20"/>
          <w:szCs w:val="20"/>
        </w:rPr>
        <w:t>Investor Relations, UGI Corporation, P.O. Box 858, Valley Forge, PA 19482.</w:t>
      </w:r>
    </w:p>
    <w:p w14:paraId="4364DB64" w14:textId="77777777" w:rsidR="00000000" w:rsidRDefault="00C1661D">
      <w:pPr>
        <w:jc w:val="both"/>
        <w:rPr>
          <w:rFonts w:eastAsia="Times New Roman"/>
        </w:rPr>
      </w:pPr>
    </w:p>
    <w:p w14:paraId="0F4153F0" w14:textId="77777777" w:rsidR="00000000" w:rsidRDefault="00C1661D">
      <w:pPr>
        <w:jc w:val="center"/>
        <w:divId w:val="835656250"/>
        <w:rPr>
          <w:rFonts w:eastAsia="Times New Roman"/>
        </w:rPr>
      </w:pPr>
      <w:r>
        <w:rPr>
          <w:rFonts w:eastAsia="Times New Roman"/>
          <w:b/>
          <w:bCs/>
          <w:color w:val="000000"/>
          <w:sz w:val="20"/>
          <w:szCs w:val="20"/>
        </w:rPr>
        <w:t>AMERIGAS PROPANE</w:t>
      </w:r>
    </w:p>
    <w:p w14:paraId="583DD209" w14:textId="77777777" w:rsidR="00000000" w:rsidRDefault="00C1661D">
      <w:pPr>
        <w:jc w:val="both"/>
        <w:rPr>
          <w:rFonts w:eastAsia="Times New Roman"/>
        </w:rPr>
      </w:pPr>
    </w:p>
    <w:p w14:paraId="56AF97C8" w14:textId="77777777" w:rsidR="00000000" w:rsidRDefault="00C1661D">
      <w:pPr>
        <w:jc w:val="both"/>
        <w:rPr>
          <w:rFonts w:eastAsia="Times New Roman"/>
        </w:rPr>
      </w:pPr>
      <w:r>
        <w:rPr>
          <w:rFonts w:eastAsia="Times New Roman"/>
          <w:b/>
          <w:bCs/>
          <w:i/>
          <w:iCs/>
          <w:color w:val="000000"/>
          <w:sz w:val="20"/>
          <w:szCs w:val="20"/>
        </w:rPr>
        <w:t>Products, Services and Marketing</w:t>
      </w:r>
    </w:p>
    <w:p w14:paraId="295EBECE" w14:textId="77777777" w:rsidR="00000000" w:rsidRDefault="00C1661D">
      <w:pPr>
        <w:jc w:val="both"/>
        <w:rPr>
          <w:rFonts w:eastAsia="Times New Roman"/>
        </w:rPr>
      </w:pPr>
    </w:p>
    <w:p w14:paraId="32CAB4EF" w14:textId="77777777" w:rsidR="00000000" w:rsidRDefault="00C1661D">
      <w:pPr>
        <w:jc w:val="both"/>
        <w:rPr>
          <w:rFonts w:eastAsia="Times New Roman"/>
        </w:rPr>
      </w:pPr>
      <w:r>
        <w:rPr>
          <w:rFonts w:eastAsia="Times New Roman"/>
          <w:color w:val="000000"/>
          <w:sz w:val="20"/>
          <w:szCs w:val="20"/>
        </w:rPr>
        <w:t>Our domestic propane distribution business is conducted through AmeriGas Propane. AmeriGas Propane serves nearly 1.3 million customers in all 50 states from approximately 1,400 propane distribution locations. Typically, p</w:t>
      </w:r>
      <w:r>
        <w:rPr>
          <w:rFonts w:eastAsia="Times New Roman"/>
          <w:color w:val="000000"/>
          <w:sz w:val="20"/>
          <w:szCs w:val="20"/>
        </w:rPr>
        <w:t>ropane distribution locations are in suburban and rural areas where natural gas is not readily available. Our local offices generally consist of operations facilities and propane storage. As part of its overall transportation and distribution infrastructur</w:t>
      </w:r>
      <w:r>
        <w:rPr>
          <w:rFonts w:eastAsia="Times New Roman"/>
          <w:color w:val="000000"/>
          <w:sz w:val="20"/>
          <w:szCs w:val="20"/>
        </w:rPr>
        <w:t xml:space="preserve">e, AmeriGas Propane operates as an interstate carrier in all states throughout the continental U.S. </w:t>
      </w:r>
    </w:p>
    <w:p w14:paraId="258C1555" w14:textId="77777777" w:rsidR="00000000" w:rsidRDefault="00C1661D">
      <w:pPr>
        <w:jc w:val="both"/>
        <w:rPr>
          <w:rFonts w:eastAsia="Times New Roman"/>
        </w:rPr>
      </w:pPr>
    </w:p>
    <w:p w14:paraId="0A1B35EC" w14:textId="77777777" w:rsidR="00000000" w:rsidRDefault="00C1661D">
      <w:pPr>
        <w:jc w:val="both"/>
        <w:rPr>
          <w:rFonts w:eastAsia="Times New Roman"/>
        </w:rPr>
      </w:pPr>
      <w:r>
        <w:rPr>
          <w:rFonts w:eastAsia="Times New Roman"/>
          <w:color w:val="000000"/>
          <w:sz w:val="20"/>
          <w:szCs w:val="20"/>
        </w:rPr>
        <w:t>AmeriGas Propane sells propane primarily to residential, commercial/industrial, motor fuel, agricultural and wholesale customers. AmeriGas Propane distri</w:t>
      </w:r>
      <w:r>
        <w:rPr>
          <w:rFonts w:eastAsia="Times New Roman"/>
          <w:color w:val="000000"/>
          <w:sz w:val="20"/>
          <w:szCs w:val="20"/>
        </w:rPr>
        <w:t>buted approximately 1 billion gallons of propane in Fiscal 2022. Approximately 85% of AmeriGas Propane’s Fiscal 2022 sales (based on gallons sold) was to retail accounts and approximately 15% was to wholesale accounts. Sales to residential customers in Fis</w:t>
      </w:r>
      <w:r>
        <w:rPr>
          <w:rFonts w:eastAsia="Times New Roman"/>
          <w:color w:val="000000"/>
          <w:sz w:val="20"/>
          <w:szCs w:val="20"/>
        </w:rPr>
        <w:t>cal 2022 represented approximately 30% of retail gallons sold; commercial/industrial customers 40%; motor fuel customers 21%; and agricultural customers 4%. Transport gallons, which are large-scale deliveries to retail customers other than residential, acc</w:t>
      </w:r>
      <w:r>
        <w:rPr>
          <w:rFonts w:eastAsia="Times New Roman"/>
          <w:color w:val="000000"/>
          <w:sz w:val="20"/>
          <w:szCs w:val="20"/>
        </w:rPr>
        <w:t>ounted for approximately 5% of Fiscal 2022 retail gallons. No single customer represents more than 5% of AmeriGas Propane’s consolidated revenues.</w:t>
      </w:r>
    </w:p>
    <w:p w14:paraId="50F0629E" w14:textId="77777777" w:rsidR="00000000" w:rsidRDefault="00C1661D">
      <w:pPr>
        <w:jc w:val="both"/>
        <w:rPr>
          <w:rFonts w:eastAsia="Times New Roman"/>
        </w:rPr>
      </w:pPr>
    </w:p>
    <w:p w14:paraId="310436F8" w14:textId="77777777" w:rsidR="00000000" w:rsidRDefault="00C1661D">
      <w:pPr>
        <w:jc w:val="both"/>
        <w:rPr>
          <w:rFonts w:eastAsia="Times New Roman"/>
        </w:rPr>
      </w:pPr>
      <w:r>
        <w:rPr>
          <w:rFonts w:eastAsia="Times New Roman"/>
          <w:color w:val="000000"/>
          <w:sz w:val="20"/>
          <w:szCs w:val="20"/>
        </w:rPr>
        <w:t>The ACE program continued to be an important element of AmeriGas Propane’s business in Fiscal 2022. At Sept</w:t>
      </w:r>
      <w:r>
        <w:rPr>
          <w:rFonts w:eastAsia="Times New Roman"/>
          <w:color w:val="000000"/>
          <w:sz w:val="20"/>
          <w:szCs w:val="20"/>
        </w:rPr>
        <w:t>ember 30, 2022, ACE cylinders were available at approximately 50,000 retail locations throughout the U.S. Sales of our ACE cylinders to retailers are included in commercial/industrial sales. The ACE program enables consumers to purchase or exchange propane</w:t>
      </w:r>
      <w:r>
        <w:rPr>
          <w:rFonts w:eastAsia="Times New Roman"/>
          <w:color w:val="000000"/>
          <w:sz w:val="20"/>
          <w:szCs w:val="20"/>
        </w:rPr>
        <w:t xml:space="preserve"> cylinders at various retail locations such as home centers, gas stations, mass merchandisers and grocery and convenience stores. In addition, we continued to expand our Cynch propane home delivery service, which is now available in 25 cities as of Septemb</w:t>
      </w:r>
      <w:r>
        <w:rPr>
          <w:rFonts w:eastAsia="Times New Roman"/>
          <w:color w:val="000000"/>
          <w:sz w:val="20"/>
          <w:szCs w:val="20"/>
        </w:rPr>
        <w:t>er 30, 2022. We also supply retailers with large propane tanks to enable them to replenish customers’ propane cylinders directly at the retailers’ locations.</w:t>
      </w:r>
    </w:p>
    <w:p w14:paraId="09BD8D55" w14:textId="77777777" w:rsidR="00000000" w:rsidRDefault="00C1661D">
      <w:pPr>
        <w:jc w:val="both"/>
        <w:rPr>
          <w:rFonts w:eastAsia="Times New Roman"/>
        </w:rPr>
      </w:pPr>
    </w:p>
    <w:p w14:paraId="47E3A30F" w14:textId="77777777" w:rsidR="00000000" w:rsidRDefault="00C1661D">
      <w:pPr>
        <w:jc w:val="both"/>
        <w:rPr>
          <w:rFonts w:eastAsia="Times New Roman"/>
        </w:rPr>
      </w:pPr>
      <w:r>
        <w:rPr>
          <w:rFonts w:eastAsia="Times New Roman"/>
          <w:color w:val="000000"/>
          <w:sz w:val="20"/>
          <w:szCs w:val="20"/>
        </w:rPr>
        <w:t>Residential and commercial customers use propane primarily for home heating, water heating and cooking purposes. Commercial users include hotels, restaurants, churches, warehouses and retail stores. Industrial customers use propane to fire furnaces, as a c</w:t>
      </w:r>
      <w:r>
        <w:rPr>
          <w:rFonts w:eastAsia="Times New Roman"/>
          <w:color w:val="000000"/>
          <w:sz w:val="20"/>
          <w:szCs w:val="20"/>
        </w:rPr>
        <w:t>utting gas and in other process applications. Other industrial customers are large-scale heating accounts and local gas utility customers that use propane as a supplemental fuel to meet peak load deliverability requirements. As a motor fuel, propane is bur</w:t>
      </w:r>
      <w:r>
        <w:rPr>
          <w:rFonts w:eastAsia="Times New Roman"/>
          <w:color w:val="000000"/>
          <w:sz w:val="20"/>
          <w:szCs w:val="20"/>
        </w:rPr>
        <w:t>ned in internal combustion engines that power school buses and other over-the-road vehicles, forklifts and stationary engines. Agricultural uses include tobacco curing, chicken brooding, crop drying and orchard heating. In its wholesale operations, AmeriGa</w:t>
      </w:r>
      <w:r>
        <w:rPr>
          <w:rFonts w:eastAsia="Times New Roman"/>
          <w:color w:val="000000"/>
          <w:sz w:val="20"/>
          <w:szCs w:val="20"/>
        </w:rPr>
        <w:t>s Propane principally sells propane to large industrial end-users and other propane distributors.</w:t>
      </w:r>
    </w:p>
    <w:p w14:paraId="02F36499" w14:textId="77777777" w:rsidR="00000000" w:rsidRDefault="00C1661D">
      <w:pPr>
        <w:jc w:val="both"/>
        <w:rPr>
          <w:rFonts w:eastAsia="Times New Roman"/>
        </w:rPr>
      </w:pPr>
    </w:p>
    <w:p w14:paraId="4E66F582" w14:textId="77777777" w:rsidR="00000000" w:rsidRDefault="00C1661D">
      <w:pPr>
        <w:jc w:val="both"/>
        <w:rPr>
          <w:rFonts w:eastAsia="Times New Roman"/>
        </w:rPr>
      </w:pPr>
      <w:r>
        <w:rPr>
          <w:rFonts w:eastAsia="Times New Roman"/>
          <w:color w:val="000000"/>
          <w:sz w:val="20"/>
          <w:szCs w:val="20"/>
        </w:rPr>
        <w:t>Retail deliveries of propane are usually made to customers by means of bobtail and rack trucks. Propane is pumped from the bobtail truck, which generally ho</w:t>
      </w:r>
      <w:r>
        <w:rPr>
          <w:rFonts w:eastAsia="Times New Roman"/>
          <w:color w:val="000000"/>
          <w:sz w:val="20"/>
          <w:szCs w:val="20"/>
        </w:rPr>
        <w:t>lds 2,400 to 3,000 gallons of propane, into a stationary storage tank on the customer’s premises. AmeriGas Propane owns most of these storage tanks and leases them to its customers. The capacity of these tanks ranges from approximately 120 gallons to appro</w:t>
      </w:r>
      <w:r>
        <w:rPr>
          <w:rFonts w:eastAsia="Times New Roman"/>
          <w:color w:val="000000"/>
          <w:sz w:val="20"/>
          <w:szCs w:val="20"/>
        </w:rPr>
        <w:t>ximately 1,200 gallons. AmeriGas Propane also delivers propane in portable cylinders, including ACE and motor fuel cylinders. Some of these deliveries are made to the customer’s location where cylinders are either picked up or replenished in place.</w:t>
      </w:r>
    </w:p>
    <w:p w14:paraId="5EE55159" w14:textId="77777777" w:rsidR="00000000" w:rsidRDefault="00C1661D">
      <w:pPr>
        <w:jc w:val="both"/>
        <w:rPr>
          <w:rFonts w:eastAsia="Times New Roman"/>
        </w:rPr>
      </w:pPr>
    </w:p>
    <w:p w14:paraId="1E6E9B00" w14:textId="77777777" w:rsidR="00000000" w:rsidRDefault="00C1661D">
      <w:pPr>
        <w:jc w:val="both"/>
        <w:rPr>
          <w:rFonts w:eastAsia="Times New Roman"/>
        </w:rPr>
      </w:pPr>
      <w:r>
        <w:rPr>
          <w:rFonts w:eastAsia="Times New Roman"/>
          <w:color w:val="000000"/>
          <w:sz w:val="20"/>
          <w:szCs w:val="20"/>
        </w:rPr>
        <w:t>Durin</w:t>
      </w:r>
      <w:r>
        <w:rPr>
          <w:rFonts w:eastAsia="Times New Roman"/>
          <w:color w:val="000000"/>
          <w:sz w:val="20"/>
          <w:szCs w:val="20"/>
        </w:rPr>
        <w:t>g Fiscal 2022, we made technology and other investments to promote the safety of our employees and the communities we serve. For example, (i) we continued installing cameras in our delivery and service vehicles to facilitate in-cab coaching capabilities, a</w:t>
      </w:r>
      <w:r>
        <w:rPr>
          <w:rFonts w:eastAsia="Times New Roman"/>
          <w:color w:val="000000"/>
          <w:sz w:val="20"/>
          <w:szCs w:val="20"/>
        </w:rPr>
        <w:t>mong other functionality, and (ii) we continued to install fall protection towers on rail terminals that are designed to prevent employees from falling during the process of offloading propane into bulk storage.</w:t>
      </w:r>
    </w:p>
    <w:p w14:paraId="143D1669" w14:textId="77777777" w:rsidR="00000000" w:rsidRDefault="00C1661D">
      <w:pPr>
        <w:jc w:val="both"/>
        <w:rPr>
          <w:rFonts w:eastAsia="Times New Roman"/>
        </w:rPr>
      </w:pPr>
    </w:p>
    <w:p w14:paraId="06917198" w14:textId="77777777" w:rsidR="00000000" w:rsidRDefault="00C1661D">
      <w:pPr>
        <w:jc w:val="both"/>
        <w:rPr>
          <w:rFonts w:eastAsia="Times New Roman"/>
        </w:rPr>
      </w:pPr>
      <w:r>
        <w:rPr>
          <w:rFonts w:eastAsia="Times New Roman"/>
          <w:b/>
          <w:bCs/>
          <w:i/>
          <w:iCs/>
          <w:color w:val="000000"/>
          <w:sz w:val="20"/>
          <w:szCs w:val="20"/>
        </w:rPr>
        <w:t>Propane Supply and Storage</w:t>
      </w:r>
    </w:p>
    <w:p w14:paraId="14BF9795" w14:textId="77777777" w:rsidR="00000000" w:rsidRDefault="00C1661D">
      <w:pPr>
        <w:jc w:val="both"/>
        <w:rPr>
          <w:rFonts w:eastAsia="Times New Roman"/>
        </w:rPr>
      </w:pPr>
    </w:p>
    <w:p w14:paraId="1526EDEC" w14:textId="77777777" w:rsidR="00000000" w:rsidRDefault="00C1661D">
      <w:pPr>
        <w:jc w:val="both"/>
        <w:rPr>
          <w:rFonts w:eastAsia="Times New Roman"/>
        </w:rPr>
      </w:pPr>
      <w:r>
        <w:rPr>
          <w:rFonts w:eastAsia="Times New Roman"/>
          <w:color w:val="000000"/>
          <w:sz w:val="20"/>
          <w:szCs w:val="20"/>
        </w:rPr>
        <w:t>The U.S. prop</w:t>
      </w:r>
      <w:r>
        <w:rPr>
          <w:rFonts w:eastAsia="Times New Roman"/>
          <w:color w:val="000000"/>
          <w:sz w:val="20"/>
          <w:szCs w:val="20"/>
        </w:rPr>
        <w:t>ane market has approximately 170 domestic and international sources of supply, including the spot market. Supplies of propane from AmeriGas Propane’s sources historically have been readily available. In recent years, certain geographies experienced varying</w:t>
      </w:r>
      <w:r>
        <w:rPr>
          <w:rFonts w:eastAsia="Times New Roman"/>
          <w:color w:val="000000"/>
          <w:sz w:val="20"/>
          <w:szCs w:val="20"/>
        </w:rPr>
        <w:t xml:space="preserve"> levels of reduced propane availability as a result of transportation issues within the supply chain. In response to these supply and transportation challenges, AmeriGas Propane utilized a combination of increased regional storage as well as rail and trans</w:t>
      </w:r>
      <w:r>
        <w:rPr>
          <w:rFonts w:eastAsia="Times New Roman"/>
          <w:color w:val="000000"/>
          <w:sz w:val="20"/>
          <w:szCs w:val="20"/>
        </w:rPr>
        <w:t xml:space="preserve">port supply from different origins to offset localized supply/demand imbalances. </w:t>
      </w:r>
    </w:p>
    <w:p w14:paraId="11823275" w14:textId="77777777" w:rsidR="00000000" w:rsidRDefault="00C1661D">
      <w:pPr>
        <w:jc w:val="both"/>
        <w:rPr>
          <w:rFonts w:eastAsia="Times New Roman"/>
        </w:rPr>
      </w:pPr>
    </w:p>
    <w:p w14:paraId="4AD65D10" w14:textId="77777777" w:rsidR="00000000" w:rsidRDefault="00C1661D">
      <w:pPr>
        <w:jc w:val="both"/>
        <w:rPr>
          <w:rFonts w:eastAsia="Times New Roman"/>
        </w:rPr>
      </w:pPr>
      <w:r>
        <w:rPr>
          <w:rFonts w:eastAsia="Times New Roman"/>
          <w:color w:val="000000"/>
          <w:sz w:val="20"/>
          <w:szCs w:val="20"/>
        </w:rPr>
        <w:t>In addition to these factors, the availability and pricing of propane supply has historically been dependent upon, among other things, the severity of winter weather, the p</w:t>
      </w:r>
      <w:r>
        <w:rPr>
          <w:rFonts w:eastAsia="Times New Roman"/>
          <w:color w:val="000000"/>
          <w:sz w:val="20"/>
          <w:szCs w:val="20"/>
        </w:rPr>
        <w:t xml:space="preserve">rice and availability of competing fuels such as natural gas and crude oil, and the </w:t>
      </w:r>
    </w:p>
    <w:p w14:paraId="1CBD0F3F" w14:textId="77777777" w:rsidR="00000000" w:rsidRDefault="00C1661D">
      <w:pPr>
        <w:jc w:val="center"/>
        <w:divId w:val="1097214849"/>
        <w:rPr>
          <w:rFonts w:eastAsia="Times New Roman"/>
        </w:rPr>
      </w:pPr>
      <w:r>
        <w:rPr>
          <w:rFonts w:eastAsia="Times New Roman"/>
          <w:color w:val="000000"/>
          <w:sz w:val="20"/>
          <w:szCs w:val="20"/>
        </w:rPr>
        <w:t>14</w:t>
      </w:r>
    </w:p>
    <w:p w14:paraId="1BFEB4F6" w14:textId="77777777" w:rsidR="00000000" w:rsidRDefault="00C1661D">
      <w:pPr>
        <w:rPr>
          <w:rFonts w:eastAsia="Times New Roman"/>
        </w:rPr>
      </w:pPr>
      <w:r>
        <w:rPr>
          <w:rFonts w:eastAsia="Times New Roman"/>
        </w:rPr>
        <w:pict w14:anchorId="34A82486">
          <v:rect id="_x0000_i1039" style="width:0;height:1.5pt" o:hralign="center" o:hrstd="t" o:hr="t" fillcolor="#a0a0a0" stroked="f"/>
        </w:pict>
      </w:r>
    </w:p>
    <w:p w14:paraId="15710960" w14:textId="77777777" w:rsidR="00000000" w:rsidRDefault="00C1661D">
      <w:pPr>
        <w:divId w:val="1777166702"/>
        <w:rPr>
          <w:rFonts w:eastAsia="Times New Roman"/>
        </w:rPr>
      </w:pPr>
      <w:hyperlink w:anchor="i3850c3c6c0104e42b9951aac2f16098a_7" w:history="1">
        <w:r>
          <w:rPr>
            <w:rStyle w:val="a3"/>
            <w:rFonts w:eastAsia="Times New Roman"/>
            <w:b/>
            <w:bCs/>
            <w:sz w:val="20"/>
            <w:szCs w:val="20"/>
          </w:rPr>
          <w:t>Table of Contents</w:t>
        </w:r>
      </w:hyperlink>
    </w:p>
    <w:p w14:paraId="2C8170B5" w14:textId="77777777" w:rsidR="00000000" w:rsidRDefault="00C1661D">
      <w:pPr>
        <w:jc w:val="both"/>
        <w:rPr>
          <w:rFonts w:eastAsia="Times New Roman"/>
        </w:rPr>
      </w:pPr>
      <w:r>
        <w:rPr>
          <w:rFonts w:eastAsia="Times New Roman"/>
          <w:color w:val="000000"/>
          <w:sz w:val="20"/>
          <w:szCs w:val="20"/>
        </w:rPr>
        <w:t>amount and availability of exported supply and, to a muc</w:t>
      </w:r>
      <w:r>
        <w:rPr>
          <w:rFonts w:eastAsia="Times New Roman"/>
          <w:color w:val="000000"/>
          <w:sz w:val="20"/>
          <w:szCs w:val="20"/>
        </w:rPr>
        <w:t xml:space="preserve">h lesser extent, imported supply. For more information on risks relating to our supply chain, see “Risk Factors - Risks Relating to Our Supply Chain and Our Ability to Obtain Adequate Quantities of LPG.” </w:t>
      </w:r>
    </w:p>
    <w:p w14:paraId="7CCD9882" w14:textId="77777777" w:rsidR="00000000" w:rsidRDefault="00C1661D">
      <w:pPr>
        <w:jc w:val="both"/>
        <w:rPr>
          <w:rFonts w:eastAsia="Times New Roman"/>
        </w:rPr>
      </w:pPr>
    </w:p>
    <w:p w14:paraId="76609B60" w14:textId="77777777" w:rsidR="00000000" w:rsidRDefault="00C1661D">
      <w:pPr>
        <w:jc w:val="both"/>
        <w:rPr>
          <w:rFonts w:eastAsia="Times New Roman"/>
        </w:rPr>
      </w:pPr>
      <w:r>
        <w:rPr>
          <w:rFonts w:eastAsia="Times New Roman"/>
          <w:color w:val="000000"/>
          <w:sz w:val="20"/>
          <w:szCs w:val="20"/>
        </w:rPr>
        <w:t>During Fiscal 2022, approximately 99% of AmeriGas</w:t>
      </w:r>
      <w:r>
        <w:rPr>
          <w:rFonts w:eastAsia="Times New Roman"/>
          <w:color w:val="000000"/>
          <w:sz w:val="20"/>
          <w:szCs w:val="20"/>
        </w:rPr>
        <w:t xml:space="preserve"> Propane’s propane supply was purchased under supply agreements with terms of one to three years. Although no assurance can be given that supplies of propane will be readily available in the future, management currently expects to be able to secure adequat</w:t>
      </w:r>
      <w:r>
        <w:rPr>
          <w:rFonts w:eastAsia="Times New Roman"/>
          <w:color w:val="000000"/>
          <w:sz w:val="20"/>
          <w:szCs w:val="20"/>
        </w:rPr>
        <w:t>e supplies during Fiscal 2023. If supply from major sources were interrupted, however, the cost of procuring replacement supplies and transporting those supplies from alternative locations might be materially higher and, at least on a short-term basis, mar</w:t>
      </w:r>
      <w:r>
        <w:rPr>
          <w:rFonts w:eastAsia="Times New Roman"/>
          <w:color w:val="000000"/>
          <w:sz w:val="20"/>
          <w:szCs w:val="20"/>
        </w:rPr>
        <w:t>gins could be adversely affected. In Fiscal 2022, AmeriGas Propane derived approximately 13% of its propane supply from Enterprise Products Operating LLC, and approximately 10% of its propane supply from each of Crestwood Services LLC and Targa Liquids Mar</w:t>
      </w:r>
      <w:r>
        <w:rPr>
          <w:rFonts w:eastAsia="Times New Roman"/>
          <w:color w:val="000000"/>
          <w:sz w:val="20"/>
          <w:szCs w:val="20"/>
        </w:rPr>
        <w:t xml:space="preserve">keting and Trade LLC. No other single supplier provided more than 10% of AmeriGas Propane’s total propane supply in Fiscal 2022. In certain geographic areas, however, a single supplier provides more than 50% of AmeriGas Propane’s requirements. Disruptions </w:t>
      </w:r>
      <w:r>
        <w:rPr>
          <w:rFonts w:eastAsia="Times New Roman"/>
          <w:color w:val="000000"/>
          <w:sz w:val="20"/>
          <w:szCs w:val="20"/>
        </w:rPr>
        <w:t>in supply in these areas could also have an adverse impact on AmeriGas Propane’s margins.</w:t>
      </w:r>
    </w:p>
    <w:p w14:paraId="73359E4B" w14:textId="77777777" w:rsidR="00000000" w:rsidRDefault="00C1661D">
      <w:pPr>
        <w:jc w:val="both"/>
        <w:rPr>
          <w:rFonts w:eastAsia="Times New Roman"/>
        </w:rPr>
      </w:pPr>
    </w:p>
    <w:p w14:paraId="6B069D27" w14:textId="77777777" w:rsidR="00000000" w:rsidRDefault="00C1661D">
      <w:pPr>
        <w:jc w:val="both"/>
        <w:rPr>
          <w:rFonts w:eastAsia="Times New Roman"/>
        </w:rPr>
      </w:pPr>
      <w:r>
        <w:rPr>
          <w:rFonts w:eastAsia="Times New Roman"/>
          <w:color w:val="000000"/>
          <w:sz w:val="20"/>
          <w:szCs w:val="20"/>
        </w:rPr>
        <w:t>AmeriGas Propane’s supply contracts typically provide for pricing based upon (i) index formulas using the current prices established at a major storage point such a</w:t>
      </w:r>
      <w:r>
        <w:rPr>
          <w:rFonts w:eastAsia="Times New Roman"/>
          <w:color w:val="000000"/>
          <w:sz w:val="20"/>
          <w:szCs w:val="20"/>
        </w:rPr>
        <w:t>s Mont Belvieu, Texas, or Conway, Kansas, or (ii) posted prices at the time of delivery. In addition, some agreements provide maximum and minimum seasonal purchase volume guidelines. The percentage of contract purchases, and the amount of supply contracted</w:t>
      </w:r>
      <w:r>
        <w:rPr>
          <w:rFonts w:eastAsia="Times New Roman"/>
          <w:color w:val="000000"/>
          <w:sz w:val="20"/>
          <w:szCs w:val="20"/>
        </w:rPr>
        <w:t xml:space="preserve"> for at fixed prices, will vary from year to year. AmeriGas Propane uses a number of interstate pipelines, as well as railroad tank cars, delivery trucks and barges, to transport propane from suppliers to storage and distribution facilities. AmeriGas Propa</w:t>
      </w:r>
      <w:r>
        <w:rPr>
          <w:rFonts w:eastAsia="Times New Roman"/>
          <w:color w:val="000000"/>
          <w:sz w:val="20"/>
          <w:szCs w:val="20"/>
        </w:rPr>
        <w:t>ne stores propane at various storage facilities and terminals located in strategic areas across the U.S.</w:t>
      </w:r>
    </w:p>
    <w:p w14:paraId="77C7CF62" w14:textId="77777777" w:rsidR="00000000" w:rsidRDefault="00C1661D">
      <w:pPr>
        <w:jc w:val="both"/>
        <w:rPr>
          <w:rFonts w:eastAsia="Times New Roman"/>
        </w:rPr>
      </w:pPr>
    </w:p>
    <w:p w14:paraId="476BEA4C" w14:textId="77777777" w:rsidR="00000000" w:rsidRDefault="00C1661D">
      <w:pPr>
        <w:jc w:val="both"/>
        <w:rPr>
          <w:rFonts w:eastAsia="Times New Roman"/>
        </w:rPr>
      </w:pPr>
      <w:r>
        <w:rPr>
          <w:rFonts w:eastAsia="Times New Roman"/>
          <w:color w:val="000000"/>
          <w:sz w:val="20"/>
          <w:szCs w:val="20"/>
        </w:rPr>
        <w:t>Because AmeriGas Propane’s profitability is sensitive to changes in wholesale propane costs, AmeriGas Propane generally seeks to pass on increases in</w:t>
      </w:r>
      <w:r>
        <w:rPr>
          <w:rFonts w:eastAsia="Times New Roman"/>
          <w:color w:val="000000"/>
          <w:sz w:val="20"/>
          <w:szCs w:val="20"/>
        </w:rPr>
        <w:t xml:space="preserve"> the cost of propane to customers. There is no assurance, however, that AmeriGas Propane will always be able to pass on product cost increases fully, or keep pace with such increases, particularly when product costs rise rapidly. Product cost increases can</w:t>
      </w:r>
      <w:r>
        <w:rPr>
          <w:rFonts w:eastAsia="Times New Roman"/>
          <w:color w:val="000000"/>
          <w:sz w:val="20"/>
          <w:szCs w:val="20"/>
        </w:rPr>
        <w:t xml:space="preserve"> be triggered by periods of severe cold weather, supply interruptions, increases in the prices of base commodities, such as crude oil and natural gas, or other unforeseen events. AmeriGas Propane has supply acquisition and product cost risk management prac</w:t>
      </w:r>
      <w:r>
        <w:rPr>
          <w:rFonts w:eastAsia="Times New Roman"/>
          <w:color w:val="000000"/>
          <w:sz w:val="20"/>
          <w:szCs w:val="20"/>
        </w:rPr>
        <w:t>tices to reduce the effect of volatility on selling prices. These practices currently include the use of summer storage, forward purchases and derivative commodity instruments, such as propane price swaps. See “Management’s Discussion and Analysis of Finan</w:t>
      </w:r>
      <w:r>
        <w:rPr>
          <w:rFonts w:eastAsia="Times New Roman"/>
          <w:color w:val="000000"/>
          <w:sz w:val="20"/>
          <w:szCs w:val="20"/>
        </w:rPr>
        <w:t>cial Condition and Results of Operations - Market Risk Disclosures.”</w:t>
      </w:r>
    </w:p>
    <w:p w14:paraId="12083DA7" w14:textId="77777777" w:rsidR="00000000" w:rsidRDefault="00C1661D">
      <w:pPr>
        <w:jc w:val="both"/>
        <w:rPr>
          <w:rFonts w:eastAsia="Times New Roman"/>
        </w:rPr>
      </w:pPr>
    </w:p>
    <w:p w14:paraId="6131F38D" w14:textId="77777777" w:rsidR="00000000" w:rsidRDefault="00C1661D">
      <w:pPr>
        <w:jc w:val="both"/>
        <w:rPr>
          <w:rFonts w:eastAsia="Times New Roman"/>
        </w:rPr>
      </w:pPr>
      <w:r>
        <w:rPr>
          <w:rFonts w:eastAsia="Times New Roman"/>
          <w:color w:val="000000"/>
          <w:sz w:val="20"/>
          <w:szCs w:val="20"/>
        </w:rPr>
        <w:t>The following graph shows the average prices of propane on the propane spot market during the last five fiscal years at Mont Belvieu, Texas, and Conway, Kansas, both major storage areas</w:t>
      </w:r>
      <w:r>
        <w:rPr>
          <w:rFonts w:eastAsia="Times New Roman"/>
          <w:color w:val="000000"/>
          <w:sz w:val="20"/>
          <w:szCs w:val="20"/>
        </w:rPr>
        <w:t>.</w:t>
      </w:r>
    </w:p>
    <w:p w14:paraId="545957CA" w14:textId="77777777" w:rsidR="00000000" w:rsidRDefault="00C1661D">
      <w:pPr>
        <w:jc w:val="center"/>
        <w:divId w:val="1757165541"/>
        <w:rPr>
          <w:rFonts w:eastAsia="Times New Roman"/>
        </w:rPr>
      </w:pPr>
      <w:r>
        <w:rPr>
          <w:rFonts w:eastAsia="Times New Roman"/>
          <w:b/>
          <w:bCs/>
          <w:color w:val="000000"/>
          <w:sz w:val="20"/>
          <w:szCs w:val="20"/>
        </w:rPr>
        <w:t>Average Propane Spot Market Prices</w:t>
      </w:r>
    </w:p>
    <w:p w14:paraId="0289CBFC" w14:textId="77777777" w:rsidR="00000000" w:rsidRDefault="00C1661D">
      <w:pPr>
        <w:spacing w:before="200"/>
        <w:jc w:val="center"/>
        <w:divId w:val="1584148649"/>
        <w:rPr>
          <w:rFonts w:eastAsia="Times New Roman"/>
        </w:rPr>
      </w:pPr>
      <w:r>
        <w:rPr>
          <w:rFonts w:eastAsia="Times New Roman"/>
          <w:noProof/>
        </w:rPr>
        <w:drawing>
          <wp:inline distT="0" distB="0" distL="0" distR="0" wp14:anchorId="318DF927" wp14:editId="2E9C2A28">
            <wp:extent cx="304800" cy="304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B632FBA" w14:textId="77777777" w:rsidR="00000000" w:rsidRDefault="00C1661D">
      <w:pPr>
        <w:jc w:val="both"/>
        <w:rPr>
          <w:rFonts w:eastAsia="Times New Roman"/>
        </w:rPr>
      </w:pPr>
    </w:p>
    <w:p w14:paraId="272AE0B8" w14:textId="77777777" w:rsidR="00000000" w:rsidRDefault="00C1661D">
      <w:pPr>
        <w:jc w:val="center"/>
        <w:divId w:val="1673948362"/>
        <w:rPr>
          <w:rFonts w:eastAsia="Times New Roman"/>
        </w:rPr>
      </w:pPr>
      <w:r>
        <w:rPr>
          <w:rFonts w:eastAsia="Times New Roman"/>
          <w:color w:val="000000"/>
          <w:sz w:val="20"/>
          <w:szCs w:val="20"/>
        </w:rPr>
        <w:t>15</w:t>
      </w:r>
    </w:p>
    <w:p w14:paraId="32FBBDD9" w14:textId="77777777" w:rsidR="00000000" w:rsidRDefault="00C1661D">
      <w:pPr>
        <w:rPr>
          <w:rFonts w:eastAsia="Times New Roman"/>
        </w:rPr>
      </w:pPr>
      <w:r>
        <w:rPr>
          <w:rFonts w:eastAsia="Times New Roman"/>
        </w:rPr>
        <w:pict w14:anchorId="380A03F8">
          <v:rect id="_x0000_i1041" style="width:0;height:1.5pt" o:hralign="center" o:hrstd="t" o:hr="t" fillcolor="#a0a0a0" stroked="f"/>
        </w:pict>
      </w:r>
    </w:p>
    <w:p w14:paraId="7EAF00D9" w14:textId="77777777" w:rsidR="00000000" w:rsidRDefault="00C1661D">
      <w:pPr>
        <w:divId w:val="1210189402"/>
        <w:rPr>
          <w:rFonts w:eastAsia="Times New Roman"/>
        </w:rPr>
      </w:pPr>
      <w:hyperlink w:anchor="i3850c3c6c0104e42b9951aac2f16098a_7" w:history="1">
        <w:r>
          <w:rPr>
            <w:rStyle w:val="a3"/>
            <w:rFonts w:eastAsia="Times New Roman"/>
            <w:b/>
            <w:bCs/>
            <w:sz w:val="20"/>
            <w:szCs w:val="20"/>
          </w:rPr>
          <w:t>Table of Contents</w:t>
        </w:r>
      </w:hyperlink>
    </w:p>
    <w:p w14:paraId="1AC08EED" w14:textId="77777777" w:rsidR="00000000" w:rsidRDefault="00C1661D">
      <w:pPr>
        <w:jc w:val="both"/>
        <w:rPr>
          <w:rFonts w:eastAsia="Times New Roman"/>
        </w:rPr>
      </w:pPr>
      <w:r>
        <w:rPr>
          <w:rFonts w:eastAsia="Times New Roman"/>
          <w:b/>
          <w:bCs/>
          <w:i/>
          <w:iCs/>
          <w:color w:val="000000"/>
          <w:sz w:val="20"/>
          <w:szCs w:val="20"/>
        </w:rPr>
        <w:t>General Industry Information</w:t>
      </w:r>
    </w:p>
    <w:p w14:paraId="6837EAF1" w14:textId="77777777" w:rsidR="00000000" w:rsidRDefault="00C1661D">
      <w:pPr>
        <w:jc w:val="both"/>
        <w:rPr>
          <w:rFonts w:eastAsia="Times New Roman"/>
        </w:rPr>
      </w:pPr>
    </w:p>
    <w:p w14:paraId="443D1F61" w14:textId="77777777" w:rsidR="00000000" w:rsidRDefault="00C1661D">
      <w:pPr>
        <w:jc w:val="both"/>
        <w:rPr>
          <w:rFonts w:eastAsia="Times New Roman"/>
        </w:rPr>
      </w:pPr>
      <w:r>
        <w:rPr>
          <w:rFonts w:eastAsia="Times New Roman"/>
          <w:color w:val="000000"/>
          <w:sz w:val="20"/>
          <w:szCs w:val="20"/>
        </w:rPr>
        <w:t>Propane is separated from crude oil during the refining process and also extracted from natural gas or oil wellhe</w:t>
      </w:r>
      <w:r>
        <w:rPr>
          <w:rFonts w:eastAsia="Times New Roman"/>
          <w:color w:val="000000"/>
          <w:sz w:val="20"/>
          <w:szCs w:val="20"/>
        </w:rPr>
        <w:t>ad gas at processing plants. Propane is normally transported and stored in a liquid state under moderate pressure or refrigeration for economy and ease of handling in shipping and distribution. When the pressure is released or the temperature is increased,</w:t>
      </w:r>
      <w:r>
        <w:rPr>
          <w:rFonts w:eastAsia="Times New Roman"/>
          <w:color w:val="000000"/>
          <w:sz w:val="20"/>
          <w:szCs w:val="20"/>
        </w:rPr>
        <w:t xml:space="preserve"> it is usable as a flammable gas. Propane is colorless and odorless; an odorant is added to allow for its detection. Propane is considered a clean alternative fuel under the Clean Air Act Amendments of 1990, producing negligible amounts of pollutants when </w:t>
      </w:r>
      <w:r>
        <w:rPr>
          <w:rFonts w:eastAsia="Times New Roman"/>
          <w:color w:val="000000"/>
          <w:sz w:val="20"/>
          <w:szCs w:val="20"/>
        </w:rPr>
        <w:t>properly consumed.</w:t>
      </w:r>
    </w:p>
    <w:p w14:paraId="77E9A16E" w14:textId="77777777" w:rsidR="00000000" w:rsidRDefault="00C1661D">
      <w:pPr>
        <w:ind w:firstLine="720"/>
        <w:jc w:val="both"/>
        <w:rPr>
          <w:rFonts w:eastAsia="Times New Roman"/>
        </w:rPr>
      </w:pPr>
    </w:p>
    <w:p w14:paraId="58E2E6F4" w14:textId="77777777" w:rsidR="00000000" w:rsidRDefault="00C1661D">
      <w:pPr>
        <w:jc w:val="both"/>
        <w:rPr>
          <w:rFonts w:eastAsia="Times New Roman"/>
        </w:rPr>
      </w:pPr>
      <w:r>
        <w:rPr>
          <w:rFonts w:eastAsia="Times New Roman"/>
          <w:b/>
          <w:bCs/>
          <w:i/>
          <w:iCs/>
          <w:color w:val="000000"/>
          <w:sz w:val="20"/>
          <w:szCs w:val="20"/>
        </w:rPr>
        <w:t>Competition</w:t>
      </w:r>
    </w:p>
    <w:p w14:paraId="13C3115C" w14:textId="77777777" w:rsidR="00000000" w:rsidRDefault="00C1661D">
      <w:pPr>
        <w:jc w:val="both"/>
        <w:rPr>
          <w:rFonts w:eastAsia="Times New Roman"/>
        </w:rPr>
      </w:pPr>
    </w:p>
    <w:p w14:paraId="3D7DAD6B" w14:textId="77777777" w:rsidR="00000000" w:rsidRDefault="00C1661D">
      <w:pPr>
        <w:jc w:val="both"/>
        <w:rPr>
          <w:rFonts w:eastAsia="Times New Roman"/>
        </w:rPr>
      </w:pPr>
      <w:r>
        <w:rPr>
          <w:rFonts w:eastAsia="Times New Roman"/>
          <w:color w:val="000000"/>
          <w:sz w:val="20"/>
          <w:szCs w:val="20"/>
        </w:rPr>
        <w:t xml:space="preserve">Propane competes with other sources of energy, some of which are less costly for equivalent energy value. Propane distributors compete for customers with suppliers of electricity, fuel oil and natural gas, principally on </w:t>
      </w:r>
      <w:r>
        <w:rPr>
          <w:rFonts w:eastAsia="Times New Roman"/>
          <w:color w:val="000000"/>
          <w:sz w:val="20"/>
          <w:szCs w:val="20"/>
        </w:rPr>
        <w:t>the basis of price, service, availability and portability. Electricity is generally more expensive than propane on a Btu equivalent basis, but the convenience and efficiency of electricity make it an attractive energy source for consumers and developers of</w:t>
      </w:r>
      <w:r>
        <w:rPr>
          <w:rFonts w:eastAsia="Times New Roman"/>
          <w:color w:val="000000"/>
          <w:sz w:val="20"/>
          <w:szCs w:val="20"/>
        </w:rPr>
        <w:t xml:space="preserve"> new homes. Fuel oil, which is also a major competitor of propane, is currently more expensive than propane and is a less environmentally attractive energy source. Furnaces and appliances that burn propane will not operate on fuel oil, and vice versa, and,</w:t>
      </w:r>
      <w:r>
        <w:rPr>
          <w:rFonts w:eastAsia="Times New Roman"/>
          <w:color w:val="000000"/>
          <w:sz w:val="20"/>
          <w:szCs w:val="20"/>
        </w:rPr>
        <w:t xml:space="preserve"> therefore, a conversion from one fuel to the other requires the installation of new equipment. Propane serves as an alternative to natural gas in rural and suburban areas where natural gas is unavailable or portability of product is required. Natural gas </w:t>
      </w:r>
      <w:r>
        <w:rPr>
          <w:rFonts w:eastAsia="Times New Roman"/>
          <w:color w:val="000000"/>
          <w:sz w:val="20"/>
          <w:szCs w:val="20"/>
        </w:rPr>
        <w:t>is generally a significantly less expensive source of energy than propane, although in areas where natural gas is available, propane is used for certain industrial and commercial applications and as a standby fuel during interruptions in natural gas servic</w:t>
      </w:r>
      <w:r>
        <w:rPr>
          <w:rFonts w:eastAsia="Times New Roman"/>
          <w:color w:val="000000"/>
          <w:sz w:val="20"/>
          <w:szCs w:val="20"/>
        </w:rPr>
        <w:t>e. The gradual expansion of the nation’s natural gas distribution systems has resulted in the availability of natural gas in some areas that previously depended upon propane. However, natural gas pipelines are not present in many areas of the country where</w:t>
      </w:r>
      <w:r>
        <w:rPr>
          <w:rFonts w:eastAsia="Times New Roman"/>
          <w:color w:val="000000"/>
          <w:sz w:val="20"/>
          <w:szCs w:val="20"/>
        </w:rPr>
        <w:t xml:space="preserve"> propane is sold for heating and cooking purposes.</w:t>
      </w:r>
    </w:p>
    <w:p w14:paraId="1972C827" w14:textId="77777777" w:rsidR="00000000" w:rsidRDefault="00C1661D">
      <w:pPr>
        <w:jc w:val="both"/>
        <w:rPr>
          <w:rFonts w:eastAsia="Times New Roman"/>
        </w:rPr>
      </w:pPr>
    </w:p>
    <w:p w14:paraId="63753152" w14:textId="77777777" w:rsidR="00000000" w:rsidRDefault="00C1661D">
      <w:pPr>
        <w:jc w:val="both"/>
        <w:rPr>
          <w:rFonts w:eastAsia="Times New Roman"/>
        </w:rPr>
      </w:pPr>
      <w:r>
        <w:rPr>
          <w:rFonts w:eastAsia="Times New Roman"/>
          <w:color w:val="000000"/>
          <w:sz w:val="20"/>
          <w:szCs w:val="20"/>
        </w:rPr>
        <w:t>For motor fuel customers, propane competes with gasoline, diesel fuel, electric batteries, fuel cells and, in certain applications, LNG and compressed natural gas. Wholesale propane distribution is a hig</w:t>
      </w:r>
      <w:r>
        <w:rPr>
          <w:rFonts w:eastAsia="Times New Roman"/>
          <w:color w:val="000000"/>
          <w:sz w:val="20"/>
          <w:szCs w:val="20"/>
        </w:rPr>
        <w:t>hly competitive, low margin business. Propane sales to other retail distributors and large-volume, direct-shipment industrial end-users are price sensitive and frequently involve a competitive bidding process.</w:t>
      </w:r>
    </w:p>
    <w:p w14:paraId="21F1F6A0" w14:textId="77777777" w:rsidR="00000000" w:rsidRDefault="00C1661D">
      <w:pPr>
        <w:jc w:val="both"/>
        <w:rPr>
          <w:rFonts w:eastAsia="Times New Roman"/>
        </w:rPr>
      </w:pPr>
    </w:p>
    <w:p w14:paraId="5A8F17D0" w14:textId="77777777" w:rsidR="00000000" w:rsidRDefault="00C1661D">
      <w:pPr>
        <w:jc w:val="both"/>
        <w:rPr>
          <w:rFonts w:eastAsia="Times New Roman"/>
        </w:rPr>
      </w:pPr>
      <w:r>
        <w:rPr>
          <w:rFonts w:eastAsia="Times New Roman"/>
          <w:color w:val="000000"/>
          <w:sz w:val="20"/>
          <w:szCs w:val="20"/>
        </w:rPr>
        <w:t>Retail propane industry volumes have been de</w:t>
      </w:r>
      <w:r>
        <w:rPr>
          <w:rFonts w:eastAsia="Times New Roman"/>
          <w:color w:val="000000"/>
          <w:sz w:val="20"/>
          <w:szCs w:val="20"/>
        </w:rPr>
        <w:t>clining for several years and no or modest growth in total demand is foreseen in the next several years. Therefore, AmeriGas Propane’s ability to grow within the industry is dependent on the success of its sales and marketing programs designed to attract a</w:t>
      </w:r>
      <w:r>
        <w:rPr>
          <w:rFonts w:eastAsia="Times New Roman"/>
          <w:color w:val="000000"/>
          <w:sz w:val="20"/>
          <w:szCs w:val="20"/>
        </w:rPr>
        <w:t>nd retain customers, the success of business transformation initiatives, its ability to achieve internal growth, which includes the continuation of the ACE, Cynch and National Accounts programs (through which multi-location propane users enter into a singl</w:t>
      </w:r>
      <w:r>
        <w:rPr>
          <w:rFonts w:eastAsia="Times New Roman"/>
          <w:color w:val="000000"/>
          <w:sz w:val="20"/>
          <w:szCs w:val="20"/>
        </w:rPr>
        <w:t>e AmeriGas Propane supply agreement rather than agreements with multiple suppliers), and its ability to acquire other retail distributors. The failure of AmeriGas Propane to retain and grow its customer base would have an adverse effect on its long-term re</w:t>
      </w:r>
      <w:r>
        <w:rPr>
          <w:rFonts w:eastAsia="Times New Roman"/>
          <w:color w:val="000000"/>
          <w:sz w:val="20"/>
          <w:szCs w:val="20"/>
        </w:rPr>
        <w:t>sults.</w:t>
      </w:r>
    </w:p>
    <w:p w14:paraId="3E916F8A" w14:textId="77777777" w:rsidR="00000000" w:rsidRDefault="00C1661D">
      <w:pPr>
        <w:jc w:val="both"/>
        <w:rPr>
          <w:rFonts w:eastAsia="Times New Roman"/>
        </w:rPr>
      </w:pPr>
    </w:p>
    <w:p w14:paraId="6C70C6F7" w14:textId="77777777" w:rsidR="00000000" w:rsidRDefault="00C1661D">
      <w:pPr>
        <w:jc w:val="both"/>
        <w:rPr>
          <w:rFonts w:eastAsia="Times New Roman"/>
        </w:rPr>
      </w:pPr>
      <w:r>
        <w:rPr>
          <w:rFonts w:eastAsia="Times New Roman"/>
          <w:color w:val="000000"/>
          <w:sz w:val="20"/>
          <w:szCs w:val="20"/>
        </w:rPr>
        <w:t>The domestic propane retail distribution business is highly competitive. AmeriGas Propane competes in this business with other large propane marketers, including other full-service marketers, and thousands of small independent operators. Some farm</w:t>
      </w:r>
      <w:r>
        <w:rPr>
          <w:rFonts w:eastAsia="Times New Roman"/>
          <w:color w:val="000000"/>
          <w:sz w:val="20"/>
          <w:szCs w:val="20"/>
        </w:rPr>
        <w:t xml:space="preserve"> cooperatives, rural electric cooperatives and fuel oil distributors include propane distribution in their businesses and AmeriGas Propane competes with them as well. The ability to compete effectively depends on providing high quality customer service, ma</w:t>
      </w:r>
      <w:r>
        <w:rPr>
          <w:rFonts w:eastAsia="Times New Roman"/>
          <w:color w:val="000000"/>
          <w:sz w:val="20"/>
          <w:szCs w:val="20"/>
        </w:rPr>
        <w:t>intaining competitive retail prices and controlling operating expenses. AmeriGas Propane also offers customers various payment and service options, including guaranteed price programs, fixed price arrangements and pricing arrangements based on published pr</w:t>
      </w:r>
      <w:r>
        <w:rPr>
          <w:rFonts w:eastAsia="Times New Roman"/>
          <w:color w:val="000000"/>
          <w:sz w:val="20"/>
          <w:szCs w:val="20"/>
        </w:rPr>
        <w:t xml:space="preserve">opane prices at specified terminals. </w:t>
      </w:r>
    </w:p>
    <w:p w14:paraId="3D8DD6A9" w14:textId="77777777" w:rsidR="00000000" w:rsidRDefault="00C1661D">
      <w:pPr>
        <w:jc w:val="both"/>
        <w:rPr>
          <w:rFonts w:eastAsia="Times New Roman"/>
        </w:rPr>
      </w:pPr>
    </w:p>
    <w:p w14:paraId="0570DEA6" w14:textId="77777777" w:rsidR="00000000" w:rsidRDefault="00C1661D">
      <w:pPr>
        <w:jc w:val="both"/>
        <w:rPr>
          <w:rFonts w:eastAsia="Times New Roman"/>
        </w:rPr>
      </w:pPr>
      <w:r>
        <w:rPr>
          <w:rFonts w:eastAsia="Times New Roman"/>
          <w:color w:val="000000"/>
          <w:sz w:val="20"/>
          <w:szCs w:val="20"/>
        </w:rPr>
        <w:t>In Fiscal 2022, AmeriGas Propane’s retail propane sales totaled approximately 890 million gallons. Based on the most recent annual survey by the Propane Education &amp; Research Council, 2020 domestic retail propane sale</w:t>
      </w:r>
      <w:r>
        <w:rPr>
          <w:rFonts w:eastAsia="Times New Roman"/>
          <w:color w:val="000000"/>
          <w:sz w:val="20"/>
          <w:szCs w:val="20"/>
        </w:rPr>
        <w:t>s (annual sales for other than chemical uses) in the U.S. totaled approximately 9.4 billion gallons. Based on LP-GAS magazine rankings, 2020 sales volume of the ten largest propane distribution companies (including AmeriGas Propane) represented approximate</w:t>
      </w:r>
      <w:r>
        <w:rPr>
          <w:rFonts w:eastAsia="Times New Roman"/>
          <w:color w:val="000000"/>
          <w:sz w:val="20"/>
          <w:szCs w:val="20"/>
        </w:rPr>
        <w:t>ly 33% of domestic retail propane sales.</w:t>
      </w:r>
    </w:p>
    <w:p w14:paraId="561A4432" w14:textId="77777777" w:rsidR="00000000" w:rsidRDefault="00C1661D">
      <w:pPr>
        <w:jc w:val="both"/>
        <w:rPr>
          <w:rFonts w:eastAsia="Times New Roman"/>
        </w:rPr>
      </w:pPr>
    </w:p>
    <w:p w14:paraId="48B70D5A" w14:textId="77777777" w:rsidR="00000000" w:rsidRDefault="00C1661D">
      <w:pPr>
        <w:jc w:val="both"/>
        <w:rPr>
          <w:rFonts w:eastAsia="Times New Roman"/>
        </w:rPr>
      </w:pPr>
      <w:r>
        <w:rPr>
          <w:rFonts w:eastAsia="Times New Roman"/>
          <w:b/>
          <w:bCs/>
          <w:i/>
          <w:iCs/>
          <w:color w:val="000000"/>
          <w:sz w:val="20"/>
          <w:szCs w:val="20"/>
        </w:rPr>
        <w:t>Properties</w:t>
      </w:r>
    </w:p>
    <w:p w14:paraId="318811B5" w14:textId="77777777" w:rsidR="00000000" w:rsidRDefault="00C1661D">
      <w:pPr>
        <w:jc w:val="both"/>
        <w:rPr>
          <w:rFonts w:eastAsia="Times New Roman"/>
        </w:rPr>
      </w:pPr>
    </w:p>
    <w:p w14:paraId="4C1C28B1" w14:textId="77777777" w:rsidR="00000000" w:rsidRDefault="00C1661D">
      <w:pPr>
        <w:jc w:val="both"/>
        <w:rPr>
          <w:rFonts w:eastAsia="Times New Roman"/>
        </w:rPr>
      </w:pPr>
      <w:r>
        <w:rPr>
          <w:rFonts w:eastAsia="Times New Roman"/>
          <w:color w:val="000000"/>
          <w:sz w:val="20"/>
          <w:szCs w:val="20"/>
        </w:rPr>
        <w:t>As of September 30, 2022, AmeriGas Propane owned approximately 87% of its 525 local offices throughout the country. The transportation of propane requires specialized equipment. The trucks and railroa</w:t>
      </w:r>
      <w:r>
        <w:rPr>
          <w:rFonts w:eastAsia="Times New Roman"/>
          <w:color w:val="000000"/>
          <w:sz w:val="20"/>
          <w:szCs w:val="20"/>
        </w:rPr>
        <w:t>d tank cars utilized for this purpose carry specialized steel tanks that maintain the propane in a liquefied state. As of September 30, 2022, the Partnership operated a transportation fleet with the following assets:</w:t>
      </w:r>
    </w:p>
    <w:p w14:paraId="6F51E344" w14:textId="77777777" w:rsidR="00000000" w:rsidRDefault="00C1661D">
      <w:pPr>
        <w:jc w:val="center"/>
        <w:divId w:val="507061149"/>
        <w:rPr>
          <w:rFonts w:eastAsia="Times New Roman"/>
        </w:rPr>
      </w:pPr>
      <w:r>
        <w:rPr>
          <w:rFonts w:eastAsia="Times New Roman"/>
          <w:color w:val="000000"/>
          <w:sz w:val="20"/>
          <w:szCs w:val="20"/>
        </w:rPr>
        <w:t>16</w:t>
      </w:r>
    </w:p>
    <w:p w14:paraId="3388A728" w14:textId="77777777" w:rsidR="00000000" w:rsidRDefault="00C1661D">
      <w:pPr>
        <w:rPr>
          <w:rFonts w:eastAsia="Times New Roman"/>
        </w:rPr>
      </w:pPr>
      <w:r>
        <w:rPr>
          <w:rFonts w:eastAsia="Times New Roman"/>
        </w:rPr>
        <w:pict w14:anchorId="734706D9">
          <v:rect id="_x0000_i1042" style="width:0;height:1.5pt" o:hralign="center" o:hrstd="t" o:hr="t" fillcolor="#a0a0a0" stroked="f"/>
        </w:pict>
      </w:r>
    </w:p>
    <w:p w14:paraId="1C818253" w14:textId="77777777" w:rsidR="00000000" w:rsidRDefault="00C1661D">
      <w:pPr>
        <w:divId w:val="163130682"/>
        <w:rPr>
          <w:rFonts w:eastAsia="Times New Roman"/>
        </w:rPr>
      </w:pPr>
      <w:hyperlink w:anchor="i3850c3c6c0104e42b9951aac2f16098a_7" w:history="1">
        <w:r>
          <w:rPr>
            <w:rStyle w:val="a3"/>
            <w:rFonts w:eastAsia="Times New Roman"/>
            <w:b/>
            <w:bCs/>
            <w:sz w:val="20"/>
            <w:szCs w:val="20"/>
          </w:rPr>
          <w:t>Table of Contents</w:t>
        </w:r>
      </w:hyperlink>
    </w:p>
    <w:tbl>
      <w:tblPr>
        <w:tblW w:w="4173" w:type="pct"/>
        <w:jc w:val="center"/>
        <w:tblCellMar>
          <w:top w:w="15" w:type="dxa"/>
          <w:left w:w="15" w:type="dxa"/>
          <w:bottom w:w="15" w:type="dxa"/>
          <w:right w:w="15" w:type="dxa"/>
        </w:tblCellMar>
        <w:tblLook w:val="04A0" w:firstRow="1" w:lastRow="0" w:firstColumn="1" w:lastColumn="0" w:noHBand="0" w:noVBand="1"/>
      </w:tblPr>
      <w:tblGrid>
        <w:gridCol w:w="54"/>
        <w:gridCol w:w="1305"/>
        <w:gridCol w:w="38"/>
        <w:gridCol w:w="54"/>
        <w:gridCol w:w="3515"/>
        <w:gridCol w:w="36"/>
        <w:gridCol w:w="55"/>
        <w:gridCol w:w="965"/>
        <w:gridCol w:w="36"/>
        <w:gridCol w:w="55"/>
        <w:gridCol w:w="783"/>
        <w:gridCol w:w="36"/>
      </w:tblGrid>
      <w:tr w:rsidR="00000000" w14:paraId="10613A12" w14:textId="77777777">
        <w:trPr>
          <w:divId w:val="1862434024"/>
          <w:jc w:val="center"/>
        </w:trPr>
        <w:tc>
          <w:tcPr>
            <w:tcW w:w="50" w:type="pct"/>
            <w:vAlign w:val="center"/>
            <w:hideMark/>
          </w:tcPr>
          <w:p w14:paraId="2F7166FF" w14:textId="77777777" w:rsidR="00000000" w:rsidRDefault="00C1661D">
            <w:pPr>
              <w:rPr>
                <w:rFonts w:eastAsia="Times New Roman"/>
              </w:rPr>
            </w:pPr>
          </w:p>
        </w:tc>
        <w:tc>
          <w:tcPr>
            <w:tcW w:w="952" w:type="pct"/>
            <w:vAlign w:val="center"/>
            <w:hideMark/>
          </w:tcPr>
          <w:p w14:paraId="2C890AFF" w14:textId="77777777" w:rsidR="00000000" w:rsidRDefault="00C1661D">
            <w:pPr>
              <w:spacing w:after="100"/>
              <w:rPr>
                <w:rFonts w:eastAsia="Times New Roman"/>
                <w:sz w:val="20"/>
                <w:szCs w:val="20"/>
              </w:rPr>
            </w:pPr>
          </w:p>
        </w:tc>
        <w:tc>
          <w:tcPr>
            <w:tcW w:w="5" w:type="pct"/>
            <w:vAlign w:val="center"/>
            <w:hideMark/>
          </w:tcPr>
          <w:p w14:paraId="2077A19E" w14:textId="77777777" w:rsidR="00000000" w:rsidRDefault="00C1661D">
            <w:pPr>
              <w:spacing w:after="100"/>
              <w:rPr>
                <w:rFonts w:eastAsia="Times New Roman"/>
                <w:sz w:val="20"/>
                <w:szCs w:val="20"/>
              </w:rPr>
            </w:pPr>
          </w:p>
        </w:tc>
        <w:tc>
          <w:tcPr>
            <w:tcW w:w="50" w:type="pct"/>
            <w:vAlign w:val="center"/>
            <w:hideMark/>
          </w:tcPr>
          <w:p w14:paraId="28800118" w14:textId="77777777" w:rsidR="00000000" w:rsidRDefault="00C1661D">
            <w:pPr>
              <w:spacing w:after="100"/>
              <w:rPr>
                <w:rFonts w:eastAsia="Times New Roman"/>
                <w:sz w:val="20"/>
                <w:szCs w:val="20"/>
              </w:rPr>
            </w:pPr>
          </w:p>
        </w:tc>
        <w:tc>
          <w:tcPr>
            <w:tcW w:w="2545" w:type="pct"/>
            <w:vAlign w:val="center"/>
            <w:hideMark/>
          </w:tcPr>
          <w:p w14:paraId="51B6AF43" w14:textId="77777777" w:rsidR="00000000" w:rsidRDefault="00C1661D">
            <w:pPr>
              <w:spacing w:after="100"/>
              <w:rPr>
                <w:rFonts w:eastAsia="Times New Roman"/>
                <w:sz w:val="20"/>
                <w:szCs w:val="20"/>
              </w:rPr>
            </w:pPr>
          </w:p>
        </w:tc>
        <w:tc>
          <w:tcPr>
            <w:tcW w:w="5" w:type="pct"/>
            <w:vAlign w:val="center"/>
            <w:hideMark/>
          </w:tcPr>
          <w:p w14:paraId="686E8A5C" w14:textId="77777777" w:rsidR="00000000" w:rsidRDefault="00C1661D">
            <w:pPr>
              <w:spacing w:after="100"/>
              <w:rPr>
                <w:rFonts w:eastAsia="Times New Roman"/>
                <w:sz w:val="20"/>
                <w:szCs w:val="20"/>
              </w:rPr>
            </w:pPr>
          </w:p>
        </w:tc>
        <w:tc>
          <w:tcPr>
            <w:tcW w:w="50" w:type="pct"/>
            <w:vAlign w:val="center"/>
            <w:hideMark/>
          </w:tcPr>
          <w:p w14:paraId="73BED046" w14:textId="77777777" w:rsidR="00000000" w:rsidRDefault="00C1661D">
            <w:pPr>
              <w:spacing w:after="100"/>
              <w:rPr>
                <w:rFonts w:eastAsia="Times New Roman"/>
                <w:sz w:val="20"/>
                <w:szCs w:val="20"/>
              </w:rPr>
            </w:pPr>
          </w:p>
        </w:tc>
        <w:tc>
          <w:tcPr>
            <w:tcW w:w="706" w:type="pct"/>
            <w:vAlign w:val="center"/>
            <w:hideMark/>
          </w:tcPr>
          <w:p w14:paraId="7A48F9FF" w14:textId="77777777" w:rsidR="00000000" w:rsidRDefault="00C1661D">
            <w:pPr>
              <w:spacing w:after="100"/>
              <w:rPr>
                <w:rFonts w:eastAsia="Times New Roman"/>
                <w:sz w:val="20"/>
                <w:szCs w:val="20"/>
              </w:rPr>
            </w:pPr>
          </w:p>
        </w:tc>
        <w:tc>
          <w:tcPr>
            <w:tcW w:w="5" w:type="pct"/>
            <w:vAlign w:val="center"/>
            <w:hideMark/>
          </w:tcPr>
          <w:p w14:paraId="5CABB37B" w14:textId="77777777" w:rsidR="00000000" w:rsidRDefault="00C1661D">
            <w:pPr>
              <w:spacing w:after="100"/>
              <w:rPr>
                <w:rFonts w:eastAsia="Times New Roman"/>
                <w:sz w:val="20"/>
                <w:szCs w:val="20"/>
              </w:rPr>
            </w:pPr>
          </w:p>
        </w:tc>
        <w:tc>
          <w:tcPr>
            <w:tcW w:w="50" w:type="pct"/>
            <w:vAlign w:val="center"/>
            <w:hideMark/>
          </w:tcPr>
          <w:p w14:paraId="42115BA9" w14:textId="77777777" w:rsidR="00000000" w:rsidRDefault="00C1661D">
            <w:pPr>
              <w:spacing w:after="100"/>
              <w:rPr>
                <w:rFonts w:eastAsia="Times New Roman"/>
                <w:sz w:val="20"/>
                <w:szCs w:val="20"/>
              </w:rPr>
            </w:pPr>
          </w:p>
        </w:tc>
        <w:tc>
          <w:tcPr>
            <w:tcW w:w="575" w:type="pct"/>
            <w:vAlign w:val="center"/>
            <w:hideMark/>
          </w:tcPr>
          <w:p w14:paraId="2EF64467" w14:textId="77777777" w:rsidR="00000000" w:rsidRDefault="00C1661D">
            <w:pPr>
              <w:spacing w:after="100"/>
              <w:rPr>
                <w:rFonts w:eastAsia="Times New Roman"/>
                <w:sz w:val="20"/>
                <w:szCs w:val="20"/>
              </w:rPr>
            </w:pPr>
          </w:p>
        </w:tc>
        <w:tc>
          <w:tcPr>
            <w:tcW w:w="5" w:type="pct"/>
            <w:vAlign w:val="center"/>
            <w:hideMark/>
          </w:tcPr>
          <w:p w14:paraId="38AAED5F" w14:textId="77777777" w:rsidR="00000000" w:rsidRDefault="00C1661D">
            <w:pPr>
              <w:spacing w:after="100"/>
              <w:rPr>
                <w:rFonts w:eastAsia="Times New Roman"/>
                <w:sz w:val="20"/>
                <w:szCs w:val="20"/>
              </w:rPr>
            </w:pPr>
          </w:p>
        </w:tc>
      </w:tr>
      <w:tr w:rsidR="00000000" w14:paraId="55D17AF1" w14:textId="77777777">
        <w:trPr>
          <w:divId w:val="1862434024"/>
          <w:jc w:val="center"/>
        </w:trPr>
        <w:tc>
          <w:tcPr>
            <w:tcW w:w="0" w:type="auto"/>
            <w:gridSpan w:val="6"/>
            <w:tcMar>
              <w:top w:w="30" w:type="dxa"/>
              <w:left w:w="20" w:type="dxa"/>
              <w:bottom w:w="30" w:type="dxa"/>
              <w:right w:w="20" w:type="dxa"/>
            </w:tcMar>
            <w:vAlign w:val="bottom"/>
            <w:hideMark/>
          </w:tcPr>
          <w:p w14:paraId="7CFD6EDF" w14:textId="77777777" w:rsidR="00000000" w:rsidRDefault="00C1661D">
            <w:pPr>
              <w:spacing w:after="100"/>
              <w:jc w:val="center"/>
              <w:rPr>
                <w:rFonts w:eastAsia="Times New Roman"/>
              </w:rPr>
            </w:pPr>
            <w:r>
              <w:rPr>
                <w:rFonts w:eastAsia="Times New Roman"/>
                <w:b/>
                <w:bCs/>
                <w:color w:val="000000"/>
                <w:sz w:val="20"/>
                <w:szCs w:val="20"/>
                <w:u w:val="single"/>
              </w:rPr>
              <w:t>Approximate Quantity &amp; Equipment Type</w:t>
            </w:r>
          </w:p>
        </w:tc>
        <w:tc>
          <w:tcPr>
            <w:tcW w:w="0" w:type="auto"/>
            <w:gridSpan w:val="3"/>
            <w:tcMar>
              <w:top w:w="30" w:type="dxa"/>
              <w:left w:w="20" w:type="dxa"/>
              <w:bottom w:w="30" w:type="dxa"/>
              <w:right w:w="20" w:type="dxa"/>
            </w:tcMar>
            <w:vAlign w:val="bottom"/>
            <w:hideMark/>
          </w:tcPr>
          <w:p w14:paraId="219352E8" w14:textId="77777777" w:rsidR="00000000" w:rsidRDefault="00C1661D">
            <w:pPr>
              <w:spacing w:after="100"/>
              <w:jc w:val="both"/>
              <w:rPr>
                <w:rFonts w:eastAsia="Times New Roman"/>
              </w:rPr>
            </w:pPr>
            <w:r>
              <w:rPr>
                <w:rFonts w:eastAsia="Times New Roman"/>
                <w:b/>
                <w:bCs/>
                <w:color w:val="000000"/>
                <w:sz w:val="20"/>
                <w:szCs w:val="20"/>
                <w:u w:val="single"/>
              </w:rPr>
              <w:t>% Owned</w:t>
            </w:r>
          </w:p>
        </w:tc>
        <w:tc>
          <w:tcPr>
            <w:tcW w:w="0" w:type="auto"/>
            <w:gridSpan w:val="3"/>
            <w:tcMar>
              <w:top w:w="30" w:type="dxa"/>
              <w:left w:w="20" w:type="dxa"/>
              <w:bottom w:w="30" w:type="dxa"/>
              <w:right w:w="20" w:type="dxa"/>
            </w:tcMar>
            <w:vAlign w:val="bottom"/>
            <w:hideMark/>
          </w:tcPr>
          <w:p w14:paraId="2BE0455B" w14:textId="77777777" w:rsidR="00000000" w:rsidRDefault="00C1661D">
            <w:pPr>
              <w:spacing w:after="100"/>
              <w:jc w:val="both"/>
              <w:rPr>
                <w:rFonts w:eastAsia="Times New Roman"/>
              </w:rPr>
            </w:pPr>
            <w:r>
              <w:rPr>
                <w:rFonts w:eastAsia="Times New Roman"/>
                <w:b/>
                <w:bCs/>
                <w:color w:val="000000"/>
                <w:sz w:val="20"/>
                <w:szCs w:val="20"/>
                <w:u w:val="single"/>
              </w:rPr>
              <w:t>% Leased</w:t>
            </w:r>
          </w:p>
        </w:tc>
      </w:tr>
      <w:tr w:rsidR="00000000" w14:paraId="7FD51B9A" w14:textId="77777777">
        <w:trPr>
          <w:divId w:val="1862434024"/>
          <w:jc w:val="center"/>
        </w:trPr>
        <w:tc>
          <w:tcPr>
            <w:tcW w:w="0" w:type="auto"/>
            <w:gridSpan w:val="3"/>
            <w:shd w:val="clear" w:color="auto" w:fill="CCEEFF"/>
            <w:tcMar>
              <w:top w:w="30" w:type="dxa"/>
              <w:left w:w="20" w:type="dxa"/>
              <w:bottom w:w="30" w:type="dxa"/>
              <w:right w:w="20" w:type="dxa"/>
            </w:tcMar>
            <w:hideMark/>
          </w:tcPr>
          <w:p w14:paraId="606642F2" w14:textId="77777777" w:rsidR="00000000" w:rsidRDefault="00C1661D">
            <w:pPr>
              <w:spacing w:after="100"/>
              <w:rPr>
                <w:rFonts w:eastAsia="Times New Roman"/>
              </w:rPr>
            </w:pPr>
            <w:r>
              <w:rPr>
                <w:rFonts w:eastAsia="Times New Roman"/>
                <w:color w:val="000000"/>
                <w:sz w:val="20"/>
                <w:szCs w:val="20"/>
              </w:rPr>
              <w:t>870</w:t>
            </w:r>
          </w:p>
        </w:tc>
        <w:tc>
          <w:tcPr>
            <w:tcW w:w="0" w:type="auto"/>
            <w:gridSpan w:val="3"/>
            <w:shd w:val="clear" w:color="auto" w:fill="CCEEFF"/>
            <w:tcMar>
              <w:top w:w="30" w:type="dxa"/>
              <w:left w:w="20" w:type="dxa"/>
              <w:bottom w:w="30" w:type="dxa"/>
              <w:right w:w="20" w:type="dxa"/>
            </w:tcMar>
            <w:vAlign w:val="bottom"/>
            <w:hideMark/>
          </w:tcPr>
          <w:p w14:paraId="4E231E1F" w14:textId="77777777" w:rsidR="00000000" w:rsidRDefault="00C1661D">
            <w:pPr>
              <w:spacing w:after="100"/>
              <w:jc w:val="both"/>
              <w:rPr>
                <w:rFonts w:eastAsia="Times New Roman"/>
              </w:rPr>
            </w:pPr>
            <w:r>
              <w:rPr>
                <w:rFonts w:eastAsia="Times New Roman"/>
                <w:color w:val="000000"/>
                <w:sz w:val="20"/>
                <w:szCs w:val="20"/>
              </w:rPr>
              <w:t>Trailers</w:t>
            </w:r>
          </w:p>
        </w:tc>
        <w:tc>
          <w:tcPr>
            <w:tcW w:w="0" w:type="auto"/>
            <w:gridSpan w:val="3"/>
            <w:shd w:val="clear" w:color="auto" w:fill="CCEEFF"/>
            <w:tcMar>
              <w:top w:w="30" w:type="dxa"/>
              <w:left w:w="20" w:type="dxa"/>
              <w:bottom w:w="30" w:type="dxa"/>
              <w:right w:w="20" w:type="dxa"/>
            </w:tcMar>
            <w:vAlign w:val="bottom"/>
            <w:hideMark/>
          </w:tcPr>
          <w:p w14:paraId="34476DCB" w14:textId="77777777" w:rsidR="00000000" w:rsidRDefault="00C1661D">
            <w:pPr>
              <w:spacing w:after="100"/>
              <w:jc w:val="center"/>
              <w:rPr>
                <w:rFonts w:eastAsia="Times New Roman"/>
              </w:rPr>
            </w:pPr>
            <w:r>
              <w:rPr>
                <w:rFonts w:eastAsia="Times New Roman"/>
                <w:color w:val="000000"/>
                <w:sz w:val="20"/>
                <w:szCs w:val="20"/>
              </w:rPr>
              <w:t>69%</w:t>
            </w:r>
          </w:p>
        </w:tc>
        <w:tc>
          <w:tcPr>
            <w:tcW w:w="0" w:type="auto"/>
            <w:gridSpan w:val="3"/>
            <w:shd w:val="clear" w:color="auto" w:fill="CCEEFF"/>
            <w:tcMar>
              <w:top w:w="30" w:type="dxa"/>
              <w:left w:w="20" w:type="dxa"/>
              <w:bottom w:w="30" w:type="dxa"/>
              <w:right w:w="20" w:type="dxa"/>
            </w:tcMar>
            <w:vAlign w:val="bottom"/>
            <w:hideMark/>
          </w:tcPr>
          <w:p w14:paraId="334BD91E" w14:textId="77777777" w:rsidR="00000000" w:rsidRDefault="00C1661D">
            <w:pPr>
              <w:spacing w:after="100"/>
              <w:jc w:val="center"/>
              <w:rPr>
                <w:rFonts w:eastAsia="Times New Roman"/>
              </w:rPr>
            </w:pPr>
            <w:r>
              <w:rPr>
                <w:rFonts w:eastAsia="Times New Roman"/>
                <w:color w:val="000000"/>
                <w:sz w:val="20"/>
                <w:szCs w:val="20"/>
              </w:rPr>
              <w:t>31%</w:t>
            </w:r>
          </w:p>
        </w:tc>
      </w:tr>
      <w:tr w:rsidR="00000000" w14:paraId="6618D99E" w14:textId="77777777">
        <w:trPr>
          <w:divId w:val="1862434024"/>
          <w:jc w:val="center"/>
        </w:trPr>
        <w:tc>
          <w:tcPr>
            <w:tcW w:w="0" w:type="auto"/>
            <w:gridSpan w:val="3"/>
            <w:tcMar>
              <w:top w:w="30" w:type="dxa"/>
              <w:left w:w="20" w:type="dxa"/>
              <w:bottom w:w="30" w:type="dxa"/>
              <w:right w:w="20" w:type="dxa"/>
            </w:tcMar>
            <w:vAlign w:val="bottom"/>
            <w:hideMark/>
          </w:tcPr>
          <w:p w14:paraId="2D90DCA1" w14:textId="77777777" w:rsidR="00000000" w:rsidRDefault="00C1661D">
            <w:pPr>
              <w:spacing w:after="100"/>
              <w:rPr>
                <w:rFonts w:eastAsia="Times New Roman"/>
              </w:rPr>
            </w:pPr>
            <w:r>
              <w:rPr>
                <w:rFonts w:eastAsia="Times New Roman"/>
                <w:color w:val="000000"/>
                <w:sz w:val="20"/>
                <w:szCs w:val="20"/>
              </w:rPr>
              <w:t>320</w:t>
            </w:r>
          </w:p>
        </w:tc>
        <w:tc>
          <w:tcPr>
            <w:tcW w:w="0" w:type="auto"/>
            <w:gridSpan w:val="3"/>
            <w:tcMar>
              <w:top w:w="30" w:type="dxa"/>
              <w:left w:w="20" w:type="dxa"/>
              <w:bottom w:w="30" w:type="dxa"/>
              <w:right w:w="20" w:type="dxa"/>
            </w:tcMar>
            <w:vAlign w:val="bottom"/>
            <w:hideMark/>
          </w:tcPr>
          <w:p w14:paraId="296CE5BB" w14:textId="77777777" w:rsidR="00000000" w:rsidRDefault="00C1661D">
            <w:pPr>
              <w:spacing w:after="100"/>
              <w:jc w:val="both"/>
              <w:rPr>
                <w:rFonts w:eastAsia="Times New Roman"/>
              </w:rPr>
            </w:pPr>
            <w:r>
              <w:rPr>
                <w:rFonts w:eastAsia="Times New Roman"/>
                <w:color w:val="000000"/>
                <w:sz w:val="20"/>
                <w:szCs w:val="20"/>
              </w:rPr>
              <w:t>Tractors</w:t>
            </w:r>
          </w:p>
        </w:tc>
        <w:tc>
          <w:tcPr>
            <w:tcW w:w="0" w:type="auto"/>
            <w:gridSpan w:val="3"/>
            <w:tcMar>
              <w:top w:w="30" w:type="dxa"/>
              <w:left w:w="20" w:type="dxa"/>
              <w:bottom w:w="30" w:type="dxa"/>
              <w:right w:w="20" w:type="dxa"/>
            </w:tcMar>
            <w:vAlign w:val="bottom"/>
            <w:hideMark/>
          </w:tcPr>
          <w:p w14:paraId="51B5F739" w14:textId="77777777" w:rsidR="00000000" w:rsidRDefault="00C1661D">
            <w:pPr>
              <w:spacing w:after="100"/>
              <w:jc w:val="center"/>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14:paraId="4CDA19B4" w14:textId="77777777" w:rsidR="00000000" w:rsidRDefault="00C1661D">
            <w:pPr>
              <w:spacing w:after="100"/>
              <w:jc w:val="center"/>
              <w:rPr>
                <w:rFonts w:eastAsia="Times New Roman"/>
              </w:rPr>
            </w:pPr>
            <w:r>
              <w:rPr>
                <w:rFonts w:eastAsia="Times New Roman"/>
                <w:color w:val="000000"/>
                <w:sz w:val="20"/>
                <w:szCs w:val="20"/>
              </w:rPr>
              <w:t>99%</w:t>
            </w:r>
          </w:p>
        </w:tc>
      </w:tr>
      <w:tr w:rsidR="00000000" w14:paraId="5A2B50DE" w14:textId="77777777">
        <w:trPr>
          <w:divId w:val="1862434024"/>
          <w:jc w:val="center"/>
        </w:trPr>
        <w:tc>
          <w:tcPr>
            <w:tcW w:w="0" w:type="auto"/>
            <w:gridSpan w:val="3"/>
            <w:shd w:val="clear" w:color="auto" w:fill="CCEEFF"/>
            <w:tcMar>
              <w:top w:w="30" w:type="dxa"/>
              <w:left w:w="20" w:type="dxa"/>
              <w:bottom w:w="30" w:type="dxa"/>
              <w:right w:w="20" w:type="dxa"/>
            </w:tcMar>
            <w:vAlign w:val="bottom"/>
            <w:hideMark/>
          </w:tcPr>
          <w:p w14:paraId="62616A52" w14:textId="77777777" w:rsidR="00000000" w:rsidRDefault="00C1661D">
            <w:pPr>
              <w:spacing w:after="100"/>
              <w:rPr>
                <w:rFonts w:eastAsia="Times New Roman"/>
              </w:rPr>
            </w:pPr>
            <w:r>
              <w:rPr>
                <w:rFonts w:eastAsia="Times New Roman"/>
                <w:color w:val="000000"/>
                <w:sz w:val="20"/>
                <w:szCs w:val="20"/>
              </w:rPr>
              <w:t>680</w:t>
            </w:r>
          </w:p>
        </w:tc>
        <w:tc>
          <w:tcPr>
            <w:tcW w:w="0" w:type="auto"/>
            <w:gridSpan w:val="3"/>
            <w:shd w:val="clear" w:color="auto" w:fill="CCEEFF"/>
            <w:tcMar>
              <w:top w:w="30" w:type="dxa"/>
              <w:left w:w="20" w:type="dxa"/>
              <w:bottom w:w="30" w:type="dxa"/>
              <w:right w:w="20" w:type="dxa"/>
            </w:tcMar>
            <w:vAlign w:val="bottom"/>
            <w:hideMark/>
          </w:tcPr>
          <w:p w14:paraId="4E38C985" w14:textId="77777777" w:rsidR="00000000" w:rsidRDefault="00C1661D">
            <w:pPr>
              <w:spacing w:after="100"/>
              <w:jc w:val="both"/>
              <w:rPr>
                <w:rFonts w:eastAsia="Times New Roman"/>
              </w:rPr>
            </w:pPr>
            <w:r>
              <w:rPr>
                <w:rFonts w:eastAsia="Times New Roman"/>
                <w:color w:val="000000"/>
                <w:sz w:val="20"/>
                <w:szCs w:val="20"/>
              </w:rPr>
              <w:t>Railroad tank cars</w:t>
            </w:r>
          </w:p>
        </w:tc>
        <w:tc>
          <w:tcPr>
            <w:tcW w:w="0" w:type="auto"/>
            <w:gridSpan w:val="3"/>
            <w:shd w:val="clear" w:color="auto" w:fill="CCEEFF"/>
            <w:tcMar>
              <w:top w:w="30" w:type="dxa"/>
              <w:left w:w="20" w:type="dxa"/>
              <w:bottom w:w="30" w:type="dxa"/>
              <w:right w:w="20" w:type="dxa"/>
            </w:tcMar>
            <w:vAlign w:val="bottom"/>
            <w:hideMark/>
          </w:tcPr>
          <w:p w14:paraId="7397C536" w14:textId="77777777" w:rsidR="00000000" w:rsidRDefault="00C1661D">
            <w:pPr>
              <w:spacing w:after="100"/>
              <w:jc w:val="center"/>
              <w:rPr>
                <w:rFonts w:eastAsia="Times New Roman"/>
              </w:rPr>
            </w:pPr>
            <w:r>
              <w:rPr>
                <w:rFonts w:eastAsia="Times New Roman"/>
                <w:color w:val="000000"/>
                <w:sz w:val="20"/>
                <w:szCs w:val="20"/>
              </w:rPr>
              <w:t>0%</w:t>
            </w:r>
          </w:p>
        </w:tc>
        <w:tc>
          <w:tcPr>
            <w:tcW w:w="0" w:type="auto"/>
            <w:gridSpan w:val="3"/>
            <w:shd w:val="clear" w:color="auto" w:fill="CCEEFF"/>
            <w:tcMar>
              <w:top w:w="30" w:type="dxa"/>
              <w:left w:w="20" w:type="dxa"/>
              <w:bottom w:w="30" w:type="dxa"/>
              <w:right w:w="20" w:type="dxa"/>
            </w:tcMar>
            <w:vAlign w:val="bottom"/>
            <w:hideMark/>
          </w:tcPr>
          <w:p w14:paraId="207596EA" w14:textId="77777777" w:rsidR="00000000" w:rsidRDefault="00C1661D">
            <w:pPr>
              <w:spacing w:after="100"/>
              <w:jc w:val="center"/>
              <w:rPr>
                <w:rFonts w:eastAsia="Times New Roman"/>
              </w:rPr>
            </w:pPr>
            <w:r>
              <w:rPr>
                <w:rFonts w:eastAsia="Times New Roman"/>
                <w:color w:val="000000"/>
                <w:sz w:val="20"/>
                <w:szCs w:val="20"/>
              </w:rPr>
              <w:t>100%</w:t>
            </w:r>
          </w:p>
        </w:tc>
      </w:tr>
      <w:tr w:rsidR="00000000" w14:paraId="1535BFEA" w14:textId="77777777">
        <w:trPr>
          <w:divId w:val="1862434024"/>
          <w:jc w:val="center"/>
        </w:trPr>
        <w:tc>
          <w:tcPr>
            <w:tcW w:w="0" w:type="auto"/>
            <w:gridSpan w:val="3"/>
            <w:tcMar>
              <w:top w:w="30" w:type="dxa"/>
              <w:left w:w="20" w:type="dxa"/>
              <w:bottom w:w="30" w:type="dxa"/>
              <w:right w:w="20" w:type="dxa"/>
            </w:tcMar>
            <w:vAlign w:val="bottom"/>
            <w:hideMark/>
          </w:tcPr>
          <w:p w14:paraId="4ACA47E3" w14:textId="77777777" w:rsidR="00000000" w:rsidRDefault="00C1661D">
            <w:pPr>
              <w:spacing w:after="100"/>
              <w:rPr>
                <w:rFonts w:eastAsia="Times New Roman"/>
              </w:rPr>
            </w:pPr>
            <w:r>
              <w:rPr>
                <w:rFonts w:eastAsia="Times New Roman"/>
                <w:color w:val="000000"/>
                <w:sz w:val="20"/>
                <w:szCs w:val="20"/>
              </w:rPr>
              <w:t>2,520</w:t>
            </w:r>
          </w:p>
        </w:tc>
        <w:tc>
          <w:tcPr>
            <w:tcW w:w="0" w:type="auto"/>
            <w:gridSpan w:val="3"/>
            <w:tcMar>
              <w:top w:w="30" w:type="dxa"/>
              <w:left w:w="20" w:type="dxa"/>
              <w:bottom w:w="30" w:type="dxa"/>
              <w:right w:w="20" w:type="dxa"/>
            </w:tcMar>
            <w:vAlign w:val="bottom"/>
            <w:hideMark/>
          </w:tcPr>
          <w:p w14:paraId="4D34B73D" w14:textId="77777777" w:rsidR="00000000" w:rsidRDefault="00C1661D">
            <w:pPr>
              <w:spacing w:after="100"/>
              <w:jc w:val="both"/>
              <w:rPr>
                <w:rFonts w:eastAsia="Times New Roman"/>
              </w:rPr>
            </w:pPr>
            <w:r>
              <w:rPr>
                <w:rFonts w:eastAsia="Times New Roman"/>
                <w:color w:val="000000"/>
                <w:sz w:val="20"/>
                <w:szCs w:val="20"/>
              </w:rPr>
              <w:t>Bobtail trucks</w:t>
            </w:r>
          </w:p>
        </w:tc>
        <w:tc>
          <w:tcPr>
            <w:tcW w:w="0" w:type="auto"/>
            <w:gridSpan w:val="3"/>
            <w:tcMar>
              <w:top w:w="30" w:type="dxa"/>
              <w:left w:w="20" w:type="dxa"/>
              <w:bottom w:w="30" w:type="dxa"/>
              <w:right w:w="20" w:type="dxa"/>
            </w:tcMar>
            <w:vAlign w:val="bottom"/>
            <w:hideMark/>
          </w:tcPr>
          <w:p w14:paraId="7A668EF3" w14:textId="77777777" w:rsidR="00000000" w:rsidRDefault="00C1661D">
            <w:pPr>
              <w:spacing w:after="100"/>
              <w:jc w:val="center"/>
              <w:rPr>
                <w:rFonts w:eastAsia="Times New Roman"/>
              </w:rPr>
            </w:pPr>
            <w:r>
              <w:rPr>
                <w:rFonts w:eastAsia="Times New Roman"/>
                <w:color w:val="000000"/>
                <w:sz w:val="20"/>
                <w:szCs w:val="20"/>
              </w:rPr>
              <w:t>7%</w:t>
            </w:r>
          </w:p>
        </w:tc>
        <w:tc>
          <w:tcPr>
            <w:tcW w:w="0" w:type="auto"/>
            <w:gridSpan w:val="3"/>
            <w:tcMar>
              <w:top w:w="30" w:type="dxa"/>
              <w:left w:w="20" w:type="dxa"/>
              <w:bottom w:w="30" w:type="dxa"/>
              <w:right w:w="20" w:type="dxa"/>
            </w:tcMar>
            <w:vAlign w:val="bottom"/>
            <w:hideMark/>
          </w:tcPr>
          <w:p w14:paraId="4B8700C7" w14:textId="77777777" w:rsidR="00000000" w:rsidRDefault="00C1661D">
            <w:pPr>
              <w:spacing w:after="100"/>
              <w:jc w:val="center"/>
              <w:rPr>
                <w:rFonts w:eastAsia="Times New Roman"/>
              </w:rPr>
            </w:pPr>
            <w:r>
              <w:rPr>
                <w:rFonts w:eastAsia="Times New Roman"/>
                <w:color w:val="000000"/>
                <w:sz w:val="20"/>
                <w:szCs w:val="20"/>
              </w:rPr>
              <w:t>93%</w:t>
            </w:r>
          </w:p>
        </w:tc>
      </w:tr>
      <w:tr w:rsidR="00000000" w14:paraId="350647C8" w14:textId="77777777">
        <w:trPr>
          <w:divId w:val="1862434024"/>
          <w:jc w:val="center"/>
        </w:trPr>
        <w:tc>
          <w:tcPr>
            <w:tcW w:w="0" w:type="auto"/>
            <w:gridSpan w:val="3"/>
            <w:shd w:val="clear" w:color="auto" w:fill="CCEEFF"/>
            <w:tcMar>
              <w:top w:w="30" w:type="dxa"/>
              <w:left w:w="20" w:type="dxa"/>
              <w:bottom w:w="30" w:type="dxa"/>
              <w:right w:w="20" w:type="dxa"/>
            </w:tcMar>
            <w:vAlign w:val="bottom"/>
            <w:hideMark/>
          </w:tcPr>
          <w:p w14:paraId="4A1043E2" w14:textId="77777777" w:rsidR="00000000" w:rsidRDefault="00C1661D">
            <w:pPr>
              <w:spacing w:after="100"/>
              <w:rPr>
                <w:rFonts w:eastAsia="Times New Roman"/>
              </w:rPr>
            </w:pPr>
            <w:r>
              <w:rPr>
                <w:rFonts w:eastAsia="Times New Roman"/>
                <w:color w:val="000000"/>
                <w:sz w:val="20"/>
                <w:szCs w:val="20"/>
              </w:rPr>
              <w:t>320</w:t>
            </w:r>
          </w:p>
        </w:tc>
        <w:tc>
          <w:tcPr>
            <w:tcW w:w="0" w:type="auto"/>
            <w:gridSpan w:val="3"/>
            <w:shd w:val="clear" w:color="auto" w:fill="CCEEFF"/>
            <w:tcMar>
              <w:top w:w="30" w:type="dxa"/>
              <w:left w:w="20" w:type="dxa"/>
              <w:bottom w:w="30" w:type="dxa"/>
              <w:right w:w="20" w:type="dxa"/>
            </w:tcMar>
            <w:vAlign w:val="bottom"/>
            <w:hideMark/>
          </w:tcPr>
          <w:p w14:paraId="6D0900B4" w14:textId="77777777" w:rsidR="00000000" w:rsidRDefault="00C1661D">
            <w:pPr>
              <w:spacing w:after="100"/>
              <w:jc w:val="both"/>
              <w:rPr>
                <w:rFonts w:eastAsia="Times New Roman"/>
              </w:rPr>
            </w:pPr>
            <w:r>
              <w:rPr>
                <w:rFonts w:eastAsia="Times New Roman"/>
                <w:color w:val="000000"/>
                <w:sz w:val="20"/>
                <w:szCs w:val="20"/>
              </w:rPr>
              <w:t>Rack trucks</w:t>
            </w:r>
          </w:p>
        </w:tc>
        <w:tc>
          <w:tcPr>
            <w:tcW w:w="0" w:type="auto"/>
            <w:gridSpan w:val="3"/>
            <w:shd w:val="clear" w:color="auto" w:fill="CCEEFF"/>
            <w:tcMar>
              <w:top w:w="30" w:type="dxa"/>
              <w:left w:w="20" w:type="dxa"/>
              <w:bottom w:w="30" w:type="dxa"/>
              <w:right w:w="20" w:type="dxa"/>
            </w:tcMar>
            <w:vAlign w:val="bottom"/>
            <w:hideMark/>
          </w:tcPr>
          <w:p w14:paraId="0D6CDDCC" w14:textId="77777777" w:rsidR="00000000" w:rsidRDefault="00C1661D">
            <w:pPr>
              <w:spacing w:after="100"/>
              <w:jc w:val="center"/>
              <w:rPr>
                <w:rFonts w:eastAsia="Times New Roman"/>
              </w:rPr>
            </w:pPr>
            <w:r>
              <w:rPr>
                <w:rFonts w:eastAsia="Times New Roman"/>
                <w:color w:val="000000"/>
                <w:sz w:val="20"/>
                <w:szCs w:val="20"/>
              </w:rPr>
              <w:t>14%</w:t>
            </w:r>
          </w:p>
        </w:tc>
        <w:tc>
          <w:tcPr>
            <w:tcW w:w="0" w:type="auto"/>
            <w:gridSpan w:val="3"/>
            <w:shd w:val="clear" w:color="auto" w:fill="CCEEFF"/>
            <w:tcMar>
              <w:top w:w="30" w:type="dxa"/>
              <w:left w:w="20" w:type="dxa"/>
              <w:bottom w:w="30" w:type="dxa"/>
              <w:right w:w="20" w:type="dxa"/>
            </w:tcMar>
            <w:vAlign w:val="bottom"/>
            <w:hideMark/>
          </w:tcPr>
          <w:p w14:paraId="24859DDF" w14:textId="77777777" w:rsidR="00000000" w:rsidRDefault="00C1661D">
            <w:pPr>
              <w:spacing w:after="100"/>
              <w:jc w:val="center"/>
              <w:rPr>
                <w:rFonts w:eastAsia="Times New Roman"/>
              </w:rPr>
            </w:pPr>
            <w:r>
              <w:rPr>
                <w:rFonts w:eastAsia="Times New Roman"/>
                <w:color w:val="000000"/>
                <w:sz w:val="20"/>
                <w:szCs w:val="20"/>
              </w:rPr>
              <w:t>86%</w:t>
            </w:r>
          </w:p>
        </w:tc>
      </w:tr>
      <w:tr w:rsidR="00000000" w14:paraId="712EF467" w14:textId="77777777">
        <w:trPr>
          <w:divId w:val="1862434024"/>
          <w:jc w:val="center"/>
        </w:trPr>
        <w:tc>
          <w:tcPr>
            <w:tcW w:w="0" w:type="auto"/>
            <w:gridSpan w:val="3"/>
            <w:tcMar>
              <w:top w:w="30" w:type="dxa"/>
              <w:left w:w="20" w:type="dxa"/>
              <w:bottom w:w="30" w:type="dxa"/>
              <w:right w:w="20" w:type="dxa"/>
            </w:tcMar>
            <w:vAlign w:val="bottom"/>
            <w:hideMark/>
          </w:tcPr>
          <w:p w14:paraId="4CFCA058" w14:textId="77777777" w:rsidR="00000000" w:rsidRDefault="00C1661D">
            <w:pPr>
              <w:spacing w:after="100"/>
              <w:rPr>
                <w:rFonts w:eastAsia="Times New Roman"/>
              </w:rPr>
            </w:pPr>
            <w:r>
              <w:rPr>
                <w:rFonts w:eastAsia="Times New Roman"/>
                <w:color w:val="000000"/>
                <w:sz w:val="20"/>
                <w:szCs w:val="20"/>
              </w:rPr>
              <w:t>2,950</w:t>
            </w:r>
          </w:p>
        </w:tc>
        <w:tc>
          <w:tcPr>
            <w:tcW w:w="0" w:type="auto"/>
            <w:gridSpan w:val="3"/>
            <w:tcMar>
              <w:top w:w="30" w:type="dxa"/>
              <w:left w:w="20" w:type="dxa"/>
              <w:bottom w:w="30" w:type="dxa"/>
              <w:right w:w="20" w:type="dxa"/>
            </w:tcMar>
            <w:vAlign w:val="bottom"/>
            <w:hideMark/>
          </w:tcPr>
          <w:p w14:paraId="12A01DE6" w14:textId="77777777" w:rsidR="00000000" w:rsidRDefault="00C1661D">
            <w:pPr>
              <w:spacing w:after="100"/>
              <w:jc w:val="both"/>
              <w:rPr>
                <w:rFonts w:eastAsia="Times New Roman"/>
              </w:rPr>
            </w:pPr>
            <w:r>
              <w:rPr>
                <w:rFonts w:eastAsia="Times New Roman"/>
                <w:color w:val="000000"/>
                <w:sz w:val="20"/>
                <w:szCs w:val="20"/>
              </w:rPr>
              <w:t>Service and delivery trucks</w:t>
            </w:r>
          </w:p>
        </w:tc>
        <w:tc>
          <w:tcPr>
            <w:tcW w:w="0" w:type="auto"/>
            <w:gridSpan w:val="3"/>
            <w:tcMar>
              <w:top w:w="30" w:type="dxa"/>
              <w:left w:w="20" w:type="dxa"/>
              <w:bottom w:w="30" w:type="dxa"/>
              <w:right w:w="20" w:type="dxa"/>
            </w:tcMar>
            <w:vAlign w:val="bottom"/>
            <w:hideMark/>
          </w:tcPr>
          <w:p w14:paraId="23A7B070" w14:textId="77777777" w:rsidR="00000000" w:rsidRDefault="00C1661D">
            <w:pPr>
              <w:spacing w:after="100"/>
              <w:jc w:val="center"/>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vAlign w:val="bottom"/>
            <w:hideMark/>
          </w:tcPr>
          <w:p w14:paraId="73286EC8" w14:textId="77777777" w:rsidR="00000000" w:rsidRDefault="00C1661D">
            <w:pPr>
              <w:spacing w:after="100"/>
              <w:jc w:val="center"/>
              <w:rPr>
                <w:rFonts w:eastAsia="Times New Roman"/>
              </w:rPr>
            </w:pPr>
            <w:r>
              <w:rPr>
                <w:rFonts w:eastAsia="Times New Roman"/>
                <w:color w:val="000000"/>
                <w:sz w:val="20"/>
                <w:szCs w:val="20"/>
              </w:rPr>
              <w:t>86%</w:t>
            </w:r>
          </w:p>
        </w:tc>
      </w:tr>
    </w:tbl>
    <w:p w14:paraId="3162F61A" w14:textId="77777777" w:rsidR="00000000" w:rsidRDefault="00C1661D">
      <w:pPr>
        <w:divId w:val="1840273257"/>
        <w:rPr>
          <w:rFonts w:eastAsia="Times New Roman"/>
        </w:rPr>
      </w:pPr>
    </w:p>
    <w:p w14:paraId="3C87FF77" w14:textId="77777777" w:rsidR="00000000" w:rsidRDefault="00C1661D">
      <w:pPr>
        <w:jc w:val="both"/>
        <w:rPr>
          <w:rFonts w:eastAsia="Times New Roman"/>
        </w:rPr>
      </w:pPr>
      <w:r>
        <w:rPr>
          <w:rFonts w:eastAsia="Times New Roman"/>
          <w:color w:val="000000"/>
          <w:sz w:val="20"/>
          <w:szCs w:val="20"/>
        </w:rPr>
        <w:t>Other assets owned at September 30, 2022 included approximately 934,000 stationary storage tanks with typical capacities of more than 120 gallons, approximately 4.3 million portable propane cylinders with typical capacities of 1 to 120 gallons, 21 terminal</w:t>
      </w:r>
      <w:r>
        <w:rPr>
          <w:rFonts w:eastAsia="Times New Roman"/>
          <w:color w:val="000000"/>
          <w:sz w:val="20"/>
          <w:szCs w:val="20"/>
        </w:rPr>
        <w:t>s and 11 transflow units.</w:t>
      </w:r>
    </w:p>
    <w:p w14:paraId="48603EAA" w14:textId="77777777" w:rsidR="00000000" w:rsidRDefault="00C1661D">
      <w:pPr>
        <w:jc w:val="both"/>
        <w:rPr>
          <w:rFonts w:eastAsia="Times New Roman"/>
        </w:rPr>
      </w:pPr>
    </w:p>
    <w:p w14:paraId="2F50CFB5" w14:textId="77777777" w:rsidR="00000000" w:rsidRDefault="00C1661D">
      <w:pPr>
        <w:jc w:val="both"/>
        <w:rPr>
          <w:rFonts w:eastAsia="Times New Roman"/>
        </w:rPr>
      </w:pPr>
      <w:r>
        <w:rPr>
          <w:rFonts w:eastAsia="Times New Roman"/>
          <w:b/>
          <w:bCs/>
          <w:i/>
          <w:iCs/>
          <w:color w:val="000000"/>
          <w:sz w:val="20"/>
          <w:szCs w:val="20"/>
        </w:rPr>
        <w:t>Trade Names, Trade and Service Marks</w:t>
      </w:r>
    </w:p>
    <w:p w14:paraId="4A3D2553" w14:textId="77777777" w:rsidR="00000000" w:rsidRDefault="00C1661D">
      <w:pPr>
        <w:jc w:val="both"/>
        <w:divId w:val="2111851380"/>
        <w:rPr>
          <w:rFonts w:eastAsia="Times New Roman"/>
        </w:rPr>
      </w:pPr>
      <w:r>
        <w:rPr>
          <w:rFonts w:eastAsia="Times New Roman"/>
          <w:color w:val="000000"/>
          <w:sz w:val="20"/>
          <w:szCs w:val="20"/>
        </w:rPr>
        <w:t>AmeriGas Propane markets propane and other services principally under the “AmeriGa</w:t>
      </w:r>
      <w:r>
        <w:rPr>
          <w:rFonts w:eastAsia="Times New Roman"/>
          <w:color w:val="000000"/>
          <w:sz w:val="20"/>
          <w:szCs w:val="20"/>
        </w:rPr>
        <w:t>s</w:t>
      </w:r>
      <w:r>
        <w:rPr>
          <w:rFonts w:eastAsia="Times New Roman"/>
          <w:color w:val="000000"/>
          <w:sz w:val="13"/>
          <w:szCs w:val="13"/>
        </w:rPr>
        <w:t>®</w:t>
      </w:r>
      <w:r>
        <w:rPr>
          <w:rFonts w:eastAsia="Times New Roman"/>
          <w:color w:val="000000"/>
          <w:sz w:val="20"/>
          <w:szCs w:val="20"/>
        </w:rPr>
        <w:t>,” “America’s Propane Compan</w:t>
      </w:r>
      <w:r>
        <w:rPr>
          <w:rFonts w:eastAsia="Times New Roman"/>
          <w:color w:val="000000"/>
          <w:sz w:val="20"/>
          <w:szCs w:val="20"/>
        </w:rPr>
        <w:t>y</w:t>
      </w:r>
      <w:r>
        <w:rPr>
          <w:rFonts w:eastAsia="Times New Roman"/>
          <w:color w:val="000000"/>
          <w:sz w:val="13"/>
          <w:szCs w:val="13"/>
        </w:rPr>
        <w:t>®</w:t>
      </w:r>
      <w:r>
        <w:rPr>
          <w:rFonts w:eastAsia="Times New Roman"/>
          <w:color w:val="000000"/>
          <w:sz w:val="20"/>
          <w:szCs w:val="20"/>
        </w:rPr>
        <w:t>,” “Propane That’s Pro-You</w:t>
      </w:r>
      <w:r>
        <w:rPr>
          <w:rFonts w:eastAsia="Times New Roman"/>
          <w:color w:val="000000"/>
          <w:sz w:val="20"/>
          <w:szCs w:val="20"/>
        </w:rPr>
        <w:t>℠</w:t>
      </w:r>
      <w:r>
        <w:rPr>
          <w:rFonts w:eastAsia="Times New Roman"/>
          <w:color w:val="000000"/>
          <w:sz w:val="20"/>
          <w:szCs w:val="20"/>
        </w:rPr>
        <w:t>” and “Cync</w:t>
      </w:r>
      <w:r>
        <w:rPr>
          <w:rFonts w:eastAsia="Times New Roman"/>
          <w:color w:val="000000"/>
          <w:sz w:val="20"/>
          <w:szCs w:val="20"/>
        </w:rPr>
        <w:t>h</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trade names and related service marks and continues to maintain the “Driving Every Da</w:t>
      </w:r>
      <w:r>
        <w:rPr>
          <w:rFonts w:eastAsia="Times New Roman"/>
          <w:color w:val="000000"/>
          <w:sz w:val="20"/>
          <w:szCs w:val="20"/>
        </w:rPr>
        <w:t>y</w:t>
      </w:r>
      <w:r>
        <w:rPr>
          <w:rFonts w:eastAsia="Times New Roman"/>
          <w:color w:val="000000"/>
          <w:sz w:val="13"/>
          <w:szCs w:val="13"/>
        </w:rPr>
        <w:t>®</w:t>
      </w:r>
      <w:r>
        <w:rPr>
          <w:rFonts w:eastAsia="Times New Roman"/>
          <w:color w:val="000000"/>
          <w:sz w:val="20"/>
          <w:szCs w:val="20"/>
        </w:rPr>
        <w:t>” and “Relationships Matte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trademarks. UGI owns, directly or indirectly, all the right, title and interest in the “AmeriGas” name and related trade and service marks.</w:t>
      </w:r>
      <w:r>
        <w:rPr>
          <w:rFonts w:eastAsia="Times New Roman"/>
          <w:color w:val="000000"/>
          <w:sz w:val="20"/>
          <w:szCs w:val="20"/>
        </w:rPr>
        <w:t xml:space="preserve"> The General Partner owns all right, title and interest in the “America’s Propane Company” trade name and related service marks. The Partnership has an exclusive (except for use by UGI, AmeriGas, Inc., AmeriGas Polska Sp. z.o.o. and the General Partner), r</w:t>
      </w:r>
      <w:r>
        <w:rPr>
          <w:rFonts w:eastAsia="Times New Roman"/>
          <w:color w:val="000000"/>
          <w:sz w:val="20"/>
          <w:szCs w:val="20"/>
        </w:rPr>
        <w:t>oyalty-free license to use these trade names and related service marks. UGI and the General Partner each have the option to terminate its respective license agreement (except its licenses with permitted transferees and on 12 months’ prior notice in the cas</w:t>
      </w:r>
      <w:r>
        <w:rPr>
          <w:rFonts w:eastAsia="Times New Roman"/>
          <w:color w:val="000000"/>
          <w:sz w:val="20"/>
          <w:szCs w:val="20"/>
        </w:rPr>
        <w:t>e of UGI), without penalty, if the General Partner is removed as general partner of the Partnership for cause. If the General Partner ceases to serve as the general partner of the Partnership other than for cause, the General Partner has the option to term</w:t>
      </w:r>
      <w:r>
        <w:rPr>
          <w:rFonts w:eastAsia="Times New Roman"/>
          <w:color w:val="000000"/>
          <w:sz w:val="20"/>
          <w:szCs w:val="20"/>
        </w:rPr>
        <w:t>inate its license agreement upon payment of a fee to AmeriGas Propane, L.P. equal to the fair market value of the licensed trade names. UGI has a similar termination option; however, UGI must provide 12 months’ prior notice in addition to paying the fee to</w:t>
      </w:r>
      <w:r>
        <w:rPr>
          <w:rFonts w:eastAsia="Times New Roman"/>
          <w:color w:val="000000"/>
          <w:sz w:val="20"/>
          <w:szCs w:val="20"/>
        </w:rPr>
        <w:t xml:space="preserve"> AmeriGas OLP. UGI and the General Partner each also have the right to terminate its respective license agreement in order to settle any claim of infringement, unfair competition or similar claim or if the agreement has been materially breached without app</w:t>
      </w:r>
      <w:r>
        <w:rPr>
          <w:rFonts w:eastAsia="Times New Roman"/>
          <w:color w:val="000000"/>
          <w:sz w:val="20"/>
          <w:szCs w:val="20"/>
        </w:rPr>
        <w:t>ropriate cure.</w:t>
      </w:r>
    </w:p>
    <w:p w14:paraId="26CDC170" w14:textId="77777777" w:rsidR="00000000" w:rsidRDefault="00C1661D">
      <w:pPr>
        <w:jc w:val="both"/>
        <w:rPr>
          <w:rFonts w:eastAsia="Times New Roman"/>
        </w:rPr>
      </w:pPr>
    </w:p>
    <w:p w14:paraId="3E82A8D3" w14:textId="77777777" w:rsidR="00000000" w:rsidRDefault="00C1661D">
      <w:pPr>
        <w:jc w:val="both"/>
        <w:rPr>
          <w:rFonts w:eastAsia="Times New Roman"/>
        </w:rPr>
      </w:pPr>
      <w:r>
        <w:rPr>
          <w:rFonts w:eastAsia="Times New Roman"/>
          <w:b/>
          <w:bCs/>
          <w:i/>
          <w:iCs/>
          <w:color w:val="000000"/>
          <w:sz w:val="20"/>
          <w:szCs w:val="20"/>
        </w:rPr>
        <w:t>Seasonality</w:t>
      </w:r>
    </w:p>
    <w:p w14:paraId="359376E7" w14:textId="77777777" w:rsidR="00000000" w:rsidRDefault="00C1661D">
      <w:pPr>
        <w:jc w:val="both"/>
        <w:rPr>
          <w:rFonts w:eastAsia="Times New Roman"/>
        </w:rPr>
      </w:pPr>
    </w:p>
    <w:p w14:paraId="754543FF" w14:textId="77777777" w:rsidR="00000000" w:rsidRDefault="00C1661D">
      <w:pPr>
        <w:jc w:val="both"/>
        <w:rPr>
          <w:rFonts w:eastAsia="Times New Roman"/>
        </w:rPr>
      </w:pPr>
      <w:r>
        <w:rPr>
          <w:rFonts w:eastAsia="Times New Roman"/>
          <w:color w:val="000000"/>
          <w:sz w:val="20"/>
          <w:szCs w:val="20"/>
        </w:rPr>
        <w:t>Because many customers use propane for heating purposes, AmeriGas Propane’s retail sales volume is seasonal. During Fiscal 2022, approximately 64% of the Partnership’</w:t>
      </w:r>
      <w:r>
        <w:rPr>
          <w:rFonts w:eastAsia="Times New Roman"/>
          <w:color w:val="000000"/>
          <w:sz w:val="20"/>
          <w:szCs w:val="20"/>
        </w:rPr>
        <w:t>s retail sales volume occurred, and substantially all of AmeriGas Propane’s operating income was earned, during the peak heating season from October through March. As a result of this seasonality, revenues are typically higher in AmeriGas Propane’s first a</w:t>
      </w:r>
      <w:r>
        <w:rPr>
          <w:rFonts w:eastAsia="Times New Roman"/>
          <w:color w:val="000000"/>
          <w:sz w:val="20"/>
          <w:szCs w:val="20"/>
        </w:rPr>
        <w:t>nd second fiscal quarters (October 1 through March 31). Cash receipts are generally greatest during the second and third fiscal quarters when customers pay for propane purchased during the winter heating season. As a result of the AmeriGas Merger, we expec</w:t>
      </w:r>
      <w:r>
        <w:rPr>
          <w:rFonts w:eastAsia="Times New Roman"/>
          <w:color w:val="000000"/>
          <w:sz w:val="20"/>
          <w:szCs w:val="20"/>
        </w:rPr>
        <w:t xml:space="preserve">t that UGI will continue to derive a greater percentage of its earnings during the peak heating season of October through March as well. For more information on the risks associated with the seasonality of our business, see “Risk Factors - Our business is </w:t>
      </w:r>
      <w:r>
        <w:rPr>
          <w:rFonts w:eastAsia="Times New Roman"/>
          <w:color w:val="000000"/>
          <w:sz w:val="20"/>
          <w:szCs w:val="20"/>
        </w:rPr>
        <w:t xml:space="preserve">seasonal and decreases in the demand for our energy products and services because of warmer-than-normal heating season weather or unfavorable weather conditions may adversely affect our results of operations.” </w:t>
      </w:r>
    </w:p>
    <w:p w14:paraId="7D4E83CC" w14:textId="77777777" w:rsidR="00000000" w:rsidRDefault="00C1661D">
      <w:pPr>
        <w:ind w:firstLine="270"/>
        <w:jc w:val="both"/>
        <w:rPr>
          <w:rFonts w:eastAsia="Times New Roman"/>
        </w:rPr>
      </w:pPr>
    </w:p>
    <w:p w14:paraId="4823142F" w14:textId="77777777" w:rsidR="00000000" w:rsidRDefault="00C1661D">
      <w:pPr>
        <w:jc w:val="both"/>
        <w:rPr>
          <w:rFonts w:eastAsia="Times New Roman"/>
        </w:rPr>
      </w:pPr>
      <w:r>
        <w:rPr>
          <w:rFonts w:eastAsia="Times New Roman"/>
          <w:color w:val="000000"/>
          <w:sz w:val="20"/>
          <w:szCs w:val="20"/>
        </w:rPr>
        <w:t>Sales volume for AmeriGas Propane tradition</w:t>
      </w:r>
      <w:r>
        <w:rPr>
          <w:rFonts w:eastAsia="Times New Roman"/>
          <w:color w:val="000000"/>
          <w:sz w:val="20"/>
          <w:szCs w:val="20"/>
        </w:rPr>
        <w:t>ally fluctuates from year-to-year in response to variations in weather, prices, competition, customer mix and other factors, such as conservation efforts and general economic conditions. For information on national weather statistics, see “Management’s Dis</w:t>
      </w:r>
      <w:r>
        <w:rPr>
          <w:rFonts w:eastAsia="Times New Roman"/>
          <w:color w:val="000000"/>
          <w:sz w:val="20"/>
          <w:szCs w:val="20"/>
        </w:rPr>
        <w:t>cussion and Analysis of Financial Condition and Results of Operations.”</w:t>
      </w:r>
    </w:p>
    <w:p w14:paraId="04CA1848" w14:textId="77777777" w:rsidR="00000000" w:rsidRDefault="00C1661D">
      <w:pPr>
        <w:jc w:val="both"/>
        <w:rPr>
          <w:rFonts w:eastAsia="Times New Roman"/>
        </w:rPr>
      </w:pPr>
    </w:p>
    <w:p w14:paraId="58124764" w14:textId="77777777" w:rsidR="00000000" w:rsidRDefault="00C1661D">
      <w:pPr>
        <w:jc w:val="both"/>
        <w:rPr>
          <w:rFonts w:eastAsia="Times New Roman"/>
        </w:rPr>
      </w:pPr>
      <w:r>
        <w:rPr>
          <w:rFonts w:eastAsia="Times New Roman"/>
          <w:b/>
          <w:bCs/>
          <w:i/>
          <w:iCs/>
          <w:color w:val="000000"/>
          <w:sz w:val="20"/>
          <w:szCs w:val="20"/>
        </w:rPr>
        <w:t>Government Regulation</w:t>
      </w:r>
    </w:p>
    <w:p w14:paraId="50499ADF" w14:textId="77777777" w:rsidR="00000000" w:rsidRDefault="00C1661D">
      <w:pPr>
        <w:jc w:val="both"/>
        <w:rPr>
          <w:rFonts w:eastAsia="Times New Roman"/>
        </w:rPr>
      </w:pPr>
    </w:p>
    <w:p w14:paraId="32C74B28" w14:textId="77777777" w:rsidR="00000000" w:rsidRDefault="00C1661D">
      <w:pPr>
        <w:jc w:val="both"/>
        <w:rPr>
          <w:rFonts w:eastAsia="Times New Roman"/>
        </w:rPr>
      </w:pPr>
      <w:r>
        <w:rPr>
          <w:rFonts w:eastAsia="Times New Roman"/>
          <w:color w:val="000000"/>
          <w:sz w:val="20"/>
          <w:szCs w:val="20"/>
        </w:rPr>
        <w:t>AmeriGas Propane is subject to various federal, state and local environmental, health, safety and transportation laws and regulations governing the storage, d</w:t>
      </w:r>
      <w:r>
        <w:rPr>
          <w:rFonts w:eastAsia="Times New Roman"/>
          <w:color w:val="000000"/>
          <w:sz w:val="20"/>
          <w:szCs w:val="20"/>
        </w:rPr>
        <w:t xml:space="preserve">istribution and transportation of propane and the operation of bulk storage propane terminals. </w:t>
      </w:r>
    </w:p>
    <w:p w14:paraId="229B17D2" w14:textId="77777777" w:rsidR="00000000" w:rsidRDefault="00C1661D">
      <w:pPr>
        <w:jc w:val="both"/>
        <w:rPr>
          <w:rFonts w:eastAsia="Times New Roman"/>
        </w:rPr>
      </w:pPr>
    </w:p>
    <w:p w14:paraId="32EDA869" w14:textId="77777777" w:rsidR="00000000" w:rsidRDefault="00C1661D">
      <w:pPr>
        <w:jc w:val="both"/>
        <w:rPr>
          <w:rFonts w:eastAsia="Times New Roman"/>
        </w:rPr>
      </w:pPr>
      <w:r>
        <w:rPr>
          <w:rFonts w:eastAsia="Times New Roman"/>
          <w:color w:val="000000"/>
          <w:sz w:val="20"/>
          <w:szCs w:val="20"/>
          <w:u w:val="single"/>
        </w:rPr>
        <w:t>Environmental</w:t>
      </w:r>
    </w:p>
    <w:p w14:paraId="626284CE" w14:textId="77777777" w:rsidR="00000000" w:rsidRDefault="00C1661D">
      <w:pPr>
        <w:jc w:val="both"/>
        <w:rPr>
          <w:rFonts w:eastAsia="Times New Roman"/>
        </w:rPr>
      </w:pPr>
    </w:p>
    <w:p w14:paraId="788DC9AB" w14:textId="77777777" w:rsidR="00000000" w:rsidRDefault="00C1661D">
      <w:pPr>
        <w:jc w:val="both"/>
        <w:rPr>
          <w:rFonts w:eastAsia="Times New Roman"/>
        </w:rPr>
      </w:pPr>
      <w:r>
        <w:rPr>
          <w:rFonts w:eastAsia="Times New Roman"/>
          <w:color w:val="000000"/>
          <w:sz w:val="20"/>
          <w:szCs w:val="20"/>
        </w:rPr>
        <w:t xml:space="preserve">Generally, applicable environmental laws impose limitations on the discharge of pollutants, establish standards for the handling of solid and </w:t>
      </w:r>
      <w:r>
        <w:rPr>
          <w:rFonts w:eastAsia="Times New Roman"/>
          <w:color w:val="000000"/>
          <w:sz w:val="20"/>
          <w:szCs w:val="20"/>
        </w:rPr>
        <w:t xml:space="preserve">hazardous substances, and require the investigation and cleanup of environmental contamination. These laws include, among others, the Resource Conservation and Recovery Act, CERCLA, the Clean Air Act, the Clean Water Act, the </w:t>
      </w:r>
    </w:p>
    <w:p w14:paraId="727EA878" w14:textId="77777777" w:rsidR="00000000" w:rsidRDefault="00C1661D">
      <w:pPr>
        <w:jc w:val="center"/>
        <w:divId w:val="981614146"/>
        <w:rPr>
          <w:rFonts w:eastAsia="Times New Roman"/>
        </w:rPr>
      </w:pPr>
      <w:r>
        <w:rPr>
          <w:rFonts w:eastAsia="Times New Roman"/>
          <w:color w:val="000000"/>
          <w:sz w:val="20"/>
          <w:szCs w:val="20"/>
        </w:rPr>
        <w:t>17</w:t>
      </w:r>
    </w:p>
    <w:p w14:paraId="0011ED79" w14:textId="77777777" w:rsidR="00000000" w:rsidRDefault="00C1661D">
      <w:pPr>
        <w:rPr>
          <w:rFonts w:eastAsia="Times New Roman"/>
        </w:rPr>
      </w:pPr>
      <w:r>
        <w:rPr>
          <w:rFonts w:eastAsia="Times New Roman"/>
        </w:rPr>
        <w:pict w14:anchorId="06DEB729">
          <v:rect id="_x0000_i1043" style="width:0;height:1.5pt" o:hralign="center" o:hrstd="t" o:hr="t" fillcolor="#a0a0a0" stroked="f"/>
        </w:pict>
      </w:r>
    </w:p>
    <w:p w14:paraId="4ACFE165" w14:textId="77777777" w:rsidR="00000000" w:rsidRDefault="00C1661D">
      <w:pPr>
        <w:divId w:val="371226285"/>
        <w:rPr>
          <w:rFonts w:eastAsia="Times New Roman"/>
        </w:rPr>
      </w:pPr>
      <w:hyperlink w:anchor="i3850c3c6c0104e42b9951aac2f16098a_7" w:history="1">
        <w:r>
          <w:rPr>
            <w:rStyle w:val="a3"/>
            <w:rFonts w:eastAsia="Times New Roman"/>
            <w:b/>
            <w:bCs/>
            <w:sz w:val="20"/>
            <w:szCs w:val="20"/>
          </w:rPr>
          <w:t>Table of Contents</w:t>
        </w:r>
      </w:hyperlink>
    </w:p>
    <w:p w14:paraId="2406C081" w14:textId="77777777" w:rsidR="00000000" w:rsidRDefault="00C1661D">
      <w:pPr>
        <w:jc w:val="both"/>
        <w:rPr>
          <w:rFonts w:eastAsia="Times New Roman"/>
        </w:rPr>
      </w:pPr>
      <w:r>
        <w:rPr>
          <w:rFonts w:eastAsia="Times New Roman"/>
          <w:color w:val="000000"/>
          <w:sz w:val="20"/>
          <w:szCs w:val="20"/>
        </w:rPr>
        <w:t>Homeland Security Act of 2002, the Emergency Planning and Community Right-to-Know Act, comparable state statutes and any applicable amendments. The Partnership incurs exp</w:t>
      </w:r>
      <w:r>
        <w:rPr>
          <w:rFonts w:eastAsia="Times New Roman"/>
          <w:color w:val="000000"/>
          <w:sz w:val="20"/>
          <w:szCs w:val="20"/>
        </w:rPr>
        <w:t>enses associated with compliance with its obligations under federal and state environmental laws and regulations, and we believe that the Partnership is in material compliance with its obligations. The Partnership maintains various permits that are necessa</w:t>
      </w:r>
      <w:r>
        <w:rPr>
          <w:rFonts w:eastAsia="Times New Roman"/>
          <w:color w:val="000000"/>
          <w:sz w:val="20"/>
          <w:szCs w:val="20"/>
        </w:rPr>
        <w:t>ry to operate its facilities, some of which may be material to its operations. AmeriGas Propane continually monitors its operations with respect to potential environmental issues, including changes in legal requirements.</w:t>
      </w:r>
    </w:p>
    <w:p w14:paraId="3213C9B0" w14:textId="77777777" w:rsidR="00000000" w:rsidRDefault="00C1661D">
      <w:pPr>
        <w:ind w:firstLine="270"/>
        <w:jc w:val="both"/>
        <w:rPr>
          <w:rFonts w:eastAsia="Times New Roman"/>
        </w:rPr>
      </w:pPr>
    </w:p>
    <w:p w14:paraId="3C2D40F3" w14:textId="77777777" w:rsidR="00000000" w:rsidRDefault="00C1661D">
      <w:pPr>
        <w:jc w:val="both"/>
        <w:rPr>
          <w:rFonts w:eastAsia="Times New Roman"/>
        </w:rPr>
      </w:pPr>
      <w:r>
        <w:rPr>
          <w:rFonts w:eastAsia="Times New Roman"/>
          <w:color w:val="000000"/>
          <w:sz w:val="20"/>
          <w:szCs w:val="20"/>
        </w:rPr>
        <w:t>AmeriGas Propane is investigating</w:t>
      </w:r>
      <w:r>
        <w:rPr>
          <w:rFonts w:eastAsia="Times New Roman"/>
          <w:color w:val="000000"/>
          <w:sz w:val="20"/>
          <w:szCs w:val="20"/>
        </w:rPr>
        <w:t xml:space="preserve"> and remediating contamination at a number of present and former operating sites in the U.S., including sites where its predecessor entities operated MGPs. CERCLA and similar state laws impose joint and several liability on certain classes of persons consi</w:t>
      </w:r>
      <w:r>
        <w:rPr>
          <w:rFonts w:eastAsia="Times New Roman"/>
          <w:color w:val="000000"/>
          <w:sz w:val="20"/>
          <w:szCs w:val="20"/>
        </w:rPr>
        <w:t>dered to have contributed to the release or threatened release of a “hazardous substance” into the environment without regard to fault or the legality of the original conduct. Propane is not a hazardous substance within the meaning of CERCLA.</w:t>
      </w:r>
    </w:p>
    <w:p w14:paraId="2F218637" w14:textId="77777777" w:rsidR="00000000" w:rsidRDefault="00C1661D">
      <w:pPr>
        <w:jc w:val="both"/>
        <w:rPr>
          <w:rFonts w:eastAsia="Times New Roman"/>
        </w:rPr>
      </w:pPr>
    </w:p>
    <w:p w14:paraId="3426C0F3" w14:textId="77777777" w:rsidR="00000000" w:rsidRDefault="00C1661D">
      <w:pPr>
        <w:jc w:val="both"/>
        <w:rPr>
          <w:rFonts w:eastAsia="Times New Roman"/>
        </w:rPr>
      </w:pPr>
      <w:r>
        <w:rPr>
          <w:rFonts w:eastAsia="Times New Roman"/>
          <w:color w:val="000000"/>
          <w:sz w:val="20"/>
          <w:szCs w:val="20"/>
          <w:u w:val="single"/>
        </w:rPr>
        <w:t xml:space="preserve">Health and </w:t>
      </w:r>
      <w:r>
        <w:rPr>
          <w:rFonts w:eastAsia="Times New Roman"/>
          <w:color w:val="000000"/>
          <w:sz w:val="20"/>
          <w:szCs w:val="20"/>
          <w:u w:val="single"/>
        </w:rPr>
        <w:t>Safety</w:t>
      </w:r>
    </w:p>
    <w:p w14:paraId="4DC5035E" w14:textId="77777777" w:rsidR="00000000" w:rsidRDefault="00C1661D">
      <w:pPr>
        <w:jc w:val="both"/>
        <w:divId w:val="699206913"/>
        <w:rPr>
          <w:rFonts w:eastAsia="Times New Roman"/>
        </w:rPr>
      </w:pPr>
      <w:r>
        <w:rPr>
          <w:rFonts w:eastAsia="Times New Roman"/>
          <w:color w:val="000000"/>
          <w:sz w:val="20"/>
          <w:szCs w:val="20"/>
        </w:rPr>
        <w:t xml:space="preserve">AmeriGas Propane is subject to the requirements of OSHA and comparable state laws that regulate the protection of the health and safety of our workers. These laws require the Partnership, among other things, to maintain information about materials, </w:t>
      </w:r>
      <w:r>
        <w:rPr>
          <w:rFonts w:eastAsia="Times New Roman"/>
          <w:color w:val="000000"/>
          <w:sz w:val="20"/>
          <w:szCs w:val="20"/>
        </w:rPr>
        <w:t>some of which may be hazardous or toxic, that are used, released, or produced in the course of our operations. Certain portions of this information must be provided to employees, federal and state and local governmental authorities and responders, commerci</w:t>
      </w:r>
      <w:r>
        <w:rPr>
          <w:rFonts w:eastAsia="Times New Roman"/>
          <w:color w:val="000000"/>
          <w:sz w:val="20"/>
          <w:szCs w:val="20"/>
        </w:rPr>
        <w:t>al and industrial customers and local citizens in accordance with applicable federal and state Emergency Planning and Community Right-to-Know Act requirements. AmeriGas Propane’s operations are also subject to federal safety hazard communication requiremen</w:t>
      </w:r>
      <w:r>
        <w:rPr>
          <w:rFonts w:eastAsia="Times New Roman"/>
          <w:color w:val="000000"/>
          <w:sz w:val="20"/>
          <w:szCs w:val="20"/>
        </w:rPr>
        <w:t>ts and reporting obligations.</w:t>
      </w:r>
    </w:p>
    <w:p w14:paraId="1A1F05DE" w14:textId="77777777" w:rsidR="00000000" w:rsidRDefault="00C1661D">
      <w:pPr>
        <w:jc w:val="both"/>
        <w:rPr>
          <w:rFonts w:eastAsia="Times New Roman"/>
        </w:rPr>
      </w:pPr>
    </w:p>
    <w:p w14:paraId="3330CB86" w14:textId="77777777" w:rsidR="00000000" w:rsidRDefault="00C1661D">
      <w:pPr>
        <w:jc w:val="both"/>
        <w:rPr>
          <w:rFonts w:eastAsia="Times New Roman"/>
        </w:rPr>
      </w:pPr>
      <w:r>
        <w:rPr>
          <w:rFonts w:eastAsia="Times New Roman"/>
          <w:color w:val="000000"/>
          <w:sz w:val="20"/>
          <w:szCs w:val="20"/>
        </w:rPr>
        <w:t xml:space="preserve">All states in which AmeriGas Propane operates have adopted fire safety codes that regulate the storage, distribution, and use of propane. In some states, these laws are administered by state agencies, and in others they are </w:t>
      </w:r>
      <w:r>
        <w:rPr>
          <w:rFonts w:eastAsia="Times New Roman"/>
          <w:color w:val="000000"/>
          <w:sz w:val="20"/>
          <w:szCs w:val="20"/>
        </w:rPr>
        <w:t>administered on a municipal level. AmeriGas Propane conducts training programs to help ensure that its operations are in compliance with applicable governmental regulations. With respect to general operations, AmeriGas Propane is subject in all jurisdictio</w:t>
      </w:r>
      <w:r>
        <w:rPr>
          <w:rFonts w:eastAsia="Times New Roman"/>
          <w:color w:val="000000"/>
          <w:sz w:val="20"/>
          <w:szCs w:val="20"/>
        </w:rPr>
        <w:t>ns in which it operates to rules and procedures governing the safe handling of propane, including those established by National Fire Protection Association Pamphlets No. 54 and No. 58, various state, local and international codes (including international f</w:t>
      </w:r>
      <w:r>
        <w:rPr>
          <w:rFonts w:eastAsia="Times New Roman"/>
          <w:color w:val="000000"/>
          <w:sz w:val="20"/>
          <w:szCs w:val="20"/>
        </w:rPr>
        <w:t>ire, building and fuel gas codes), and OSHA fall protection standards. Management believes that the policies and procedures currently in effect at all of its facilities for the handling, storage, distribution and use of propane, as well as its fall protect</w:t>
      </w:r>
      <w:r>
        <w:rPr>
          <w:rFonts w:eastAsia="Times New Roman"/>
          <w:color w:val="000000"/>
          <w:sz w:val="20"/>
          <w:szCs w:val="20"/>
        </w:rPr>
        <w:t>ion standards, are consistent with industry standards and are in compliance, in all material respects, with applicable laws and regulations.</w:t>
      </w:r>
    </w:p>
    <w:p w14:paraId="71FC9E28" w14:textId="77777777" w:rsidR="00000000" w:rsidRDefault="00C1661D">
      <w:pPr>
        <w:jc w:val="both"/>
        <w:rPr>
          <w:rFonts w:eastAsia="Times New Roman"/>
        </w:rPr>
      </w:pPr>
    </w:p>
    <w:p w14:paraId="034C5381" w14:textId="77777777" w:rsidR="00000000" w:rsidRDefault="00C1661D">
      <w:pPr>
        <w:jc w:val="both"/>
        <w:rPr>
          <w:rFonts w:eastAsia="Times New Roman"/>
        </w:rPr>
      </w:pPr>
      <w:r>
        <w:rPr>
          <w:rFonts w:eastAsia="Times New Roman"/>
          <w:color w:val="000000"/>
          <w:sz w:val="20"/>
          <w:szCs w:val="20"/>
        </w:rPr>
        <w:t>With respect to the transportation of propane by truck, AmeriGas Propane is subject to regulations promulgated un</w:t>
      </w:r>
      <w:r>
        <w:rPr>
          <w:rFonts w:eastAsia="Times New Roman"/>
          <w:color w:val="000000"/>
          <w:sz w:val="20"/>
          <w:szCs w:val="20"/>
        </w:rPr>
        <w:t>der federal legislation, including the Federal Motor Carrier Safety Act, the Hazardous Materials &amp; Transportation Act and the Homeland Security Act of 2002. Regulations under these statutes cover the security and transportation of hazardous materials, incl</w:t>
      </w:r>
      <w:r>
        <w:rPr>
          <w:rFonts w:eastAsia="Times New Roman"/>
          <w:color w:val="000000"/>
          <w:sz w:val="20"/>
          <w:szCs w:val="20"/>
        </w:rPr>
        <w:t>uding propane for purposes of these regulations, and are administered by the Pipeline and Hazardous Materials Safety Administration of the DOT. The Natural Gas Safety Act of 1968 required the DOT to develop and enforce minimum safety regulations for the tr</w:t>
      </w:r>
      <w:r>
        <w:rPr>
          <w:rFonts w:eastAsia="Times New Roman"/>
          <w:color w:val="000000"/>
          <w:sz w:val="20"/>
          <w:szCs w:val="20"/>
        </w:rPr>
        <w:t xml:space="preserve">ansportation of gases by pipeline. The DOT's pipeline safety regulations apply to, among other things, a propane gas system that supplies 10 or more residential customers or two or more commercial customers from a single source and to a propane gas system </w:t>
      </w:r>
      <w:r>
        <w:rPr>
          <w:rFonts w:eastAsia="Times New Roman"/>
          <w:color w:val="000000"/>
          <w:sz w:val="20"/>
          <w:szCs w:val="20"/>
        </w:rPr>
        <w:t>any portion of which is located in a public place. The DOT’s pipeline safety regulations require operators of all gas systems to provide operator qualification standards and training and written instructions for employees and third party contractors workin</w:t>
      </w:r>
      <w:r>
        <w:rPr>
          <w:rFonts w:eastAsia="Times New Roman"/>
          <w:color w:val="000000"/>
          <w:sz w:val="20"/>
          <w:szCs w:val="20"/>
        </w:rPr>
        <w:t>g on covered pipelines and facilities, establish written procedures to minimize the hazards resulting from gas pipeline emergencies, and conduct and keep records of inspections and testing. Operators are subject to the Pipeline Safety Improvement Act of 20</w:t>
      </w:r>
      <w:r>
        <w:rPr>
          <w:rFonts w:eastAsia="Times New Roman"/>
          <w:color w:val="000000"/>
          <w:sz w:val="20"/>
          <w:szCs w:val="20"/>
        </w:rPr>
        <w:t>02. Management believes that the procedures currently in effect at all of AmeriGas Propane’s facilities for the handling, storage, transportation and distribution of propane are consistent with industry standards and are in compliance, in all material resp</w:t>
      </w:r>
      <w:r>
        <w:rPr>
          <w:rFonts w:eastAsia="Times New Roman"/>
          <w:color w:val="000000"/>
          <w:sz w:val="20"/>
          <w:szCs w:val="20"/>
        </w:rPr>
        <w:t>ects, with applicable laws and regulations.</w:t>
      </w:r>
    </w:p>
    <w:p w14:paraId="222C2FCA" w14:textId="77777777" w:rsidR="00000000" w:rsidRDefault="00C1661D">
      <w:pPr>
        <w:jc w:val="both"/>
        <w:rPr>
          <w:rFonts w:eastAsia="Times New Roman"/>
        </w:rPr>
      </w:pPr>
    </w:p>
    <w:p w14:paraId="14322D82" w14:textId="77777777" w:rsidR="00000000" w:rsidRDefault="00C1661D">
      <w:pPr>
        <w:jc w:val="both"/>
        <w:rPr>
          <w:rFonts w:eastAsia="Times New Roman"/>
        </w:rPr>
      </w:pPr>
      <w:r>
        <w:rPr>
          <w:rFonts w:eastAsia="Times New Roman"/>
          <w:color w:val="000000"/>
          <w:sz w:val="20"/>
          <w:szCs w:val="20"/>
          <w:u w:val="single"/>
        </w:rPr>
        <w:t>Climate Change</w:t>
      </w:r>
    </w:p>
    <w:p w14:paraId="64088587" w14:textId="77777777" w:rsidR="00000000" w:rsidRDefault="00C1661D">
      <w:pPr>
        <w:jc w:val="both"/>
        <w:rPr>
          <w:rFonts w:eastAsia="Times New Roman"/>
        </w:rPr>
      </w:pPr>
    </w:p>
    <w:p w14:paraId="35F779D0" w14:textId="77777777" w:rsidR="00000000" w:rsidRDefault="00C1661D">
      <w:pPr>
        <w:jc w:val="both"/>
        <w:rPr>
          <w:rFonts w:eastAsia="Times New Roman"/>
        </w:rPr>
      </w:pPr>
      <w:r>
        <w:rPr>
          <w:rFonts w:eastAsia="Times New Roman"/>
          <w:color w:val="000000"/>
          <w:sz w:val="20"/>
          <w:szCs w:val="20"/>
        </w:rPr>
        <w:t>There continues to be concern, both nationally and internationally, about climate change and the contribution of GHG emissions, most notably carbon dioxide, to global warming. Because propane is considered a clean alternative fuel under the federal Clean A</w:t>
      </w:r>
      <w:r>
        <w:rPr>
          <w:rFonts w:eastAsia="Times New Roman"/>
          <w:color w:val="000000"/>
          <w:sz w:val="20"/>
          <w:szCs w:val="20"/>
        </w:rPr>
        <w:t>ir Act Amendments of 1990, the Partnership anticipates that this will provide it with a competitive advantage over other sources of energy, such as fuel oil and coal, to the extent new climate change regulations become effective. At the same time, increase</w:t>
      </w:r>
      <w:r>
        <w:rPr>
          <w:rFonts w:eastAsia="Times New Roman"/>
          <w:color w:val="000000"/>
          <w:sz w:val="20"/>
          <w:szCs w:val="20"/>
        </w:rPr>
        <w:t>d regulation of GHG emissions, especially in the transportation sector, could impose significant additional costs on AmeriGas Propane, its suppliers, its vendors and its customers. In recent years, there has been an increase in state initiatives aimed at r</w:t>
      </w:r>
      <w:r>
        <w:rPr>
          <w:rFonts w:eastAsia="Times New Roman"/>
          <w:color w:val="000000"/>
          <w:sz w:val="20"/>
          <w:szCs w:val="20"/>
        </w:rPr>
        <w:t xml:space="preserve">egulating GHG emissions. For example, the California Environmental Protection Agency established a Cap &amp; Trade program that requires certain covered entities, including propane distribution companies, to purchase allowances to </w:t>
      </w:r>
    </w:p>
    <w:p w14:paraId="7208FE5F" w14:textId="77777777" w:rsidR="00000000" w:rsidRDefault="00C1661D">
      <w:pPr>
        <w:jc w:val="center"/>
        <w:divId w:val="1543858530"/>
        <w:rPr>
          <w:rFonts w:eastAsia="Times New Roman"/>
        </w:rPr>
      </w:pPr>
      <w:r>
        <w:rPr>
          <w:rFonts w:eastAsia="Times New Roman"/>
          <w:color w:val="000000"/>
          <w:sz w:val="20"/>
          <w:szCs w:val="20"/>
        </w:rPr>
        <w:t>18</w:t>
      </w:r>
    </w:p>
    <w:p w14:paraId="5E136C3C" w14:textId="77777777" w:rsidR="00000000" w:rsidRDefault="00C1661D">
      <w:pPr>
        <w:rPr>
          <w:rFonts w:eastAsia="Times New Roman"/>
        </w:rPr>
      </w:pPr>
      <w:r>
        <w:rPr>
          <w:rFonts w:eastAsia="Times New Roman"/>
        </w:rPr>
        <w:pict w14:anchorId="29254AFB">
          <v:rect id="_x0000_i1044" style="width:0;height:1.5pt" o:hralign="center" o:hrstd="t" o:hr="t" fillcolor="#a0a0a0" stroked="f"/>
        </w:pict>
      </w:r>
    </w:p>
    <w:p w14:paraId="2A2C1F07" w14:textId="77777777" w:rsidR="00000000" w:rsidRDefault="00C1661D">
      <w:pPr>
        <w:divId w:val="1920485075"/>
        <w:rPr>
          <w:rFonts w:eastAsia="Times New Roman"/>
        </w:rPr>
      </w:pPr>
      <w:hyperlink w:anchor="i3850c3c6c0104e42b9951aac2f16098a_7" w:history="1">
        <w:r>
          <w:rPr>
            <w:rStyle w:val="a3"/>
            <w:rFonts w:eastAsia="Times New Roman"/>
            <w:b/>
            <w:bCs/>
            <w:sz w:val="20"/>
            <w:szCs w:val="20"/>
          </w:rPr>
          <w:t>Table of Contents</w:t>
        </w:r>
      </w:hyperlink>
    </w:p>
    <w:p w14:paraId="79AF123A" w14:textId="77777777" w:rsidR="00000000" w:rsidRDefault="00C1661D">
      <w:pPr>
        <w:jc w:val="both"/>
        <w:rPr>
          <w:rFonts w:eastAsia="Times New Roman"/>
        </w:rPr>
      </w:pPr>
      <w:r>
        <w:rPr>
          <w:rFonts w:eastAsia="Times New Roman"/>
          <w:color w:val="000000"/>
          <w:sz w:val="20"/>
          <w:szCs w:val="20"/>
        </w:rPr>
        <w:t xml:space="preserve">compensate for the GHG emissions created by their business operations. Compliance with these types of regulations may increase our operating costs if we are unable to pass on these costs to our customers. </w:t>
      </w:r>
    </w:p>
    <w:p w14:paraId="4C5B2E3C" w14:textId="77777777" w:rsidR="00000000" w:rsidRDefault="00C1661D">
      <w:pPr>
        <w:jc w:val="both"/>
        <w:rPr>
          <w:rFonts w:eastAsia="Times New Roman"/>
        </w:rPr>
      </w:pPr>
    </w:p>
    <w:p w14:paraId="610994AD" w14:textId="77777777" w:rsidR="00000000" w:rsidRDefault="00C1661D">
      <w:pPr>
        <w:jc w:val="both"/>
        <w:rPr>
          <w:rFonts w:eastAsia="Times New Roman"/>
        </w:rPr>
      </w:pPr>
      <w:r>
        <w:rPr>
          <w:rFonts w:eastAsia="Times New Roman"/>
          <w:b/>
          <w:bCs/>
          <w:i/>
          <w:iCs/>
          <w:color w:val="000000"/>
          <w:sz w:val="20"/>
          <w:szCs w:val="20"/>
        </w:rPr>
        <w:t>Employees</w:t>
      </w:r>
    </w:p>
    <w:p w14:paraId="4799ABBB" w14:textId="77777777" w:rsidR="00000000" w:rsidRDefault="00C1661D">
      <w:pPr>
        <w:jc w:val="both"/>
        <w:rPr>
          <w:rFonts w:eastAsia="Times New Roman"/>
        </w:rPr>
      </w:pPr>
    </w:p>
    <w:p w14:paraId="6D5DFA93" w14:textId="77777777" w:rsidR="00000000" w:rsidRDefault="00C1661D">
      <w:pPr>
        <w:jc w:val="both"/>
        <w:rPr>
          <w:rFonts w:eastAsia="Times New Roman"/>
        </w:rPr>
      </w:pPr>
      <w:r>
        <w:rPr>
          <w:rFonts w:eastAsia="Times New Roman"/>
          <w:color w:val="000000"/>
          <w:sz w:val="20"/>
          <w:szCs w:val="20"/>
        </w:rPr>
        <w:t>The Partnership does not directly em</w:t>
      </w:r>
      <w:r>
        <w:rPr>
          <w:rFonts w:eastAsia="Times New Roman"/>
          <w:color w:val="000000"/>
          <w:sz w:val="20"/>
          <w:szCs w:val="20"/>
        </w:rPr>
        <w:t>ploy any persons responsible for managing or operating the Partnership. The General Partner provides these services and is reimbursed for its direct and indirect costs and expenses, including all compensation and benefit costs. At September 30, 2022, the G</w:t>
      </w:r>
      <w:r>
        <w:rPr>
          <w:rFonts w:eastAsia="Times New Roman"/>
          <w:color w:val="000000"/>
          <w:sz w:val="20"/>
          <w:szCs w:val="20"/>
        </w:rPr>
        <w:t>eneral Partner had approximately 4,700 employees, including more than 150 part-time, seasonal and temporary employees, working on behalf of the Partnership. UGI also performs, and is reimbursed for, certain financial and administrative services on behalf o</w:t>
      </w:r>
      <w:r>
        <w:rPr>
          <w:rFonts w:eastAsia="Times New Roman"/>
          <w:color w:val="000000"/>
          <w:sz w:val="20"/>
          <w:szCs w:val="20"/>
        </w:rPr>
        <w:t>f the Partnership and AmeriGas OLP.</w:t>
      </w:r>
    </w:p>
    <w:p w14:paraId="4962CAD8" w14:textId="77777777" w:rsidR="00000000" w:rsidRDefault="00C1661D">
      <w:pPr>
        <w:jc w:val="both"/>
        <w:rPr>
          <w:rFonts w:eastAsia="Times New Roman"/>
        </w:rPr>
      </w:pPr>
    </w:p>
    <w:p w14:paraId="6E0C9A9B" w14:textId="77777777" w:rsidR="00000000" w:rsidRDefault="00C1661D">
      <w:pPr>
        <w:jc w:val="center"/>
        <w:rPr>
          <w:rFonts w:eastAsia="Times New Roman"/>
        </w:rPr>
      </w:pPr>
      <w:r>
        <w:rPr>
          <w:rFonts w:eastAsia="Times New Roman"/>
          <w:b/>
          <w:bCs/>
          <w:color w:val="000000"/>
          <w:sz w:val="20"/>
          <w:szCs w:val="20"/>
        </w:rPr>
        <w:t>UGI INTERNATIONAL</w:t>
      </w:r>
    </w:p>
    <w:p w14:paraId="749419DA" w14:textId="77777777" w:rsidR="00000000" w:rsidRDefault="00C1661D">
      <w:pPr>
        <w:jc w:val="both"/>
        <w:rPr>
          <w:rFonts w:eastAsia="Times New Roman"/>
        </w:rPr>
      </w:pPr>
    </w:p>
    <w:p w14:paraId="70B0AF9C" w14:textId="77777777" w:rsidR="00000000" w:rsidRDefault="00C1661D">
      <w:pPr>
        <w:jc w:val="both"/>
        <w:divId w:val="2131825787"/>
        <w:rPr>
          <w:rFonts w:eastAsia="Times New Roman"/>
        </w:rPr>
      </w:pPr>
      <w:r>
        <w:rPr>
          <w:rFonts w:eastAsia="Times New Roman"/>
          <w:color w:val="000000"/>
          <w:sz w:val="20"/>
          <w:szCs w:val="20"/>
        </w:rPr>
        <w:t>UGI International, through its subsidiaries and affiliates, conducts (i) an LPG distribution business in 17 countries throughout Europe (Austria, Belgium, the Czech Republic, Denmark, Finland, Franc</w:t>
      </w:r>
      <w:r>
        <w:rPr>
          <w:rFonts w:eastAsia="Times New Roman"/>
          <w:color w:val="000000"/>
          <w:sz w:val="20"/>
          <w:szCs w:val="20"/>
        </w:rPr>
        <w:t>e, Hungary, Italy, Luxembourg, the Netherlands, Norway, Poland, Romania, Slovakia, Sweden, Switzerland and the United Kingdom), and (ii) an energy marketing business in France, Belgium and the Netherlands. Based on market volumes for 2021, which is the mos</w:t>
      </w:r>
      <w:r>
        <w:rPr>
          <w:rFonts w:eastAsia="Times New Roman"/>
          <w:color w:val="000000"/>
          <w:sz w:val="20"/>
          <w:szCs w:val="20"/>
        </w:rPr>
        <w:t>t recent information available, UGI International believes that it is the largest distributor of LPG in France, Austria, Belgium, Denmark, Luxembourg and Hungary and one of the largest distributors of LPG in Norway, Poland, the Czech Republic, Slovakia, th</w:t>
      </w:r>
      <w:r>
        <w:rPr>
          <w:rFonts w:eastAsia="Times New Roman"/>
          <w:color w:val="000000"/>
          <w:sz w:val="20"/>
          <w:szCs w:val="20"/>
        </w:rPr>
        <w:t>e Netherlands and Sweden.</w:t>
      </w:r>
    </w:p>
    <w:p w14:paraId="454DF7C5" w14:textId="77777777" w:rsidR="00000000" w:rsidRDefault="00C1661D">
      <w:pPr>
        <w:jc w:val="both"/>
        <w:divId w:val="1355302516"/>
        <w:rPr>
          <w:rFonts w:eastAsia="Times New Roman"/>
        </w:rPr>
      </w:pPr>
      <w:r>
        <w:rPr>
          <w:rFonts w:eastAsia="Times New Roman"/>
          <w:b/>
          <w:bCs/>
          <w:i/>
          <w:iCs/>
          <w:color w:val="000000"/>
          <w:sz w:val="20"/>
          <w:szCs w:val="20"/>
        </w:rPr>
        <w:t>Products, Services and Marketing</w:t>
      </w:r>
      <w:r>
        <w:rPr>
          <w:rFonts w:eastAsia="Times New Roman"/>
          <w:color w:val="000000"/>
          <w:sz w:val="20"/>
          <w:szCs w:val="20"/>
        </w:rPr>
        <w:t xml:space="preserve"> </w:t>
      </w:r>
    </w:p>
    <w:p w14:paraId="5B272365" w14:textId="77777777" w:rsidR="00000000" w:rsidRDefault="00C1661D">
      <w:pPr>
        <w:jc w:val="both"/>
        <w:divId w:val="1652439394"/>
        <w:rPr>
          <w:rFonts w:eastAsia="Times New Roman"/>
        </w:rPr>
      </w:pPr>
      <w:r>
        <w:rPr>
          <w:rFonts w:eastAsia="Times New Roman"/>
          <w:color w:val="000000"/>
          <w:sz w:val="20"/>
          <w:szCs w:val="20"/>
          <w:u w:val="single"/>
        </w:rPr>
        <w:t>LPG Distribution Business</w:t>
      </w:r>
    </w:p>
    <w:p w14:paraId="0785C9F0" w14:textId="77777777" w:rsidR="00000000" w:rsidRDefault="00C1661D">
      <w:pPr>
        <w:jc w:val="both"/>
        <w:divId w:val="1883907820"/>
        <w:rPr>
          <w:rFonts w:eastAsia="Times New Roman"/>
        </w:rPr>
      </w:pPr>
      <w:r>
        <w:rPr>
          <w:rFonts w:eastAsia="Times New Roman"/>
          <w:color w:val="000000"/>
          <w:sz w:val="20"/>
          <w:szCs w:val="20"/>
        </w:rPr>
        <w:t>During Fiscal 2022, UGI International sold approximately 990 million gallons of LPG throughout Europe. UGI International operates under six distinct LPG brands, and its c</w:t>
      </w:r>
      <w:r>
        <w:rPr>
          <w:rFonts w:eastAsia="Times New Roman"/>
          <w:color w:val="000000"/>
          <w:sz w:val="20"/>
          <w:szCs w:val="20"/>
        </w:rPr>
        <w:t>ustomer base primarily consists of residential, commercial, industrial, agricultural, wholesale and automobile fuel (‘‘autogas’’) customers that use LPG for space heating, cooking, water heating, motor fuel, leisure activities, crop drying, irrigation, con</w:t>
      </w:r>
      <w:r>
        <w:rPr>
          <w:rFonts w:eastAsia="Times New Roman"/>
          <w:color w:val="000000"/>
          <w:sz w:val="20"/>
          <w:szCs w:val="20"/>
        </w:rPr>
        <w:t>struction, power generation, manufacturing and as an aerosol propellant. For Fiscal 2022, 45% of UGI International’s LPG volume was sold to commercial and industrial customers, 18% was sold to residential, 11% was sold to agricultural and 26% was sold to w</w:t>
      </w:r>
      <w:r>
        <w:rPr>
          <w:rFonts w:eastAsia="Times New Roman"/>
          <w:color w:val="000000"/>
          <w:sz w:val="20"/>
          <w:szCs w:val="20"/>
        </w:rPr>
        <w:t xml:space="preserve">holesale and other customers (including autogas). UGI International supplies LPG to its customers in small, medium and large bulk tanks at their locations. In addition to bulk sales, UGI International sells LPG in cylinders through retail outlets, such as </w:t>
      </w:r>
      <w:r>
        <w:rPr>
          <w:rFonts w:eastAsia="Times New Roman"/>
          <w:color w:val="000000"/>
          <w:sz w:val="20"/>
          <w:szCs w:val="20"/>
        </w:rPr>
        <w:t>supermarkets, individually owned stores and gas stations and directly to businesses that operate LPG-powered forklifts. Sales of LPG are also made to service stations to fuel vehicles that run on LPG. UGI International’s Fiscal 2022 LPG sales (based on vol</w:t>
      </w:r>
      <w:r>
        <w:rPr>
          <w:rFonts w:eastAsia="Times New Roman"/>
          <w:color w:val="000000"/>
          <w:sz w:val="20"/>
          <w:szCs w:val="20"/>
        </w:rPr>
        <w:t xml:space="preserve">umes) were attributed to bulk, cylinder, wholesale and autogas. For Fiscal 2022, no single customer represented more than 5% of UGI International’s revenues. </w:t>
      </w:r>
    </w:p>
    <w:p w14:paraId="32A0B369" w14:textId="77777777" w:rsidR="00000000" w:rsidRDefault="00C1661D">
      <w:pPr>
        <w:jc w:val="both"/>
        <w:divId w:val="768356044"/>
        <w:rPr>
          <w:rFonts w:eastAsia="Times New Roman"/>
        </w:rPr>
      </w:pPr>
      <w:r>
        <w:rPr>
          <w:rFonts w:eastAsia="Times New Roman"/>
          <w:i/>
          <w:iCs/>
          <w:color w:val="000000"/>
          <w:sz w:val="20"/>
          <w:szCs w:val="20"/>
        </w:rPr>
        <w:t>Bulk</w:t>
      </w:r>
    </w:p>
    <w:p w14:paraId="5A0F97F6" w14:textId="77777777" w:rsidR="00000000" w:rsidRDefault="00C1661D">
      <w:pPr>
        <w:jc w:val="both"/>
        <w:divId w:val="1648516127"/>
        <w:rPr>
          <w:rFonts w:eastAsia="Times New Roman"/>
        </w:rPr>
      </w:pPr>
      <w:r>
        <w:rPr>
          <w:rFonts w:eastAsia="Times New Roman"/>
          <w:color w:val="000000"/>
          <w:sz w:val="20"/>
          <w:szCs w:val="20"/>
        </w:rPr>
        <w:t>Approximately 62% of UGI International’s Fiscal 2022 LPG sales (based on volumes) were attri</w:t>
      </w:r>
      <w:r>
        <w:rPr>
          <w:rFonts w:eastAsia="Times New Roman"/>
          <w:color w:val="000000"/>
          <w:sz w:val="20"/>
          <w:szCs w:val="20"/>
        </w:rPr>
        <w:t xml:space="preserve">buted to bulk customers. UGI International classifies its bulk customers as small, medium or large bulk, depending upon volume consumed annually at the customer locations. Based on volumes consumed, small bulk customers are primarily residential and small </w:t>
      </w:r>
      <w:r>
        <w:rPr>
          <w:rFonts w:eastAsia="Times New Roman"/>
          <w:color w:val="000000"/>
          <w:sz w:val="20"/>
          <w:szCs w:val="20"/>
        </w:rPr>
        <w:t>business users, such as restaurants, that use LPG mainly for heating and cooking. Medium bulk customers consist mainly of large residential housing developments, hospitals, hotels, municipalities, medium-sized industrial enterprises and poultry brooders. L</w:t>
      </w:r>
      <w:r>
        <w:rPr>
          <w:rFonts w:eastAsia="Times New Roman"/>
          <w:color w:val="000000"/>
          <w:sz w:val="20"/>
          <w:szCs w:val="20"/>
        </w:rPr>
        <w:t>arge bulk customers include agricultural customers (including crop drying) and companies that use LPG in their industrial processes. UGI International had approximately 504,000 bulk LPG customers and sold 617 million gallons of bulk LPG during Fiscal 2022.</w:t>
      </w:r>
    </w:p>
    <w:p w14:paraId="2345A9E3" w14:textId="77777777" w:rsidR="00000000" w:rsidRDefault="00C1661D">
      <w:pPr>
        <w:jc w:val="both"/>
        <w:divId w:val="775060873"/>
        <w:rPr>
          <w:rFonts w:eastAsia="Times New Roman"/>
        </w:rPr>
      </w:pPr>
      <w:r>
        <w:rPr>
          <w:rFonts w:eastAsia="Times New Roman"/>
          <w:i/>
          <w:iCs/>
          <w:color w:val="000000"/>
          <w:sz w:val="20"/>
          <w:szCs w:val="20"/>
        </w:rPr>
        <w:t>Cylinder</w:t>
      </w:r>
    </w:p>
    <w:p w14:paraId="4293240F" w14:textId="77777777" w:rsidR="00000000" w:rsidRDefault="00C1661D">
      <w:pPr>
        <w:jc w:val="both"/>
        <w:divId w:val="262110519"/>
        <w:rPr>
          <w:rFonts w:eastAsia="Times New Roman"/>
        </w:rPr>
      </w:pPr>
      <w:r>
        <w:rPr>
          <w:rFonts w:eastAsia="Times New Roman"/>
          <w:color w:val="000000"/>
          <w:sz w:val="20"/>
          <w:szCs w:val="20"/>
        </w:rPr>
        <w:t xml:space="preserve">Approximately 15% of UGI International’s Fiscal 2022 LPG sales (based on volumes) were attributed to cylinder customers. UGI International sells LPG in both steel and composite cylinders and typically owns the cylinders in which the LPG is sold. </w:t>
      </w:r>
      <w:r>
        <w:rPr>
          <w:rFonts w:eastAsia="Times New Roman"/>
          <w:color w:val="000000"/>
          <w:sz w:val="20"/>
          <w:szCs w:val="20"/>
        </w:rPr>
        <w:t>The principal end-users of cylinders are residential customers who use LPG for domestic applications, such as cooking and heating. Non-residential uses include fuel for forklift trucks, road construction and welding. At September 30, 2022, UGI Internationa</w:t>
      </w:r>
      <w:r>
        <w:rPr>
          <w:rFonts w:eastAsia="Times New Roman"/>
          <w:color w:val="000000"/>
          <w:sz w:val="20"/>
          <w:szCs w:val="20"/>
        </w:rPr>
        <w:t xml:space="preserve">l had more than 20 million cylinders in circulation and sold approximately 151 million gallons of LPG in cylinders during Fiscal 2022. UGI International also delivers LPG to wholesale and retail customers in cylinders, including through the use of vending </w:t>
      </w:r>
      <w:r>
        <w:rPr>
          <w:rFonts w:eastAsia="Times New Roman"/>
          <w:color w:val="000000"/>
          <w:sz w:val="20"/>
          <w:szCs w:val="20"/>
        </w:rPr>
        <w:t>machines.</w:t>
      </w:r>
    </w:p>
    <w:p w14:paraId="21DB2EF0" w14:textId="77777777" w:rsidR="00000000" w:rsidRDefault="00C1661D">
      <w:pPr>
        <w:jc w:val="both"/>
        <w:divId w:val="1260215467"/>
        <w:rPr>
          <w:rFonts w:eastAsia="Times New Roman"/>
        </w:rPr>
      </w:pPr>
      <w:r>
        <w:rPr>
          <w:rFonts w:eastAsia="Times New Roman"/>
          <w:i/>
          <w:iCs/>
          <w:color w:val="000000"/>
          <w:sz w:val="20"/>
          <w:szCs w:val="20"/>
        </w:rPr>
        <w:t>Wholesale, Autogas and Other Services</w:t>
      </w:r>
    </w:p>
    <w:p w14:paraId="70A47EB5" w14:textId="77777777" w:rsidR="00000000" w:rsidRDefault="00C1661D">
      <w:pPr>
        <w:jc w:val="both"/>
        <w:divId w:val="757212965"/>
        <w:rPr>
          <w:rFonts w:eastAsia="Times New Roman"/>
        </w:rPr>
      </w:pPr>
      <w:r>
        <w:rPr>
          <w:rFonts w:eastAsia="Times New Roman"/>
          <w:color w:val="000000"/>
          <w:sz w:val="20"/>
          <w:szCs w:val="20"/>
        </w:rPr>
        <w:t xml:space="preserve">Approximately 19% of UGI International’s Fiscal 2022 LPG sales (based on volumes) were to wholesale customers (including small competitors and large industrial customers), and approximately 3% of Fiscal 2022 </w:t>
      </w:r>
      <w:r>
        <w:rPr>
          <w:rFonts w:eastAsia="Times New Roman"/>
          <w:color w:val="000000"/>
          <w:sz w:val="20"/>
          <w:szCs w:val="20"/>
        </w:rPr>
        <w:t xml:space="preserve">LPG sales (based on volumes) were to autogas customers. UGI International also provides logistics, storage and other services to third-party LPG distributors. </w:t>
      </w:r>
    </w:p>
    <w:p w14:paraId="719DD791" w14:textId="77777777" w:rsidR="00000000" w:rsidRDefault="00C1661D">
      <w:pPr>
        <w:jc w:val="center"/>
        <w:divId w:val="1152140920"/>
        <w:rPr>
          <w:rFonts w:eastAsia="Times New Roman"/>
        </w:rPr>
      </w:pPr>
      <w:r>
        <w:rPr>
          <w:rFonts w:eastAsia="Times New Roman"/>
          <w:color w:val="000000"/>
          <w:sz w:val="20"/>
          <w:szCs w:val="20"/>
        </w:rPr>
        <w:t>19</w:t>
      </w:r>
    </w:p>
    <w:p w14:paraId="4F63D295" w14:textId="77777777" w:rsidR="00000000" w:rsidRDefault="00C1661D">
      <w:pPr>
        <w:rPr>
          <w:rFonts w:eastAsia="Times New Roman"/>
        </w:rPr>
      </w:pPr>
      <w:r>
        <w:rPr>
          <w:rFonts w:eastAsia="Times New Roman"/>
        </w:rPr>
        <w:pict w14:anchorId="16BA43AC">
          <v:rect id="_x0000_i1045" style="width:0;height:1.5pt" o:hralign="center" o:hrstd="t" o:hr="t" fillcolor="#a0a0a0" stroked="f"/>
        </w:pict>
      </w:r>
    </w:p>
    <w:p w14:paraId="4392702D" w14:textId="77777777" w:rsidR="00000000" w:rsidRDefault="00C1661D">
      <w:pPr>
        <w:divId w:val="836188756"/>
        <w:rPr>
          <w:rFonts w:eastAsia="Times New Roman"/>
        </w:rPr>
      </w:pPr>
      <w:hyperlink w:anchor="i3850c3c6c0104e42b9951aac2f16098a_7" w:history="1">
        <w:r>
          <w:rPr>
            <w:rStyle w:val="a3"/>
            <w:rFonts w:eastAsia="Times New Roman"/>
            <w:b/>
            <w:bCs/>
            <w:sz w:val="20"/>
            <w:szCs w:val="20"/>
          </w:rPr>
          <w:t>Table of Contents</w:t>
        </w:r>
      </w:hyperlink>
    </w:p>
    <w:p w14:paraId="63E64437" w14:textId="77777777" w:rsidR="00000000" w:rsidRDefault="00C1661D">
      <w:pPr>
        <w:divId w:val="1023366617"/>
        <w:rPr>
          <w:rFonts w:eastAsia="Times New Roman"/>
        </w:rPr>
      </w:pPr>
    </w:p>
    <w:p w14:paraId="13D3D1F7" w14:textId="77777777" w:rsidR="00000000" w:rsidRDefault="00C1661D">
      <w:pPr>
        <w:jc w:val="both"/>
        <w:divId w:val="2043820557"/>
        <w:rPr>
          <w:rFonts w:eastAsia="Times New Roman"/>
        </w:rPr>
      </w:pPr>
      <w:r>
        <w:rPr>
          <w:rFonts w:eastAsia="Times New Roman"/>
          <w:color w:val="000000"/>
          <w:sz w:val="20"/>
          <w:szCs w:val="20"/>
          <w:u w:val="single"/>
        </w:rPr>
        <w:t>Energy Marketing Business</w:t>
      </w:r>
    </w:p>
    <w:p w14:paraId="402ABE5B" w14:textId="77777777" w:rsidR="00000000" w:rsidRDefault="00C1661D">
      <w:pPr>
        <w:jc w:val="both"/>
        <w:rPr>
          <w:rFonts w:eastAsia="Times New Roman"/>
        </w:rPr>
      </w:pPr>
      <w:r>
        <w:rPr>
          <w:rFonts w:eastAsia="Times New Roman"/>
          <w:color w:val="000000"/>
          <w:sz w:val="20"/>
          <w:szCs w:val="20"/>
        </w:rPr>
        <w:t>In Fiscal 2022, UGI International marketed and supplied natural gas and electricity to small and medium enterprises, schools and municipalities through third-party distribution systems in France, Belgium, the Netherlands and the United Kingdom. During Fisc</w:t>
      </w:r>
      <w:r>
        <w:rPr>
          <w:rFonts w:eastAsia="Times New Roman"/>
          <w:color w:val="000000"/>
          <w:sz w:val="20"/>
          <w:szCs w:val="20"/>
        </w:rPr>
        <w:t>al 2022, UGI International announced that it was conducting a strategic review of its energy marketing business in Europe and considering all options related to the continuation of the business, including a sale or wind-down. In October 2022, UGI Internati</w:t>
      </w:r>
      <w:r>
        <w:rPr>
          <w:rFonts w:eastAsia="Times New Roman"/>
          <w:color w:val="000000"/>
          <w:sz w:val="20"/>
          <w:szCs w:val="20"/>
        </w:rPr>
        <w:t xml:space="preserve">onal sold its energy marketing business located in the United Kingdom, and in November 2022, UGI International announced its intent to sell its energy marketing business located in France. For further information, see “Management’s Discussion and Analysis </w:t>
      </w:r>
      <w:r>
        <w:rPr>
          <w:rFonts w:eastAsia="Times New Roman"/>
          <w:color w:val="000000"/>
          <w:sz w:val="20"/>
          <w:szCs w:val="20"/>
        </w:rPr>
        <w:t>of Financial Condition and Results of Operations - Executive Overview – Recent Developments.”</w:t>
      </w:r>
    </w:p>
    <w:p w14:paraId="42D589CB" w14:textId="77777777" w:rsidR="00000000" w:rsidRDefault="00C1661D">
      <w:pPr>
        <w:divId w:val="276185509"/>
        <w:rPr>
          <w:rFonts w:eastAsia="Times New Roman"/>
        </w:rPr>
      </w:pPr>
    </w:p>
    <w:p w14:paraId="1513F755" w14:textId="77777777" w:rsidR="00000000" w:rsidRDefault="00C1661D">
      <w:pPr>
        <w:jc w:val="both"/>
        <w:divId w:val="1897737444"/>
        <w:rPr>
          <w:rFonts w:eastAsia="Times New Roman"/>
        </w:rPr>
      </w:pPr>
      <w:r>
        <w:rPr>
          <w:rFonts w:eastAsia="Times New Roman"/>
          <w:b/>
          <w:bCs/>
          <w:i/>
          <w:iCs/>
          <w:color w:val="000000"/>
          <w:sz w:val="20"/>
          <w:szCs w:val="20"/>
        </w:rPr>
        <w:t>LPG Supply, Storage and Transportation</w:t>
      </w:r>
    </w:p>
    <w:p w14:paraId="3A042F67" w14:textId="77777777" w:rsidR="00000000" w:rsidRDefault="00C1661D">
      <w:pPr>
        <w:jc w:val="both"/>
        <w:divId w:val="1084957595"/>
        <w:rPr>
          <w:rFonts w:eastAsia="Times New Roman"/>
        </w:rPr>
      </w:pPr>
      <w:r>
        <w:rPr>
          <w:rFonts w:eastAsia="Times New Roman"/>
          <w:color w:val="000000"/>
          <w:sz w:val="20"/>
          <w:szCs w:val="20"/>
        </w:rPr>
        <w:t>UGI International is typically party to term contracts, with more than 45 different suppliers, including producers and international oil and gas trading companies, to meet LPG supply requirements throughout Europe. LPG supply is transported via rail and se</w:t>
      </w:r>
      <w:r>
        <w:rPr>
          <w:rFonts w:eastAsia="Times New Roman"/>
          <w:color w:val="000000"/>
          <w:sz w:val="20"/>
          <w:szCs w:val="20"/>
        </w:rPr>
        <w:t>a, and by road for shorter distances. Agreements are generally one-year terms with pricing based on internationally quoted market prices. Additionally, LPG is purchased on the European spot markets to manage supply needs. In certain geographic areas (the U</w:t>
      </w:r>
      <w:r>
        <w:rPr>
          <w:rFonts w:eastAsia="Times New Roman"/>
          <w:color w:val="000000"/>
          <w:sz w:val="20"/>
          <w:szCs w:val="20"/>
        </w:rPr>
        <w:t>nited Kingdom), a single supplier may provide 50% or more of UGI International’s requirements. Because UGI International’s profitability is sensitive to changes in wholesale LPG costs, UGI International generally seeks to pass on increases in the cost of L</w:t>
      </w:r>
      <w:r>
        <w:rPr>
          <w:rFonts w:eastAsia="Times New Roman"/>
          <w:color w:val="000000"/>
          <w:sz w:val="20"/>
          <w:szCs w:val="20"/>
        </w:rPr>
        <w:t>PG to its customers. There can be no assurance, however, that UGI International will always be able to pass on product cost increases fully, or keep pace with such increases, particularly when product costs rise rapidly. Product cost increases can be trigg</w:t>
      </w:r>
      <w:r>
        <w:rPr>
          <w:rFonts w:eastAsia="Times New Roman"/>
          <w:color w:val="000000"/>
          <w:sz w:val="20"/>
          <w:szCs w:val="20"/>
        </w:rPr>
        <w:t xml:space="preserve">ered by periods of severe cold weather, supply interruptions, increases in the prices of base commodities such as crude oil and natural gas, or other unforeseen events. </w:t>
      </w:r>
    </w:p>
    <w:p w14:paraId="4D9B4CBF" w14:textId="77777777" w:rsidR="00000000" w:rsidRDefault="00C1661D">
      <w:pPr>
        <w:jc w:val="both"/>
        <w:rPr>
          <w:rFonts w:eastAsia="Times New Roman"/>
        </w:rPr>
      </w:pPr>
      <w:r>
        <w:rPr>
          <w:rFonts w:eastAsia="Times New Roman"/>
          <w:color w:val="000000"/>
          <w:sz w:val="20"/>
          <w:szCs w:val="20"/>
        </w:rPr>
        <w:t>During Fiscal 2022, we experienced a significant increase in natural gas prices in Eur</w:t>
      </w:r>
      <w:r>
        <w:rPr>
          <w:rFonts w:eastAsia="Times New Roman"/>
          <w:color w:val="000000"/>
          <w:sz w:val="20"/>
          <w:szCs w:val="20"/>
        </w:rPr>
        <w:t>ope due to a shortage in natural gas supply exacerbated by the war between Russia and Ukraine. The severity and longevity of reductions has been varied across the European market. Production has returned to normal at some refineries, while other refineries</w:t>
      </w:r>
      <w:r>
        <w:rPr>
          <w:rFonts w:eastAsia="Times New Roman"/>
          <w:color w:val="000000"/>
          <w:sz w:val="20"/>
          <w:szCs w:val="20"/>
        </w:rPr>
        <w:t xml:space="preserve"> continue to operate at lower rates and some have permanently ceased operations. The significant increase in European natural gas prices has resulted in refineries substituting a portion of their natural gas refinery fuels with LPG leading to a decrease in</w:t>
      </w:r>
      <w:r>
        <w:rPr>
          <w:rFonts w:eastAsia="Times New Roman"/>
          <w:color w:val="000000"/>
          <w:sz w:val="20"/>
          <w:szCs w:val="20"/>
        </w:rPr>
        <w:t xml:space="preserve"> some areas in the availability of LPG. In addition, gas processing plants supplying the United Kingdom and Norway markets are injecting LPG into the natural gas grid, decreasing the overall supply of LPG from the gas processing plants. </w:t>
      </w:r>
    </w:p>
    <w:p w14:paraId="59DC1C6B" w14:textId="77777777" w:rsidR="00000000" w:rsidRDefault="00C1661D">
      <w:pPr>
        <w:divId w:val="1937976576"/>
        <w:rPr>
          <w:rFonts w:eastAsia="Times New Roman"/>
        </w:rPr>
      </w:pPr>
    </w:p>
    <w:p w14:paraId="6C3B1753" w14:textId="77777777" w:rsidR="00000000" w:rsidRDefault="00C1661D">
      <w:pPr>
        <w:jc w:val="both"/>
        <w:rPr>
          <w:rFonts w:eastAsia="Times New Roman"/>
        </w:rPr>
      </w:pPr>
      <w:r>
        <w:rPr>
          <w:rFonts w:eastAsia="Times New Roman"/>
          <w:color w:val="000000"/>
          <w:sz w:val="20"/>
          <w:szCs w:val="20"/>
        </w:rPr>
        <w:t>UGI Internationa</w:t>
      </w:r>
      <w:r>
        <w:rPr>
          <w:rFonts w:eastAsia="Times New Roman"/>
          <w:color w:val="000000"/>
          <w:sz w:val="20"/>
          <w:szCs w:val="20"/>
        </w:rPr>
        <w:t>l stores LPG at various storage facilities and terminals located across Europe and has interests in both primary storage facilities and secondary storage facilities. LPG stored in primary storage facilities is transported to smaller storage facilities by r</w:t>
      </w:r>
      <w:r>
        <w:rPr>
          <w:rFonts w:eastAsia="Times New Roman"/>
          <w:color w:val="000000"/>
          <w:sz w:val="20"/>
          <w:szCs w:val="20"/>
        </w:rPr>
        <w:t>ail and road. At secondary storage facilities, LPG is loaded into cylinders or trucks equipped with tanks and then is delivered to customers. UGI International also manages an extensive logistics and transportation network and has access to seaborne import</w:t>
      </w:r>
      <w:r>
        <w:rPr>
          <w:rFonts w:eastAsia="Times New Roman"/>
          <w:color w:val="000000"/>
          <w:sz w:val="20"/>
          <w:szCs w:val="20"/>
        </w:rPr>
        <w:t xml:space="preserve"> facilities. </w:t>
      </w:r>
    </w:p>
    <w:p w14:paraId="31FABEEB" w14:textId="77777777" w:rsidR="00000000" w:rsidRDefault="00C1661D">
      <w:pPr>
        <w:jc w:val="both"/>
        <w:rPr>
          <w:rFonts w:eastAsia="Times New Roman"/>
        </w:rPr>
      </w:pPr>
    </w:p>
    <w:p w14:paraId="7B7B0945" w14:textId="77777777" w:rsidR="00000000" w:rsidRDefault="00C1661D">
      <w:pPr>
        <w:jc w:val="both"/>
        <w:divId w:val="1984462496"/>
        <w:rPr>
          <w:rFonts w:eastAsia="Times New Roman"/>
        </w:rPr>
      </w:pPr>
      <w:r>
        <w:rPr>
          <w:rFonts w:eastAsia="Times New Roman"/>
          <w:color w:val="000000"/>
          <w:sz w:val="20"/>
          <w:szCs w:val="20"/>
        </w:rPr>
        <w:t>UGI International transports LPG to customers primarily through outsourced transportation providers to serve both bulk and cylinder markets. UGI International has long-term relationships with many providers of logistics and transportation s</w:t>
      </w:r>
      <w:r>
        <w:rPr>
          <w:rFonts w:eastAsia="Times New Roman"/>
          <w:color w:val="000000"/>
          <w:sz w:val="20"/>
          <w:szCs w:val="20"/>
        </w:rPr>
        <w:t xml:space="preserve">ervices in most of its markets, and is not dependent on the services of any single transportation provider. </w:t>
      </w:r>
    </w:p>
    <w:p w14:paraId="3A1F9C58" w14:textId="77777777" w:rsidR="00000000" w:rsidRDefault="00C1661D">
      <w:pPr>
        <w:jc w:val="both"/>
        <w:rPr>
          <w:rFonts w:eastAsia="Times New Roman"/>
        </w:rPr>
      </w:pPr>
      <w:r>
        <w:rPr>
          <w:rFonts w:eastAsia="Times New Roman"/>
          <w:b/>
          <w:bCs/>
          <w:i/>
          <w:iCs/>
          <w:color w:val="000000"/>
          <w:sz w:val="20"/>
          <w:szCs w:val="20"/>
        </w:rPr>
        <w:t>Trade Names, Trade and Service Marks</w:t>
      </w:r>
    </w:p>
    <w:p w14:paraId="69BDB49B" w14:textId="77777777" w:rsidR="00000000" w:rsidRDefault="00C1661D">
      <w:pPr>
        <w:jc w:val="both"/>
        <w:rPr>
          <w:rFonts w:eastAsia="Times New Roman"/>
        </w:rPr>
      </w:pPr>
    </w:p>
    <w:p w14:paraId="2DC699F1" w14:textId="77777777" w:rsidR="00000000" w:rsidRDefault="00C1661D">
      <w:pPr>
        <w:jc w:val="both"/>
        <w:rPr>
          <w:rFonts w:eastAsia="Times New Roman"/>
        </w:rPr>
      </w:pPr>
      <w:r>
        <w:rPr>
          <w:rFonts w:eastAsia="Times New Roman"/>
          <w:color w:val="000000"/>
          <w:sz w:val="20"/>
          <w:szCs w:val="20"/>
        </w:rPr>
        <w:t xml:space="preserve">UGI International protects its intellectual property rights through tradenames, trade and service marks and </w:t>
      </w:r>
      <w:r>
        <w:rPr>
          <w:rFonts w:eastAsia="Times New Roman"/>
          <w:color w:val="000000"/>
          <w:sz w:val="20"/>
          <w:szCs w:val="20"/>
        </w:rPr>
        <w:t>foreign intellectual property laws. UGI International and its subsidiaries utilize a variety of tradenames, including, but not limited to, AmeriGas (Poland), Antargaz, AvantiGas, FLAGA, Kosan Gas and UniverGas, and related service marks to market its LPG p</w:t>
      </w:r>
      <w:r>
        <w:rPr>
          <w:rFonts w:eastAsia="Times New Roman"/>
          <w:color w:val="000000"/>
          <w:sz w:val="20"/>
          <w:szCs w:val="20"/>
        </w:rPr>
        <w:t>roducts and services and energy marketing services. UGI International and its subsidiaries currently have tradenames, trade and service marks registered in various countries. UGI International’s trademarks, tradenames and other proprietary rights are valua</w:t>
      </w:r>
      <w:r>
        <w:rPr>
          <w:rFonts w:eastAsia="Times New Roman"/>
          <w:color w:val="000000"/>
          <w:sz w:val="20"/>
          <w:szCs w:val="20"/>
        </w:rPr>
        <w:t>ble assets and we believe that they have significant value in the marketing of our products and services.</w:t>
      </w:r>
    </w:p>
    <w:p w14:paraId="370C8127" w14:textId="77777777" w:rsidR="00000000" w:rsidRDefault="00C1661D">
      <w:pPr>
        <w:divId w:val="1784615117"/>
        <w:rPr>
          <w:rFonts w:eastAsia="Times New Roman"/>
        </w:rPr>
      </w:pPr>
    </w:p>
    <w:p w14:paraId="75C37D65" w14:textId="77777777" w:rsidR="00000000" w:rsidRDefault="00C1661D">
      <w:pPr>
        <w:jc w:val="both"/>
        <w:divId w:val="278218117"/>
        <w:rPr>
          <w:rFonts w:eastAsia="Times New Roman"/>
        </w:rPr>
      </w:pPr>
      <w:r>
        <w:rPr>
          <w:rFonts w:eastAsia="Times New Roman"/>
          <w:b/>
          <w:bCs/>
          <w:i/>
          <w:iCs/>
          <w:color w:val="000000"/>
          <w:sz w:val="20"/>
          <w:szCs w:val="20"/>
        </w:rPr>
        <w:t>Competition and Seasonality</w:t>
      </w:r>
    </w:p>
    <w:p w14:paraId="67AE8FCA" w14:textId="77777777" w:rsidR="00000000" w:rsidRDefault="00C1661D">
      <w:pPr>
        <w:jc w:val="both"/>
        <w:rPr>
          <w:rFonts w:eastAsia="Times New Roman"/>
        </w:rPr>
      </w:pPr>
      <w:r>
        <w:rPr>
          <w:rFonts w:eastAsia="Times New Roman"/>
          <w:color w:val="000000"/>
          <w:sz w:val="20"/>
          <w:szCs w:val="20"/>
        </w:rPr>
        <w:t xml:space="preserve">The LPG markets in western and northern Europe are mature, with modest declines in total demand due to competition with </w:t>
      </w:r>
      <w:r>
        <w:rPr>
          <w:rFonts w:eastAsia="Times New Roman"/>
          <w:color w:val="000000"/>
          <w:sz w:val="20"/>
          <w:szCs w:val="20"/>
        </w:rPr>
        <w:t>other fossil fuels and other energy sources, conservation and macroeconomic conditions. Sales volumes are affected principally by the severity of the weather and customer migration to alternative energy forms, including natural gas, electricity, heating oi</w:t>
      </w:r>
      <w:r>
        <w:rPr>
          <w:rFonts w:eastAsia="Times New Roman"/>
          <w:color w:val="000000"/>
          <w:sz w:val="20"/>
          <w:szCs w:val="20"/>
        </w:rPr>
        <w:t>l and wood. High LPG prices also may result in slower than expected growth due to customer conservation and customers seeking less expensive alternative energy sources. Conversely, high natural gas prices versus LPG prices over a period of time will result</w:t>
      </w:r>
      <w:r>
        <w:rPr>
          <w:rFonts w:eastAsia="Times New Roman"/>
          <w:color w:val="000000"/>
          <w:sz w:val="20"/>
          <w:szCs w:val="20"/>
        </w:rPr>
        <w:t xml:space="preserve"> in customers seeking to migrate to LPG.</w:t>
      </w:r>
      <w:r>
        <w:rPr>
          <w:rFonts w:eastAsia="Times New Roman"/>
          <w:color w:val="FF0000"/>
        </w:rPr>
        <w:t xml:space="preserve"> </w:t>
      </w:r>
      <w:r>
        <w:rPr>
          <w:rFonts w:eastAsia="Times New Roman"/>
          <w:color w:val="000000"/>
          <w:sz w:val="20"/>
          <w:szCs w:val="20"/>
        </w:rPr>
        <w:t>In addition, government policies and incentives that favor alternative energy sources, such as heat pumps as well as wind and solar sources, can result in customers migrating to energy sources other than LPG. In add</w:t>
      </w:r>
      <w:r>
        <w:rPr>
          <w:rFonts w:eastAsia="Times New Roman"/>
          <w:color w:val="000000"/>
          <w:sz w:val="20"/>
          <w:szCs w:val="20"/>
        </w:rPr>
        <w:t xml:space="preserve">ition to price, UGI International competes for customers in its various markets based on contract terms. UGI </w:t>
      </w:r>
    </w:p>
    <w:p w14:paraId="2ECF1B37" w14:textId="77777777" w:rsidR="00000000" w:rsidRDefault="00C1661D">
      <w:pPr>
        <w:jc w:val="center"/>
        <w:divId w:val="637953088"/>
        <w:rPr>
          <w:rFonts w:eastAsia="Times New Roman"/>
        </w:rPr>
      </w:pPr>
      <w:r>
        <w:rPr>
          <w:rFonts w:eastAsia="Times New Roman"/>
          <w:color w:val="000000"/>
          <w:sz w:val="20"/>
          <w:szCs w:val="20"/>
        </w:rPr>
        <w:t>20</w:t>
      </w:r>
    </w:p>
    <w:p w14:paraId="5A53D6DC" w14:textId="77777777" w:rsidR="00000000" w:rsidRDefault="00C1661D">
      <w:pPr>
        <w:rPr>
          <w:rFonts w:eastAsia="Times New Roman"/>
        </w:rPr>
      </w:pPr>
      <w:r>
        <w:rPr>
          <w:rFonts w:eastAsia="Times New Roman"/>
        </w:rPr>
        <w:pict w14:anchorId="02C2D1B7">
          <v:rect id="_x0000_i1046" style="width:0;height:1.5pt" o:hralign="center" o:hrstd="t" o:hr="t" fillcolor="#a0a0a0" stroked="f"/>
        </w:pict>
      </w:r>
    </w:p>
    <w:p w14:paraId="5D669381" w14:textId="77777777" w:rsidR="00000000" w:rsidRDefault="00C1661D">
      <w:pPr>
        <w:divId w:val="904072523"/>
        <w:rPr>
          <w:rFonts w:eastAsia="Times New Roman"/>
        </w:rPr>
      </w:pPr>
      <w:hyperlink w:anchor="i3850c3c6c0104e42b9951aac2f16098a_7" w:history="1">
        <w:r>
          <w:rPr>
            <w:rStyle w:val="a3"/>
            <w:rFonts w:eastAsia="Times New Roman"/>
            <w:b/>
            <w:bCs/>
            <w:sz w:val="20"/>
            <w:szCs w:val="20"/>
          </w:rPr>
          <w:t>Table of Contents</w:t>
        </w:r>
      </w:hyperlink>
    </w:p>
    <w:p w14:paraId="4335B70C" w14:textId="77777777" w:rsidR="00000000" w:rsidRDefault="00C1661D">
      <w:pPr>
        <w:jc w:val="both"/>
        <w:rPr>
          <w:rFonts w:eastAsia="Times New Roman"/>
        </w:rPr>
      </w:pPr>
      <w:r>
        <w:rPr>
          <w:rFonts w:eastAsia="Times New Roman"/>
          <w:color w:val="000000"/>
          <w:sz w:val="20"/>
          <w:szCs w:val="20"/>
        </w:rPr>
        <w:t>International competes locally</w:t>
      </w:r>
      <w:r>
        <w:rPr>
          <w:rFonts w:eastAsia="Times New Roman"/>
          <w:color w:val="000000"/>
          <w:sz w:val="20"/>
          <w:szCs w:val="20"/>
        </w:rPr>
        <w:t xml:space="preserve"> as well as regionally in many of its service territories. Additionally, particularly in France, although UGI International supplies certain supermarket chains, it also competes with some of these supermarket chains that affiliate with LPG distributors to </w:t>
      </w:r>
      <w:r>
        <w:rPr>
          <w:rFonts w:eastAsia="Times New Roman"/>
          <w:color w:val="000000"/>
          <w:sz w:val="20"/>
          <w:szCs w:val="20"/>
        </w:rPr>
        <w:t xml:space="preserve">offer their own brands of cylinders. UGI International seeks to increase demand for its LPG cylinders through marketing and product innovations, such as the use of automatic vending machines. </w:t>
      </w:r>
    </w:p>
    <w:p w14:paraId="7EBC1282" w14:textId="77777777" w:rsidR="00000000" w:rsidRDefault="00C1661D">
      <w:pPr>
        <w:jc w:val="both"/>
        <w:rPr>
          <w:rFonts w:eastAsia="Times New Roman"/>
        </w:rPr>
      </w:pPr>
    </w:p>
    <w:p w14:paraId="101F0C8D" w14:textId="77777777" w:rsidR="00000000" w:rsidRDefault="00C1661D">
      <w:pPr>
        <w:jc w:val="both"/>
        <w:rPr>
          <w:rFonts w:eastAsia="Times New Roman"/>
        </w:rPr>
      </w:pPr>
      <w:r>
        <w:rPr>
          <w:rFonts w:eastAsia="Times New Roman"/>
          <w:color w:val="000000"/>
          <w:sz w:val="20"/>
          <w:szCs w:val="20"/>
        </w:rPr>
        <w:t xml:space="preserve">In its energy marketing business, UGI International competes </w:t>
      </w:r>
      <w:r>
        <w:rPr>
          <w:rFonts w:eastAsia="Times New Roman"/>
          <w:color w:val="000000"/>
          <w:sz w:val="20"/>
          <w:szCs w:val="20"/>
        </w:rPr>
        <w:t>against small- and medium-sized enterprise providers of natural gas and electricity in four countries in Europe where the markets have been deregulated for at least ten years. The recent geopolitical events in Europe have substantially impacted the natural</w:t>
      </w:r>
      <w:r>
        <w:rPr>
          <w:rFonts w:eastAsia="Times New Roman"/>
          <w:color w:val="000000"/>
          <w:sz w:val="20"/>
          <w:szCs w:val="20"/>
        </w:rPr>
        <w:t xml:space="preserve"> gas and electricity markets during Fiscal 2022, with unprecedented price increases and volatility affecting the whole sector. </w:t>
      </w:r>
    </w:p>
    <w:p w14:paraId="12313280" w14:textId="77777777" w:rsidR="00000000" w:rsidRDefault="00C1661D">
      <w:pPr>
        <w:divId w:val="960183457"/>
        <w:rPr>
          <w:rFonts w:eastAsia="Times New Roman"/>
        </w:rPr>
      </w:pPr>
    </w:p>
    <w:p w14:paraId="046B1199" w14:textId="77777777" w:rsidR="00000000" w:rsidRDefault="00C1661D">
      <w:pPr>
        <w:jc w:val="both"/>
        <w:divId w:val="279578352"/>
        <w:rPr>
          <w:rFonts w:eastAsia="Times New Roman"/>
        </w:rPr>
      </w:pPr>
      <w:r>
        <w:rPr>
          <w:rFonts w:eastAsia="Times New Roman"/>
          <w:color w:val="000000"/>
          <w:sz w:val="20"/>
          <w:szCs w:val="20"/>
        </w:rPr>
        <w:t>Because many of UGI International’s customers use LPG for heating, sales volume is affected principally by the severity of the</w:t>
      </w:r>
      <w:r>
        <w:rPr>
          <w:rFonts w:eastAsia="Times New Roman"/>
          <w:color w:val="000000"/>
          <w:sz w:val="20"/>
          <w:szCs w:val="20"/>
        </w:rPr>
        <w:t xml:space="preserve"> temperatures during the heating season months and traditionally fluctuates from year-to-year in response to variations in weather, prices and other factors, such as conservation efforts and the economic environment. During Fiscal 2022, approximately 62% o</w:t>
      </w:r>
      <w:r>
        <w:rPr>
          <w:rFonts w:eastAsia="Times New Roman"/>
          <w:color w:val="000000"/>
          <w:sz w:val="20"/>
          <w:szCs w:val="20"/>
        </w:rPr>
        <w:t>f UGI International’s retail sales volume occurred during the peak heating season from October through March. As a result of this seasonality, revenues are typically higher in UGI International’s first and second fiscal quarters (October 1 through March 31</w:t>
      </w:r>
      <w:r>
        <w:rPr>
          <w:rFonts w:eastAsia="Times New Roman"/>
          <w:color w:val="000000"/>
          <w:sz w:val="20"/>
          <w:szCs w:val="20"/>
        </w:rPr>
        <w:t>). For historical information on weather statistics for UGI International, see ‘‘Management’s Discussion and Analysis of Financial Condition and Results of Operations”.</w:t>
      </w:r>
    </w:p>
    <w:p w14:paraId="1A8EDDCC" w14:textId="77777777" w:rsidR="00000000" w:rsidRDefault="00C1661D">
      <w:pPr>
        <w:jc w:val="both"/>
        <w:divId w:val="612638919"/>
        <w:rPr>
          <w:rFonts w:eastAsia="Times New Roman"/>
        </w:rPr>
      </w:pPr>
      <w:r>
        <w:rPr>
          <w:rFonts w:eastAsia="Times New Roman"/>
          <w:b/>
          <w:bCs/>
          <w:i/>
          <w:iCs/>
          <w:color w:val="000000"/>
          <w:sz w:val="20"/>
          <w:szCs w:val="20"/>
        </w:rPr>
        <w:t>Government Regulation</w:t>
      </w:r>
      <w:r>
        <w:rPr>
          <w:rFonts w:eastAsia="Times New Roman"/>
          <w:color w:val="000000"/>
          <w:sz w:val="20"/>
          <w:szCs w:val="20"/>
        </w:rPr>
        <w:t xml:space="preserve"> </w:t>
      </w:r>
    </w:p>
    <w:p w14:paraId="75DF8BF6" w14:textId="77777777" w:rsidR="00000000" w:rsidRDefault="00C1661D">
      <w:pPr>
        <w:jc w:val="both"/>
        <w:divId w:val="222065011"/>
        <w:rPr>
          <w:rFonts w:eastAsia="Times New Roman"/>
        </w:rPr>
      </w:pPr>
      <w:r>
        <w:rPr>
          <w:rFonts w:eastAsia="Times New Roman"/>
          <w:color w:val="000000"/>
          <w:sz w:val="20"/>
          <w:szCs w:val="20"/>
        </w:rPr>
        <w:t>UGI International’s business is subject to various laws and regu</w:t>
      </w:r>
      <w:r>
        <w:rPr>
          <w:rFonts w:eastAsia="Times New Roman"/>
          <w:color w:val="000000"/>
          <w:sz w:val="20"/>
          <w:szCs w:val="20"/>
        </w:rPr>
        <w:t>lations at the country and local levels, as well as at the EU level, with respect to matters such as protection of the environment, the storage, transportation and handling of hazardous materials and flammable substances (including the Seveso II Directive)</w:t>
      </w:r>
      <w:r>
        <w:rPr>
          <w:rFonts w:eastAsia="Times New Roman"/>
          <w:color w:val="000000"/>
          <w:sz w:val="20"/>
          <w:szCs w:val="20"/>
        </w:rPr>
        <w:t xml:space="preserve">, regulations specific to bulk tanks, cylinders and piped networks, competition, pricing, regulation of contract terms, anti-corruption (including the U.S. Foreign Corrupt Practices Act, Sapin II and the U.K. Bribery Act), data privacy and protection, and </w:t>
      </w:r>
      <w:r>
        <w:rPr>
          <w:rFonts w:eastAsia="Times New Roman"/>
          <w:color w:val="000000"/>
          <w:sz w:val="20"/>
          <w:szCs w:val="20"/>
        </w:rPr>
        <w:t>the safety of persons and property.</w:t>
      </w:r>
    </w:p>
    <w:p w14:paraId="1C0946B1" w14:textId="77777777" w:rsidR="00000000" w:rsidRDefault="00C1661D">
      <w:pPr>
        <w:jc w:val="both"/>
        <w:divId w:val="1767388556"/>
        <w:rPr>
          <w:rFonts w:eastAsia="Times New Roman"/>
        </w:rPr>
      </w:pPr>
      <w:r>
        <w:rPr>
          <w:rFonts w:eastAsia="Times New Roman"/>
          <w:color w:val="000000"/>
          <w:sz w:val="20"/>
          <w:szCs w:val="20"/>
          <w:u w:val="single"/>
        </w:rPr>
        <w:t xml:space="preserve">Environmental </w:t>
      </w:r>
    </w:p>
    <w:p w14:paraId="2AE9C48D" w14:textId="77777777" w:rsidR="00000000" w:rsidRDefault="00C1661D">
      <w:pPr>
        <w:jc w:val="both"/>
        <w:divId w:val="1299997801"/>
        <w:rPr>
          <w:rFonts w:eastAsia="Times New Roman"/>
        </w:rPr>
      </w:pPr>
      <w:r>
        <w:rPr>
          <w:rFonts w:eastAsia="Times New Roman"/>
          <w:color w:val="000000"/>
          <w:sz w:val="20"/>
          <w:szCs w:val="20"/>
        </w:rPr>
        <w:t>Environmental laws and regulations may require expenditures over a long timeframe to control environmental effects. Estimates of liabilities for environmental response costs are difficult to determine with</w:t>
      </w:r>
      <w:r>
        <w:rPr>
          <w:rFonts w:eastAsia="Times New Roman"/>
          <w:color w:val="000000"/>
          <w:sz w:val="20"/>
          <w:szCs w:val="20"/>
        </w:rPr>
        <w:t xml:space="preserve"> precision because of the various factors that can affect their ultimate level. These factors include, but are not limited to, the following: (i) the complexity of the site; (ii) changes in environmental laws and regulations; (iii) the number of regulatory</w:t>
      </w:r>
      <w:r>
        <w:rPr>
          <w:rFonts w:eastAsia="Times New Roman"/>
          <w:color w:val="000000"/>
          <w:sz w:val="20"/>
          <w:szCs w:val="20"/>
        </w:rPr>
        <w:t xml:space="preserve"> agencies or other parties involved; (iv) new technology that renders previous technology obsolete or experience with existing technology that proves ineffective; (v) the level of remediation required; and (vi) variation between the estimated and actual pe</w:t>
      </w:r>
      <w:r>
        <w:rPr>
          <w:rFonts w:eastAsia="Times New Roman"/>
          <w:color w:val="000000"/>
          <w:sz w:val="20"/>
          <w:szCs w:val="20"/>
        </w:rPr>
        <w:t>riod of time required to respond to an environmentally-contaminated site.</w:t>
      </w:r>
    </w:p>
    <w:p w14:paraId="65261D4D" w14:textId="77777777" w:rsidR="00000000" w:rsidRDefault="00C1661D">
      <w:pPr>
        <w:jc w:val="both"/>
        <w:rPr>
          <w:rFonts w:eastAsia="Times New Roman"/>
        </w:rPr>
      </w:pPr>
      <w:r>
        <w:rPr>
          <w:rFonts w:eastAsia="Times New Roman"/>
          <w:color w:val="000000"/>
          <w:sz w:val="20"/>
          <w:szCs w:val="20"/>
          <w:u w:val="single"/>
        </w:rPr>
        <w:t>EU Carbon Neutral Target</w:t>
      </w:r>
    </w:p>
    <w:p w14:paraId="023F0923" w14:textId="77777777" w:rsidR="00000000" w:rsidRDefault="00C1661D">
      <w:pPr>
        <w:divId w:val="657804189"/>
        <w:rPr>
          <w:rFonts w:eastAsia="Times New Roman"/>
        </w:rPr>
      </w:pPr>
    </w:p>
    <w:p w14:paraId="474E4859" w14:textId="77777777" w:rsidR="00000000" w:rsidRDefault="00C1661D">
      <w:pPr>
        <w:jc w:val="both"/>
        <w:rPr>
          <w:rFonts w:eastAsia="Times New Roman"/>
        </w:rPr>
      </w:pPr>
      <w:r>
        <w:rPr>
          <w:rFonts w:eastAsia="Times New Roman"/>
          <w:color w:val="000000"/>
          <w:sz w:val="20"/>
          <w:szCs w:val="20"/>
        </w:rPr>
        <w:t>In December 2019, EU leaders endorsed the objective of achieving a climate-neutral EU by 2050, with net-zero GHG emissions, and in July 2021, the European Commission adopted the European Climate Law to write this target into the law. The European Climate L</w:t>
      </w:r>
      <w:r>
        <w:rPr>
          <w:rFonts w:eastAsia="Times New Roman"/>
          <w:color w:val="000000"/>
          <w:sz w:val="20"/>
          <w:szCs w:val="20"/>
        </w:rPr>
        <w:t>aw also includes a 2030 GHG reduction target of at least 55% below 1990 levels as an intermediate target. These targets are legally binding and based on an impact assessment conducted by the Commission.</w:t>
      </w:r>
    </w:p>
    <w:p w14:paraId="213A66DD" w14:textId="77777777" w:rsidR="00000000" w:rsidRDefault="00C1661D">
      <w:pPr>
        <w:divId w:val="1509950950"/>
        <w:rPr>
          <w:rFonts w:eastAsia="Times New Roman"/>
        </w:rPr>
      </w:pPr>
    </w:p>
    <w:p w14:paraId="5888DF4F" w14:textId="77777777" w:rsidR="00000000" w:rsidRDefault="00C1661D">
      <w:pPr>
        <w:jc w:val="both"/>
        <w:divId w:val="1436637495"/>
        <w:rPr>
          <w:rFonts w:eastAsia="Times New Roman"/>
        </w:rPr>
      </w:pPr>
      <w:r>
        <w:rPr>
          <w:rFonts w:eastAsia="Times New Roman"/>
          <w:color w:val="000000"/>
          <w:sz w:val="20"/>
          <w:szCs w:val="20"/>
          <w:u w:val="single"/>
        </w:rPr>
        <w:t>Data Privacy</w:t>
      </w:r>
      <w:r>
        <w:rPr>
          <w:rFonts w:eastAsia="Times New Roman"/>
          <w:color w:val="000000"/>
          <w:sz w:val="20"/>
          <w:szCs w:val="20"/>
        </w:rPr>
        <w:t xml:space="preserve"> </w:t>
      </w:r>
    </w:p>
    <w:p w14:paraId="15EBCE4A" w14:textId="77777777" w:rsidR="00000000" w:rsidRDefault="00C1661D">
      <w:pPr>
        <w:jc w:val="both"/>
        <w:divId w:val="688138980"/>
        <w:rPr>
          <w:rFonts w:eastAsia="Times New Roman"/>
        </w:rPr>
      </w:pPr>
      <w:r>
        <w:rPr>
          <w:rFonts w:eastAsia="Times New Roman"/>
          <w:color w:val="000000"/>
          <w:sz w:val="20"/>
          <w:szCs w:val="20"/>
        </w:rPr>
        <w:t>The EU adopted the GDPR, which became</w:t>
      </w:r>
      <w:r>
        <w:rPr>
          <w:rFonts w:eastAsia="Times New Roman"/>
          <w:color w:val="000000"/>
          <w:sz w:val="20"/>
          <w:szCs w:val="20"/>
        </w:rPr>
        <w:t xml:space="preserve"> effective in May 2018. The GDPR expanded the EU data protection laws to all companies processing data of EU residents. It primarily focuses on unifying and strengthening the regulations dealing with the collection, processing, use and security of personal</w:t>
      </w:r>
      <w:r>
        <w:rPr>
          <w:rFonts w:eastAsia="Times New Roman"/>
          <w:color w:val="000000"/>
          <w:sz w:val="20"/>
          <w:szCs w:val="20"/>
        </w:rPr>
        <w:t xml:space="preserve"> and sensitive data.</w:t>
      </w:r>
    </w:p>
    <w:p w14:paraId="1255B8A3" w14:textId="77777777" w:rsidR="00000000" w:rsidRDefault="00C1661D">
      <w:pPr>
        <w:jc w:val="both"/>
        <w:divId w:val="218170145"/>
        <w:rPr>
          <w:rFonts w:eastAsia="Times New Roman"/>
        </w:rPr>
      </w:pPr>
      <w:r>
        <w:rPr>
          <w:rFonts w:eastAsia="Times New Roman"/>
          <w:b/>
          <w:bCs/>
          <w:i/>
          <w:iCs/>
          <w:color w:val="000000"/>
          <w:sz w:val="20"/>
          <w:szCs w:val="20"/>
        </w:rPr>
        <w:t>Properties</w:t>
      </w:r>
      <w:r>
        <w:rPr>
          <w:rFonts w:eastAsia="Times New Roman"/>
          <w:color w:val="000000"/>
          <w:sz w:val="20"/>
          <w:szCs w:val="20"/>
        </w:rPr>
        <w:t xml:space="preserve"> </w:t>
      </w:r>
    </w:p>
    <w:p w14:paraId="7D991130" w14:textId="77777777" w:rsidR="00000000" w:rsidRDefault="00C1661D">
      <w:pPr>
        <w:jc w:val="both"/>
        <w:divId w:val="340741562"/>
        <w:rPr>
          <w:rFonts w:eastAsia="Times New Roman"/>
        </w:rPr>
      </w:pPr>
      <w:r>
        <w:rPr>
          <w:rFonts w:eastAsia="Times New Roman"/>
          <w:color w:val="000000"/>
          <w:sz w:val="20"/>
          <w:szCs w:val="20"/>
        </w:rPr>
        <w:t>In addition to regional headquarter locations and sales offices throughout its service territory, UGI International has interests in ten primary storage facilities and more than 80 secondary storage facilities.</w:t>
      </w:r>
    </w:p>
    <w:p w14:paraId="743565AE" w14:textId="77777777" w:rsidR="00000000" w:rsidRDefault="00C1661D">
      <w:pPr>
        <w:jc w:val="both"/>
        <w:divId w:val="1773865131"/>
        <w:rPr>
          <w:rFonts w:eastAsia="Times New Roman"/>
        </w:rPr>
      </w:pPr>
      <w:r>
        <w:rPr>
          <w:rFonts w:eastAsia="Times New Roman"/>
          <w:b/>
          <w:bCs/>
          <w:i/>
          <w:iCs/>
          <w:color w:val="000000"/>
          <w:sz w:val="20"/>
          <w:szCs w:val="20"/>
        </w:rPr>
        <w:t>Employees</w:t>
      </w:r>
    </w:p>
    <w:p w14:paraId="3F8ABF2B" w14:textId="77777777" w:rsidR="00000000" w:rsidRDefault="00C1661D">
      <w:pPr>
        <w:jc w:val="both"/>
        <w:rPr>
          <w:rFonts w:eastAsia="Times New Roman"/>
        </w:rPr>
      </w:pPr>
      <w:r>
        <w:rPr>
          <w:rFonts w:eastAsia="Times New Roman"/>
          <w:color w:val="000000"/>
          <w:sz w:val="20"/>
          <w:szCs w:val="20"/>
        </w:rPr>
        <w:t>At September 30, 2022, UGI Internat</w:t>
      </w:r>
      <w:r>
        <w:rPr>
          <w:rFonts w:eastAsia="Times New Roman"/>
          <w:color w:val="000000"/>
          <w:sz w:val="20"/>
          <w:szCs w:val="20"/>
        </w:rPr>
        <w:t>ional had approximately 2,600 employees.</w:t>
      </w:r>
    </w:p>
    <w:p w14:paraId="48D4B14F" w14:textId="77777777" w:rsidR="00000000" w:rsidRDefault="00C1661D">
      <w:pPr>
        <w:jc w:val="both"/>
        <w:rPr>
          <w:rFonts w:eastAsia="Times New Roman"/>
        </w:rPr>
      </w:pPr>
    </w:p>
    <w:p w14:paraId="22A2F1A0" w14:textId="77777777" w:rsidR="00000000" w:rsidRDefault="00C1661D">
      <w:pPr>
        <w:ind w:firstLine="495"/>
        <w:jc w:val="both"/>
        <w:rPr>
          <w:rFonts w:eastAsia="Times New Roman"/>
        </w:rPr>
      </w:pPr>
    </w:p>
    <w:p w14:paraId="601C5D5E" w14:textId="77777777" w:rsidR="00000000" w:rsidRDefault="00C1661D">
      <w:pPr>
        <w:jc w:val="center"/>
        <w:divId w:val="482476596"/>
        <w:rPr>
          <w:rFonts w:eastAsia="Times New Roman"/>
        </w:rPr>
      </w:pPr>
      <w:r>
        <w:rPr>
          <w:rFonts w:eastAsia="Times New Roman"/>
          <w:color w:val="000000"/>
          <w:sz w:val="20"/>
          <w:szCs w:val="20"/>
        </w:rPr>
        <w:t>21</w:t>
      </w:r>
    </w:p>
    <w:p w14:paraId="3B36BB9C" w14:textId="77777777" w:rsidR="00000000" w:rsidRDefault="00C1661D">
      <w:pPr>
        <w:rPr>
          <w:rFonts w:eastAsia="Times New Roman"/>
        </w:rPr>
      </w:pPr>
      <w:r>
        <w:rPr>
          <w:rFonts w:eastAsia="Times New Roman"/>
        </w:rPr>
        <w:pict w14:anchorId="06F3FDC0">
          <v:rect id="_x0000_i1047" style="width:0;height:1.5pt" o:hralign="center" o:hrstd="t" o:hr="t" fillcolor="#a0a0a0" stroked="f"/>
        </w:pict>
      </w:r>
    </w:p>
    <w:p w14:paraId="3DC82F0E" w14:textId="77777777" w:rsidR="00000000" w:rsidRDefault="00C1661D">
      <w:pPr>
        <w:divId w:val="399521080"/>
        <w:rPr>
          <w:rFonts w:eastAsia="Times New Roman"/>
        </w:rPr>
      </w:pPr>
      <w:hyperlink w:anchor="i3850c3c6c0104e42b9951aac2f16098a_7" w:history="1">
        <w:r>
          <w:rPr>
            <w:rStyle w:val="a3"/>
            <w:rFonts w:eastAsia="Times New Roman"/>
            <w:b/>
            <w:bCs/>
            <w:sz w:val="20"/>
            <w:szCs w:val="20"/>
          </w:rPr>
          <w:t>Table of Contents</w:t>
        </w:r>
      </w:hyperlink>
    </w:p>
    <w:p w14:paraId="43C20EB1" w14:textId="77777777" w:rsidR="00000000" w:rsidRDefault="00C1661D">
      <w:pPr>
        <w:jc w:val="center"/>
        <w:rPr>
          <w:rFonts w:eastAsia="Times New Roman"/>
        </w:rPr>
      </w:pPr>
      <w:r>
        <w:rPr>
          <w:rFonts w:eastAsia="Times New Roman"/>
          <w:b/>
          <w:bCs/>
          <w:color w:val="000000"/>
          <w:sz w:val="20"/>
          <w:szCs w:val="20"/>
        </w:rPr>
        <w:t>MIDSTREAM &amp; MARKETING</w:t>
      </w:r>
    </w:p>
    <w:p w14:paraId="06BA77A4" w14:textId="77777777" w:rsidR="00000000" w:rsidRDefault="00C1661D">
      <w:pPr>
        <w:jc w:val="center"/>
        <w:rPr>
          <w:rFonts w:eastAsia="Times New Roman"/>
        </w:rPr>
      </w:pPr>
    </w:p>
    <w:p w14:paraId="3A8C922A" w14:textId="77777777" w:rsidR="00000000" w:rsidRDefault="00C1661D">
      <w:pPr>
        <w:jc w:val="both"/>
        <w:rPr>
          <w:rFonts w:eastAsia="Times New Roman"/>
        </w:rPr>
      </w:pPr>
      <w:r>
        <w:rPr>
          <w:rFonts w:eastAsia="Times New Roman"/>
          <w:b/>
          <w:bCs/>
          <w:i/>
          <w:iCs/>
          <w:color w:val="000000"/>
          <w:sz w:val="20"/>
          <w:szCs w:val="20"/>
        </w:rPr>
        <w:t>Retail Energy Marketing</w:t>
      </w:r>
    </w:p>
    <w:p w14:paraId="3DD028F4" w14:textId="77777777" w:rsidR="00000000" w:rsidRDefault="00C1661D">
      <w:pPr>
        <w:jc w:val="both"/>
        <w:rPr>
          <w:rFonts w:eastAsia="Times New Roman"/>
        </w:rPr>
      </w:pPr>
    </w:p>
    <w:p w14:paraId="75BFEE5B" w14:textId="77777777" w:rsidR="00000000" w:rsidRDefault="00C1661D">
      <w:pPr>
        <w:jc w:val="both"/>
        <w:rPr>
          <w:rFonts w:eastAsia="Times New Roman"/>
        </w:rPr>
      </w:pPr>
      <w:r>
        <w:rPr>
          <w:rFonts w:eastAsia="Times New Roman"/>
          <w:color w:val="000000"/>
          <w:sz w:val="20"/>
          <w:szCs w:val="20"/>
        </w:rPr>
        <w:t>Our retail energy marketing business is conduc</w:t>
      </w:r>
      <w:r>
        <w:rPr>
          <w:rFonts w:eastAsia="Times New Roman"/>
          <w:color w:val="000000"/>
          <w:sz w:val="20"/>
          <w:szCs w:val="20"/>
        </w:rPr>
        <w:t xml:space="preserve">ted through Energy Services and its subsidiaries and sells natural gas, RNG, liquid fuels and electricity to approximately 12,400 residential, commercial and industrial customers at approximately 42,000 locations. We (i) serve customers in all or portions </w:t>
      </w:r>
      <w:r>
        <w:rPr>
          <w:rFonts w:eastAsia="Times New Roman"/>
          <w:color w:val="000000"/>
          <w:sz w:val="20"/>
          <w:szCs w:val="20"/>
        </w:rPr>
        <w:t xml:space="preserve">of Pennsylvania, New Jersey, Delaware, New York, Ohio, Maryland, Virginia, North Carolina, South Carolina, Massachusetts, New Hampshire, Rhode Island, California and the District of Columbia, (ii) distribute natural gas through the use of the distribution </w:t>
      </w:r>
      <w:r>
        <w:rPr>
          <w:rFonts w:eastAsia="Times New Roman"/>
          <w:color w:val="000000"/>
          <w:sz w:val="20"/>
          <w:szCs w:val="20"/>
        </w:rPr>
        <w:t xml:space="preserve">systems of 48 local gas utilities, and (iii) supply power to customers through the use of the transmission and distribution lines of 20 utility systems. </w:t>
      </w:r>
    </w:p>
    <w:p w14:paraId="5F281177" w14:textId="77777777" w:rsidR="00000000" w:rsidRDefault="00C1661D">
      <w:pPr>
        <w:jc w:val="both"/>
        <w:rPr>
          <w:rFonts w:eastAsia="Times New Roman"/>
        </w:rPr>
      </w:pPr>
    </w:p>
    <w:p w14:paraId="1F32FE8A" w14:textId="77777777" w:rsidR="00000000" w:rsidRDefault="00C1661D">
      <w:pPr>
        <w:jc w:val="both"/>
        <w:rPr>
          <w:rFonts w:eastAsia="Times New Roman"/>
        </w:rPr>
      </w:pPr>
      <w:r>
        <w:rPr>
          <w:rFonts w:eastAsia="Times New Roman"/>
          <w:color w:val="000000"/>
          <w:sz w:val="20"/>
          <w:szCs w:val="20"/>
        </w:rPr>
        <w:t>Historically, a majority of Energy Services’ commodity sales have been made under fixed-price agreem</w:t>
      </w:r>
      <w:r>
        <w:rPr>
          <w:rFonts w:eastAsia="Times New Roman"/>
          <w:color w:val="000000"/>
          <w:sz w:val="20"/>
          <w:szCs w:val="20"/>
        </w:rPr>
        <w:t>ents, which typically contain a take-or-pay arrangement that permits customers to purchase a fixed amount of product for a fixed price during a specified period, and requires payment even if the customer does not take delivery of the product. However, a gr</w:t>
      </w:r>
      <w:r>
        <w:rPr>
          <w:rFonts w:eastAsia="Times New Roman"/>
          <w:color w:val="000000"/>
          <w:sz w:val="20"/>
          <w:szCs w:val="20"/>
        </w:rPr>
        <w:t>owing number of Energy Services’ commodity sales are currently being made under requirements contracts, under which Energy Services is typically an exclusive supplier and will supply as much product at a fixed price as the customer requires. Energy Service</w:t>
      </w:r>
      <w:r>
        <w:rPr>
          <w:rFonts w:eastAsia="Times New Roman"/>
          <w:color w:val="000000"/>
          <w:sz w:val="20"/>
          <w:szCs w:val="20"/>
        </w:rPr>
        <w:t>s manages supply cost volatility related to these agreements by (i) entering into fixed-price supply arrangements with a diverse group of suppliers, (ii) holding its own interstate pipeline transportation and storage contracts to efficiently utilize gas su</w:t>
      </w:r>
      <w:r>
        <w:rPr>
          <w:rFonts w:eastAsia="Times New Roman"/>
          <w:color w:val="000000"/>
          <w:sz w:val="20"/>
          <w:szCs w:val="20"/>
        </w:rPr>
        <w:t>pplies, (iii) entering into exchange-traded futures contracts on NYMEX and ICE, (iv) entering into over-the-counter derivative arrangements with major international banks and major suppliers, (v) utilizing supply assets that it owns or manages, and (vi) ut</w:t>
      </w:r>
      <w:r>
        <w:rPr>
          <w:rFonts w:eastAsia="Times New Roman"/>
          <w:color w:val="000000"/>
          <w:sz w:val="20"/>
          <w:szCs w:val="20"/>
        </w:rPr>
        <w:t>ilizing financial transmission rights to hedge price risk against certain transmission costs. Energy Services also bears the risk for balancing and delivering natural gas and power to its customers under various gas pipeline and utility company tariffs. Se</w:t>
      </w:r>
      <w:r>
        <w:rPr>
          <w:rFonts w:eastAsia="Times New Roman"/>
          <w:color w:val="000000"/>
          <w:sz w:val="20"/>
          <w:szCs w:val="20"/>
        </w:rPr>
        <w:t>e “Management’s Discussion and Analysis of Financial Condition and Results of Operations - Market Risk Disclosures.”</w:t>
      </w:r>
    </w:p>
    <w:p w14:paraId="025BB4BA" w14:textId="77777777" w:rsidR="00000000" w:rsidRDefault="00C1661D">
      <w:pPr>
        <w:jc w:val="both"/>
        <w:rPr>
          <w:rFonts w:eastAsia="Times New Roman"/>
        </w:rPr>
      </w:pPr>
    </w:p>
    <w:p w14:paraId="1330E6B7" w14:textId="77777777" w:rsidR="00000000" w:rsidRDefault="00C1661D">
      <w:pPr>
        <w:jc w:val="both"/>
        <w:rPr>
          <w:rFonts w:eastAsia="Times New Roman"/>
        </w:rPr>
      </w:pPr>
      <w:r>
        <w:rPr>
          <w:rFonts w:eastAsia="Times New Roman"/>
          <w:b/>
          <w:bCs/>
          <w:i/>
          <w:iCs/>
          <w:color w:val="000000"/>
          <w:sz w:val="20"/>
          <w:szCs w:val="20"/>
        </w:rPr>
        <w:t>Midstream Assets</w:t>
      </w:r>
    </w:p>
    <w:p w14:paraId="560FB53A" w14:textId="77777777" w:rsidR="00000000" w:rsidRDefault="00C1661D">
      <w:pPr>
        <w:jc w:val="both"/>
        <w:rPr>
          <w:rFonts w:eastAsia="Times New Roman"/>
        </w:rPr>
      </w:pPr>
    </w:p>
    <w:p w14:paraId="33A84C23" w14:textId="77777777" w:rsidR="00000000" w:rsidRDefault="00C1661D">
      <w:pPr>
        <w:jc w:val="both"/>
        <w:rPr>
          <w:rFonts w:eastAsia="Times New Roman"/>
        </w:rPr>
      </w:pPr>
      <w:r>
        <w:rPr>
          <w:rFonts w:eastAsia="Times New Roman"/>
          <w:color w:val="000000"/>
          <w:sz w:val="20"/>
          <w:szCs w:val="20"/>
          <w:u w:val="single"/>
        </w:rPr>
        <w:t>LNG</w:t>
      </w:r>
    </w:p>
    <w:p w14:paraId="5A7D9AED" w14:textId="77777777" w:rsidR="00000000" w:rsidRDefault="00C1661D">
      <w:pPr>
        <w:jc w:val="both"/>
        <w:rPr>
          <w:rFonts w:eastAsia="Times New Roman"/>
        </w:rPr>
      </w:pPr>
    </w:p>
    <w:p w14:paraId="1FAD697D" w14:textId="77777777" w:rsidR="00000000" w:rsidRDefault="00C1661D">
      <w:pPr>
        <w:jc w:val="both"/>
        <w:rPr>
          <w:rFonts w:eastAsia="Times New Roman"/>
        </w:rPr>
      </w:pPr>
      <w:r>
        <w:rPr>
          <w:rFonts w:eastAsia="Times New Roman"/>
          <w:color w:val="000000"/>
          <w:sz w:val="20"/>
          <w:szCs w:val="20"/>
        </w:rPr>
        <w:t>Our midstream assets, which are owned by Energy Services and its subsidiaries, comprise a natural gas liquefacti</w:t>
      </w:r>
      <w:r>
        <w:rPr>
          <w:rFonts w:eastAsia="Times New Roman"/>
          <w:color w:val="000000"/>
          <w:sz w:val="20"/>
          <w:szCs w:val="20"/>
        </w:rPr>
        <w:t>on, storage and vaporization facility in Temple, Pennsylvania, a natural gas liquefaction and storage facility in Mehoopany, Pennsylvania, liquefied natural gas vaporization and storage facilities in Steelton and Bethlehem, Pennsylvania, and three small mo</w:t>
      </w:r>
      <w:r>
        <w:rPr>
          <w:rFonts w:eastAsia="Times New Roman"/>
          <w:color w:val="000000"/>
          <w:sz w:val="20"/>
          <w:szCs w:val="20"/>
        </w:rPr>
        <w:t xml:space="preserve">bile facilities located in Reading, Mount Carmel and Stroudsburg, Pennsylvania. </w:t>
      </w:r>
    </w:p>
    <w:p w14:paraId="5AB4AFC2" w14:textId="77777777" w:rsidR="00000000" w:rsidRDefault="00C1661D">
      <w:pPr>
        <w:jc w:val="both"/>
        <w:rPr>
          <w:rFonts w:eastAsia="Times New Roman"/>
        </w:rPr>
      </w:pPr>
    </w:p>
    <w:p w14:paraId="60C78D07" w14:textId="77777777" w:rsidR="00000000" w:rsidRDefault="00C1661D">
      <w:pPr>
        <w:jc w:val="both"/>
        <w:rPr>
          <w:rFonts w:eastAsia="Times New Roman"/>
        </w:rPr>
      </w:pPr>
      <w:r>
        <w:rPr>
          <w:rFonts w:eastAsia="Times New Roman"/>
          <w:color w:val="000000"/>
          <w:sz w:val="20"/>
          <w:szCs w:val="20"/>
        </w:rPr>
        <w:t>In addition, Energy Services sells LNG to customers for use by trucks, drilling rigs, other motor vehicles and facilities located off the natural gas grid. In Fiscal 2022, our Midstream &amp; Marketing segment also managed natural gas pipeline and storage cont</w:t>
      </w:r>
      <w:r>
        <w:rPr>
          <w:rFonts w:eastAsia="Times New Roman"/>
          <w:color w:val="000000"/>
          <w:sz w:val="20"/>
          <w:szCs w:val="20"/>
        </w:rPr>
        <w:t>racts for utility company customers, including UGI Utilities.</w:t>
      </w:r>
    </w:p>
    <w:p w14:paraId="627A206E" w14:textId="77777777" w:rsidR="00000000" w:rsidRDefault="00C1661D">
      <w:pPr>
        <w:jc w:val="both"/>
        <w:rPr>
          <w:rFonts w:eastAsia="Times New Roman"/>
        </w:rPr>
      </w:pPr>
    </w:p>
    <w:p w14:paraId="023B0278" w14:textId="77777777" w:rsidR="00000000" w:rsidRDefault="00C1661D">
      <w:pPr>
        <w:jc w:val="both"/>
        <w:rPr>
          <w:rFonts w:eastAsia="Times New Roman"/>
        </w:rPr>
      </w:pPr>
      <w:r>
        <w:rPr>
          <w:rFonts w:eastAsia="Times New Roman"/>
          <w:color w:val="000000"/>
          <w:sz w:val="20"/>
          <w:szCs w:val="20"/>
          <w:u w:val="single"/>
        </w:rPr>
        <w:t>Natural Gas and Propane Storage</w:t>
      </w:r>
    </w:p>
    <w:p w14:paraId="2CDA554A" w14:textId="77777777" w:rsidR="00000000" w:rsidRDefault="00C1661D">
      <w:pPr>
        <w:jc w:val="both"/>
        <w:rPr>
          <w:rFonts w:eastAsia="Times New Roman"/>
        </w:rPr>
      </w:pPr>
    </w:p>
    <w:p w14:paraId="4F06CB5B" w14:textId="77777777" w:rsidR="00000000" w:rsidRDefault="00C1661D">
      <w:pPr>
        <w:jc w:val="both"/>
        <w:rPr>
          <w:rFonts w:eastAsia="Times New Roman"/>
        </w:rPr>
      </w:pPr>
      <w:r>
        <w:rPr>
          <w:rFonts w:eastAsia="Times New Roman"/>
          <w:color w:val="000000"/>
          <w:sz w:val="20"/>
          <w:szCs w:val="20"/>
        </w:rPr>
        <w:t>Energy Services and its subsidiaries own propane storage and propane-air mixing stations in Bethlehem, Reading, Hunlock Creek and White Deer, Pennsylvania. En</w:t>
      </w:r>
      <w:r>
        <w:rPr>
          <w:rFonts w:eastAsia="Times New Roman"/>
          <w:color w:val="000000"/>
          <w:sz w:val="20"/>
          <w:szCs w:val="20"/>
        </w:rPr>
        <w:t>ergy Services and its subsidiaries also operate propane storage, rail transshipment terminals and propane-air mixing stations in Steelton and Williamsport, Pennsylvania. These assets are used in Midstream &amp; Marketing’s energy peaking business that provides</w:t>
      </w:r>
      <w:r>
        <w:rPr>
          <w:rFonts w:eastAsia="Times New Roman"/>
          <w:color w:val="000000"/>
          <w:sz w:val="20"/>
          <w:szCs w:val="20"/>
        </w:rPr>
        <w:t xml:space="preserve"> supplemental energy, primarily LNG and propane-air mixtures, to gas utilities at times of high demand (generally during periods of coldest winter weather). </w:t>
      </w:r>
    </w:p>
    <w:p w14:paraId="52B439E0" w14:textId="77777777" w:rsidR="00000000" w:rsidRDefault="00C1661D">
      <w:pPr>
        <w:jc w:val="both"/>
        <w:rPr>
          <w:rFonts w:eastAsia="Times New Roman"/>
        </w:rPr>
      </w:pPr>
    </w:p>
    <w:p w14:paraId="671D1BB7" w14:textId="77777777" w:rsidR="00000000" w:rsidRDefault="00C1661D">
      <w:pPr>
        <w:jc w:val="both"/>
        <w:rPr>
          <w:rFonts w:eastAsia="Times New Roman"/>
        </w:rPr>
      </w:pPr>
      <w:r>
        <w:rPr>
          <w:rFonts w:eastAsia="Times New Roman"/>
          <w:color w:val="000000"/>
          <w:sz w:val="20"/>
          <w:szCs w:val="20"/>
        </w:rPr>
        <w:t>A wholly owned subsidiary of Energy Services owns and operates underground natural gas storage a</w:t>
      </w:r>
      <w:r>
        <w:rPr>
          <w:rFonts w:eastAsia="Times New Roman"/>
          <w:color w:val="000000"/>
          <w:sz w:val="20"/>
          <w:szCs w:val="20"/>
        </w:rPr>
        <w:t>nd related high pressure pipeline facilities, which have FERC approval to sell storage services at market-based rates. The storage facilities are located in the Marcellus Shale region of north-central Pennsylvania and have a total storage capacity of 15 mi</w:t>
      </w:r>
      <w:r>
        <w:rPr>
          <w:rFonts w:eastAsia="Times New Roman"/>
          <w:color w:val="000000"/>
          <w:sz w:val="20"/>
          <w:szCs w:val="20"/>
        </w:rPr>
        <w:t xml:space="preserve">llion dekatherms and a maximum daily withdrawal quantity of 224,000 dekatherms. In Fiscal 2022, Energy Services leased approximately 72% of the firm capacity at its underground natural gas facilities to third parties. </w:t>
      </w:r>
    </w:p>
    <w:p w14:paraId="62BD3769" w14:textId="77777777" w:rsidR="00000000" w:rsidRDefault="00C1661D">
      <w:pPr>
        <w:jc w:val="both"/>
        <w:rPr>
          <w:rFonts w:eastAsia="Times New Roman"/>
        </w:rPr>
      </w:pPr>
    </w:p>
    <w:p w14:paraId="1003A19F" w14:textId="77777777" w:rsidR="00000000" w:rsidRDefault="00C1661D">
      <w:pPr>
        <w:jc w:val="both"/>
        <w:rPr>
          <w:rFonts w:eastAsia="Times New Roman"/>
        </w:rPr>
      </w:pPr>
      <w:r>
        <w:rPr>
          <w:rFonts w:eastAsia="Times New Roman"/>
          <w:color w:val="000000"/>
          <w:sz w:val="20"/>
          <w:szCs w:val="20"/>
          <w:u w:val="single"/>
        </w:rPr>
        <w:t>Gathering Systems and Pipelines</w:t>
      </w:r>
    </w:p>
    <w:p w14:paraId="765C0881" w14:textId="77777777" w:rsidR="00000000" w:rsidRDefault="00C1661D">
      <w:pPr>
        <w:jc w:val="both"/>
        <w:rPr>
          <w:rFonts w:eastAsia="Times New Roman"/>
        </w:rPr>
      </w:pPr>
    </w:p>
    <w:p w14:paraId="43BF4276" w14:textId="77777777" w:rsidR="00000000" w:rsidRDefault="00C1661D">
      <w:pPr>
        <w:jc w:val="both"/>
        <w:rPr>
          <w:rFonts w:eastAsia="Times New Roman"/>
        </w:rPr>
      </w:pPr>
      <w:r>
        <w:rPr>
          <w:rFonts w:eastAsia="Times New Roman"/>
          <w:color w:val="000000"/>
          <w:sz w:val="20"/>
          <w:szCs w:val="20"/>
        </w:rPr>
        <w:t>E</w:t>
      </w:r>
      <w:r>
        <w:rPr>
          <w:rFonts w:eastAsia="Times New Roman"/>
          <w:color w:val="000000"/>
          <w:sz w:val="20"/>
          <w:szCs w:val="20"/>
        </w:rPr>
        <w:t>nergy Services operates the Auburn gathering system in the Marcellus Shale region of northeastern Pennsylvania with a total pipeline system capacity of 635,000 dekatherms per day. The gathering system delivers into both the Tennessee Gas and Transcontinent</w:t>
      </w:r>
      <w:r>
        <w:rPr>
          <w:rFonts w:eastAsia="Times New Roman"/>
          <w:color w:val="000000"/>
          <w:sz w:val="20"/>
          <w:szCs w:val="20"/>
        </w:rPr>
        <w:t xml:space="preserve">al Gas pipelines and receives gas from Tennessee Gas Pipeline as part of a capacity lease with UGI Utilities. Energy Services also operates a 6.5-mile pipeline, known as the Union Dale pipeline, that gathers gas in Susquehanna County and has a capacity of </w:t>
      </w:r>
      <w:r>
        <w:rPr>
          <w:rFonts w:eastAsia="Times New Roman"/>
          <w:color w:val="000000"/>
          <w:sz w:val="20"/>
          <w:szCs w:val="20"/>
        </w:rPr>
        <w:t xml:space="preserve">100,000 dekatherms per day. In addition, Energy Services owns and operates approximately 87 miles of natural gas gathering lines, dehydration and compression facilities, known as Texas Creek, Marshlands, and Ponderosa, located </w:t>
      </w:r>
    </w:p>
    <w:p w14:paraId="1B657D9D" w14:textId="77777777" w:rsidR="00000000" w:rsidRDefault="00C1661D">
      <w:pPr>
        <w:jc w:val="center"/>
        <w:divId w:val="1167138748"/>
        <w:rPr>
          <w:rFonts w:eastAsia="Times New Roman"/>
        </w:rPr>
      </w:pPr>
      <w:r>
        <w:rPr>
          <w:rFonts w:eastAsia="Times New Roman"/>
          <w:color w:val="000000"/>
          <w:sz w:val="20"/>
          <w:szCs w:val="20"/>
        </w:rPr>
        <w:t>22</w:t>
      </w:r>
    </w:p>
    <w:p w14:paraId="1F90B439" w14:textId="77777777" w:rsidR="00000000" w:rsidRDefault="00C1661D">
      <w:pPr>
        <w:rPr>
          <w:rFonts w:eastAsia="Times New Roman"/>
        </w:rPr>
      </w:pPr>
      <w:r>
        <w:rPr>
          <w:rFonts w:eastAsia="Times New Roman"/>
        </w:rPr>
        <w:pict w14:anchorId="595A5EEE">
          <v:rect id="_x0000_i1048" style="width:0;height:1.5pt" o:hralign="center" o:hrstd="t" o:hr="t" fillcolor="#a0a0a0" stroked="f"/>
        </w:pict>
      </w:r>
    </w:p>
    <w:p w14:paraId="0D5EAD6D" w14:textId="77777777" w:rsidR="00000000" w:rsidRDefault="00C1661D">
      <w:pPr>
        <w:divId w:val="1309625203"/>
        <w:rPr>
          <w:rFonts w:eastAsia="Times New Roman"/>
        </w:rPr>
      </w:pPr>
      <w:hyperlink w:anchor="i3850c3c6c0104e42b9951aac2f16098a_7" w:history="1">
        <w:r>
          <w:rPr>
            <w:rStyle w:val="a3"/>
            <w:rFonts w:eastAsia="Times New Roman"/>
            <w:b/>
            <w:bCs/>
            <w:sz w:val="20"/>
            <w:szCs w:val="20"/>
          </w:rPr>
          <w:t>Table of Contents</w:t>
        </w:r>
      </w:hyperlink>
    </w:p>
    <w:p w14:paraId="042FE35A" w14:textId="77777777" w:rsidR="00000000" w:rsidRDefault="00C1661D">
      <w:pPr>
        <w:jc w:val="both"/>
        <w:rPr>
          <w:rFonts w:eastAsia="Times New Roman"/>
        </w:rPr>
      </w:pPr>
      <w:r>
        <w:rPr>
          <w:rFonts w:eastAsia="Times New Roman"/>
          <w:color w:val="000000"/>
          <w:sz w:val="20"/>
          <w:szCs w:val="20"/>
        </w:rPr>
        <w:t xml:space="preserve">in Bradford, Tioga, Lycoming, Potter and Clinton Counties, Pennsylvania. </w:t>
      </w:r>
      <w:r>
        <w:rPr>
          <w:rFonts w:eastAsia="Times New Roman"/>
          <w:color w:val="000000"/>
          <w:sz w:val="20"/>
          <w:szCs w:val="20"/>
        </w:rPr>
        <w:t xml:space="preserve">The combined capacity of these three systems is more than 250,000 dekatherms per day. </w:t>
      </w:r>
    </w:p>
    <w:p w14:paraId="3C31A260" w14:textId="77777777" w:rsidR="00000000" w:rsidRDefault="00C1661D">
      <w:pPr>
        <w:jc w:val="both"/>
        <w:rPr>
          <w:rFonts w:eastAsia="Times New Roman"/>
        </w:rPr>
      </w:pPr>
    </w:p>
    <w:p w14:paraId="572F1CEF" w14:textId="77777777" w:rsidR="00000000" w:rsidRDefault="00C1661D">
      <w:pPr>
        <w:jc w:val="both"/>
        <w:rPr>
          <w:rFonts w:eastAsia="Times New Roman"/>
        </w:rPr>
      </w:pPr>
      <w:r>
        <w:rPr>
          <w:rFonts w:eastAsia="Times New Roman"/>
          <w:color w:val="000000"/>
          <w:sz w:val="20"/>
          <w:szCs w:val="20"/>
        </w:rPr>
        <w:t>Energy Services and its subsidiaries also own and operate a 35-mile, 20-inch pipeline, known as the Sunbury pipeline, with related facilities located in Snyder, Union,</w:t>
      </w:r>
      <w:r>
        <w:rPr>
          <w:rFonts w:eastAsia="Times New Roman"/>
          <w:color w:val="000000"/>
          <w:sz w:val="20"/>
          <w:szCs w:val="20"/>
        </w:rPr>
        <w:t xml:space="preserve"> Northumberland, Montour, and Lycoming Counties, Pennsylvania, which has a design capacity of 200,000 dekatherms per day. In addition, Energy Services owns and operates the Mt. Bethel pipeline, which runs 12.5 miles in Northampton County, Pennsylvania and </w:t>
      </w:r>
      <w:r>
        <w:rPr>
          <w:rFonts w:eastAsia="Times New Roman"/>
          <w:color w:val="000000"/>
          <w:sz w:val="20"/>
          <w:szCs w:val="20"/>
        </w:rPr>
        <w:t xml:space="preserve">is designed to provide 72,000 dekatherms per day. </w:t>
      </w:r>
    </w:p>
    <w:p w14:paraId="4575D16B" w14:textId="77777777" w:rsidR="00000000" w:rsidRDefault="00C1661D">
      <w:pPr>
        <w:jc w:val="both"/>
        <w:rPr>
          <w:rFonts w:eastAsia="Times New Roman"/>
        </w:rPr>
      </w:pPr>
    </w:p>
    <w:p w14:paraId="53EFD27B" w14:textId="77777777" w:rsidR="00000000" w:rsidRDefault="00C1661D">
      <w:pPr>
        <w:jc w:val="both"/>
        <w:rPr>
          <w:rFonts w:eastAsia="Times New Roman"/>
        </w:rPr>
      </w:pPr>
      <w:r>
        <w:rPr>
          <w:rFonts w:eastAsia="Times New Roman"/>
          <w:color w:val="000000"/>
          <w:sz w:val="20"/>
          <w:szCs w:val="20"/>
        </w:rPr>
        <w:t xml:space="preserve">Energy Services’ subsidiary, UGI Appalachia, consists of six natural gas gathering systems with approximately 305 miles of natural gas gathering pipelines and gas compressors and one processing plant in </w:t>
      </w:r>
      <w:r>
        <w:rPr>
          <w:rFonts w:eastAsia="Times New Roman"/>
          <w:color w:val="000000"/>
          <w:sz w:val="20"/>
          <w:szCs w:val="20"/>
        </w:rPr>
        <w:t>southwestern Pennsylvania, eastern Ohio, and the panhandle of West Virginia. In Fiscal 2022, Energy Services also acquired the remaining ownership interest in Pennant, a natural gas gathering system located in northeast Ohio and western Pennsylvania, and n</w:t>
      </w:r>
      <w:r>
        <w:rPr>
          <w:rFonts w:eastAsia="Times New Roman"/>
          <w:color w:val="000000"/>
          <w:sz w:val="20"/>
          <w:szCs w:val="20"/>
        </w:rPr>
        <w:t>ow has 100% ownership interest in Pennant. The UGI Appalachia assets provide natural gas gathering and processing services in the Appalachian Basin with gathering capacity of approximately 2,808,000 dekatherms per day and processing capacity of approximate</w:t>
      </w:r>
      <w:r>
        <w:rPr>
          <w:rFonts w:eastAsia="Times New Roman"/>
          <w:color w:val="000000"/>
          <w:sz w:val="20"/>
          <w:szCs w:val="20"/>
        </w:rPr>
        <w:t>ly 240,000 dekatherms per day.</w:t>
      </w:r>
    </w:p>
    <w:p w14:paraId="326AA601" w14:textId="77777777" w:rsidR="00000000" w:rsidRDefault="00C1661D">
      <w:pPr>
        <w:jc w:val="both"/>
        <w:rPr>
          <w:rFonts w:eastAsia="Times New Roman"/>
        </w:rPr>
      </w:pPr>
    </w:p>
    <w:p w14:paraId="406F4EBA" w14:textId="77777777" w:rsidR="00000000" w:rsidRDefault="00C1661D">
      <w:pPr>
        <w:jc w:val="both"/>
        <w:rPr>
          <w:rFonts w:eastAsia="Times New Roman"/>
        </w:rPr>
      </w:pPr>
      <w:r>
        <w:rPr>
          <w:rFonts w:eastAsia="Times New Roman"/>
          <w:color w:val="000000"/>
          <w:sz w:val="20"/>
          <w:szCs w:val="20"/>
        </w:rPr>
        <w:t>In Fiscal 2021, a subsidiary of Energy Services entered into a joint venture with Stonehenge to acquire Pine Run Midstream, LLC. Energy Services owns approximately 49% of the joint venture with Stonehenge, and Stonehenge op</w:t>
      </w:r>
      <w:r>
        <w:rPr>
          <w:rFonts w:eastAsia="Times New Roman"/>
          <w:color w:val="000000"/>
          <w:sz w:val="20"/>
          <w:szCs w:val="20"/>
        </w:rPr>
        <w:t>erates the system. The system is comprised of approximately 42 miles of pipeline, 43,125 HP of installed compression and dedicated production of 54,000 gross acres. The system is attached to another gathering system owned by Energy Services.</w:t>
      </w:r>
    </w:p>
    <w:p w14:paraId="092C11A9" w14:textId="77777777" w:rsidR="00000000" w:rsidRDefault="00C1661D">
      <w:pPr>
        <w:jc w:val="both"/>
        <w:rPr>
          <w:rFonts w:eastAsia="Times New Roman"/>
        </w:rPr>
      </w:pPr>
    </w:p>
    <w:p w14:paraId="7AAE3CEF" w14:textId="77777777" w:rsidR="00000000" w:rsidRDefault="00C1661D">
      <w:pPr>
        <w:jc w:val="both"/>
        <w:rPr>
          <w:rFonts w:eastAsia="Times New Roman"/>
        </w:rPr>
      </w:pPr>
      <w:r>
        <w:rPr>
          <w:rFonts w:eastAsia="Times New Roman"/>
          <w:color w:val="000000"/>
          <w:sz w:val="20"/>
          <w:szCs w:val="20"/>
        </w:rPr>
        <w:t>In January 2</w:t>
      </w:r>
      <w:r>
        <w:rPr>
          <w:rFonts w:eastAsia="Times New Roman"/>
          <w:color w:val="000000"/>
          <w:sz w:val="20"/>
          <w:szCs w:val="20"/>
        </w:rPr>
        <w:t>022, Energy Services acquired Stonehenge Appalachia, LLC from Stonehenge Energy Holdings, LLC and subsequently renamed the system “Moraine East”. The system consists of 47 miles of pipeline and associated compression assets.</w:t>
      </w:r>
    </w:p>
    <w:p w14:paraId="0964940A" w14:textId="77777777" w:rsidR="00000000" w:rsidRDefault="00C1661D">
      <w:pPr>
        <w:jc w:val="both"/>
        <w:rPr>
          <w:rFonts w:eastAsia="Times New Roman"/>
        </w:rPr>
      </w:pPr>
    </w:p>
    <w:p w14:paraId="728FF6CE" w14:textId="77777777" w:rsidR="00000000" w:rsidRDefault="00C1661D">
      <w:pPr>
        <w:jc w:val="both"/>
        <w:rPr>
          <w:rFonts w:eastAsia="Times New Roman"/>
        </w:rPr>
      </w:pPr>
      <w:r>
        <w:rPr>
          <w:rFonts w:eastAsia="Times New Roman"/>
          <w:b/>
          <w:bCs/>
          <w:i/>
          <w:iCs/>
          <w:color w:val="000000"/>
          <w:sz w:val="20"/>
          <w:szCs w:val="20"/>
        </w:rPr>
        <w:t>Electric Generation Assets</w:t>
      </w:r>
    </w:p>
    <w:p w14:paraId="17FC3F5D" w14:textId="77777777" w:rsidR="00000000" w:rsidRDefault="00C1661D">
      <w:pPr>
        <w:jc w:val="both"/>
        <w:rPr>
          <w:rFonts w:eastAsia="Times New Roman"/>
        </w:rPr>
      </w:pPr>
    </w:p>
    <w:p w14:paraId="43179672" w14:textId="77777777" w:rsidR="00000000" w:rsidRDefault="00C1661D">
      <w:pPr>
        <w:jc w:val="both"/>
        <w:rPr>
          <w:rFonts w:eastAsia="Times New Roman"/>
        </w:rPr>
      </w:pPr>
      <w:r>
        <w:rPr>
          <w:rFonts w:eastAsia="Times New Roman"/>
          <w:color w:val="000000"/>
          <w:sz w:val="20"/>
          <w:szCs w:val="20"/>
        </w:rPr>
        <w:t>Midstream &amp; Marketing holds electric generation facilities conducted by Energy Services’ wholly owned subsidiary, UGID. UGID owns and operates the Hunlock Creek Energy Center located near Wilkes-Barre, Pennsylvania, a 174-megawatt natural gas-fueled electr</w:t>
      </w:r>
      <w:r>
        <w:rPr>
          <w:rFonts w:eastAsia="Times New Roman"/>
          <w:color w:val="000000"/>
          <w:sz w:val="20"/>
          <w:szCs w:val="20"/>
        </w:rPr>
        <w:t>icity generating station. UGID also owns and operates a landfill gas-fueled generation plant near Hegins, Pennsylvania, with gross generating capacity of 11 megawatts, that qualifies for renewable energy credits. Additionally, UGID owns and operates 13.5 m</w:t>
      </w:r>
      <w:r>
        <w:rPr>
          <w:rFonts w:eastAsia="Times New Roman"/>
          <w:color w:val="000000"/>
          <w:sz w:val="20"/>
          <w:szCs w:val="20"/>
        </w:rPr>
        <w:t xml:space="preserve">egawatts of solar-powered generation capacity in Pennsylvania, Maryland and New Jersey. </w:t>
      </w:r>
    </w:p>
    <w:p w14:paraId="7AF36E13" w14:textId="77777777" w:rsidR="00000000" w:rsidRDefault="00C1661D">
      <w:pPr>
        <w:jc w:val="both"/>
        <w:rPr>
          <w:rFonts w:eastAsia="Times New Roman"/>
        </w:rPr>
      </w:pPr>
    </w:p>
    <w:p w14:paraId="67D2C6DC" w14:textId="77777777" w:rsidR="00000000" w:rsidRDefault="00C1661D">
      <w:pPr>
        <w:jc w:val="both"/>
        <w:rPr>
          <w:rFonts w:eastAsia="Times New Roman"/>
        </w:rPr>
      </w:pPr>
      <w:r>
        <w:rPr>
          <w:rFonts w:eastAsia="Times New Roman"/>
          <w:b/>
          <w:bCs/>
          <w:i/>
          <w:iCs/>
          <w:color w:val="000000"/>
          <w:sz w:val="20"/>
          <w:szCs w:val="20"/>
        </w:rPr>
        <w:t xml:space="preserve">Renewable Natural Gas </w:t>
      </w:r>
    </w:p>
    <w:p w14:paraId="1C23DEC9" w14:textId="77777777" w:rsidR="00000000" w:rsidRDefault="00C1661D">
      <w:pPr>
        <w:jc w:val="both"/>
        <w:rPr>
          <w:rFonts w:eastAsia="Times New Roman"/>
        </w:rPr>
      </w:pPr>
    </w:p>
    <w:p w14:paraId="272677F9" w14:textId="77777777" w:rsidR="00000000" w:rsidRDefault="00C1661D">
      <w:pPr>
        <w:jc w:val="both"/>
        <w:rPr>
          <w:rFonts w:eastAsia="Times New Roman"/>
        </w:rPr>
      </w:pPr>
      <w:r>
        <w:rPr>
          <w:rFonts w:eastAsia="Times New Roman"/>
          <w:color w:val="000000"/>
          <w:sz w:val="20"/>
          <w:szCs w:val="20"/>
        </w:rPr>
        <w:t>In Fiscal 2020, Energy Services purchased GHI, a Houston-based company that markets RNG in California. GHI purchases gas produced from landfills and biodigesters and resells the gas to fleet operators in California. Environmental credits are generated thro</w:t>
      </w:r>
      <w:r>
        <w:rPr>
          <w:rFonts w:eastAsia="Times New Roman"/>
          <w:color w:val="000000"/>
          <w:sz w:val="20"/>
          <w:szCs w:val="20"/>
        </w:rPr>
        <w:t>ugh this process, which are then sold to various third parties for an additional revenue stream.</w:t>
      </w:r>
    </w:p>
    <w:p w14:paraId="09D552B8" w14:textId="77777777" w:rsidR="00000000" w:rsidRDefault="00C1661D">
      <w:pPr>
        <w:jc w:val="both"/>
        <w:rPr>
          <w:rFonts w:eastAsia="Times New Roman"/>
        </w:rPr>
      </w:pPr>
    </w:p>
    <w:p w14:paraId="57D3065A" w14:textId="77777777" w:rsidR="00000000" w:rsidRDefault="00C1661D">
      <w:pPr>
        <w:jc w:val="both"/>
        <w:rPr>
          <w:rFonts w:eastAsia="Times New Roman"/>
        </w:rPr>
      </w:pPr>
      <w:r>
        <w:rPr>
          <w:rFonts w:eastAsia="Times New Roman"/>
          <w:b/>
          <w:bCs/>
          <w:i/>
          <w:iCs/>
          <w:color w:val="000000"/>
          <w:sz w:val="20"/>
          <w:szCs w:val="20"/>
        </w:rPr>
        <w:t>Competition</w:t>
      </w:r>
    </w:p>
    <w:p w14:paraId="55A79CA9" w14:textId="77777777" w:rsidR="00000000" w:rsidRDefault="00C1661D">
      <w:pPr>
        <w:jc w:val="both"/>
        <w:rPr>
          <w:rFonts w:eastAsia="Times New Roman"/>
        </w:rPr>
      </w:pPr>
    </w:p>
    <w:p w14:paraId="1A31E3CD" w14:textId="77777777" w:rsidR="00000000" w:rsidRDefault="00C1661D">
      <w:pPr>
        <w:jc w:val="both"/>
        <w:rPr>
          <w:rFonts w:eastAsia="Times New Roman"/>
        </w:rPr>
      </w:pPr>
      <w:r>
        <w:rPr>
          <w:rFonts w:eastAsia="Times New Roman"/>
          <w:color w:val="000000"/>
          <w:sz w:val="20"/>
          <w:szCs w:val="20"/>
        </w:rPr>
        <w:t>Our Midstream &amp; Marketing segment competes with other midstream operators to sell gathering, compression, storage and pipeline transportation s</w:t>
      </w:r>
      <w:r>
        <w:rPr>
          <w:rFonts w:eastAsia="Times New Roman"/>
          <w:color w:val="000000"/>
          <w:sz w:val="20"/>
          <w:szCs w:val="20"/>
        </w:rPr>
        <w:t>ervices. Our Midstream &amp; Marketing segment competes in both the regulated and non-regulated environment against interstate and intrastate pipelines that gather, compress, process, transport and market natural gas. Our Midstream &amp; Marketing segment sells mi</w:t>
      </w:r>
      <w:r>
        <w:rPr>
          <w:rFonts w:eastAsia="Times New Roman"/>
          <w:color w:val="000000"/>
          <w:sz w:val="20"/>
          <w:szCs w:val="20"/>
        </w:rPr>
        <w:t>dstream services primarily to producers, marketers and utilities on the basis of price, customer service, flexibility, reliability and operational experience. The competition in the midstream segment is significant and has grown recently in the northeast U</w:t>
      </w:r>
      <w:r>
        <w:rPr>
          <w:rFonts w:eastAsia="Times New Roman"/>
          <w:color w:val="000000"/>
          <w:sz w:val="20"/>
          <w:szCs w:val="20"/>
        </w:rPr>
        <w:t xml:space="preserve">.S. as more competitors seek opportunities offered by the development of the Marcellus and Utica Shales. </w:t>
      </w:r>
    </w:p>
    <w:p w14:paraId="06FCF23D" w14:textId="77777777" w:rsidR="00000000" w:rsidRDefault="00C1661D">
      <w:pPr>
        <w:ind w:firstLine="720"/>
        <w:jc w:val="both"/>
        <w:rPr>
          <w:rFonts w:eastAsia="Times New Roman"/>
        </w:rPr>
      </w:pPr>
    </w:p>
    <w:p w14:paraId="30E5BB91" w14:textId="77777777" w:rsidR="00000000" w:rsidRDefault="00C1661D">
      <w:pPr>
        <w:jc w:val="both"/>
        <w:rPr>
          <w:rFonts w:eastAsia="Times New Roman"/>
        </w:rPr>
      </w:pPr>
      <w:r>
        <w:rPr>
          <w:rFonts w:eastAsia="Times New Roman"/>
          <w:color w:val="000000"/>
          <w:sz w:val="20"/>
          <w:szCs w:val="20"/>
        </w:rPr>
        <w:t>Our Midstream &amp; Marketing segment also competes with other marketers, consultants and local utilities to sell natural gas, liquid fuels, electric po</w:t>
      </w:r>
      <w:r>
        <w:rPr>
          <w:rFonts w:eastAsia="Times New Roman"/>
          <w:color w:val="000000"/>
          <w:sz w:val="20"/>
          <w:szCs w:val="20"/>
        </w:rPr>
        <w:t>wer and related services to customers in its service area principally on the basis of price, customer service and reliability. Midstream &amp; Marketing’s midstream asset business has faced an increase in competition in recent years with the consolidation of c</w:t>
      </w:r>
      <w:r>
        <w:rPr>
          <w:rFonts w:eastAsia="Times New Roman"/>
          <w:color w:val="000000"/>
          <w:sz w:val="20"/>
          <w:szCs w:val="20"/>
        </w:rPr>
        <w:t xml:space="preserve">ompanies that have resulted in large, national competitors that can offer a suite of services across all customer segments. </w:t>
      </w:r>
    </w:p>
    <w:p w14:paraId="7859865C" w14:textId="77777777" w:rsidR="00000000" w:rsidRDefault="00C1661D">
      <w:pPr>
        <w:jc w:val="both"/>
        <w:rPr>
          <w:rFonts w:eastAsia="Times New Roman"/>
        </w:rPr>
      </w:pPr>
    </w:p>
    <w:p w14:paraId="1D846BB7" w14:textId="77777777" w:rsidR="00000000" w:rsidRDefault="00C1661D">
      <w:pPr>
        <w:jc w:val="both"/>
        <w:rPr>
          <w:rFonts w:eastAsia="Times New Roman"/>
        </w:rPr>
      </w:pPr>
      <w:r>
        <w:rPr>
          <w:rFonts w:eastAsia="Times New Roman"/>
          <w:color w:val="000000"/>
          <w:sz w:val="20"/>
          <w:szCs w:val="20"/>
        </w:rPr>
        <w:t>Our electricity generation assets compete with other generation stations on the interface of PJM, a regional transmission organiz</w:t>
      </w:r>
      <w:r>
        <w:rPr>
          <w:rFonts w:eastAsia="Times New Roman"/>
          <w:color w:val="000000"/>
          <w:sz w:val="20"/>
          <w:szCs w:val="20"/>
        </w:rPr>
        <w:t xml:space="preserve">ation that coordinates the movement of wholesale electricity in certain states, including the states in which we operate, and bases sales on bid pricing. </w:t>
      </w:r>
    </w:p>
    <w:p w14:paraId="7C24FB5B" w14:textId="77777777" w:rsidR="00000000" w:rsidRDefault="00C1661D">
      <w:pPr>
        <w:jc w:val="center"/>
        <w:divId w:val="367461240"/>
        <w:rPr>
          <w:rFonts w:eastAsia="Times New Roman"/>
        </w:rPr>
      </w:pPr>
      <w:r>
        <w:rPr>
          <w:rFonts w:eastAsia="Times New Roman"/>
          <w:color w:val="000000"/>
          <w:sz w:val="20"/>
          <w:szCs w:val="20"/>
        </w:rPr>
        <w:t>23</w:t>
      </w:r>
    </w:p>
    <w:p w14:paraId="31CBD4E2" w14:textId="77777777" w:rsidR="00000000" w:rsidRDefault="00C1661D">
      <w:pPr>
        <w:rPr>
          <w:rFonts w:eastAsia="Times New Roman"/>
        </w:rPr>
      </w:pPr>
      <w:r>
        <w:rPr>
          <w:rFonts w:eastAsia="Times New Roman"/>
        </w:rPr>
        <w:pict w14:anchorId="7AF8B96C">
          <v:rect id="_x0000_i1049" style="width:0;height:1.5pt" o:hralign="center" o:hrstd="t" o:hr="t" fillcolor="#a0a0a0" stroked="f"/>
        </w:pict>
      </w:r>
    </w:p>
    <w:p w14:paraId="73B2C1A2" w14:textId="77777777" w:rsidR="00000000" w:rsidRDefault="00C1661D">
      <w:pPr>
        <w:divId w:val="526986704"/>
        <w:rPr>
          <w:rFonts w:eastAsia="Times New Roman"/>
        </w:rPr>
      </w:pPr>
      <w:hyperlink w:anchor="i3850c3c6c0104e42b9951aac2f16098a_7" w:history="1">
        <w:r>
          <w:rPr>
            <w:rStyle w:val="a3"/>
            <w:rFonts w:eastAsia="Times New Roman"/>
            <w:b/>
            <w:bCs/>
            <w:sz w:val="20"/>
            <w:szCs w:val="20"/>
          </w:rPr>
          <w:t>Tabl</w:t>
        </w:r>
        <w:r>
          <w:rPr>
            <w:rStyle w:val="a3"/>
            <w:rFonts w:eastAsia="Times New Roman"/>
            <w:b/>
            <w:bCs/>
            <w:sz w:val="20"/>
            <w:szCs w:val="20"/>
          </w:rPr>
          <w:t>e of Contents</w:t>
        </w:r>
      </w:hyperlink>
    </w:p>
    <w:p w14:paraId="2BBB5465" w14:textId="77777777" w:rsidR="00000000" w:rsidRDefault="00C1661D">
      <w:pPr>
        <w:jc w:val="both"/>
        <w:rPr>
          <w:rFonts w:eastAsia="Times New Roman"/>
        </w:rPr>
      </w:pPr>
    </w:p>
    <w:p w14:paraId="4CA179F0" w14:textId="77777777" w:rsidR="00000000" w:rsidRDefault="00C1661D">
      <w:pPr>
        <w:jc w:val="both"/>
        <w:rPr>
          <w:rFonts w:eastAsia="Times New Roman"/>
        </w:rPr>
      </w:pPr>
      <w:r>
        <w:rPr>
          <w:rFonts w:eastAsia="Times New Roman"/>
          <w:color w:val="000000"/>
          <w:sz w:val="20"/>
          <w:szCs w:val="20"/>
        </w:rPr>
        <w:t xml:space="preserve">Through our wholly owned subsidiary, GHI, Energy Services has the capability to source and deliver RNG to customers throughout the U.S. GHI currently delivers RNG to transportation fleets for utilization in their compressed natural gas and </w:t>
      </w:r>
      <w:r>
        <w:rPr>
          <w:rFonts w:eastAsia="Times New Roman"/>
          <w:color w:val="000000"/>
          <w:sz w:val="20"/>
          <w:szCs w:val="20"/>
        </w:rPr>
        <w:t>LNG fueled vehicles, resulting in the creation and monetization of California Low Carbon Fuel Standard and Renewable Fuel Standard Renewable Identification Numbers. GHI competes with other RNG marketers and brokers on the basis of price, customer service a</w:t>
      </w:r>
      <w:r>
        <w:rPr>
          <w:rFonts w:eastAsia="Times New Roman"/>
          <w:color w:val="000000"/>
          <w:sz w:val="20"/>
          <w:szCs w:val="20"/>
        </w:rPr>
        <w:t>nd reliability. Further, our Midstream &amp; Marketing segment competes with other RNG project developers, which has recently become more competitive. We compete to acquire the projects from the feedstock generators, which are typically farmers (for manure dig</w:t>
      </w:r>
      <w:r>
        <w:rPr>
          <w:rFonts w:eastAsia="Times New Roman"/>
          <w:color w:val="000000"/>
          <w:sz w:val="20"/>
          <w:szCs w:val="20"/>
        </w:rPr>
        <w:t xml:space="preserve">esters) and landfill operators. Competitive offerings include equity offerings, feedstock payment and royalties. In addition, there has been significant consolidation over the past year with both agricultural and landfill RNG project owners/developers. </w:t>
      </w:r>
    </w:p>
    <w:p w14:paraId="69CFBE75" w14:textId="77777777" w:rsidR="00000000" w:rsidRDefault="00C1661D">
      <w:pPr>
        <w:ind w:firstLine="720"/>
        <w:jc w:val="both"/>
        <w:rPr>
          <w:rFonts w:eastAsia="Times New Roman"/>
        </w:rPr>
      </w:pPr>
    </w:p>
    <w:p w14:paraId="61CA7946" w14:textId="77777777" w:rsidR="00000000" w:rsidRDefault="00C1661D">
      <w:pPr>
        <w:jc w:val="both"/>
        <w:rPr>
          <w:rFonts w:eastAsia="Times New Roman"/>
        </w:rPr>
      </w:pPr>
      <w:r>
        <w:rPr>
          <w:rFonts w:eastAsia="Times New Roman"/>
          <w:b/>
          <w:bCs/>
          <w:i/>
          <w:iCs/>
          <w:color w:val="000000"/>
          <w:sz w:val="20"/>
          <w:szCs w:val="20"/>
        </w:rPr>
        <w:t>Government Regulation</w:t>
      </w:r>
    </w:p>
    <w:p w14:paraId="2F9B6C6A" w14:textId="77777777" w:rsidR="00000000" w:rsidRDefault="00C1661D">
      <w:pPr>
        <w:jc w:val="both"/>
        <w:rPr>
          <w:rFonts w:eastAsia="Times New Roman"/>
        </w:rPr>
      </w:pPr>
    </w:p>
    <w:p w14:paraId="789AED41" w14:textId="77777777" w:rsidR="00000000" w:rsidRDefault="00C1661D">
      <w:pPr>
        <w:jc w:val="both"/>
        <w:rPr>
          <w:rFonts w:eastAsia="Times New Roman"/>
        </w:rPr>
      </w:pPr>
      <w:r>
        <w:rPr>
          <w:rFonts w:eastAsia="Times New Roman"/>
          <w:color w:val="000000"/>
          <w:sz w:val="20"/>
          <w:szCs w:val="20"/>
        </w:rPr>
        <w:t>FERC has jurisdiction over the rates and terms and conditions of service of wholesale sales of electric capacity and energy, as well as the sales for resale of natural gas and related storage and transportation services.  Energy Ser</w:t>
      </w:r>
      <w:r>
        <w:rPr>
          <w:rFonts w:eastAsia="Times New Roman"/>
          <w:color w:val="000000"/>
          <w:sz w:val="20"/>
          <w:szCs w:val="20"/>
        </w:rPr>
        <w:t>vices has a tariff on file with FERC, pursuant to which it may make power sales to wholesale customers at market-based rates, to the extent that Energy Services purchases power in excess of its retail customer needs.  Two subsidiaries of Energy Services, U</w:t>
      </w:r>
      <w:r>
        <w:rPr>
          <w:rFonts w:eastAsia="Times New Roman"/>
          <w:color w:val="000000"/>
          <w:sz w:val="20"/>
          <w:szCs w:val="20"/>
        </w:rPr>
        <w:t>GI LNG, Inc. and UGI Storage Company, currently operate natural gas storage facilities under FERC certificate approvals and offer services to wholesale customers at FERC-approved market-based rates. Two other Energy Services subsidiaries operate natural ga</w:t>
      </w:r>
      <w:r>
        <w:rPr>
          <w:rFonts w:eastAsia="Times New Roman"/>
          <w:color w:val="000000"/>
          <w:sz w:val="20"/>
          <w:szCs w:val="20"/>
        </w:rPr>
        <w:t>s pipelines that are subject to FERC regulation. UGI Mt. Bethel Pipeline Company, LLC operates a 12.5-mile, 12-inch pipeline located in Northampton County, Pennsylvania, and UGI Sunbury, LLC operates the Sunbury Pipeline, a 35-mile, 20-inch diameter pipeli</w:t>
      </w:r>
      <w:r>
        <w:rPr>
          <w:rFonts w:eastAsia="Times New Roman"/>
          <w:color w:val="000000"/>
          <w:sz w:val="20"/>
          <w:szCs w:val="20"/>
        </w:rPr>
        <w:t>ne located in central Pennsylvania. Both pipelines offer open-access transportation services at cost-based rates approved by FERC. Energy Services and its subsidiaries undertake various activities to maintain compliance with the FERC Standards of Conduct w</w:t>
      </w:r>
      <w:r>
        <w:rPr>
          <w:rFonts w:eastAsia="Times New Roman"/>
          <w:color w:val="000000"/>
          <w:sz w:val="20"/>
          <w:szCs w:val="20"/>
        </w:rPr>
        <w:t xml:space="preserve">ith respect to pipeline operations. Energy Services is also subject to FERC reporting requirements, market manipulation rules and other FERC enforcement and regulatory powers with respect to its wholesale commodity business. </w:t>
      </w:r>
    </w:p>
    <w:p w14:paraId="6A8CD324" w14:textId="77777777" w:rsidR="00000000" w:rsidRDefault="00C1661D">
      <w:pPr>
        <w:jc w:val="both"/>
        <w:rPr>
          <w:rFonts w:eastAsia="Times New Roman"/>
        </w:rPr>
      </w:pPr>
    </w:p>
    <w:p w14:paraId="378D0816" w14:textId="77777777" w:rsidR="00000000" w:rsidRDefault="00C1661D">
      <w:pPr>
        <w:jc w:val="both"/>
        <w:rPr>
          <w:rFonts w:eastAsia="Times New Roman"/>
        </w:rPr>
      </w:pPr>
      <w:r>
        <w:rPr>
          <w:rFonts w:eastAsia="Times New Roman"/>
          <w:color w:val="000000"/>
          <w:sz w:val="20"/>
          <w:szCs w:val="20"/>
        </w:rPr>
        <w:t>Midstream &amp; Marketing’s mids</w:t>
      </w:r>
      <w:r>
        <w:rPr>
          <w:rFonts w:eastAsia="Times New Roman"/>
          <w:color w:val="000000"/>
          <w:sz w:val="20"/>
          <w:szCs w:val="20"/>
        </w:rPr>
        <w:t>tream assets include natural gas gathering pipelines and compression and processing in northeastern Pennsylvania, southwestern Pennsylvania, eastern Ohio and the panhandle of West Virginia that are regulated under federal pipeline safety laws and subject t</w:t>
      </w:r>
      <w:r>
        <w:rPr>
          <w:rFonts w:eastAsia="Times New Roman"/>
          <w:color w:val="000000"/>
          <w:sz w:val="20"/>
          <w:szCs w:val="20"/>
        </w:rPr>
        <w:t xml:space="preserve">o operational oversight by both the Pipeline and Hazardous Materials Safety Administration and the state public utility commissions for the states in which the specific pipelines are located. </w:t>
      </w:r>
    </w:p>
    <w:p w14:paraId="387BFF12" w14:textId="77777777" w:rsidR="00000000" w:rsidRDefault="00C1661D">
      <w:pPr>
        <w:jc w:val="both"/>
        <w:rPr>
          <w:rFonts w:eastAsia="Times New Roman"/>
        </w:rPr>
      </w:pPr>
    </w:p>
    <w:p w14:paraId="07F52F88" w14:textId="77777777" w:rsidR="00000000" w:rsidRDefault="00C1661D">
      <w:pPr>
        <w:jc w:val="both"/>
        <w:rPr>
          <w:rFonts w:eastAsia="Times New Roman"/>
        </w:rPr>
      </w:pPr>
      <w:r>
        <w:rPr>
          <w:rFonts w:eastAsia="Times New Roman"/>
          <w:color w:val="000000"/>
          <w:sz w:val="20"/>
          <w:szCs w:val="20"/>
        </w:rPr>
        <w:t>Certain of our Midstream &amp; Marketing and RNG businesses are s</w:t>
      </w:r>
      <w:r>
        <w:rPr>
          <w:rFonts w:eastAsia="Times New Roman"/>
          <w:color w:val="000000"/>
          <w:sz w:val="20"/>
          <w:szCs w:val="20"/>
        </w:rPr>
        <w:t>ubject to various federal, state and local environmental, safety and transportation laws and regulations governing the storage, distribution and transportation of propane and the operation of bulk storage LPG terminals. These laws include, among others, th</w:t>
      </w:r>
      <w:r>
        <w:rPr>
          <w:rFonts w:eastAsia="Times New Roman"/>
          <w:color w:val="000000"/>
          <w:sz w:val="20"/>
          <w:szCs w:val="20"/>
        </w:rPr>
        <w:t>e Resource Conservation and Recovery Act, CERCLA, the Clean Air Act, OSHA, the Homeland Security Act of 2002, the Emergency Planning and Community Right-to-Know Act, the Clean Water Act and comparable state statutes. CERCLA imposes joint and several liabil</w:t>
      </w:r>
      <w:r>
        <w:rPr>
          <w:rFonts w:eastAsia="Times New Roman"/>
          <w:color w:val="000000"/>
          <w:sz w:val="20"/>
          <w:szCs w:val="20"/>
        </w:rPr>
        <w:t xml:space="preserve">ity on certain classes of persons considered to have contributed to the release or threatened release of a “hazardous substance” into the environment without regard to fault or the legality of the original conduct. With respect to the operation of natural </w:t>
      </w:r>
      <w:r>
        <w:rPr>
          <w:rFonts w:eastAsia="Times New Roman"/>
          <w:color w:val="000000"/>
          <w:sz w:val="20"/>
          <w:szCs w:val="20"/>
        </w:rPr>
        <w:t>gas gathering and transportation pipelines, Energy Services also is required to comply with the provisions of the Pipeline Safety Improvement Act of 2002 and the regulations of the DOT.</w:t>
      </w:r>
    </w:p>
    <w:p w14:paraId="642D2DA6" w14:textId="77777777" w:rsidR="00000000" w:rsidRDefault="00C1661D">
      <w:pPr>
        <w:jc w:val="both"/>
        <w:rPr>
          <w:rFonts w:eastAsia="Times New Roman"/>
        </w:rPr>
      </w:pPr>
    </w:p>
    <w:p w14:paraId="343D30D1" w14:textId="77777777" w:rsidR="00000000" w:rsidRDefault="00C1661D">
      <w:pPr>
        <w:jc w:val="both"/>
        <w:rPr>
          <w:rFonts w:eastAsia="Times New Roman"/>
        </w:rPr>
      </w:pPr>
      <w:r>
        <w:rPr>
          <w:rFonts w:eastAsia="Times New Roman"/>
          <w:color w:val="000000"/>
          <w:sz w:val="20"/>
          <w:szCs w:val="20"/>
        </w:rPr>
        <w:t>Our Midstream &amp; Marketing’s electricity generation assets own electr</w:t>
      </w:r>
      <w:r>
        <w:rPr>
          <w:rFonts w:eastAsia="Times New Roman"/>
          <w:color w:val="000000"/>
          <w:sz w:val="20"/>
          <w:szCs w:val="20"/>
        </w:rPr>
        <w:t xml:space="preserve">ic generation facilities that are within the control area of PJM and are dispatched in accordance with a FERC-approved open access tariff and associated agreements administered by PJM. UGID is the entity designated for dispatching and financially settling </w:t>
      </w:r>
      <w:r>
        <w:rPr>
          <w:rFonts w:eastAsia="Times New Roman"/>
          <w:color w:val="000000"/>
          <w:sz w:val="20"/>
          <w:szCs w:val="20"/>
        </w:rPr>
        <w:t>all company owned generation and receives certain revenues collected by PJM, determined under an approved rate schedule.  Like Energy Services, UGID has a tariff on file with FERC pursuant to which it may make power sales to wholesale customers at market-b</w:t>
      </w:r>
      <w:r>
        <w:rPr>
          <w:rFonts w:eastAsia="Times New Roman"/>
          <w:color w:val="000000"/>
          <w:sz w:val="20"/>
          <w:szCs w:val="20"/>
        </w:rPr>
        <w:t xml:space="preserve">ased rates, and FERC has approved UGID’s market-based rate authority through 2023. UGID is also subject to FERC reporting requirements, market manipulation rules and other FERC enforcement and regulatory powers. </w:t>
      </w:r>
    </w:p>
    <w:p w14:paraId="2A8690E7" w14:textId="77777777" w:rsidR="00000000" w:rsidRDefault="00C1661D">
      <w:pPr>
        <w:jc w:val="both"/>
        <w:rPr>
          <w:rFonts w:eastAsia="Times New Roman"/>
        </w:rPr>
      </w:pPr>
    </w:p>
    <w:p w14:paraId="0771B2A2" w14:textId="77777777" w:rsidR="00000000" w:rsidRDefault="00C1661D">
      <w:pPr>
        <w:jc w:val="both"/>
        <w:rPr>
          <w:rFonts w:eastAsia="Times New Roman"/>
        </w:rPr>
      </w:pPr>
      <w:r>
        <w:rPr>
          <w:rFonts w:eastAsia="Times New Roman"/>
          <w:b/>
          <w:bCs/>
          <w:i/>
          <w:iCs/>
          <w:color w:val="000000"/>
          <w:sz w:val="20"/>
          <w:szCs w:val="20"/>
        </w:rPr>
        <w:t>Employees</w:t>
      </w:r>
    </w:p>
    <w:p w14:paraId="2FDE939F" w14:textId="77777777" w:rsidR="00000000" w:rsidRDefault="00C1661D">
      <w:pPr>
        <w:jc w:val="both"/>
        <w:rPr>
          <w:rFonts w:eastAsia="Times New Roman"/>
        </w:rPr>
      </w:pPr>
    </w:p>
    <w:p w14:paraId="08D1F908" w14:textId="77777777" w:rsidR="00000000" w:rsidRDefault="00C1661D">
      <w:pPr>
        <w:jc w:val="both"/>
        <w:rPr>
          <w:rFonts w:eastAsia="Times New Roman"/>
        </w:rPr>
      </w:pPr>
      <w:r>
        <w:rPr>
          <w:rFonts w:eastAsia="Times New Roman"/>
          <w:color w:val="000000"/>
          <w:sz w:val="20"/>
          <w:szCs w:val="20"/>
        </w:rPr>
        <w:t>At September 30, 2022, Midstream &amp; Marketing had approximately 370 employees.</w:t>
      </w:r>
    </w:p>
    <w:p w14:paraId="7A4B5935" w14:textId="77777777" w:rsidR="00000000" w:rsidRDefault="00C1661D">
      <w:pPr>
        <w:jc w:val="both"/>
        <w:rPr>
          <w:rFonts w:eastAsia="Times New Roman"/>
        </w:rPr>
      </w:pPr>
    </w:p>
    <w:p w14:paraId="37AA3406" w14:textId="77777777" w:rsidR="00000000" w:rsidRDefault="00C1661D">
      <w:pPr>
        <w:jc w:val="center"/>
        <w:rPr>
          <w:rFonts w:eastAsia="Times New Roman"/>
        </w:rPr>
      </w:pPr>
      <w:r>
        <w:rPr>
          <w:rFonts w:eastAsia="Times New Roman"/>
          <w:b/>
          <w:bCs/>
          <w:color w:val="000000"/>
          <w:sz w:val="20"/>
          <w:szCs w:val="20"/>
        </w:rPr>
        <w:t>UTILITIES</w:t>
      </w:r>
    </w:p>
    <w:p w14:paraId="179AA811" w14:textId="77777777" w:rsidR="00000000" w:rsidRDefault="00C1661D">
      <w:pPr>
        <w:divId w:val="715395470"/>
        <w:rPr>
          <w:rFonts w:eastAsia="Times New Roman"/>
        </w:rPr>
      </w:pPr>
    </w:p>
    <w:p w14:paraId="232E5E82" w14:textId="77777777" w:rsidR="00000000" w:rsidRDefault="00C1661D">
      <w:pPr>
        <w:jc w:val="both"/>
        <w:rPr>
          <w:rFonts w:eastAsia="Times New Roman"/>
        </w:rPr>
      </w:pPr>
      <w:r>
        <w:rPr>
          <w:rFonts w:eastAsia="Times New Roman"/>
          <w:b/>
          <w:bCs/>
          <w:i/>
          <w:iCs/>
          <w:color w:val="000000"/>
          <w:sz w:val="20"/>
          <w:szCs w:val="20"/>
        </w:rPr>
        <w:t>PA GAS UTILITY</w:t>
      </w:r>
    </w:p>
    <w:p w14:paraId="44EC5BE5" w14:textId="77777777" w:rsidR="00000000" w:rsidRDefault="00C1661D">
      <w:pPr>
        <w:jc w:val="both"/>
        <w:rPr>
          <w:rFonts w:eastAsia="Times New Roman"/>
        </w:rPr>
      </w:pPr>
    </w:p>
    <w:p w14:paraId="3A8E42A6" w14:textId="77777777" w:rsidR="00000000" w:rsidRDefault="00C1661D">
      <w:pPr>
        <w:jc w:val="both"/>
        <w:rPr>
          <w:rFonts w:eastAsia="Times New Roman"/>
        </w:rPr>
      </w:pPr>
      <w:r>
        <w:rPr>
          <w:rFonts w:eastAsia="Times New Roman"/>
          <w:color w:val="000000"/>
          <w:sz w:val="20"/>
          <w:szCs w:val="20"/>
        </w:rPr>
        <w:t xml:space="preserve">PA Gas Utility consists of the regulated natural gas distribution business of our subsidiary, UGI Utilities. PA Gas Utility serves </w:t>
      </w:r>
    </w:p>
    <w:p w14:paraId="7E9FA7B4" w14:textId="77777777" w:rsidR="00000000" w:rsidRDefault="00C1661D">
      <w:pPr>
        <w:jc w:val="center"/>
        <w:divId w:val="227344508"/>
        <w:rPr>
          <w:rFonts w:eastAsia="Times New Roman"/>
        </w:rPr>
      </w:pPr>
      <w:r>
        <w:rPr>
          <w:rFonts w:eastAsia="Times New Roman"/>
          <w:color w:val="000000"/>
          <w:sz w:val="20"/>
          <w:szCs w:val="20"/>
        </w:rPr>
        <w:t>24</w:t>
      </w:r>
    </w:p>
    <w:p w14:paraId="4DF19695" w14:textId="77777777" w:rsidR="00000000" w:rsidRDefault="00C1661D">
      <w:pPr>
        <w:rPr>
          <w:rFonts w:eastAsia="Times New Roman"/>
        </w:rPr>
      </w:pPr>
      <w:r>
        <w:rPr>
          <w:rFonts w:eastAsia="Times New Roman"/>
        </w:rPr>
        <w:pict w14:anchorId="32EE6783">
          <v:rect id="_x0000_i1050" style="width:0;height:1.5pt" o:hralign="center" o:hrstd="t" o:hr="t" fillcolor="#a0a0a0" stroked="f"/>
        </w:pict>
      </w:r>
    </w:p>
    <w:p w14:paraId="482AA513" w14:textId="77777777" w:rsidR="00000000" w:rsidRDefault="00C1661D">
      <w:pPr>
        <w:divId w:val="796028019"/>
        <w:rPr>
          <w:rFonts w:eastAsia="Times New Roman"/>
        </w:rPr>
      </w:pPr>
      <w:hyperlink w:anchor="i3850c3c6c0104e42b9951aac2f16098a_7" w:history="1">
        <w:r>
          <w:rPr>
            <w:rStyle w:val="a3"/>
            <w:rFonts w:eastAsia="Times New Roman"/>
            <w:b/>
            <w:bCs/>
            <w:sz w:val="20"/>
            <w:szCs w:val="20"/>
          </w:rPr>
          <w:t>Table of Contents</w:t>
        </w:r>
      </w:hyperlink>
    </w:p>
    <w:p w14:paraId="270BA6AA" w14:textId="77777777" w:rsidR="00000000" w:rsidRDefault="00C1661D">
      <w:pPr>
        <w:jc w:val="both"/>
        <w:rPr>
          <w:rFonts w:eastAsia="Times New Roman"/>
        </w:rPr>
      </w:pPr>
      <w:r>
        <w:rPr>
          <w:rFonts w:eastAsia="Times New Roman"/>
          <w:color w:val="000000"/>
          <w:sz w:val="20"/>
          <w:szCs w:val="20"/>
        </w:rPr>
        <w:t>customers in eastern and central Pennsylvania and in portions of one Maryland county, and therefore is regulated by the PAPUC and, with respect to its customers in Maryland, the MDPSC.</w:t>
      </w:r>
    </w:p>
    <w:p w14:paraId="05059CA8" w14:textId="77777777" w:rsidR="00000000" w:rsidRDefault="00C1661D">
      <w:pPr>
        <w:jc w:val="both"/>
        <w:rPr>
          <w:rFonts w:eastAsia="Times New Roman"/>
        </w:rPr>
      </w:pPr>
    </w:p>
    <w:p w14:paraId="435784CA" w14:textId="77777777" w:rsidR="00000000" w:rsidRDefault="00C1661D">
      <w:pPr>
        <w:jc w:val="both"/>
        <w:rPr>
          <w:rFonts w:eastAsia="Times New Roman"/>
        </w:rPr>
      </w:pPr>
      <w:r>
        <w:rPr>
          <w:rFonts w:eastAsia="Times New Roman"/>
          <w:b/>
          <w:bCs/>
          <w:i/>
          <w:iCs/>
          <w:color w:val="000000"/>
          <w:sz w:val="20"/>
          <w:szCs w:val="20"/>
        </w:rPr>
        <w:t>Service Area; Revenue Analysis</w:t>
      </w:r>
    </w:p>
    <w:p w14:paraId="0F8E1639" w14:textId="77777777" w:rsidR="00000000" w:rsidRDefault="00C1661D">
      <w:pPr>
        <w:jc w:val="both"/>
        <w:rPr>
          <w:rFonts w:eastAsia="Times New Roman"/>
        </w:rPr>
      </w:pPr>
    </w:p>
    <w:p w14:paraId="58F73E34" w14:textId="77777777" w:rsidR="00000000" w:rsidRDefault="00C1661D">
      <w:pPr>
        <w:jc w:val="both"/>
        <w:rPr>
          <w:rFonts w:eastAsia="Times New Roman"/>
        </w:rPr>
      </w:pPr>
      <w:r>
        <w:rPr>
          <w:rFonts w:eastAsia="Times New Roman"/>
          <w:color w:val="000000"/>
          <w:sz w:val="20"/>
          <w:szCs w:val="20"/>
        </w:rPr>
        <w:t xml:space="preserve">PA Gas Utility provides natural gas </w:t>
      </w:r>
      <w:r>
        <w:rPr>
          <w:rFonts w:eastAsia="Times New Roman"/>
          <w:color w:val="000000"/>
          <w:sz w:val="20"/>
          <w:szCs w:val="20"/>
        </w:rPr>
        <w:t>distribution services to approximately 677,000 customers in certificated portions of 46 eastern and central Pennsylvania counties through its distribution system. Contemporary materials, such as plastic or coated steel, comprise approximately 92% of PA Gas</w:t>
      </w:r>
      <w:r>
        <w:rPr>
          <w:rFonts w:eastAsia="Times New Roman"/>
          <w:color w:val="000000"/>
          <w:sz w:val="20"/>
          <w:szCs w:val="20"/>
        </w:rPr>
        <w:t xml:space="preserve"> Utility’s more than 12,500 miles of gas mains, with bare steel pipe comprising approximately 7% and cast iron pipe comprising approximately 1% of PA Gas Utility’s gas mains. In accordance with PA Gas Utility’s agreement with the PAPUC, PA Gas Utility will</w:t>
      </w:r>
      <w:r>
        <w:rPr>
          <w:rFonts w:eastAsia="Times New Roman"/>
          <w:color w:val="000000"/>
          <w:sz w:val="20"/>
          <w:szCs w:val="20"/>
        </w:rPr>
        <w:t xml:space="preserve"> replace the cast iron portion of its gas mains by March 2027 and the bare steel portion of its gas mains by September 2041. Located in PA Gas Utility’s service area are major production centers for basic industries such as specialty metals, aluminum, glas</w:t>
      </w:r>
      <w:r>
        <w:rPr>
          <w:rFonts w:eastAsia="Times New Roman"/>
          <w:color w:val="000000"/>
          <w:sz w:val="20"/>
          <w:szCs w:val="20"/>
        </w:rPr>
        <w:t xml:space="preserve">s, paper product manufacturing and several power generation facilities. PA Gas Utility also distributes natural gas to more than 550 customers in portions of one Maryland county. </w:t>
      </w:r>
    </w:p>
    <w:p w14:paraId="201A4542" w14:textId="77777777" w:rsidR="00000000" w:rsidRDefault="00C1661D">
      <w:pPr>
        <w:jc w:val="both"/>
        <w:rPr>
          <w:rFonts w:eastAsia="Times New Roman"/>
        </w:rPr>
      </w:pPr>
    </w:p>
    <w:p w14:paraId="2ADFABD3" w14:textId="77777777" w:rsidR="00000000" w:rsidRDefault="00C1661D">
      <w:pPr>
        <w:jc w:val="both"/>
        <w:rPr>
          <w:rFonts w:eastAsia="Times New Roman"/>
        </w:rPr>
      </w:pPr>
      <w:r>
        <w:rPr>
          <w:rFonts w:eastAsia="Times New Roman"/>
          <w:color w:val="000000"/>
          <w:sz w:val="20"/>
          <w:szCs w:val="20"/>
        </w:rPr>
        <w:t>System throughput (the total volume of gas sold to or transported for cust</w:t>
      </w:r>
      <w:r>
        <w:rPr>
          <w:rFonts w:eastAsia="Times New Roman"/>
          <w:color w:val="000000"/>
          <w:sz w:val="20"/>
          <w:szCs w:val="20"/>
        </w:rPr>
        <w:t>omers within PA Gas Utility’s distribution system) for Fiscal 2022 was approximately 314 Bcf. System sales of gas accounted for approximately 19% of system throughput, while gas transported for residential, commercial and industrial customers who bought th</w:t>
      </w:r>
      <w:r>
        <w:rPr>
          <w:rFonts w:eastAsia="Times New Roman"/>
          <w:color w:val="000000"/>
          <w:sz w:val="20"/>
          <w:szCs w:val="20"/>
        </w:rPr>
        <w:t>eir gas from others accounted for approximately 81% of system throughput.</w:t>
      </w:r>
    </w:p>
    <w:p w14:paraId="61CF95FE" w14:textId="77777777" w:rsidR="00000000" w:rsidRDefault="00C1661D">
      <w:pPr>
        <w:jc w:val="both"/>
        <w:rPr>
          <w:rFonts w:eastAsia="Times New Roman"/>
        </w:rPr>
      </w:pPr>
    </w:p>
    <w:p w14:paraId="73BA1107" w14:textId="77777777" w:rsidR="00000000" w:rsidRDefault="00C1661D">
      <w:pPr>
        <w:jc w:val="both"/>
        <w:rPr>
          <w:rFonts w:eastAsia="Times New Roman"/>
        </w:rPr>
      </w:pPr>
      <w:r>
        <w:rPr>
          <w:rFonts w:eastAsia="Times New Roman"/>
          <w:b/>
          <w:bCs/>
          <w:i/>
          <w:iCs/>
          <w:color w:val="000000"/>
          <w:sz w:val="20"/>
          <w:szCs w:val="20"/>
        </w:rPr>
        <w:t>Sources of Supply and Pipeline Capacity</w:t>
      </w:r>
    </w:p>
    <w:p w14:paraId="442C3EFE" w14:textId="77777777" w:rsidR="00000000" w:rsidRDefault="00C1661D">
      <w:pPr>
        <w:jc w:val="both"/>
        <w:rPr>
          <w:rFonts w:eastAsia="Times New Roman"/>
        </w:rPr>
      </w:pPr>
    </w:p>
    <w:p w14:paraId="70795D14" w14:textId="77777777" w:rsidR="00000000" w:rsidRDefault="00C1661D">
      <w:pPr>
        <w:jc w:val="both"/>
        <w:rPr>
          <w:rFonts w:eastAsia="Times New Roman"/>
        </w:rPr>
      </w:pPr>
      <w:r>
        <w:rPr>
          <w:rFonts w:eastAsia="Times New Roman"/>
          <w:color w:val="000000"/>
          <w:sz w:val="20"/>
          <w:szCs w:val="20"/>
        </w:rPr>
        <w:t>PA Gas Utility is permitted to recover all prudently incurred costs of natural gas it sells to its customers. See “Management’s Discussion</w:t>
      </w:r>
      <w:r>
        <w:rPr>
          <w:rFonts w:eastAsia="Times New Roman"/>
          <w:color w:val="000000"/>
          <w:sz w:val="20"/>
          <w:szCs w:val="20"/>
        </w:rPr>
        <w:t xml:space="preserve"> and Analysis of Financial Condition and Results of Operations - Market Risk Disclosures” and Note 9 to Consolidated Financial Statements. PA Gas Utility meets its service requirements by utilizing a diverse mix of natural gas purchase contracts with marke</w:t>
      </w:r>
      <w:r>
        <w:rPr>
          <w:rFonts w:eastAsia="Times New Roman"/>
          <w:color w:val="000000"/>
          <w:sz w:val="20"/>
          <w:szCs w:val="20"/>
        </w:rPr>
        <w:t>ters and producers, along with storage and transportation service contracts. These arrangements enable PA Gas Utility to purchase gas from Marcellus, Gulf Coast, Mid-Continent, and Appalachian sources. For its transportation and storage functions, PA Gas U</w:t>
      </w:r>
      <w:r>
        <w:rPr>
          <w:rFonts w:eastAsia="Times New Roman"/>
          <w:color w:val="000000"/>
          <w:sz w:val="20"/>
          <w:szCs w:val="20"/>
        </w:rPr>
        <w:t>tility has long-term agreements with a number of pipeline companies, including Texas Eastern Transmission, LP, Columbia Gas Transmission, LLC, Transcontinental Gas Pipeline Company, LLC, Eastern Gas Transmission and Storage, Inc., Tennessee Gas Pipeline Co</w:t>
      </w:r>
      <w:r>
        <w:rPr>
          <w:rFonts w:eastAsia="Times New Roman"/>
          <w:color w:val="000000"/>
          <w:sz w:val="20"/>
          <w:szCs w:val="20"/>
        </w:rPr>
        <w:t xml:space="preserve">mpany, L.L.C., and Energy Services and its subsidiaries (including UGI Storage Company and UGI Sunbury, LLC). </w:t>
      </w:r>
    </w:p>
    <w:p w14:paraId="7AF4BB0D" w14:textId="77777777" w:rsidR="00000000" w:rsidRDefault="00C1661D">
      <w:pPr>
        <w:jc w:val="both"/>
        <w:rPr>
          <w:rFonts w:eastAsia="Times New Roman"/>
        </w:rPr>
      </w:pPr>
    </w:p>
    <w:p w14:paraId="19B8EC6B" w14:textId="77777777" w:rsidR="00000000" w:rsidRDefault="00C1661D">
      <w:pPr>
        <w:jc w:val="both"/>
        <w:rPr>
          <w:rFonts w:eastAsia="Times New Roman"/>
        </w:rPr>
      </w:pPr>
      <w:r>
        <w:rPr>
          <w:rFonts w:eastAsia="Times New Roman"/>
          <w:b/>
          <w:bCs/>
          <w:i/>
          <w:iCs/>
          <w:color w:val="000000"/>
          <w:sz w:val="20"/>
          <w:szCs w:val="20"/>
        </w:rPr>
        <w:t>Gas Supply Contracts</w:t>
      </w:r>
    </w:p>
    <w:p w14:paraId="665280BD" w14:textId="77777777" w:rsidR="00000000" w:rsidRDefault="00C1661D">
      <w:pPr>
        <w:jc w:val="both"/>
        <w:rPr>
          <w:rFonts w:eastAsia="Times New Roman"/>
        </w:rPr>
      </w:pPr>
    </w:p>
    <w:p w14:paraId="0621B186" w14:textId="77777777" w:rsidR="00000000" w:rsidRDefault="00C1661D">
      <w:pPr>
        <w:jc w:val="both"/>
        <w:rPr>
          <w:rFonts w:eastAsia="Times New Roman"/>
        </w:rPr>
      </w:pPr>
      <w:r>
        <w:rPr>
          <w:rFonts w:eastAsia="Times New Roman"/>
          <w:color w:val="000000"/>
          <w:sz w:val="20"/>
          <w:szCs w:val="20"/>
        </w:rPr>
        <w:t>During Fiscal 2022, PA Gas Utility purchased approximately 83 Bcf of natural gas for sale to retail core-market customer</w:t>
      </w:r>
      <w:r>
        <w:rPr>
          <w:rFonts w:eastAsia="Times New Roman"/>
          <w:color w:val="000000"/>
          <w:sz w:val="20"/>
          <w:szCs w:val="20"/>
        </w:rPr>
        <w:t>s (principally comprised of firm- residential, commercial and industrial customers that purchase their gas from PA Gas Utility) and off-system sales customers. Approximately 98% of the volumes purchased were supplied under agreements with ten suppliers, wi</w:t>
      </w:r>
      <w:r>
        <w:rPr>
          <w:rFonts w:eastAsia="Times New Roman"/>
          <w:color w:val="000000"/>
          <w:sz w:val="20"/>
          <w:szCs w:val="20"/>
        </w:rPr>
        <w:t>th the remaining volumes supplied by</w:t>
      </w:r>
      <w:r>
        <w:rPr>
          <w:rFonts w:eastAsia="Times New Roman"/>
          <w:color w:val="000000"/>
          <w:sz w:val="20"/>
          <w:szCs w:val="20"/>
          <w:shd w:val="clear" w:color="auto" w:fill="FFFFFF"/>
        </w:rPr>
        <w:t xml:space="preserve"> 20 producers and</w:t>
      </w:r>
      <w:r>
        <w:rPr>
          <w:rFonts w:eastAsia="Times New Roman"/>
          <w:color w:val="000000"/>
          <w:sz w:val="20"/>
          <w:szCs w:val="20"/>
        </w:rPr>
        <w:t xml:space="preserve"> marketers. Gas supply contracts for PA Gas Utility are generally no longer than 12 months. PA Gas Utility also has long-term contracts with suppliers for natural gas peaking supply during the months of </w:t>
      </w:r>
      <w:r>
        <w:rPr>
          <w:rFonts w:eastAsia="Times New Roman"/>
          <w:color w:val="000000"/>
          <w:sz w:val="20"/>
          <w:szCs w:val="20"/>
        </w:rPr>
        <w:t>November through March.</w:t>
      </w:r>
    </w:p>
    <w:p w14:paraId="55A41382" w14:textId="77777777" w:rsidR="00000000" w:rsidRDefault="00C1661D">
      <w:pPr>
        <w:jc w:val="both"/>
        <w:rPr>
          <w:rFonts w:eastAsia="Times New Roman"/>
        </w:rPr>
      </w:pPr>
    </w:p>
    <w:p w14:paraId="128D340D" w14:textId="77777777" w:rsidR="00000000" w:rsidRDefault="00C1661D">
      <w:pPr>
        <w:jc w:val="both"/>
        <w:rPr>
          <w:rFonts w:eastAsia="Times New Roman"/>
        </w:rPr>
      </w:pPr>
      <w:r>
        <w:rPr>
          <w:rFonts w:eastAsia="Times New Roman"/>
          <w:b/>
          <w:bCs/>
          <w:i/>
          <w:iCs/>
          <w:color w:val="000000"/>
          <w:sz w:val="20"/>
          <w:szCs w:val="20"/>
        </w:rPr>
        <w:t>Seasonality</w:t>
      </w:r>
    </w:p>
    <w:p w14:paraId="4E1297AF" w14:textId="77777777" w:rsidR="00000000" w:rsidRDefault="00C1661D">
      <w:pPr>
        <w:jc w:val="both"/>
        <w:rPr>
          <w:rFonts w:eastAsia="Times New Roman"/>
        </w:rPr>
      </w:pPr>
    </w:p>
    <w:p w14:paraId="3A5200EC" w14:textId="77777777" w:rsidR="00000000" w:rsidRDefault="00C1661D">
      <w:pPr>
        <w:jc w:val="both"/>
        <w:rPr>
          <w:rFonts w:eastAsia="Times New Roman"/>
        </w:rPr>
      </w:pPr>
      <w:r>
        <w:rPr>
          <w:rFonts w:eastAsia="Times New Roman"/>
          <w:color w:val="000000"/>
          <w:sz w:val="20"/>
          <w:szCs w:val="20"/>
        </w:rPr>
        <w:t>Because many of its customers use natural gas for heating purposes, PA Gas Utility’</w:t>
      </w:r>
      <w:r>
        <w:rPr>
          <w:rFonts w:eastAsia="Times New Roman"/>
          <w:color w:val="000000"/>
          <w:sz w:val="20"/>
          <w:szCs w:val="20"/>
        </w:rPr>
        <w:t xml:space="preserve">s sales are seasonal. For Fiscal 2022, approximately 59% of PA Gas Utility’s sales volume was supplied, and approximately 85% of PA Gas Utility’s operating income was earned, during the peak heating season from October through March. </w:t>
      </w:r>
    </w:p>
    <w:p w14:paraId="76FA2A3C" w14:textId="77777777" w:rsidR="00000000" w:rsidRDefault="00C1661D">
      <w:pPr>
        <w:jc w:val="both"/>
        <w:rPr>
          <w:rFonts w:eastAsia="Times New Roman"/>
        </w:rPr>
      </w:pPr>
    </w:p>
    <w:p w14:paraId="76332B17" w14:textId="77777777" w:rsidR="00000000" w:rsidRDefault="00C1661D">
      <w:pPr>
        <w:jc w:val="both"/>
        <w:rPr>
          <w:rFonts w:eastAsia="Times New Roman"/>
        </w:rPr>
      </w:pPr>
      <w:r>
        <w:rPr>
          <w:rFonts w:eastAsia="Times New Roman"/>
          <w:b/>
          <w:bCs/>
          <w:i/>
          <w:iCs/>
          <w:color w:val="000000"/>
          <w:sz w:val="20"/>
          <w:szCs w:val="20"/>
        </w:rPr>
        <w:t>Competition</w:t>
      </w:r>
    </w:p>
    <w:p w14:paraId="240915C1" w14:textId="77777777" w:rsidR="00000000" w:rsidRDefault="00C1661D">
      <w:pPr>
        <w:jc w:val="both"/>
        <w:rPr>
          <w:rFonts w:eastAsia="Times New Roman"/>
        </w:rPr>
      </w:pPr>
    </w:p>
    <w:p w14:paraId="0B946575" w14:textId="77777777" w:rsidR="00000000" w:rsidRDefault="00C1661D">
      <w:pPr>
        <w:jc w:val="both"/>
        <w:rPr>
          <w:rFonts w:eastAsia="Times New Roman"/>
        </w:rPr>
      </w:pPr>
      <w:r>
        <w:rPr>
          <w:rFonts w:eastAsia="Times New Roman"/>
          <w:color w:val="000000"/>
          <w:sz w:val="20"/>
          <w:szCs w:val="20"/>
        </w:rPr>
        <w:t>Natur</w:t>
      </w:r>
      <w:r>
        <w:rPr>
          <w:rFonts w:eastAsia="Times New Roman"/>
          <w:color w:val="000000"/>
          <w:sz w:val="20"/>
          <w:szCs w:val="20"/>
        </w:rPr>
        <w:t>al gas is a fuel that competes with electricity and oil and, to a lesser extent, with propane and coal. Competition among these fuels is primarily a function of their comparative price and the relative cost and efficiency of the equipment. Natural gas gene</w:t>
      </w:r>
      <w:r>
        <w:rPr>
          <w:rFonts w:eastAsia="Times New Roman"/>
          <w:color w:val="000000"/>
          <w:sz w:val="20"/>
          <w:szCs w:val="20"/>
        </w:rPr>
        <w:t>rally benefits from a competitive price advantage over oil, electricity and propane. Fuel oil dealers compete for customers in all categories, including industrial customers. PA Gas Utility responds to this competition with marketing and sales efforts desi</w:t>
      </w:r>
      <w:r>
        <w:rPr>
          <w:rFonts w:eastAsia="Times New Roman"/>
          <w:color w:val="000000"/>
          <w:sz w:val="20"/>
          <w:szCs w:val="20"/>
        </w:rPr>
        <w:t>gned to retain, expand and grow its customer base.</w:t>
      </w:r>
    </w:p>
    <w:p w14:paraId="5704F2E6" w14:textId="77777777" w:rsidR="00000000" w:rsidRDefault="00C1661D">
      <w:pPr>
        <w:jc w:val="both"/>
        <w:rPr>
          <w:rFonts w:eastAsia="Times New Roman"/>
        </w:rPr>
      </w:pPr>
    </w:p>
    <w:p w14:paraId="73E740A3" w14:textId="77777777" w:rsidR="00000000" w:rsidRDefault="00C1661D">
      <w:pPr>
        <w:jc w:val="both"/>
        <w:rPr>
          <w:rFonts w:eastAsia="Times New Roman"/>
        </w:rPr>
      </w:pPr>
      <w:r>
        <w:rPr>
          <w:rFonts w:eastAsia="Times New Roman"/>
          <w:color w:val="000000"/>
          <w:sz w:val="20"/>
          <w:szCs w:val="20"/>
        </w:rPr>
        <w:t xml:space="preserve">In substantially all of its service territories, PA Gas Utility is the only regulated gas distribution utility having the right, granted by the PAPUC or by law, to provide gas distribution services. All </w:t>
      </w:r>
      <w:r>
        <w:rPr>
          <w:rFonts w:eastAsia="Times New Roman"/>
          <w:color w:val="000000"/>
          <w:sz w:val="20"/>
          <w:szCs w:val="20"/>
        </w:rPr>
        <w:t>of PA Gas Utility’s customers, including core-market customers, have the right to purchase gas supplies from entities other than natural gas distribution utility companies.</w:t>
      </w:r>
    </w:p>
    <w:p w14:paraId="09A79A50" w14:textId="77777777" w:rsidR="00000000" w:rsidRDefault="00C1661D">
      <w:pPr>
        <w:jc w:val="both"/>
        <w:rPr>
          <w:rFonts w:eastAsia="Times New Roman"/>
        </w:rPr>
      </w:pPr>
    </w:p>
    <w:p w14:paraId="7DD7B485" w14:textId="77777777" w:rsidR="00000000" w:rsidRDefault="00C1661D">
      <w:pPr>
        <w:jc w:val="both"/>
        <w:rPr>
          <w:rFonts w:eastAsia="Times New Roman"/>
        </w:rPr>
      </w:pPr>
      <w:r>
        <w:rPr>
          <w:rFonts w:eastAsia="Times New Roman"/>
          <w:color w:val="000000"/>
          <w:sz w:val="20"/>
          <w:szCs w:val="20"/>
        </w:rPr>
        <w:t>A number of PA Gas Utility’s commercial and industrial customers have the ability</w:t>
      </w:r>
      <w:r>
        <w:rPr>
          <w:rFonts w:eastAsia="Times New Roman"/>
          <w:color w:val="000000"/>
          <w:sz w:val="20"/>
          <w:szCs w:val="20"/>
        </w:rPr>
        <w:t xml:space="preserve"> to switch to an alternate fuel at any time </w:t>
      </w:r>
    </w:p>
    <w:p w14:paraId="57353AC4" w14:textId="77777777" w:rsidR="00000000" w:rsidRDefault="00C1661D">
      <w:pPr>
        <w:jc w:val="center"/>
        <w:divId w:val="1708601764"/>
        <w:rPr>
          <w:rFonts w:eastAsia="Times New Roman"/>
        </w:rPr>
      </w:pPr>
      <w:r>
        <w:rPr>
          <w:rFonts w:eastAsia="Times New Roman"/>
          <w:color w:val="000000"/>
          <w:sz w:val="20"/>
          <w:szCs w:val="20"/>
        </w:rPr>
        <w:t>25</w:t>
      </w:r>
    </w:p>
    <w:p w14:paraId="301C5323" w14:textId="77777777" w:rsidR="00000000" w:rsidRDefault="00C1661D">
      <w:pPr>
        <w:rPr>
          <w:rFonts w:eastAsia="Times New Roman"/>
        </w:rPr>
      </w:pPr>
      <w:r>
        <w:rPr>
          <w:rFonts w:eastAsia="Times New Roman"/>
        </w:rPr>
        <w:pict w14:anchorId="7F05C90E">
          <v:rect id="_x0000_i1051" style="width:0;height:1.5pt" o:hralign="center" o:hrstd="t" o:hr="t" fillcolor="#a0a0a0" stroked="f"/>
        </w:pict>
      </w:r>
    </w:p>
    <w:p w14:paraId="49AE28B3" w14:textId="77777777" w:rsidR="00000000" w:rsidRDefault="00C1661D">
      <w:pPr>
        <w:divId w:val="680551157"/>
        <w:rPr>
          <w:rFonts w:eastAsia="Times New Roman"/>
        </w:rPr>
      </w:pPr>
      <w:hyperlink w:anchor="i3850c3c6c0104e42b9951aac2f16098a_7" w:history="1">
        <w:r>
          <w:rPr>
            <w:rStyle w:val="a3"/>
            <w:rFonts w:eastAsia="Times New Roman"/>
            <w:b/>
            <w:bCs/>
            <w:sz w:val="20"/>
            <w:szCs w:val="20"/>
          </w:rPr>
          <w:t>Table of Contents</w:t>
        </w:r>
      </w:hyperlink>
    </w:p>
    <w:p w14:paraId="395C43B4" w14:textId="77777777" w:rsidR="00000000" w:rsidRDefault="00C1661D">
      <w:pPr>
        <w:jc w:val="both"/>
        <w:rPr>
          <w:rFonts w:eastAsia="Times New Roman"/>
        </w:rPr>
      </w:pPr>
      <w:r>
        <w:rPr>
          <w:rFonts w:eastAsia="Times New Roman"/>
          <w:color w:val="000000"/>
          <w:sz w:val="20"/>
          <w:szCs w:val="20"/>
        </w:rPr>
        <w:t>and, therefore, are served on an interruptible basis under rates that are competitively priced w</w:t>
      </w:r>
      <w:r>
        <w:rPr>
          <w:rFonts w:eastAsia="Times New Roman"/>
          <w:color w:val="000000"/>
          <w:sz w:val="20"/>
          <w:szCs w:val="20"/>
        </w:rPr>
        <w:t>ith respect to the alternate fuel. Margin from these customers, therefore, is affected by the difference or “spread” between the customers’ delivered cost of gas and the customers’ delivered cost of the alternate fuel, the frequency and duration of interru</w:t>
      </w:r>
      <w:r>
        <w:rPr>
          <w:rFonts w:eastAsia="Times New Roman"/>
          <w:color w:val="000000"/>
          <w:sz w:val="20"/>
          <w:szCs w:val="20"/>
        </w:rPr>
        <w:t>ptions, and alternative firm service options. See “Utilities Regulation - State Utility Regulation - PA Gas Utility.”</w:t>
      </w:r>
    </w:p>
    <w:p w14:paraId="239E20B7" w14:textId="77777777" w:rsidR="00000000" w:rsidRDefault="00C1661D">
      <w:pPr>
        <w:jc w:val="both"/>
        <w:rPr>
          <w:rFonts w:eastAsia="Times New Roman"/>
        </w:rPr>
      </w:pPr>
    </w:p>
    <w:p w14:paraId="0459DB89" w14:textId="77777777" w:rsidR="00000000" w:rsidRDefault="00C1661D">
      <w:pPr>
        <w:jc w:val="both"/>
        <w:rPr>
          <w:rFonts w:eastAsia="Times New Roman"/>
        </w:rPr>
      </w:pPr>
      <w:r>
        <w:rPr>
          <w:rFonts w:eastAsia="Times New Roman"/>
          <w:color w:val="000000"/>
          <w:sz w:val="20"/>
          <w:szCs w:val="20"/>
        </w:rPr>
        <w:t>Approximately 70% of PA Gas Utility’s annual throughput volume for commercial and industrial customers includes non-interruptible custom</w:t>
      </w:r>
      <w:r>
        <w:rPr>
          <w:rFonts w:eastAsia="Times New Roman"/>
          <w:color w:val="000000"/>
          <w:sz w:val="20"/>
          <w:szCs w:val="20"/>
        </w:rPr>
        <w:t>ers with firm rates at locations that afford them the opportunity of seeking transportation service directly from interstate pipelines, thereby bypassing PA Gas Utility. In addition, nearly three percent of PA Gas Utility’s annual throughput volume for com</w:t>
      </w:r>
      <w:r>
        <w:rPr>
          <w:rFonts w:eastAsia="Times New Roman"/>
          <w:color w:val="000000"/>
          <w:sz w:val="20"/>
          <w:szCs w:val="20"/>
        </w:rPr>
        <w:t>mercial and industrial customers is from customers who are served under interruptible rates and are also in a location near an interstate pipeline. During Fiscal 2022, PA Gas Utility had 17 such customers, 14 of which have transportation contracts extendin</w:t>
      </w:r>
      <w:r>
        <w:rPr>
          <w:rFonts w:eastAsia="Times New Roman"/>
          <w:color w:val="000000"/>
          <w:sz w:val="20"/>
          <w:szCs w:val="20"/>
        </w:rPr>
        <w:t>g beyond Fiscal 2023. The majority of these customers are served under transportation contracts having three to 20-year terms and all are among the largest customers for PA Gas Utility in terms of annual volumes. No single customer represents, or is antici</w:t>
      </w:r>
      <w:r>
        <w:rPr>
          <w:rFonts w:eastAsia="Times New Roman"/>
          <w:color w:val="000000"/>
          <w:sz w:val="20"/>
          <w:szCs w:val="20"/>
        </w:rPr>
        <w:t>pated to represent, more than five percent of PA Gas Utility’s total revenues.</w:t>
      </w:r>
    </w:p>
    <w:p w14:paraId="0647BC16" w14:textId="77777777" w:rsidR="00000000" w:rsidRDefault="00C1661D">
      <w:pPr>
        <w:jc w:val="both"/>
        <w:rPr>
          <w:rFonts w:eastAsia="Times New Roman"/>
        </w:rPr>
      </w:pPr>
    </w:p>
    <w:p w14:paraId="09075D01" w14:textId="77777777" w:rsidR="00000000" w:rsidRDefault="00C1661D">
      <w:pPr>
        <w:jc w:val="both"/>
        <w:rPr>
          <w:rFonts w:eastAsia="Times New Roman"/>
        </w:rPr>
      </w:pPr>
      <w:r>
        <w:rPr>
          <w:rFonts w:eastAsia="Times New Roman"/>
          <w:b/>
          <w:bCs/>
          <w:i/>
          <w:iCs/>
          <w:color w:val="000000"/>
          <w:sz w:val="20"/>
          <w:szCs w:val="20"/>
        </w:rPr>
        <w:t>Outlook for Gas Service and Supply</w:t>
      </w:r>
    </w:p>
    <w:p w14:paraId="7A87AE00" w14:textId="77777777" w:rsidR="00000000" w:rsidRDefault="00C1661D">
      <w:pPr>
        <w:jc w:val="both"/>
        <w:rPr>
          <w:rFonts w:eastAsia="Times New Roman"/>
        </w:rPr>
      </w:pPr>
    </w:p>
    <w:p w14:paraId="422B3082" w14:textId="77777777" w:rsidR="00000000" w:rsidRDefault="00C1661D">
      <w:pPr>
        <w:jc w:val="both"/>
        <w:rPr>
          <w:rFonts w:eastAsia="Times New Roman"/>
        </w:rPr>
      </w:pPr>
      <w:r>
        <w:rPr>
          <w:rFonts w:eastAsia="Times New Roman"/>
          <w:color w:val="000000"/>
          <w:sz w:val="20"/>
          <w:szCs w:val="20"/>
        </w:rPr>
        <w:t>PA Gas Utility anticipates having adequate pipeline capacity, peaking services and other sources of supply available to it to meet the ful</w:t>
      </w:r>
      <w:r>
        <w:rPr>
          <w:rFonts w:eastAsia="Times New Roman"/>
          <w:color w:val="000000"/>
          <w:sz w:val="20"/>
          <w:szCs w:val="20"/>
        </w:rPr>
        <w:t>l requirements of all firm customers on its system through Fiscal 2023. Supply mix is diversified, market priced and delivered pursuant to a number of long-term and short-term primary firm transportation and storage arrangements, including transportation c</w:t>
      </w:r>
      <w:r>
        <w:rPr>
          <w:rFonts w:eastAsia="Times New Roman"/>
          <w:color w:val="000000"/>
          <w:sz w:val="20"/>
          <w:szCs w:val="20"/>
        </w:rPr>
        <w:t>ontracts held by some of PA Gas Utility’s larger customers and natural gas suppliers serving customers on PA Gas Utility’s distribution system.</w:t>
      </w:r>
    </w:p>
    <w:p w14:paraId="0DF0C478" w14:textId="77777777" w:rsidR="00000000" w:rsidRDefault="00C1661D">
      <w:pPr>
        <w:jc w:val="both"/>
        <w:rPr>
          <w:rFonts w:eastAsia="Times New Roman"/>
        </w:rPr>
      </w:pPr>
    </w:p>
    <w:p w14:paraId="68ADEFE1" w14:textId="77777777" w:rsidR="00000000" w:rsidRDefault="00C1661D">
      <w:pPr>
        <w:jc w:val="both"/>
        <w:rPr>
          <w:rFonts w:eastAsia="Times New Roman"/>
        </w:rPr>
      </w:pPr>
      <w:r>
        <w:rPr>
          <w:rFonts w:eastAsia="Times New Roman"/>
          <w:color w:val="000000"/>
          <w:sz w:val="20"/>
          <w:szCs w:val="20"/>
        </w:rPr>
        <w:t>During Fiscal 2022, PA Gas Utility supplied transportation service to 11 electric generation facilities and 28</w:t>
      </w:r>
      <w:r>
        <w:rPr>
          <w:rFonts w:eastAsia="Times New Roman"/>
          <w:color w:val="000000"/>
          <w:sz w:val="20"/>
          <w:szCs w:val="20"/>
        </w:rPr>
        <w:t xml:space="preserve"> major co-generation facilities. PA Gas Utility continues to seek new residential, commercial and industrial customers for both firm and interruptible service. In Fiscal 2022, PA Gas Utility connected more than 1,300 new commercial and industrial customers</w:t>
      </w:r>
      <w:r>
        <w:rPr>
          <w:rFonts w:eastAsia="Times New Roman"/>
          <w:color w:val="000000"/>
          <w:sz w:val="20"/>
          <w:szCs w:val="20"/>
        </w:rPr>
        <w:t>. In the residential market sector, PA Gas Utility added more than 11,500 residential heating customers during Fiscal 2022. Approximately 50% of these customers converted to natural gas heating from other energy sources, mainly oil and electricity. New hom</w:t>
      </w:r>
      <w:r>
        <w:rPr>
          <w:rFonts w:eastAsia="Times New Roman"/>
          <w:color w:val="000000"/>
          <w:sz w:val="20"/>
          <w:szCs w:val="20"/>
        </w:rPr>
        <w:t>e construction and existing non-heating gas customers who added gas heating systems to replace other energy sources primarily accounted for the other residential heating connections in Fiscal 2022.</w:t>
      </w:r>
    </w:p>
    <w:p w14:paraId="73D88518" w14:textId="77777777" w:rsidR="00000000" w:rsidRDefault="00C1661D">
      <w:pPr>
        <w:jc w:val="both"/>
        <w:rPr>
          <w:rFonts w:eastAsia="Times New Roman"/>
        </w:rPr>
      </w:pPr>
    </w:p>
    <w:p w14:paraId="5476DB4F" w14:textId="77777777" w:rsidR="00000000" w:rsidRDefault="00C1661D">
      <w:pPr>
        <w:jc w:val="both"/>
        <w:rPr>
          <w:rFonts w:eastAsia="Times New Roman"/>
        </w:rPr>
      </w:pPr>
      <w:r>
        <w:rPr>
          <w:rFonts w:eastAsia="Times New Roman"/>
          <w:color w:val="000000"/>
          <w:sz w:val="20"/>
          <w:szCs w:val="20"/>
        </w:rPr>
        <w:t>PA Gas Utility continues to monitor and participate, where appropriate, in rulemaking and individual rate and tariff proceedings before FERC affecting the rates and the terms and conditions under which PA Gas Utility transports and stores natural gas using</w:t>
      </w:r>
      <w:r>
        <w:rPr>
          <w:rFonts w:eastAsia="Times New Roman"/>
          <w:color w:val="000000"/>
          <w:sz w:val="20"/>
          <w:szCs w:val="20"/>
        </w:rPr>
        <w:t xml:space="preserve"> interstate natural gas pipelines. Among these proceedings are those arising out of certain FERC orders and/or pipeline filings that relate to (i) the pricing of pipeline services in a competitive energy marketplace, (ii) the flexibility of the terms and c</w:t>
      </w:r>
      <w:r>
        <w:rPr>
          <w:rFonts w:eastAsia="Times New Roman"/>
          <w:color w:val="000000"/>
          <w:sz w:val="20"/>
          <w:szCs w:val="20"/>
        </w:rPr>
        <w:t>onditions of pipeline service tariffs and contracts, and (iii) pipelines’ requests to increase their base rates, or change the terms and conditions of their storage and transportation services.</w:t>
      </w:r>
    </w:p>
    <w:p w14:paraId="6EC84D9F" w14:textId="77777777" w:rsidR="00000000" w:rsidRDefault="00C1661D">
      <w:pPr>
        <w:jc w:val="both"/>
        <w:rPr>
          <w:rFonts w:eastAsia="Times New Roman"/>
        </w:rPr>
      </w:pPr>
    </w:p>
    <w:p w14:paraId="1556CA7F" w14:textId="77777777" w:rsidR="00000000" w:rsidRDefault="00C1661D">
      <w:pPr>
        <w:jc w:val="both"/>
        <w:rPr>
          <w:rFonts w:eastAsia="Times New Roman"/>
        </w:rPr>
      </w:pPr>
      <w:r>
        <w:rPr>
          <w:rFonts w:eastAsia="Times New Roman"/>
          <w:color w:val="000000"/>
          <w:sz w:val="20"/>
          <w:szCs w:val="20"/>
        </w:rPr>
        <w:t>PA Gas Utility’s objective in negotiations with providers of</w:t>
      </w:r>
      <w:r>
        <w:rPr>
          <w:rFonts w:eastAsia="Times New Roman"/>
          <w:color w:val="000000"/>
          <w:sz w:val="20"/>
          <w:szCs w:val="20"/>
        </w:rPr>
        <w:t xml:space="preserve"> gas supply resources, and in proceedings before regulatory agencies, is to ensure availability of supply, transportation and storage alternatives to serve market requirements at the lowest cost possible, taking into account the need for safety, security a</w:t>
      </w:r>
      <w:r>
        <w:rPr>
          <w:rFonts w:eastAsia="Times New Roman"/>
          <w:color w:val="000000"/>
          <w:sz w:val="20"/>
          <w:szCs w:val="20"/>
        </w:rPr>
        <w:t>nd reliability of supply. Consistent with that objective, PA Gas Utility negotiates certain terms of firm transportation capacity on all pipelines serving it, arranges for appropriate storage and peak-shaving resources, negotiates with producers for compet</w:t>
      </w:r>
      <w:r>
        <w:rPr>
          <w:rFonts w:eastAsia="Times New Roman"/>
          <w:color w:val="000000"/>
          <w:sz w:val="20"/>
          <w:szCs w:val="20"/>
        </w:rPr>
        <w:t>itively priced gas purchases and participates in regulatory proceedings related to transportation rights and costs of service.</w:t>
      </w:r>
    </w:p>
    <w:p w14:paraId="3DA315D2" w14:textId="77777777" w:rsidR="00000000" w:rsidRDefault="00C1661D">
      <w:pPr>
        <w:jc w:val="both"/>
        <w:rPr>
          <w:rFonts w:eastAsia="Times New Roman"/>
        </w:rPr>
      </w:pPr>
    </w:p>
    <w:p w14:paraId="3488EF28" w14:textId="77777777" w:rsidR="00000000" w:rsidRDefault="00C1661D">
      <w:pPr>
        <w:jc w:val="both"/>
        <w:rPr>
          <w:rFonts w:eastAsia="Times New Roman"/>
        </w:rPr>
      </w:pPr>
      <w:r>
        <w:rPr>
          <w:rFonts w:eastAsia="Times New Roman"/>
          <w:color w:val="000000"/>
          <w:sz w:val="20"/>
          <w:szCs w:val="20"/>
        </w:rPr>
        <w:t>At September 30, 2022, PA Gas Utility had nearly 1,600 employees.</w:t>
      </w:r>
    </w:p>
    <w:p w14:paraId="044BB185" w14:textId="77777777" w:rsidR="00000000" w:rsidRDefault="00C1661D">
      <w:pPr>
        <w:divId w:val="505243871"/>
        <w:rPr>
          <w:rFonts w:eastAsia="Times New Roman"/>
        </w:rPr>
      </w:pPr>
    </w:p>
    <w:p w14:paraId="66E5E294" w14:textId="77777777" w:rsidR="00000000" w:rsidRDefault="00C1661D">
      <w:pPr>
        <w:jc w:val="both"/>
        <w:rPr>
          <w:rFonts w:eastAsia="Times New Roman"/>
        </w:rPr>
      </w:pPr>
      <w:r>
        <w:rPr>
          <w:rFonts w:eastAsia="Times New Roman"/>
          <w:b/>
          <w:bCs/>
          <w:i/>
          <w:iCs/>
          <w:color w:val="000000"/>
          <w:sz w:val="20"/>
          <w:szCs w:val="20"/>
        </w:rPr>
        <w:t>MOUNTAINEER</w:t>
      </w:r>
    </w:p>
    <w:p w14:paraId="1C322880" w14:textId="77777777" w:rsidR="00000000" w:rsidRDefault="00C1661D">
      <w:pPr>
        <w:jc w:val="both"/>
        <w:rPr>
          <w:rFonts w:eastAsia="Times New Roman"/>
        </w:rPr>
      </w:pPr>
    </w:p>
    <w:p w14:paraId="4B487D15" w14:textId="77777777" w:rsidR="00000000" w:rsidRDefault="00C1661D">
      <w:pPr>
        <w:jc w:val="both"/>
        <w:rPr>
          <w:rFonts w:eastAsia="Times New Roman"/>
        </w:rPr>
      </w:pPr>
      <w:r>
        <w:rPr>
          <w:rFonts w:eastAsia="Times New Roman"/>
          <w:color w:val="000000"/>
          <w:sz w:val="20"/>
          <w:szCs w:val="20"/>
        </w:rPr>
        <w:t>In September 2021, we completed the Mountaineer Acquisition, whereby Mountaineer Gas Company became an indirect, wholly owned subsidiary of UGI. Mountaineer provides a regula</w:t>
      </w:r>
      <w:r>
        <w:rPr>
          <w:rFonts w:eastAsia="Times New Roman"/>
          <w:color w:val="000000"/>
          <w:sz w:val="20"/>
          <w:szCs w:val="20"/>
        </w:rPr>
        <w:t>ted natural gas distribution business to approximately 214,000 customers in 50 of West Virginia’s 55 counties. Mountaineer’s system is comprised of approximately 6,200 miles of distribution, transmission and gathering pipelines. Contemporary materials, suc</w:t>
      </w:r>
      <w:r>
        <w:rPr>
          <w:rFonts w:eastAsia="Times New Roman"/>
          <w:color w:val="000000"/>
          <w:sz w:val="20"/>
          <w:szCs w:val="20"/>
        </w:rPr>
        <w:t xml:space="preserve">h as plastic or coated steel, comprise approximately 75% of Mountaineer’s gas mains, with bare steel pipe comprising the remaining 25%. </w:t>
      </w:r>
    </w:p>
    <w:p w14:paraId="36F36C84" w14:textId="77777777" w:rsidR="00000000" w:rsidRDefault="00C1661D">
      <w:pPr>
        <w:jc w:val="both"/>
        <w:rPr>
          <w:rFonts w:eastAsia="Times New Roman"/>
        </w:rPr>
      </w:pPr>
    </w:p>
    <w:p w14:paraId="3396CE48" w14:textId="77777777" w:rsidR="00000000" w:rsidRDefault="00C1661D">
      <w:pPr>
        <w:jc w:val="both"/>
        <w:rPr>
          <w:rFonts w:eastAsia="Times New Roman"/>
        </w:rPr>
      </w:pPr>
      <w:r>
        <w:rPr>
          <w:rFonts w:eastAsia="Times New Roman"/>
          <w:color w:val="000000"/>
          <w:sz w:val="20"/>
          <w:szCs w:val="20"/>
        </w:rPr>
        <w:t>As of September 30, 2022, Mountaineer’s customer base was approximately 90% residential, and 10% commercial and indus</w:t>
      </w:r>
      <w:r>
        <w:rPr>
          <w:rFonts w:eastAsia="Times New Roman"/>
          <w:color w:val="000000"/>
          <w:sz w:val="20"/>
          <w:szCs w:val="20"/>
        </w:rPr>
        <w:t xml:space="preserve">trial customers, with throughput volumes consisting of approximately 28% residential, 35% commercial and 37% industrial and other. Because many of its customers use gas for heating purposes, Mountaineer’s sales are seasonal. For Fiscal 2022, approximately </w:t>
      </w:r>
      <w:r>
        <w:rPr>
          <w:rFonts w:eastAsia="Times New Roman"/>
          <w:color w:val="000000"/>
          <w:sz w:val="20"/>
          <w:szCs w:val="20"/>
        </w:rPr>
        <w:t xml:space="preserve">65% of Mountaineer’s sales volume (including transport volumes) was supplied, and 131% of </w:t>
      </w:r>
    </w:p>
    <w:p w14:paraId="3B748130" w14:textId="77777777" w:rsidR="00000000" w:rsidRDefault="00C1661D">
      <w:pPr>
        <w:jc w:val="center"/>
        <w:divId w:val="1528442380"/>
        <w:rPr>
          <w:rFonts w:eastAsia="Times New Roman"/>
        </w:rPr>
      </w:pPr>
      <w:r>
        <w:rPr>
          <w:rFonts w:eastAsia="Times New Roman"/>
          <w:color w:val="000000"/>
          <w:sz w:val="20"/>
          <w:szCs w:val="20"/>
        </w:rPr>
        <w:t>26</w:t>
      </w:r>
    </w:p>
    <w:p w14:paraId="7F8CF0E4" w14:textId="77777777" w:rsidR="00000000" w:rsidRDefault="00C1661D">
      <w:pPr>
        <w:rPr>
          <w:rFonts w:eastAsia="Times New Roman"/>
        </w:rPr>
      </w:pPr>
      <w:r>
        <w:rPr>
          <w:rFonts w:eastAsia="Times New Roman"/>
        </w:rPr>
        <w:pict w14:anchorId="1BFF0E55">
          <v:rect id="_x0000_i1052" style="width:0;height:1.5pt" o:hralign="center" o:hrstd="t" o:hr="t" fillcolor="#a0a0a0" stroked="f"/>
        </w:pict>
      </w:r>
    </w:p>
    <w:p w14:paraId="5D024E97" w14:textId="77777777" w:rsidR="00000000" w:rsidRDefault="00C1661D">
      <w:pPr>
        <w:divId w:val="1959336854"/>
        <w:rPr>
          <w:rFonts w:eastAsia="Times New Roman"/>
        </w:rPr>
      </w:pPr>
      <w:hyperlink w:anchor="i3850c3c6c0104e42b9951aac2f16098a_7" w:history="1">
        <w:r>
          <w:rPr>
            <w:rStyle w:val="a3"/>
            <w:rFonts w:eastAsia="Times New Roman"/>
            <w:b/>
            <w:bCs/>
            <w:sz w:val="20"/>
            <w:szCs w:val="20"/>
          </w:rPr>
          <w:t>Table of Contents</w:t>
        </w:r>
      </w:hyperlink>
    </w:p>
    <w:p w14:paraId="3C8DE91F" w14:textId="77777777" w:rsidR="00000000" w:rsidRDefault="00C1661D">
      <w:pPr>
        <w:jc w:val="both"/>
        <w:rPr>
          <w:rFonts w:eastAsia="Times New Roman"/>
        </w:rPr>
      </w:pPr>
      <w:r>
        <w:rPr>
          <w:rFonts w:eastAsia="Times New Roman"/>
          <w:color w:val="000000"/>
          <w:sz w:val="20"/>
          <w:szCs w:val="20"/>
        </w:rPr>
        <w:t xml:space="preserve">Mountaineer’s operating income was earned, during </w:t>
      </w:r>
      <w:r>
        <w:rPr>
          <w:rFonts w:eastAsia="Times New Roman"/>
          <w:color w:val="000000"/>
          <w:sz w:val="20"/>
          <w:szCs w:val="20"/>
        </w:rPr>
        <w:t xml:space="preserve">the peak heating season from October through March. No single customer represents, or is anticipated to represent, more than five percent of Mountaineer’s total revenues. </w:t>
      </w:r>
    </w:p>
    <w:p w14:paraId="2B35242D" w14:textId="77777777" w:rsidR="00000000" w:rsidRDefault="00C1661D">
      <w:pPr>
        <w:jc w:val="both"/>
        <w:rPr>
          <w:rFonts w:eastAsia="Times New Roman"/>
        </w:rPr>
      </w:pPr>
    </w:p>
    <w:p w14:paraId="30B9AAFD" w14:textId="77777777" w:rsidR="00000000" w:rsidRDefault="00C1661D">
      <w:pPr>
        <w:jc w:val="both"/>
        <w:rPr>
          <w:rFonts w:eastAsia="Times New Roman"/>
        </w:rPr>
      </w:pPr>
      <w:r>
        <w:rPr>
          <w:rFonts w:eastAsia="Times New Roman"/>
          <w:color w:val="000000"/>
          <w:sz w:val="20"/>
          <w:szCs w:val="20"/>
        </w:rPr>
        <w:t>System throughput (the total volume of gas sold to or transported for customers wi</w:t>
      </w:r>
      <w:r>
        <w:rPr>
          <w:rFonts w:eastAsia="Times New Roman"/>
          <w:color w:val="000000"/>
          <w:sz w:val="20"/>
          <w:szCs w:val="20"/>
        </w:rPr>
        <w:t xml:space="preserve">thin Mountaineer’s distribution system) for Fiscal 2022 was approximately 49 Bcf. Retail core-market sales of gas accounted for approximately 43% of system throughput, while gas transported for commercial and industrial customers who bought their gas from </w:t>
      </w:r>
      <w:r>
        <w:rPr>
          <w:rFonts w:eastAsia="Times New Roman"/>
          <w:color w:val="000000"/>
          <w:sz w:val="20"/>
          <w:szCs w:val="20"/>
        </w:rPr>
        <w:t>others accounted for nearly 57% of system throughput. Mountaineer anticipates having adequate pipeline capacity, peaking services and other sources of supply available to it to meet the full requirements of all firm customers on its system through Fiscal 2</w:t>
      </w:r>
      <w:r>
        <w:rPr>
          <w:rFonts w:eastAsia="Times New Roman"/>
          <w:color w:val="000000"/>
          <w:sz w:val="20"/>
          <w:szCs w:val="20"/>
        </w:rPr>
        <w:t xml:space="preserve">023. </w:t>
      </w:r>
    </w:p>
    <w:p w14:paraId="5DE1812D" w14:textId="77777777" w:rsidR="00000000" w:rsidRDefault="00C1661D">
      <w:pPr>
        <w:jc w:val="both"/>
        <w:rPr>
          <w:rFonts w:eastAsia="Times New Roman"/>
        </w:rPr>
      </w:pPr>
    </w:p>
    <w:p w14:paraId="2F259050" w14:textId="77777777" w:rsidR="00000000" w:rsidRDefault="00C1661D">
      <w:pPr>
        <w:jc w:val="both"/>
        <w:rPr>
          <w:rFonts w:eastAsia="Times New Roman"/>
        </w:rPr>
      </w:pPr>
      <w:r>
        <w:rPr>
          <w:rFonts w:eastAsia="Times New Roman"/>
          <w:color w:val="000000"/>
          <w:sz w:val="20"/>
          <w:szCs w:val="20"/>
        </w:rPr>
        <w:t>Approximately 50% of Mountaineer’s annual throughput volume for commercial and industrial customers represents customers who are served under interruptible rates and are also in a location near an interstate pipeline. As of September 30, 2022, Moun</w:t>
      </w:r>
      <w:r>
        <w:rPr>
          <w:rFonts w:eastAsia="Times New Roman"/>
          <w:color w:val="000000"/>
          <w:sz w:val="20"/>
          <w:szCs w:val="20"/>
        </w:rPr>
        <w:t>taineer had 19 such customers, one of which has a transportation contract extending beyond September 30, 2023. The majority of these customers, including 11 of Mountaineer’s largest customers in terms of annual volumes, are served under evergreen transport</w:t>
      </w:r>
      <w:r>
        <w:rPr>
          <w:rFonts w:eastAsia="Times New Roman"/>
          <w:color w:val="000000"/>
          <w:sz w:val="20"/>
          <w:szCs w:val="20"/>
        </w:rPr>
        <w:t>ation contracts having a 30- to 180-day termination notice.</w:t>
      </w:r>
    </w:p>
    <w:p w14:paraId="4F1E154B" w14:textId="77777777" w:rsidR="00000000" w:rsidRDefault="00C1661D">
      <w:pPr>
        <w:jc w:val="both"/>
        <w:rPr>
          <w:rFonts w:eastAsia="Times New Roman"/>
        </w:rPr>
      </w:pPr>
    </w:p>
    <w:p w14:paraId="5023BBFB" w14:textId="77777777" w:rsidR="00000000" w:rsidRDefault="00C1661D">
      <w:pPr>
        <w:jc w:val="both"/>
        <w:rPr>
          <w:rFonts w:eastAsia="Times New Roman"/>
        </w:rPr>
      </w:pPr>
      <w:r>
        <w:rPr>
          <w:rFonts w:eastAsia="Times New Roman"/>
          <w:color w:val="000000"/>
          <w:sz w:val="20"/>
          <w:szCs w:val="20"/>
        </w:rPr>
        <w:t>Mountaineer meets its service requirements by utilizing a diverse mix of natural gas purchase contracts with marketers and producers, along with storage and transportation service contracts. Dur</w:t>
      </w:r>
      <w:r>
        <w:rPr>
          <w:rFonts w:eastAsia="Times New Roman"/>
          <w:color w:val="000000"/>
          <w:sz w:val="20"/>
          <w:szCs w:val="20"/>
        </w:rPr>
        <w:t>ing Fiscal 2022, Mountaineer purchased approximately 22 Bcf of natural gas for sale to retail core-market customers (principally comprised of firm- residential, commercial and industrial customers that purchase their gas from Mountaineer). Approximately 75</w:t>
      </w:r>
      <w:r>
        <w:rPr>
          <w:rFonts w:eastAsia="Times New Roman"/>
          <w:color w:val="000000"/>
          <w:sz w:val="20"/>
          <w:szCs w:val="20"/>
        </w:rPr>
        <w:t xml:space="preserve">% of the volume purchased was supplied under agreements with ten suppliers, with the remaining volumes supplied by various producers and marketers. Gas supply contracts for Mountaineer are generally evergreen agreements with a 30-day termination notice. </w:t>
      </w:r>
    </w:p>
    <w:p w14:paraId="05EF6EF1" w14:textId="77777777" w:rsidR="00000000" w:rsidRDefault="00C1661D">
      <w:pPr>
        <w:jc w:val="both"/>
        <w:rPr>
          <w:rFonts w:eastAsia="Times New Roman"/>
        </w:rPr>
      </w:pPr>
    </w:p>
    <w:p w14:paraId="4D7FD676" w14:textId="77777777" w:rsidR="00000000" w:rsidRDefault="00C1661D">
      <w:pPr>
        <w:jc w:val="both"/>
        <w:rPr>
          <w:rFonts w:eastAsia="Times New Roman"/>
        </w:rPr>
      </w:pPr>
      <w:r>
        <w:rPr>
          <w:rFonts w:eastAsia="Times New Roman"/>
          <w:color w:val="000000"/>
          <w:sz w:val="20"/>
          <w:szCs w:val="20"/>
        </w:rPr>
        <w:t>At September 30, 2022, Mountaineer had more than 460 employees.</w:t>
      </w:r>
    </w:p>
    <w:p w14:paraId="3C534E93" w14:textId="77777777" w:rsidR="00000000" w:rsidRDefault="00C1661D">
      <w:pPr>
        <w:jc w:val="both"/>
        <w:rPr>
          <w:rFonts w:eastAsia="Times New Roman"/>
        </w:rPr>
      </w:pPr>
    </w:p>
    <w:p w14:paraId="62FA31D8" w14:textId="77777777" w:rsidR="00000000" w:rsidRDefault="00C1661D">
      <w:pPr>
        <w:jc w:val="both"/>
        <w:rPr>
          <w:rFonts w:eastAsia="Times New Roman"/>
        </w:rPr>
      </w:pPr>
      <w:r>
        <w:rPr>
          <w:rFonts w:eastAsia="Times New Roman"/>
          <w:b/>
          <w:bCs/>
          <w:i/>
          <w:iCs/>
          <w:color w:val="000000"/>
          <w:sz w:val="20"/>
          <w:szCs w:val="20"/>
        </w:rPr>
        <w:t>ELECTRIC UTILITY</w:t>
      </w:r>
    </w:p>
    <w:p w14:paraId="33572082" w14:textId="77777777" w:rsidR="00000000" w:rsidRDefault="00C1661D">
      <w:pPr>
        <w:jc w:val="both"/>
        <w:rPr>
          <w:rFonts w:eastAsia="Times New Roman"/>
        </w:rPr>
      </w:pPr>
    </w:p>
    <w:p w14:paraId="3086EA6D" w14:textId="77777777" w:rsidR="00000000" w:rsidRDefault="00C1661D">
      <w:pPr>
        <w:jc w:val="both"/>
        <w:rPr>
          <w:rFonts w:eastAsia="Times New Roman"/>
        </w:rPr>
      </w:pPr>
      <w:r>
        <w:rPr>
          <w:rFonts w:eastAsia="Times New Roman"/>
          <w:color w:val="000000"/>
          <w:sz w:val="20"/>
          <w:szCs w:val="20"/>
        </w:rPr>
        <w:t>Electric Utility supplies electric service to approximately 62,600 customers in portions of Luzerne and Wyoming counties in northeastern Pennsylvania through a system con</w:t>
      </w:r>
      <w:r>
        <w:rPr>
          <w:rFonts w:eastAsia="Times New Roman"/>
          <w:color w:val="000000"/>
          <w:sz w:val="20"/>
          <w:szCs w:val="20"/>
        </w:rPr>
        <w:t>sisting of over 2,560 miles of transmission and distribution lines and 14 substations. For Fiscal 2022, approximately 58% of sales volume came from residential customers, 31% from commercial customers and 11% from industrial and other customers. During Fis</w:t>
      </w:r>
      <w:r>
        <w:rPr>
          <w:rFonts w:eastAsia="Times New Roman"/>
          <w:color w:val="000000"/>
          <w:sz w:val="20"/>
          <w:szCs w:val="20"/>
        </w:rPr>
        <w:t xml:space="preserve">cal 2022, ten retail electric generation suppliers provided energy for customers representing approximately 21% of Electric Utility’s sales volume.  At September 30, 2022, UGI Utilities’ electric utility operations had approximately 80 employees. </w:t>
      </w:r>
    </w:p>
    <w:p w14:paraId="42DC3136" w14:textId="77777777" w:rsidR="00000000" w:rsidRDefault="00C1661D">
      <w:pPr>
        <w:jc w:val="both"/>
        <w:rPr>
          <w:rFonts w:eastAsia="Times New Roman"/>
        </w:rPr>
      </w:pPr>
    </w:p>
    <w:p w14:paraId="1458C7C0" w14:textId="77777777" w:rsidR="00000000" w:rsidRDefault="00C1661D">
      <w:pPr>
        <w:jc w:val="both"/>
        <w:rPr>
          <w:rFonts w:eastAsia="Times New Roman"/>
        </w:rPr>
      </w:pPr>
      <w:r>
        <w:rPr>
          <w:rFonts w:eastAsia="Times New Roman"/>
          <w:b/>
          <w:bCs/>
          <w:i/>
          <w:iCs/>
          <w:color w:val="000000"/>
          <w:sz w:val="20"/>
          <w:szCs w:val="20"/>
        </w:rPr>
        <w:t>UTILIT</w:t>
      </w:r>
      <w:r>
        <w:rPr>
          <w:rFonts w:eastAsia="Times New Roman"/>
          <w:b/>
          <w:bCs/>
          <w:i/>
          <w:iCs/>
          <w:color w:val="000000"/>
          <w:sz w:val="20"/>
          <w:szCs w:val="20"/>
        </w:rPr>
        <w:t>IES REGULATION</w:t>
      </w:r>
    </w:p>
    <w:p w14:paraId="2CF3D024" w14:textId="77777777" w:rsidR="00000000" w:rsidRDefault="00C1661D">
      <w:pPr>
        <w:jc w:val="both"/>
        <w:rPr>
          <w:rFonts w:eastAsia="Times New Roman"/>
        </w:rPr>
      </w:pPr>
    </w:p>
    <w:p w14:paraId="2084C22E" w14:textId="77777777" w:rsidR="00000000" w:rsidRDefault="00C1661D">
      <w:pPr>
        <w:jc w:val="both"/>
        <w:rPr>
          <w:rFonts w:eastAsia="Times New Roman"/>
        </w:rPr>
      </w:pPr>
      <w:r>
        <w:rPr>
          <w:rFonts w:eastAsia="Times New Roman"/>
          <w:b/>
          <w:bCs/>
          <w:color w:val="000000"/>
          <w:sz w:val="20"/>
          <w:szCs w:val="20"/>
          <w:u w:val="single"/>
        </w:rPr>
        <w:t xml:space="preserve">State Utility Regulation </w:t>
      </w:r>
    </w:p>
    <w:p w14:paraId="201A3508" w14:textId="77777777" w:rsidR="00000000" w:rsidRDefault="00C1661D">
      <w:pPr>
        <w:jc w:val="both"/>
        <w:rPr>
          <w:rFonts w:eastAsia="Times New Roman"/>
        </w:rPr>
      </w:pPr>
    </w:p>
    <w:p w14:paraId="287130F9" w14:textId="77777777" w:rsidR="00000000" w:rsidRDefault="00C1661D">
      <w:pPr>
        <w:jc w:val="both"/>
        <w:rPr>
          <w:rFonts w:eastAsia="Times New Roman"/>
        </w:rPr>
      </w:pPr>
      <w:r>
        <w:rPr>
          <w:rFonts w:eastAsia="Times New Roman"/>
          <w:b/>
          <w:bCs/>
          <w:i/>
          <w:iCs/>
          <w:color w:val="000000"/>
          <w:sz w:val="20"/>
          <w:szCs w:val="20"/>
        </w:rPr>
        <w:t xml:space="preserve">PA Gas Utility </w:t>
      </w:r>
    </w:p>
    <w:p w14:paraId="19709BB9" w14:textId="77777777" w:rsidR="00000000" w:rsidRDefault="00C1661D">
      <w:pPr>
        <w:jc w:val="both"/>
        <w:rPr>
          <w:rFonts w:eastAsia="Times New Roman"/>
        </w:rPr>
      </w:pPr>
    </w:p>
    <w:p w14:paraId="1012C4D4" w14:textId="77777777" w:rsidR="00000000" w:rsidRDefault="00C1661D">
      <w:pPr>
        <w:jc w:val="both"/>
        <w:rPr>
          <w:rFonts w:eastAsia="Times New Roman"/>
        </w:rPr>
      </w:pPr>
      <w:r>
        <w:rPr>
          <w:rFonts w:eastAsia="Times New Roman"/>
          <w:color w:val="000000"/>
          <w:sz w:val="20"/>
          <w:szCs w:val="20"/>
        </w:rPr>
        <w:t>PA Gas Utility is subject to regulation by the PAPUC as to rates, terms and conditions of service, accounting matters, issuance of securities, contracts and other arrangements with affiliated entities, gas safety and various other matters. Rates that PA Ga</w:t>
      </w:r>
      <w:r>
        <w:rPr>
          <w:rFonts w:eastAsia="Times New Roman"/>
          <w:color w:val="000000"/>
          <w:sz w:val="20"/>
          <w:szCs w:val="20"/>
        </w:rPr>
        <w:t>s Utility may charge for gas service come in two forms: (i) rates designed to recover PGCs; and (ii) rates designed to recover costs other than PGCs. Rates designed to recover PGCs are reviewed in PGC proceedings. Rates designed to recover costs other than</w:t>
      </w:r>
      <w:r>
        <w:rPr>
          <w:rFonts w:eastAsia="Times New Roman"/>
          <w:color w:val="000000"/>
          <w:sz w:val="20"/>
          <w:szCs w:val="20"/>
        </w:rPr>
        <w:t xml:space="preserve"> PGCs are primarily established in general base rate proceedings. </w:t>
      </w:r>
    </w:p>
    <w:p w14:paraId="3B15AA78" w14:textId="77777777" w:rsidR="00000000" w:rsidRDefault="00C1661D">
      <w:pPr>
        <w:jc w:val="both"/>
        <w:rPr>
          <w:rFonts w:eastAsia="Times New Roman"/>
        </w:rPr>
      </w:pPr>
    </w:p>
    <w:p w14:paraId="493992F0" w14:textId="77777777" w:rsidR="00000000" w:rsidRDefault="00C1661D">
      <w:pPr>
        <w:jc w:val="both"/>
        <w:rPr>
          <w:rFonts w:eastAsia="Times New Roman"/>
        </w:rPr>
      </w:pPr>
      <w:r>
        <w:rPr>
          <w:rFonts w:eastAsia="Times New Roman"/>
          <w:color w:val="000000"/>
          <w:sz w:val="20"/>
          <w:szCs w:val="20"/>
        </w:rPr>
        <w:t xml:space="preserve">Act 11 authorized the PAPUC to permit electric and gas distribution companies, between base rate cases and subject to certain conditions, to recover reasonable and prudent costs incurred </w:t>
      </w:r>
      <w:r>
        <w:rPr>
          <w:rFonts w:eastAsia="Times New Roman"/>
          <w:color w:val="000000"/>
          <w:sz w:val="20"/>
          <w:szCs w:val="20"/>
        </w:rPr>
        <w:t>to repair, improve or replace eligible property through a DSIC assessed to customers. Among other requirements, DSICs are subject to reconciliation of over-/under- collection, quarterly adjustment and are capped at five percent of total customer charges ab</w:t>
      </w:r>
      <w:r>
        <w:rPr>
          <w:rFonts w:eastAsia="Times New Roman"/>
          <w:color w:val="000000"/>
          <w:sz w:val="20"/>
          <w:szCs w:val="20"/>
        </w:rPr>
        <w:t>sent a PAPUC-granted exception. In addition, Act 11 requires affected utilities to obtain approval of LTIIPs from the PAPUC. Act 11 also authorized electric and gas distribution companies to utilize a fully projected future test year when establishing rate</w:t>
      </w:r>
      <w:r>
        <w:rPr>
          <w:rFonts w:eastAsia="Times New Roman"/>
          <w:color w:val="000000"/>
          <w:sz w:val="20"/>
          <w:szCs w:val="20"/>
        </w:rPr>
        <w:t>s in base rate cases before the PAPUC.</w:t>
      </w:r>
    </w:p>
    <w:p w14:paraId="40C6D6C2" w14:textId="77777777" w:rsidR="00000000" w:rsidRDefault="00C1661D">
      <w:pPr>
        <w:jc w:val="both"/>
        <w:rPr>
          <w:rFonts w:eastAsia="Times New Roman"/>
        </w:rPr>
      </w:pPr>
    </w:p>
    <w:p w14:paraId="27299497" w14:textId="77777777" w:rsidR="00000000" w:rsidRDefault="00C1661D">
      <w:pPr>
        <w:jc w:val="both"/>
        <w:rPr>
          <w:rFonts w:eastAsia="Times New Roman"/>
        </w:rPr>
      </w:pPr>
      <w:r>
        <w:rPr>
          <w:rFonts w:eastAsia="Times New Roman"/>
          <w:color w:val="000000"/>
          <w:sz w:val="20"/>
          <w:szCs w:val="20"/>
        </w:rPr>
        <w:t>On August 21, 2019, PA Gas Utility filed a consolidated LTIIP designed for the 2020-2024 calendar years, during which PA Gas Utility projects spending $1.265 billion on DSIC-eligible property. PA Gas Utility’s filin</w:t>
      </w:r>
      <w:r>
        <w:rPr>
          <w:rFonts w:eastAsia="Times New Roman"/>
          <w:color w:val="000000"/>
          <w:sz w:val="20"/>
          <w:szCs w:val="20"/>
        </w:rPr>
        <w:t xml:space="preserve">g was approved by the PAPUC in an order entered December 19, 2019. </w:t>
      </w:r>
    </w:p>
    <w:p w14:paraId="01361C9B" w14:textId="77777777" w:rsidR="00000000" w:rsidRDefault="00C1661D">
      <w:pPr>
        <w:jc w:val="both"/>
        <w:rPr>
          <w:rFonts w:eastAsia="Times New Roman"/>
        </w:rPr>
      </w:pPr>
    </w:p>
    <w:p w14:paraId="13F41F2F" w14:textId="77777777" w:rsidR="00000000" w:rsidRDefault="00C1661D">
      <w:pPr>
        <w:jc w:val="both"/>
        <w:rPr>
          <w:rFonts w:eastAsia="Times New Roman"/>
        </w:rPr>
      </w:pPr>
      <w:r>
        <w:rPr>
          <w:rFonts w:eastAsia="Times New Roman"/>
          <w:color w:val="000000"/>
          <w:sz w:val="20"/>
          <w:szCs w:val="20"/>
        </w:rPr>
        <w:t>On October 8, 2020, the PAPUC issued a final order approving a settlement of a base rate proceeding by PA Gas Utility that permitted PA Gas Utility to utilize a two-step phase-in of a $2</w:t>
      </w:r>
      <w:r>
        <w:rPr>
          <w:rFonts w:eastAsia="Times New Roman"/>
          <w:color w:val="000000"/>
          <w:sz w:val="20"/>
          <w:szCs w:val="20"/>
        </w:rPr>
        <w:t xml:space="preserve">0 million base distribution revenue increase, with $10 million effective January 1, 2021, and the remaining $10 million effective July 1, 2021. The settlement also provided enhanced </w:t>
      </w:r>
    </w:p>
    <w:p w14:paraId="175CFC62" w14:textId="77777777" w:rsidR="00000000" w:rsidRDefault="00C1661D">
      <w:pPr>
        <w:jc w:val="center"/>
        <w:divId w:val="145165576"/>
        <w:rPr>
          <w:rFonts w:eastAsia="Times New Roman"/>
        </w:rPr>
      </w:pPr>
      <w:r>
        <w:rPr>
          <w:rFonts w:eastAsia="Times New Roman"/>
          <w:color w:val="000000"/>
          <w:sz w:val="20"/>
          <w:szCs w:val="20"/>
        </w:rPr>
        <w:t>27</w:t>
      </w:r>
    </w:p>
    <w:p w14:paraId="654B0451" w14:textId="77777777" w:rsidR="00000000" w:rsidRDefault="00C1661D">
      <w:pPr>
        <w:rPr>
          <w:rFonts w:eastAsia="Times New Roman"/>
        </w:rPr>
      </w:pPr>
      <w:r>
        <w:rPr>
          <w:rFonts w:eastAsia="Times New Roman"/>
        </w:rPr>
        <w:pict w14:anchorId="22D58A41">
          <v:rect id="_x0000_i1053" style="width:0;height:1.5pt" o:hralign="center" o:hrstd="t" o:hr="t" fillcolor="#a0a0a0" stroked="f"/>
        </w:pict>
      </w:r>
    </w:p>
    <w:p w14:paraId="09F18F47" w14:textId="77777777" w:rsidR="00000000" w:rsidRDefault="00C1661D">
      <w:pPr>
        <w:divId w:val="1697194083"/>
        <w:rPr>
          <w:rFonts w:eastAsia="Times New Roman"/>
        </w:rPr>
      </w:pPr>
      <w:hyperlink w:anchor="i3850c3c6c0104e42b9951aac2f16098a_7" w:history="1">
        <w:r>
          <w:rPr>
            <w:rStyle w:val="a3"/>
            <w:rFonts w:eastAsia="Times New Roman"/>
            <w:b/>
            <w:bCs/>
            <w:sz w:val="20"/>
            <w:szCs w:val="20"/>
          </w:rPr>
          <w:t>Table of Contents</w:t>
        </w:r>
      </w:hyperlink>
    </w:p>
    <w:p w14:paraId="13124B8C" w14:textId="77777777" w:rsidR="00000000" w:rsidRDefault="00C1661D">
      <w:pPr>
        <w:jc w:val="both"/>
        <w:rPr>
          <w:rFonts w:eastAsia="Times New Roman"/>
        </w:rPr>
      </w:pPr>
      <w:r>
        <w:rPr>
          <w:rFonts w:eastAsia="Times New Roman"/>
          <w:color w:val="000000"/>
          <w:sz w:val="20"/>
          <w:szCs w:val="20"/>
        </w:rPr>
        <w:t>COVID-19 related consumer protections and allowed PA Gas Utility future regulatory asset recovery of COVID-19 related costs, such as greater-than-budgeted uncollectible accounts expense and other COVID-19 related operating costs.</w:t>
      </w:r>
    </w:p>
    <w:p w14:paraId="3FE8E88A" w14:textId="77777777" w:rsidR="00000000" w:rsidRDefault="00C1661D">
      <w:pPr>
        <w:jc w:val="both"/>
        <w:rPr>
          <w:rFonts w:eastAsia="Times New Roman"/>
        </w:rPr>
      </w:pPr>
    </w:p>
    <w:p w14:paraId="652DD630" w14:textId="77777777" w:rsidR="00000000" w:rsidRDefault="00C1661D">
      <w:pPr>
        <w:jc w:val="both"/>
        <w:rPr>
          <w:rFonts w:eastAsia="Times New Roman"/>
        </w:rPr>
      </w:pPr>
      <w:r>
        <w:rPr>
          <w:rFonts w:eastAsia="Times New Roman"/>
          <w:color w:val="000000"/>
          <w:sz w:val="20"/>
          <w:szCs w:val="20"/>
        </w:rPr>
        <w:t>With the approval of new</w:t>
      </w:r>
      <w:r>
        <w:rPr>
          <w:rFonts w:eastAsia="Times New Roman"/>
          <w:color w:val="000000"/>
          <w:sz w:val="20"/>
          <w:szCs w:val="20"/>
        </w:rPr>
        <w:t xml:space="preserve"> base distribution rates on October 8, 2020, DSIC-eligible property and associated revenue requirements were rolled into base distribution rates. The final order issued by the PAPUC approved the settlement of the base rate proceeding and authorized PA Gas </w:t>
      </w:r>
      <w:r>
        <w:rPr>
          <w:rFonts w:eastAsia="Times New Roman"/>
          <w:color w:val="000000"/>
          <w:sz w:val="20"/>
          <w:szCs w:val="20"/>
        </w:rPr>
        <w:t xml:space="preserve">Utility to reinstitute a DSIC surcharge once PA Gas Utility’s total property, plant and equipment less accumulated depreciation reached $2.875 billion. This threshold was achieved in December 2020, and PA Gas Utility implemented a DSIC surcharge effective </w:t>
      </w:r>
      <w:r>
        <w:rPr>
          <w:rFonts w:eastAsia="Times New Roman"/>
          <w:color w:val="000000"/>
          <w:sz w:val="20"/>
          <w:szCs w:val="20"/>
        </w:rPr>
        <w:t xml:space="preserve">April 1, 2021. </w:t>
      </w:r>
    </w:p>
    <w:p w14:paraId="2A7EEA65" w14:textId="77777777" w:rsidR="00000000" w:rsidRDefault="00C1661D">
      <w:pPr>
        <w:divId w:val="1115902482"/>
        <w:rPr>
          <w:rFonts w:eastAsia="Times New Roman"/>
        </w:rPr>
      </w:pPr>
    </w:p>
    <w:p w14:paraId="61F3014D" w14:textId="77777777" w:rsidR="00000000" w:rsidRDefault="00C1661D">
      <w:pPr>
        <w:jc w:val="both"/>
        <w:rPr>
          <w:rFonts w:eastAsia="Times New Roman"/>
        </w:rPr>
      </w:pPr>
      <w:r>
        <w:rPr>
          <w:rFonts w:eastAsia="Times New Roman"/>
          <w:color w:val="000000"/>
          <w:sz w:val="20"/>
          <w:szCs w:val="20"/>
        </w:rPr>
        <w:t>On September 15, 2022, the PAPUC issued a final order approving a settlement of a base rate proceeding by PA Gas Utility that permitted PA Gas Utility to implement a $49 million annual base distribution rate increase through a phased appr</w:t>
      </w:r>
      <w:r>
        <w:rPr>
          <w:rFonts w:eastAsia="Times New Roman"/>
          <w:color w:val="000000"/>
          <w:sz w:val="20"/>
          <w:szCs w:val="20"/>
        </w:rPr>
        <w:t>oach, with $38 million beginning October 29, 2022 and an additional $11 million beginning October 1, 2023. In accordance with the terms of the final order, PA Gas Utility will not be permitted to file a rate case prior to January 1, 2024. PA Gas Utility is</w:t>
      </w:r>
      <w:r>
        <w:rPr>
          <w:rFonts w:eastAsia="Times New Roman"/>
          <w:color w:val="000000"/>
          <w:sz w:val="20"/>
          <w:szCs w:val="20"/>
        </w:rPr>
        <w:t xml:space="preserve"> authorized to implement a weather normalization adjustment rider as a five-year pilot program beginning on the effective date of the new rates. Under this rider, customer billings for distribution services will be adjusted monthly to reflect normal weathe</w:t>
      </w:r>
      <w:r>
        <w:rPr>
          <w:rFonts w:eastAsia="Times New Roman"/>
          <w:color w:val="000000"/>
          <w:sz w:val="20"/>
          <w:szCs w:val="20"/>
        </w:rPr>
        <w:t>r conditions if weather deviates more than three percent from normal. Additionally, under the terms of the final order, PA Gas Utility is authorized to implement a DSIC once its total property, plant and equipment less accumulated depreciation reaches $3.3</w:t>
      </w:r>
      <w:r>
        <w:rPr>
          <w:rFonts w:eastAsia="Times New Roman"/>
          <w:color w:val="000000"/>
          <w:sz w:val="20"/>
          <w:szCs w:val="20"/>
        </w:rPr>
        <w:t xml:space="preserve">68 billion. This threshold was achieved in September 2022 and PA Gas Utility expects to implement a new DSIC effective January 1, 2023. </w:t>
      </w:r>
    </w:p>
    <w:p w14:paraId="4285D44B" w14:textId="77777777" w:rsidR="00000000" w:rsidRDefault="00C1661D">
      <w:pPr>
        <w:jc w:val="both"/>
        <w:rPr>
          <w:rFonts w:eastAsia="Times New Roman"/>
        </w:rPr>
      </w:pPr>
    </w:p>
    <w:p w14:paraId="232E1B9D" w14:textId="77777777" w:rsidR="00000000" w:rsidRDefault="00C1661D">
      <w:pPr>
        <w:jc w:val="both"/>
        <w:rPr>
          <w:rFonts w:eastAsia="Times New Roman"/>
        </w:rPr>
      </w:pPr>
      <w:r>
        <w:rPr>
          <w:rFonts w:eastAsia="Times New Roman"/>
          <w:color w:val="000000"/>
          <w:sz w:val="20"/>
          <w:szCs w:val="20"/>
        </w:rPr>
        <w:t>In addition to base distribution rates and various surcharges designed to recover specified types of costs, PA Gas Ut</w:t>
      </w:r>
      <w:r>
        <w:rPr>
          <w:rFonts w:eastAsia="Times New Roman"/>
          <w:color w:val="000000"/>
          <w:sz w:val="20"/>
          <w:szCs w:val="20"/>
        </w:rPr>
        <w:t>ility’s tariff also includes a uniform PGC rate applicable to firm retail rate schedules for customers who do not obtain natural gas supply service from an alternative supplier. The PGC rate permits recovery of all prudently incurred costs of natural gas t</w:t>
      </w:r>
      <w:r>
        <w:rPr>
          <w:rFonts w:eastAsia="Times New Roman"/>
          <w:color w:val="000000"/>
          <w:sz w:val="20"/>
          <w:szCs w:val="20"/>
        </w:rPr>
        <w:t>hat PA Gas Utility sells to its retail customers. PGC rates are reviewed and approved annually by the PAPUC. PA Gas Utility may request quarterly or, under certain conditions, monthly adjustments to reflect the actual cost of gas. Quarterly adjustments bec</w:t>
      </w:r>
      <w:r>
        <w:rPr>
          <w:rFonts w:eastAsia="Times New Roman"/>
          <w:color w:val="000000"/>
          <w:sz w:val="20"/>
          <w:szCs w:val="20"/>
        </w:rPr>
        <w:t>ome effective on one day’s notice to the PAPUC and are subject to review during the next annual PGC filing. Each proposed annual PGC rate is required to be filed with the PAPUC six months prior to its effective date. During this period, the PAPUC investiga</w:t>
      </w:r>
      <w:r>
        <w:rPr>
          <w:rFonts w:eastAsia="Times New Roman"/>
          <w:color w:val="000000"/>
          <w:sz w:val="20"/>
          <w:szCs w:val="20"/>
        </w:rPr>
        <w:t>tes and may hold hearings to determine whether the proposed rate reflects a least-cost fuel procurement policy consistent with the obligation to provide safe, adequate and reliable service. After completion of these hearings, the PAPUC issues an order perm</w:t>
      </w:r>
      <w:r>
        <w:rPr>
          <w:rFonts w:eastAsia="Times New Roman"/>
          <w:color w:val="000000"/>
          <w:sz w:val="20"/>
          <w:szCs w:val="20"/>
        </w:rPr>
        <w:t xml:space="preserve">itting the collection of gas costs at levels that meet such standard. The PGC mechanism also provides for an annual reconciliation and for the payment or collection of interest on over and under collections. </w:t>
      </w:r>
    </w:p>
    <w:p w14:paraId="3AE60BC2" w14:textId="77777777" w:rsidR="00000000" w:rsidRDefault="00C1661D">
      <w:pPr>
        <w:jc w:val="both"/>
        <w:rPr>
          <w:rFonts w:eastAsia="Times New Roman"/>
        </w:rPr>
      </w:pPr>
    </w:p>
    <w:p w14:paraId="265DF462" w14:textId="77777777" w:rsidR="00000000" w:rsidRDefault="00C1661D">
      <w:pPr>
        <w:jc w:val="both"/>
        <w:rPr>
          <w:rFonts w:eastAsia="Times New Roman"/>
        </w:rPr>
      </w:pPr>
      <w:r>
        <w:rPr>
          <w:rFonts w:eastAsia="Times New Roman"/>
          <w:color w:val="000000"/>
          <w:sz w:val="20"/>
          <w:szCs w:val="20"/>
        </w:rPr>
        <w:t>PA Gas Utility’s gas service tariff also cont</w:t>
      </w:r>
      <w:r>
        <w:rPr>
          <w:rFonts w:eastAsia="Times New Roman"/>
          <w:color w:val="000000"/>
          <w:sz w:val="20"/>
          <w:szCs w:val="20"/>
        </w:rPr>
        <w:t>ains a state tax surcharge clause. The surcharge is recomputed whenever any of the tax rates included in their calculation are changed. These clauses protect PA Gas Utility from the effects of increases in certain of the Pennsylvania taxes to which it is s</w:t>
      </w:r>
      <w:r>
        <w:rPr>
          <w:rFonts w:eastAsia="Times New Roman"/>
          <w:color w:val="000000"/>
          <w:sz w:val="20"/>
          <w:szCs w:val="20"/>
        </w:rPr>
        <w:t>ubject.</w:t>
      </w:r>
    </w:p>
    <w:p w14:paraId="7D752472" w14:textId="77777777" w:rsidR="00000000" w:rsidRDefault="00C1661D">
      <w:pPr>
        <w:jc w:val="both"/>
        <w:rPr>
          <w:rFonts w:eastAsia="Times New Roman"/>
        </w:rPr>
      </w:pPr>
    </w:p>
    <w:p w14:paraId="1204293F" w14:textId="77777777" w:rsidR="00000000" w:rsidRDefault="00C1661D">
      <w:pPr>
        <w:jc w:val="both"/>
        <w:rPr>
          <w:rFonts w:eastAsia="Times New Roman"/>
        </w:rPr>
      </w:pPr>
      <w:r>
        <w:rPr>
          <w:rFonts w:eastAsia="Times New Roman"/>
          <w:b/>
          <w:bCs/>
          <w:i/>
          <w:iCs/>
          <w:color w:val="000000"/>
          <w:sz w:val="20"/>
          <w:szCs w:val="20"/>
        </w:rPr>
        <w:t xml:space="preserve">Mountaineer </w:t>
      </w:r>
    </w:p>
    <w:p w14:paraId="44AF04DE" w14:textId="77777777" w:rsidR="00000000" w:rsidRDefault="00C1661D">
      <w:pPr>
        <w:jc w:val="both"/>
        <w:rPr>
          <w:rFonts w:eastAsia="Times New Roman"/>
        </w:rPr>
      </w:pPr>
    </w:p>
    <w:p w14:paraId="095A8E38" w14:textId="77777777" w:rsidR="00000000" w:rsidRDefault="00C1661D">
      <w:pPr>
        <w:jc w:val="both"/>
        <w:rPr>
          <w:rFonts w:eastAsia="Times New Roman"/>
        </w:rPr>
      </w:pPr>
      <w:r>
        <w:rPr>
          <w:rFonts w:eastAsia="Times New Roman"/>
          <w:color w:val="000000"/>
          <w:sz w:val="20"/>
          <w:szCs w:val="20"/>
        </w:rPr>
        <w:t>Mountaineer is subject to regulation of rates and other aspects of its business by the WVPSC. When necessary, Mountaineer seeks general base rate increases to recover increased operating costs and a fair return on rate base investm</w:t>
      </w:r>
      <w:r>
        <w:rPr>
          <w:rFonts w:eastAsia="Times New Roman"/>
          <w:color w:val="000000"/>
          <w:sz w:val="20"/>
          <w:szCs w:val="20"/>
        </w:rPr>
        <w:t xml:space="preserve">ents. Base rates are determined by the cost-of-service by rate class, and the rate design methodology allocates the majority of operating costs through volumetric charges. </w:t>
      </w:r>
    </w:p>
    <w:p w14:paraId="720EBE73" w14:textId="77777777" w:rsidR="00000000" w:rsidRDefault="00C1661D">
      <w:pPr>
        <w:jc w:val="both"/>
        <w:rPr>
          <w:rFonts w:eastAsia="Times New Roman"/>
        </w:rPr>
      </w:pPr>
    </w:p>
    <w:p w14:paraId="3AAD4640" w14:textId="77777777" w:rsidR="00000000" w:rsidRDefault="00C1661D">
      <w:pPr>
        <w:jc w:val="both"/>
        <w:rPr>
          <w:rFonts w:eastAsia="Times New Roman"/>
        </w:rPr>
      </w:pPr>
      <w:r>
        <w:rPr>
          <w:rFonts w:eastAsia="Times New Roman"/>
          <w:color w:val="000000"/>
          <w:sz w:val="20"/>
          <w:szCs w:val="20"/>
        </w:rPr>
        <w:t xml:space="preserve">Mountaineer makes routine filings with the WVPSC to reflect changes in the costs </w:t>
      </w:r>
      <w:r>
        <w:rPr>
          <w:rFonts w:eastAsia="Times New Roman"/>
          <w:color w:val="000000"/>
          <w:sz w:val="20"/>
          <w:szCs w:val="20"/>
        </w:rPr>
        <w:t>of purchased gas. These purchased gas costs are subject to rate recovery through a mechanism that provides dollar-for-dollar recovery of prudently incurred costs. Costs in excess of revenues that are expected to be recovered in future rates are deferred as</w:t>
      </w:r>
      <w:r>
        <w:rPr>
          <w:rFonts w:eastAsia="Times New Roman"/>
          <w:color w:val="000000"/>
          <w:sz w:val="20"/>
          <w:szCs w:val="20"/>
        </w:rPr>
        <w:t xml:space="preserve"> regulatory assets; conversely, revenues in excess of costs are deferred as a regulatory liability. The PGA filings generally cover a prospective 12 month period. The WVPSC entered a procedural order on September 9, 2022, directing all gas utilities and ot</w:t>
      </w:r>
      <w:r>
        <w:rPr>
          <w:rFonts w:eastAsia="Times New Roman"/>
          <w:color w:val="000000"/>
          <w:sz w:val="20"/>
          <w:szCs w:val="20"/>
        </w:rPr>
        <w:t xml:space="preserve">her parties to file proposals to reduce or levelize the impact of high natural gas costs on utilities’ customers in the near term. An order establishing interim PGA rates is expected at the end of the 2022 calendar year. </w:t>
      </w:r>
    </w:p>
    <w:p w14:paraId="246CE47C" w14:textId="77777777" w:rsidR="00000000" w:rsidRDefault="00C1661D">
      <w:pPr>
        <w:jc w:val="both"/>
        <w:rPr>
          <w:rFonts w:eastAsia="Times New Roman"/>
        </w:rPr>
      </w:pPr>
    </w:p>
    <w:p w14:paraId="00863DB8" w14:textId="77777777" w:rsidR="00000000" w:rsidRDefault="00C1661D">
      <w:pPr>
        <w:jc w:val="both"/>
        <w:rPr>
          <w:rFonts w:eastAsia="Times New Roman"/>
        </w:rPr>
      </w:pPr>
      <w:r>
        <w:rPr>
          <w:rFonts w:eastAsia="Times New Roman"/>
          <w:color w:val="000000"/>
          <w:sz w:val="20"/>
          <w:szCs w:val="20"/>
        </w:rPr>
        <w:t>As permitted by West Virginia law, the WVPSC has also approved a standalone cost recovery rider to recover specified costs and a return on infrastructure projects between general base rate cases in accordance with its IREP. Mountaineer makes an annual IREP</w:t>
      </w:r>
      <w:r>
        <w:rPr>
          <w:rFonts w:eastAsia="Times New Roman"/>
          <w:color w:val="000000"/>
          <w:sz w:val="20"/>
          <w:szCs w:val="20"/>
        </w:rPr>
        <w:t xml:space="preserve"> filing, which is subject to an over/under-recovery mechanism similar to purchased gas costs. In December 2021, the WVPSC issued a final order approving a settlement in Mountaineer’s 2022 IREP filing, resulting in an increase of $5.5 million effective Janu</w:t>
      </w:r>
      <w:r>
        <w:rPr>
          <w:rFonts w:eastAsia="Times New Roman"/>
          <w:color w:val="000000"/>
          <w:sz w:val="20"/>
          <w:szCs w:val="20"/>
        </w:rPr>
        <w:t xml:space="preserve">ary 1, 2022. In July 2022, Mountaineer submitted its annual IREP filing to the WVPSC requesting a revenue increase of $5.4 million effective January 1, 2023, based on the forecasted 2023 calendar year IREP-eligible capital investments of $64.2 million and </w:t>
      </w:r>
      <w:r>
        <w:rPr>
          <w:rFonts w:eastAsia="Times New Roman"/>
          <w:color w:val="000000"/>
          <w:sz w:val="20"/>
          <w:szCs w:val="20"/>
        </w:rPr>
        <w:t>recovery of eligible costs. An order from the WVPSC is expected in December 2022.</w:t>
      </w:r>
    </w:p>
    <w:p w14:paraId="38FA7910" w14:textId="77777777" w:rsidR="00000000" w:rsidRDefault="00C1661D">
      <w:pPr>
        <w:jc w:val="both"/>
        <w:rPr>
          <w:rFonts w:eastAsia="Times New Roman"/>
        </w:rPr>
      </w:pPr>
    </w:p>
    <w:p w14:paraId="7C031DA5" w14:textId="77777777" w:rsidR="00000000" w:rsidRDefault="00C1661D">
      <w:pPr>
        <w:jc w:val="center"/>
        <w:divId w:val="476186682"/>
        <w:rPr>
          <w:rFonts w:eastAsia="Times New Roman"/>
        </w:rPr>
      </w:pPr>
      <w:r>
        <w:rPr>
          <w:rFonts w:eastAsia="Times New Roman"/>
          <w:color w:val="000000"/>
          <w:sz w:val="20"/>
          <w:szCs w:val="20"/>
        </w:rPr>
        <w:t>28</w:t>
      </w:r>
    </w:p>
    <w:p w14:paraId="1E954F82" w14:textId="77777777" w:rsidR="00000000" w:rsidRDefault="00C1661D">
      <w:pPr>
        <w:rPr>
          <w:rFonts w:eastAsia="Times New Roman"/>
        </w:rPr>
      </w:pPr>
      <w:r>
        <w:rPr>
          <w:rFonts w:eastAsia="Times New Roman"/>
        </w:rPr>
        <w:pict w14:anchorId="75259C01">
          <v:rect id="_x0000_i1054" style="width:0;height:1.5pt" o:hralign="center" o:hrstd="t" o:hr="t" fillcolor="#a0a0a0" stroked="f"/>
        </w:pict>
      </w:r>
    </w:p>
    <w:p w14:paraId="6117FEC6" w14:textId="77777777" w:rsidR="00000000" w:rsidRDefault="00C1661D">
      <w:pPr>
        <w:divId w:val="634068165"/>
        <w:rPr>
          <w:rFonts w:eastAsia="Times New Roman"/>
        </w:rPr>
      </w:pPr>
      <w:hyperlink w:anchor="i3850c3c6c0104e42b9951aac2f16098a_7" w:history="1">
        <w:r>
          <w:rPr>
            <w:rStyle w:val="a3"/>
            <w:rFonts w:eastAsia="Times New Roman"/>
            <w:b/>
            <w:bCs/>
            <w:sz w:val="20"/>
            <w:szCs w:val="20"/>
          </w:rPr>
          <w:t>Table of Contents</w:t>
        </w:r>
      </w:hyperlink>
    </w:p>
    <w:p w14:paraId="7095D5E2" w14:textId="77777777" w:rsidR="00000000" w:rsidRDefault="00C1661D">
      <w:pPr>
        <w:jc w:val="both"/>
        <w:rPr>
          <w:rFonts w:eastAsia="Times New Roman"/>
        </w:rPr>
      </w:pPr>
      <w:r>
        <w:rPr>
          <w:rFonts w:eastAsia="Times New Roman"/>
          <w:b/>
          <w:bCs/>
          <w:i/>
          <w:iCs/>
          <w:color w:val="000000"/>
          <w:sz w:val="20"/>
          <w:szCs w:val="20"/>
        </w:rPr>
        <w:t>Electric Utility</w:t>
      </w:r>
    </w:p>
    <w:p w14:paraId="3F3B24C8" w14:textId="77777777" w:rsidR="00000000" w:rsidRDefault="00C1661D">
      <w:pPr>
        <w:jc w:val="both"/>
        <w:rPr>
          <w:rFonts w:eastAsia="Times New Roman"/>
        </w:rPr>
      </w:pPr>
    </w:p>
    <w:p w14:paraId="5AFED2DD" w14:textId="77777777" w:rsidR="00000000" w:rsidRDefault="00C1661D">
      <w:pPr>
        <w:jc w:val="both"/>
        <w:rPr>
          <w:rFonts w:eastAsia="Times New Roman"/>
        </w:rPr>
      </w:pPr>
      <w:r>
        <w:rPr>
          <w:rFonts w:eastAsia="Times New Roman"/>
          <w:color w:val="000000"/>
          <w:sz w:val="20"/>
          <w:szCs w:val="20"/>
        </w:rPr>
        <w:t>Electric Utility is permitted to reco</w:t>
      </w:r>
      <w:r>
        <w:rPr>
          <w:rFonts w:eastAsia="Times New Roman"/>
          <w:color w:val="000000"/>
          <w:sz w:val="20"/>
          <w:szCs w:val="20"/>
        </w:rPr>
        <w:t>ver prudently incurred electricity costs, including costs to obtain supply to meet its customers’ energy requirements, pursuant to a supply plan filed with and approved by the PAPUC. Electric Utility distributes electricity that it purchases from wholesale</w:t>
      </w:r>
      <w:r>
        <w:rPr>
          <w:rFonts w:eastAsia="Times New Roman"/>
          <w:color w:val="000000"/>
          <w:sz w:val="20"/>
          <w:szCs w:val="20"/>
        </w:rPr>
        <w:t xml:space="preserve"> markets and electricity that customers purchase from other suppliers. </w:t>
      </w:r>
    </w:p>
    <w:p w14:paraId="7CEC49B0" w14:textId="77777777" w:rsidR="00000000" w:rsidRDefault="00C1661D">
      <w:pPr>
        <w:jc w:val="both"/>
        <w:rPr>
          <w:rFonts w:eastAsia="Times New Roman"/>
        </w:rPr>
      </w:pPr>
    </w:p>
    <w:p w14:paraId="0FD3EA3D" w14:textId="77777777" w:rsidR="00000000" w:rsidRDefault="00C1661D">
      <w:pPr>
        <w:jc w:val="both"/>
        <w:rPr>
          <w:rFonts w:eastAsia="Times New Roman"/>
        </w:rPr>
      </w:pPr>
      <w:r>
        <w:rPr>
          <w:rFonts w:eastAsia="Times New Roman"/>
          <w:color w:val="000000"/>
          <w:sz w:val="20"/>
          <w:szCs w:val="20"/>
        </w:rPr>
        <w:t xml:space="preserve">On February 8, 2021, Electric Utility filed for a base rate increase with the PAPUC. On July 19, 2021, Electric Utility filed a joint petition for settlement of the rate case, which </w:t>
      </w:r>
      <w:r>
        <w:rPr>
          <w:rFonts w:eastAsia="Times New Roman"/>
          <w:color w:val="000000"/>
          <w:sz w:val="20"/>
          <w:szCs w:val="20"/>
        </w:rPr>
        <w:t>included a revenue increase of approximately $6 million. In an order dated October 28, 2021, the PAPUC approved the settlement and authorized the increased rate to become effective November 9, 2021.</w:t>
      </w:r>
    </w:p>
    <w:p w14:paraId="4FCDDF08" w14:textId="77777777" w:rsidR="00000000" w:rsidRDefault="00C1661D">
      <w:pPr>
        <w:jc w:val="both"/>
        <w:rPr>
          <w:rFonts w:eastAsia="Times New Roman"/>
        </w:rPr>
      </w:pPr>
    </w:p>
    <w:p w14:paraId="27F20A94" w14:textId="77777777" w:rsidR="00000000" w:rsidRDefault="00C1661D">
      <w:pPr>
        <w:jc w:val="both"/>
        <w:rPr>
          <w:rFonts w:eastAsia="Times New Roman"/>
        </w:rPr>
      </w:pPr>
      <w:r>
        <w:rPr>
          <w:rFonts w:eastAsia="Times New Roman"/>
          <w:color w:val="000000"/>
          <w:sz w:val="20"/>
          <w:szCs w:val="20"/>
        </w:rPr>
        <w:t>Electric Utility’s tariff includes rates, applicable to</w:t>
      </w:r>
      <w:r>
        <w:rPr>
          <w:rFonts w:eastAsia="Times New Roman"/>
          <w:color w:val="000000"/>
          <w:sz w:val="20"/>
          <w:szCs w:val="20"/>
        </w:rPr>
        <w:t xml:space="preserve"> so-called “default service” customers who do not obtain electric generation service from an alternative supplier, incurred pursuant to a PAPUC-approved supply plan. These default service rates are reconcilable, may be adjusted quarterly, and are designed </w:t>
      </w:r>
      <w:r>
        <w:rPr>
          <w:rFonts w:eastAsia="Times New Roman"/>
          <w:color w:val="000000"/>
          <w:sz w:val="20"/>
          <w:szCs w:val="20"/>
        </w:rPr>
        <w:t xml:space="preserve">to permit Electric Utility to recover the full costs of providing default service in a full and timely manner. Electric Utility’s default service rates include recovery of costs associated with compliance with the AEPS Act, which requires Electric Utility </w:t>
      </w:r>
      <w:r>
        <w:rPr>
          <w:rFonts w:eastAsia="Times New Roman"/>
          <w:color w:val="000000"/>
          <w:sz w:val="20"/>
          <w:szCs w:val="20"/>
        </w:rPr>
        <w:t>to directly or indirectly acquire certain percentages of its supplies from designated alternative energy sources. In an order dated January 14, 2021, the PAPUC authorized Electric Utility to implement its current Default Service plan for the period June 1,</w:t>
      </w:r>
      <w:r>
        <w:rPr>
          <w:rFonts w:eastAsia="Times New Roman"/>
          <w:color w:val="000000"/>
          <w:sz w:val="20"/>
          <w:szCs w:val="20"/>
        </w:rPr>
        <w:t xml:space="preserve"> 2021 through May 31, 2025, subject to possible, prospectively applied interim modifications that parties to that proceeding may propose in accordance with a settlement filed in that proceeding on October 23, 2020. </w:t>
      </w:r>
    </w:p>
    <w:p w14:paraId="0B8C8CFC" w14:textId="77777777" w:rsidR="00000000" w:rsidRDefault="00C1661D">
      <w:pPr>
        <w:jc w:val="both"/>
        <w:rPr>
          <w:rFonts w:eastAsia="Times New Roman"/>
        </w:rPr>
      </w:pPr>
    </w:p>
    <w:p w14:paraId="2A096262" w14:textId="77777777" w:rsidR="00000000" w:rsidRDefault="00C1661D">
      <w:pPr>
        <w:jc w:val="both"/>
        <w:rPr>
          <w:rFonts w:eastAsia="Times New Roman"/>
        </w:rPr>
      </w:pPr>
      <w:r>
        <w:rPr>
          <w:rFonts w:eastAsia="Times New Roman"/>
          <w:color w:val="000000"/>
          <w:sz w:val="20"/>
          <w:szCs w:val="20"/>
        </w:rPr>
        <w:t>Electric Utility’s tariff also include</w:t>
      </w:r>
      <w:r>
        <w:rPr>
          <w:rFonts w:eastAsia="Times New Roman"/>
          <w:color w:val="000000"/>
          <w:sz w:val="20"/>
          <w:szCs w:val="20"/>
        </w:rPr>
        <w:t>s a DSIC surcharge mechanism that was authorized by the PAPUC in 2019. Electric Utility’s first LTIIP, approved in 2017, provided the basis for its current DSIC charges through September 30, 2022. That authority was extended by order of the PAPUC issued Au</w:t>
      </w:r>
      <w:r>
        <w:rPr>
          <w:rFonts w:eastAsia="Times New Roman"/>
          <w:color w:val="000000"/>
          <w:sz w:val="20"/>
          <w:szCs w:val="20"/>
        </w:rPr>
        <w:t>gust 25, 2022, in which Electric Utility’s second LTIIP filing was approved, authorizing the expenditure of $50.6 million of DSIC-eligible plant over the five-year period ending September 30, 2027</w:t>
      </w:r>
      <w:r>
        <w:rPr>
          <w:rFonts w:eastAsia="Times New Roman"/>
          <w:color w:val="000000"/>
        </w:rPr>
        <w:t xml:space="preserve">. </w:t>
      </w:r>
    </w:p>
    <w:p w14:paraId="45102457" w14:textId="77777777" w:rsidR="00000000" w:rsidRDefault="00C1661D">
      <w:pPr>
        <w:jc w:val="both"/>
        <w:rPr>
          <w:rFonts w:eastAsia="Times New Roman"/>
        </w:rPr>
      </w:pPr>
    </w:p>
    <w:p w14:paraId="174EF62C" w14:textId="77777777" w:rsidR="00000000" w:rsidRDefault="00C1661D">
      <w:pPr>
        <w:jc w:val="both"/>
        <w:rPr>
          <w:rFonts w:eastAsia="Times New Roman"/>
        </w:rPr>
      </w:pPr>
      <w:r>
        <w:rPr>
          <w:rFonts w:eastAsia="Times New Roman"/>
          <w:color w:val="000000"/>
          <w:sz w:val="20"/>
          <w:szCs w:val="20"/>
        </w:rPr>
        <w:t>With the implementation of new base rates on November 9</w:t>
      </w:r>
      <w:r>
        <w:rPr>
          <w:rFonts w:eastAsia="Times New Roman"/>
          <w:color w:val="000000"/>
          <w:sz w:val="20"/>
          <w:szCs w:val="20"/>
        </w:rPr>
        <w:t>, 2021 pursuant to the PAPUC’s October 28, 2021 order in the 2021 Electric Utility base rate case, Electric Utility’s DSIC-eligible plant associated revenue requirement was rolled into Electric Utility’s base rates. The final order issued by the PAPUC appr</w:t>
      </w:r>
      <w:r>
        <w:rPr>
          <w:rFonts w:eastAsia="Times New Roman"/>
          <w:color w:val="000000"/>
          <w:sz w:val="20"/>
          <w:szCs w:val="20"/>
        </w:rPr>
        <w:t>oved the settlement of the base rate proceeding and authorized Electric Utility to implement a new DSIC surcharge once Electric Utility’s total property, plant and equipment less accumulated depreciation reached $152 million, a level that was achieved in S</w:t>
      </w:r>
      <w:r>
        <w:rPr>
          <w:rFonts w:eastAsia="Times New Roman"/>
          <w:color w:val="000000"/>
          <w:sz w:val="20"/>
          <w:szCs w:val="20"/>
        </w:rPr>
        <w:t>eptember 2022. Electric Utility expects to implement a new DSIC effective January 1, 2023.</w:t>
      </w:r>
    </w:p>
    <w:p w14:paraId="4B46C449" w14:textId="77777777" w:rsidR="00000000" w:rsidRDefault="00C1661D">
      <w:pPr>
        <w:jc w:val="both"/>
        <w:rPr>
          <w:rFonts w:eastAsia="Times New Roman"/>
        </w:rPr>
      </w:pPr>
      <w:r>
        <w:rPr>
          <w:rFonts w:eastAsia="Times New Roman"/>
          <w:b/>
          <w:bCs/>
          <w:color w:val="000000"/>
          <w:sz w:val="20"/>
          <w:szCs w:val="20"/>
          <w:u w:val="single"/>
        </w:rPr>
        <w:t>Utility Franchises</w:t>
      </w:r>
    </w:p>
    <w:p w14:paraId="74E4F73D" w14:textId="77777777" w:rsidR="00000000" w:rsidRDefault="00C1661D">
      <w:pPr>
        <w:jc w:val="both"/>
        <w:rPr>
          <w:rFonts w:eastAsia="Times New Roman"/>
        </w:rPr>
      </w:pPr>
    </w:p>
    <w:p w14:paraId="0EEDCD62" w14:textId="77777777" w:rsidR="00000000" w:rsidRDefault="00C1661D">
      <w:pPr>
        <w:jc w:val="both"/>
        <w:rPr>
          <w:rFonts w:eastAsia="Times New Roman"/>
        </w:rPr>
      </w:pPr>
      <w:r>
        <w:rPr>
          <w:rFonts w:eastAsia="Times New Roman"/>
          <w:color w:val="000000"/>
          <w:sz w:val="20"/>
          <w:szCs w:val="20"/>
        </w:rPr>
        <w:t>PA Gas Utility and Electric Utility hold certificates of public convenience issued by the PAPUC and certain “grandfather rights” predating the a</w:t>
      </w:r>
      <w:r>
        <w:rPr>
          <w:rFonts w:eastAsia="Times New Roman"/>
          <w:color w:val="000000"/>
          <w:sz w:val="20"/>
          <w:szCs w:val="20"/>
        </w:rPr>
        <w:t>doption of the Pennsylvania Public Utility Code and its predecessor statutes, which authorize it to carry on its business in the territories in which it renders gas service. Under applicable Pennsylvania law, PA Gas Utility also has certain rights of emine</w:t>
      </w:r>
      <w:r>
        <w:rPr>
          <w:rFonts w:eastAsia="Times New Roman"/>
          <w:color w:val="000000"/>
          <w:sz w:val="20"/>
          <w:szCs w:val="20"/>
        </w:rPr>
        <w:t>nt domain as well as the right to maintain its facilities in public streets and highways in its territories.</w:t>
      </w:r>
    </w:p>
    <w:p w14:paraId="53ECE392" w14:textId="77777777" w:rsidR="00000000" w:rsidRDefault="00C1661D">
      <w:pPr>
        <w:jc w:val="both"/>
        <w:rPr>
          <w:rFonts w:eastAsia="Times New Roman"/>
        </w:rPr>
      </w:pPr>
    </w:p>
    <w:p w14:paraId="41E33001" w14:textId="77777777" w:rsidR="00000000" w:rsidRDefault="00C1661D">
      <w:pPr>
        <w:jc w:val="both"/>
        <w:rPr>
          <w:rFonts w:eastAsia="Times New Roman"/>
        </w:rPr>
      </w:pPr>
      <w:r>
        <w:rPr>
          <w:rFonts w:eastAsia="Times New Roman"/>
          <w:color w:val="000000"/>
          <w:sz w:val="20"/>
          <w:szCs w:val="20"/>
        </w:rPr>
        <w:t>Similarly, Mountaineer holds certificates of public convenience issued by the WVPSC, which authorize it to carry on its business in substantially</w:t>
      </w:r>
      <w:r>
        <w:rPr>
          <w:rFonts w:eastAsia="Times New Roman"/>
          <w:color w:val="000000"/>
          <w:sz w:val="20"/>
          <w:szCs w:val="20"/>
        </w:rPr>
        <w:t xml:space="preserve"> all of the territories in which it now renders gas service. Under applicable West Virginia law, Mountaineer also has certain rights of eminent domain as well as the right to maintain its facilities in public streets and highways in its territories.</w:t>
      </w:r>
    </w:p>
    <w:p w14:paraId="43B579A5" w14:textId="77777777" w:rsidR="00000000" w:rsidRDefault="00C1661D">
      <w:pPr>
        <w:jc w:val="both"/>
        <w:rPr>
          <w:rFonts w:eastAsia="Times New Roman"/>
        </w:rPr>
      </w:pPr>
    </w:p>
    <w:p w14:paraId="24087C45" w14:textId="77777777" w:rsidR="00000000" w:rsidRDefault="00C1661D">
      <w:pPr>
        <w:jc w:val="both"/>
        <w:rPr>
          <w:rFonts w:eastAsia="Times New Roman"/>
        </w:rPr>
      </w:pPr>
      <w:r>
        <w:rPr>
          <w:rFonts w:eastAsia="Times New Roman"/>
          <w:b/>
          <w:bCs/>
          <w:color w:val="000000"/>
          <w:sz w:val="20"/>
          <w:szCs w:val="20"/>
          <w:u w:val="single"/>
        </w:rPr>
        <w:t>Fede</w:t>
      </w:r>
      <w:r>
        <w:rPr>
          <w:rFonts w:eastAsia="Times New Roman"/>
          <w:b/>
          <w:bCs/>
          <w:color w:val="000000"/>
          <w:sz w:val="20"/>
          <w:szCs w:val="20"/>
          <w:u w:val="single"/>
        </w:rPr>
        <w:t>ral Energy Regulation</w:t>
      </w:r>
    </w:p>
    <w:p w14:paraId="749427EC" w14:textId="77777777" w:rsidR="00000000" w:rsidRDefault="00C1661D">
      <w:pPr>
        <w:jc w:val="both"/>
        <w:rPr>
          <w:rFonts w:eastAsia="Times New Roman"/>
        </w:rPr>
      </w:pPr>
    </w:p>
    <w:p w14:paraId="72CC8629" w14:textId="77777777" w:rsidR="00000000" w:rsidRDefault="00C1661D">
      <w:pPr>
        <w:jc w:val="both"/>
        <w:rPr>
          <w:rFonts w:eastAsia="Times New Roman"/>
        </w:rPr>
      </w:pPr>
      <w:r>
        <w:rPr>
          <w:rFonts w:eastAsia="Times New Roman"/>
          <w:color w:val="000000"/>
          <w:sz w:val="20"/>
          <w:szCs w:val="20"/>
        </w:rPr>
        <w:t>With the acquisition of Mountaineer on September 1, 2021, UGI and its subsidiaries became subject to FERC regulation under PUHCA 2005 pertaining to record-keeping and affiliate service pricing requirements. UGI provided notice of it</w:t>
      </w:r>
      <w:r>
        <w:rPr>
          <w:rFonts w:eastAsia="Times New Roman"/>
          <w:color w:val="000000"/>
          <w:sz w:val="20"/>
          <w:szCs w:val="20"/>
        </w:rPr>
        <w:t>s non-exempt status on September 17, 2021.</w:t>
      </w:r>
      <w:r>
        <w:rPr>
          <w:rFonts w:eastAsia="Times New Roman"/>
          <w:b/>
          <w:bCs/>
          <w:color w:val="000000"/>
          <w:sz w:val="20"/>
          <w:szCs w:val="20"/>
        </w:rPr>
        <w:t xml:space="preserve"> </w:t>
      </w:r>
    </w:p>
    <w:p w14:paraId="2B43D5CC" w14:textId="77777777" w:rsidR="00000000" w:rsidRDefault="00C1661D">
      <w:pPr>
        <w:jc w:val="both"/>
        <w:rPr>
          <w:rFonts w:eastAsia="Times New Roman"/>
        </w:rPr>
      </w:pPr>
    </w:p>
    <w:p w14:paraId="646DB32C" w14:textId="77777777" w:rsidR="00000000" w:rsidRDefault="00C1661D">
      <w:pPr>
        <w:jc w:val="both"/>
        <w:rPr>
          <w:rFonts w:eastAsia="Times New Roman"/>
        </w:rPr>
      </w:pPr>
      <w:r>
        <w:rPr>
          <w:rFonts w:eastAsia="Times New Roman"/>
          <w:color w:val="000000"/>
          <w:sz w:val="20"/>
          <w:szCs w:val="20"/>
        </w:rPr>
        <w:t>Utilities is subject to Section 4A of the Natural Gas Act, which prohibits the use or employment of any manipulative or deceptive devices or contrivances in connection with the purchase or sale of natural gas or natural gas transportation subject to the ju</w:t>
      </w:r>
      <w:r>
        <w:rPr>
          <w:rFonts w:eastAsia="Times New Roman"/>
          <w:color w:val="000000"/>
          <w:sz w:val="20"/>
          <w:szCs w:val="20"/>
        </w:rPr>
        <w:t xml:space="preserve">risdiction of FERC, and FERC regulations that are designed to promote the transparency, efficiency, and integrity of gas markets. </w:t>
      </w:r>
    </w:p>
    <w:p w14:paraId="5F7F8470" w14:textId="77777777" w:rsidR="00000000" w:rsidRDefault="00C1661D">
      <w:pPr>
        <w:jc w:val="both"/>
        <w:rPr>
          <w:rFonts w:eastAsia="Times New Roman"/>
        </w:rPr>
      </w:pPr>
    </w:p>
    <w:p w14:paraId="3A089448" w14:textId="77777777" w:rsidR="00000000" w:rsidRDefault="00C1661D">
      <w:pPr>
        <w:jc w:val="both"/>
        <w:rPr>
          <w:rFonts w:eastAsia="Times New Roman"/>
        </w:rPr>
      </w:pPr>
      <w:r>
        <w:rPr>
          <w:rFonts w:eastAsia="Times New Roman"/>
          <w:color w:val="000000"/>
          <w:sz w:val="20"/>
          <w:szCs w:val="20"/>
        </w:rPr>
        <w:t xml:space="preserve">Similarly, UGI Utilities is also subject to Section 222 of the Federal Power Act, which prohibits the use or employment of any manipulative or deceptive devices or contrivances in connection with the purchase or sale of electric energy or transmission </w:t>
      </w:r>
    </w:p>
    <w:p w14:paraId="762D4E97" w14:textId="77777777" w:rsidR="00000000" w:rsidRDefault="00C1661D">
      <w:pPr>
        <w:jc w:val="center"/>
        <w:divId w:val="1969386408"/>
        <w:rPr>
          <w:rFonts w:eastAsia="Times New Roman"/>
        </w:rPr>
      </w:pPr>
      <w:r>
        <w:rPr>
          <w:rFonts w:eastAsia="Times New Roman"/>
          <w:color w:val="000000"/>
          <w:sz w:val="20"/>
          <w:szCs w:val="20"/>
        </w:rPr>
        <w:t>29</w:t>
      </w:r>
    </w:p>
    <w:p w14:paraId="432CFF26" w14:textId="77777777" w:rsidR="00000000" w:rsidRDefault="00C1661D">
      <w:pPr>
        <w:rPr>
          <w:rFonts w:eastAsia="Times New Roman"/>
        </w:rPr>
      </w:pPr>
      <w:r>
        <w:rPr>
          <w:rFonts w:eastAsia="Times New Roman"/>
        </w:rPr>
        <w:pict w14:anchorId="3EDEBBA3">
          <v:rect id="_x0000_i1055" style="width:0;height:1.5pt" o:hralign="center" o:hrstd="t" o:hr="t" fillcolor="#a0a0a0" stroked="f"/>
        </w:pict>
      </w:r>
    </w:p>
    <w:p w14:paraId="30453E3B" w14:textId="77777777" w:rsidR="00000000" w:rsidRDefault="00C1661D">
      <w:pPr>
        <w:divId w:val="78449457"/>
        <w:rPr>
          <w:rFonts w:eastAsia="Times New Roman"/>
        </w:rPr>
      </w:pPr>
      <w:hyperlink w:anchor="i3850c3c6c0104e42b9951aac2f16098a_7" w:history="1">
        <w:r>
          <w:rPr>
            <w:rStyle w:val="a3"/>
            <w:rFonts w:eastAsia="Times New Roman"/>
            <w:b/>
            <w:bCs/>
            <w:sz w:val="20"/>
            <w:szCs w:val="20"/>
          </w:rPr>
          <w:t>Table of Contents</w:t>
        </w:r>
      </w:hyperlink>
    </w:p>
    <w:p w14:paraId="6B7126B6" w14:textId="77777777" w:rsidR="00000000" w:rsidRDefault="00C1661D">
      <w:pPr>
        <w:jc w:val="both"/>
        <w:rPr>
          <w:rFonts w:eastAsia="Times New Roman"/>
        </w:rPr>
      </w:pPr>
      <w:r>
        <w:rPr>
          <w:rFonts w:eastAsia="Times New Roman"/>
          <w:color w:val="000000"/>
          <w:sz w:val="20"/>
          <w:szCs w:val="20"/>
        </w:rPr>
        <w:t>service subject to the jurisdiction of FERC, and FERC regulations that are designed to promote the transparency, efficiency, and integrity of el</w:t>
      </w:r>
      <w:r>
        <w:rPr>
          <w:rFonts w:eastAsia="Times New Roman"/>
          <w:color w:val="000000"/>
          <w:sz w:val="20"/>
          <w:szCs w:val="20"/>
        </w:rPr>
        <w:t xml:space="preserve">ectric markets. </w:t>
      </w:r>
    </w:p>
    <w:p w14:paraId="6EE706AE" w14:textId="77777777" w:rsidR="00000000" w:rsidRDefault="00C1661D">
      <w:pPr>
        <w:jc w:val="both"/>
        <w:rPr>
          <w:rFonts w:eastAsia="Times New Roman"/>
        </w:rPr>
      </w:pPr>
    </w:p>
    <w:p w14:paraId="2FF83713" w14:textId="77777777" w:rsidR="00000000" w:rsidRDefault="00C1661D">
      <w:pPr>
        <w:jc w:val="both"/>
        <w:rPr>
          <w:rFonts w:eastAsia="Times New Roman"/>
        </w:rPr>
      </w:pPr>
      <w:r>
        <w:rPr>
          <w:rFonts w:eastAsia="Times New Roman"/>
          <w:color w:val="000000"/>
          <w:sz w:val="20"/>
          <w:szCs w:val="20"/>
        </w:rPr>
        <w:t>FERC has jurisdiction over the rates and terms and conditions of service of electric transmission facilities used for wholesale or retail choice transactions. Electric Utility owns electric transmission facilities that are within the con</w:t>
      </w:r>
      <w:r>
        <w:rPr>
          <w:rFonts w:eastAsia="Times New Roman"/>
          <w:color w:val="000000"/>
          <w:sz w:val="20"/>
          <w:szCs w:val="20"/>
        </w:rPr>
        <w:t>trol area of PJM and are dispatched in accordance with a FERC-approved open access tariff and associated agreements administered by PJM. PJM is a regional transmission organization that regulates and coordinates generation, supply and the wholesale deliver</w:t>
      </w:r>
      <w:r>
        <w:rPr>
          <w:rFonts w:eastAsia="Times New Roman"/>
          <w:color w:val="000000"/>
          <w:sz w:val="20"/>
          <w:szCs w:val="20"/>
        </w:rPr>
        <w:t>y of electricity. Electric Utility receives certain revenues collected by PJM, determined under a formulary rate schedule that is adjusted in June of each year to reflect annual changes in Electric Utility’s electric transmission revenue requirements, when</w:t>
      </w:r>
      <w:r>
        <w:rPr>
          <w:rFonts w:eastAsia="Times New Roman"/>
          <w:color w:val="000000"/>
          <w:sz w:val="20"/>
          <w:szCs w:val="20"/>
        </w:rPr>
        <w:t xml:space="preserve"> its transmission facilities are used by third parties. FERC has jurisdiction over the rates and terms and conditions of service of wholesale sales of electric capacity and energy. Electric Utility has a tariff on file with FERC pursuant to which it may ma</w:t>
      </w:r>
      <w:r>
        <w:rPr>
          <w:rFonts w:eastAsia="Times New Roman"/>
          <w:color w:val="000000"/>
          <w:sz w:val="20"/>
          <w:szCs w:val="20"/>
        </w:rPr>
        <w:t xml:space="preserve">ke power sales to wholesale customers at market-based rates. </w:t>
      </w:r>
    </w:p>
    <w:p w14:paraId="6065A31A" w14:textId="77777777" w:rsidR="00000000" w:rsidRDefault="00C1661D">
      <w:pPr>
        <w:jc w:val="both"/>
        <w:rPr>
          <w:rFonts w:eastAsia="Times New Roman"/>
        </w:rPr>
      </w:pPr>
    </w:p>
    <w:p w14:paraId="362EF60F" w14:textId="77777777" w:rsidR="00000000" w:rsidRDefault="00C1661D">
      <w:pPr>
        <w:jc w:val="both"/>
        <w:rPr>
          <w:rFonts w:eastAsia="Times New Roman"/>
        </w:rPr>
      </w:pPr>
      <w:r>
        <w:rPr>
          <w:rFonts w:eastAsia="Times New Roman"/>
          <w:color w:val="000000"/>
          <w:sz w:val="20"/>
          <w:szCs w:val="20"/>
        </w:rPr>
        <w:t>Under provisions of EPACT 2005, Electric Utility is subject to certain electric reliability standards established by FERC and administered by an ERO. Electric Utility anticipates that substant</w:t>
      </w:r>
      <w:r>
        <w:rPr>
          <w:rFonts w:eastAsia="Times New Roman"/>
          <w:color w:val="000000"/>
          <w:sz w:val="20"/>
          <w:szCs w:val="20"/>
        </w:rPr>
        <w:t xml:space="preserve">ially all the costs of complying with the ERO standards will be recoverable through its PJM formulary electric transmission rate schedule. </w:t>
      </w:r>
    </w:p>
    <w:p w14:paraId="42A28094" w14:textId="77777777" w:rsidR="00000000" w:rsidRDefault="00C1661D">
      <w:pPr>
        <w:jc w:val="both"/>
        <w:rPr>
          <w:rFonts w:eastAsia="Times New Roman"/>
        </w:rPr>
      </w:pPr>
    </w:p>
    <w:p w14:paraId="6F2B9384" w14:textId="77777777" w:rsidR="00000000" w:rsidRDefault="00C1661D">
      <w:pPr>
        <w:jc w:val="both"/>
        <w:rPr>
          <w:rFonts w:eastAsia="Times New Roman"/>
        </w:rPr>
      </w:pPr>
      <w:r>
        <w:rPr>
          <w:rFonts w:eastAsia="Times New Roman"/>
          <w:color w:val="000000"/>
          <w:sz w:val="20"/>
          <w:szCs w:val="20"/>
        </w:rPr>
        <w:t>EPACT 2005 also granted FERC authority to impose substantial civil penalties for the violation of any regulations,</w:t>
      </w:r>
      <w:r>
        <w:rPr>
          <w:rFonts w:eastAsia="Times New Roman"/>
          <w:color w:val="000000"/>
          <w:sz w:val="20"/>
          <w:szCs w:val="20"/>
        </w:rPr>
        <w:t xml:space="preserve"> orders or provisions under the Federal Power Act and Natural Gas Act and clarified FERC’s authority over certain utility or holding company mergers or acquisitions of electric utilities or electric transmitting utility property valued at $10 million or mo</w:t>
      </w:r>
      <w:r>
        <w:rPr>
          <w:rFonts w:eastAsia="Times New Roman"/>
          <w:color w:val="000000"/>
          <w:sz w:val="20"/>
          <w:szCs w:val="20"/>
        </w:rPr>
        <w:t>re.</w:t>
      </w:r>
    </w:p>
    <w:p w14:paraId="75C7226A" w14:textId="77777777" w:rsidR="00000000" w:rsidRDefault="00C1661D">
      <w:pPr>
        <w:jc w:val="both"/>
        <w:rPr>
          <w:rFonts w:eastAsia="Times New Roman"/>
        </w:rPr>
      </w:pPr>
    </w:p>
    <w:p w14:paraId="73803943" w14:textId="77777777" w:rsidR="00000000" w:rsidRDefault="00C1661D">
      <w:pPr>
        <w:jc w:val="both"/>
        <w:rPr>
          <w:rFonts w:eastAsia="Times New Roman"/>
        </w:rPr>
      </w:pPr>
      <w:r>
        <w:rPr>
          <w:rFonts w:eastAsia="Times New Roman"/>
          <w:b/>
          <w:bCs/>
          <w:color w:val="000000"/>
          <w:sz w:val="20"/>
          <w:szCs w:val="20"/>
          <w:u w:val="single"/>
        </w:rPr>
        <w:t>Other Government Regulation</w:t>
      </w:r>
    </w:p>
    <w:p w14:paraId="1921A9D1" w14:textId="77777777" w:rsidR="00000000" w:rsidRDefault="00C1661D">
      <w:pPr>
        <w:jc w:val="both"/>
        <w:rPr>
          <w:rFonts w:eastAsia="Times New Roman"/>
        </w:rPr>
      </w:pPr>
    </w:p>
    <w:p w14:paraId="3B7C6EBF" w14:textId="77777777" w:rsidR="00000000" w:rsidRDefault="00C1661D">
      <w:pPr>
        <w:jc w:val="both"/>
        <w:rPr>
          <w:rFonts w:eastAsia="Times New Roman"/>
        </w:rPr>
      </w:pPr>
      <w:r>
        <w:rPr>
          <w:rFonts w:eastAsia="Times New Roman"/>
          <w:color w:val="000000"/>
          <w:sz w:val="20"/>
          <w:szCs w:val="20"/>
        </w:rPr>
        <w:t>In addition to state and federal regulation discussed above, Utilities is subject to various federal, state and local laws governing environmental matters, occupational health and safety, pipeline safety and other matter</w:t>
      </w:r>
      <w:r>
        <w:rPr>
          <w:rFonts w:eastAsia="Times New Roman"/>
          <w:color w:val="000000"/>
          <w:sz w:val="20"/>
          <w:szCs w:val="20"/>
        </w:rPr>
        <w:t>s. Each is subject to the requirements of the Resource Conservation and Recovery Act, CERCLA and comparable state statutes with respect to the release of hazardous substances. See Note 17 to Consolidated Financial Statements.</w:t>
      </w:r>
    </w:p>
    <w:p w14:paraId="2FB17B97" w14:textId="77777777" w:rsidR="00000000" w:rsidRDefault="00C1661D">
      <w:pPr>
        <w:jc w:val="both"/>
        <w:rPr>
          <w:rFonts w:eastAsia="Times New Roman"/>
        </w:rPr>
      </w:pPr>
    </w:p>
    <w:p w14:paraId="46DF2067" w14:textId="77777777" w:rsidR="00000000" w:rsidRDefault="00C1661D">
      <w:pPr>
        <w:jc w:val="center"/>
        <w:rPr>
          <w:rFonts w:eastAsia="Times New Roman"/>
        </w:rPr>
      </w:pPr>
      <w:r>
        <w:rPr>
          <w:rFonts w:eastAsia="Times New Roman"/>
          <w:b/>
          <w:bCs/>
          <w:color w:val="000000"/>
          <w:sz w:val="20"/>
          <w:szCs w:val="20"/>
        </w:rPr>
        <w:t>BUSINESS SEGMENT INFORMATION</w:t>
      </w:r>
    </w:p>
    <w:p w14:paraId="78EAF35F" w14:textId="77777777" w:rsidR="00000000" w:rsidRDefault="00C1661D">
      <w:pPr>
        <w:jc w:val="both"/>
        <w:rPr>
          <w:rFonts w:eastAsia="Times New Roman"/>
        </w:rPr>
      </w:pPr>
    </w:p>
    <w:p w14:paraId="68876930" w14:textId="77777777" w:rsidR="00000000" w:rsidRDefault="00C1661D">
      <w:pPr>
        <w:jc w:val="both"/>
        <w:rPr>
          <w:rFonts w:eastAsia="Times New Roman"/>
        </w:rPr>
      </w:pPr>
      <w:r>
        <w:rPr>
          <w:rFonts w:eastAsia="Times New Roman"/>
          <w:color w:val="000000"/>
          <w:sz w:val="20"/>
          <w:szCs w:val="20"/>
        </w:rPr>
        <w:t>The table stating the amounts of revenues, operating income and identifiable assets attributable to each of UGI’s reportable business segments, and to information regarding the geographic areas in which we operate, for Fiscal 2022, Fiscal 2021 and Fisca</w:t>
      </w:r>
      <w:r>
        <w:rPr>
          <w:rFonts w:eastAsia="Times New Roman"/>
          <w:color w:val="000000"/>
          <w:sz w:val="20"/>
          <w:szCs w:val="20"/>
        </w:rPr>
        <w:t>l 2020 appears in Note 23 to Consolidated Financial Statements included in Item 15 of this Report and is incorporated herein by reference.</w:t>
      </w:r>
    </w:p>
    <w:p w14:paraId="2DDB4303" w14:textId="77777777" w:rsidR="00000000" w:rsidRDefault="00C1661D">
      <w:pPr>
        <w:ind w:firstLine="495"/>
        <w:jc w:val="both"/>
        <w:rPr>
          <w:rFonts w:eastAsia="Times New Roman"/>
        </w:rPr>
      </w:pPr>
    </w:p>
    <w:p w14:paraId="4FA68522" w14:textId="77777777" w:rsidR="00000000" w:rsidRDefault="00C1661D">
      <w:pPr>
        <w:jc w:val="center"/>
        <w:rPr>
          <w:rFonts w:eastAsia="Times New Roman"/>
        </w:rPr>
      </w:pPr>
    </w:p>
    <w:p w14:paraId="424E4849" w14:textId="77777777" w:rsidR="00000000" w:rsidRDefault="00C1661D">
      <w:pPr>
        <w:jc w:val="center"/>
        <w:rPr>
          <w:rFonts w:eastAsia="Times New Roman"/>
        </w:rPr>
      </w:pPr>
      <w:r>
        <w:rPr>
          <w:rFonts w:eastAsia="Times New Roman"/>
          <w:b/>
          <w:bCs/>
          <w:color w:val="000000"/>
          <w:sz w:val="20"/>
          <w:szCs w:val="20"/>
        </w:rPr>
        <w:t>EMPLOYEES</w:t>
      </w:r>
    </w:p>
    <w:p w14:paraId="5037F7AE" w14:textId="77777777" w:rsidR="00000000" w:rsidRDefault="00C1661D">
      <w:pPr>
        <w:jc w:val="both"/>
        <w:rPr>
          <w:rFonts w:eastAsia="Times New Roman"/>
        </w:rPr>
      </w:pPr>
    </w:p>
    <w:p w14:paraId="0E259BEA" w14:textId="77777777" w:rsidR="00000000" w:rsidRDefault="00C1661D">
      <w:pPr>
        <w:divId w:val="289749178"/>
        <w:rPr>
          <w:rFonts w:eastAsia="Times New Roman"/>
        </w:rPr>
      </w:pPr>
      <w:r>
        <w:rPr>
          <w:rFonts w:eastAsia="Times New Roman"/>
          <w:color w:val="000000"/>
          <w:sz w:val="20"/>
          <w:szCs w:val="20"/>
        </w:rPr>
        <w:t>At September 30, 2022, UGI and its subsidiaries had approximately 10,000 employees.</w:t>
      </w:r>
    </w:p>
    <w:p w14:paraId="53DB2158" w14:textId="77777777" w:rsidR="00000000" w:rsidRDefault="00C1661D">
      <w:pPr>
        <w:divId w:val="1522082548"/>
        <w:rPr>
          <w:rFonts w:eastAsia="Times New Roman"/>
        </w:rPr>
      </w:pPr>
    </w:p>
    <w:p w14:paraId="189B15CC" w14:textId="77777777" w:rsidR="00000000" w:rsidRDefault="00C1661D">
      <w:pPr>
        <w:jc w:val="center"/>
        <w:divId w:val="3826193"/>
        <w:rPr>
          <w:rFonts w:eastAsia="Times New Roman"/>
        </w:rPr>
      </w:pPr>
      <w:r>
        <w:rPr>
          <w:rFonts w:eastAsia="Times New Roman"/>
          <w:color w:val="000000"/>
          <w:sz w:val="20"/>
          <w:szCs w:val="20"/>
        </w:rPr>
        <w:t>30</w:t>
      </w:r>
    </w:p>
    <w:p w14:paraId="109FEB02" w14:textId="77777777" w:rsidR="00000000" w:rsidRDefault="00C1661D">
      <w:pPr>
        <w:rPr>
          <w:rFonts w:eastAsia="Times New Roman"/>
        </w:rPr>
      </w:pPr>
      <w:r>
        <w:rPr>
          <w:rFonts w:eastAsia="Times New Roman"/>
        </w:rPr>
        <w:pict w14:anchorId="01D13E00">
          <v:rect id="_x0000_i1056" style="width:0;height:1.5pt" o:hralign="center" o:hrstd="t" o:hr="t" fillcolor="#a0a0a0" stroked="f"/>
        </w:pict>
      </w:r>
    </w:p>
    <w:p w14:paraId="62077288" w14:textId="77777777" w:rsidR="00000000" w:rsidRDefault="00C1661D">
      <w:pPr>
        <w:divId w:val="271669598"/>
        <w:rPr>
          <w:rFonts w:eastAsia="Times New Roman"/>
        </w:rPr>
      </w:pPr>
      <w:hyperlink w:anchor="i3850c3c6c0104e42b9951aac2f16098a_7" w:history="1">
        <w:r>
          <w:rPr>
            <w:rStyle w:val="a3"/>
            <w:rFonts w:eastAsia="Times New Roman"/>
            <w:b/>
            <w:bCs/>
            <w:sz w:val="20"/>
            <w:szCs w:val="20"/>
          </w:rPr>
          <w:t>Table of Contents</w:t>
        </w:r>
      </w:hyperlink>
    </w:p>
    <w:p w14:paraId="52C1BE32" w14:textId="77777777" w:rsidR="00000000" w:rsidRDefault="00C1661D">
      <w:pPr>
        <w:jc w:val="center"/>
        <w:rPr>
          <w:rFonts w:eastAsia="Times New Roman"/>
        </w:rPr>
      </w:pPr>
      <w:r>
        <w:rPr>
          <w:rFonts w:eastAsia="Times New Roman"/>
          <w:b/>
          <w:bCs/>
          <w:color w:val="000000"/>
          <w:sz w:val="20"/>
          <w:szCs w:val="20"/>
        </w:rPr>
        <w:t>HUMAN CAPITAL MANAGEMENT</w:t>
      </w:r>
    </w:p>
    <w:p w14:paraId="6DAA687E" w14:textId="77777777" w:rsidR="00000000" w:rsidRDefault="00C1661D">
      <w:pPr>
        <w:jc w:val="center"/>
        <w:rPr>
          <w:rFonts w:eastAsia="Times New Roman"/>
        </w:rPr>
      </w:pPr>
    </w:p>
    <w:p w14:paraId="3D778BEE" w14:textId="77777777" w:rsidR="00000000" w:rsidRDefault="00C1661D">
      <w:pPr>
        <w:jc w:val="both"/>
        <w:rPr>
          <w:rFonts w:eastAsia="Times New Roman"/>
        </w:rPr>
      </w:pPr>
      <w:r>
        <w:rPr>
          <w:rFonts w:eastAsia="Times New Roman"/>
          <w:color w:val="000000"/>
          <w:sz w:val="20"/>
          <w:szCs w:val="20"/>
        </w:rPr>
        <w:t xml:space="preserve">We are committed to the attraction, development, retention and safety of our employees. The following is an overview of some of our key human capital initiatives that are designed to ensure the overall well-being of our employees and other stakeholders as </w:t>
      </w:r>
      <w:r>
        <w:rPr>
          <w:rFonts w:eastAsia="Times New Roman"/>
          <w:color w:val="000000"/>
          <w:sz w:val="20"/>
          <w:szCs w:val="20"/>
        </w:rPr>
        <w:t xml:space="preserve">well as to promote workforce diversity. </w:t>
      </w:r>
    </w:p>
    <w:p w14:paraId="2E400181" w14:textId="77777777" w:rsidR="00000000" w:rsidRDefault="00C1661D">
      <w:pPr>
        <w:jc w:val="both"/>
        <w:rPr>
          <w:rFonts w:eastAsia="Times New Roman"/>
        </w:rPr>
      </w:pPr>
    </w:p>
    <w:p w14:paraId="688675BF" w14:textId="77777777" w:rsidR="00000000" w:rsidRDefault="00C1661D">
      <w:pPr>
        <w:jc w:val="both"/>
        <w:rPr>
          <w:rFonts w:eastAsia="Times New Roman"/>
        </w:rPr>
      </w:pPr>
      <w:r>
        <w:rPr>
          <w:rFonts w:eastAsia="Times New Roman"/>
          <w:color w:val="000000"/>
          <w:sz w:val="20"/>
          <w:szCs w:val="20"/>
        </w:rPr>
        <w:t>UGI publishes annual sustainability reports, which are available free of charge on its corporate website under “ESG - Resources - Sustainability Reports.” Information included in these sustainability reports is no</w:t>
      </w:r>
      <w:r>
        <w:rPr>
          <w:rFonts w:eastAsia="Times New Roman"/>
          <w:color w:val="000000"/>
          <w:sz w:val="20"/>
          <w:szCs w:val="20"/>
        </w:rPr>
        <w:t>t intended to be incorporated into this Report.</w:t>
      </w:r>
    </w:p>
    <w:p w14:paraId="09600FF5" w14:textId="77777777" w:rsidR="00000000" w:rsidRDefault="00C1661D">
      <w:pPr>
        <w:jc w:val="both"/>
        <w:rPr>
          <w:rFonts w:eastAsia="Times New Roman"/>
        </w:rPr>
      </w:pPr>
    </w:p>
    <w:p w14:paraId="4550EF3D" w14:textId="77777777" w:rsidR="00000000" w:rsidRDefault="00C1661D">
      <w:pPr>
        <w:jc w:val="both"/>
        <w:rPr>
          <w:rFonts w:eastAsia="Times New Roman"/>
        </w:rPr>
      </w:pPr>
      <w:r>
        <w:rPr>
          <w:rFonts w:eastAsia="Times New Roman"/>
          <w:b/>
          <w:bCs/>
          <w:color w:val="000000"/>
          <w:sz w:val="20"/>
          <w:szCs w:val="20"/>
          <w:u w:val="single"/>
        </w:rPr>
        <w:t>Workplace Safety</w:t>
      </w:r>
    </w:p>
    <w:p w14:paraId="4CF6CAB4" w14:textId="77777777" w:rsidR="00000000" w:rsidRDefault="00C1661D">
      <w:pPr>
        <w:jc w:val="both"/>
        <w:rPr>
          <w:rFonts w:eastAsia="Times New Roman"/>
        </w:rPr>
      </w:pPr>
    </w:p>
    <w:p w14:paraId="32CB4989" w14:textId="77777777" w:rsidR="00000000" w:rsidRDefault="00C1661D">
      <w:pPr>
        <w:jc w:val="both"/>
        <w:rPr>
          <w:rFonts w:eastAsia="Times New Roman"/>
        </w:rPr>
      </w:pPr>
      <w:r>
        <w:rPr>
          <w:rFonts w:eastAsia="Times New Roman"/>
          <w:color w:val="000000"/>
          <w:sz w:val="20"/>
          <w:szCs w:val="20"/>
        </w:rPr>
        <w:t>We are committed to maintaining an effective safety culture and to stressing the importance of our employees’ role in identifying, mitigating and reporting safety risks. We believe that t</w:t>
      </w:r>
      <w:r>
        <w:rPr>
          <w:rFonts w:eastAsia="Times New Roman"/>
          <w:color w:val="000000"/>
          <w:sz w:val="20"/>
          <w:szCs w:val="20"/>
        </w:rPr>
        <w:t xml:space="preserve">he achievement of superior safety performance is both an important short- and long-term strategic initiative in managing our operations. In this regard, our policies and operational practices promote a culture where all levels of employees are responsible </w:t>
      </w:r>
      <w:r>
        <w:rPr>
          <w:rFonts w:eastAsia="Times New Roman"/>
          <w:color w:val="000000"/>
          <w:sz w:val="20"/>
          <w:szCs w:val="20"/>
        </w:rPr>
        <w:t>for safety. Safety is generally included as a component of the annual bonus calculation for executives and non-executives, reinforcing our commitment to safety across our organization. For more details as to how we integrate safety performance into our cor</w:t>
      </w:r>
      <w:r>
        <w:rPr>
          <w:rFonts w:eastAsia="Times New Roman"/>
          <w:color w:val="000000"/>
          <w:sz w:val="20"/>
          <w:szCs w:val="20"/>
        </w:rPr>
        <w:t>e business activities, please refer to our Health, Safety, Security and the Environment (“HSSE”) Policy, which is available on our website under “Company - Company Policies - HSSE Policy.”</w:t>
      </w:r>
    </w:p>
    <w:p w14:paraId="3BD0E70F" w14:textId="77777777" w:rsidR="00000000" w:rsidRDefault="00C1661D">
      <w:pPr>
        <w:jc w:val="both"/>
        <w:rPr>
          <w:rFonts w:eastAsia="Times New Roman"/>
        </w:rPr>
      </w:pPr>
    </w:p>
    <w:p w14:paraId="583CFF91" w14:textId="77777777" w:rsidR="00000000" w:rsidRDefault="00C1661D">
      <w:pPr>
        <w:jc w:val="both"/>
        <w:rPr>
          <w:rFonts w:eastAsia="Times New Roman"/>
        </w:rPr>
      </w:pPr>
      <w:r>
        <w:rPr>
          <w:rFonts w:eastAsia="Times New Roman"/>
          <w:color w:val="000000"/>
          <w:sz w:val="20"/>
          <w:szCs w:val="20"/>
        </w:rPr>
        <w:t>UGI’s Board of Directors oversees safety efforts primarily throug</w:t>
      </w:r>
      <w:r>
        <w:rPr>
          <w:rFonts w:eastAsia="Times New Roman"/>
          <w:color w:val="000000"/>
          <w:sz w:val="20"/>
          <w:szCs w:val="20"/>
        </w:rPr>
        <w:t>h its Safety, Environmental, and Regulatory Compliance (“SERC”) Committee, which is responsible for the governance and oversight of health and safety matters at the Company, including compliance with applicable laws and regulations. The SERC Committee over</w:t>
      </w:r>
      <w:r>
        <w:rPr>
          <w:rFonts w:eastAsia="Times New Roman"/>
          <w:color w:val="000000"/>
          <w:sz w:val="20"/>
          <w:szCs w:val="20"/>
        </w:rPr>
        <w:t>sees the Company’s maintenance of a culture focused on protecting the health and safety of our employees, contractors, customers, the public and the environment. Additionally, our senior management team is actively engaged in our safety programs and conduc</w:t>
      </w:r>
      <w:r>
        <w:rPr>
          <w:rFonts w:eastAsia="Times New Roman"/>
          <w:color w:val="000000"/>
          <w:sz w:val="20"/>
          <w:szCs w:val="20"/>
        </w:rPr>
        <w:t>ts regular reviews of safety performance metrics. These metrics are presented quarterly to the SERC Committee for review and consideration. In addition, each of our business units has a safety team that is responsible for overseeing the safety of our opera</w:t>
      </w:r>
      <w:r>
        <w:rPr>
          <w:rFonts w:eastAsia="Times New Roman"/>
          <w:color w:val="000000"/>
          <w:sz w:val="20"/>
          <w:szCs w:val="20"/>
        </w:rPr>
        <w:t xml:space="preserve">tions, reinforcing our values, providing training and enhancing our safety culture within such business unit. </w:t>
      </w:r>
    </w:p>
    <w:p w14:paraId="372544B4" w14:textId="77777777" w:rsidR="00000000" w:rsidRDefault="00C1661D">
      <w:pPr>
        <w:jc w:val="both"/>
        <w:rPr>
          <w:rFonts w:eastAsia="Times New Roman"/>
        </w:rPr>
      </w:pPr>
    </w:p>
    <w:p w14:paraId="2BC97DDD" w14:textId="77777777" w:rsidR="00000000" w:rsidRDefault="00C1661D">
      <w:pPr>
        <w:jc w:val="both"/>
        <w:rPr>
          <w:rFonts w:eastAsia="Times New Roman"/>
        </w:rPr>
      </w:pPr>
      <w:r>
        <w:rPr>
          <w:rFonts w:eastAsia="Times New Roman"/>
          <w:b/>
          <w:bCs/>
          <w:color w:val="000000"/>
          <w:sz w:val="20"/>
          <w:szCs w:val="20"/>
          <w:u w:val="single"/>
        </w:rPr>
        <w:t>Diversity Strategy</w:t>
      </w:r>
    </w:p>
    <w:p w14:paraId="6BEE6445" w14:textId="77777777" w:rsidR="00000000" w:rsidRDefault="00C1661D">
      <w:pPr>
        <w:jc w:val="both"/>
        <w:rPr>
          <w:rFonts w:eastAsia="Times New Roman"/>
        </w:rPr>
      </w:pPr>
    </w:p>
    <w:p w14:paraId="338994DE" w14:textId="77777777" w:rsidR="00000000" w:rsidRDefault="00C1661D">
      <w:pPr>
        <w:jc w:val="both"/>
        <w:rPr>
          <w:rFonts w:eastAsia="Times New Roman"/>
        </w:rPr>
      </w:pPr>
      <w:r>
        <w:rPr>
          <w:rFonts w:eastAsia="Times New Roman"/>
          <w:b/>
          <w:bCs/>
          <w:i/>
          <w:iCs/>
          <w:color w:val="000000"/>
          <w:sz w:val="20"/>
          <w:szCs w:val="20"/>
        </w:rPr>
        <w:t>Diversity as Part of Our Company Culture</w:t>
      </w:r>
    </w:p>
    <w:p w14:paraId="4020CE68" w14:textId="77777777" w:rsidR="00000000" w:rsidRDefault="00C1661D">
      <w:pPr>
        <w:jc w:val="both"/>
        <w:rPr>
          <w:rFonts w:eastAsia="Times New Roman"/>
        </w:rPr>
      </w:pPr>
    </w:p>
    <w:p w14:paraId="459B49BE" w14:textId="77777777" w:rsidR="00000000" w:rsidRDefault="00C1661D">
      <w:pPr>
        <w:jc w:val="both"/>
        <w:rPr>
          <w:rFonts w:eastAsia="Times New Roman"/>
        </w:rPr>
      </w:pPr>
      <w:r>
        <w:rPr>
          <w:rFonts w:eastAsia="Times New Roman"/>
          <w:color w:val="000000"/>
          <w:sz w:val="20"/>
          <w:szCs w:val="20"/>
        </w:rPr>
        <w:t>We believe that, by fostering an environment that exemplifies our core value of respect, we gain, as a Company, unique perspectives, backgrounds and varying experiences to ensure our continued long-term success. Belonging, inclusion, diversity and equity a</w:t>
      </w:r>
      <w:r>
        <w:rPr>
          <w:rFonts w:eastAsia="Times New Roman"/>
          <w:color w:val="000000"/>
          <w:sz w:val="20"/>
          <w:szCs w:val="20"/>
        </w:rPr>
        <w:t xml:space="preserve">re essential to our success, and we respect and value all employees. </w:t>
      </w:r>
    </w:p>
    <w:p w14:paraId="7168CF51" w14:textId="77777777" w:rsidR="00000000" w:rsidRDefault="00C1661D">
      <w:pPr>
        <w:jc w:val="both"/>
        <w:rPr>
          <w:rFonts w:eastAsia="Times New Roman"/>
        </w:rPr>
      </w:pPr>
    </w:p>
    <w:p w14:paraId="5CE659B3" w14:textId="77777777" w:rsidR="00000000" w:rsidRDefault="00C1661D">
      <w:pPr>
        <w:jc w:val="both"/>
        <w:rPr>
          <w:rFonts w:eastAsia="Times New Roman"/>
        </w:rPr>
      </w:pPr>
      <w:r>
        <w:rPr>
          <w:rFonts w:eastAsia="Times New Roman"/>
          <w:color w:val="000000"/>
          <w:sz w:val="20"/>
          <w:szCs w:val="20"/>
        </w:rPr>
        <w:t>In alignment with our efforts to promote diversity and inclusion, we introduced the Belonging, Inclusion, Diversity and Equity (“BIDE”) Initiative in Fiscal 2020, which provides the or</w:t>
      </w:r>
      <w:r>
        <w:rPr>
          <w:rFonts w:eastAsia="Times New Roman"/>
          <w:color w:val="000000"/>
          <w:sz w:val="20"/>
          <w:szCs w:val="20"/>
        </w:rPr>
        <w:t>ganizational blueprint for achieving greater diversity and promoting respect for uniqueness of individuals and cultures and inclusion for the varied perspectives they provide. The BIDE Initiative embodies and promotes internal policies with respect to sett</w:t>
      </w:r>
      <w:r>
        <w:rPr>
          <w:rFonts w:eastAsia="Times New Roman"/>
          <w:color w:val="000000"/>
          <w:sz w:val="20"/>
          <w:szCs w:val="20"/>
        </w:rPr>
        <w:t>ing expectations relating to our work environment, including our Code of Business Conduct and Ethics and our Anti-Harassment/Anti-Discrimination, and Human Rights policies. As part of the BIDE Initiative, we have expanded our partnerships with numerous org</w:t>
      </w:r>
      <w:r>
        <w:rPr>
          <w:rFonts w:eastAsia="Times New Roman"/>
          <w:color w:val="000000"/>
          <w:sz w:val="20"/>
          <w:szCs w:val="20"/>
        </w:rPr>
        <w:t xml:space="preserve">anizations that support underrepresented populations. </w:t>
      </w:r>
    </w:p>
    <w:p w14:paraId="0C0C0ADC" w14:textId="77777777" w:rsidR="00000000" w:rsidRDefault="00C1661D">
      <w:pPr>
        <w:jc w:val="both"/>
        <w:rPr>
          <w:rFonts w:eastAsia="Times New Roman"/>
        </w:rPr>
      </w:pPr>
    </w:p>
    <w:p w14:paraId="450963CD" w14:textId="77777777" w:rsidR="00000000" w:rsidRDefault="00C1661D">
      <w:pPr>
        <w:jc w:val="both"/>
        <w:rPr>
          <w:rFonts w:eastAsia="Times New Roman"/>
        </w:rPr>
      </w:pPr>
      <w:r>
        <w:rPr>
          <w:rFonts w:eastAsia="Times New Roman"/>
          <w:color w:val="000000"/>
          <w:sz w:val="20"/>
          <w:szCs w:val="20"/>
        </w:rPr>
        <w:t>UGI also supports diverse segments of our workforce through employee resource groups. Employee resource groups are a key component of the BIDE strategy. These groups are open to participation for all</w:t>
      </w:r>
      <w:r>
        <w:rPr>
          <w:rFonts w:eastAsia="Times New Roman"/>
          <w:color w:val="000000"/>
          <w:sz w:val="20"/>
          <w:szCs w:val="20"/>
        </w:rPr>
        <w:t xml:space="preserve"> employees to learn from a cultural perspective and support each other through allyship. UGI’s employee resource groups include Black Organizational Leadership and Development (“BOLD”), Women’s Impact Network (“WIN”), and Veteran Employee Team (“VET”). </w:t>
      </w:r>
    </w:p>
    <w:p w14:paraId="14468D10" w14:textId="77777777" w:rsidR="00000000" w:rsidRDefault="00C1661D">
      <w:pPr>
        <w:jc w:val="both"/>
        <w:rPr>
          <w:rFonts w:eastAsia="Times New Roman"/>
        </w:rPr>
      </w:pPr>
    </w:p>
    <w:p w14:paraId="719E4D44" w14:textId="77777777" w:rsidR="00000000" w:rsidRDefault="00C1661D">
      <w:pPr>
        <w:ind w:hanging="360"/>
        <w:jc w:val="both"/>
        <w:rPr>
          <w:rFonts w:eastAsia="Times New Roman"/>
        </w:rPr>
      </w:pPr>
      <w:r>
        <w:rPr>
          <w:rFonts w:eastAsia="Times New Roman"/>
          <w:color w:val="000000"/>
          <w:sz w:val="20"/>
          <w:szCs w:val="20"/>
        </w:rPr>
        <w:t>•BOLD is focused on inclusion, equity, education, and empowerment for black employees and their allies, and assists leadership with communication, talent recruitment, retention and development opportunities. BOLD focuses on professional development by crea</w:t>
      </w:r>
      <w:r>
        <w:rPr>
          <w:rFonts w:eastAsia="Times New Roman"/>
          <w:color w:val="000000"/>
          <w:sz w:val="20"/>
          <w:szCs w:val="20"/>
        </w:rPr>
        <w:t xml:space="preserve">ting mentoring opportunities, increasing exposure through networking and career development events, broadening outreach to and recruitment of talent and sponsoring activities such as lectures featuring distinguished speakers. The group aims to support and </w:t>
      </w:r>
      <w:r>
        <w:rPr>
          <w:rFonts w:eastAsia="Times New Roman"/>
          <w:color w:val="000000"/>
          <w:sz w:val="20"/>
          <w:szCs w:val="20"/>
        </w:rPr>
        <w:t xml:space="preserve">promote UGI’s BIDE Initiative by providing cultural insight from employee, customer and community partner perspectives. </w:t>
      </w:r>
    </w:p>
    <w:p w14:paraId="61071B38" w14:textId="77777777" w:rsidR="00000000" w:rsidRDefault="00C1661D">
      <w:pPr>
        <w:jc w:val="both"/>
        <w:rPr>
          <w:rFonts w:eastAsia="Times New Roman"/>
        </w:rPr>
      </w:pPr>
    </w:p>
    <w:p w14:paraId="68AC1460" w14:textId="77777777" w:rsidR="00000000" w:rsidRDefault="00C1661D">
      <w:pPr>
        <w:ind w:hanging="360"/>
        <w:jc w:val="both"/>
        <w:rPr>
          <w:rFonts w:eastAsia="Times New Roman"/>
        </w:rPr>
      </w:pPr>
      <w:r>
        <w:rPr>
          <w:rFonts w:eastAsia="Times New Roman"/>
          <w:color w:val="000000"/>
          <w:sz w:val="20"/>
          <w:szCs w:val="20"/>
        </w:rPr>
        <w:t>•WIN is an organization that aims to foster an environment for women and their allies to be recruited, retained, developed and advanc</w:t>
      </w:r>
      <w:r>
        <w:rPr>
          <w:rFonts w:eastAsia="Times New Roman"/>
          <w:color w:val="000000"/>
          <w:sz w:val="20"/>
          <w:szCs w:val="20"/>
        </w:rPr>
        <w:t xml:space="preserve">ed as leaders throughout UGI. Membership in WIN offers exposure to various professional development opportunities, including speaker series events, group engagement activities, virtual group discussions, and partnerships with local organizations. </w:t>
      </w:r>
    </w:p>
    <w:p w14:paraId="2C968955" w14:textId="77777777" w:rsidR="00000000" w:rsidRDefault="00C1661D">
      <w:pPr>
        <w:jc w:val="center"/>
        <w:divId w:val="1547638551"/>
        <w:rPr>
          <w:rFonts w:eastAsia="Times New Roman"/>
        </w:rPr>
      </w:pPr>
      <w:r>
        <w:rPr>
          <w:rFonts w:eastAsia="Times New Roman"/>
          <w:color w:val="000000"/>
          <w:sz w:val="20"/>
          <w:szCs w:val="20"/>
        </w:rPr>
        <w:t>31</w:t>
      </w:r>
    </w:p>
    <w:p w14:paraId="261F4F48" w14:textId="77777777" w:rsidR="00000000" w:rsidRDefault="00C1661D">
      <w:pPr>
        <w:rPr>
          <w:rFonts w:eastAsia="Times New Roman"/>
        </w:rPr>
      </w:pPr>
      <w:r>
        <w:rPr>
          <w:rFonts w:eastAsia="Times New Roman"/>
        </w:rPr>
        <w:pict w14:anchorId="53443B0C">
          <v:rect id="_x0000_i1057" style="width:0;height:1.5pt" o:hralign="center" o:hrstd="t" o:hr="t" fillcolor="#a0a0a0" stroked="f"/>
        </w:pict>
      </w:r>
    </w:p>
    <w:p w14:paraId="1A3148FC" w14:textId="77777777" w:rsidR="00000000" w:rsidRDefault="00C1661D">
      <w:pPr>
        <w:divId w:val="1025985778"/>
        <w:rPr>
          <w:rFonts w:eastAsia="Times New Roman"/>
        </w:rPr>
      </w:pPr>
      <w:hyperlink w:anchor="i3850c3c6c0104e42b9951aac2f16098a_7" w:history="1">
        <w:r>
          <w:rPr>
            <w:rStyle w:val="a3"/>
            <w:rFonts w:eastAsia="Times New Roman"/>
            <w:b/>
            <w:bCs/>
            <w:sz w:val="20"/>
            <w:szCs w:val="20"/>
          </w:rPr>
          <w:t>Table of Contents</w:t>
        </w:r>
      </w:hyperlink>
    </w:p>
    <w:p w14:paraId="6FC9BE7D" w14:textId="77777777" w:rsidR="00000000" w:rsidRDefault="00C1661D">
      <w:pPr>
        <w:jc w:val="both"/>
        <w:rPr>
          <w:rFonts w:eastAsia="Times New Roman"/>
        </w:rPr>
      </w:pPr>
    </w:p>
    <w:p w14:paraId="299DC489" w14:textId="77777777" w:rsidR="00000000" w:rsidRDefault="00C1661D">
      <w:pPr>
        <w:ind w:hanging="360"/>
        <w:jc w:val="both"/>
        <w:rPr>
          <w:rFonts w:eastAsia="Times New Roman"/>
        </w:rPr>
      </w:pPr>
      <w:r>
        <w:rPr>
          <w:rFonts w:eastAsia="Times New Roman"/>
          <w:color w:val="000000"/>
          <w:sz w:val="20"/>
          <w:szCs w:val="20"/>
        </w:rPr>
        <w:t xml:space="preserve">•VET focuses on recruiting and retaining veterans, as well as creating growth for and goodwill towards military veterans. VET members include </w:t>
      </w:r>
      <w:r>
        <w:rPr>
          <w:rFonts w:eastAsia="Times New Roman"/>
          <w:color w:val="000000"/>
          <w:sz w:val="20"/>
          <w:szCs w:val="20"/>
        </w:rPr>
        <w:t xml:space="preserve">Active Duty, Reserve, and National Guard veterans of the Army, Navy, Marines, Coast Guard, and Air Force, their families, and partners committed to supporting military veteran employees. </w:t>
      </w:r>
    </w:p>
    <w:p w14:paraId="248990D1" w14:textId="77777777" w:rsidR="00000000" w:rsidRDefault="00C1661D">
      <w:pPr>
        <w:jc w:val="both"/>
        <w:rPr>
          <w:rFonts w:eastAsia="Times New Roman"/>
        </w:rPr>
      </w:pPr>
    </w:p>
    <w:p w14:paraId="4C855B9F" w14:textId="77777777" w:rsidR="00000000" w:rsidRDefault="00C1661D">
      <w:pPr>
        <w:jc w:val="both"/>
        <w:rPr>
          <w:rFonts w:eastAsia="Times New Roman"/>
        </w:rPr>
      </w:pPr>
      <w:r>
        <w:rPr>
          <w:rFonts w:eastAsia="Times New Roman"/>
          <w:b/>
          <w:bCs/>
          <w:i/>
          <w:iCs/>
          <w:color w:val="000000"/>
          <w:sz w:val="20"/>
          <w:szCs w:val="20"/>
        </w:rPr>
        <w:t>Diversity in Our Leadership</w:t>
      </w:r>
    </w:p>
    <w:p w14:paraId="3318B75B" w14:textId="77777777" w:rsidR="00000000" w:rsidRDefault="00C1661D">
      <w:pPr>
        <w:jc w:val="both"/>
        <w:rPr>
          <w:rFonts w:eastAsia="Times New Roman"/>
        </w:rPr>
      </w:pPr>
    </w:p>
    <w:p w14:paraId="563EFAAB" w14:textId="77777777" w:rsidR="00000000" w:rsidRDefault="00C1661D">
      <w:pPr>
        <w:jc w:val="both"/>
        <w:rPr>
          <w:rFonts w:eastAsia="Times New Roman"/>
        </w:rPr>
      </w:pPr>
      <w:r>
        <w:rPr>
          <w:rFonts w:eastAsia="Times New Roman"/>
          <w:color w:val="000000"/>
          <w:sz w:val="20"/>
          <w:szCs w:val="20"/>
        </w:rPr>
        <w:t>We believe that diversity in our Boa</w:t>
      </w:r>
      <w:r>
        <w:rPr>
          <w:rFonts w:eastAsia="Times New Roman"/>
          <w:color w:val="000000"/>
          <w:sz w:val="20"/>
          <w:szCs w:val="20"/>
        </w:rPr>
        <w:t>rd of Directors is critical for effective governance. In assessing the Board of Directors’ composition, the Board of Directors and its Corporate Governance Committee ensure that our Board of Directors and its standing committees have the appropriate qualif</w:t>
      </w:r>
      <w:r>
        <w:rPr>
          <w:rFonts w:eastAsia="Times New Roman"/>
          <w:color w:val="000000"/>
          <w:sz w:val="20"/>
          <w:szCs w:val="20"/>
        </w:rPr>
        <w:t>ications, skills, experience and characteristics, including diversity of perspectives, to support our business. In assessing director candidates, the Board of Directors and Corporate Governance Committee consider a number of qualifications, including indep</w:t>
      </w:r>
      <w:r>
        <w:rPr>
          <w:rFonts w:eastAsia="Times New Roman"/>
          <w:color w:val="000000"/>
          <w:sz w:val="20"/>
          <w:szCs w:val="20"/>
        </w:rPr>
        <w:t>endence, knowledge, judgment, character, leadership skills, education, experience, financial literacy, standing in the community and diversity of backgrounds and views, including, but not limited to, gender, race, ethnicity and national origin. The Board o</w:t>
      </w:r>
      <w:r>
        <w:rPr>
          <w:rFonts w:eastAsia="Times New Roman"/>
          <w:color w:val="000000"/>
          <w:sz w:val="20"/>
          <w:szCs w:val="20"/>
        </w:rPr>
        <w:t>f Directors and Corporate Governance Committee look to complement the Board of Directors’ existing strengths, recognizing that diversity is a critical element to enhancing Board effectiveness. Our current Board of Directors composition includes 11 director</w:t>
      </w:r>
      <w:r>
        <w:rPr>
          <w:rFonts w:eastAsia="Times New Roman"/>
          <w:color w:val="000000"/>
          <w:sz w:val="20"/>
          <w:szCs w:val="20"/>
        </w:rPr>
        <w:t xml:space="preserve">s, of which three are female, two are racially diverse and one identifies as LGBTQ+. </w:t>
      </w:r>
    </w:p>
    <w:p w14:paraId="49235F71" w14:textId="77777777" w:rsidR="00000000" w:rsidRDefault="00C1661D">
      <w:pPr>
        <w:jc w:val="both"/>
        <w:rPr>
          <w:rFonts w:eastAsia="Times New Roman"/>
        </w:rPr>
      </w:pPr>
    </w:p>
    <w:p w14:paraId="6D114C69" w14:textId="77777777" w:rsidR="00000000" w:rsidRDefault="00C1661D">
      <w:pPr>
        <w:jc w:val="both"/>
        <w:rPr>
          <w:rFonts w:eastAsia="Times New Roman"/>
        </w:rPr>
      </w:pPr>
      <w:r>
        <w:rPr>
          <w:rFonts w:eastAsia="Times New Roman"/>
          <w:color w:val="000000"/>
          <w:sz w:val="20"/>
          <w:szCs w:val="20"/>
        </w:rPr>
        <w:t>Similarly, we believe diversity of management is crucial to position our business for continued success. UGI is proactive in ensuring consideration of diverse candidate</w:t>
      </w:r>
      <w:r>
        <w:rPr>
          <w:rFonts w:eastAsia="Times New Roman"/>
          <w:color w:val="000000"/>
          <w:sz w:val="20"/>
          <w:szCs w:val="20"/>
        </w:rPr>
        <w:t xml:space="preserve">s for all leadership positions and continues to be committed to ensuring that we are considering all qualified applicants in our hiring process. </w:t>
      </w:r>
    </w:p>
    <w:p w14:paraId="4BAD5A98" w14:textId="77777777" w:rsidR="00000000" w:rsidRDefault="00C1661D">
      <w:pPr>
        <w:jc w:val="both"/>
        <w:rPr>
          <w:rFonts w:eastAsia="Times New Roman"/>
        </w:rPr>
      </w:pPr>
    </w:p>
    <w:p w14:paraId="54795C33" w14:textId="77777777" w:rsidR="00000000" w:rsidRDefault="00C1661D">
      <w:pPr>
        <w:jc w:val="both"/>
        <w:rPr>
          <w:rFonts w:eastAsia="Times New Roman"/>
        </w:rPr>
      </w:pPr>
      <w:r>
        <w:rPr>
          <w:rFonts w:eastAsia="Times New Roman"/>
          <w:color w:val="000000"/>
          <w:sz w:val="20"/>
          <w:szCs w:val="20"/>
        </w:rPr>
        <w:t>As part of our continued commitment to enhancing opportunities for diversity in our workforce, all executive</w:t>
      </w:r>
      <w:r>
        <w:rPr>
          <w:rFonts w:eastAsia="Times New Roman"/>
          <w:color w:val="000000"/>
          <w:sz w:val="20"/>
          <w:szCs w:val="20"/>
        </w:rPr>
        <w:t>s have a diversity and inclusion component in their annual bonus plan. The executive team is evaluated on the effectiveness of the Company’s development and implementation of a multi-dimensional strategy to deepen and improve the Company’s commitment to di</w:t>
      </w:r>
      <w:r>
        <w:rPr>
          <w:rFonts w:eastAsia="Times New Roman"/>
          <w:color w:val="000000"/>
          <w:sz w:val="20"/>
          <w:szCs w:val="20"/>
        </w:rPr>
        <w:t>versity and inclusion, supporting the Company’s BIDE Initiative and establishing a roadmap to achieve excellence in diversity and inclusion and branding UGI as an employer of choice for diverse candidates.</w:t>
      </w:r>
    </w:p>
    <w:p w14:paraId="4ED2E858" w14:textId="77777777" w:rsidR="00000000" w:rsidRDefault="00C1661D">
      <w:pPr>
        <w:jc w:val="both"/>
        <w:rPr>
          <w:rFonts w:eastAsia="Times New Roman"/>
        </w:rPr>
      </w:pPr>
    </w:p>
    <w:p w14:paraId="0C284D51" w14:textId="77777777" w:rsidR="00000000" w:rsidRDefault="00C1661D">
      <w:pPr>
        <w:jc w:val="both"/>
        <w:rPr>
          <w:rFonts w:eastAsia="Times New Roman"/>
        </w:rPr>
      </w:pPr>
      <w:r>
        <w:rPr>
          <w:rFonts w:eastAsia="Times New Roman"/>
          <w:b/>
          <w:bCs/>
          <w:i/>
          <w:iCs/>
          <w:color w:val="000000"/>
          <w:sz w:val="20"/>
          <w:szCs w:val="20"/>
        </w:rPr>
        <w:t>Diversity in Our Workforce</w:t>
      </w:r>
    </w:p>
    <w:p w14:paraId="012ACBA3" w14:textId="77777777" w:rsidR="00000000" w:rsidRDefault="00C1661D">
      <w:pPr>
        <w:jc w:val="both"/>
        <w:rPr>
          <w:rFonts w:eastAsia="Times New Roman"/>
        </w:rPr>
      </w:pPr>
    </w:p>
    <w:p w14:paraId="61D2C9F6" w14:textId="77777777" w:rsidR="00000000" w:rsidRDefault="00C1661D">
      <w:pPr>
        <w:jc w:val="both"/>
        <w:rPr>
          <w:rFonts w:eastAsia="Times New Roman"/>
        </w:rPr>
      </w:pPr>
      <w:r>
        <w:rPr>
          <w:rFonts w:eastAsia="Times New Roman"/>
          <w:color w:val="000000"/>
          <w:sz w:val="20"/>
          <w:szCs w:val="20"/>
        </w:rPr>
        <w:t>UGI strives for div</w:t>
      </w:r>
      <w:r>
        <w:rPr>
          <w:rFonts w:eastAsia="Times New Roman"/>
          <w:color w:val="000000"/>
          <w:sz w:val="20"/>
          <w:szCs w:val="20"/>
        </w:rPr>
        <w:t>erse representation at all levels of our business. During Fiscal 2021 and 2022, we published our workforce demographics (which reflects our EEO-1 reporting data) in our 2020 and 2021 Sustainability Reports, respectively. We believe that, by publicly disclo</w:t>
      </w:r>
      <w:r>
        <w:rPr>
          <w:rFonts w:eastAsia="Times New Roman"/>
          <w:color w:val="000000"/>
          <w:sz w:val="20"/>
          <w:szCs w:val="20"/>
        </w:rPr>
        <w:t>sing our workforce demographics, we increase transparency in the composition of our workforce as well as facilitate accountability in ensuring that minority candidates are actively considered for roles throughout the organization. We will continue to repor</w:t>
      </w:r>
      <w:r>
        <w:rPr>
          <w:rFonts w:eastAsia="Times New Roman"/>
          <w:color w:val="000000"/>
          <w:sz w:val="20"/>
          <w:szCs w:val="20"/>
        </w:rPr>
        <w:t>t on our progress annually.</w:t>
      </w:r>
    </w:p>
    <w:p w14:paraId="6E9AC07A" w14:textId="77777777" w:rsidR="00000000" w:rsidRDefault="00C1661D">
      <w:pPr>
        <w:jc w:val="both"/>
        <w:rPr>
          <w:rFonts w:eastAsia="Times New Roman"/>
        </w:rPr>
      </w:pPr>
    </w:p>
    <w:p w14:paraId="41D6F305" w14:textId="77777777" w:rsidR="00000000" w:rsidRDefault="00C1661D">
      <w:pPr>
        <w:jc w:val="both"/>
        <w:rPr>
          <w:rFonts w:eastAsia="Times New Roman"/>
        </w:rPr>
      </w:pPr>
      <w:r>
        <w:rPr>
          <w:rFonts w:eastAsia="Times New Roman"/>
          <w:b/>
          <w:bCs/>
          <w:i/>
          <w:iCs/>
          <w:color w:val="000000"/>
          <w:sz w:val="20"/>
          <w:szCs w:val="20"/>
        </w:rPr>
        <w:t>Diversity as Part of Our Employee Development</w:t>
      </w:r>
    </w:p>
    <w:p w14:paraId="6E35D377" w14:textId="77777777" w:rsidR="00000000" w:rsidRDefault="00C1661D">
      <w:pPr>
        <w:jc w:val="both"/>
        <w:rPr>
          <w:rFonts w:eastAsia="Times New Roman"/>
        </w:rPr>
      </w:pPr>
    </w:p>
    <w:p w14:paraId="21FE7577" w14:textId="77777777" w:rsidR="00000000" w:rsidRDefault="00C1661D">
      <w:pPr>
        <w:jc w:val="both"/>
        <w:rPr>
          <w:rFonts w:eastAsia="Times New Roman"/>
        </w:rPr>
      </w:pPr>
      <w:r>
        <w:rPr>
          <w:rFonts w:eastAsia="Times New Roman"/>
          <w:color w:val="000000"/>
          <w:sz w:val="20"/>
          <w:szCs w:val="20"/>
        </w:rPr>
        <w:t>UGI has a global partnership with the Human Library Organization (the “Human Library”), a global not-for-profit learning platform that hosts personal conversations designed to ch</w:t>
      </w:r>
      <w:r>
        <w:rPr>
          <w:rFonts w:eastAsia="Times New Roman"/>
          <w:color w:val="000000"/>
          <w:sz w:val="20"/>
          <w:szCs w:val="20"/>
        </w:rPr>
        <w:t xml:space="preserve">allenge stigma and stereotypes and create a safe space for dialogue where topics are discussed openly between “human books” and their readers. The Human Library is a thought leader when it comes to diversity and inclusion in the workplace, partnering with </w:t>
      </w:r>
      <w:r>
        <w:rPr>
          <w:rFonts w:eastAsia="Times New Roman"/>
          <w:color w:val="000000"/>
          <w:sz w:val="20"/>
          <w:szCs w:val="20"/>
        </w:rPr>
        <w:t>companies that are committed to incorporating social understanding and cultural awareness as part of their business model in relation to their workforce, partnerships, clients and customers.</w:t>
      </w:r>
    </w:p>
    <w:p w14:paraId="39ED2C2D" w14:textId="77777777" w:rsidR="00000000" w:rsidRDefault="00C1661D">
      <w:pPr>
        <w:jc w:val="both"/>
        <w:rPr>
          <w:rFonts w:eastAsia="Times New Roman"/>
        </w:rPr>
      </w:pPr>
    </w:p>
    <w:p w14:paraId="5AC47AEF" w14:textId="77777777" w:rsidR="00000000" w:rsidRDefault="00C1661D">
      <w:pPr>
        <w:jc w:val="both"/>
        <w:rPr>
          <w:rFonts w:eastAsia="Times New Roman"/>
        </w:rPr>
      </w:pPr>
      <w:r>
        <w:rPr>
          <w:rFonts w:eastAsia="Times New Roman"/>
          <w:color w:val="000000"/>
          <w:sz w:val="20"/>
          <w:szCs w:val="20"/>
          <w:shd w:val="clear" w:color="auto" w:fill="FFFFFF"/>
        </w:rPr>
        <w:t xml:space="preserve">UGI has committed to a sponsorship role with the </w:t>
      </w:r>
      <w:r>
        <w:rPr>
          <w:rFonts w:eastAsia="Times New Roman"/>
          <w:color w:val="000000"/>
          <w:sz w:val="20"/>
          <w:szCs w:val="20"/>
        </w:rPr>
        <w:t>Human Library</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 xml:space="preserve">for the creation of a digital learning platform that will expand the reach of the Human Library’s diversity experiences across the globe. UGI began working with the </w:t>
      </w:r>
      <w:r>
        <w:rPr>
          <w:rFonts w:eastAsia="Times New Roman"/>
          <w:color w:val="000000"/>
          <w:sz w:val="20"/>
          <w:szCs w:val="20"/>
        </w:rPr>
        <w:t>Human Library</w:t>
      </w:r>
      <w:r>
        <w:rPr>
          <w:rFonts w:eastAsia="Times New Roman"/>
          <w:color w:val="000000"/>
          <w:sz w:val="20"/>
          <w:szCs w:val="20"/>
          <w:shd w:val="clear" w:color="auto" w:fill="FFFFFF"/>
        </w:rPr>
        <w:t xml:space="preserve"> in Fiscal 2020 for diversity and inclusion education for its leadership devel</w:t>
      </w:r>
      <w:r>
        <w:rPr>
          <w:rFonts w:eastAsia="Times New Roman"/>
          <w:color w:val="000000"/>
          <w:sz w:val="20"/>
          <w:szCs w:val="20"/>
          <w:shd w:val="clear" w:color="auto" w:fill="FFFFFF"/>
        </w:rPr>
        <w:t xml:space="preserve">opment, supervisor training and new hire onboarding programs. Many of our employees participated in the </w:t>
      </w:r>
      <w:r>
        <w:rPr>
          <w:rFonts w:eastAsia="Times New Roman"/>
          <w:color w:val="000000"/>
          <w:sz w:val="20"/>
          <w:szCs w:val="20"/>
        </w:rPr>
        <w:t>Human Library</w:t>
      </w:r>
      <w:r>
        <w:rPr>
          <w:rFonts w:eastAsia="Times New Roman"/>
          <w:color w:val="000000"/>
          <w:sz w:val="20"/>
          <w:szCs w:val="20"/>
          <w:shd w:val="clear" w:color="auto" w:fill="FFFFFF"/>
        </w:rPr>
        <w:t xml:space="preserve"> “reader sessions” over the past few years.</w:t>
      </w:r>
    </w:p>
    <w:p w14:paraId="3EAD12B1" w14:textId="77777777" w:rsidR="00000000" w:rsidRDefault="00C1661D">
      <w:pPr>
        <w:jc w:val="both"/>
        <w:rPr>
          <w:rFonts w:eastAsia="Times New Roman"/>
        </w:rPr>
      </w:pPr>
    </w:p>
    <w:p w14:paraId="10B2F169" w14:textId="77777777" w:rsidR="00000000" w:rsidRDefault="00C1661D">
      <w:pPr>
        <w:jc w:val="both"/>
        <w:rPr>
          <w:rFonts w:eastAsia="Times New Roman"/>
        </w:rPr>
      </w:pPr>
      <w:r>
        <w:rPr>
          <w:rFonts w:eastAsia="Times New Roman"/>
          <w:b/>
          <w:bCs/>
          <w:color w:val="000000"/>
          <w:sz w:val="20"/>
          <w:szCs w:val="20"/>
          <w:u w:val="single"/>
        </w:rPr>
        <w:t>Talent Development and Support</w:t>
      </w:r>
    </w:p>
    <w:p w14:paraId="3BE40C35" w14:textId="77777777" w:rsidR="00000000" w:rsidRDefault="00C1661D">
      <w:pPr>
        <w:jc w:val="both"/>
        <w:rPr>
          <w:rFonts w:eastAsia="Times New Roman"/>
        </w:rPr>
      </w:pPr>
    </w:p>
    <w:p w14:paraId="36B51689" w14:textId="77777777" w:rsidR="00000000" w:rsidRDefault="00C1661D">
      <w:pPr>
        <w:jc w:val="both"/>
        <w:rPr>
          <w:rFonts w:eastAsia="Times New Roman"/>
        </w:rPr>
      </w:pPr>
      <w:r>
        <w:rPr>
          <w:rFonts w:eastAsia="Times New Roman"/>
          <w:color w:val="000000"/>
          <w:sz w:val="20"/>
          <w:szCs w:val="20"/>
        </w:rPr>
        <w:t xml:space="preserve">Maintaining a robust pipeline of talent is crucial to UGI’s </w:t>
      </w:r>
      <w:r>
        <w:rPr>
          <w:rFonts w:eastAsia="Times New Roman"/>
          <w:color w:val="000000"/>
          <w:sz w:val="20"/>
          <w:szCs w:val="20"/>
        </w:rPr>
        <w:t>ongoing success and is a key aspect of succession planning efforts across the organization. Our leadership and human resources teams are responsible for attracting and retaining quality talent by supporting management in fostering an environment where empl</w:t>
      </w:r>
      <w:r>
        <w:rPr>
          <w:rFonts w:eastAsia="Times New Roman"/>
          <w:color w:val="000000"/>
          <w:sz w:val="20"/>
          <w:szCs w:val="20"/>
        </w:rPr>
        <w:t>oyees feel supported and encouraged in their professional and personal development. Competition for attracting and retaining talent has increased in recent years. UGI understands this challenge and the importance of maintaining competitive compensation and</w:t>
      </w:r>
      <w:r>
        <w:rPr>
          <w:rFonts w:eastAsia="Times New Roman"/>
          <w:color w:val="000000"/>
          <w:sz w:val="20"/>
          <w:szCs w:val="20"/>
        </w:rPr>
        <w:t xml:space="preserve"> benefits as well as providing appropriate training that enables growth, developmental opportunities and multiple career paths within our Company. We commit to investing in our employees through training and development programs, including mentorship, mana</w:t>
      </w:r>
      <w:r>
        <w:rPr>
          <w:rFonts w:eastAsia="Times New Roman"/>
          <w:color w:val="000000"/>
          <w:sz w:val="20"/>
          <w:szCs w:val="20"/>
        </w:rPr>
        <w:t>ger trainings, leadership development programs, as well as tuition reimbursement to promote continued professional growth. For example, UGI Global Leadership Summit (formerly UGI University) is an enterprise leadership development program for high potentia</w:t>
      </w:r>
      <w:r>
        <w:rPr>
          <w:rFonts w:eastAsia="Times New Roman"/>
          <w:color w:val="000000"/>
          <w:sz w:val="20"/>
          <w:szCs w:val="20"/>
        </w:rPr>
        <w:t xml:space="preserve">l leaders identified for future executive roles. Rooted in research of what skills executives need most, our potential leaders learn and practice skills </w:t>
      </w:r>
    </w:p>
    <w:p w14:paraId="5C2E51F8" w14:textId="77777777" w:rsidR="00000000" w:rsidRDefault="00C1661D">
      <w:pPr>
        <w:jc w:val="center"/>
        <w:divId w:val="1782266204"/>
        <w:rPr>
          <w:rFonts w:eastAsia="Times New Roman"/>
        </w:rPr>
      </w:pPr>
      <w:r>
        <w:rPr>
          <w:rFonts w:eastAsia="Times New Roman"/>
          <w:color w:val="000000"/>
          <w:sz w:val="20"/>
          <w:szCs w:val="20"/>
        </w:rPr>
        <w:t>32</w:t>
      </w:r>
    </w:p>
    <w:p w14:paraId="780B8CE1" w14:textId="77777777" w:rsidR="00000000" w:rsidRDefault="00C1661D">
      <w:pPr>
        <w:rPr>
          <w:rFonts w:eastAsia="Times New Roman"/>
        </w:rPr>
      </w:pPr>
      <w:r>
        <w:rPr>
          <w:rFonts w:eastAsia="Times New Roman"/>
        </w:rPr>
        <w:pict w14:anchorId="7B9A2C46">
          <v:rect id="_x0000_i1058" style="width:0;height:1.5pt" o:hralign="center" o:hrstd="t" o:hr="t" fillcolor="#a0a0a0" stroked="f"/>
        </w:pict>
      </w:r>
    </w:p>
    <w:p w14:paraId="6E288241" w14:textId="77777777" w:rsidR="00000000" w:rsidRDefault="00C1661D">
      <w:pPr>
        <w:divId w:val="143551738"/>
        <w:rPr>
          <w:rFonts w:eastAsia="Times New Roman"/>
        </w:rPr>
      </w:pPr>
      <w:hyperlink w:anchor="i3850c3c6c0104e42b9951aac2f16098a_7" w:history="1">
        <w:r>
          <w:rPr>
            <w:rStyle w:val="a3"/>
            <w:rFonts w:eastAsia="Times New Roman"/>
            <w:b/>
            <w:bCs/>
            <w:sz w:val="20"/>
            <w:szCs w:val="20"/>
          </w:rPr>
          <w:t>Table of Contents</w:t>
        </w:r>
      </w:hyperlink>
    </w:p>
    <w:p w14:paraId="2319F4D2" w14:textId="77777777" w:rsidR="00000000" w:rsidRDefault="00C1661D">
      <w:pPr>
        <w:jc w:val="both"/>
        <w:rPr>
          <w:rFonts w:eastAsia="Times New Roman"/>
        </w:rPr>
      </w:pPr>
      <w:r>
        <w:rPr>
          <w:rFonts w:eastAsia="Times New Roman"/>
          <w:color w:val="000000"/>
          <w:sz w:val="20"/>
          <w:szCs w:val="20"/>
        </w:rPr>
        <w:t>such as learning agility, strategic thinking, adaptability intelligence, advanced emotional intelligence and leadership presence. In addition, p</w:t>
      </w:r>
      <w:r>
        <w:rPr>
          <w:rFonts w:eastAsia="Times New Roman"/>
          <w:color w:val="000000"/>
          <w:sz w:val="20"/>
          <w:szCs w:val="20"/>
        </w:rPr>
        <w:t>otential leaders engage directly with business unit leaders and executives, gaining a broader sense of UGI and the stakeholders it serves.</w:t>
      </w:r>
    </w:p>
    <w:p w14:paraId="35D1E3D9" w14:textId="77777777" w:rsidR="00000000" w:rsidRDefault="00C1661D">
      <w:pPr>
        <w:jc w:val="both"/>
        <w:rPr>
          <w:rFonts w:eastAsia="Times New Roman"/>
        </w:rPr>
      </w:pPr>
    </w:p>
    <w:p w14:paraId="501EC137" w14:textId="77777777" w:rsidR="00000000" w:rsidRDefault="00C1661D">
      <w:pPr>
        <w:jc w:val="both"/>
        <w:rPr>
          <w:rFonts w:eastAsia="Times New Roman"/>
        </w:rPr>
      </w:pPr>
    </w:p>
    <w:p w14:paraId="46E73C76" w14:textId="77777777" w:rsidR="00000000" w:rsidRDefault="00C1661D">
      <w:pPr>
        <w:divId w:val="1889368373"/>
        <w:rPr>
          <w:rFonts w:eastAsia="Times New Roman"/>
        </w:rPr>
      </w:pPr>
    </w:p>
    <w:p w14:paraId="300760C5" w14:textId="77777777" w:rsidR="00000000" w:rsidRDefault="00C1661D">
      <w:pPr>
        <w:jc w:val="center"/>
        <w:divId w:val="366610351"/>
        <w:rPr>
          <w:rFonts w:eastAsia="Times New Roman"/>
        </w:rPr>
      </w:pPr>
      <w:r>
        <w:rPr>
          <w:rFonts w:eastAsia="Times New Roman"/>
          <w:color w:val="000000"/>
          <w:sz w:val="20"/>
          <w:szCs w:val="20"/>
        </w:rPr>
        <w:t>33</w:t>
      </w:r>
    </w:p>
    <w:p w14:paraId="2618409B" w14:textId="77777777" w:rsidR="00000000" w:rsidRDefault="00C1661D">
      <w:pPr>
        <w:rPr>
          <w:rFonts w:eastAsia="Times New Roman"/>
        </w:rPr>
      </w:pPr>
      <w:r>
        <w:rPr>
          <w:rFonts w:eastAsia="Times New Roman"/>
        </w:rPr>
        <w:pict w14:anchorId="64A1865E">
          <v:rect id="_x0000_i1059" style="width:0;height:1.5pt" o:hralign="center" o:hrstd="t" o:hr="t" fillcolor="#a0a0a0" stroked="f"/>
        </w:pict>
      </w:r>
    </w:p>
    <w:p w14:paraId="0B734863" w14:textId="77777777" w:rsidR="00000000" w:rsidRDefault="00C1661D">
      <w:pPr>
        <w:divId w:val="276448170"/>
        <w:rPr>
          <w:rFonts w:eastAsia="Times New Roman"/>
        </w:rPr>
      </w:pPr>
      <w:hyperlink w:anchor="i3850c3c6c0104e42b9951aac2f16098a_7" w:history="1">
        <w:r>
          <w:rPr>
            <w:rStyle w:val="a3"/>
            <w:rFonts w:eastAsia="Times New Roman"/>
            <w:b/>
            <w:bCs/>
            <w:sz w:val="20"/>
            <w:szCs w:val="20"/>
          </w:rPr>
          <w:t>Table of Conte</w:t>
        </w:r>
        <w:r>
          <w:rPr>
            <w:rStyle w:val="a3"/>
            <w:rFonts w:eastAsia="Times New Roman"/>
            <w:b/>
            <w:bCs/>
            <w:sz w:val="20"/>
            <w:szCs w:val="20"/>
          </w:rPr>
          <w:t>nts</w:t>
        </w:r>
      </w:hyperlink>
    </w:p>
    <w:p w14:paraId="60ACBBC7" w14:textId="77777777" w:rsidR="00000000" w:rsidRDefault="00C1661D">
      <w:pPr>
        <w:jc w:val="both"/>
        <w:rPr>
          <w:rFonts w:eastAsia="Times New Roman"/>
        </w:rPr>
      </w:pPr>
    </w:p>
    <w:p w14:paraId="5DACBBE0" w14:textId="77777777" w:rsidR="00000000" w:rsidRDefault="00C1661D">
      <w:pPr>
        <w:jc w:val="both"/>
        <w:divId w:val="1650404640"/>
        <w:rPr>
          <w:rFonts w:eastAsia="Times New Roman"/>
        </w:rPr>
      </w:pPr>
      <w:r>
        <w:rPr>
          <w:rFonts w:eastAsia="Times New Roman"/>
          <w:b/>
          <w:bCs/>
          <w:color w:val="000000"/>
          <w:sz w:val="20"/>
          <w:szCs w:val="20"/>
        </w:rPr>
        <w:t>ITEM 1A. RISK FACTORS</w:t>
      </w:r>
    </w:p>
    <w:p w14:paraId="46B06082" w14:textId="77777777" w:rsidR="00000000" w:rsidRDefault="00C1661D">
      <w:pPr>
        <w:ind w:firstLine="720"/>
        <w:jc w:val="both"/>
        <w:rPr>
          <w:rFonts w:eastAsia="Times New Roman"/>
        </w:rPr>
      </w:pPr>
    </w:p>
    <w:p w14:paraId="777336C9" w14:textId="77777777" w:rsidR="00000000" w:rsidRDefault="00C1661D">
      <w:pPr>
        <w:jc w:val="both"/>
        <w:rPr>
          <w:rFonts w:eastAsia="Times New Roman"/>
        </w:rPr>
      </w:pPr>
      <w:r>
        <w:rPr>
          <w:rFonts w:eastAsia="Times New Roman"/>
          <w:color w:val="000000"/>
          <w:sz w:val="20"/>
          <w:szCs w:val="20"/>
        </w:rPr>
        <w:t>There are many factors that may affect our business, financial condition and results of operations, many of which are not within our control, including the following risks relating to: (1) the demand for our products and servi</w:t>
      </w:r>
      <w:r>
        <w:rPr>
          <w:rFonts w:eastAsia="Times New Roman"/>
          <w:color w:val="000000"/>
          <w:sz w:val="20"/>
          <w:szCs w:val="20"/>
        </w:rPr>
        <w:t>ces and our ability to grow our customer base; (2) our business operations, including internal and external factors that may impact our operational continuity; (3) our international operations; (4) our supply chain and our ability to obtain and transport a</w:t>
      </w:r>
      <w:r>
        <w:rPr>
          <w:rFonts w:eastAsia="Times New Roman"/>
          <w:color w:val="000000"/>
          <w:sz w:val="20"/>
          <w:szCs w:val="20"/>
        </w:rPr>
        <w:t xml:space="preserve">dequate quantities of LPG; (5) government regulation and oversight; and (6) general factors that may impact our business and our shareholders. Investors should carefully consider, together with the other information contained in this Report, the risks and </w:t>
      </w:r>
      <w:r>
        <w:rPr>
          <w:rFonts w:eastAsia="Times New Roman"/>
          <w:color w:val="000000"/>
          <w:sz w:val="20"/>
          <w:szCs w:val="20"/>
        </w:rPr>
        <w:t xml:space="preserve">uncertainties described below. Additional risks and uncertainties not currently known to us, or that we currently deem to be immaterial, also may materially affect our business, financial condition and results of operations. No priority or significance is </w:t>
      </w:r>
      <w:r>
        <w:rPr>
          <w:rFonts w:eastAsia="Times New Roman"/>
          <w:color w:val="000000"/>
          <w:sz w:val="20"/>
          <w:szCs w:val="20"/>
        </w:rPr>
        <w:t>intended by, nor should be attached to, the order in which the risk factors appear.</w:t>
      </w:r>
    </w:p>
    <w:p w14:paraId="1A09BBE0" w14:textId="77777777" w:rsidR="00000000" w:rsidRDefault="00C1661D">
      <w:pPr>
        <w:jc w:val="both"/>
        <w:rPr>
          <w:rFonts w:eastAsia="Times New Roman"/>
        </w:rPr>
      </w:pPr>
    </w:p>
    <w:p w14:paraId="027947C9" w14:textId="77777777" w:rsidR="00000000" w:rsidRDefault="00C1661D">
      <w:pPr>
        <w:jc w:val="both"/>
        <w:rPr>
          <w:rFonts w:eastAsia="Times New Roman"/>
        </w:rPr>
      </w:pPr>
      <w:r>
        <w:rPr>
          <w:rFonts w:eastAsia="Times New Roman"/>
          <w:b/>
          <w:bCs/>
          <w:color w:val="000000"/>
          <w:sz w:val="20"/>
          <w:szCs w:val="20"/>
          <w:u w:val="single"/>
        </w:rPr>
        <w:t>Risks Relating to the Demand for Our Products and Services and Our Ability to Grow Our Customer Base</w:t>
      </w:r>
    </w:p>
    <w:p w14:paraId="01C3A178" w14:textId="77777777" w:rsidR="00000000" w:rsidRDefault="00C1661D">
      <w:pPr>
        <w:jc w:val="both"/>
        <w:rPr>
          <w:rFonts w:eastAsia="Times New Roman"/>
        </w:rPr>
      </w:pPr>
    </w:p>
    <w:p w14:paraId="49163BF5" w14:textId="77777777" w:rsidR="00000000" w:rsidRDefault="00C1661D">
      <w:pPr>
        <w:jc w:val="both"/>
        <w:rPr>
          <w:rFonts w:eastAsia="Times New Roman"/>
        </w:rPr>
      </w:pPr>
      <w:r>
        <w:rPr>
          <w:rFonts w:eastAsia="Times New Roman"/>
          <w:b/>
          <w:bCs/>
          <w:i/>
          <w:iCs/>
          <w:color w:val="000000"/>
          <w:sz w:val="20"/>
          <w:szCs w:val="20"/>
        </w:rPr>
        <w:t>Our business is seasonal and decreases in the demand for our energy</w:t>
      </w:r>
      <w:r>
        <w:rPr>
          <w:rFonts w:eastAsia="Times New Roman"/>
          <w:b/>
          <w:bCs/>
          <w:i/>
          <w:iCs/>
          <w:color w:val="000000"/>
          <w:sz w:val="20"/>
          <w:szCs w:val="20"/>
        </w:rPr>
        <w:t xml:space="preserve"> products and services because of</w:t>
      </w:r>
      <w:r>
        <w:rPr>
          <w:rFonts w:eastAsia="Times New Roman"/>
          <w:color w:val="000000"/>
          <w:sz w:val="20"/>
          <w:szCs w:val="20"/>
        </w:rPr>
        <w:t xml:space="preserve"> </w:t>
      </w:r>
      <w:r>
        <w:rPr>
          <w:rFonts w:eastAsia="Times New Roman"/>
          <w:b/>
          <w:bCs/>
          <w:i/>
          <w:iCs/>
          <w:color w:val="000000"/>
          <w:sz w:val="20"/>
          <w:szCs w:val="20"/>
        </w:rPr>
        <w:t>warmer-than-normal heating season weather or unfavorable weather conditions may adversely affect our results</w:t>
      </w:r>
      <w:r>
        <w:rPr>
          <w:rFonts w:eastAsia="Times New Roman"/>
          <w:color w:val="000000"/>
          <w:sz w:val="20"/>
          <w:szCs w:val="20"/>
        </w:rPr>
        <w:t xml:space="preserve"> </w:t>
      </w:r>
      <w:r>
        <w:rPr>
          <w:rFonts w:eastAsia="Times New Roman"/>
          <w:b/>
          <w:bCs/>
          <w:i/>
          <w:iCs/>
          <w:color w:val="000000"/>
          <w:sz w:val="20"/>
          <w:szCs w:val="20"/>
        </w:rPr>
        <w:t xml:space="preserve">of operations. </w:t>
      </w:r>
      <w:r>
        <w:rPr>
          <w:rFonts w:eastAsia="Times New Roman"/>
          <w:color w:val="000000"/>
          <w:sz w:val="20"/>
          <w:szCs w:val="20"/>
        </w:rPr>
        <w:t>Because many of our customers rely on our energy products and services to heat their homes and bus</w:t>
      </w:r>
      <w:r>
        <w:rPr>
          <w:rFonts w:eastAsia="Times New Roman"/>
          <w:color w:val="000000"/>
          <w:sz w:val="20"/>
          <w:szCs w:val="20"/>
        </w:rPr>
        <w:t>inesses, and for agricultural purposes such as crop drying, our results of operations are adversely affected by warmer-than-normal heating season weather. Weather conditions have a significant impact on the demand for our energy products and services for b</w:t>
      </w:r>
      <w:r>
        <w:rPr>
          <w:rFonts w:eastAsia="Times New Roman"/>
          <w:color w:val="000000"/>
          <w:sz w:val="20"/>
          <w:szCs w:val="20"/>
        </w:rPr>
        <w:t xml:space="preserve">oth heating and agricultural purposes. Accordingly, the volume of our energy products sold is at its highest during the peak heating season of October through March and is directly affected by the severity of the winter weather. For example, historically, </w:t>
      </w:r>
      <w:r>
        <w:rPr>
          <w:rFonts w:eastAsia="Times New Roman"/>
          <w:color w:val="000000"/>
          <w:sz w:val="20"/>
          <w:szCs w:val="20"/>
        </w:rPr>
        <w:t>approximately 60% to 70% of AmeriGas Propane’s annual retail propane volume, 60% to 70% of UGI International’s annual retail LPG volume, 60% to 70% of Energy Services’ retail natural gas volume and 60% to 65% of PA Gas Utility’s natural gas throughput (the</w:t>
      </w:r>
      <w:r>
        <w:rPr>
          <w:rFonts w:eastAsia="Times New Roman"/>
          <w:color w:val="000000"/>
          <w:sz w:val="20"/>
          <w:szCs w:val="20"/>
        </w:rPr>
        <w:t xml:space="preserve"> total volume of gas sold to or transported for customers within our distribution system) has typically been sold during these months. Additionally, as a result of the AmeriGas Merger, an even greater portion of our earnings has been and will continue to b</w:t>
      </w:r>
      <w:r>
        <w:rPr>
          <w:rFonts w:eastAsia="Times New Roman"/>
          <w:color w:val="000000"/>
          <w:sz w:val="20"/>
          <w:szCs w:val="20"/>
        </w:rPr>
        <w:t>e derived during the peak heating season of October through March. There can be no assurance that normal winter weather in our market areas will occur in the future.</w:t>
      </w:r>
    </w:p>
    <w:p w14:paraId="7506FBCA" w14:textId="77777777" w:rsidR="00000000" w:rsidRDefault="00C1661D">
      <w:pPr>
        <w:jc w:val="both"/>
        <w:rPr>
          <w:rFonts w:eastAsia="Times New Roman"/>
        </w:rPr>
      </w:pPr>
    </w:p>
    <w:p w14:paraId="27F66C1F" w14:textId="77777777" w:rsidR="00000000" w:rsidRDefault="00C1661D">
      <w:pPr>
        <w:jc w:val="both"/>
        <w:rPr>
          <w:rFonts w:eastAsia="Times New Roman"/>
        </w:rPr>
      </w:pPr>
      <w:r>
        <w:rPr>
          <w:rFonts w:eastAsia="Times New Roman"/>
          <w:color w:val="000000"/>
          <w:sz w:val="20"/>
          <w:szCs w:val="20"/>
        </w:rPr>
        <w:t>In addition, our agricultural customers use LPG for purposes other than heating, includi</w:t>
      </w:r>
      <w:r>
        <w:rPr>
          <w:rFonts w:eastAsia="Times New Roman"/>
          <w:color w:val="000000"/>
          <w:sz w:val="20"/>
          <w:szCs w:val="20"/>
        </w:rPr>
        <w:t>ng for crop drying, and unfavorable weather conditions, such as lack of precipitation, may impact the demand for LPG. Moreover, harsh weather conditions may at times impede the transportation and delivery of LPG or restrict our ability to obtain LPG from s</w:t>
      </w:r>
      <w:r>
        <w:rPr>
          <w:rFonts w:eastAsia="Times New Roman"/>
          <w:color w:val="000000"/>
          <w:sz w:val="20"/>
          <w:szCs w:val="20"/>
        </w:rPr>
        <w:t>uppliers. Spikes in demand caused by weather or other factors can stress the supply chain and limit our ability to obtain additional quantities of LPG. Changes in LPG supply costs are normally passed through to customers, but time lags (between when we pur</w:t>
      </w:r>
      <w:r>
        <w:rPr>
          <w:rFonts w:eastAsia="Times New Roman"/>
          <w:color w:val="000000"/>
          <w:sz w:val="20"/>
          <w:szCs w:val="20"/>
        </w:rPr>
        <w:t xml:space="preserve">chase the LPG and when the customer purchases the LPG) may result in significant gross margin fluctuations that could adversely affect our results of operations. </w:t>
      </w:r>
    </w:p>
    <w:p w14:paraId="339E9EEE" w14:textId="77777777" w:rsidR="00000000" w:rsidRDefault="00C1661D">
      <w:pPr>
        <w:jc w:val="both"/>
        <w:rPr>
          <w:rFonts w:eastAsia="Times New Roman"/>
        </w:rPr>
      </w:pPr>
    </w:p>
    <w:p w14:paraId="6743D6BE" w14:textId="77777777" w:rsidR="00000000" w:rsidRDefault="00C1661D">
      <w:pPr>
        <w:jc w:val="both"/>
        <w:rPr>
          <w:rFonts w:eastAsia="Times New Roman"/>
        </w:rPr>
      </w:pPr>
      <w:r>
        <w:rPr>
          <w:rFonts w:eastAsia="Times New Roman"/>
          <w:b/>
          <w:bCs/>
          <w:i/>
          <w:iCs/>
          <w:color w:val="000000"/>
          <w:sz w:val="20"/>
          <w:szCs w:val="20"/>
        </w:rPr>
        <w:t>The potential effects of climate change may affect our business, operations, supply chain a</w:t>
      </w:r>
      <w:r>
        <w:rPr>
          <w:rFonts w:eastAsia="Times New Roman"/>
          <w:b/>
          <w:bCs/>
          <w:i/>
          <w:iCs/>
          <w:color w:val="000000"/>
          <w:sz w:val="20"/>
          <w:szCs w:val="20"/>
        </w:rPr>
        <w:t xml:space="preserve">nd customers, which could adversely impact our financial condition and results of operations. </w:t>
      </w:r>
      <w:r>
        <w:rPr>
          <w:rFonts w:eastAsia="Times New Roman"/>
          <w:color w:val="000000"/>
          <w:sz w:val="20"/>
          <w:szCs w:val="20"/>
        </w:rPr>
        <w:t>Shifts and fluctuations in weather patterns and other environmental conditions, including temperature and precipitation levels, may affect consumer demand for our</w:t>
      </w:r>
      <w:r>
        <w:rPr>
          <w:rFonts w:eastAsia="Times New Roman"/>
          <w:color w:val="000000"/>
          <w:sz w:val="20"/>
          <w:szCs w:val="20"/>
        </w:rPr>
        <w:t xml:space="preserve"> energy products and services. In addition, the potential physical effects of climate change, such as increased frequency and severity of storms, floods and other climatic events, could disrupt our operations and supply chain, and cause us to incur signifi</w:t>
      </w:r>
      <w:r>
        <w:rPr>
          <w:rFonts w:eastAsia="Times New Roman"/>
          <w:color w:val="000000"/>
          <w:sz w:val="20"/>
          <w:szCs w:val="20"/>
        </w:rPr>
        <w:t>cant costs in preparing for or responding to these effects. These or other meteorological changes could lead to increased operating costs, capital expenses or supply costs. Our commercial and residential customers may also experience the potential physical</w:t>
      </w:r>
      <w:r>
        <w:rPr>
          <w:rFonts w:eastAsia="Times New Roman"/>
          <w:color w:val="000000"/>
          <w:sz w:val="20"/>
          <w:szCs w:val="20"/>
        </w:rPr>
        <w:t xml:space="preserve"> impacts of climate change and may incur significant costs in preparing for or responding to these efforts, including increasing the mix and resiliency of their energy solutions and supply, which may adversely impact their ability to pay for our products a</w:t>
      </w:r>
      <w:r>
        <w:rPr>
          <w:rFonts w:eastAsia="Times New Roman"/>
          <w:color w:val="000000"/>
          <w:sz w:val="20"/>
          <w:szCs w:val="20"/>
        </w:rPr>
        <w:t xml:space="preserve">nd services or decrease demand for our products and services. The impact of any one or all of the foregoing factors may adversely affect our financial condition and results of operations. </w:t>
      </w:r>
    </w:p>
    <w:p w14:paraId="30921F66" w14:textId="77777777" w:rsidR="00000000" w:rsidRDefault="00C1661D">
      <w:pPr>
        <w:jc w:val="both"/>
        <w:rPr>
          <w:rFonts w:eastAsia="Times New Roman"/>
        </w:rPr>
      </w:pPr>
    </w:p>
    <w:p w14:paraId="70CB66DD" w14:textId="77777777" w:rsidR="00000000" w:rsidRDefault="00C1661D">
      <w:pPr>
        <w:jc w:val="both"/>
        <w:rPr>
          <w:rFonts w:eastAsia="Times New Roman"/>
        </w:rPr>
      </w:pPr>
      <w:r>
        <w:rPr>
          <w:rFonts w:eastAsia="Times New Roman"/>
          <w:color w:val="000000"/>
          <w:sz w:val="20"/>
          <w:szCs w:val="20"/>
        </w:rPr>
        <w:t>In addition to the direct physical impact that climate change may</w:t>
      </w:r>
      <w:r>
        <w:rPr>
          <w:rFonts w:eastAsia="Times New Roman"/>
          <w:color w:val="000000"/>
          <w:sz w:val="20"/>
          <w:szCs w:val="20"/>
        </w:rPr>
        <w:t xml:space="preserve"> have on our business, financial condition and results of operations, we may also be adversely impacted by other environmental factors, including: (i) technological advances designed to promote energy efficiency and limit environmental impact; (ii) increas</w:t>
      </w:r>
      <w:r>
        <w:rPr>
          <w:rFonts w:eastAsia="Times New Roman"/>
          <w:color w:val="000000"/>
          <w:sz w:val="20"/>
          <w:szCs w:val="20"/>
        </w:rPr>
        <w:t>ed competition from alternative energy sources; (iii) regulatory responses aimed at decreasing GHG emissions; and (iv) litigation or regulatory actions that address the environmental impact of our energy products and services. For more information on these</w:t>
      </w:r>
      <w:r>
        <w:rPr>
          <w:rFonts w:eastAsia="Times New Roman"/>
          <w:color w:val="000000"/>
          <w:sz w:val="20"/>
          <w:szCs w:val="20"/>
        </w:rPr>
        <w:t xml:space="preserve"> risks, please refer to the following risk factors included elsewhere in this section: </w:t>
      </w:r>
    </w:p>
    <w:p w14:paraId="4636322F" w14:textId="77777777" w:rsidR="00000000" w:rsidRDefault="00C1661D">
      <w:pPr>
        <w:jc w:val="both"/>
        <w:rPr>
          <w:rFonts w:eastAsia="Times New Roman"/>
        </w:rPr>
      </w:pPr>
    </w:p>
    <w:p w14:paraId="282FFF54" w14:textId="77777777" w:rsidR="00000000" w:rsidRDefault="00C1661D">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“Energy efficiency and technology advances, as well as price induced customer conservation, may result in reduced demand for our energy products and services”; </w:t>
      </w:r>
    </w:p>
    <w:p w14:paraId="54631394" w14:textId="77777777" w:rsidR="00000000" w:rsidRDefault="00C1661D">
      <w:pPr>
        <w:jc w:val="center"/>
        <w:divId w:val="1250122006"/>
        <w:rPr>
          <w:rFonts w:eastAsia="Times New Roman"/>
        </w:rPr>
      </w:pPr>
      <w:r>
        <w:rPr>
          <w:rFonts w:eastAsia="Times New Roman"/>
          <w:color w:val="000000"/>
          <w:sz w:val="20"/>
          <w:szCs w:val="20"/>
        </w:rPr>
        <w:t>34</w:t>
      </w:r>
    </w:p>
    <w:p w14:paraId="77F2FB57" w14:textId="77777777" w:rsidR="00000000" w:rsidRDefault="00C1661D">
      <w:pPr>
        <w:rPr>
          <w:rFonts w:eastAsia="Times New Roman"/>
        </w:rPr>
      </w:pPr>
      <w:r>
        <w:rPr>
          <w:rFonts w:eastAsia="Times New Roman"/>
        </w:rPr>
        <w:pict w14:anchorId="23ACB79D">
          <v:rect id="_x0000_i1060" style="width:0;height:1.5pt" o:hralign="center" o:hrstd="t" o:hr="t" fillcolor="#a0a0a0" stroked="f"/>
        </w:pict>
      </w:r>
    </w:p>
    <w:p w14:paraId="3FA12BFF" w14:textId="77777777" w:rsidR="00000000" w:rsidRDefault="00C1661D">
      <w:pPr>
        <w:divId w:val="1239169282"/>
        <w:rPr>
          <w:rFonts w:eastAsia="Times New Roman"/>
        </w:rPr>
      </w:pPr>
      <w:hyperlink w:anchor="i3850c3c6c0104e42b9951aac2f16098a_7" w:history="1">
        <w:r>
          <w:rPr>
            <w:rStyle w:val="a3"/>
            <w:rFonts w:eastAsia="Times New Roman"/>
            <w:b/>
            <w:bCs/>
            <w:sz w:val="20"/>
            <w:szCs w:val="20"/>
          </w:rPr>
          <w:t>Table of Contents</w:t>
        </w:r>
      </w:hyperlink>
    </w:p>
    <w:p w14:paraId="2521A4FD" w14:textId="77777777" w:rsidR="00000000" w:rsidRDefault="00C1661D">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“Our operations may be adversely affected by competition from other energy sources”; </w:t>
      </w:r>
    </w:p>
    <w:p w14:paraId="16C33F1A" w14:textId="77777777" w:rsidR="00000000" w:rsidRDefault="00C1661D">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“Our need to comply with, and respond to, industry-wide </w:t>
      </w:r>
      <w:r>
        <w:rPr>
          <w:rFonts w:eastAsia="Times New Roman"/>
          <w:i/>
          <w:iCs/>
          <w:color w:val="000000"/>
          <w:sz w:val="20"/>
          <w:szCs w:val="20"/>
        </w:rPr>
        <w:t>changes resulting from, comprehensive, complex, and sometimes unpredictable governmental regulations, including regulatory initiatives aimed at increasing competition within our industry, may increase our costs and limit our revenue growth, which may adver</w:t>
      </w:r>
      <w:r>
        <w:rPr>
          <w:rFonts w:eastAsia="Times New Roman"/>
          <w:i/>
          <w:iCs/>
          <w:color w:val="000000"/>
          <w:sz w:val="20"/>
          <w:szCs w:val="20"/>
        </w:rPr>
        <w:t xml:space="preserve">sely affect our operating results”; </w:t>
      </w:r>
    </w:p>
    <w:p w14:paraId="5B587CF8" w14:textId="77777777" w:rsidR="00000000" w:rsidRDefault="00C1661D">
      <w:pPr>
        <w:ind w:hanging="360"/>
        <w:jc w:val="both"/>
        <w:rPr>
          <w:rFonts w:eastAsia="Times New Roman"/>
        </w:rPr>
      </w:pPr>
      <w:r>
        <w:rPr>
          <w:rFonts w:eastAsia="Times New Roman"/>
          <w:color w:val="000000"/>
          <w:sz w:val="20"/>
          <w:szCs w:val="20"/>
        </w:rPr>
        <w:t>•</w:t>
      </w:r>
      <w:r>
        <w:rPr>
          <w:rFonts w:eastAsia="Times New Roman"/>
          <w:i/>
          <w:iCs/>
          <w:color w:val="000000"/>
          <w:sz w:val="20"/>
          <w:szCs w:val="20"/>
        </w:rPr>
        <w:t>“Our operations, financial results and cash flows may be adversely affected by existing and future global climate change laws and regulations, including with respect to GHG emission restrictions, as well as market resp</w:t>
      </w:r>
      <w:r>
        <w:rPr>
          <w:rFonts w:eastAsia="Times New Roman"/>
          <w:i/>
          <w:iCs/>
          <w:color w:val="000000"/>
          <w:sz w:val="20"/>
          <w:szCs w:val="20"/>
        </w:rPr>
        <w:t xml:space="preserve">onses thereto”; </w:t>
      </w:r>
      <w:r>
        <w:rPr>
          <w:rFonts w:eastAsia="Times New Roman"/>
          <w:color w:val="000000"/>
          <w:sz w:val="20"/>
          <w:szCs w:val="20"/>
        </w:rPr>
        <w:t xml:space="preserve">and </w:t>
      </w:r>
    </w:p>
    <w:p w14:paraId="6CBF1C98" w14:textId="77777777" w:rsidR="00000000" w:rsidRDefault="00C1661D">
      <w:pPr>
        <w:ind w:hanging="360"/>
        <w:jc w:val="both"/>
        <w:rPr>
          <w:rFonts w:eastAsia="Times New Roman"/>
        </w:rPr>
      </w:pPr>
      <w:r>
        <w:rPr>
          <w:rFonts w:eastAsia="Times New Roman"/>
          <w:color w:val="000000"/>
          <w:sz w:val="20"/>
          <w:szCs w:val="20"/>
        </w:rPr>
        <w:t>•</w:t>
      </w:r>
      <w:r>
        <w:rPr>
          <w:rFonts w:eastAsia="Times New Roman"/>
          <w:i/>
          <w:iCs/>
          <w:color w:val="000000"/>
          <w:sz w:val="20"/>
          <w:szCs w:val="20"/>
        </w:rPr>
        <w:t>“We are subject to operating and litigation risks that may not be covered by insurance”.</w:t>
      </w:r>
    </w:p>
    <w:p w14:paraId="7AB8DFA3" w14:textId="77777777" w:rsidR="00000000" w:rsidRDefault="00C1661D">
      <w:pPr>
        <w:jc w:val="both"/>
        <w:rPr>
          <w:rFonts w:eastAsia="Times New Roman"/>
        </w:rPr>
      </w:pPr>
    </w:p>
    <w:p w14:paraId="21686A20" w14:textId="77777777" w:rsidR="00000000" w:rsidRDefault="00C1661D">
      <w:pPr>
        <w:jc w:val="both"/>
        <w:rPr>
          <w:rFonts w:eastAsia="Times New Roman"/>
        </w:rPr>
      </w:pPr>
      <w:r>
        <w:rPr>
          <w:rFonts w:eastAsia="Times New Roman"/>
          <w:b/>
          <w:bCs/>
          <w:i/>
          <w:iCs/>
          <w:color w:val="000000"/>
          <w:sz w:val="20"/>
          <w:szCs w:val="20"/>
        </w:rPr>
        <w:t>Our potential to increase revenues may be affected by the decline in retail volumes of LPG and our ability to retain and grow our customer base</w:t>
      </w:r>
      <w:r>
        <w:rPr>
          <w:rFonts w:eastAsia="Times New Roman"/>
          <w:b/>
          <w:bCs/>
          <w:i/>
          <w:iCs/>
          <w:color w:val="000000"/>
          <w:sz w:val="20"/>
          <w:szCs w:val="20"/>
        </w:rPr>
        <w:t xml:space="preserve">. </w:t>
      </w:r>
      <w:r>
        <w:rPr>
          <w:rFonts w:eastAsia="Times New Roman"/>
          <w:color w:val="000000"/>
          <w:sz w:val="20"/>
          <w:szCs w:val="20"/>
        </w:rPr>
        <w:t>The retail LPG distribution industry in the U.S. and many of the European countries in which we operate is mature and has been declining over the past several years, with no or modest growth (or decline) in total demand foreseen in the near future. Accor</w:t>
      </w:r>
      <w:r>
        <w:rPr>
          <w:rFonts w:eastAsia="Times New Roman"/>
          <w:color w:val="000000"/>
          <w:sz w:val="20"/>
          <w:szCs w:val="20"/>
        </w:rPr>
        <w:t>dingly, we expect that year-to-year industry volumes will be principally affected by weather patterns. Therefore, our ability to grow within the LPG industry is dependent on our ability to acquire other retail distributors and to achieve internal growth, w</w:t>
      </w:r>
      <w:r>
        <w:rPr>
          <w:rFonts w:eastAsia="Times New Roman"/>
          <w:color w:val="000000"/>
          <w:sz w:val="20"/>
          <w:szCs w:val="20"/>
        </w:rPr>
        <w:t>hich includes the continuation of the ACE, Cynch and National Accounts programs in the U.S. and expansion in Europe, as well as the success of our sales and marketing programs designed to attract and retain customers. Any failure to retain and grow our cus</w:t>
      </w:r>
      <w:r>
        <w:rPr>
          <w:rFonts w:eastAsia="Times New Roman"/>
          <w:color w:val="000000"/>
          <w:sz w:val="20"/>
          <w:szCs w:val="20"/>
        </w:rPr>
        <w:t xml:space="preserve">tomer base and successfully acquire other distributors would have an adverse impact on our results. </w:t>
      </w:r>
    </w:p>
    <w:p w14:paraId="3DBC157B" w14:textId="77777777" w:rsidR="00000000" w:rsidRDefault="00C1661D">
      <w:pPr>
        <w:jc w:val="both"/>
        <w:rPr>
          <w:rFonts w:eastAsia="Times New Roman"/>
        </w:rPr>
      </w:pPr>
    </w:p>
    <w:p w14:paraId="7390F0F0" w14:textId="77777777" w:rsidR="00000000" w:rsidRDefault="00C1661D">
      <w:pPr>
        <w:jc w:val="both"/>
        <w:rPr>
          <w:rFonts w:eastAsia="Times New Roman"/>
        </w:rPr>
      </w:pPr>
      <w:r>
        <w:rPr>
          <w:rFonts w:eastAsia="Times New Roman"/>
          <w:b/>
          <w:bCs/>
          <w:i/>
          <w:iCs/>
          <w:color w:val="000000"/>
          <w:sz w:val="20"/>
          <w:szCs w:val="20"/>
        </w:rPr>
        <w:t>Our ability to grow our businesses will be adversely affected if we are not successful in identifying and completing business combinations, asset acquisi</w:t>
      </w:r>
      <w:r>
        <w:rPr>
          <w:rFonts w:eastAsia="Times New Roman"/>
          <w:b/>
          <w:bCs/>
          <w:i/>
          <w:iCs/>
          <w:color w:val="000000"/>
          <w:sz w:val="20"/>
          <w:szCs w:val="20"/>
        </w:rPr>
        <w:t xml:space="preserve">tions or investments in joint ventures intended to advance our business strategy, or if we are unable to realize the anticipated benefits from such transactions we have completed. </w:t>
      </w:r>
      <w:r>
        <w:rPr>
          <w:rFonts w:eastAsia="Times New Roman"/>
          <w:color w:val="000000"/>
          <w:sz w:val="20"/>
          <w:szCs w:val="20"/>
        </w:rPr>
        <w:t>One element of our business strategy is to grow through investments in the U</w:t>
      </w:r>
      <w:r>
        <w:rPr>
          <w:rFonts w:eastAsia="Times New Roman"/>
          <w:color w:val="000000"/>
          <w:sz w:val="20"/>
          <w:szCs w:val="20"/>
        </w:rPr>
        <w:t>.S. and in international markets, which includes our recent efforts to expand our presence in the renewable energy industry. We may choose to finance such future investments with debt, equity, cash or a combination of the three. We can give no assurances t</w:t>
      </w:r>
      <w:r>
        <w:rPr>
          <w:rFonts w:eastAsia="Times New Roman"/>
          <w:color w:val="000000"/>
          <w:sz w:val="20"/>
          <w:szCs w:val="20"/>
        </w:rPr>
        <w:t>hat we will find attractive investment opportunities in the future (including renewable energy opportunities), that we will be able to complete and finance these transactions on economically acceptable terms, that any investments and related transactions w</w:t>
      </w:r>
      <w:r>
        <w:rPr>
          <w:rFonts w:eastAsia="Times New Roman"/>
          <w:color w:val="000000"/>
          <w:sz w:val="20"/>
          <w:szCs w:val="20"/>
        </w:rPr>
        <w:t xml:space="preserve">ill not be dilutive to earnings or that any additional debt incurred to finance such investment will not affect our ability to pay dividends. Moreover, certain investments and acquisitions in the U.S. and Europe may require merger control filings with the </w:t>
      </w:r>
      <w:r>
        <w:rPr>
          <w:rFonts w:eastAsia="Times New Roman"/>
          <w:color w:val="000000"/>
          <w:sz w:val="20"/>
          <w:szCs w:val="20"/>
        </w:rPr>
        <w:t>Federal Trade Commission and the European Commission, as applicable, and commitments (such as agreements not to compete for certain businesses) or divestments of assets may be required to obtain clearance. Such commitments or divestments may adversely infl</w:t>
      </w:r>
      <w:r>
        <w:rPr>
          <w:rFonts w:eastAsia="Times New Roman"/>
          <w:color w:val="000000"/>
          <w:sz w:val="20"/>
          <w:szCs w:val="20"/>
        </w:rPr>
        <w:t xml:space="preserve">uence the overall economics and risk profile of the contemplated transaction. </w:t>
      </w:r>
    </w:p>
    <w:p w14:paraId="1A781E8D" w14:textId="77777777" w:rsidR="00000000" w:rsidRDefault="00C1661D">
      <w:pPr>
        <w:jc w:val="both"/>
        <w:rPr>
          <w:rFonts w:eastAsia="Times New Roman"/>
        </w:rPr>
      </w:pPr>
    </w:p>
    <w:p w14:paraId="0D38C857" w14:textId="77777777" w:rsidR="00000000" w:rsidRDefault="00C1661D">
      <w:pPr>
        <w:jc w:val="both"/>
        <w:rPr>
          <w:rFonts w:eastAsia="Times New Roman"/>
        </w:rPr>
      </w:pPr>
      <w:r>
        <w:rPr>
          <w:rFonts w:eastAsia="Times New Roman"/>
          <w:color w:val="000000"/>
          <w:sz w:val="20"/>
          <w:szCs w:val="20"/>
        </w:rPr>
        <w:t>To the extent we are successful in executing these transactions, such transactions involve a number of risks. These risks include, but are not limited to, the assumption of ma</w:t>
      </w:r>
      <w:r>
        <w:rPr>
          <w:rFonts w:eastAsia="Times New Roman"/>
          <w:color w:val="000000"/>
          <w:sz w:val="20"/>
          <w:szCs w:val="20"/>
        </w:rPr>
        <w:t>terial liabilities, environmental liabilities, the diversion of management’s attention from the management of daily operations to the integration of acquired operations, difficulties in the assimilation and retention of employees and difficulties in the as</w:t>
      </w:r>
      <w:r>
        <w:rPr>
          <w:rFonts w:eastAsia="Times New Roman"/>
          <w:color w:val="000000"/>
          <w:sz w:val="20"/>
          <w:szCs w:val="20"/>
        </w:rPr>
        <w:t>similation of different cultures and practices and internal controls, challenges with consolidating the operations of acquired companies into our own, as well as in the assimilation of broad and geographically dispersed personnel and operations. Future inv</w:t>
      </w:r>
      <w:r>
        <w:rPr>
          <w:rFonts w:eastAsia="Times New Roman"/>
          <w:color w:val="000000"/>
          <w:sz w:val="20"/>
          <w:szCs w:val="20"/>
        </w:rPr>
        <w:t>estments could also result in, among other things, the failure to identify material issues during due diligence, the risk of overpaying for assets, unanticipated capital expenditures, the failure to maintain effective internal control over financial report</w:t>
      </w:r>
      <w:r>
        <w:rPr>
          <w:rFonts w:eastAsia="Times New Roman"/>
          <w:color w:val="000000"/>
          <w:sz w:val="20"/>
          <w:szCs w:val="20"/>
        </w:rPr>
        <w:t xml:space="preserve">ing, recording goodwill and other intangible assets at values that ultimately may be subject to impairment charges and fluctuations in quarterly results. There can also be no assurance that our past and future investments, including our recent investments </w:t>
      </w:r>
      <w:r>
        <w:rPr>
          <w:rFonts w:eastAsia="Times New Roman"/>
          <w:color w:val="000000"/>
          <w:sz w:val="20"/>
          <w:szCs w:val="20"/>
        </w:rPr>
        <w:t xml:space="preserve">in renewable energy, will deliver the strategic, financial, operational and environmental benefits that we anticipate, nor can we be certain that strategic investments will remain available in the future. </w:t>
      </w:r>
    </w:p>
    <w:p w14:paraId="566A5F29" w14:textId="77777777" w:rsidR="00000000" w:rsidRDefault="00C1661D">
      <w:pPr>
        <w:jc w:val="both"/>
        <w:rPr>
          <w:rFonts w:eastAsia="Times New Roman"/>
        </w:rPr>
      </w:pPr>
    </w:p>
    <w:p w14:paraId="49D19284" w14:textId="77777777" w:rsidR="00000000" w:rsidRDefault="00C1661D">
      <w:pPr>
        <w:jc w:val="both"/>
        <w:rPr>
          <w:rFonts w:eastAsia="Times New Roman"/>
        </w:rPr>
      </w:pPr>
      <w:r>
        <w:rPr>
          <w:rFonts w:eastAsia="Times New Roman"/>
          <w:color w:val="000000"/>
          <w:sz w:val="20"/>
          <w:szCs w:val="20"/>
        </w:rPr>
        <w:t xml:space="preserve">The failure to successfully identify, complete, </w:t>
      </w:r>
      <w:r>
        <w:rPr>
          <w:rFonts w:eastAsia="Times New Roman"/>
          <w:color w:val="000000"/>
          <w:sz w:val="20"/>
          <w:szCs w:val="20"/>
        </w:rPr>
        <w:t>and implement business combinations, asset acquisitions and investments intended to advance our business strategy could have an adverse impact on our business, cash flows, financial condition and results of operations.</w:t>
      </w:r>
    </w:p>
    <w:p w14:paraId="07EEBE01" w14:textId="77777777" w:rsidR="00000000" w:rsidRDefault="00C1661D">
      <w:pPr>
        <w:jc w:val="both"/>
        <w:rPr>
          <w:rFonts w:eastAsia="Times New Roman"/>
        </w:rPr>
      </w:pPr>
    </w:p>
    <w:p w14:paraId="6CFBDCFD" w14:textId="77777777" w:rsidR="00000000" w:rsidRDefault="00C1661D">
      <w:pPr>
        <w:jc w:val="both"/>
        <w:rPr>
          <w:rFonts w:eastAsia="Times New Roman"/>
        </w:rPr>
      </w:pPr>
      <w:r>
        <w:rPr>
          <w:rFonts w:eastAsia="Times New Roman"/>
          <w:b/>
          <w:bCs/>
          <w:i/>
          <w:iCs/>
          <w:color w:val="000000"/>
          <w:sz w:val="20"/>
          <w:szCs w:val="20"/>
        </w:rPr>
        <w:t>Energy efficiency and technology ad</w:t>
      </w:r>
      <w:r>
        <w:rPr>
          <w:rFonts w:eastAsia="Times New Roman"/>
          <w:b/>
          <w:bCs/>
          <w:i/>
          <w:iCs/>
          <w:color w:val="000000"/>
          <w:sz w:val="20"/>
          <w:szCs w:val="20"/>
        </w:rPr>
        <w:t>vances, as well as price induced customer</w:t>
      </w:r>
      <w:r>
        <w:rPr>
          <w:rFonts w:eastAsia="Times New Roman"/>
          <w:color w:val="000000"/>
          <w:sz w:val="20"/>
          <w:szCs w:val="20"/>
        </w:rPr>
        <w:t xml:space="preserve"> </w:t>
      </w:r>
      <w:r>
        <w:rPr>
          <w:rFonts w:eastAsia="Times New Roman"/>
          <w:b/>
          <w:bCs/>
          <w:i/>
          <w:iCs/>
          <w:color w:val="000000"/>
          <w:sz w:val="20"/>
          <w:szCs w:val="20"/>
        </w:rPr>
        <w:t>conservation, may result in reduced demand for our energy products and</w:t>
      </w:r>
      <w:r>
        <w:rPr>
          <w:rFonts w:eastAsia="Times New Roman"/>
          <w:color w:val="000000"/>
          <w:sz w:val="20"/>
          <w:szCs w:val="20"/>
        </w:rPr>
        <w:t xml:space="preserve"> </w:t>
      </w:r>
      <w:r>
        <w:rPr>
          <w:rFonts w:eastAsia="Times New Roman"/>
          <w:b/>
          <w:bCs/>
          <w:i/>
          <w:iCs/>
          <w:color w:val="000000"/>
          <w:sz w:val="20"/>
          <w:szCs w:val="20"/>
        </w:rPr>
        <w:t xml:space="preserve">services. </w:t>
      </w:r>
      <w:r>
        <w:rPr>
          <w:rFonts w:eastAsia="Times New Roman"/>
          <w:color w:val="000000"/>
          <w:sz w:val="20"/>
          <w:szCs w:val="20"/>
        </w:rPr>
        <w:t>The trend toward increased energy efficiency and technological advances, including installation of improved insulation and the develo</w:t>
      </w:r>
      <w:r>
        <w:rPr>
          <w:rFonts w:eastAsia="Times New Roman"/>
          <w:color w:val="000000"/>
          <w:sz w:val="20"/>
          <w:szCs w:val="20"/>
        </w:rPr>
        <w:t>pment of more efficient boilers and increased consumer preference for alternative heating equipment installations, such as electric heat pumps, alongside concerted conservation measures, which have been exacerbated particularly in Europe by the evolving en</w:t>
      </w:r>
      <w:r>
        <w:rPr>
          <w:rFonts w:eastAsia="Times New Roman"/>
          <w:color w:val="000000"/>
          <w:sz w:val="20"/>
          <w:szCs w:val="20"/>
        </w:rPr>
        <w:t>ergy crisis, may reduce the demand for our energy products. Prices for LPG and natural gas are subject to volatile fluctuations as a result of changes in supply and demand as well as other market conditions. During periods of high energy commodity costs, o</w:t>
      </w:r>
      <w:r>
        <w:rPr>
          <w:rFonts w:eastAsia="Times New Roman"/>
          <w:color w:val="000000"/>
          <w:sz w:val="20"/>
          <w:szCs w:val="20"/>
        </w:rPr>
        <w:t>ur prices generally increase, which may lead to customer conservation and attrition. A reduction in demand could lower our revenues and, therefore, lower our net income and adversely affect our cash flows. In addition, federal, European and/or local laws a</w:t>
      </w:r>
      <w:r>
        <w:rPr>
          <w:rFonts w:eastAsia="Times New Roman"/>
          <w:color w:val="000000"/>
          <w:sz w:val="20"/>
          <w:szCs w:val="20"/>
        </w:rPr>
        <w:t xml:space="preserve">nd regulations may require mandatory conservation </w:t>
      </w:r>
    </w:p>
    <w:p w14:paraId="1559D1B2" w14:textId="77777777" w:rsidR="00000000" w:rsidRDefault="00C1661D">
      <w:pPr>
        <w:jc w:val="center"/>
        <w:divId w:val="789321073"/>
        <w:rPr>
          <w:rFonts w:eastAsia="Times New Roman"/>
        </w:rPr>
      </w:pPr>
      <w:r>
        <w:rPr>
          <w:rFonts w:eastAsia="Times New Roman"/>
          <w:color w:val="000000"/>
          <w:sz w:val="20"/>
          <w:szCs w:val="20"/>
        </w:rPr>
        <w:t>35</w:t>
      </w:r>
    </w:p>
    <w:p w14:paraId="31CE4FD7" w14:textId="77777777" w:rsidR="00000000" w:rsidRDefault="00C1661D">
      <w:pPr>
        <w:rPr>
          <w:rFonts w:eastAsia="Times New Roman"/>
        </w:rPr>
      </w:pPr>
      <w:r>
        <w:rPr>
          <w:rFonts w:eastAsia="Times New Roman"/>
        </w:rPr>
        <w:pict w14:anchorId="340CD85B">
          <v:rect id="_x0000_i1061" style="width:0;height:1.5pt" o:hralign="center" o:hrstd="t" o:hr="t" fillcolor="#a0a0a0" stroked="f"/>
        </w:pict>
      </w:r>
    </w:p>
    <w:p w14:paraId="52D9AB18" w14:textId="77777777" w:rsidR="00000000" w:rsidRDefault="00C1661D">
      <w:pPr>
        <w:divId w:val="1241214048"/>
        <w:rPr>
          <w:rFonts w:eastAsia="Times New Roman"/>
        </w:rPr>
      </w:pPr>
      <w:hyperlink w:anchor="i3850c3c6c0104e42b9951aac2f16098a_7" w:history="1">
        <w:r>
          <w:rPr>
            <w:rStyle w:val="a3"/>
            <w:rFonts w:eastAsia="Times New Roman"/>
            <w:b/>
            <w:bCs/>
            <w:sz w:val="20"/>
            <w:szCs w:val="20"/>
          </w:rPr>
          <w:t>Table of Contents</w:t>
        </w:r>
      </w:hyperlink>
    </w:p>
    <w:p w14:paraId="03859635" w14:textId="77777777" w:rsidR="00000000" w:rsidRDefault="00C1661D">
      <w:pPr>
        <w:jc w:val="both"/>
        <w:rPr>
          <w:rFonts w:eastAsia="Times New Roman"/>
        </w:rPr>
      </w:pPr>
      <w:r>
        <w:rPr>
          <w:rFonts w:eastAsia="Times New Roman"/>
          <w:color w:val="000000"/>
          <w:sz w:val="20"/>
          <w:szCs w:val="20"/>
        </w:rPr>
        <w:t>measures, which would reduce the demand for our energy products. In Europe, measures are u</w:t>
      </w:r>
      <w:r>
        <w:rPr>
          <w:rFonts w:eastAsia="Times New Roman"/>
          <w:color w:val="000000"/>
          <w:sz w:val="20"/>
          <w:szCs w:val="20"/>
        </w:rPr>
        <w:t>nderway to decarbonize the electric generation grid, as well as residential and commercial heating, in order to achieve EU climate change objectives, including a net zero goal by 2050. For example, in 2018 the EU revised the Energy Performance of Buildings</w:t>
      </w:r>
      <w:r>
        <w:rPr>
          <w:rFonts w:eastAsia="Times New Roman"/>
          <w:color w:val="000000"/>
          <w:sz w:val="20"/>
          <w:szCs w:val="20"/>
        </w:rPr>
        <w:t xml:space="preserve"> Directive (the “EPBD”) with the goal to create a clear path towards a low and zero-emission and decarbonized building stock in the EU by 2050.  Updates to the EPBD continue to make their way through EU legislative approvals, which will establish stronger </w:t>
      </w:r>
      <w:r>
        <w:rPr>
          <w:rFonts w:eastAsia="Times New Roman"/>
          <w:color w:val="000000"/>
          <w:sz w:val="20"/>
          <w:szCs w:val="20"/>
        </w:rPr>
        <w:t>targets for management of new and existing building construction and integral heating systems that focus on low or zero carbon outcomes. Over time, these various measures will impact fossil fuel consumption in Europe and the demand for our energy products.</w:t>
      </w:r>
      <w:r>
        <w:rPr>
          <w:rFonts w:eastAsia="Times New Roman"/>
          <w:color w:val="000000"/>
          <w:sz w:val="20"/>
          <w:szCs w:val="20"/>
        </w:rPr>
        <w:t xml:space="preserve"> We cannot predict the materiality of the effect of future conservation measures or the effect that any technological advances in heating, conservation, energy generation or other devices might have on our operations.</w:t>
      </w:r>
    </w:p>
    <w:p w14:paraId="36E0249B" w14:textId="77777777" w:rsidR="00000000" w:rsidRDefault="00C1661D">
      <w:pPr>
        <w:jc w:val="both"/>
        <w:rPr>
          <w:rFonts w:eastAsia="Times New Roman"/>
        </w:rPr>
      </w:pPr>
    </w:p>
    <w:p w14:paraId="4FE90E5F" w14:textId="77777777" w:rsidR="00000000" w:rsidRDefault="00C1661D">
      <w:pPr>
        <w:jc w:val="both"/>
        <w:rPr>
          <w:rFonts w:eastAsia="Times New Roman"/>
        </w:rPr>
      </w:pPr>
      <w:r>
        <w:rPr>
          <w:rFonts w:eastAsia="Times New Roman"/>
          <w:b/>
          <w:bCs/>
          <w:i/>
          <w:iCs/>
          <w:color w:val="000000"/>
          <w:sz w:val="20"/>
          <w:szCs w:val="20"/>
        </w:rPr>
        <w:t>Our operations may be adversely affe</w:t>
      </w:r>
      <w:r>
        <w:rPr>
          <w:rFonts w:eastAsia="Times New Roman"/>
          <w:b/>
          <w:bCs/>
          <w:i/>
          <w:iCs/>
          <w:color w:val="000000"/>
          <w:sz w:val="20"/>
          <w:szCs w:val="20"/>
        </w:rPr>
        <w:t>cted by competition from other energy</w:t>
      </w:r>
      <w:r>
        <w:rPr>
          <w:rFonts w:eastAsia="Times New Roman"/>
          <w:color w:val="000000"/>
          <w:sz w:val="20"/>
          <w:szCs w:val="20"/>
        </w:rPr>
        <w:t xml:space="preserve"> </w:t>
      </w:r>
      <w:r>
        <w:rPr>
          <w:rFonts w:eastAsia="Times New Roman"/>
          <w:b/>
          <w:bCs/>
          <w:i/>
          <w:iCs/>
          <w:color w:val="000000"/>
          <w:sz w:val="20"/>
          <w:szCs w:val="20"/>
        </w:rPr>
        <w:t xml:space="preserve">sources. </w:t>
      </w:r>
      <w:r>
        <w:rPr>
          <w:rFonts w:eastAsia="Times New Roman"/>
          <w:color w:val="000000"/>
          <w:sz w:val="20"/>
          <w:szCs w:val="20"/>
        </w:rPr>
        <w:t>Our energy products and services face competition from other energy sources, some of which are less costly for equivalent energy value. In addition, we cannot predict the effect that the development of alterna</w:t>
      </w:r>
      <w:r>
        <w:rPr>
          <w:rFonts w:eastAsia="Times New Roman"/>
          <w:color w:val="000000"/>
          <w:sz w:val="20"/>
          <w:szCs w:val="20"/>
        </w:rPr>
        <w:t>tive energy sources might have on our operations.</w:t>
      </w:r>
    </w:p>
    <w:p w14:paraId="3AD937F7" w14:textId="77777777" w:rsidR="00000000" w:rsidRDefault="00C1661D">
      <w:pPr>
        <w:jc w:val="both"/>
        <w:rPr>
          <w:rFonts w:eastAsia="Times New Roman"/>
        </w:rPr>
      </w:pPr>
    </w:p>
    <w:p w14:paraId="3A44D653" w14:textId="77777777" w:rsidR="00000000" w:rsidRDefault="00C1661D">
      <w:pPr>
        <w:jc w:val="both"/>
        <w:rPr>
          <w:rFonts w:eastAsia="Times New Roman"/>
        </w:rPr>
      </w:pPr>
      <w:r>
        <w:rPr>
          <w:rFonts w:eastAsia="Times New Roman"/>
          <w:color w:val="000000"/>
          <w:sz w:val="20"/>
          <w:szCs w:val="20"/>
        </w:rPr>
        <w:t>Our LPG distribution businesses compete for customers against suppliers of electricity, fuel oil and natural gas. Electricity is a major competitor of LPG but is generally more expensive than LPG on a Btu</w:t>
      </w:r>
      <w:r>
        <w:rPr>
          <w:rFonts w:eastAsia="Times New Roman"/>
          <w:color w:val="000000"/>
          <w:sz w:val="20"/>
          <w:szCs w:val="20"/>
        </w:rPr>
        <w:t xml:space="preserve"> equivalent basis for space heating, water heating and cooking. However, in Europe and elsewhere, climate change policies favoring electricity from renewable energy sources or the use of electric-powered equipment, such as heat pumps in heating application</w:t>
      </w:r>
      <w:r>
        <w:rPr>
          <w:rFonts w:eastAsia="Times New Roman"/>
          <w:color w:val="000000"/>
          <w:sz w:val="20"/>
          <w:szCs w:val="20"/>
        </w:rPr>
        <w:t>s, may cause changes in current relative price relationships. Moreover, notwithstanding cost, the convenience and efficiency of electricity make it an attractive energy source for consumers and developers of new homes. Fuel oil, which is a major competitor</w:t>
      </w:r>
      <w:r>
        <w:rPr>
          <w:rFonts w:eastAsia="Times New Roman"/>
          <w:color w:val="000000"/>
          <w:sz w:val="20"/>
          <w:szCs w:val="20"/>
        </w:rPr>
        <w:t xml:space="preserve"> to propane, is a less environmentally attractive energy source. Furnaces and appliances that burn LPG must be upgraded to run on fuel oil and vice versa, and, therefore, a conversion from one fuel to the other requires the installation of new equipment. O</w:t>
      </w:r>
      <w:r>
        <w:rPr>
          <w:rFonts w:eastAsia="Times New Roman"/>
          <w:color w:val="000000"/>
          <w:sz w:val="20"/>
          <w:szCs w:val="20"/>
        </w:rPr>
        <w:t>ur customers generally have an incentive to switch to fuel oil only if fuel oil becomes significantly less expensive than LPG, and in multiple countries, the risk of conversion to fuel oil is diminishing due to regulations that prevent or disfavor the inst</w:t>
      </w:r>
      <w:r>
        <w:rPr>
          <w:rFonts w:eastAsia="Times New Roman"/>
          <w:color w:val="000000"/>
          <w:sz w:val="20"/>
          <w:szCs w:val="20"/>
        </w:rPr>
        <w:t>allation and/or use of fuel oil boilers or fuel oil for heating applications. Historically, most applications for LPG have generally not been competitive with natural gas in areas where natural gas pipelines already exist because natural gas was a signific</w:t>
      </w:r>
      <w:r>
        <w:rPr>
          <w:rFonts w:eastAsia="Times New Roman"/>
          <w:color w:val="000000"/>
          <w:sz w:val="20"/>
          <w:szCs w:val="20"/>
        </w:rPr>
        <w:t>antly less expensive source of energy than LPG. However, as a result of the recent and ongoing energy crisis in Europe, the cost of LPG in many of our European markets is less than natural gas, which is driving a stronger demand for LPG applications. Never</w:t>
      </w:r>
      <w:r>
        <w:rPr>
          <w:rFonts w:eastAsia="Times New Roman"/>
          <w:color w:val="000000"/>
          <w:sz w:val="20"/>
          <w:szCs w:val="20"/>
        </w:rPr>
        <w:t xml:space="preserve">theless, the gradual expansion of natural gas distribution systems in our service areas may continue to result in the availability of natural gas in some areas that previously depended upon LPG resulting in lower demand for LPG. </w:t>
      </w:r>
    </w:p>
    <w:p w14:paraId="7DDEEE96" w14:textId="77777777" w:rsidR="00000000" w:rsidRDefault="00C1661D">
      <w:pPr>
        <w:ind w:firstLine="270"/>
        <w:jc w:val="both"/>
        <w:rPr>
          <w:rFonts w:eastAsia="Times New Roman"/>
        </w:rPr>
      </w:pPr>
    </w:p>
    <w:p w14:paraId="6C73F8C9" w14:textId="77777777" w:rsidR="00000000" w:rsidRDefault="00C1661D">
      <w:pPr>
        <w:jc w:val="both"/>
        <w:rPr>
          <w:rFonts w:eastAsia="Times New Roman"/>
        </w:rPr>
      </w:pPr>
      <w:r>
        <w:rPr>
          <w:rFonts w:eastAsia="Times New Roman"/>
          <w:color w:val="000000"/>
          <w:sz w:val="20"/>
          <w:szCs w:val="20"/>
        </w:rPr>
        <w:t>Our natural gas businesses in the U.S. compete primarily with electricity and fuel oil, and, to a lesser extent, with LPG and coal. Competition among these fuels is primarily a function of their comparative price and the relative cost and efficiency of fue</w:t>
      </w:r>
      <w:r>
        <w:rPr>
          <w:rFonts w:eastAsia="Times New Roman"/>
          <w:color w:val="000000"/>
          <w:sz w:val="20"/>
          <w:szCs w:val="20"/>
        </w:rPr>
        <w:t>l utilization equipment. There can be no assurance that our natural gas revenues will not be adversely affected by this competition.</w:t>
      </w:r>
    </w:p>
    <w:p w14:paraId="381C2072" w14:textId="77777777" w:rsidR="00000000" w:rsidRDefault="00C1661D">
      <w:pPr>
        <w:jc w:val="both"/>
        <w:rPr>
          <w:rFonts w:eastAsia="Times New Roman"/>
        </w:rPr>
      </w:pPr>
    </w:p>
    <w:p w14:paraId="2A157EC5" w14:textId="77777777" w:rsidR="00000000" w:rsidRDefault="00C1661D">
      <w:pPr>
        <w:jc w:val="both"/>
        <w:rPr>
          <w:rFonts w:eastAsia="Times New Roman"/>
        </w:rPr>
      </w:pPr>
      <w:r>
        <w:rPr>
          <w:rFonts w:eastAsia="Times New Roman"/>
          <w:b/>
          <w:bCs/>
          <w:i/>
          <w:iCs/>
          <w:color w:val="000000"/>
          <w:sz w:val="20"/>
          <w:szCs w:val="20"/>
        </w:rPr>
        <w:t xml:space="preserve">The expansion, construction and development of our energy infrastructure assets subjects us to risks. </w:t>
      </w:r>
      <w:r>
        <w:rPr>
          <w:rFonts w:eastAsia="Times New Roman"/>
          <w:color w:val="000000"/>
          <w:sz w:val="20"/>
          <w:szCs w:val="20"/>
        </w:rPr>
        <w:t>We seek to grow our business through the expansion, construction and development of our energy infrastructure, including new pipelines, gathering systems,</w:t>
      </w:r>
      <w:r>
        <w:rPr>
          <w:rFonts w:eastAsia="Times New Roman"/>
          <w:color w:val="000000"/>
          <w:sz w:val="20"/>
          <w:szCs w:val="20"/>
        </w:rPr>
        <w:t xml:space="preserve"> facilities and other assets. These projects are subject to state and federal regulatory oversight and require certain property rights, such as easements and rights-of-way from public and private owners, as well as regulatory approvals, including environme</w:t>
      </w:r>
      <w:r>
        <w:rPr>
          <w:rFonts w:eastAsia="Times New Roman"/>
          <w:color w:val="000000"/>
          <w:sz w:val="20"/>
          <w:szCs w:val="20"/>
        </w:rPr>
        <w:t>ntal and other permits and licenses. There is no assurance that we or our project partners, as applicable, will be able to obtain the necessary property rights, permits and licenses in a timely and cost-efficient manner, or at all, which may result in a de</w:t>
      </w:r>
      <w:r>
        <w:rPr>
          <w:rFonts w:eastAsia="Times New Roman"/>
          <w:color w:val="000000"/>
          <w:sz w:val="20"/>
          <w:szCs w:val="20"/>
        </w:rPr>
        <w:t xml:space="preserve">lay or failure to complete a project. We may face opposition to the expansion, construction or development of new or existing pipelines, gathering systems, facilities or other assets from environmental groups, landowners, local groups and other advocates. </w:t>
      </w:r>
      <w:r>
        <w:rPr>
          <w:rFonts w:eastAsia="Times New Roman"/>
          <w:color w:val="000000"/>
          <w:sz w:val="20"/>
          <w:szCs w:val="20"/>
        </w:rPr>
        <w:t xml:space="preserve">This opposition could take many forms, including organized protests, attempts to block or sabotage our operations, intervention in regulatory or administrative proceedings involving our assets, or lawsuits or other actions designed to prevent, disrupt, or </w:t>
      </w:r>
      <w:r>
        <w:rPr>
          <w:rFonts w:eastAsia="Times New Roman"/>
          <w:color w:val="000000"/>
          <w:sz w:val="20"/>
          <w:szCs w:val="20"/>
        </w:rPr>
        <w:t>delay the development or operation of our assets and business. Failure to complete any pending or future infrastructure project may have a materially adverse impact on our financial condition and results of operations.</w:t>
      </w:r>
    </w:p>
    <w:p w14:paraId="15AD1EBD" w14:textId="77777777" w:rsidR="00000000" w:rsidRDefault="00C1661D">
      <w:pPr>
        <w:jc w:val="both"/>
        <w:rPr>
          <w:rFonts w:eastAsia="Times New Roman"/>
        </w:rPr>
      </w:pPr>
    </w:p>
    <w:p w14:paraId="2D8103F7" w14:textId="77777777" w:rsidR="00000000" w:rsidRDefault="00C1661D">
      <w:pPr>
        <w:jc w:val="both"/>
        <w:rPr>
          <w:rFonts w:eastAsia="Times New Roman"/>
        </w:rPr>
      </w:pPr>
      <w:r>
        <w:rPr>
          <w:rFonts w:eastAsia="Times New Roman"/>
          <w:color w:val="000000"/>
          <w:sz w:val="20"/>
          <w:szCs w:val="20"/>
        </w:rPr>
        <w:t>Even if we are able to successfully</w:t>
      </w:r>
      <w:r>
        <w:rPr>
          <w:rFonts w:eastAsia="Times New Roman"/>
          <w:color w:val="000000"/>
          <w:sz w:val="20"/>
          <w:szCs w:val="20"/>
        </w:rPr>
        <w:t xml:space="preserve"> complete any pending or future infrastructure project, our revenues may not increase immediately upon the expenditure of funds on a particular project or as anticipated during the lifespan of the project. As a result, there is the risk that new and expand</w:t>
      </w:r>
      <w:r>
        <w:rPr>
          <w:rFonts w:eastAsia="Times New Roman"/>
          <w:color w:val="000000"/>
          <w:sz w:val="20"/>
          <w:szCs w:val="20"/>
        </w:rPr>
        <w:t>ed energy infrastructure may not achieve our expected investment returns, which could have a material adverse effect on our business, financial condition and results of operations.</w:t>
      </w:r>
    </w:p>
    <w:p w14:paraId="4981E343" w14:textId="77777777" w:rsidR="00000000" w:rsidRDefault="00C1661D">
      <w:pPr>
        <w:jc w:val="both"/>
        <w:rPr>
          <w:rFonts w:eastAsia="Times New Roman"/>
        </w:rPr>
      </w:pPr>
    </w:p>
    <w:p w14:paraId="16F85497" w14:textId="77777777" w:rsidR="00000000" w:rsidRDefault="00C1661D">
      <w:pPr>
        <w:jc w:val="both"/>
        <w:rPr>
          <w:rFonts w:eastAsia="Times New Roman"/>
        </w:rPr>
      </w:pPr>
      <w:r>
        <w:rPr>
          <w:rFonts w:eastAsia="Times New Roman"/>
          <w:b/>
          <w:bCs/>
          <w:color w:val="000000"/>
          <w:sz w:val="20"/>
          <w:szCs w:val="20"/>
          <w:u w:val="single"/>
        </w:rPr>
        <w:t>Risks Relating to Our Business Operations, Including Internal and Externa</w:t>
      </w:r>
      <w:r>
        <w:rPr>
          <w:rFonts w:eastAsia="Times New Roman"/>
          <w:b/>
          <w:bCs/>
          <w:color w:val="000000"/>
          <w:sz w:val="20"/>
          <w:szCs w:val="20"/>
          <w:u w:val="single"/>
        </w:rPr>
        <w:t>l Factors that May Impact Our Operational Continuity</w:t>
      </w:r>
    </w:p>
    <w:p w14:paraId="4FD1D0C3" w14:textId="77777777" w:rsidR="00000000" w:rsidRDefault="00C1661D">
      <w:pPr>
        <w:jc w:val="both"/>
        <w:rPr>
          <w:rFonts w:eastAsia="Times New Roman"/>
        </w:rPr>
      </w:pPr>
    </w:p>
    <w:p w14:paraId="3F42B39D" w14:textId="77777777" w:rsidR="00000000" w:rsidRDefault="00C1661D">
      <w:pPr>
        <w:jc w:val="both"/>
        <w:rPr>
          <w:rFonts w:eastAsia="Times New Roman"/>
        </w:rPr>
      </w:pPr>
      <w:r>
        <w:rPr>
          <w:rFonts w:eastAsia="Times New Roman"/>
          <w:b/>
          <w:bCs/>
          <w:i/>
          <w:iCs/>
          <w:color w:val="000000"/>
          <w:sz w:val="20"/>
          <w:szCs w:val="20"/>
        </w:rPr>
        <w:t>Our efforts to create operational benefits and cost efficiencies through business transformation initiatives at our business units and various corporate services functions may be disruptive and adverse</w:t>
      </w:r>
      <w:r>
        <w:rPr>
          <w:rFonts w:eastAsia="Times New Roman"/>
          <w:b/>
          <w:bCs/>
          <w:i/>
          <w:iCs/>
          <w:color w:val="000000"/>
          <w:sz w:val="20"/>
          <w:szCs w:val="20"/>
        </w:rPr>
        <w:t xml:space="preserve">ly affect our business, financial condition and </w:t>
      </w:r>
    </w:p>
    <w:p w14:paraId="7CF161A7" w14:textId="77777777" w:rsidR="00000000" w:rsidRDefault="00C1661D">
      <w:pPr>
        <w:jc w:val="center"/>
        <w:divId w:val="796877370"/>
        <w:rPr>
          <w:rFonts w:eastAsia="Times New Roman"/>
        </w:rPr>
      </w:pPr>
      <w:r>
        <w:rPr>
          <w:rFonts w:eastAsia="Times New Roman"/>
          <w:color w:val="000000"/>
          <w:sz w:val="20"/>
          <w:szCs w:val="20"/>
        </w:rPr>
        <w:t>36</w:t>
      </w:r>
    </w:p>
    <w:p w14:paraId="533C38C8" w14:textId="77777777" w:rsidR="00000000" w:rsidRDefault="00C1661D">
      <w:pPr>
        <w:rPr>
          <w:rFonts w:eastAsia="Times New Roman"/>
        </w:rPr>
      </w:pPr>
      <w:r>
        <w:rPr>
          <w:rFonts w:eastAsia="Times New Roman"/>
        </w:rPr>
        <w:pict w14:anchorId="6BD4D81F">
          <v:rect id="_x0000_i1062" style="width:0;height:1.5pt" o:hralign="center" o:hrstd="t" o:hr="t" fillcolor="#a0a0a0" stroked="f"/>
        </w:pict>
      </w:r>
    </w:p>
    <w:p w14:paraId="485B26E6" w14:textId="77777777" w:rsidR="00000000" w:rsidRDefault="00C1661D">
      <w:pPr>
        <w:divId w:val="1459487843"/>
        <w:rPr>
          <w:rFonts w:eastAsia="Times New Roman"/>
        </w:rPr>
      </w:pPr>
      <w:hyperlink w:anchor="i3850c3c6c0104e42b9951aac2f16098a_7" w:history="1">
        <w:r>
          <w:rPr>
            <w:rStyle w:val="a3"/>
            <w:rFonts w:eastAsia="Times New Roman"/>
            <w:b/>
            <w:bCs/>
            <w:sz w:val="20"/>
            <w:szCs w:val="20"/>
          </w:rPr>
          <w:t>Table of Contents</w:t>
        </w:r>
      </w:hyperlink>
    </w:p>
    <w:p w14:paraId="6BF02204" w14:textId="77777777" w:rsidR="00000000" w:rsidRDefault="00C1661D">
      <w:pPr>
        <w:jc w:val="both"/>
        <w:rPr>
          <w:rFonts w:eastAsia="Times New Roman"/>
        </w:rPr>
      </w:pPr>
      <w:r>
        <w:rPr>
          <w:rFonts w:eastAsia="Times New Roman"/>
          <w:b/>
          <w:bCs/>
          <w:i/>
          <w:iCs/>
          <w:color w:val="000000"/>
          <w:sz w:val="20"/>
          <w:szCs w:val="20"/>
        </w:rPr>
        <w:t>results of operations. </w:t>
      </w:r>
      <w:r>
        <w:rPr>
          <w:rFonts w:eastAsia="Times New Roman"/>
          <w:color w:val="000000"/>
          <w:sz w:val="20"/>
          <w:szCs w:val="20"/>
        </w:rPr>
        <w:t xml:space="preserve">We have made, and may continue to make, adjustments to our workforce </w:t>
      </w:r>
      <w:r>
        <w:rPr>
          <w:rFonts w:eastAsia="Times New Roman"/>
          <w:color w:val="000000"/>
          <w:sz w:val="20"/>
          <w:szCs w:val="20"/>
        </w:rPr>
        <w:t>in response to management changes, product changes, performance issues, changes in strategy, acquisitions or other internal and external considerations. These adjustments may result in increased costs and temporarily reduced productivity, as well as a disr</w:t>
      </w:r>
      <w:r>
        <w:rPr>
          <w:rFonts w:eastAsia="Times New Roman"/>
          <w:color w:val="000000"/>
          <w:sz w:val="20"/>
          <w:szCs w:val="20"/>
        </w:rPr>
        <w:t>uption in our ability to perform functions critical to our strategy, including, but not limited to, disruptions in customer service. Although the effects from such adjustments have not been material to date, the effects of such adjustments may be significa</w:t>
      </w:r>
      <w:r>
        <w:rPr>
          <w:rFonts w:eastAsia="Times New Roman"/>
          <w:color w:val="000000"/>
          <w:sz w:val="20"/>
          <w:szCs w:val="20"/>
        </w:rPr>
        <w:t>nt in connection with any current or future business transformation initiatives, or we may not achieve or sustain the expected growth or cost savings benefits of any such initiatives or do so within the expected timeframe. As a result, our business, financ</w:t>
      </w:r>
      <w:r>
        <w:rPr>
          <w:rFonts w:eastAsia="Times New Roman"/>
          <w:color w:val="000000"/>
          <w:sz w:val="20"/>
          <w:szCs w:val="20"/>
        </w:rPr>
        <w:t>ial condition and results of operations could be negatively affected.</w:t>
      </w:r>
    </w:p>
    <w:p w14:paraId="7655D2D5" w14:textId="77777777" w:rsidR="00000000" w:rsidRDefault="00C1661D">
      <w:pPr>
        <w:jc w:val="both"/>
        <w:rPr>
          <w:rFonts w:eastAsia="Times New Roman"/>
        </w:rPr>
      </w:pPr>
    </w:p>
    <w:p w14:paraId="55863E6C" w14:textId="77777777" w:rsidR="00000000" w:rsidRDefault="00C1661D">
      <w:pPr>
        <w:jc w:val="both"/>
        <w:rPr>
          <w:rFonts w:eastAsia="Times New Roman"/>
        </w:rPr>
      </w:pPr>
      <w:r>
        <w:rPr>
          <w:rFonts w:eastAsia="Times New Roman"/>
          <w:color w:val="000000"/>
          <w:sz w:val="20"/>
          <w:szCs w:val="20"/>
        </w:rPr>
        <w:t xml:space="preserve">Beginning in Fiscal 2020, we initiated a transformation project focused on our corporate support functions, including finance, human resources, procurement and information technology, </w:t>
      </w:r>
      <w:r>
        <w:rPr>
          <w:rFonts w:eastAsia="Times New Roman"/>
          <w:color w:val="000000"/>
          <w:sz w:val="20"/>
          <w:szCs w:val="20"/>
        </w:rPr>
        <w:t>that is designed to standardize processes and activities across our global platform, while leveraging the use of best practices and efficiencies between our businesses. This initiative is being coordinated across multiple support functions, each function b</w:t>
      </w:r>
      <w:r>
        <w:rPr>
          <w:rFonts w:eastAsia="Times New Roman"/>
          <w:color w:val="000000"/>
          <w:sz w:val="20"/>
          <w:szCs w:val="20"/>
        </w:rPr>
        <w:t>eing at a different stage of transformation, and is expected to be completed by the end of Fiscal 2023. If we are unable to deliver the strategic and financial benefits that we anticipate, the achievement of these benefits is delayed, or the volume and nat</w:t>
      </w:r>
      <w:r>
        <w:rPr>
          <w:rFonts w:eastAsia="Times New Roman"/>
          <w:color w:val="000000"/>
          <w:sz w:val="20"/>
          <w:szCs w:val="20"/>
        </w:rPr>
        <w:t>ure of change challenges our available resources, then our business operations and financial results could be materially and adversely impacted. Our ability to successfully manage and execute our initiatives and realize expected savings and benefits in the</w:t>
      </w:r>
      <w:r>
        <w:rPr>
          <w:rFonts w:eastAsia="Times New Roman"/>
          <w:color w:val="000000"/>
          <w:sz w:val="20"/>
          <w:szCs w:val="20"/>
        </w:rPr>
        <w:t xml:space="preserve"> amounts and at the times anticipated is important to our business success. Any failure to do so, which could result from our inability to successfully execute organizational change and business transformation initiatives, unanticipated costs or charges, l</w:t>
      </w:r>
      <w:r>
        <w:rPr>
          <w:rFonts w:eastAsia="Times New Roman"/>
          <w:color w:val="000000"/>
          <w:sz w:val="20"/>
          <w:szCs w:val="20"/>
        </w:rPr>
        <w:t>oss of key personnel, customer loss and other factors described herein, could have a material adverse effect on our business, financial condition and results of operations. For further information on these initiatives, see “Management’s Discussion and Anal</w:t>
      </w:r>
      <w:r>
        <w:rPr>
          <w:rFonts w:eastAsia="Times New Roman"/>
          <w:color w:val="000000"/>
          <w:sz w:val="20"/>
          <w:szCs w:val="20"/>
        </w:rPr>
        <w:t>ysis of Financial Condition and Results of Operations - Executive Overview - Continuing Business Transformation Initiatives.”</w:t>
      </w:r>
    </w:p>
    <w:p w14:paraId="1A15979E" w14:textId="77777777" w:rsidR="00000000" w:rsidRDefault="00C1661D">
      <w:pPr>
        <w:jc w:val="both"/>
        <w:rPr>
          <w:rFonts w:eastAsia="Times New Roman"/>
        </w:rPr>
      </w:pPr>
    </w:p>
    <w:p w14:paraId="49664ED5" w14:textId="77777777" w:rsidR="00000000" w:rsidRDefault="00C1661D">
      <w:pPr>
        <w:jc w:val="both"/>
        <w:rPr>
          <w:rFonts w:eastAsia="Times New Roman"/>
        </w:rPr>
      </w:pPr>
      <w:r>
        <w:rPr>
          <w:rFonts w:eastAsia="Times New Roman"/>
          <w:b/>
          <w:bCs/>
          <w:i/>
          <w:iCs/>
          <w:color w:val="000000"/>
          <w:sz w:val="20"/>
          <w:szCs w:val="20"/>
        </w:rPr>
        <w:t>Our information technology systems and those of our third-party vendors have been the target of cyber-security attacks in the pa</w:t>
      </w:r>
      <w:r>
        <w:rPr>
          <w:rFonts w:eastAsia="Times New Roman"/>
          <w:b/>
          <w:bCs/>
          <w:i/>
          <w:iCs/>
          <w:color w:val="000000"/>
          <w:sz w:val="20"/>
          <w:szCs w:val="20"/>
        </w:rPr>
        <w:t>st. If we are unable to protect our information technology systems against future service interruption, misappropriation of data, or breaches of security resulting from cyber-security attacks or other events, or if we encounter other unforeseen difficultie</w:t>
      </w:r>
      <w:r>
        <w:rPr>
          <w:rFonts w:eastAsia="Times New Roman"/>
          <w:b/>
          <w:bCs/>
          <w:i/>
          <w:iCs/>
          <w:color w:val="000000"/>
          <w:sz w:val="20"/>
          <w:szCs w:val="20"/>
        </w:rPr>
        <w:t>s in the design, implementation or operation of our information technology systems, or if our third-party vendors or service providers experience compromises to their information technology systems, our operations could be disrupted, our business and reput</w:t>
      </w:r>
      <w:r>
        <w:rPr>
          <w:rFonts w:eastAsia="Times New Roman"/>
          <w:b/>
          <w:bCs/>
          <w:i/>
          <w:iCs/>
          <w:color w:val="000000"/>
          <w:sz w:val="20"/>
          <w:szCs w:val="20"/>
        </w:rPr>
        <w:t xml:space="preserve">ation may suffer, and our internal controls could be adversely affected. </w:t>
      </w:r>
      <w:r>
        <w:rPr>
          <w:rFonts w:eastAsia="Times New Roman"/>
          <w:color w:val="000000"/>
          <w:sz w:val="20"/>
          <w:szCs w:val="20"/>
        </w:rPr>
        <w:t>In the ordinary course of business, we rely on information technology systems, including the Internet and third-party hosted services, to support a variety of business processes and a</w:t>
      </w:r>
      <w:r>
        <w:rPr>
          <w:rFonts w:eastAsia="Times New Roman"/>
          <w:color w:val="000000"/>
          <w:sz w:val="20"/>
          <w:szCs w:val="20"/>
        </w:rPr>
        <w:t>ctivities and to store sensitive data, including (i) intellectual property, (ii) our proprietary business information and that of our suppliers and business partners, (iii) personally identifiable information of our customers and employees, and (iv) data w</w:t>
      </w:r>
      <w:r>
        <w:rPr>
          <w:rFonts w:eastAsia="Times New Roman"/>
          <w:color w:val="000000"/>
          <w:sz w:val="20"/>
          <w:szCs w:val="20"/>
        </w:rPr>
        <w:t>ith respect to invoicing and the collection of payments, accounting, procurement, and supply chain activities. In addition, we rely on our information technology systems to process financial information and results of operations for internal reporting purp</w:t>
      </w:r>
      <w:r>
        <w:rPr>
          <w:rFonts w:eastAsia="Times New Roman"/>
          <w:color w:val="000000"/>
          <w:sz w:val="20"/>
          <w:szCs w:val="20"/>
        </w:rPr>
        <w:t xml:space="preserve">oses and to comply with financial reporting, legal, and tax requirements. </w:t>
      </w:r>
    </w:p>
    <w:p w14:paraId="74EB1153" w14:textId="77777777" w:rsidR="00000000" w:rsidRDefault="00C1661D">
      <w:pPr>
        <w:jc w:val="both"/>
        <w:rPr>
          <w:rFonts w:eastAsia="Times New Roman"/>
        </w:rPr>
      </w:pPr>
    </w:p>
    <w:p w14:paraId="79049615" w14:textId="77777777" w:rsidR="00000000" w:rsidRDefault="00C1661D">
      <w:pPr>
        <w:jc w:val="both"/>
        <w:rPr>
          <w:rFonts w:eastAsia="Times New Roman"/>
        </w:rPr>
      </w:pPr>
      <w:r>
        <w:rPr>
          <w:rFonts w:eastAsia="Times New Roman"/>
          <w:color w:val="000000"/>
          <w:sz w:val="20"/>
          <w:szCs w:val="20"/>
          <w:shd w:val="clear" w:color="auto" w:fill="FFFFFF"/>
        </w:rPr>
        <w:t>Cyber-security incidents have recently increased in both frequency and magnitude and have involved malicious software and attempts to gain unauthorized access to data and systems,</w:t>
      </w:r>
      <w:r>
        <w:rPr>
          <w:rFonts w:eastAsia="Times New Roman"/>
          <w:color w:val="000000"/>
          <w:sz w:val="20"/>
          <w:szCs w:val="20"/>
          <w:shd w:val="clear" w:color="auto" w:fill="FFFFFF"/>
        </w:rPr>
        <w:t xml:space="preserve"> including ransomware attacks where a target’s access to its information systems is blocked until a ransom has been paid.</w:t>
      </w:r>
      <w:r>
        <w:rPr>
          <w:rFonts w:eastAsia="Times New Roman"/>
          <w:color w:val="000000"/>
          <w:sz w:val="20"/>
          <w:szCs w:val="20"/>
        </w:rPr>
        <w:t xml:space="preserve"> </w:t>
      </w:r>
      <w:r>
        <w:rPr>
          <w:rFonts w:eastAsia="Times New Roman"/>
          <w:color w:val="000000"/>
          <w:sz w:val="20"/>
          <w:szCs w:val="20"/>
          <w:shd w:val="clear" w:color="auto" w:fill="FFFFFF"/>
        </w:rPr>
        <w:t>The White House and various regulators, including the SEC, have accordingly increased their focus on companies’ cybersecurity vulnerab</w:t>
      </w:r>
      <w:r>
        <w:rPr>
          <w:rFonts w:eastAsia="Times New Roman"/>
          <w:color w:val="000000"/>
          <w:sz w:val="20"/>
          <w:szCs w:val="20"/>
          <w:shd w:val="clear" w:color="auto" w:fill="FFFFFF"/>
        </w:rPr>
        <w:t>ilities and risks.</w:t>
      </w:r>
      <w:r>
        <w:rPr>
          <w:rFonts w:eastAsia="Times New Roman"/>
          <w:color w:val="000000"/>
          <w:sz w:val="20"/>
          <w:szCs w:val="20"/>
        </w:rPr>
        <w:t xml:space="preserve"> </w:t>
      </w:r>
      <w:r>
        <w:rPr>
          <w:rFonts w:eastAsia="Times New Roman"/>
          <w:color w:val="000000"/>
          <w:sz w:val="20"/>
          <w:szCs w:val="20"/>
          <w:shd w:val="clear" w:color="auto" w:fill="FFFFFF"/>
        </w:rPr>
        <w:t xml:space="preserve">Despite our security measures, our technologies, systems, and networks have been and may continue to be the target of cyber-security attacks or information security breaches that could result in the unauthorized release, misuse, loss or </w:t>
      </w:r>
      <w:r>
        <w:rPr>
          <w:rFonts w:eastAsia="Times New Roman"/>
          <w:color w:val="000000"/>
          <w:sz w:val="20"/>
          <w:szCs w:val="20"/>
          <w:shd w:val="clear" w:color="auto" w:fill="FFFFFF"/>
        </w:rPr>
        <w:t>destruction of proprietary and other information, or other disruption of our business operations.</w:t>
      </w:r>
      <w:r>
        <w:rPr>
          <w:rFonts w:eastAsia="Times New Roman"/>
          <w:color w:val="000000"/>
          <w:sz w:val="20"/>
          <w:szCs w:val="20"/>
        </w:rPr>
        <w:t xml:space="preserve"> </w:t>
      </w:r>
      <w:r>
        <w:rPr>
          <w:rFonts w:eastAsia="Times New Roman"/>
          <w:color w:val="000000"/>
          <w:sz w:val="20"/>
          <w:szCs w:val="20"/>
          <w:shd w:val="clear" w:color="auto" w:fill="FFFFFF"/>
        </w:rPr>
        <w:t>Due to increasingly sophisticated threat actors, we may be unable to detect, identify or prevent attacks, and even if detected, we may be unable to adequately</w:t>
      </w:r>
      <w:r>
        <w:rPr>
          <w:rFonts w:eastAsia="Times New Roman"/>
          <w:color w:val="000000"/>
          <w:sz w:val="20"/>
          <w:szCs w:val="20"/>
          <w:shd w:val="clear" w:color="auto" w:fill="FFFFFF"/>
        </w:rPr>
        <w:t xml:space="preserve"> stop, investigate or remediate our systems given the tools and techniques being used by threat actors to circumvent controls and to remove or obfuscate forensic evidence.</w:t>
      </w:r>
      <w:r>
        <w:rPr>
          <w:rFonts w:eastAsia="Times New Roman"/>
          <w:color w:val="000000"/>
          <w:sz w:val="20"/>
          <w:szCs w:val="20"/>
        </w:rPr>
        <w:t xml:space="preserve"> </w:t>
      </w:r>
      <w:r>
        <w:rPr>
          <w:rFonts w:eastAsia="Times New Roman"/>
          <w:color w:val="000000"/>
          <w:sz w:val="20"/>
          <w:szCs w:val="20"/>
          <w:shd w:val="clear" w:color="auto" w:fill="FFFFFF"/>
        </w:rPr>
        <w:t>Attacks and incidents may also occur due to malfeasance by employees or contractors,</w:t>
      </w:r>
      <w:r>
        <w:rPr>
          <w:rFonts w:eastAsia="Times New Roman"/>
          <w:color w:val="000000"/>
          <w:sz w:val="20"/>
          <w:szCs w:val="20"/>
          <w:shd w:val="clear" w:color="auto" w:fill="FFFFFF"/>
        </w:rPr>
        <w:t xml:space="preserve"> as well as human error as in the case of social engineering and phishing campaigns.</w:t>
      </w:r>
      <w:r>
        <w:rPr>
          <w:rFonts w:eastAsia="Times New Roman"/>
          <w:color w:val="000000"/>
          <w:sz w:val="20"/>
          <w:szCs w:val="20"/>
        </w:rPr>
        <w:t xml:space="preserve"> A number of our employees currently work remotely; as a result, our cyber-security program may be less effective and information technology security may be less robust for</w:t>
      </w:r>
      <w:r>
        <w:rPr>
          <w:rFonts w:eastAsia="Times New Roman"/>
          <w:color w:val="000000"/>
          <w:sz w:val="20"/>
          <w:szCs w:val="20"/>
        </w:rPr>
        <w:t xml:space="preserve"> those employees. Similarly, our third-party vendors or service providers have been impacted by cyber-security attacks and incidents and are subject to many, if not all, of the same risks and disruptions as described above. A loss of our information techno</w:t>
      </w:r>
      <w:r>
        <w:rPr>
          <w:rFonts w:eastAsia="Times New Roman"/>
          <w:color w:val="000000"/>
          <w:sz w:val="20"/>
          <w:szCs w:val="20"/>
        </w:rPr>
        <w:t>logy systems, or temporary interruptions in the operation of our information technology systems, or those of our third-party vendors or service providers, or any other misappropriation of data, or breaches of security could lead to investigations and fines</w:t>
      </w:r>
      <w:r>
        <w:rPr>
          <w:rFonts w:eastAsia="Times New Roman"/>
          <w:color w:val="000000"/>
          <w:sz w:val="20"/>
          <w:szCs w:val="20"/>
        </w:rPr>
        <w:t xml:space="preserve"> or penalties, litigation, increased costs for compliance and for remediation or rebuilding of our systems, and could have a material adverse effect on our business, financial condition, results of operations, and reputation. In addition, a cyber-security </w:t>
      </w:r>
      <w:r>
        <w:rPr>
          <w:rFonts w:eastAsia="Times New Roman"/>
          <w:color w:val="000000"/>
          <w:sz w:val="20"/>
          <w:szCs w:val="20"/>
        </w:rPr>
        <w:t>attack could provide a cyber-intruder with the ability to control or alter our pipeline operations. Such an act could result in critical pipeline failures.</w:t>
      </w:r>
    </w:p>
    <w:p w14:paraId="3FFEAA6D" w14:textId="77777777" w:rsidR="00000000" w:rsidRDefault="00C1661D">
      <w:pPr>
        <w:jc w:val="both"/>
        <w:rPr>
          <w:rFonts w:eastAsia="Times New Roman"/>
        </w:rPr>
      </w:pPr>
    </w:p>
    <w:p w14:paraId="27DCE8BF" w14:textId="77777777" w:rsidR="00000000" w:rsidRDefault="00C1661D">
      <w:pPr>
        <w:jc w:val="both"/>
        <w:rPr>
          <w:rFonts w:eastAsia="Times New Roman"/>
        </w:rPr>
      </w:pPr>
      <w:r>
        <w:rPr>
          <w:rFonts w:eastAsia="Times New Roman"/>
          <w:color w:val="000000"/>
          <w:sz w:val="20"/>
          <w:szCs w:val="20"/>
        </w:rPr>
        <w:t xml:space="preserve">The efficient execution of our businesses is dependent upon the proper design, implementation and </w:t>
      </w:r>
      <w:r>
        <w:rPr>
          <w:rFonts w:eastAsia="Times New Roman"/>
          <w:color w:val="000000"/>
          <w:sz w:val="20"/>
          <w:szCs w:val="20"/>
        </w:rPr>
        <w:t>functioning of its current and future internal systems, such as the information technology systems that support our underlying business processes. Any significant failure or malfunction of such information technology systems may result in disruptions of ou</w:t>
      </w:r>
      <w:r>
        <w:rPr>
          <w:rFonts w:eastAsia="Times New Roman"/>
          <w:color w:val="000000"/>
          <w:sz w:val="20"/>
          <w:szCs w:val="20"/>
        </w:rPr>
        <w:t xml:space="preserve">r operations. In </w:t>
      </w:r>
    </w:p>
    <w:p w14:paraId="60D9B65C" w14:textId="77777777" w:rsidR="00000000" w:rsidRDefault="00C1661D">
      <w:pPr>
        <w:jc w:val="center"/>
        <w:divId w:val="1037048642"/>
        <w:rPr>
          <w:rFonts w:eastAsia="Times New Roman"/>
        </w:rPr>
      </w:pPr>
      <w:r>
        <w:rPr>
          <w:rFonts w:eastAsia="Times New Roman"/>
          <w:color w:val="000000"/>
          <w:sz w:val="20"/>
          <w:szCs w:val="20"/>
        </w:rPr>
        <w:t>37</w:t>
      </w:r>
    </w:p>
    <w:p w14:paraId="1B35D27F" w14:textId="77777777" w:rsidR="00000000" w:rsidRDefault="00C1661D">
      <w:pPr>
        <w:rPr>
          <w:rFonts w:eastAsia="Times New Roman"/>
        </w:rPr>
      </w:pPr>
      <w:r>
        <w:rPr>
          <w:rFonts w:eastAsia="Times New Roman"/>
        </w:rPr>
        <w:pict w14:anchorId="5F741EE3">
          <v:rect id="_x0000_i1063" style="width:0;height:1.5pt" o:hralign="center" o:hrstd="t" o:hr="t" fillcolor="#a0a0a0" stroked="f"/>
        </w:pict>
      </w:r>
    </w:p>
    <w:p w14:paraId="7AD91B43" w14:textId="77777777" w:rsidR="00000000" w:rsidRDefault="00C1661D">
      <w:pPr>
        <w:divId w:val="1161501463"/>
        <w:rPr>
          <w:rFonts w:eastAsia="Times New Roman"/>
        </w:rPr>
      </w:pPr>
      <w:hyperlink w:anchor="i3850c3c6c0104e42b9951aac2f16098a_7" w:history="1">
        <w:r>
          <w:rPr>
            <w:rStyle w:val="a3"/>
            <w:rFonts w:eastAsia="Times New Roman"/>
            <w:b/>
            <w:bCs/>
            <w:sz w:val="20"/>
            <w:szCs w:val="20"/>
          </w:rPr>
          <w:t>Table of Contents</w:t>
        </w:r>
      </w:hyperlink>
    </w:p>
    <w:p w14:paraId="75F7E454" w14:textId="77777777" w:rsidR="00000000" w:rsidRDefault="00C1661D">
      <w:pPr>
        <w:jc w:val="both"/>
        <w:rPr>
          <w:rFonts w:eastAsia="Times New Roman"/>
        </w:rPr>
      </w:pPr>
      <w:r>
        <w:rPr>
          <w:rFonts w:eastAsia="Times New Roman"/>
          <w:color w:val="000000"/>
          <w:sz w:val="20"/>
          <w:szCs w:val="20"/>
        </w:rPr>
        <w:t xml:space="preserve">addition, the effectiveness of our internal controls could be adversely affected if we encounter unforeseen problems with respect to the operation of our information technology systems. </w:t>
      </w:r>
    </w:p>
    <w:p w14:paraId="41FF689F" w14:textId="77777777" w:rsidR="00000000" w:rsidRDefault="00C1661D">
      <w:pPr>
        <w:jc w:val="both"/>
        <w:rPr>
          <w:rFonts w:eastAsia="Times New Roman"/>
        </w:rPr>
      </w:pPr>
    </w:p>
    <w:p w14:paraId="7E5D6A35" w14:textId="77777777" w:rsidR="00000000" w:rsidRDefault="00C1661D">
      <w:pPr>
        <w:jc w:val="both"/>
        <w:rPr>
          <w:rFonts w:eastAsia="Times New Roman"/>
        </w:rPr>
      </w:pPr>
      <w:r>
        <w:rPr>
          <w:rFonts w:eastAsia="Times New Roman"/>
          <w:color w:val="000000"/>
          <w:sz w:val="20"/>
          <w:szCs w:val="20"/>
        </w:rPr>
        <w:t>Moreover, as cyber incidents increase in frequency and magnitude, w</w:t>
      </w:r>
      <w:r>
        <w:rPr>
          <w:rFonts w:eastAsia="Times New Roman"/>
          <w:color w:val="000000"/>
          <w:sz w:val="20"/>
          <w:szCs w:val="20"/>
        </w:rPr>
        <w:t>e may be unable to obtain cyber-security insurance in amounts and on terms we view as adequate for our operations, including the agreement to certain indemnification provisions by our insurance providers.</w:t>
      </w:r>
    </w:p>
    <w:p w14:paraId="60C07A46" w14:textId="77777777" w:rsidR="00000000" w:rsidRDefault="00C1661D">
      <w:pPr>
        <w:jc w:val="both"/>
        <w:rPr>
          <w:rFonts w:eastAsia="Times New Roman"/>
        </w:rPr>
      </w:pPr>
    </w:p>
    <w:p w14:paraId="531FB58E" w14:textId="77777777" w:rsidR="00000000" w:rsidRDefault="00C1661D">
      <w:pPr>
        <w:jc w:val="both"/>
        <w:rPr>
          <w:rFonts w:eastAsia="Times New Roman"/>
        </w:rPr>
      </w:pPr>
      <w:r>
        <w:rPr>
          <w:rFonts w:eastAsia="Times New Roman"/>
          <w:b/>
          <w:bCs/>
          <w:i/>
          <w:iCs/>
          <w:color w:val="000000"/>
          <w:sz w:val="20"/>
          <w:szCs w:val="20"/>
        </w:rPr>
        <w:t>Our utility transmission and distribution systems</w:t>
      </w:r>
      <w:r>
        <w:rPr>
          <w:rFonts w:eastAsia="Times New Roman"/>
          <w:b/>
          <w:bCs/>
          <w:i/>
          <w:iCs/>
          <w:color w:val="000000"/>
          <w:sz w:val="20"/>
          <w:szCs w:val="20"/>
        </w:rPr>
        <w:t>, our non-utility midstream assets, and the assets of upstream interstate pipelines and other midstream providers may not operate as planned, which may increase our expenses or decrease our revenues and, thus, have an adverse impact on our financial result</w:t>
      </w:r>
      <w:r>
        <w:rPr>
          <w:rFonts w:eastAsia="Times New Roman"/>
          <w:b/>
          <w:bCs/>
          <w:i/>
          <w:iCs/>
          <w:color w:val="000000"/>
          <w:sz w:val="20"/>
          <w:szCs w:val="20"/>
        </w:rPr>
        <w:t xml:space="preserve">s. </w:t>
      </w:r>
      <w:r>
        <w:rPr>
          <w:rFonts w:eastAsia="Times New Roman"/>
          <w:color w:val="000000"/>
          <w:sz w:val="20"/>
          <w:szCs w:val="20"/>
        </w:rPr>
        <w:t>Our ability to manage operational risk with respect to utility distribution and transmission and non-utility midstream assets, and the availability of natural gas delivered by interstate natural gas pipelines and midstream gathering assets is critical t</w:t>
      </w:r>
      <w:r>
        <w:rPr>
          <w:rFonts w:eastAsia="Times New Roman"/>
          <w:color w:val="000000"/>
          <w:sz w:val="20"/>
          <w:szCs w:val="20"/>
        </w:rPr>
        <w:t>o our financial results.  We obtain our supply from local Marcellus and Utica Shale sources, as well as other trading points in the U.S.  If we experience physical capacity constraints on one or more of the interstate or intrastate natural gas pipelines th</w:t>
      </w:r>
      <w:r>
        <w:rPr>
          <w:rFonts w:eastAsia="Times New Roman"/>
          <w:color w:val="000000"/>
          <w:sz w:val="20"/>
          <w:szCs w:val="20"/>
        </w:rPr>
        <w:t>at supply our businesses, we may not be able to supply our customers, which could have an adverse impact on our financial results.  Our businesses also face several risks, including the breakdown or failure of, or damage to, equipment or processes (especia</w:t>
      </w:r>
      <w:r>
        <w:rPr>
          <w:rFonts w:eastAsia="Times New Roman"/>
          <w:color w:val="000000"/>
          <w:sz w:val="20"/>
          <w:szCs w:val="20"/>
        </w:rPr>
        <w:t>lly due to severe weather or natural disasters), accidents and other factors, including as a result of overpressurization of or damage to natural gas pipelines.  Operation of our transmission and distribution systems or our midstream assets below our expec</w:t>
      </w:r>
      <w:r>
        <w:rPr>
          <w:rFonts w:eastAsia="Times New Roman"/>
          <w:color w:val="000000"/>
          <w:sz w:val="20"/>
          <w:szCs w:val="20"/>
        </w:rPr>
        <w:t>tations may result in lost revenues or increased expenses, including higher maintenance costs, civil litigation and the risk of regulatory penalties.</w:t>
      </w:r>
    </w:p>
    <w:p w14:paraId="0284F888" w14:textId="77777777" w:rsidR="00000000" w:rsidRDefault="00C1661D">
      <w:pPr>
        <w:jc w:val="both"/>
        <w:rPr>
          <w:rFonts w:eastAsia="Times New Roman"/>
        </w:rPr>
      </w:pPr>
    </w:p>
    <w:p w14:paraId="423F3B1E" w14:textId="77777777" w:rsidR="00000000" w:rsidRDefault="00C1661D">
      <w:pPr>
        <w:jc w:val="both"/>
        <w:rPr>
          <w:rFonts w:eastAsia="Times New Roman"/>
        </w:rPr>
      </w:pPr>
      <w:r>
        <w:rPr>
          <w:rFonts w:eastAsia="Times New Roman"/>
          <w:b/>
          <w:bCs/>
          <w:color w:val="000000"/>
          <w:sz w:val="20"/>
          <w:szCs w:val="20"/>
          <w:u w:val="single"/>
        </w:rPr>
        <w:t>Risks Relating to Our International Operations</w:t>
      </w:r>
    </w:p>
    <w:p w14:paraId="0ECBD335" w14:textId="77777777" w:rsidR="00000000" w:rsidRDefault="00C1661D">
      <w:pPr>
        <w:jc w:val="both"/>
        <w:rPr>
          <w:rFonts w:eastAsia="Times New Roman"/>
        </w:rPr>
      </w:pPr>
    </w:p>
    <w:p w14:paraId="3C72528C" w14:textId="77777777" w:rsidR="00000000" w:rsidRDefault="00C1661D">
      <w:pPr>
        <w:jc w:val="both"/>
        <w:rPr>
          <w:rFonts w:eastAsia="Times New Roman"/>
        </w:rPr>
      </w:pPr>
      <w:r>
        <w:rPr>
          <w:rFonts w:eastAsia="Times New Roman"/>
          <w:b/>
          <w:bCs/>
          <w:i/>
          <w:iCs/>
          <w:color w:val="000000"/>
          <w:sz w:val="20"/>
          <w:szCs w:val="20"/>
        </w:rPr>
        <w:t>Our international operations could be subject to increased risks, which may</w:t>
      </w:r>
      <w:r>
        <w:rPr>
          <w:rFonts w:eastAsia="Times New Roman"/>
          <w:color w:val="000000"/>
          <w:sz w:val="20"/>
          <w:szCs w:val="20"/>
        </w:rPr>
        <w:t xml:space="preserve"> </w:t>
      </w:r>
      <w:r>
        <w:rPr>
          <w:rFonts w:eastAsia="Times New Roman"/>
          <w:b/>
          <w:bCs/>
          <w:i/>
          <w:iCs/>
          <w:color w:val="000000"/>
          <w:sz w:val="20"/>
          <w:szCs w:val="20"/>
        </w:rPr>
        <w:t xml:space="preserve">negatively affect our business results. </w:t>
      </w:r>
      <w:r>
        <w:rPr>
          <w:rFonts w:eastAsia="Times New Roman"/>
          <w:color w:val="000000"/>
          <w:sz w:val="20"/>
          <w:szCs w:val="20"/>
        </w:rPr>
        <w:t>We operate LPG distribution and energy marketing businesses in Europe through our subsidiaries. As a result, we face risks in conducting bus</w:t>
      </w:r>
      <w:r>
        <w:rPr>
          <w:rFonts w:eastAsia="Times New Roman"/>
          <w:color w:val="000000"/>
          <w:sz w:val="20"/>
          <w:szCs w:val="20"/>
        </w:rPr>
        <w:t>iness abroad that we do not face domestically. Certain aspects inherent in transacting business internationally could negatively impact our operating results, including:</w:t>
      </w:r>
    </w:p>
    <w:p w14:paraId="08D5AAD7" w14:textId="77777777" w:rsidR="00000000" w:rsidRDefault="00C1661D">
      <w:pPr>
        <w:ind w:hanging="180"/>
        <w:jc w:val="both"/>
        <w:rPr>
          <w:rFonts w:eastAsia="Times New Roman"/>
        </w:rPr>
      </w:pPr>
    </w:p>
    <w:p w14:paraId="0807B5C1" w14:textId="77777777" w:rsidR="00000000" w:rsidRDefault="00C1661D">
      <w:pPr>
        <w:ind w:hanging="180"/>
        <w:jc w:val="both"/>
        <w:rPr>
          <w:rFonts w:eastAsia="Times New Roman"/>
        </w:rPr>
      </w:pPr>
      <w:r>
        <w:rPr>
          <w:rFonts w:eastAsia="Times New Roman"/>
          <w:color w:val="000000"/>
          <w:sz w:val="20"/>
          <w:szCs w:val="20"/>
        </w:rPr>
        <w:t>•costs and difficulties in staffing and managing international operations;</w:t>
      </w:r>
    </w:p>
    <w:p w14:paraId="2AD450B5" w14:textId="77777777" w:rsidR="00000000" w:rsidRDefault="00C1661D">
      <w:pPr>
        <w:ind w:hanging="180"/>
        <w:jc w:val="both"/>
        <w:rPr>
          <w:rFonts w:eastAsia="Times New Roman"/>
        </w:rPr>
      </w:pPr>
      <w:r>
        <w:rPr>
          <w:rFonts w:eastAsia="Times New Roman"/>
          <w:color w:val="000000"/>
          <w:sz w:val="20"/>
          <w:szCs w:val="20"/>
        </w:rPr>
        <w:t>•potentia</w:t>
      </w:r>
      <w:r>
        <w:rPr>
          <w:rFonts w:eastAsia="Times New Roman"/>
          <w:color w:val="000000"/>
          <w:sz w:val="20"/>
          <w:szCs w:val="20"/>
        </w:rPr>
        <w:t>lly adverse tax consequences, including restrictions on repatriating earnings, the threat of “double taxation,” and potential increases to corporate income taxes (including the proposed OECD framework that aims to reform international taxation rules with t</w:t>
      </w:r>
      <w:r>
        <w:rPr>
          <w:rFonts w:eastAsia="Times New Roman"/>
          <w:color w:val="000000"/>
          <w:sz w:val="20"/>
          <w:szCs w:val="20"/>
        </w:rPr>
        <w:t>he goal of ensuring that multinational corporations pay adequate taxes in the jurisdictions in which they operate and other similar proposals);</w:t>
      </w:r>
    </w:p>
    <w:p w14:paraId="2E28EDF2" w14:textId="77777777" w:rsidR="00000000" w:rsidRDefault="00C1661D">
      <w:pPr>
        <w:ind w:hanging="180"/>
        <w:jc w:val="both"/>
        <w:rPr>
          <w:rFonts w:eastAsia="Times New Roman"/>
        </w:rPr>
      </w:pPr>
      <w:r>
        <w:rPr>
          <w:rFonts w:eastAsia="Times New Roman"/>
          <w:color w:val="000000"/>
          <w:sz w:val="20"/>
          <w:szCs w:val="20"/>
        </w:rPr>
        <w:t>•fluctuations in currency exchange rates, particularly the euro, which can affect demand for our products, incre</w:t>
      </w:r>
      <w:r>
        <w:rPr>
          <w:rFonts w:eastAsia="Times New Roman"/>
          <w:color w:val="000000"/>
          <w:sz w:val="20"/>
          <w:szCs w:val="20"/>
        </w:rPr>
        <w:t>ase our costs and adversely affect our profitability and reported results;</w:t>
      </w:r>
    </w:p>
    <w:p w14:paraId="733D2D9C" w14:textId="77777777" w:rsidR="00000000" w:rsidRDefault="00C1661D">
      <w:pPr>
        <w:ind w:hanging="180"/>
        <w:divId w:val="1119421714"/>
        <w:rPr>
          <w:rFonts w:eastAsia="Times New Roman"/>
        </w:rPr>
      </w:pPr>
      <w:r>
        <w:rPr>
          <w:rFonts w:eastAsia="Times New Roman"/>
          <w:color w:val="000000"/>
          <w:sz w:val="20"/>
          <w:szCs w:val="20"/>
        </w:rPr>
        <w:t>•new or revised regulatory requirements, including European competition and carbon emission laws, that may adversely affect the terms of contracts with customers, including with res</w:t>
      </w:r>
      <w:r>
        <w:rPr>
          <w:rFonts w:eastAsia="Times New Roman"/>
          <w:color w:val="000000"/>
          <w:sz w:val="20"/>
          <w:szCs w:val="20"/>
        </w:rPr>
        <w:t>pect to exclusive supply rights and usage restrictions, and stricter regulations applicable to the storage and handling of LPG;</w:t>
      </w:r>
    </w:p>
    <w:p w14:paraId="0D0BAB91" w14:textId="77777777" w:rsidR="00000000" w:rsidRDefault="00C1661D">
      <w:pPr>
        <w:ind w:hanging="180"/>
        <w:jc w:val="both"/>
        <w:rPr>
          <w:rFonts w:eastAsia="Times New Roman"/>
        </w:rPr>
      </w:pPr>
      <w:r>
        <w:rPr>
          <w:rFonts w:eastAsia="Times New Roman"/>
          <w:color w:val="000000"/>
          <w:sz w:val="20"/>
          <w:szCs w:val="20"/>
        </w:rPr>
        <w:t>•new and inconsistently enforced industry regulatory requirements, which can have an adverse effect on our competitive position;</w:t>
      </w:r>
    </w:p>
    <w:p w14:paraId="13C190C0" w14:textId="77777777" w:rsidR="00000000" w:rsidRDefault="00C1661D">
      <w:pPr>
        <w:ind w:hanging="180"/>
        <w:jc w:val="both"/>
        <w:rPr>
          <w:rFonts w:eastAsia="Times New Roman"/>
        </w:rPr>
      </w:pPr>
      <w:r>
        <w:rPr>
          <w:rFonts w:eastAsia="Times New Roman"/>
          <w:color w:val="000000"/>
          <w:sz w:val="20"/>
          <w:szCs w:val="20"/>
        </w:rPr>
        <w:t>•tariffs and other trade barriers;</w:t>
      </w:r>
    </w:p>
    <w:p w14:paraId="03DADCA3" w14:textId="77777777" w:rsidR="00000000" w:rsidRDefault="00C1661D">
      <w:pPr>
        <w:ind w:hanging="180"/>
        <w:jc w:val="both"/>
        <w:rPr>
          <w:rFonts w:eastAsia="Times New Roman"/>
        </w:rPr>
      </w:pPr>
      <w:r>
        <w:rPr>
          <w:rFonts w:eastAsia="Times New Roman"/>
          <w:color w:val="000000"/>
          <w:sz w:val="20"/>
          <w:szCs w:val="20"/>
        </w:rPr>
        <w:t>•difficulties in enforcing contractual rights;</w:t>
      </w:r>
    </w:p>
    <w:p w14:paraId="7E4F063E" w14:textId="77777777" w:rsidR="00000000" w:rsidRDefault="00C1661D">
      <w:pPr>
        <w:ind w:hanging="180"/>
        <w:divId w:val="472986655"/>
        <w:rPr>
          <w:rFonts w:eastAsia="Times New Roman"/>
        </w:rPr>
      </w:pPr>
      <w:r>
        <w:rPr>
          <w:rFonts w:eastAsia="Times New Roman"/>
          <w:color w:val="000000"/>
          <w:sz w:val="20"/>
          <w:szCs w:val="20"/>
        </w:rPr>
        <w:t>•local political and economic conditions as well as geopolitical conditions that could cause instability and adversely impact the global economy or specific markets, such as</w:t>
      </w:r>
      <w:r>
        <w:rPr>
          <w:rFonts w:eastAsia="Times New Roman"/>
          <w:color w:val="000000"/>
          <w:sz w:val="20"/>
          <w:szCs w:val="20"/>
        </w:rPr>
        <w:t xml:space="preserve"> the war between Russia and Ukraine; and</w:t>
      </w:r>
    </w:p>
    <w:p w14:paraId="38AF7F18" w14:textId="77777777" w:rsidR="00000000" w:rsidRDefault="00C1661D">
      <w:pPr>
        <w:ind w:hanging="180"/>
        <w:jc w:val="both"/>
        <w:rPr>
          <w:rFonts w:eastAsia="Times New Roman"/>
        </w:rPr>
      </w:pPr>
      <w:r>
        <w:rPr>
          <w:rFonts w:eastAsia="Times New Roman"/>
          <w:color w:val="000000"/>
          <w:sz w:val="20"/>
          <w:szCs w:val="20"/>
        </w:rPr>
        <w:t>•potential violations of federal regulatory requirements, including anti-bribery, anti-corruption, and anti-money laundering law, economic sanctions, the Foreign Corrupt Practices Act of 1977, as amended, and EU reg</w:t>
      </w:r>
      <w:r>
        <w:rPr>
          <w:rFonts w:eastAsia="Times New Roman"/>
          <w:color w:val="000000"/>
          <w:sz w:val="20"/>
          <w:szCs w:val="20"/>
        </w:rPr>
        <w:t xml:space="preserve">ulatory requirements, including the GDPR and Sapin II. </w:t>
      </w:r>
    </w:p>
    <w:p w14:paraId="3FAB9E40" w14:textId="77777777" w:rsidR="00000000" w:rsidRDefault="00C1661D">
      <w:pPr>
        <w:jc w:val="both"/>
        <w:rPr>
          <w:rFonts w:eastAsia="Times New Roman"/>
        </w:rPr>
      </w:pPr>
    </w:p>
    <w:p w14:paraId="35E2D19F" w14:textId="77777777" w:rsidR="00000000" w:rsidRDefault="00C1661D">
      <w:pPr>
        <w:jc w:val="both"/>
        <w:rPr>
          <w:rFonts w:eastAsia="Times New Roman"/>
        </w:rPr>
      </w:pPr>
      <w:r>
        <w:rPr>
          <w:rFonts w:eastAsia="Times New Roman"/>
          <w:color w:val="000000"/>
          <w:sz w:val="20"/>
          <w:szCs w:val="20"/>
        </w:rPr>
        <w:t>In particular, certain legal and regulatory risks are associated with international business operations. We are subject to various anti-corruption, economic sanctions and trade compliance laws, rule</w:t>
      </w:r>
      <w:r>
        <w:rPr>
          <w:rFonts w:eastAsia="Times New Roman"/>
          <w:color w:val="000000"/>
          <w:sz w:val="20"/>
          <w:szCs w:val="20"/>
        </w:rPr>
        <w:t>s and regulations. For example, the U.S. government imposes restrictions and prohibitions on transactions in certain foreign countries, including restrictions directed at oil and gas activities in Russia. U.S. laws also prohibit the improper offer, payment</w:t>
      </w:r>
      <w:r>
        <w:rPr>
          <w:rFonts w:eastAsia="Times New Roman"/>
          <w:color w:val="000000"/>
          <w:sz w:val="20"/>
          <w:szCs w:val="20"/>
        </w:rPr>
        <w:t xml:space="preserve">, promise to pay, or authorization of the payment of money or anything of value to any foreign official or political party, or to any person, knowing that all or a portion of it will be used to influence a foreign official in his or her official duties or </w:t>
      </w:r>
      <w:r>
        <w:rPr>
          <w:rFonts w:eastAsia="Times New Roman"/>
          <w:color w:val="000000"/>
          <w:sz w:val="20"/>
          <w:szCs w:val="20"/>
        </w:rPr>
        <w:t>to secure an improper advantage. Ensuring compliance with all relevant laws, rules and regulations is a complex task. Violation of one or more of these laws, rules or regulations could lead to loss of import or export privileges, civil or criminal penaltie</w:t>
      </w:r>
      <w:r>
        <w:rPr>
          <w:rFonts w:eastAsia="Times New Roman"/>
          <w:color w:val="000000"/>
          <w:sz w:val="20"/>
          <w:szCs w:val="20"/>
        </w:rPr>
        <w:t xml:space="preserve">s for us or our employees, or potential reputational harm, which could have a material adverse impact on earnings, cash flows and financial condition. </w:t>
      </w:r>
    </w:p>
    <w:p w14:paraId="59908878" w14:textId="77777777" w:rsidR="00000000" w:rsidRDefault="00C1661D">
      <w:pPr>
        <w:jc w:val="both"/>
        <w:rPr>
          <w:rFonts w:eastAsia="Times New Roman"/>
        </w:rPr>
      </w:pPr>
    </w:p>
    <w:p w14:paraId="18D036EB" w14:textId="77777777" w:rsidR="00000000" w:rsidRDefault="00C1661D">
      <w:pPr>
        <w:jc w:val="both"/>
        <w:rPr>
          <w:rFonts w:eastAsia="Times New Roman"/>
        </w:rPr>
      </w:pPr>
      <w:r>
        <w:rPr>
          <w:rFonts w:eastAsia="Times New Roman"/>
          <w:b/>
          <w:bCs/>
          <w:i/>
          <w:iCs/>
          <w:color w:val="000000"/>
          <w:sz w:val="20"/>
          <w:szCs w:val="20"/>
        </w:rPr>
        <w:t xml:space="preserve">The European energy crisis may create LPG commodity supply challenges and could negatively impact our </w:t>
      </w:r>
      <w:r>
        <w:rPr>
          <w:rFonts w:eastAsia="Times New Roman"/>
          <w:b/>
          <w:bCs/>
          <w:i/>
          <w:iCs/>
          <w:color w:val="000000"/>
          <w:sz w:val="20"/>
          <w:szCs w:val="20"/>
        </w:rPr>
        <w:t xml:space="preserve">business results. </w:t>
      </w:r>
      <w:r>
        <w:rPr>
          <w:rFonts w:eastAsia="Times New Roman"/>
          <w:color w:val="000000"/>
          <w:sz w:val="20"/>
          <w:szCs w:val="20"/>
        </w:rPr>
        <w:t xml:space="preserve">The geopolitical situation in Europe during 2022 led to a sharp decrease in natural gas imports from Russia to Europe. This </w:t>
      </w:r>
    </w:p>
    <w:p w14:paraId="06D78840" w14:textId="77777777" w:rsidR="00000000" w:rsidRDefault="00C1661D">
      <w:pPr>
        <w:jc w:val="center"/>
        <w:divId w:val="636230036"/>
        <w:rPr>
          <w:rFonts w:eastAsia="Times New Roman"/>
        </w:rPr>
      </w:pPr>
      <w:r>
        <w:rPr>
          <w:rFonts w:eastAsia="Times New Roman"/>
          <w:color w:val="000000"/>
          <w:sz w:val="20"/>
          <w:szCs w:val="20"/>
        </w:rPr>
        <w:t>38</w:t>
      </w:r>
    </w:p>
    <w:p w14:paraId="1592BF8B" w14:textId="77777777" w:rsidR="00000000" w:rsidRDefault="00C1661D">
      <w:pPr>
        <w:rPr>
          <w:rFonts w:eastAsia="Times New Roman"/>
        </w:rPr>
      </w:pPr>
      <w:r>
        <w:rPr>
          <w:rFonts w:eastAsia="Times New Roman"/>
        </w:rPr>
        <w:pict w14:anchorId="04D1CD99">
          <v:rect id="_x0000_i1064" style="width:0;height:1.5pt" o:hralign="center" o:hrstd="t" o:hr="t" fillcolor="#a0a0a0" stroked="f"/>
        </w:pict>
      </w:r>
    </w:p>
    <w:p w14:paraId="39CAE521" w14:textId="77777777" w:rsidR="00000000" w:rsidRDefault="00C1661D">
      <w:pPr>
        <w:divId w:val="1429541748"/>
        <w:rPr>
          <w:rFonts w:eastAsia="Times New Roman"/>
        </w:rPr>
      </w:pPr>
      <w:hyperlink w:anchor="i3850c3c6c0104e42b9951aac2f16098a_7" w:history="1">
        <w:r>
          <w:rPr>
            <w:rStyle w:val="a3"/>
            <w:rFonts w:eastAsia="Times New Roman"/>
            <w:b/>
            <w:bCs/>
            <w:sz w:val="20"/>
            <w:szCs w:val="20"/>
          </w:rPr>
          <w:t>Table of Content</w:t>
        </w:r>
        <w:r>
          <w:rPr>
            <w:rStyle w:val="a3"/>
            <w:rFonts w:eastAsia="Times New Roman"/>
            <w:b/>
            <w:bCs/>
            <w:sz w:val="20"/>
            <w:szCs w:val="20"/>
          </w:rPr>
          <w:t>s</w:t>
        </w:r>
      </w:hyperlink>
    </w:p>
    <w:p w14:paraId="37C4EE38" w14:textId="77777777" w:rsidR="00000000" w:rsidRDefault="00C1661D">
      <w:pPr>
        <w:jc w:val="both"/>
        <w:rPr>
          <w:rFonts w:eastAsia="Times New Roman"/>
        </w:rPr>
      </w:pPr>
      <w:r>
        <w:rPr>
          <w:rFonts w:eastAsia="Times New Roman"/>
          <w:color w:val="000000"/>
          <w:sz w:val="20"/>
          <w:szCs w:val="20"/>
        </w:rPr>
        <w:t>decrease resulted in a significant increase in natural gas prices in Europe. In response to the significant price increase, refineries are substituting a portion of their natural gas refinery fuels with LPG, leading to a decrease in the availability of L</w:t>
      </w:r>
      <w:r>
        <w:rPr>
          <w:rFonts w:eastAsia="Times New Roman"/>
          <w:color w:val="000000"/>
          <w:sz w:val="20"/>
          <w:szCs w:val="20"/>
        </w:rPr>
        <w:t xml:space="preserve">PG in some areas of Europe as well as higher LPG costs. In addition, gas processing plants supplying the United Kingdom and Norway markets are injecting LPG into the natural gas grid, decreasing the overall supply of LPG from the gas processing plants. In </w:t>
      </w:r>
      <w:r>
        <w:rPr>
          <w:rFonts w:eastAsia="Times New Roman"/>
          <w:color w:val="000000"/>
          <w:sz w:val="20"/>
          <w:szCs w:val="20"/>
        </w:rPr>
        <w:t xml:space="preserve">this context, LPG supply patterns are substantially changing with increased reliance on sea-imports and land logistics. </w:t>
      </w:r>
    </w:p>
    <w:p w14:paraId="18F39BE9" w14:textId="77777777" w:rsidR="00000000" w:rsidRDefault="00C1661D">
      <w:pPr>
        <w:divId w:val="2019307789"/>
        <w:rPr>
          <w:rFonts w:eastAsia="Times New Roman"/>
        </w:rPr>
      </w:pPr>
    </w:p>
    <w:p w14:paraId="54B0EAA6" w14:textId="77777777" w:rsidR="00000000" w:rsidRDefault="00C1661D">
      <w:pPr>
        <w:jc w:val="both"/>
        <w:rPr>
          <w:rFonts w:eastAsia="Times New Roman"/>
        </w:rPr>
      </w:pPr>
      <w:r>
        <w:rPr>
          <w:rFonts w:eastAsia="Times New Roman"/>
          <w:color w:val="000000"/>
          <w:sz w:val="20"/>
          <w:szCs w:val="20"/>
        </w:rPr>
        <w:t>We anticipate that the European</w:t>
      </w:r>
      <w:r>
        <w:rPr>
          <w:rFonts w:eastAsia="Times New Roman"/>
          <w:b/>
          <w:bCs/>
          <w:i/>
          <w:iCs/>
          <w:color w:val="000000"/>
          <w:sz w:val="20"/>
          <w:szCs w:val="20"/>
        </w:rPr>
        <w:t xml:space="preserve"> </w:t>
      </w:r>
      <w:r>
        <w:rPr>
          <w:rFonts w:eastAsia="Times New Roman"/>
          <w:color w:val="000000"/>
          <w:sz w:val="20"/>
          <w:szCs w:val="20"/>
        </w:rPr>
        <w:t>energy crisis and the corresponding response by refineries and gas processing plants will continue in</w:t>
      </w:r>
      <w:r>
        <w:rPr>
          <w:rFonts w:eastAsia="Times New Roman"/>
          <w:color w:val="000000"/>
          <w:sz w:val="20"/>
          <w:szCs w:val="20"/>
        </w:rPr>
        <w:t xml:space="preserve"> Fiscal 2023, which may lead to commodity supply challenges in some markets, higher commodity costs that may not be able to be absorbed by our customers, particularly in the United Kingdom and our Eastern European markets, and lower consumption by our cust</w:t>
      </w:r>
      <w:r>
        <w:rPr>
          <w:rFonts w:eastAsia="Times New Roman"/>
          <w:color w:val="000000"/>
          <w:sz w:val="20"/>
          <w:szCs w:val="20"/>
        </w:rPr>
        <w:t>omers, among other impacts, which could have a material adverse impact on our earnings, cash flows and overall financial condition.</w:t>
      </w:r>
    </w:p>
    <w:p w14:paraId="2226B434" w14:textId="77777777" w:rsidR="00000000" w:rsidRDefault="00C1661D">
      <w:pPr>
        <w:divId w:val="1218084518"/>
        <w:rPr>
          <w:rFonts w:eastAsia="Times New Roman"/>
        </w:rPr>
      </w:pPr>
    </w:p>
    <w:p w14:paraId="41DBF6D2" w14:textId="77777777" w:rsidR="00000000" w:rsidRDefault="00C1661D">
      <w:pPr>
        <w:jc w:val="both"/>
        <w:rPr>
          <w:rFonts w:eastAsia="Times New Roman"/>
        </w:rPr>
      </w:pPr>
      <w:r>
        <w:rPr>
          <w:rFonts w:eastAsia="Times New Roman"/>
          <w:b/>
          <w:bCs/>
          <w:i/>
          <w:iCs/>
          <w:color w:val="000000"/>
          <w:sz w:val="20"/>
          <w:szCs w:val="20"/>
        </w:rPr>
        <w:t>Economic and geopolitical instability, including as a result of acts of war, could have a material adverse effect on our o</w:t>
      </w:r>
      <w:r>
        <w:rPr>
          <w:rFonts w:eastAsia="Times New Roman"/>
          <w:b/>
          <w:bCs/>
          <w:i/>
          <w:iCs/>
          <w:color w:val="000000"/>
          <w:sz w:val="20"/>
          <w:szCs w:val="20"/>
        </w:rPr>
        <w:t xml:space="preserve">perating results, financial condition, and cash flows. </w:t>
      </w:r>
      <w:r>
        <w:rPr>
          <w:rFonts w:eastAsia="Times New Roman"/>
          <w:color w:val="000000"/>
          <w:sz w:val="20"/>
          <w:szCs w:val="20"/>
        </w:rPr>
        <w:t>In late February 2022, Russian military forces launched significant military action against Ukraine, which has continued through the date of this Report. We do not have operations in Russia or Ukraine.</w:t>
      </w:r>
      <w:r>
        <w:rPr>
          <w:rFonts w:eastAsia="Times New Roman"/>
          <w:color w:val="000000"/>
          <w:sz w:val="20"/>
          <w:szCs w:val="20"/>
        </w:rPr>
        <w:t xml:space="preserve"> Nevertheless, the outbreak of war between Russia and Ukraine and the resulting sanctions by U.S. and European governments, together with any additional future sanctions by them, could have a larger impact that expands into other geographies where we do bu</w:t>
      </w:r>
      <w:r>
        <w:rPr>
          <w:rFonts w:eastAsia="Times New Roman"/>
          <w:color w:val="000000"/>
          <w:sz w:val="20"/>
          <w:szCs w:val="20"/>
        </w:rPr>
        <w:t>siness, including our supply chain, business partners and customers in those markets, which could result in lost sales, supply shortages, commodity price fluctuations, increased costs, transportation logistics challenges, customer credit and liquidity issu</w:t>
      </w:r>
      <w:r>
        <w:rPr>
          <w:rFonts w:eastAsia="Times New Roman"/>
          <w:color w:val="000000"/>
          <w:sz w:val="20"/>
          <w:szCs w:val="20"/>
        </w:rPr>
        <w:t>es, and lost efficiencies. The acceleration of a global energy crisis, including as a result of restrictions on Russia’s energy exports, could similarly impact the geographies where we do business. In addition, the U.S. and Europe have commenced certain tr</w:t>
      </w:r>
      <w:r>
        <w:rPr>
          <w:rFonts w:eastAsia="Times New Roman"/>
          <w:color w:val="000000"/>
          <w:sz w:val="20"/>
          <w:szCs w:val="20"/>
        </w:rPr>
        <w:t>ade actions as a result of the war between Russia and Ukraine, which are expected to result in retaliatory measures or actions, including tariffs, by Russia. While significant uncertainty exists with respect to this matter, the war between Russia and Ukrai</w:t>
      </w:r>
      <w:r>
        <w:rPr>
          <w:rFonts w:eastAsia="Times New Roman"/>
          <w:color w:val="000000"/>
          <w:sz w:val="20"/>
          <w:szCs w:val="20"/>
        </w:rPr>
        <w:t xml:space="preserve">ne and its broader impacts, including any increased trade barriers or restrictions on global trade imposed by the U.S. or Europe, or further retaliatory trade measures taken by Russia or other countries in response, could have a material adverse effect on </w:t>
      </w:r>
      <w:r>
        <w:rPr>
          <w:rFonts w:eastAsia="Times New Roman"/>
          <w:color w:val="000000"/>
          <w:sz w:val="20"/>
          <w:szCs w:val="20"/>
        </w:rPr>
        <w:t>our operating results, financial condition and cash flows.</w:t>
      </w:r>
    </w:p>
    <w:p w14:paraId="2E98BE84" w14:textId="77777777" w:rsidR="00000000" w:rsidRDefault="00C1661D">
      <w:pPr>
        <w:divId w:val="1198816593"/>
        <w:rPr>
          <w:rFonts w:eastAsia="Times New Roman"/>
        </w:rPr>
      </w:pPr>
    </w:p>
    <w:p w14:paraId="34D19AD5" w14:textId="77777777" w:rsidR="00000000" w:rsidRDefault="00C1661D">
      <w:pPr>
        <w:jc w:val="both"/>
        <w:rPr>
          <w:rFonts w:eastAsia="Times New Roman"/>
        </w:rPr>
      </w:pPr>
      <w:r>
        <w:rPr>
          <w:rFonts w:eastAsia="Times New Roman"/>
          <w:b/>
          <w:bCs/>
          <w:i/>
          <w:iCs/>
          <w:color w:val="000000"/>
          <w:sz w:val="20"/>
          <w:szCs w:val="20"/>
        </w:rPr>
        <w:t>Our energy marketing business in Europe may continue to be dramatically disrupted by extreme prices and volatility in the natural gas and power markets in Europe, which have resulted in, and may continue to result in, a material negative impact on our fina</w:t>
      </w:r>
      <w:r>
        <w:rPr>
          <w:rFonts w:eastAsia="Times New Roman"/>
          <w:b/>
          <w:bCs/>
          <w:i/>
          <w:iCs/>
          <w:color w:val="000000"/>
          <w:sz w:val="20"/>
          <w:szCs w:val="20"/>
        </w:rPr>
        <w:t xml:space="preserve">ncial results. </w:t>
      </w:r>
      <w:r>
        <w:rPr>
          <w:rFonts w:eastAsia="Times New Roman"/>
          <w:color w:val="000000"/>
          <w:sz w:val="20"/>
          <w:szCs w:val="20"/>
        </w:rPr>
        <w:t>Our natural gas and power marketing businesses have traditionally relied upon stable price and availability conditions. The European energy markets have entered in an unprecedented state of volatility. In addition to the pre-existing natural</w:t>
      </w:r>
      <w:r>
        <w:rPr>
          <w:rFonts w:eastAsia="Times New Roman"/>
          <w:color w:val="000000"/>
          <w:sz w:val="20"/>
          <w:szCs w:val="20"/>
        </w:rPr>
        <w:t xml:space="preserve"> gas supply shortages, the war between Russia and Ukraine and the resulting substantial reduction of natural gas imports from Russia to Europe have led to significant increases in the costs of both wholesale gas and power, and have created new risks that w</w:t>
      </w:r>
      <w:r>
        <w:rPr>
          <w:rFonts w:eastAsia="Times New Roman"/>
          <w:color w:val="000000"/>
          <w:sz w:val="20"/>
          <w:szCs w:val="20"/>
        </w:rPr>
        <w:t>e have experienced and expect to continue to experience in Fiscal 2023 within our European energy marketing business. These risks include: (i) the ability to economically support the traditional fixed price and full requirement contracts of customers due t</w:t>
      </w:r>
      <w:r>
        <w:rPr>
          <w:rFonts w:eastAsia="Times New Roman"/>
          <w:color w:val="000000"/>
          <w:sz w:val="20"/>
          <w:szCs w:val="20"/>
        </w:rPr>
        <w:t>o the significant increased cost to purchase incremental additional volumes consumed in excess of expectations; (ii) the ability to service typical portfolio needs with standard trading activities due to the limitations on purchasing cost effective service</w:t>
      </w:r>
      <w:r>
        <w:rPr>
          <w:rFonts w:eastAsia="Times New Roman"/>
          <w:color w:val="000000"/>
          <w:sz w:val="20"/>
          <w:szCs w:val="20"/>
        </w:rPr>
        <w:t>s in the market; (iii) the ability to pass increased costs onto customers due, among other things, to timing, regulatory and contractual constraints, and (iv) the ability to maintain hedging services to customers due to the margining constraints and maximu</w:t>
      </w:r>
      <w:r>
        <w:rPr>
          <w:rFonts w:eastAsia="Times New Roman"/>
          <w:color w:val="000000"/>
          <w:sz w:val="20"/>
          <w:szCs w:val="20"/>
        </w:rPr>
        <w:t>m trading limits implemented by clearing banks on supplier counterparties. As a result, UGI is considering all scenarios with respect to the future of its energy marketing business in Europe, including exit and wind down. On October 25, 2022, UGI announced</w:t>
      </w:r>
      <w:r>
        <w:rPr>
          <w:rFonts w:eastAsia="Times New Roman"/>
          <w:color w:val="000000"/>
          <w:sz w:val="20"/>
          <w:szCs w:val="20"/>
        </w:rPr>
        <w:t xml:space="preserve"> the sale of its energy marketing business in the United Kingdom and in November 2022, UGI announced its intent to sell its energy marketing business located in France. The risks identified with respect to our energy marketing business in Europe have resul</w:t>
      </w:r>
      <w:r>
        <w:rPr>
          <w:rFonts w:eastAsia="Times New Roman"/>
          <w:color w:val="000000"/>
          <w:sz w:val="20"/>
          <w:szCs w:val="20"/>
        </w:rPr>
        <w:t>ted in and may continue to have a material negative impact on our financial results.</w:t>
      </w:r>
    </w:p>
    <w:p w14:paraId="682D9ECA" w14:textId="77777777" w:rsidR="00000000" w:rsidRDefault="00C1661D">
      <w:pPr>
        <w:jc w:val="both"/>
        <w:rPr>
          <w:rFonts w:eastAsia="Times New Roman"/>
        </w:rPr>
      </w:pPr>
    </w:p>
    <w:p w14:paraId="39319B2D" w14:textId="77777777" w:rsidR="00000000" w:rsidRDefault="00C1661D">
      <w:pPr>
        <w:jc w:val="both"/>
        <w:rPr>
          <w:rFonts w:eastAsia="Times New Roman"/>
        </w:rPr>
      </w:pPr>
      <w:r>
        <w:rPr>
          <w:rFonts w:eastAsia="Times New Roman"/>
          <w:b/>
          <w:bCs/>
          <w:color w:val="000000"/>
          <w:sz w:val="20"/>
          <w:szCs w:val="20"/>
          <w:u w:val="single"/>
        </w:rPr>
        <w:t>Risks Relating to Our Supply Chain and Our Ability to Obtain Adequate Quantities of LPG</w:t>
      </w:r>
    </w:p>
    <w:p w14:paraId="3F1AE77D" w14:textId="77777777" w:rsidR="00000000" w:rsidRDefault="00C1661D">
      <w:pPr>
        <w:jc w:val="both"/>
        <w:rPr>
          <w:rFonts w:eastAsia="Times New Roman"/>
        </w:rPr>
      </w:pPr>
    </w:p>
    <w:p w14:paraId="062F6D99" w14:textId="77777777" w:rsidR="00000000" w:rsidRDefault="00C1661D">
      <w:pPr>
        <w:jc w:val="both"/>
        <w:rPr>
          <w:rFonts w:eastAsia="Times New Roman"/>
        </w:rPr>
      </w:pPr>
      <w:r>
        <w:rPr>
          <w:rFonts w:eastAsia="Times New Roman"/>
          <w:b/>
          <w:bCs/>
          <w:i/>
          <w:iCs/>
          <w:color w:val="000000"/>
          <w:sz w:val="20"/>
          <w:szCs w:val="20"/>
        </w:rPr>
        <w:t>We are dependent on our principal LPG suppliers, which increases the</w:t>
      </w:r>
      <w:r>
        <w:rPr>
          <w:rFonts w:eastAsia="Times New Roman"/>
          <w:color w:val="000000"/>
          <w:sz w:val="20"/>
          <w:szCs w:val="20"/>
        </w:rPr>
        <w:t xml:space="preserve"> </w:t>
      </w:r>
      <w:r>
        <w:rPr>
          <w:rFonts w:eastAsia="Times New Roman"/>
          <w:b/>
          <w:bCs/>
          <w:i/>
          <w:iCs/>
          <w:color w:val="000000"/>
          <w:sz w:val="20"/>
          <w:szCs w:val="20"/>
        </w:rPr>
        <w:t>risks from</w:t>
      </w:r>
      <w:r>
        <w:rPr>
          <w:rFonts w:eastAsia="Times New Roman"/>
          <w:b/>
          <w:bCs/>
          <w:i/>
          <w:iCs/>
          <w:color w:val="000000"/>
          <w:sz w:val="20"/>
          <w:szCs w:val="20"/>
        </w:rPr>
        <w:t xml:space="preserve"> an interruption in supply and transportation. </w:t>
      </w:r>
      <w:r>
        <w:rPr>
          <w:rFonts w:eastAsia="Times New Roman"/>
          <w:color w:val="000000"/>
          <w:sz w:val="20"/>
          <w:szCs w:val="20"/>
        </w:rPr>
        <w:t>During Fiscal 2022, AmeriGas Propane purchased approximately 85% of its propane needs from 20 suppliers. If supplies from these sources were interrupted, the cost of procuring replacement supplies and transpor</w:t>
      </w:r>
      <w:r>
        <w:rPr>
          <w:rFonts w:eastAsia="Times New Roman"/>
          <w:color w:val="000000"/>
          <w:sz w:val="20"/>
          <w:szCs w:val="20"/>
        </w:rPr>
        <w:t>ting those supplies from alternative locations might be materially higher and, at least on a short-term basis, our earnings could be affected. Additionally, in certain geographic areas, a single supplier provides more than 50% of AmeriGas Propane’s propane</w:t>
      </w:r>
      <w:r>
        <w:rPr>
          <w:rFonts w:eastAsia="Times New Roman"/>
          <w:color w:val="000000"/>
          <w:sz w:val="20"/>
          <w:szCs w:val="20"/>
        </w:rPr>
        <w:t xml:space="preserve"> requirements. Disruptions in supply in these geographic areas could also have an adverse impact on our earnings. Our international businesses are similarly dependent upon their LPG suppliers. For example, during Fiscal 2022, UGI International’s business i</w:t>
      </w:r>
      <w:r>
        <w:rPr>
          <w:rFonts w:eastAsia="Times New Roman"/>
          <w:color w:val="000000"/>
          <w:sz w:val="20"/>
          <w:szCs w:val="20"/>
        </w:rPr>
        <w:t>n the United Kingdom purchased approximately 90% of its LPG needs from two suppliers and, in Italy, approximately 74% of its supply was sourced from two suppliers. If supplies from UGI International’s principal LPG sources are interrupted, the cost of proc</w:t>
      </w:r>
      <w:r>
        <w:rPr>
          <w:rFonts w:eastAsia="Times New Roman"/>
          <w:color w:val="000000"/>
          <w:sz w:val="20"/>
          <w:szCs w:val="20"/>
        </w:rPr>
        <w:t>uring replacement supplies and transporting those supplies from alternative locations might be materially higher and our earnings could be adversely affected. There is no assurance that our international businesses will be able to continue to acquire suffi</w:t>
      </w:r>
      <w:r>
        <w:rPr>
          <w:rFonts w:eastAsia="Times New Roman"/>
          <w:color w:val="000000"/>
          <w:sz w:val="20"/>
          <w:szCs w:val="20"/>
        </w:rPr>
        <w:t xml:space="preserve">cient supplies of LPG to meet demand at prices or within time periods that would allow them to remain competitive. </w:t>
      </w:r>
    </w:p>
    <w:p w14:paraId="648C291F" w14:textId="77777777" w:rsidR="00000000" w:rsidRDefault="00C1661D">
      <w:pPr>
        <w:jc w:val="center"/>
        <w:divId w:val="1109085221"/>
        <w:rPr>
          <w:rFonts w:eastAsia="Times New Roman"/>
        </w:rPr>
      </w:pPr>
      <w:r>
        <w:rPr>
          <w:rFonts w:eastAsia="Times New Roman"/>
          <w:color w:val="000000"/>
          <w:sz w:val="20"/>
          <w:szCs w:val="20"/>
        </w:rPr>
        <w:t>39</w:t>
      </w:r>
    </w:p>
    <w:p w14:paraId="70128059" w14:textId="77777777" w:rsidR="00000000" w:rsidRDefault="00C1661D">
      <w:pPr>
        <w:rPr>
          <w:rFonts w:eastAsia="Times New Roman"/>
        </w:rPr>
      </w:pPr>
      <w:r>
        <w:rPr>
          <w:rFonts w:eastAsia="Times New Roman"/>
        </w:rPr>
        <w:pict w14:anchorId="7FC925F8">
          <v:rect id="_x0000_i1065" style="width:0;height:1.5pt" o:hralign="center" o:hrstd="t" o:hr="t" fillcolor="#a0a0a0" stroked="f"/>
        </w:pict>
      </w:r>
    </w:p>
    <w:p w14:paraId="10D2BA5D" w14:textId="77777777" w:rsidR="00000000" w:rsidRDefault="00C1661D">
      <w:pPr>
        <w:divId w:val="1563590499"/>
        <w:rPr>
          <w:rFonts w:eastAsia="Times New Roman"/>
        </w:rPr>
      </w:pPr>
      <w:hyperlink w:anchor="i3850c3c6c0104e42b9951aac2f16098a_7" w:history="1">
        <w:r>
          <w:rPr>
            <w:rStyle w:val="a3"/>
            <w:rFonts w:eastAsia="Times New Roman"/>
            <w:b/>
            <w:bCs/>
            <w:sz w:val="20"/>
            <w:szCs w:val="20"/>
          </w:rPr>
          <w:t>Table of Contents</w:t>
        </w:r>
      </w:hyperlink>
    </w:p>
    <w:p w14:paraId="7F444824" w14:textId="77777777" w:rsidR="00000000" w:rsidRDefault="00C1661D">
      <w:pPr>
        <w:jc w:val="both"/>
        <w:rPr>
          <w:rFonts w:eastAsia="Times New Roman"/>
        </w:rPr>
      </w:pPr>
    </w:p>
    <w:p w14:paraId="79907C6B" w14:textId="77777777" w:rsidR="00000000" w:rsidRDefault="00C1661D">
      <w:pPr>
        <w:jc w:val="both"/>
        <w:rPr>
          <w:rFonts w:eastAsia="Times New Roman"/>
        </w:rPr>
      </w:pPr>
      <w:r>
        <w:rPr>
          <w:rFonts w:eastAsia="Times New Roman"/>
          <w:b/>
          <w:bCs/>
          <w:i/>
          <w:iCs/>
          <w:color w:val="000000"/>
          <w:sz w:val="20"/>
          <w:szCs w:val="20"/>
        </w:rPr>
        <w:t xml:space="preserve">Our ability to obtain </w:t>
      </w:r>
      <w:r>
        <w:rPr>
          <w:rFonts w:eastAsia="Times New Roman"/>
          <w:b/>
          <w:bCs/>
          <w:i/>
          <w:iCs/>
          <w:color w:val="000000"/>
          <w:sz w:val="20"/>
          <w:szCs w:val="20"/>
        </w:rPr>
        <w:t xml:space="preserve">sufficient quantities of LPG is dependent on transportation facilities and providers. </w:t>
      </w:r>
      <w:r>
        <w:rPr>
          <w:rFonts w:eastAsia="Times New Roman"/>
          <w:color w:val="000000"/>
          <w:sz w:val="20"/>
          <w:szCs w:val="20"/>
        </w:rPr>
        <w:t>Spikes in demand caused by weather or other factors can limit our access to port terminals and other transportation and storage facilities, disrupt transportation and lim</w:t>
      </w:r>
      <w:r>
        <w:rPr>
          <w:rFonts w:eastAsia="Times New Roman"/>
          <w:color w:val="000000"/>
          <w:sz w:val="20"/>
          <w:szCs w:val="20"/>
        </w:rPr>
        <w:t>it our ability to obtain sufficient quantities of LPG. A significant increase in port and similar fees and fuel prices may also adversely affect our transportation costs and business. Transportation providers (rail and truck) in some circumstances have lim</w:t>
      </w:r>
      <w:r>
        <w:rPr>
          <w:rFonts w:eastAsia="Times New Roman"/>
          <w:color w:val="000000"/>
          <w:sz w:val="20"/>
          <w:szCs w:val="20"/>
        </w:rPr>
        <w:t>ited ability to provide additional resources in times of peak demand. Moreover, the ability of our transportation providers to maintain a staff of qualified truck drivers is critical to the success of our business. Regulatory requirements and an improvemen</w:t>
      </w:r>
      <w:r>
        <w:rPr>
          <w:rFonts w:eastAsia="Times New Roman"/>
          <w:color w:val="000000"/>
          <w:sz w:val="20"/>
          <w:szCs w:val="20"/>
        </w:rPr>
        <w:t>t in the economy could reduce the number of eligible drivers or require us to pay higher transportation fees as our transportation providers seek to pass on additional labor costs associated with attracting and retaining drivers.</w:t>
      </w:r>
    </w:p>
    <w:p w14:paraId="37021214" w14:textId="77777777" w:rsidR="00000000" w:rsidRDefault="00C1661D">
      <w:pPr>
        <w:jc w:val="both"/>
        <w:rPr>
          <w:rFonts w:eastAsia="Times New Roman"/>
        </w:rPr>
      </w:pPr>
    </w:p>
    <w:p w14:paraId="657C50D2" w14:textId="77777777" w:rsidR="00000000" w:rsidRDefault="00C1661D">
      <w:pPr>
        <w:jc w:val="both"/>
        <w:rPr>
          <w:rFonts w:eastAsia="Times New Roman"/>
        </w:rPr>
      </w:pPr>
      <w:r>
        <w:rPr>
          <w:rFonts w:eastAsia="Times New Roman"/>
          <w:b/>
          <w:bCs/>
          <w:i/>
          <w:iCs/>
          <w:color w:val="000000"/>
          <w:sz w:val="20"/>
          <w:szCs w:val="20"/>
        </w:rPr>
        <w:t>Our profitability is sub</w:t>
      </w:r>
      <w:r>
        <w:rPr>
          <w:rFonts w:eastAsia="Times New Roman"/>
          <w:b/>
          <w:bCs/>
          <w:i/>
          <w:iCs/>
          <w:color w:val="000000"/>
          <w:sz w:val="20"/>
          <w:szCs w:val="20"/>
        </w:rPr>
        <w:t>ject to LPG pricing and inventory risk.</w:t>
      </w:r>
      <w:r>
        <w:rPr>
          <w:rFonts w:eastAsia="Times New Roman"/>
          <w:color w:val="000000"/>
          <w:sz w:val="20"/>
          <w:szCs w:val="20"/>
        </w:rPr>
        <w:t xml:space="preserve"> The retail LPG business is a “margin-based” business in which gross profits are dependent upon the excess of the sales price over LPG supply costs. LPG is a commodity, and, as such, its unit price is subject to fluct</w:t>
      </w:r>
      <w:r>
        <w:rPr>
          <w:rFonts w:eastAsia="Times New Roman"/>
          <w:color w:val="000000"/>
          <w:sz w:val="20"/>
          <w:szCs w:val="20"/>
        </w:rPr>
        <w:t>uations in response to changes in supply or other market conditions. We have no control over supplies, commodity prices or market conditions. Consequently, the unit price of the LPG that our subsidiaries and other distributors and marketers purchase can ch</w:t>
      </w:r>
      <w:r>
        <w:rPr>
          <w:rFonts w:eastAsia="Times New Roman"/>
          <w:color w:val="000000"/>
          <w:sz w:val="20"/>
          <w:szCs w:val="20"/>
        </w:rPr>
        <w:t>ange rapidly over a short period of time. Most of our domestic LPG product supply contracts permit suppliers to charge posted prices at the time of delivery or the current prices established at major U.S. storage points such as Mont Belvieu, Texas or Conwa</w:t>
      </w:r>
      <w:r>
        <w:rPr>
          <w:rFonts w:eastAsia="Times New Roman"/>
          <w:color w:val="000000"/>
          <w:sz w:val="20"/>
          <w:szCs w:val="20"/>
        </w:rPr>
        <w:t>y, Kansas. Most of our international LPG supply contracts are based on internationally quoted market prices. We also purchase a portion of our supplies in the spot market. Because our subsidiaries’ profitability is sensitive to changes in wholesale LPG sup</w:t>
      </w:r>
      <w:r>
        <w:rPr>
          <w:rFonts w:eastAsia="Times New Roman"/>
          <w:color w:val="000000"/>
          <w:sz w:val="20"/>
          <w:szCs w:val="20"/>
        </w:rPr>
        <w:t>ply costs, we will be adversely affected if we cannot pass on increases in the cost of LPG to our customers, or if there is a delay in passing on such cost increases. Due to competitive pricing in the industry, our subsidiaries may not fully be able to pas</w:t>
      </w:r>
      <w:r>
        <w:rPr>
          <w:rFonts w:eastAsia="Times New Roman"/>
          <w:color w:val="000000"/>
          <w:sz w:val="20"/>
          <w:szCs w:val="20"/>
        </w:rPr>
        <w:t>s on product cost increases to our customers when product costs rise, or when our competitors do not raise their product prices in a timely manner. Finally, market volatility may cause our subsidiaries to sell LPG at less than the price at which they purch</w:t>
      </w:r>
      <w:r>
        <w:rPr>
          <w:rFonts w:eastAsia="Times New Roman"/>
          <w:color w:val="000000"/>
          <w:sz w:val="20"/>
          <w:szCs w:val="20"/>
        </w:rPr>
        <w:t>ased it, which would adversely affect our operating results.</w:t>
      </w:r>
    </w:p>
    <w:p w14:paraId="6D357409" w14:textId="77777777" w:rsidR="00000000" w:rsidRDefault="00C1661D">
      <w:pPr>
        <w:jc w:val="both"/>
        <w:rPr>
          <w:rFonts w:eastAsia="Times New Roman"/>
        </w:rPr>
      </w:pPr>
    </w:p>
    <w:p w14:paraId="36B15EC1" w14:textId="77777777" w:rsidR="00000000" w:rsidRDefault="00C1661D">
      <w:pPr>
        <w:jc w:val="both"/>
        <w:rPr>
          <w:rFonts w:eastAsia="Times New Roman"/>
        </w:rPr>
      </w:pPr>
      <w:r>
        <w:rPr>
          <w:rFonts w:eastAsia="Times New Roman"/>
          <w:color w:val="000000"/>
          <w:sz w:val="20"/>
          <w:szCs w:val="20"/>
        </w:rPr>
        <w:t>We offer our customers various fixed-price LPG programs, and a significant number of our customers utilize our fixed-price programs. In order to manage the price risk from offering these servic</w:t>
      </w:r>
      <w:r>
        <w:rPr>
          <w:rFonts w:eastAsia="Times New Roman"/>
          <w:color w:val="000000"/>
          <w:sz w:val="20"/>
          <w:szCs w:val="20"/>
        </w:rPr>
        <w:t xml:space="preserve">es, we utilize our physical inventory position, supplemented by forward commodity transactions with various third parties having terms and volumes substantially the same as our customers’ contracts, but there can be no assurance that such measures will be </w:t>
      </w:r>
      <w:r>
        <w:rPr>
          <w:rFonts w:eastAsia="Times New Roman"/>
          <w:color w:val="000000"/>
          <w:sz w:val="20"/>
          <w:szCs w:val="20"/>
        </w:rPr>
        <w:t>effective. In periods of high LPG price volatility, the fixed-price programs create exposure to over or under-supply positions as the demand from customers may significantly exceed or fall short of supply procured. In addition, if LPG prices decline signif</w:t>
      </w:r>
      <w:r>
        <w:rPr>
          <w:rFonts w:eastAsia="Times New Roman"/>
          <w:color w:val="000000"/>
          <w:sz w:val="20"/>
          <w:szCs w:val="20"/>
        </w:rPr>
        <w:t xml:space="preserve">icantly subsequent to customers signing up for a fixed-price program, there is a risk that customers will default on their commitments, adversely affecting our results of operations. </w:t>
      </w:r>
    </w:p>
    <w:p w14:paraId="4D8CD1BA" w14:textId="77777777" w:rsidR="00000000" w:rsidRDefault="00C1661D">
      <w:pPr>
        <w:jc w:val="both"/>
        <w:rPr>
          <w:rFonts w:eastAsia="Times New Roman"/>
        </w:rPr>
      </w:pPr>
    </w:p>
    <w:p w14:paraId="2E56AE94" w14:textId="77777777" w:rsidR="00000000" w:rsidRDefault="00C1661D">
      <w:pPr>
        <w:jc w:val="both"/>
        <w:rPr>
          <w:rFonts w:eastAsia="Times New Roman"/>
        </w:rPr>
      </w:pPr>
      <w:r>
        <w:rPr>
          <w:rFonts w:eastAsia="Times New Roman"/>
          <w:b/>
          <w:bCs/>
          <w:i/>
          <w:iCs/>
          <w:color w:val="000000"/>
          <w:sz w:val="20"/>
          <w:szCs w:val="20"/>
        </w:rPr>
        <w:t>Changes in commodity market prices may have a significant negative eff</w:t>
      </w:r>
      <w:r>
        <w:rPr>
          <w:rFonts w:eastAsia="Times New Roman"/>
          <w:b/>
          <w:bCs/>
          <w:i/>
          <w:iCs/>
          <w:color w:val="000000"/>
          <w:sz w:val="20"/>
          <w:szCs w:val="20"/>
        </w:rPr>
        <w:t>ect on our</w:t>
      </w:r>
      <w:r>
        <w:rPr>
          <w:rFonts w:eastAsia="Times New Roman"/>
          <w:color w:val="000000"/>
          <w:sz w:val="20"/>
          <w:szCs w:val="20"/>
        </w:rPr>
        <w:t xml:space="preserve"> </w:t>
      </w:r>
      <w:r>
        <w:rPr>
          <w:rFonts w:eastAsia="Times New Roman"/>
          <w:b/>
          <w:bCs/>
          <w:i/>
          <w:iCs/>
          <w:color w:val="000000"/>
          <w:sz w:val="20"/>
          <w:szCs w:val="20"/>
        </w:rPr>
        <w:t xml:space="preserve">liquidity. </w:t>
      </w:r>
      <w:r>
        <w:rPr>
          <w:rFonts w:eastAsia="Times New Roman"/>
          <w:color w:val="000000"/>
          <w:sz w:val="20"/>
          <w:szCs w:val="20"/>
        </w:rPr>
        <w:t>Depending on the terms of our contracts with suppliers as well as our use of financial instruments to reduce volatility in the cost of LPG and natural gas, changes in the market price of LPG and natural gas can create margin payment o</w:t>
      </w:r>
      <w:r>
        <w:rPr>
          <w:rFonts w:eastAsia="Times New Roman"/>
          <w:color w:val="000000"/>
          <w:sz w:val="20"/>
          <w:szCs w:val="20"/>
        </w:rPr>
        <w:t>bligations for us and expose us to increased liquidity risk. In addition, increased demand for domestically produced LPG and natural gas overseas may, depending on production volumes in the U.S., result in higher domestic prices and expose us to additional</w:t>
      </w:r>
      <w:r>
        <w:rPr>
          <w:rFonts w:eastAsia="Times New Roman"/>
          <w:color w:val="000000"/>
          <w:sz w:val="20"/>
          <w:szCs w:val="20"/>
        </w:rPr>
        <w:t xml:space="preserve"> liquidity risks.</w:t>
      </w:r>
    </w:p>
    <w:p w14:paraId="4E742DB8" w14:textId="77777777" w:rsidR="00000000" w:rsidRDefault="00C1661D">
      <w:pPr>
        <w:jc w:val="both"/>
        <w:rPr>
          <w:rFonts w:eastAsia="Times New Roman"/>
        </w:rPr>
      </w:pPr>
    </w:p>
    <w:p w14:paraId="5A0AD065" w14:textId="77777777" w:rsidR="00000000" w:rsidRDefault="00C1661D">
      <w:pPr>
        <w:jc w:val="both"/>
        <w:rPr>
          <w:rFonts w:eastAsia="Times New Roman"/>
        </w:rPr>
      </w:pPr>
      <w:r>
        <w:rPr>
          <w:rFonts w:eastAsia="Times New Roman"/>
          <w:b/>
          <w:bCs/>
          <w:i/>
          <w:iCs/>
          <w:color w:val="000000"/>
          <w:sz w:val="20"/>
          <w:szCs w:val="20"/>
        </w:rPr>
        <w:t>Supplier and derivative counterparty defaults may have a negative effect on our operating results.</w:t>
      </w:r>
      <w:r>
        <w:rPr>
          <w:rFonts w:eastAsia="Times New Roman"/>
          <w:color w:val="000000"/>
          <w:sz w:val="20"/>
          <w:szCs w:val="20"/>
        </w:rPr>
        <w:t xml:space="preserve"> When we enter into fixed-price sales contracts with customers, we typically enter into fixed-price purchase contracts with suppliers. Dep</w:t>
      </w:r>
      <w:r>
        <w:rPr>
          <w:rFonts w:eastAsia="Times New Roman"/>
          <w:color w:val="000000"/>
          <w:sz w:val="20"/>
          <w:szCs w:val="20"/>
        </w:rPr>
        <w:t>ending on changes in the market prices of products compared to the prices secured in our contracts with suppliers of LPG, natural gas and electricity, a default of or force majeure by one or more of our suppliers under such contracts could cause us to purc</w:t>
      </w:r>
      <w:r>
        <w:rPr>
          <w:rFonts w:eastAsia="Times New Roman"/>
          <w:color w:val="000000"/>
          <w:sz w:val="20"/>
          <w:szCs w:val="20"/>
        </w:rPr>
        <w:t>hase those commodities at higher prices from alternate suppliers, which would have a negative impact on our operating results.</w:t>
      </w:r>
    </w:p>
    <w:p w14:paraId="6BE9A9C0" w14:textId="77777777" w:rsidR="00000000" w:rsidRDefault="00C1661D">
      <w:pPr>
        <w:jc w:val="both"/>
        <w:rPr>
          <w:rFonts w:eastAsia="Times New Roman"/>
        </w:rPr>
      </w:pPr>
    </w:p>
    <w:p w14:paraId="7E221CA3" w14:textId="77777777" w:rsidR="00000000" w:rsidRDefault="00C1661D">
      <w:pPr>
        <w:jc w:val="both"/>
        <w:rPr>
          <w:rFonts w:eastAsia="Times New Roman"/>
        </w:rPr>
      </w:pPr>
      <w:r>
        <w:rPr>
          <w:rFonts w:eastAsia="Times New Roman"/>
          <w:color w:val="000000"/>
          <w:sz w:val="20"/>
          <w:szCs w:val="20"/>
        </w:rPr>
        <w:t>Additionally, we economically hedge the market risk associated with a substantial portion of our supply purchases using certain</w:t>
      </w:r>
      <w:r>
        <w:rPr>
          <w:rFonts w:eastAsia="Times New Roman"/>
          <w:color w:val="000000"/>
          <w:sz w:val="20"/>
          <w:szCs w:val="20"/>
        </w:rPr>
        <w:t xml:space="preserve"> derivative instruments. Such changes in market prices of the aforementioned commodities could result in material exposures or significant concentrations of balances with derivative counterparties. If certain counterparties were unable to meet the obligati</w:t>
      </w:r>
      <w:r>
        <w:rPr>
          <w:rFonts w:eastAsia="Times New Roman"/>
          <w:color w:val="000000"/>
          <w:sz w:val="20"/>
          <w:szCs w:val="20"/>
        </w:rPr>
        <w:t>ons set forth in these derivative contracts and we were unable to fully mitigate this exposure via collateral deposit requirements and master netting arrangements, such outcomes could result in a negative effect on our operating results.</w:t>
      </w:r>
    </w:p>
    <w:p w14:paraId="7DB19D03" w14:textId="77777777" w:rsidR="00000000" w:rsidRDefault="00C1661D">
      <w:pPr>
        <w:jc w:val="both"/>
        <w:rPr>
          <w:rFonts w:eastAsia="Times New Roman"/>
        </w:rPr>
      </w:pPr>
    </w:p>
    <w:p w14:paraId="21E1696A" w14:textId="77777777" w:rsidR="00000000" w:rsidRDefault="00C1661D">
      <w:pPr>
        <w:jc w:val="both"/>
        <w:rPr>
          <w:rFonts w:eastAsia="Times New Roman"/>
        </w:rPr>
      </w:pPr>
      <w:r>
        <w:rPr>
          <w:rFonts w:eastAsia="Times New Roman"/>
          <w:b/>
          <w:bCs/>
          <w:i/>
          <w:iCs/>
          <w:color w:val="000000"/>
          <w:sz w:val="20"/>
          <w:szCs w:val="20"/>
        </w:rPr>
        <w:t xml:space="preserve">Our business is </w:t>
      </w:r>
      <w:r>
        <w:rPr>
          <w:rFonts w:eastAsia="Times New Roman"/>
          <w:b/>
          <w:bCs/>
          <w:i/>
          <w:iCs/>
          <w:color w:val="000000"/>
          <w:sz w:val="20"/>
          <w:szCs w:val="20"/>
        </w:rPr>
        <w:t>dependent on the domestic and</w:t>
      </w:r>
      <w:r>
        <w:rPr>
          <w:rFonts w:eastAsia="Times New Roman"/>
          <w:color w:val="000000"/>
          <w:sz w:val="20"/>
          <w:szCs w:val="20"/>
        </w:rPr>
        <w:t xml:space="preserve"> </w:t>
      </w:r>
      <w:r>
        <w:rPr>
          <w:rFonts w:eastAsia="Times New Roman"/>
          <w:b/>
          <w:bCs/>
          <w:i/>
          <w:iCs/>
          <w:color w:val="000000"/>
          <w:sz w:val="20"/>
          <w:szCs w:val="20"/>
        </w:rPr>
        <w:t>global supply chain to ensure that equipment, materials and other resources are available to both expand and maintain services in a safe and reliable manner. Moreover, prices of equipment, materials and other resources have in</w:t>
      </w:r>
      <w:r>
        <w:rPr>
          <w:rFonts w:eastAsia="Times New Roman"/>
          <w:b/>
          <w:bCs/>
          <w:i/>
          <w:iCs/>
          <w:color w:val="000000"/>
          <w:sz w:val="20"/>
          <w:szCs w:val="20"/>
        </w:rPr>
        <w:t xml:space="preserve">creased recently and may continue to increase in the future. Failure to secure equipment, materials and other resources on economically acceptable terms may adversely impact our financial condition and results of operations. </w:t>
      </w:r>
      <w:r>
        <w:rPr>
          <w:rFonts w:eastAsia="Times New Roman"/>
          <w:color w:val="000000"/>
          <w:sz w:val="20"/>
          <w:szCs w:val="20"/>
        </w:rPr>
        <w:t>Current domestic and global sup</w:t>
      </w:r>
      <w:r>
        <w:rPr>
          <w:rFonts w:eastAsia="Times New Roman"/>
          <w:color w:val="000000"/>
          <w:sz w:val="20"/>
          <w:szCs w:val="20"/>
        </w:rPr>
        <w:t xml:space="preserve">ply chain issues are delaying the delivery, and in some cases resulting in shortages of, materials, equipment and other resources that are critical to our business operations. Failure to eliminate or manage the </w:t>
      </w:r>
    </w:p>
    <w:p w14:paraId="5F95BB95" w14:textId="77777777" w:rsidR="00000000" w:rsidRDefault="00C1661D">
      <w:pPr>
        <w:jc w:val="center"/>
        <w:divId w:val="816995968"/>
        <w:rPr>
          <w:rFonts w:eastAsia="Times New Roman"/>
        </w:rPr>
      </w:pPr>
      <w:r>
        <w:rPr>
          <w:rFonts w:eastAsia="Times New Roman"/>
          <w:color w:val="000000"/>
          <w:sz w:val="20"/>
          <w:szCs w:val="20"/>
        </w:rPr>
        <w:t>40</w:t>
      </w:r>
    </w:p>
    <w:p w14:paraId="0E4A2630" w14:textId="77777777" w:rsidR="00000000" w:rsidRDefault="00C1661D">
      <w:pPr>
        <w:rPr>
          <w:rFonts w:eastAsia="Times New Roman"/>
        </w:rPr>
      </w:pPr>
      <w:r>
        <w:rPr>
          <w:rFonts w:eastAsia="Times New Roman"/>
        </w:rPr>
        <w:pict w14:anchorId="62C28E8E">
          <v:rect id="_x0000_i1066" style="width:0;height:1.5pt" o:hralign="center" o:hrstd="t" o:hr="t" fillcolor="#a0a0a0" stroked="f"/>
        </w:pict>
      </w:r>
    </w:p>
    <w:p w14:paraId="4DA7B7DC" w14:textId="77777777" w:rsidR="00000000" w:rsidRDefault="00C1661D">
      <w:pPr>
        <w:divId w:val="1789395433"/>
        <w:rPr>
          <w:rFonts w:eastAsia="Times New Roman"/>
        </w:rPr>
      </w:pPr>
      <w:hyperlink w:anchor="i3850c3c6c0104e42b9951aac2f16098a_7" w:history="1">
        <w:r>
          <w:rPr>
            <w:rStyle w:val="a3"/>
            <w:rFonts w:eastAsia="Times New Roman"/>
            <w:b/>
            <w:bCs/>
            <w:sz w:val="20"/>
            <w:szCs w:val="20"/>
          </w:rPr>
          <w:t>Table of Contents</w:t>
        </w:r>
      </w:hyperlink>
    </w:p>
    <w:p w14:paraId="36454425" w14:textId="77777777" w:rsidR="00000000" w:rsidRDefault="00C1661D">
      <w:pPr>
        <w:jc w:val="both"/>
        <w:rPr>
          <w:rFonts w:eastAsia="Times New Roman"/>
        </w:rPr>
      </w:pPr>
      <w:r>
        <w:rPr>
          <w:rFonts w:eastAsia="Times New Roman"/>
          <w:color w:val="000000"/>
          <w:sz w:val="20"/>
          <w:szCs w:val="20"/>
        </w:rPr>
        <w:t>constraints in the supply chain may impact the availability of items that are necessary to support normal operations as well as materials that are required for continued infrastructure</w:t>
      </w:r>
      <w:r>
        <w:rPr>
          <w:rFonts w:eastAsia="Times New Roman"/>
          <w:color w:val="000000"/>
          <w:sz w:val="20"/>
          <w:szCs w:val="20"/>
        </w:rPr>
        <w:t xml:space="preserve"> growth, including the replacement of end-of-life assets. </w:t>
      </w:r>
    </w:p>
    <w:p w14:paraId="1A541563" w14:textId="77777777" w:rsidR="00000000" w:rsidRDefault="00C1661D">
      <w:pPr>
        <w:divId w:val="1276861178"/>
        <w:rPr>
          <w:rFonts w:eastAsia="Times New Roman"/>
        </w:rPr>
      </w:pPr>
    </w:p>
    <w:p w14:paraId="26C5378E" w14:textId="77777777" w:rsidR="00000000" w:rsidRDefault="00C1661D">
      <w:pPr>
        <w:jc w:val="both"/>
        <w:rPr>
          <w:rFonts w:eastAsia="Times New Roman"/>
        </w:rPr>
      </w:pPr>
      <w:r>
        <w:rPr>
          <w:rFonts w:eastAsia="Times New Roman"/>
          <w:color w:val="000000"/>
          <w:sz w:val="20"/>
          <w:szCs w:val="20"/>
        </w:rPr>
        <w:t>Moreover, inflation is an area of increasing economic concern, both domestically and internationally. Changes in the costs of providing our energy products and services, including price increases in equipment and materials as well as increases in labor and</w:t>
      </w:r>
      <w:r>
        <w:rPr>
          <w:rFonts w:eastAsia="Times New Roman"/>
          <w:color w:val="000000"/>
          <w:sz w:val="20"/>
          <w:szCs w:val="20"/>
        </w:rPr>
        <w:t xml:space="preserve"> distribution costs, may negatively impact our financial condition and results of operations and/or result in corresponding price increases for the energy products and services we offer our customers.</w:t>
      </w:r>
    </w:p>
    <w:p w14:paraId="76F10C16" w14:textId="77777777" w:rsidR="00000000" w:rsidRDefault="00C1661D">
      <w:pPr>
        <w:jc w:val="both"/>
        <w:rPr>
          <w:rFonts w:eastAsia="Times New Roman"/>
        </w:rPr>
      </w:pPr>
    </w:p>
    <w:p w14:paraId="1869AF77" w14:textId="77777777" w:rsidR="00000000" w:rsidRDefault="00C1661D">
      <w:pPr>
        <w:jc w:val="both"/>
        <w:rPr>
          <w:rFonts w:eastAsia="Times New Roman"/>
        </w:rPr>
      </w:pPr>
      <w:r>
        <w:rPr>
          <w:rFonts w:eastAsia="Times New Roman"/>
          <w:b/>
          <w:bCs/>
          <w:color w:val="000000"/>
          <w:sz w:val="20"/>
          <w:szCs w:val="20"/>
          <w:u w:val="single"/>
        </w:rPr>
        <w:t>Risks Relating to Government Regulation and Oversight</w:t>
      </w:r>
    </w:p>
    <w:p w14:paraId="297D2B4B" w14:textId="77777777" w:rsidR="00000000" w:rsidRDefault="00C1661D">
      <w:pPr>
        <w:jc w:val="both"/>
        <w:rPr>
          <w:rFonts w:eastAsia="Times New Roman"/>
        </w:rPr>
      </w:pPr>
    </w:p>
    <w:p w14:paraId="41F2A587" w14:textId="77777777" w:rsidR="00000000" w:rsidRDefault="00C1661D">
      <w:pPr>
        <w:jc w:val="both"/>
        <w:rPr>
          <w:rFonts w:eastAsia="Times New Roman"/>
        </w:rPr>
      </w:pPr>
      <w:r>
        <w:rPr>
          <w:rFonts w:eastAsia="Times New Roman"/>
          <w:b/>
          <w:bCs/>
          <w:i/>
          <w:iCs/>
          <w:color w:val="000000"/>
          <w:sz w:val="20"/>
          <w:szCs w:val="20"/>
        </w:rPr>
        <w:t xml:space="preserve">Regulators may not approve the rates we request and existing rates may be challenged, which may adversely affect our results of operations. </w:t>
      </w:r>
      <w:r>
        <w:rPr>
          <w:rFonts w:eastAsia="Times New Roman"/>
          <w:color w:val="000000"/>
          <w:sz w:val="20"/>
          <w:szCs w:val="20"/>
        </w:rPr>
        <w:t>In our Utilities segment, our distribution operations are subject to regulation by the PAPUC, WVPSC and MDPSC, de</w:t>
      </w:r>
      <w:r>
        <w:rPr>
          <w:rFonts w:eastAsia="Times New Roman"/>
          <w:color w:val="000000"/>
          <w:sz w:val="20"/>
          <w:szCs w:val="20"/>
        </w:rPr>
        <w:t>pending on the state in which the operations are located. These regulatory bodies, among other things, approve the rates that Utilities may charge utility customers, thus impacting the returns that Utilities may earn on the assets that are dedicated to its</w:t>
      </w:r>
      <w:r>
        <w:rPr>
          <w:rFonts w:eastAsia="Times New Roman"/>
          <w:color w:val="000000"/>
          <w:sz w:val="20"/>
          <w:szCs w:val="20"/>
        </w:rPr>
        <w:t xml:space="preserve"> operations. Utilities periodically files, and we expect to continue to periodically file, requests with these regulatory bodies to increase base rates charged to customers in the respective states in which Utilities operates. If Utilities is required in a</w:t>
      </w:r>
      <w:r>
        <w:rPr>
          <w:rFonts w:eastAsia="Times New Roman"/>
          <w:color w:val="000000"/>
          <w:sz w:val="20"/>
          <w:szCs w:val="20"/>
        </w:rPr>
        <w:t xml:space="preserve"> rate proceeding to reduce the rates it charges its utility customers, or is unable to obtain approval for timely rate increases from the appropriate regulatory body, particularly when necessary to cover increased costs, Utilities’ revenue growth will be l</w:t>
      </w:r>
      <w:r>
        <w:rPr>
          <w:rFonts w:eastAsia="Times New Roman"/>
          <w:color w:val="000000"/>
          <w:sz w:val="20"/>
          <w:szCs w:val="20"/>
        </w:rPr>
        <w:t xml:space="preserve">imited and earnings may decrease. </w:t>
      </w:r>
    </w:p>
    <w:p w14:paraId="14C4F83F" w14:textId="77777777" w:rsidR="00000000" w:rsidRDefault="00C1661D">
      <w:pPr>
        <w:jc w:val="both"/>
        <w:rPr>
          <w:rFonts w:eastAsia="Times New Roman"/>
        </w:rPr>
      </w:pPr>
    </w:p>
    <w:p w14:paraId="6374584F" w14:textId="77777777" w:rsidR="00000000" w:rsidRDefault="00C1661D">
      <w:pPr>
        <w:jc w:val="both"/>
        <w:rPr>
          <w:rFonts w:eastAsia="Times New Roman"/>
        </w:rPr>
      </w:pPr>
      <w:r>
        <w:rPr>
          <w:rFonts w:eastAsia="Times New Roman"/>
          <w:b/>
          <w:bCs/>
          <w:i/>
          <w:iCs/>
          <w:color w:val="000000"/>
          <w:sz w:val="20"/>
          <w:szCs w:val="20"/>
        </w:rPr>
        <w:t xml:space="preserve">The enactment of proposed or future tax legislation may adversely impact our financial condition and results of operations. </w:t>
      </w:r>
      <w:r>
        <w:rPr>
          <w:rFonts w:eastAsia="Times New Roman"/>
          <w:color w:val="000000"/>
          <w:sz w:val="20"/>
          <w:szCs w:val="20"/>
          <w:shd w:val="clear" w:color="auto" w:fill="FFFFFF"/>
        </w:rPr>
        <w:t>On March 27, 2020, the U.S. enacted the CARES Act.</w:t>
      </w:r>
      <w:r>
        <w:rPr>
          <w:rFonts w:eastAsia="Times New Roman"/>
          <w:color w:val="000000"/>
          <w:sz w:val="20"/>
          <w:szCs w:val="20"/>
        </w:rPr>
        <w:t xml:space="preserve"> </w:t>
      </w:r>
      <w:r>
        <w:rPr>
          <w:rFonts w:eastAsia="Times New Roman"/>
          <w:color w:val="000000"/>
          <w:sz w:val="20"/>
          <w:szCs w:val="20"/>
          <w:shd w:val="clear" w:color="auto" w:fill="FFFFFF"/>
        </w:rPr>
        <w:t>Our financial statements reflect the realize</w:t>
      </w:r>
      <w:r>
        <w:rPr>
          <w:rFonts w:eastAsia="Times New Roman"/>
          <w:color w:val="000000"/>
          <w:sz w:val="20"/>
          <w:szCs w:val="20"/>
          <w:shd w:val="clear" w:color="auto" w:fill="FFFFFF"/>
        </w:rPr>
        <w:t>d benefits of the CARES Act.</w:t>
      </w:r>
      <w:r>
        <w:rPr>
          <w:rFonts w:eastAsia="Times New Roman"/>
          <w:color w:val="000000"/>
          <w:sz w:val="20"/>
          <w:szCs w:val="20"/>
        </w:rPr>
        <w:t xml:space="preserve"> See “Management’s Discussion and Analysis of Financial Condition and Results of Operations.”</w:t>
      </w:r>
      <w:r>
        <w:rPr>
          <w:rFonts w:eastAsia="Times New Roman"/>
          <w:color w:val="000000"/>
          <w:sz w:val="20"/>
          <w:szCs w:val="20"/>
          <w:shd w:val="clear" w:color="auto" w:fill="FFFFFF"/>
        </w:rPr>
        <w:t xml:space="preserve"> Application of the CARES Act requires significant judgments to be made in the interpretation of the law and significant estimates in t</w:t>
      </w:r>
      <w:r>
        <w:rPr>
          <w:rFonts w:eastAsia="Times New Roman"/>
          <w:color w:val="000000"/>
          <w:sz w:val="20"/>
          <w:szCs w:val="20"/>
          <w:shd w:val="clear" w:color="auto" w:fill="FFFFFF"/>
        </w:rPr>
        <w:t>he calculation of the provision for income taxes.</w:t>
      </w:r>
      <w:r>
        <w:rPr>
          <w:rFonts w:eastAsia="Times New Roman"/>
          <w:color w:val="000000"/>
          <w:sz w:val="20"/>
          <w:szCs w:val="20"/>
        </w:rPr>
        <w:t xml:space="preserve"> </w:t>
      </w:r>
      <w:r>
        <w:rPr>
          <w:rFonts w:eastAsia="Times New Roman"/>
          <w:color w:val="000000"/>
          <w:sz w:val="20"/>
          <w:szCs w:val="20"/>
          <w:shd w:val="clear" w:color="auto" w:fill="FFFFFF"/>
        </w:rPr>
        <w:t>If our interpretation of the CARES Act differs significantly from the interpretation of governing bodies, or if future administrations choose to repeal or replace the provisions of the CARES Act, our financ</w:t>
      </w:r>
      <w:r>
        <w:rPr>
          <w:rFonts w:eastAsia="Times New Roman"/>
          <w:color w:val="000000"/>
          <w:sz w:val="20"/>
          <w:szCs w:val="20"/>
          <w:shd w:val="clear" w:color="auto" w:fill="FFFFFF"/>
        </w:rPr>
        <w:t>ial condition and results of operations may be adversely impacted.</w:t>
      </w:r>
    </w:p>
    <w:p w14:paraId="016CBD39" w14:textId="77777777" w:rsidR="00000000" w:rsidRDefault="00C1661D">
      <w:pPr>
        <w:jc w:val="both"/>
        <w:rPr>
          <w:rFonts w:eastAsia="Times New Roman"/>
        </w:rPr>
      </w:pPr>
    </w:p>
    <w:p w14:paraId="43A3E41C" w14:textId="77777777" w:rsidR="00000000" w:rsidRDefault="00C1661D">
      <w:pPr>
        <w:jc w:val="both"/>
        <w:rPr>
          <w:rFonts w:eastAsia="Times New Roman"/>
        </w:rPr>
      </w:pPr>
      <w:r>
        <w:rPr>
          <w:rFonts w:eastAsia="Times New Roman"/>
          <w:color w:val="000000"/>
          <w:sz w:val="20"/>
          <w:szCs w:val="20"/>
        </w:rPr>
        <w:t>Additionally, the enactment of future tax legislation (such as the proposed OECD framework that aims to reform international taxation rules with the goal of ensuring that multinational co</w:t>
      </w:r>
      <w:r>
        <w:rPr>
          <w:rFonts w:eastAsia="Times New Roman"/>
          <w:color w:val="000000"/>
          <w:sz w:val="20"/>
          <w:szCs w:val="20"/>
        </w:rPr>
        <w:t xml:space="preserve">rporations pay adequate taxes in the jurisdictions in which they operate and other similar proposals) could have a material impact on our financial condition and results of operations, including our worldwide income tax provision and accruals reflected in </w:t>
      </w:r>
      <w:r>
        <w:rPr>
          <w:rFonts w:eastAsia="Times New Roman"/>
          <w:color w:val="000000"/>
          <w:sz w:val="20"/>
          <w:szCs w:val="20"/>
        </w:rPr>
        <w:t>our financial statements. For example, the Inflation Reduction Act was enacted on August 16, 2022. This law, among other provisions, imposes a 15% corporate alternative minimum tax on adjusted financial statement income, which is effective for us beginning</w:t>
      </w:r>
      <w:r>
        <w:rPr>
          <w:rFonts w:eastAsia="Times New Roman"/>
          <w:color w:val="000000"/>
          <w:sz w:val="20"/>
          <w:szCs w:val="20"/>
        </w:rPr>
        <w:t xml:space="preserve"> with Fiscal 2024, provides for an investment tax credit for qualified biomass property, and introduces a one percent excise tax on corporate stock repurchases after December 31, 2022. We are currently assessing the potential impact of these legislative ch</w:t>
      </w:r>
      <w:r>
        <w:rPr>
          <w:rFonts w:eastAsia="Times New Roman"/>
          <w:color w:val="000000"/>
          <w:sz w:val="20"/>
          <w:szCs w:val="20"/>
        </w:rPr>
        <w:t>anges and will continue to evaluate the overall impact of other current, future and proposed regulations and interpretive guidance from tax authorities on our effective tax rate and consolidated balance sheets. We are unable to predict whether any such cha</w:t>
      </w:r>
      <w:r>
        <w:rPr>
          <w:rFonts w:eastAsia="Times New Roman"/>
          <w:color w:val="000000"/>
          <w:sz w:val="20"/>
          <w:szCs w:val="20"/>
        </w:rPr>
        <w:t>nges or other proposals will ultimately be enacted. Any future legislative changes could negatively impact our anticipated cash-flow and after-tax results of operations.</w:t>
      </w:r>
    </w:p>
    <w:p w14:paraId="0172ED0E" w14:textId="77777777" w:rsidR="00000000" w:rsidRDefault="00C1661D">
      <w:pPr>
        <w:jc w:val="both"/>
        <w:rPr>
          <w:rFonts w:eastAsia="Times New Roman"/>
        </w:rPr>
      </w:pPr>
    </w:p>
    <w:p w14:paraId="30FCD9B9" w14:textId="77777777" w:rsidR="00000000" w:rsidRDefault="00C1661D">
      <w:pPr>
        <w:jc w:val="both"/>
        <w:rPr>
          <w:rFonts w:eastAsia="Times New Roman"/>
        </w:rPr>
      </w:pPr>
      <w:r>
        <w:rPr>
          <w:rFonts w:eastAsia="Times New Roman"/>
          <w:b/>
          <w:bCs/>
          <w:i/>
          <w:iCs/>
          <w:color w:val="000000"/>
          <w:sz w:val="20"/>
          <w:szCs w:val="20"/>
        </w:rPr>
        <w:t>Our need to comply with, and respond to, industry-wide changes resulting from, compr</w:t>
      </w:r>
      <w:r>
        <w:rPr>
          <w:rFonts w:eastAsia="Times New Roman"/>
          <w:b/>
          <w:bCs/>
          <w:i/>
          <w:iCs/>
          <w:color w:val="000000"/>
          <w:sz w:val="20"/>
          <w:szCs w:val="20"/>
        </w:rPr>
        <w:t>ehensive, complex, and sometimes unpredictable</w:t>
      </w:r>
      <w:r>
        <w:rPr>
          <w:rFonts w:eastAsia="Times New Roman"/>
          <w:color w:val="000000"/>
          <w:sz w:val="20"/>
          <w:szCs w:val="20"/>
        </w:rPr>
        <w:t xml:space="preserve"> </w:t>
      </w:r>
      <w:r>
        <w:rPr>
          <w:rFonts w:eastAsia="Times New Roman"/>
          <w:b/>
          <w:bCs/>
          <w:i/>
          <w:iCs/>
          <w:color w:val="000000"/>
          <w:sz w:val="20"/>
          <w:szCs w:val="20"/>
        </w:rPr>
        <w:t>governmental regulations, including regulatory initiatives aimed at increasing competition within our industry, may increase our costs and limit our revenue growth,</w:t>
      </w:r>
      <w:r>
        <w:rPr>
          <w:rFonts w:eastAsia="Times New Roman"/>
          <w:color w:val="000000"/>
          <w:sz w:val="20"/>
          <w:szCs w:val="20"/>
        </w:rPr>
        <w:t xml:space="preserve"> </w:t>
      </w:r>
      <w:r>
        <w:rPr>
          <w:rFonts w:eastAsia="Times New Roman"/>
          <w:b/>
          <w:bCs/>
          <w:i/>
          <w:iCs/>
          <w:color w:val="000000"/>
          <w:sz w:val="20"/>
          <w:szCs w:val="20"/>
        </w:rPr>
        <w:t>which may adversely affect our operating res</w:t>
      </w:r>
      <w:r>
        <w:rPr>
          <w:rFonts w:eastAsia="Times New Roman"/>
          <w:b/>
          <w:bCs/>
          <w:i/>
          <w:iCs/>
          <w:color w:val="000000"/>
          <w:sz w:val="20"/>
          <w:szCs w:val="20"/>
        </w:rPr>
        <w:t xml:space="preserve">ults. </w:t>
      </w:r>
      <w:r>
        <w:rPr>
          <w:rFonts w:eastAsia="Times New Roman"/>
          <w:color w:val="000000"/>
          <w:sz w:val="20"/>
          <w:szCs w:val="20"/>
        </w:rPr>
        <w:t>While we generally refer to our Utilities segment as our “regulated segment,” there are many governmental regulations that have an impact on all of our businesses. Currently, we are subject to extensive and changing international, federal, state, and</w:t>
      </w:r>
      <w:r>
        <w:rPr>
          <w:rFonts w:eastAsia="Times New Roman"/>
          <w:color w:val="000000"/>
          <w:sz w:val="20"/>
          <w:szCs w:val="20"/>
        </w:rPr>
        <w:t xml:space="preserve"> local laws and regulations including, but not limited to, safety, health, transportation, tax, and environmental laws and regulations that govern the marketing, storage, distribution, and transportation of our energy products. Moreover, existing statutes </w:t>
      </w:r>
      <w:r>
        <w:rPr>
          <w:rFonts w:eastAsia="Times New Roman"/>
          <w:color w:val="000000"/>
          <w:sz w:val="20"/>
          <w:szCs w:val="20"/>
        </w:rPr>
        <w:t>and regulations may be revised or reinterpreted and new laws and regulations may be adopted or become applicable to us that may affect our businesses in ways that we cannot predict.</w:t>
      </w:r>
    </w:p>
    <w:p w14:paraId="6F396B6B" w14:textId="77777777" w:rsidR="00000000" w:rsidRDefault="00C1661D">
      <w:pPr>
        <w:jc w:val="both"/>
        <w:rPr>
          <w:rFonts w:eastAsia="Times New Roman"/>
        </w:rPr>
      </w:pPr>
    </w:p>
    <w:p w14:paraId="08DACBB7" w14:textId="77777777" w:rsidR="00000000" w:rsidRDefault="00C1661D">
      <w:pPr>
        <w:jc w:val="both"/>
        <w:rPr>
          <w:rFonts w:eastAsia="Times New Roman"/>
        </w:rPr>
      </w:pPr>
      <w:r>
        <w:rPr>
          <w:rFonts w:eastAsia="Times New Roman"/>
          <w:color w:val="000000"/>
          <w:sz w:val="20"/>
          <w:szCs w:val="20"/>
        </w:rPr>
        <w:t>New regulations, or a change in the interpretation of existing regulatio</w:t>
      </w:r>
      <w:r>
        <w:rPr>
          <w:rFonts w:eastAsia="Times New Roman"/>
          <w:color w:val="000000"/>
          <w:sz w:val="20"/>
          <w:szCs w:val="20"/>
        </w:rPr>
        <w:t>ns, could result in increased expenditures. In addition, for many of our operations, we are required to obtain permits from regulatory authorities and, in some cases, such regulatory permits could subject our operations to additional regulations and standa</w:t>
      </w:r>
      <w:r>
        <w:rPr>
          <w:rFonts w:eastAsia="Times New Roman"/>
          <w:color w:val="000000"/>
          <w:sz w:val="20"/>
          <w:szCs w:val="20"/>
        </w:rPr>
        <w:t>rds of conduct. Failure to obtain or comply with these permits or applicable regulations and standards of conduct could result in civil and criminal fines or the cessation of the operations in violation. Governmental regulations and policies in the U.S. an</w:t>
      </w:r>
      <w:r>
        <w:rPr>
          <w:rFonts w:eastAsia="Times New Roman"/>
          <w:color w:val="000000"/>
          <w:sz w:val="20"/>
          <w:szCs w:val="20"/>
        </w:rPr>
        <w:t>d Europe may provide for subsidies or incentives to customers who use alternative fuels instead of carbon fuels. The EU has committed to cut C</w:t>
      </w:r>
      <w:r>
        <w:rPr>
          <w:rFonts w:eastAsia="Times New Roman"/>
          <w:color w:val="000000"/>
          <w:sz w:val="20"/>
          <w:szCs w:val="20"/>
        </w:rPr>
        <w:t>O</w:t>
      </w:r>
      <w:r>
        <w:rPr>
          <w:rFonts w:eastAsia="Times New Roman"/>
          <w:color w:val="000000"/>
          <w:sz w:val="13"/>
          <w:szCs w:val="13"/>
        </w:rPr>
        <w:t>2</w:t>
      </w:r>
      <w:r>
        <w:rPr>
          <w:rFonts w:eastAsia="Times New Roman"/>
          <w:color w:val="000000"/>
          <w:sz w:val="20"/>
          <w:szCs w:val="20"/>
        </w:rPr>
        <w:t xml:space="preserve"> emissions and EU member states are proposing and implementing a range of subsidies and incentives to achieve th</w:t>
      </w:r>
      <w:r>
        <w:rPr>
          <w:rFonts w:eastAsia="Times New Roman"/>
          <w:color w:val="000000"/>
          <w:sz w:val="20"/>
          <w:szCs w:val="20"/>
        </w:rPr>
        <w:t>e EU’s climate change goals. These subsidies and incentives may result in reduced demand for our energy products and services.</w:t>
      </w:r>
    </w:p>
    <w:p w14:paraId="4CC5F3A3" w14:textId="77777777" w:rsidR="00000000" w:rsidRDefault="00C1661D">
      <w:pPr>
        <w:jc w:val="both"/>
        <w:rPr>
          <w:rFonts w:eastAsia="Times New Roman"/>
        </w:rPr>
      </w:pPr>
    </w:p>
    <w:p w14:paraId="61208AFB" w14:textId="77777777" w:rsidR="00000000" w:rsidRDefault="00C1661D">
      <w:pPr>
        <w:jc w:val="center"/>
        <w:divId w:val="1003556363"/>
        <w:rPr>
          <w:rFonts w:eastAsia="Times New Roman"/>
        </w:rPr>
      </w:pPr>
      <w:r>
        <w:rPr>
          <w:rFonts w:eastAsia="Times New Roman"/>
          <w:color w:val="000000"/>
          <w:sz w:val="20"/>
          <w:szCs w:val="20"/>
        </w:rPr>
        <w:t>41</w:t>
      </w:r>
    </w:p>
    <w:p w14:paraId="3880A610" w14:textId="77777777" w:rsidR="00000000" w:rsidRDefault="00C1661D">
      <w:pPr>
        <w:rPr>
          <w:rFonts w:eastAsia="Times New Roman"/>
        </w:rPr>
      </w:pPr>
      <w:r>
        <w:rPr>
          <w:rFonts w:eastAsia="Times New Roman"/>
        </w:rPr>
        <w:pict w14:anchorId="5CE3DA57">
          <v:rect id="_x0000_i1067" style="width:0;height:1.5pt" o:hralign="center" o:hrstd="t" o:hr="t" fillcolor="#a0a0a0" stroked="f"/>
        </w:pict>
      </w:r>
    </w:p>
    <w:p w14:paraId="3A6F7659" w14:textId="77777777" w:rsidR="00000000" w:rsidRDefault="00C1661D">
      <w:pPr>
        <w:divId w:val="117333452"/>
        <w:rPr>
          <w:rFonts w:eastAsia="Times New Roman"/>
        </w:rPr>
      </w:pPr>
      <w:hyperlink w:anchor="i3850c3c6c0104e42b9951aac2f16098a_7" w:history="1">
        <w:r>
          <w:rPr>
            <w:rStyle w:val="a3"/>
            <w:rFonts w:eastAsia="Times New Roman"/>
            <w:b/>
            <w:bCs/>
            <w:sz w:val="20"/>
            <w:szCs w:val="20"/>
          </w:rPr>
          <w:t>Table of Contents</w:t>
        </w:r>
      </w:hyperlink>
    </w:p>
    <w:p w14:paraId="611C198F" w14:textId="77777777" w:rsidR="00000000" w:rsidRDefault="00C1661D">
      <w:pPr>
        <w:jc w:val="both"/>
        <w:rPr>
          <w:rFonts w:eastAsia="Times New Roman"/>
        </w:rPr>
      </w:pPr>
      <w:r>
        <w:rPr>
          <w:rFonts w:eastAsia="Times New Roman"/>
          <w:color w:val="000000"/>
          <w:sz w:val="20"/>
          <w:szCs w:val="20"/>
        </w:rPr>
        <w:t>We are inves</w:t>
      </w:r>
      <w:r>
        <w:rPr>
          <w:rFonts w:eastAsia="Times New Roman"/>
          <w:color w:val="000000"/>
          <w:sz w:val="20"/>
          <w:szCs w:val="20"/>
        </w:rPr>
        <w:t>tigating and remediating contamination at a number of present and former operating sites in the U.S., including former sites where we or our former subsidiaries operated MGPs. We have also received claims from third parties that allege that we are responsi</w:t>
      </w:r>
      <w:r>
        <w:rPr>
          <w:rFonts w:eastAsia="Times New Roman"/>
          <w:color w:val="000000"/>
          <w:sz w:val="20"/>
          <w:szCs w:val="20"/>
        </w:rPr>
        <w:t>ble for costs to clean up properties where we or our former subsidiaries operated a MGP or conducted other operations. Most of the costs we incur to remediate sites outside of Pennsylvania cannot currently be recovered in PAPUC rate proceedings, and insura</w:t>
      </w:r>
      <w:r>
        <w:rPr>
          <w:rFonts w:eastAsia="Times New Roman"/>
          <w:color w:val="000000"/>
          <w:sz w:val="20"/>
          <w:szCs w:val="20"/>
        </w:rPr>
        <w:t>nce may not cover all or even part of these costs. Our actual costs to clean up these sites may exceed our current estimates due to factors beyond our control, such as:</w:t>
      </w:r>
    </w:p>
    <w:p w14:paraId="0E0D6C01" w14:textId="77777777" w:rsidR="00000000" w:rsidRDefault="00C1661D">
      <w:pPr>
        <w:jc w:val="both"/>
        <w:rPr>
          <w:rFonts w:eastAsia="Times New Roman"/>
        </w:rPr>
      </w:pPr>
    </w:p>
    <w:p w14:paraId="33F508CD" w14:textId="77777777" w:rsidR="00000000" w:rsidRDefault="00C1661D">
      <w:pPr>
        <w:ind w:hanging="360"/>
        <w:jc w:val="both"/>
        <w:rPr>
          <w:rFonts w:eastAsia="Times New Roman"/>
        </w:rPr>
      </w:pPr>
      <w:r>
        <w:rPr>
          <w:rFonts w:eastAsia="Times New Roman"/>
          <w:color w:val="000000"/>
          <w:sz w:val="20"/>
          <w:szCs w:val="20"/>
        </w:rPr>
        <w:t xml:space="preserve">•the discovery of presently unknown conditions; </w:t>
      </w:r>
    </w:p>
    <w:p w14:paraId="5A5F8147" w14:textId="77777777" w:rsidR="00000000" w:rsidRDefault="00C1661D">
      <w:pPr>
        <w:ind w:hanging="360"/>
        <w:jc w:val="both"/>
        <w:rPr>
          <w:rFonts w:eastAsia="Times New Roman"/>
        </w:rPr>
      </w:pPr>
      <w:r>
        <w:rPr>
          <w:rFonts w:eastAsia="Times New Roman"/>
          <w:color w:val="000000"/>
          <w:sz w:val="20"/>
          <w:szCs w:val="20"/>
        </w:rPr>
        <w:t>•changes in environmental laws and r</w:t>
      </w:r>
      <w:r>
        <w:rPr>
          <w:rFonts w:eastAsia="Times New Roman"/>
          <w:color w:val="000000"/>
          <w:sz w:val="20"/>
          <w:szCs w:val="20"/>
        </w:rPr>
        <w:t xml:space="preserve">egulations; </w:t>
      </w:r>
    </w:p>
    <w:p w14:paraId="1CEF74B6" w14:textId="77777777" w:rsidR="00000000" w:rsidRDefault="00C1661D">
      <w:pPr>
        <w:ind w:hanging="360"/>
        <w:jc w:val="both"/>
        <w:rPr>
          <w:rFonts w:eastAsia="Times New Roman"/>
        </w:rPr>
      </w:pPr>
      <w:r>
        <w:rPr>
          <w:rFonts w:eastAsia="Times New Roman"/>
          <w:color w:val="000000"/>
          <w:sz w:val="20"/>
          <w:szCs w:val="20"/>
        </w:rPr>
        <w:t xml:space="preserve">•judicial rejection of our legal defenses to third-party claims; or </w:t>
      </w:r>
    </w:p>
    <w:p w14:paraId="295D1D85" w14:textId="77777777" w:rsidR="00000000" w:rsidRDefault="00C1661D">
      <w:pPr>
        <w:ind w:hanging="360"/>
        <w:jc w:val="both"/>
        <w:rPr>
          <w:rFonts w:eastAsia="Times New Roman"/>
        </w:rPr>
      </w:pPr>
      <w:r>
        <w:rPr>
          <w:rFonts w:eastAsia="Times New Roman"/>
          <w:color w:val="000000"/>
          <w:sz w:val="20"/>
          <w:szCs w:val="20"/>
        </w:rPr>
        <w:t>•the insolvency of other responsible parties at the sites at which we are involved.</w:t>
      </w:r>
    </w:p>
    <w:p w14:paraId="74424204" w14:textId="77777777" w:rsidR="00000000" w:rsidRDefault="00C1661D">
      <w:pPr>
        <w:jc w:val="both"/>
        <w:rPr>
          <w:rFonts w:eastAsia="Times New Roman"/>
        </w:rPr>
      </w:pPr>
    </w:p>
    <w:p w14:paraId="2CEB9754" w14:textId="77777777" w:rsidR="00000000" w:rsidRDefault="00C1661D">
      <w:pPr>
        <w:jc w:val="both"/>
        <w:rPr>
          <w:rFonts w:eastAsia="Times New Roman"/>
        </w:rPr>
      </w:pPr>
      <w:r>
        <w:rPr>
          <w:rFonts w:eastAsia="Times New Roman"/>
          <w:color w:val="000000"/>
          <w:sz w:val="20"/>
          <w:szCs w:val="20"/>
        </w:rPr>
        <w:t>Moreover, if we discover additional contaminated sites, we could be required to incur ma</w:t>
      </w:r>
      <w:r>
        <w:rPr>
          <w:rFonts w:eastAsia="Times New Roman"/>
          <w:color w:val="000000"/>
          <w:sz w:val="20"/>
          <w:szCs w:val="20"/>
        </w:rPr>
        <w:t>terial costs, which would reduce our net income.</w:t>
      </w:r>
    </w:p>
    <w:p w14:paraId="65193F5D" w14:textId="77777777" w:rsidR="00000000" w:rsidRDefault="00C1661D">
      <w:pPr>
        <w:jc w:val="both"/>
        <w:rPr>
          <w:rFonts w:eastAsia="Times New Roman"/>
        </w:rPr>
      </w:pPr>
    </w:p>
    <w:p w14:paraId="14A0C86D" w14:textId="77777777" w:rsidR="00000000" w:rsidRDefault="00C1661D">
      <w:pPr>
        <w:jc w:val="both"/>
        <w:rPr>
          <w:rFonts w:eastAsia="Times New Roman"/>
        </w:rPr>
      </w:pPr>
      <w:r>
        <w:rPr>
          <w:rFonts w:eastAsia="Times New Roman"/>
          <w:color w:val="000000"/>
          <w:sz w:val="20"/>
          <w:szCs w:val="20"/>
        </w:rPr>
        <w:t>We also may be unable to timely respond to changes within the energy and utility sectors that may result from regulatory initiatives to further increase competition within our industry. Such regulatory initiatives may create opportunities for additional co</w:t>
      </w:r>
      <w:r>
        <w:rPr>
          <w:rFonts w:eastAsia="Times New Roman"/>
          <w:color w:val="000000"/>
          <w:sz w:val="20"/>
          <w:szCs w:val="20"/>
        </w:rPr>
        <w:t>mpetitors to grow their business or enter our markets and, as a result, we may be unable to maintain our revenues or continue to pursue our current business strategy.</w:t>
      </w:r>
    </w:p>
    <w:p w14:paraId="7735B7D0" w14:textId="77777777" w:rsidR="00000000" w:rsidRDefault="00C1661D">
      <w:pPr>
        <w:jc w:val="both"/>
        <w:rPr>
          <w:rFonts w:eastAsia="Times New Roman"/>
        </w:rPr>
      </w:pPr>
    </w:p>
    <w:p w14:paraId="62D9ABEF" w14:textId="77777777" w:rsidR="00000000" w:rsidRDefault="00C1661D">
      <w:pPr>
        <w:jc w:val="both"/>
        <w:rPr>
          <w:rFonts w:eastAsia="Times New Roman"/>
        </w:rPr>
      </w:pPr>
      <w:r>
        <w:rPr>
          <w:rFonts w:eastAsia="Times New Roman"/>
          <w:b/>
          <w:bCs/>
          <w:i/>
          <w:iCs/>
          <w:color w:val="000000"/>
          <w:sz w:val="20"/>
          <w:szCs w:val="20"/>
        </w:rPr>
        <w:t xml:space="preserve">Our operations, financial results and cash flows may be adversely affected by existing and future global climate change laws and regulations, including with respect to GHG emission restrictions, as well as market responses thereto. </w:t>
      </w:r>
      <w:r>
        <w:rPr>
          <w:rFonts w:eastAsia="Times New Roman"/>
          <w:color w:val="000000"/>
          <w:sz w:val="20"/>
          <w:szCs w:val="20"/>
        </w:rPr>
        <w:t>Climate change continues</w:t>
      </w:r>
      <w:r>
        <w:rPr>
          <w:rFonts w:eastAsia="Times New Roman"/>
          <w:color w:val="000000"/>
          <w:sz w:val="20"/>
          <w:szCs w:val="20"/>
        </w:rPr>
        <w:t xml:space="preserve"> to attract considerable public and scientific attention in the U.S. and in foreign countries. As a result, numerous proposals have been made, and could continue to be made, at the international, national, regional, state and local levels of government to </w:t>
      </w:r>
      <w:r>
        <w:rPr>
          <w:rFonts w:eastAsia="Times New Roman"/>
          <w:color w:val="000000"/>
          <w:sz w:val="20"/>
          <w:szCs w:val="20"/>
        </w:rPr>
        <w:t xml:space="preserve">monitor and limit GHG emissions and climate impact. These efforts have included consideration of, among other things, cap-and-trade programs, carbon taxes, GHG reporting and tracking programs, and regulations that directly limit GHG emissions from certain </w:t>
      </w:r>
      <w:r>
        <w:rPr>
          <w:rFonts w:eastAsia="Times New Roman"/>
          <w:color w:val="000000"/>
          <w:sz w:val="20"/>
          <w:szCs w:val="20"/>
        </w:rPr>
        <w:t xml:space="preserve">sources. </w:t>
      </w:r>
    </w:p>
    <w:p w14:paraId="53A5D5F3" w14:textId="77777777" w:rsidR="00000000" w:rsidRDefault="00C1661D">
      <w:pPr>
        <w:divId w:val="1173184364"/>
        <w:rPr>
          <w:rFonts w:eastAsia="Times New Roman"/>
        </w:rPr>
      </w:pPr>
    </w:p>
    <w:p w14:paraId="1C0DBB39" w14:textId="77777777" w:rsidR="00000000" w:rsidRDefault="00C1661D">
      <w:pPr>
        <w:jc w:val="both"/>
        <w:rPr>
          <w:rFonts w:eastAsia="Times New Roman"/>
        </w:rPr>
      </w:pPr>
      <w:r>
        <w:rPr>
          <w:rFonts w:eastAsia="Times New Roman"/>
          <w:color w:val="000000"/>
          <w:sz w:val="20"/>
          <w:szCs w:val="20"/>
        </w:rPr>
        <w:t>Increased regulation of GHG emissions, or climate impact generally, could have significant additional adverse impacts on us as well as our suppliers, vendors, and customers. The adoption and implementation of any laws or regulations imposing ob</w:t>
      </w:r>
      <w:r>
        <w:rPr>
          <w:rFonts w:eastAsia="Times New Roman"/>
          <w:color w:val="000000"/>
          <w:sz w:val="20"/>
          <w:szCs w:val="20"/>
        </w:rPr>
        <w:t>ligations on, or limiting GHG emissions from, our equipment and operations could require us to incur significant costs to reduce GHG emissions associated with our operations or could adversely affect demand for our energy products. The potential increase i</w:t>
      </w:r>
      <w:r>
        <w:rPr>
          <w:rFonts w:eastAsia="Times New Roman"/>
          <w:color w:val="000000"/>
          <w:sz w:val="20"/>
          <w:szCs w:val="20"/>
        </w:rPr>
        <w:t>n our operating costs could include, but are not limited to, new costs to operate and maintain our facilities, install new emission controls on our facilities, acquire allowances to authorize our GHG emissions, pay taxes related to our GHG emissions, admin</w:t>
      </w:r>
      <w:r>
        <w:rPr>
          <w:rFonts w:eastAsia="Times New Roman"/>
          <w:color w:val="000000"/>
          <w:sz w:val="20"/>
          <w:szCs w:val="20"/>
        </w:rPr>
        <w:t>ister and manage a GHG emissions reduction program, and adversely impact the value of certain assets. We may not be able to pass on resulting increases in costs to customers. In addition, changes in regulatory policies that result in a reduction in the dem</w:t>
      </w:r>
      <w:r>
        <w:rPr>
          <w:rFonts w:eastAsia="Times New Roman"/>
          <w:color w:val="000000"/>
          <w:sz w:val="20"/>
          <w:szCs w:val="20"/>
        </w:rPr>
        <w:t>and for hydrocarbon products and carbon-emitting fuel sources that are deemed to contribute to climate change, or restrict the use of such products or fuel sources, may reduce volumes available to us for processing, transportation, marketing and storage an</w:t>
      </w:r>
      <w:r>
        <w:rPr>
          <w:rFonts w:eastAsia="Times New Roman"/>
          <w:color w:val="000000"/>
          <w:sz w:val="20"/>
          <w:szCs w:val="20"/>
        </w:rPr>
        <w:t>d could cause increases in costs or production disruptions. These developments could have a material adverse effect on our results of operations, financial results, valuation and useful life of assets, and cash flows.</w:t>
      </w:r>
    </w:p>
    <w:p w14:paraId="55D43B6B" w14:textId="77777777" w:rsidR="00000000" w:rsidRDefault="00C1661D">
      <w:pPr>
        <w:jc w:val="center"/>
        <w:divId w:val="1164201393"/>
        <w:rPr>
          <w:rFonts w:eastAsia="Times New Roman"/>
        </w:rPr>
      </w:pPr>
      <w:r>
        <w:rPr>
          <w:rFonts w:eastAsia="Times New Roman"/>
          <w:color w:val="000000"/>
          <w:sz w:val="20"/>
          <w:szCs w:val="20"/>
        </w:rPr>
        <w:t>42</w:t>
      </w:r>
    </w:p>
    <w:p w14:paraId="49F85D2D" w14:textId="77777777" w:rsidR="00000000" w:rsidRDefault="00C1661D">
      <w:pPr>
        <w:rPr>
          <w:rFonts w:eastAsia="Times New Roman"/>
        </w:rPr>
      </w:pPr>
      <w:r>
        <w:rPr>
          <w:rFonts w:eastAsia="Times New Roman"/>
        </w:rPr>
        <w:pict w14:anchorId="2C3C2601">
          <v:rect id="_x0000_i1068" style="width:0;height:1.5pt" o:hralign="center" o:hrstd="t" o:hr="t" fillcolor="#a0a0a0" stroked="f"/>
        </w:pict>
      </w:r>
    </w:p>
    <w:p w14:paraId="581B5100" w14:textId="77777777" w:rsidR="00000000" w:rsidRDefault="00C1661D">
      <w:pPr>
        <w:divId w:val="1673724846"/>
        <w:rPr>
          <w:rFonts w:eastAsia="Times New Roman"/>
        </w:rPr>
      </w:pPr>
      <w:hyperlink w:anchor="i3850c3c6c0104e42b9951aac2f16098a_7" w:history="1">
        <w:r>
          <w:rPr>
            <w:rStyle w:val="a3"/>
            <w:rFonts w:eastAsia="Times New Roman"/>
            <w:b/>
            <w:bCs/>
            <w:sz w:val="20"/>
            <w:szCs w:val="20"/>
          </w:rPr>
          <w:t>Table of Contents</w:t>
        </w:r>
      </w:hyperlink>
    </w:p>
    <w:p w14:paraId="2AFF5C0C" w14:textId="77777777" w:rsidR="00000000" w:rsidRDefault="00C1661D">
      <w:pPr>
        <w:jc w:val="both"/>
        <w:rPr>
          <w:rFonts w:eastAsia="Times New Roman"/>
        </w:rPr>
      </w:pPr>
    </w:p>
    <w:p w14:paraId="217AF32E" w14:textId="77777777" w:rsidR="00000000" w:rsidRDefault="00C1661D">
      <w:pPr>
        <w:jc w:val="both"/>
        <w:rPr>
          <w:rFonts w:eastAsia="Times New Roman"/>
        </w:rPr>
      </w:pPr>
      <w:r>
        <w:rPr>
          <w:rFonts w:eastAsia="Times New Roman"/>
          <w:b/>
          <w:bCs/>
          <w:i/>
          <w:iCs/>
          <w:color w:val="000000"/>
          <w:sz w:val="20"/>
          <w:szCs w:val="20"/>
        </w:rPr>
        <w:t>Changes in data privacy and data protection laws and regulations or any failure to comply with such laws and regulations, could adversely affect our business and financial resu</w:t>
      </w:r>
      <w:r>
        <w:rPr>
          <w:rFonts w:eastAsia="Times New Roman"/>
          <w:b/>
          <w:bCs/>
          <w:i/>
          <w:iCs/>
          <w:color w:val="000000"/>
          <w:sz w:val="20"/>
          <w:szCs w:val="20"/>
        </w:rPr>
        <w:t xml:space="preserve">lts. </w:t>
      </w:r>
      <w:r>
        <w:rPr>
          <w:rFonts w:eastAsia="Times New Roman"/>
          <w:color w:val="000000"/>
          <w:sz w:val="20"/>
          <w:szCs w:val="20"/>
        </w:rPr>
        <w:t>As part of our operations, we collect, use, store and transfer the personal information and data of our employees as well as customer, vendor and supplier data in and across various jurisdictions. There has been increased public attention regarding th</w:t>
      </w:r>
      <w:r>
        <w:rPr>
          <w:rFonts w:eastAsia="Times New Roman"/>
          <w:color w:val="000000"/>
          <w:sz w:val="20"/>
          <w:szCs w:val="20"/>
        </w:rPr>
        <w:t>e use of personal information and data transfers, accompanied by legislation and regulations intended to strengthen data protection, information security and consumer and personal privacy. The laws in these areas continue to develop and the changing nature</w:t>
      </w:r>
      <w:r>
        <w:rPr>
          <w:rFonts w:eastAsia="Times New Roman"/>
          <w:color w:val="000000"/>
          <w:sz w:val="20"/>
          <w:szCs w:val="20"/>
        </w:rPr>
        <w:t xml:space="preserve"> of data protection, information security and privacy laws in the U.S., the EU and elsewhere could impact our processing of the personal information and data of our employees, vendors, suppliers and customers, which could lead to increased operating costs.</w:t>
      </w:r>
      <w:r>
        <w:rPr>
          <w:rFonts w:eastAsia="Times New Roman"/>
          <w:color w:val="000000"/>
          <w:sz w:val="20"/>
          <w:szCs w:val="20"/>
        </w:rPr>
        <w:t xml:space="preserve"> Existing and emerging laws and regulations are inconsistent across jurisdictions and are subject to evolving, differing, and sometimes conflicting interpretations. The EU adopted the GDPR, which expanded EU data protections, in certain circumstances, to c</w:t>
      </w:r>
      <w:r>
        <w:rPr>
          <w:rFonts w:eastAsia="Times New Roman"/>
          <w:color w:val="000000"/>
          <w:sz w:val="20"/>
          <w:szCs w:val="20"/>
        </w:rPr>
        <w:t>ompanies outside of the EU processing data of EU residents, regardless of whether the processing occurs in the EU. Similarly, the State of California legislature passed the California Consumer Privacy Act of 2018 (the “CCPA”) and the California Privacy Rig</w:t>
      </w:r>
      <w:r>
        <w:rPr>
          <w:rFonts w:eastAsia="Times New Roman"/>
          <w:color w:val="000000"/>
          <w:sz w:val="20"/>
          <w:szCs w:val="20"/>
        </w:rPr>
        <w:t>hts Act (the “CPRA”), which, among other things, grant a number of rights to California residents with respect to their personal information, and require companies to make extensive disclosures to consumers about such companies’ data collection, use, and s</w:t>
      </w:r>
      <w:r>
        <w:rPr>
          <w:rFonts w:eastAsia="Times New Roman"/>
          <w:color w:val="000000"/>
          <w:sz w:val="20"/>
          <w:szCs w:val="20"/>
        </w:rPr>
        <w:t>haring practices and inform consumers of their personal information rights. In addition, the CPRA created a new state privacy regulator, which will likely result in greater regulatory activity and enforcement in the privacy area. Comprehensive privacy laws</w:t>
      </w:r>
      <w:r>
        <w:rPr>
          <w:rFonts w:eastAsia="Times New Roman"/>
          <w:color w:val="000000"/>
          <w:sz w:val="20"/>
          <w:szCs w:val="20"/>
        </w:rPr>
        <w:t xml:space="preserve"> with some similarities to the CCPA and CPRA have been proposed or passed at the U.S. federal and state levels, such as the Virginia Consumer Data Protection Act (the “VCDPA) and the Colorado Privacy Act (the “CPA”). Additionally, the Federal Trade Commiss</w:t>
      </w:r>
      <w:r>
        <w:rPr>
          <w:rFonts w:eastAsia="Times New Roman"/>
          <w:color w:val="000000"/>
          <w:sz w:val="20"/>
          <w:szCs w:val="20"/>
        </w:rPr>
        <w:t>ion and many state attorneys general are interpreting federal and state consumer protection laws to impose standards for the online collection, use, dissemination and security of data as well as requiring disclosures about these practices. We expect that t</w:t>
      </w:r>
      <w:r>
        <w:rPr>
          <w:rFonts w:eastAsia="Times New Roman"/>
          <w:color w:val="000000"/>
          <w:sz w:val="20"/>
          <w:szCs w:val="20"/>
        </w:rPr>
        <w:t xml:space="preserve">here will continue to be new laws, regulations and industry standards concerning data privacy and data protection in the U.S., the EU and other jurisdictions, and we cannot yet determine the impact such laws, regulations, interpretations and standards may </w:t>
      </w:r>
      <w:r>
        <w:rPr>
          <w:rFonts w:eastAsia="Times New Roman"/>
          <w:color w:val="000000"/>
          <w:sz w:val="20"/>
          <w:szCs w:val="20"/>
        </w:rPr>
        <w:t>have on our business.</w:t>
      </w:r>
    </w:p>
    <w:p w14:paraId="04CFF5BE" w14:textId="77777777" w:rsidR="00000000" w:rsidRDefault="00C1661D">
      <w:pPr>
        <w:jc w:val="both"/>
        <w:rPr>
          <w:rFonts w:eastAsia="Times New Roman"/>
        </w:rPr>
      </w:pPr>
    </w:p>
    <w:p w14:paraId="39133F2F" w14:textId="77777777" w:rsidR="00000000" w:rsidRDefault="00C1661D">
      <w:pPr>
        <w:jc w:val="both"/>
        <w:rPr>
          <w:rFonts w:eastAsia="Times New Roman"/>
        </w:rPr>
      </w:pPr>
      <w:r>
        <w:rPr>
          <w:rFonts w:eastAsia="Times New Roman"/>
          <w:color w:val="000000"/>
          <w:sz w:val="20"/>
          <w:szCs w:val="20"/>
        </w:rPr>
        <w:t>While we have invested significant time and resources in our GDPR compliance program, emerging and changing data privacy and data protection requirements, including CCPA, CPRA, VCDPA and CPA, as well as other new and upcoming federa</w:t>
      </w:r>
      <w:r>
        <w:rPr>
          <w:rFonts w:eastAsia="Times New Roman"/>
          <w:color w:val="000000"/>
          <w:sz w:val="20"/>
          <w:szCs w:val="20"/>
        </w:rPr>
        <w:t>l and state privacy laws and industry standards may cause us to incur substantial fines, additional significant costs or require us to change our business practices. Any failure or perceived failure to comply may result in proceedings or actions against us</w:t>
      </w:r>
      <w:r>
        <w:rPr>
          <w:rFonts w:eastAsia="Times New Roman"/>
          <w:color w:val="000000"/>
          <w:sz w:val="20"/>
          <w:szCs w:val="20"/>
        </w:rPr>
        <w:t xml:space="preserve"> by government entities or individuals. Moreover, any inquiries or investigations, any other government actions or any actions by individuals may be costly to comply with, result in negative publicity, increase our operating costs, require significant mana</w:t>
      </w:r>
      <w:r>
        <w:rPr>
          <w:rFonts w:eastAsia="Times New Roman"/>
          <w:color w:val="000000"/>
          <w:sz w:val="20"/>
          <w:szCs w:val="20"/>
        </w:rPr>
        <w:t>gement time and attention and subject us to remedies that may harm our business, including fines, demands or orders that we modify or cease existing business practices.</w:t>
      </w:r>
    </w:p>
    <w:p w14:paraId="326BBAA7" w14:textId="77777777" w:rsidR="00000000" w:rsidRDefault="00C1661D">
      <w:pPr>
        <w:divId w:val="885020936"/>
        <w:rPr>
          <w:rFonts w:eastAsia="Times New Roman"/>
        </w:rPr>
      </w:pPr>
    </w:p>
    <w:p w14:paraId="69E46491" w14:textId="77777777" w:rsidR="00000000" w:rsidRDefault="00C1661D">
      <w:pPr>
        <w:jc w:val="both"/>
        <w:rPr>
          <w:rFonts w:eastAsia="Times New Roman"/>
        </w:rPr>
      </w:pPr>
      <w:r>
        <w:rPr>
          <w:rFonts w:eastAsia="Times New Roman"/>
          <w:b/>
          <w:bCs/>
          <w:i/>
          <w:iCs/>
          <w:color w:val="000000"/>
          <w:sz w:val="20"/>
          <w:szCs w:val="20"/>
        </w:rPr>
        <w:t xml:space="preserve">The provisions of the Dodd-Frank Wall Street Reform and Consumer Protection Act (the </w:t>
      </w:r>
      <w:r>
        <w:rPr>
          <w:rFonts w:eastAsia="Times New Roman"/>
          <w:b/>
          <w:bCs/>
          <w:i/>
          <w:iCs/>
          <w:color w:val="000000"/>
          <w:sz w:val="20"/>
          <w:szCs w:val="20"/>
        </w:rPr>
        <w:t>“Dodd-Frank Act”), related regulations, and the rules adopted thereunder and other regulations, including the European Market Infrastructure Regulation (the “EMIR”), may have an adverse effect on our ability to use derivative instruments to hedge risks ass</w:t>
      </w:r>
      <w:r>
        <w:rPr>
          <w:rFonts w:eastAsia="Times New Roman"/>
          <w:b/>
          <w:bCs/>
          <w:i/>
          <w:iCs/>
          <w:color w:val="000000"/>
          <w:sz w:val="20"/>
          <w:szCs w:val="20"/>
        </w:rPr>
        <w:t>ociated with our business.</w:t>
      </w:r>
      <w:r>
        <w:rPr>
          <w:rFonts w:eastAsia="Times New Roman"/>
          <w:color w:val="000000"/>
          <w:sz w:val="20"/>
          <w:szCs w:val="20"/>
        </w:rPr>
        <w:t xml:space="preserve"> Our derivative hedging activities are subject to Title VII of the Dodd-Frank Act, which regulates the over-the-counter derivatives market and entities that participate in that market. The Dodd-Frank Act requires the CFTC and the </w:t>
      </w:r>
      <w:r>
        <w:rPr>
          <w:rFonts w:eastAsia="Times New Roman"/>
          <w:color w:val="000000"/>
          <w:sz w:val="20"/>
          <w:szCs w:val="20"/>
        </w:rPr>
        <w:t>federal banking regulators to implement the Dodd-Frank Act’s provisions through rulemaking, including rules regarding mandatory clearing, trade execution and margin requirements. We have and expect to continue to qualify for and rely upon an exception from</w:t>
      </w:r>
      <w:r>
        <w:rPr>
          <w:rFonts w:eastAsia="Times New Roman"/>
          <w:color w:val="000000"/>
          <w:sz w:val="20"/>
          <w:szCs w:val="20"/>
        </w:rPr>
        <w:t xml:space="preserve"> mandatory clearing and trade execution requirements for swaps entered into by commercial end-users to hedge commercial risks. In addition to relief from the clearing mandate, we also expect to continue to qualify for an exception for non-financial end-use</w:t>
      </w:r>
      <w:r>
        <w:rPr>
          <w:rFonts w:eastAsia="Times New Roman"/>
          <w:color w:val="000000"/>
          <w:sz w:val="20"/>
          <w:szCs w:val="20"/>
        </w:rPr>
        <w:t>rs from the margin requirements on uncleared swaps. If we are not able to do so and have to post margin as to our uncleared swaps in the future, our costs of entering into and maintaining swaps would be increased.</w:t>
      </w:r>
    </w:p>
    <w:p w14:paraId="79F30EF3" w14:textId="77777777" w:rsidR="00000000" w:rsidRDefault="00C1661D">
      <w:pPr>
        <w:jc w:val="both"/>
        <w:rPr>
          <w:rFonts w:eastAsia="Times New Roman"/>
        </w:rPr>
      </w:pPr>
    </w:p>
    <w:p w14:paraId="7C917F47" w14:textId="77777777" w:rsidR="00000000" w:rsidRDefault="00C1661D">
      <w:pPr>
        <w:jc w:val="both"/>
        <w:rPr>
          <w:rFonts w:eastAsia="Times New Roman"/>
        </w:rPr>
      </w:pPr>
      <w:r>
        <w:rPr>
          <w:rFonts w:eastAsia="Times New Roman"/>
          <w:color w:val="000000"/>
          <w:sz w:val="20"/>
          <w:szCs w:val="20"/>
        </w:rPr>
        <w:t>Based on information available as of the</w:t>
      </w:r>
      <w:r>
        <w:rPr>
          <w:rFonts w:eastAsia="Times New Roman"/>
          <w:color w:val="000000"/>
          <w:sz w:val="20"/>
          <w:szCs w:val="20"/>
        </w:rPr>
        <w:t xml:space="preserve"> date of this Report, the effect of such requirements will be likely to (directly or indirectly) increase our overall costs of entering into derivatives transactions. In particular, new margin requirements, position limits and significantly higher capital </w:t>
      </w:r>
      <w:r>
        <w:rPr>
          <w:rFonts w:eastAsia="Times New Roman"/>
          <w:color w:val="000000"/>
          <w:sz w:val="20"/>
          <w:szCs w:val="20"/>
        </w:rPr>
        <w:t>charges resulting from new global capital regulations, even if not directly applicable to us, may cause an increase in the pricing of derivatives transactions entered into by market participants to whom such requirements apply or affect our overall ability</w:t>
      </w:r>
      <w:r>
        <w:rPr>
          <w:rFonts w:eastAsia="Times New Roman"/>
          <w:color w:val="000000"/>
          <w:sz w:val="20"/>
          <w:szCs w:val="20"/>
        </w:rPr>
        <w:t xml:space="preserve"> to enter into derivatives transactions with certain counterparties. While costs imposed directly on us due to regulatory requirements for derivatives under the Dodd-Frank Act, such as reporting, recordkeeping and electing the end-user exception from manda</w:t>
      </w:r>
      <w:r>
        <w:rPr>
          <w:rFonts w:eastAsia="Times New Roman"/>
          <w:color w:val="000000"/>
          <w:sz w:val="20"/>
          <w:szCs w:val="20"/>
        </w:rPr>
        <w:t xml:space="preserve">tory clearing, are relatively minor, costs imposed upon our counterparties may increase the cost of our doing business in the derivatives markets to the extent such costs are passed on to us. </w:t>
      </w:r>
    </w:p>
    <w:p w14:paraId="74CCC27F" w14:textId="77777777" w:rsidR="00000000" w:rsidRDefault="00C1661D">
      <w:pPr>
        <w:divId w:val="943851010"/>
        <w:rPr>
          <w:rFonts w:eastAsia="Times New Roman"/>
        </w:rPr>
      </w:pPr>
    </w:p>
    <w:p w14:paraId="6E4E7E24" w14:textId="77777777" w:rsidR="00000000" w:rsidRDefault="00C1661D">
      <w:pPr>
        <w:jc w:val="both"/>
        <w:rPr>
          <w:rFonts w:eastAsia="Times New Roman"/>
        </w:rPr>
      </w:pPr>
      <w:r>
        <w:rPr>
          <w:rFonts w:eastAsia="Times New Roman"/>
          <w:color w:val="000000"/>
          <w:sz w:val="20"/>
          <w:szCs w:val="20"/>
        </w:rPr>
        <w:t>The EMIR may result in increased costs for over-the-counter d</w:t>
      </w:r>
      <w:r>
        <w:rPr>
          <w:rFonts w:eastAsia="Times New Roman"/>
          <w:color w:val="000000"/>
          <w:sz w:val="20"/>
          <w:szCs w:val="20"/>
        </w:rPr>
        <w:t>erivative counterparties trading in the EU and may also lead to an increase in the costs of, and demand for, the liquid collateral that the EMIR requires central counterparties to accept. Although we expect to continue to qualify as a non-financial counter</w:t>
      </w:r>
      <w:r>
        <w:rPr>
          <w:rFonts w:eastAsia="Times New Roman"/>
          <w:color w:val="000000"/>
          <w:sz w:val="20"/>
          <w:szCs w:val="20"/>
        </w:rPr>
        <w:t xml:space="preserve">party under the EMIR, and thus not be required to post margin, we are currently subject to limited derivatives reporting requirements that could expand in the future, and may also be </w:t>
      </w:r>
    </w:p>
    <w:p w14:paraId="544A1C98" w14:textId="77777777" w:rsidR="00000000" w:rsidRDefault="00C1661D">
      <w:pPr>
        <w:jc w:val="center"/>
        <w:divId w:val="218443558"/>
        <w:rPr>
          <w:rFonts w:eastAsia="Times New Roman"/>
        </w:rPr>
      </w:pPr>
      <w:r>
        <w:rPr>
          <w:rFonts w:eastAsia="Times New Roman"/>
          <w:color w:val="000000"/>
          <w:sz w:val="20"/>
          <w:szCs w:val="20"/>
        </w:rPr>
        <w:t>43</w:t>
      </w:r>
    </w:p>
    <w:p w14:paraId="3A37D440" w14:textId="77777777" w:rsidR="00000000" w:rsidRDefault="00C1661D">
      <w:pPr>
        <w:rPr>
          <w:rFonts w:eastAsia="Times New Roman"/>
        </w:rPr>
      </w:pPr>
      <w:r>
        <w:rPr>
          <w:rFonts w:eastAsia="Times New Roman"/>
        </w:rPr>
        <w:pict w14:anchorId="1A8ACB82">
          <v:rect id="_x0000_i1069" style="width:0;height:1.5pt" o:hralign="center" o:hrstd="t" o:hr="t" fillcolor="#a0a0a0" stroked="f"/>
        </w:pict>
      </w:r>
    </w:p>
    <w:p w14:paraId="0AD67DB6" w14:textId="77777777" w:rsidR="00000000" w:rsidRDefault="00C1661D">
      <w:pPr>
        <w:divId w:val="404111603"/>
        <w:rPr>
          <w:rFonts w:eastAsia="Times New Roman"/>
        </w:rPr>
      </w:pPr>
      <w:hyperlink w:anchor="i3850c3c6c0104e42b9951aac2f16098a_7" w:history="1">
        <w:r>
          <w:rPr>
            <w:rStyle w:val="a3"/>
            <w:rFonts w:eastAsia="Times New Roman"/>
            <w:b/>
            <w:bCs/>
            <w:sz w:val="20"/>
            <w:szCs w:val="20"/>
          </w:rPr>
          <w:t>Table of Contents</w:t>
        </w:r>
      </w:hyperlink>
    </w:p>
    <w:p w14:paraId="61A15627" w14:textId="77777777" w:rsidR="00000000" w:rsidRDefault="00C1661D">
      <w:pPr>
        <w:jc w:val="both"/>
        <w:rPr>
          <w:rFonts w:eastAsia="Times New Roman"/>
        </w:rPr>
      </w:pPr>
      <w:r>
        <w:rPr>
          <w:rFonts w:eastAsia="Times New Roman"/>
          <w:color w:val="000000"/>
          <w:sz w:val="20"/>
          <w:szCs w:val="20"/>
        </w:rPr>
        <w:t>subject to increased regulatory requirements, including recordkeeping, marking to market, timely confirmations, portfolio reconciliation and dispute resolution procedures. Provisions under the EMIR could signific</w:t>
      </w:r>
      <w:r>
        <w:rPr>
          <w:rFonts w:eastAsia="Times New Roman"/>
          <w:color w:val="000000"/>
          <w:sz w:val="20"/>
          <w:szCs w:val="20"/>
        </w:rPr>
        <w:t>antly increase the cost of derivatives contracts, materially alter the terms of derivatives contracts and reduce the availability of derivatives to protect against risks that we encounter. The increased trading costs and collateral costs may have an advers</w:t>
      </w:r>
      <w:r>
        <w:rPr>
          <w:rFonts w:eastAsia="Times New Roman"/>
          <w:color w:val="000000"/>
          <w:sz w:val="20"/>
          <w:szCs w:val="20"/>
        </w:rPr>
        <w:t>e impact on our business, contracts, financial condition, operating results, cash flow, liquidity and prospects.</w:t>
      </w:r>
    </w:p>
    <w:p w14:paraId="0573085D" w14:textId="77777777" w:rsidR="00000000" w:rsidRDefault="00C1661D">
      <w:pPr>
        <w:jc w:val="both"/>
        <w:rPr>
          <w:rFonts w:eastAsia="Times New Roman"/>
        </w:rPr>
      </w:pPr>
    </w:p>
    <w:p w14:paraId="2914845F" w14:textId="77777777" w:rsidR="00000000" w:rsidRDefault="00C1661D">
      <w:pPr>
        <w:jc w:val="both"/>
        <w:rPr>
          <w:rFonts w:eastAsia="Times New Roman"/>
        </w:rPr>
      </w:pPr>
      <w:r>
        <w:rPr>
          <w:rFonts w:eastAsia="Times New Roman"/>
          <w:b/>
          <w:bCs/>
          <w:color w:val="000000"/>
          <w:sz w:val="20"/>
          <w:szCs w:val="20"/>
          <w:u w:val="single"/>
        </w:rPr>
        <w:t>General Risks that May Impact Our Business and Our Shareholders</w:t>
      </w:r>
    </w:p>
    <w:p w14:paraId="1326E6EA" w14:textId="77777777" w:rsidR="00000000" w:rsidRDefault="00C1661D">
      <w:pPr>
        <w:jc w:val="both"/>
        <w:rPr>
          <w:rFonts w:eastAsia="Times New Roman"/>
        </w:rPr>
      </w:pPr>
    </w:p>
    <w:p w14:paraId="56754D8A" w14:textId="77777777" w:rsidR="00000000" w:rsidRDefault="00C1661D">
      <w:pPr>
        <w:jc w:val="both"/>
        <w:rPr>
          <w:rFonts w:eastAsia="Times New Roman"/>
        </w:rPr>
      </w:pPr>
      <w:r>
        <w:rPr>
          <w:rFonts w:eastAsia="Times New Roman"/>
          <w:b/>
          <w:bCs/>
          <w:i/>
          <w:iCs/>
          <w:color w:val="000000"/>
          <w:sz w:val="20"/>
          <w:szCs w:val="20"/>
        </w:rPr>
        <w:t>The inability to attract, develop, retain and engage key employees could ad</w:t>
      </w:r>
      <w:r>
        <w:rPr>
          <w:rFonts w:eastAsia="Times New Roman"/>
          <w:b/>
          <w:bCs/>
          <w:i/>
          <w:iCs/>
          <w:color w:val="000000"/>
          <w:sz w:val="20"/>
          <w:szCs w:val="20"/>
        </w:rPr>
        <w:t>versely affect our ability to execute our strategic, operational and financial plans.</w:t>
      </w:r>
      <w:r>
        <w:rPr>
          <w:rFonts w:eastAsia="Times New Roman"/>
          <w:color w:val="000000"/>
          <w:sz w:val="20"/>
          <w:szCs w:val="20"/>
        </w:rPr>
        <w:t xml:space="preserve"> We are dependent upon the continued service and contributions of our management and key technical and professional employees, as well as our ability to transfer the knowl</w:t>
      </w:r>
      <w:r>
        <w:rPr>
          <w:rFonts w:eastAsia="Times New Roman"/>
          <w:color w:val="000000"/>
          <w:sz w:val="20"/>
          <w:szCs w:val="20"/>
        </w:rPr>
        <w:t>edge and expertise of our workforce to new employees as our employees retire or we otherwise experience employee turnover. In addition, the success of our operations depends on our ability to identify, attract and develop skilled and experienced key employ</w:t>
      </w:r>
      <w:r>
        <w:rPr>
          <w:rFonts w:eastAsia="Times New Roman"/>
          <w:color w:val="000000"/>
          <w:sz w:val="20"/>
          <w:szCs w:val="20"/>
        </w:rPr>
        <w:t>ees. There is increased competition for experienced management and technical and professional employees, which could increase the costs associated with identifying, attracting and retaining such individuals. Additionally, we may not be able to attract, ret</w:t>
      </w:r>
      <w:r>
        <w:rPr>
          <w:rFonts w:eastAsia="Times New Roman"/>
          <w:color w:val="000000"/>
          <w:sz w:val="20"/>
          <w:szCs w:val="20"/>
        </w:rPr>
        <w:t>ain or engage key employees if our compensation and benefits program is not as robust as the compensation and benefits programs offered by other employers for similar roles. Further, a lack of employee engagement could lead to loss of productivity and incr</w:t>
      </w:r>
      <w:r>
        <w:rPr>
          <w:rFonts w:eastAsia="Times New Roman"/>
          <w:color w:val="000000"/>
          <w:sz w:val="20"/>
          <w:szCs w:val="20"/>
        </w:rPr>
        <w:t>eased employee burnout, turnover, absenteeism, safety incidents as well as decreased customer satisfaction. If we cannot identify, attract, develop, retain and engage management, technical and professional employees, along with other qualified employees, t</w:t>
      </w:r>
      <w:r>
        <w:rPr>
          <w:rFonts w:eastAsia="Times New Roman"/>
          <w:color w:val="000000"/>
          <w:sz w:val="20"/>
          <w:szCs w:val="20"/>
        </w:rPr>
        <w:t>o support the various functions of our business, our operations and financial performance could be adversely impacted.</w:t>
      </w:r>
    </w:p>
    <w:p w14:paraId="6D2C7940" w14:textId="77777777" w:rsidR="00000000" w:rsidRDefault="00C1661D">
      <w:pPr>
        <w:divId w:val="282226379"/>
        <w:rPr>
          <w:rFonts w:eastAsia="Times New Roman"/>
        </w:rPr>
      </w:pPr>
    </w:p>
    <w:p w14:paraId="5E348F73" w14:textId="77777777" w:rsidR="00000000" w:rsidRDefault="00C1661D">
      <w:pPr>
        <w:jc w:val="both"/>
        <w:rPr>
          <w:rFonts w:eastAsia="Times New Roman"/>
        </w:rPr>
      </w:pPr>
      <w:r>
        <w:rPr>
          <w:rFonts w:eastAsia="Times New Roman"/>
          <w:b/>
          <w:bCs/>
          <w:i/>
          <w:iCs/>
          <w:color w:val="000000"/>
          <w:sz w:val="20"/>
          <w:szCs w:val="20"/>
        </w:rPr>
        <w:t>The ongoing COVID-19 pandemic and the spread of variant strains has adversely impacted our business, and could in the future materially</w:t>
      </w:r>
      <w:r>
        <w:rPr>
          <w:rFonts w:eastAsia="Times New Roman"/>
          <w:b/>
          <w:bCs/>
          <w:i/>
          <w:iCs/>
          <w:color w:val="000000"/>
          <w:sz w:val="20"/>
          <w:szCs w:val="20"/>
        </w:rPr>
        <w:t xml:space="preserve"> impact our business,</w:t>
      </w:r>
      <w:r>
        <w:rPr>
          <w:rFonts w:eastAsia="Times New Roman"/>
          <w:color w:val="000000"/>
          <w:sz w:val="20"/>
          <w:szCs w:val="20"/>
        </w:rPr>
        <w:t xml:space="preserve"> </w:t>
      </w:r>
      <w:r>
        <w:rPr>
          <w:rFonts w:eastAsia="Times New Roman"/>
          <w:b/>
          <w:bCs/>
          <w:i/>
          <w:iCs/>
          <w:color w:val="000000"/>
          <w:sz w:val="20"/>
          <w:szCs w:val="20"/>
        </w:rPr>
        <w:t xml:space="preserve">financial condition and results of operations. </w:t>
      </w:r>
      <w:r>
        <w:rPr>
          <w:rFonts w:eastAsia="Times New Roman"/>
          <w:color w:val="000000"/>
          <w:sz w:val="20"/>
          <w:szCs w:val="20"/>
        </w:rPr>
        <w:t>The COVID-19 pandemic, including the spread of variant strains, has resulted in, and could continue to result in, widespread impacts on the global economy and on our employees, customers,</w:t>
      </w:r>
      <w:r>
        <w:rPr>
          <w:rFonts w:eastAsia="Times New Roman"/>
          <w:color w:val="000000"/>
          <w:sz w:val="20"/>
          <w:szCs w:val="20"/>
        </w:rPr>
        <w:t xml:space="preserve"> third-party business partners and other stakeholders. While we have experienced improving activity in most markets and geographies, there remains considerable uncertainty regarding the extent to which COVID-19 and variant strains will continue to spread a</w:t>
      </w:r>
      <w:r>
        <w:rPr>
          <w:rFonts w:eastAsia="Times New Roman"/>
          <w:color w:val="000000"/>
          <w:sz w:val="20"/>
          <w:szCs w:val="20"/>
        </w:rPr>
        <w:t>nd the extent and duration of domestic and global measures designed to contain the spread, including travel bans and restrictions, quarantines, shelter-in-place orders, vaccination mandates and business and government shutdowns. The continuation of the COV</w:t>
      </w:r>
      <w:r>
        <w:rPr>
          <w:rFonts w:eastAsia="Times New Roman"/>
          <w:color w:val="000000"/>
          <w:sz w:val="20"/>
          <w:szCs w:val="20"/>
        </w:rPr>
        <w:t>ID-19 pandemic may, among other things:</w:t>
      </w:r>
    </w:p>
    <w:p w14:paraId="21700AB7" w14:textId="77777777" w:rsidR="00000000" w:rsidRDefault="00C1661D">
      <w:pPr>
        <w:jc w:val="both"/>
        <w:rPr>
          <w:rFonts w:eastAsia="Times New Roman"/>
        </w:rPr>
      </w:pPr>
    </w:p>
    <w:p w14:paraId="6257E373" w14:textId="77777777" w:rsidR="00000000" w:rsidRDefault="00C1661D">
      <w:pPr>
        <w:ind w:hanging="360"/>
        <w:jc w:val="both"/>
        <w:rPr>
          <w:rFonts w:eastAsia="Times New Roman"/>
        </w:rPr>
      </w:pPr>
      <w:r>
        <w:rPr>
          <w:rFonts w:eastAsia="Times New Roman"/>
          <w:color w:val="000000"/>
          <w:sz w:val="20"/>
          <w:szCs w:val="20"/>
        </w:rPr>
        <w:t>•</w:t>
      </w:r>
      <w:r>
        <w:rPr>
          <w:rFonts w:eastAsia="Times New Roman"/>
          <w:color w:val="000000"/>
          <w:sz w:val="20"/>
          <w:szCs w:val="20"/>
        </w:rPr>
        <w:t>negatively impact the financial condition of our customers and their ability to pay for our products and services;</w:t>
      </w:r>
    </w:p>
    <w:p w14:paraId="60BD8BDE" w14:textId="77777777" w:rsidR="00000000" w:rsidRDefault="00C1661D">
      <w:pPr>
        <w:ind w:hanging="360"/>
        <w:divId w:val="447046071"/>
        <w:rPr>
          <w:rFonts w:eastAsia="Times New Roman"/>
        </w:rPr>
      </w:pPr>
      <w:r>
        <w:rPr>
          <w:rFonts w:eastAsia="Times New Roman"/>
          <w:color w:val="000000"/>
          <w:sz w:val="20"/>
          <w:szCs w:val="20"/>
        </w:rPr>
        <w:t>•decrease demand for our products and services, as was the case in Fiscal 2020 through part of Fiscal 2022 with respect to certain of our nat</w:t>
      </w:r>
      <w:r>
        <w:rPr>
          <w:rFonts w:eastAsia="Times New Roman"/>
          <w:color w:val="000000"/>
          <w:sz w:val="20"/>
          <w:szCs w:val="20"/>
        </w:rPr>
        <w:t xml:space="preserve">ural gas and propane products and services; </w:t>
      </w:r>
    </w:p>
    <w:p w14:paraId="62AB9C5D" w14:textId="77777777" w:rsidR="00000000" w:rsidRDefault="00C1661D">
      <w:pPr>
        <w:ind w:hanging="360"/>
        <w:jc w:val="both"/>
        <w:rPr>
          <w:rFonts w:eastAsia="Times New Roman"/>
        </w:rPr>
      </w:pPr>
      <w:r>
        <w:rPr>
          <w:rFonts w:eastAsia="Times New Roman"/>
          <w:color w:val="000000"/>
          <w:sz w:val="20"/>
          <w:szCs w:val="20"/>
        </w:rPr>
        <w:t>•disrupt or delay progress in the development and completion of our energy infrastructure projects;</w:t>
      </w:r>
    </w:p>
    <w:p w14:paraId="6C9A7805" w14:textId="77777777" w:rsidR="00000000" w:rsidRDefault="00C1661D">
      <w:pPr>
        <w:ind w:hanging="360"/>
        <w:jc w:val="both"/>
        <w:rPr>
          <w:rFonts w:eastAsia="Times New Roman"/>
        </w:rPr>
      </w:pPr>
      <w:r>
        <w:rPr>
          <w:rFonts w:eastAsia="Times New Roman"/>
          <w:color w:val="000000"/>
          <w:sz w:val="20"/>
          <w:szCs w:val="20"/>
        </w:rPr>
        <w:t>•prolong the time period necessary to perform maintenance of our infrastructure;</w:t>
      </w:r>
    </w:p>
    <w:p w14:paraId="7CFB48A8" w14:textId="77777777" w:rsidR="00000000" w:rsidRDefault="00C1661D">
      <w:pPr>
        <w:ind w:hanging="360"/>
        <w:jc w:val="both"/>
        <w:rPr>
          <w:rFonts w:eastAsia="Times New Roman"/>
        </w:rPr>
      </w:pPr>
      <w:r>
        <w:rPr>
          <w:rFonts w:eastAsia="Times New Roman"/>
          <w:color w:val="000000"/>
          <w:sz w:val="20"/>
          <w:szCs w:val="20"/>
        </w:rPr>
        <w:t>•</w:t>
      </w:r>
      <w:r>
        <w:rPr>
          <w:rFonts w:eastAsia="Times New Roman"/>
          <w:color w:val="000000"/>
          <w:sz w:val="20"/>
          <w:szCs w:val="20"/>
        </w:rPr>
        <w:t>result in operational delays, including delay in the delivery of our products to customers;</w:t>
      </w:r>
    </w:p>
    <w:p w14:paraId="4F1F4426" w14:textId="77777777" w:rsidR="00000000" w:rsidRDefault="00C1661D">
      <w:pPr>
        <w:ind w:hanging="360"/>
        <w:jc w:val="both"/>
        <w:rPr>
          <w:rFonts w:eastAsia="Times New Roman"/>
        </w:rPr>
      </w:pPr>
      <w:r>
        <w:rPr>
          <w:rFonts w:eastAsia="Times New Roman"/>
          <w:color w:val="000000"/>
          <w:sz w:val="20"/>
          <w:szCs w:val="20"/>
        </w:rPr>
        <w:t>•result in temporary or permanent shortages in our workforce;</w:t>
      </w:r>
    </w:p>
    <w:p w14:paraId="7D864E07" w14:textId="77777777" w:rsidR="00000000" w:rsidRDefault="00C1661D">
      <w:pPr>
        <w:ind w:hanging="360"/>
        <w:jc w:val="both"/>
        <w:rPr>
          <w:rFonts w:eastAsia="Times New Roman"/>
        </w:rPr>
      </w:pPr>
      <w:r>
        <w:rPr>
          <w:rFonts w:eastAsia="Times New Roman"/>
          <w:color w:val="000000"/>
          <w:sz w:val="20"/>
          <w:szCs w:val="20"/>
        </w:rPr>
        <w:t xml:space="preserve">•result in impairment relating to certain current and long-lived assets and goodwill; </w:t>
      </w:r>
    </w:p>
    <w:p w14:paraId="246C55C9" w14:textId="77777777" w:rsidR="00000000" w:rsidRDefault="00C1661D">
      <w:pPr>
        <w:ind w:hanging="360"/>
        <w:jc w:val="both"/>
        <w:rPr>
          <w:rFonts w:eastAsia="Times New Roman"/>
        </w:rPr>
      </w:pPr>
      <w:r>
        <w:rPr>
          <w:rFonts w:eastAsia="Times New Roman"/>
          <w:color w:val="000000"/>
          <w:sz w:val="20"/>
          <w:szCs w:val="20"/>
        </w:rPr>
        <w:t>•delay the time</w:t>
      </w:r>
      <w:r>
        <w:rPr>
          <w:rFonts w:eastAsia="Times New Roman"/>
          <w:color w:val="000000"/>
          <w:sz w:val="20"/>
          <w:szCs w:val="20"/>
        </w:rPr>
        <w:t xml:space="preserve">liness of our ability to source goods; </w:t>
      </w:r>
    </w:p>
    <w:p w14:paraId="6B23C194" w14:textId="77777777" w:rsidR="00000000" w:rsidRDefault="00C1661D">
      <w:pPr>
        <w:ind w:hanging="360"/>
        <w:divId w:val="1161314862"/>
        <w:rPr>
          <w:rFonts w:eastAsia="Times New Roman"/>
        </w:rPr>
      </w:pPr>
      <w:r>
        <w:rPr>
          <w:rFonts w:eastAsia="Times New Roman"/>
          <w:color w:val="000000"/>
          <w:sz w:val="20"/>
          <w:szCs w:val="20"/>
        </w:rPr>
        <w:t>•result in commodity price volatility and supply chain constraints, as was the case in in Fiscal 2020 through part of Fiscal 2022; and</w:t>
      </w:r>
    </w:p>
    <w:p w14:paraId="55C6487F" w14:textId="77777777" w:rsidR="00000000" w:rsidRDefault="00C1661D">
      <w:pPr>
        <w:ind w:hanging="360"/>
        <w:jc w:val="both"/>
        <w:rPr>
          <w:rFonts w:eastAsia="Times New Roman"/>
        </w:rPr>
      </w:pPr>
      <w:r>
        <w:rPr>
          <w:rFonts w:eastAsia="Times New Roman"/>
          <w:color w:val="000000"/>
          <w:sz w:val="20"/>
          <w:szCs w:val="20"/>
        </w:rPr>
        <w:t>•limit or curtail significantly or entirely the ability of public utility commiss</w:t>
      </w:r>
      <w:r>
        <w:rPr>
          <w:rFonts w:eastAsia="Times New Roman"/>
          <w:color w:val="000000"/>
          <w:sz w:val="20"/>
          <w:szCs w:val="20"/>
        </w:rPr>
        <w:t>ions to approve or authorize applications and other requests we may make with respect to our regulated businesses.</w:t>
      </w:r>
    </w:p>
    <w:p w14:paraId="32D8022F" w14:textId="77777777" w:rsidR="00000000" w:rsidRDefault="00C1661D">
      <w:pPr>
        <w:jc w:val="both"/>
        <w:rPr>
          <w:rFonts w:eastAsia="Times New Roman"/>
        </w:rPr>
      </w:pPr>
    </w:p>
    <w:p w14:paraId="23D89AF2" w14:textId="77777777" w:rsidR="00000000" w:rsidRDefault="00C1661D">
      <w:pPr>
        <w:jc w:val="both"/>
        <w:rPr>
          <w:rFonts w:eastAsia="Times New Roman"/>
        </w:rPr>
      </w:pPr>
      <w:r>
        <w:rPr>
          <w:rFonts w:eastAsia="Times New Roman"/>
          <w:color w:val="000000"/>
          <w:sz w:val="20"/>
          <w:szCs w:val="20"/>
        </w:rPr>
        <w:t>Throughout the pandemic, we have modified or restricted certain business and workforce practices (including employee travel, presence at em</w:t>
      </w:r>
      <w:r>
        <w:rPr>
          <w:rFonts w:eastAsia="Times New Roman"/>
          <w:color w:val="000000"/>
          <w:sz w:val="20"/>
          <w:szCs w:val="20"/>
        </w:rPr>
        <w:t>ployee work locations, and physical participation in meetings, events, and conferences) to protect the health and safety of our workforce, and to conform to government orders, as well as regulatory and public health authority guidance. While we have genera</w:t>
      </w:r>
      <w:r>
        <w:rPr>
          <w:rFonts w:eastAsia="Times New Roman"/>
          <w:color w:val="000000"/>
          <w:sz w:val="20"/>
          <w:szCs w:val="20"/>
        </w:rPr>
        <w:t>lly reopened our offices, our employees continue to be exposed to health and safety risks and we may reinstate modified or restricted business and workforce practices, including office closures, as the pandemic continues. We depend on our workforce to oper</w:t>
      </w:r>
      <w:r>
        <w:rPr>
          <w:rFonts w:eastAsia="Times New Roman"/>
          <w:color w:val="000000"/>
          <w:sz w:val="20"/>
          <w:szCs w:val="20"/>
        </w:rPr>
        <w:t xml:space="preserve">ate our facilities, deliver our products and provide services to customers. If a large portion of our operational workforce were to contract COVID-19 simultaneously, we would rely upon our business continuity plans in an effort to continue operations, but </w:t>
      </w:r>
      <w:r>
        <w:rPr>
          <w:rFonts w:eastAsia="Times New Roman"/>
          <w:color w:val="000000"/>
          <w:sz w:val="20"/>
          <w:szCs w:val="20"/>
        </w:rPr>
        <w:t xml:space="preserve">there is no certainty that such measures would be sufficient to mitigate the adverse impact to our operations. </w:t>
      </w:r>
    </w:p>
    <w:p w14:paraId="47BCEF89" w14:textId="77777777" w:rsidR="00000000" w:rsidRDefault="00C1661D">
      <w:pPr>
        <w:divId w:val="199561496"/>
        <w:rPr>
          <w:rFonts w:eastAsia="Times New Roman"/>
        </w:rPr>
      </w:pPr>
    </w:p>
    <w:p w14:paraId="363E2865" w14:textId="77777777" w:rsidR="00000000" w:rsidRDefault="00C1661D">
      <w:pPr>
        <w:jc w:val="both"/>
        <w:rPr>
          <w:rFonts w:eastAsia="Times New Roman"/>
        </w:rPr>
      </w:pPr>
      <w:r>
        <w:rPr>
          <w:rFonts w:eastAsia="Times New Roman"/>
          <w:color w:val="000000"/>
          <w:sz w:val="20"/>
          <w:szCs w:val="20"/>
        </w:rPr>
        <w:t xml:space="preserve">The degree to which COVID-19 and variant strains may impact our business operations, financial condition, liquidity and results of operations </w:t>
      </w:r>
      <w:r>
        <w:rPr>
          <w:rFonts w:eastAsia="Times New Roman"/>
          <w:color w:val="000000"/>
          <w:sz w:val="20"/>
          <w:szCs w:val="20"/>
        </w:rPr>
        <w:t>is unknown at this time and will depend on future developments, including the continued spread of the virus and its variants, the efficacy of available vaccines, the severity of the disease, the duration of the pandemic, actions prescribed or ordered by go</w:t>
      </w:r>
      <w:r>
        <w:rPr>
          <w:rFonts w:eastAsia="Times New Roman"/>
          <w:color w:val="000000"/>
          <w:sz w:val="20"/>
          <w:szCs w:val="20"/>
        </w:rPr>
        <w:t>vernmental authorities, public health authority guidance, and when and to what extent economic and operating conditions can return to pre-pandemic levels.</w:t>
      </w:r>
    </w:p>
    <w:p w14:paraId="09A08B6D" w14:textId="77777777" w:rsidR="00000000" w:rsidRDefault="00C1661D">
      <w:pPr>
        <w:jc w:val="center"/>
        <w:divId w:val="1278952420"/>
        <w:rPr>
          <w:rFonts w:eastAsia="Times New Roman"/>
        </w:rPr>
      </w:pPr>
      <w:r>
        <w:rPr>
          <w:rFonts w:eastAsia="Times New Roman"/>
          <w:color w:val="000000"/>
          <w:sz w:val="20"/>
          <w:szCs w:val="20"/>
        </w:rPr>
        <w:t>44</w:t>
      </w:r>
    </w:p>
    <w:p w14:paraId="6F119B2D" w14:textId="77777777" w:rsidR="00000000" w:rsidRDefault="00C1661D">
      <w:pPr>
        <w:rPr>
          <w:rFonts w:eastAsia="Times New Roman"/>
        </w:rPr>
      </w:pPr>
      <w:r>
        <w:rPr>
          <w:rFonts w:eastAsia="Times New Roman"/>
        </w:rPr>
        <w:pict w14:anchorId="59ADF738">
          <v:rect id="_x0000_i1070" style="width:0;height:1.5pt" o:hralign="center" o:hrstd="t" o:hr="t" fillcolor="#a0a0a0" stroked="f"/>
        </w:pict>
      </w:r>
    </w:p>
    <w:p w14:paraId="117B1199" w14:textId="77777777" w:rsidR="00000000" w:rsidRDefault="00C1661D">
      <w:pPr>
        <w:divId w:val="643238303"/>
        <w:rPr>
          <w:rFonts w:eastAsia="Times New Roman"/>
        </w:rPr>
      </w:pPr>
      <w:hyperlink w:anchor="i3850c3c6c0104e42b9951aac2f16098a_7" w:history="1">
        <w:r>
          <w:rPr>
            <w:rStyle w:val="a3"/>
            <w:rFonts w:eastAsia="Times New Roman"/>
            <w:b/>
            <w:bCs/>
            <w:sz w:val="20"/>
            <w:szCs w:val="20"/>
          </w:rPr>
          <w:t>Tabl</w:t>
        </w:r>
        <w:r>
          <w:rPr>
            <w:rStyle w:val="a3"/>
            <w:rFonts w:eastAsia="Times New Roman"/>
            <w:b/>
            <w:bCs/>
            <w:sz w:val="20"/>
            <w:szCs w:val="20"/>
          </w:rPr>
          <w:t>e of Contents</w:t>
        </w:r>
      </w:hyperlink>
    </w:p>
    <w:p w14:paraId="395EE4FD" w14:textId="77777777" w:rsidR="00000000" w:rsidRDefault="00C1661D">
      <w:pPr>
        <w:jc w:val="both"/>
        <w:rPr>
          <w:rFonts w:eastAsia="Times New Roman"/>
        </w:rPr>
      </w:pPr>
    </w:p>
    <w:p w14:paraId="08837F8D" w14:textId="77777777" w:rsidR="00000000" w:rsidRDefault="00C1661D">
      <w:pPr>
        <w:jc w:val="both"/>
        <w:rPr>
          <w:rFonts w:eastAsia="Times New Roman"/>
        </w:rPr>
      </w:pPr>
      <w:r>
        <w:rPr>
          <w:rFonts w:eastAsia="Times New Roman"/>
          <w:b/>
          <w:bCs/>
          <w:i/>
          <w:iCs/>
          <w:color w:val="000000"/>
          <w:sz w:val="20"/>
          <w:szCs w:val="20"/>
        </w:rPr>
        <w:t xml:space="preserve">We may not be able to collect on the accounts of our customers. </w:t>
      </w:r>
      <w:r>
        <w:rPr>
          <w:rFonts w:eastAsia="Times New Roman"/>
          <w:color w:val="000000"/>
          <w:sz w:val="20"/>
          <w:szCs w:val="20"/>
        </w:rPr>
        <w:t>We depend on the viability of our customers for collections of accounts receivable and notes receivable. Moreover, our businesses serve numerous retail customers, and as we gro</w:t>
      </w:r>
      <w:r>
        <w:rPr>
          <w:rFonts w:eastAsia="Times New Roman"/>
          <w:color w:val="000000"/>
          <w:sz w:val="20"/>
          <w:szCs w:val="20"/>
        </w:rPr>
        <w:t>w our businesses organically and through acquisitions, our retail customer base is expected to expand. There can be no assurance that our customers will not experience financial difficulties in the future or that we will be able to collect all of our outst</w:t>
      </w:r>
      <w:r>
        <w:rPr>
          <w:rFonts w:eastAsia="Times New Roman"/>
          <w:color w:val="000000"/>
          <w:sz w:val="20"/>
          <w:szCs w:val="20"/>
        </w:rPr>
        <w:t>anding accounts receivable or notes receivable. Any such nonpayment by our customers could adversely affect our business.</w:t>
      </w:r>
    </w:p>
    <w:p w14:paraId="37C0FC32" w14:textId="77777777" w:rsidR="00000000" w:rsidRDefault="00C1661D">
      <w:pPr>
        <w:jc w:val="both"/>
        <w:rPr>
          <w:rFonts w:eastAsia="Times New Roman"/>
        </w:rPr>
      </w:pPr>
    </w:p>
    <w:p w14:paraId="0197D7F2" w14:textId="77777777" w:rsidR="00000000" w:rsidRDefault="00C1661D">
      <w:pPr>
        <w:jc w:val="both"/>
        <w:rPr>
          <w:rFonts w:eastAsia="Times New Roman"/>
        </w:rPr>
      </w:pPr>
      <w:r>
        <w:rPr>
          <w:rFonts w:eastAsia="Times New Roman"/>
          <w:b/>
          <w:bCs/>
          <w:i/>
          <w:iCs/>
          <w:color w:val="000000"/>
          <w:sz w:val="20"/>
          <w:szCs w:val="20"/>
        </w:rPr>
        <w:t>We are subject to operating and litigation risks that may not be covered by</w:t>
      </w:r>
      <w:r>
        <w:rPr>
          <w:rFonts w:eastAsia="Times New Roman"/>
          <w:color w:val="000000"/>
          <w:sz w:val="20"/>
          <w:szCs w:val="20"/>
        </w:rPr>
        <w:t xml:space="preserve"> </w:t>
      </w:r>
      <w:r>
        <w:rPr>
          <w:rFonts w:eastAsia="Times New Roman"/>
          <w:b/>
          <w:bCs/>
          <w:i/>
          <w:iCs/>
          <w:color w:val="000000"/>
          <w:sz w:val="20"/>
          <w:szCs w:val="20"/>
        </w:rPr>
        <w:t xml:space="preserve">insurance. </w:t>
      </w:r>
      <w:r>
        <w:rPr>
          <w:rFonts w:eastAsia="Times New Roman"/>
          <w:color w:val="000000"/>
          <w:sz w:val="20"/>
          <w:szCs w:val="20"/>
        </w:rPr>
        <w:t>Our business operations are subject to all of</w:t>
      </w:r>
      <w:r>
        <w:rPr>
          <w:rFonts w:eastAsia="Times New Roman"/>
          <w:color w:val="000000"/>
          <w:sz w:val="20"/>
          <w:szCs w:val="20"/>
        </w:rPr>
        <w:t xml:space="preserve"> the operating hazards and risks normally incidental to the handling, storage and distribution of combustible products, such as LPG and natural gas, and the generation of electricity. These risks could result in substantial losses due to personal injury an</w:t>
      </w:r>
      <w:r>
        <w:rPr>
          <w:rFonts w:eastAsia="Times New Roman"/>
          <w:color w:val="000000"/>
          <w:sz w:val="20"/>
          <w:szCs w:val="20"/>
        </w:rPr>
        <w:t>d/or loss of life, and severe damage to and destruction of property and equipment arising from explosions and other catastrophic events, including acts of terrorism. As a result of these and other incidents, we are sometimes a defendant in legal proceeding</w:t>
      </w:r>
      <w:r>
        <w:rPr>
          <w:rFonts w:eastAsia="Times New Roman"/>
          <w:color w:val="000000"/>
          <w:sz w:val="20"/>
          <w:szCs w:val="20"/>
        </w:rPr>
        <w:t>s and litigation arising in the ordinary course of business, including regulatory investigations, claims, lawsuits and other proceedings. Additionally, environmental contamination or other incidents resulting in an environmental impact have resulted in, an</w:t>
      </w:r>
      <w:r>
        <w:rPr>
          <w:rFonts w:eastAsia="Times New Roman"/>
          <w:color w:val="000000"/>
          <w:sz w:val="20"/>
          <w:szCs w:val="20"/>
        </w:rPr>
        <w:t>d could continue to result in, legal or regulatory proceedings (see “</w:t>
      </w:r>
      <w:r>
        <w:rPr>
          <w:rFonts w:eastAsia="Times New Roman"/>
          <w:i/>
          <w:iCs/>
          <w:color w:val="000000"/>
          <w:sz w:val="20"/>
          <w:szCs w:val="20"/>
        </w:rPr>
        <w:t>Our need to comply with, and respond to, industry-wide changes resulting from, comprehensive, complex, and sometimes unpredictable governmental regulations, including regulatory initiativ</w:t>
      </w:r>
      <w:r>
        <w:rPr>
          <w:rFonts w:eastAsia="Times New Roman"/>
          <w:i/>
          <w:iCs/>
          <w:color w:val="000000"/>
          <w:sz w:val="20"/>
          <w:szCs w:val="20"/>
        </w:rPr>
        <w:t>es aimed at increasing competition within our industry, may increase our costs and limit our revenue growth, which may adversely affect our operating results</w:t>
      </w:r>
      <w:r>
        <w:rPr>
          <w:rFonts w:eastAsia="Times New Roman"/>
          <w:color w:val="000000"/>
          <w:sz w:val="20"/>
          <w:szCs w:val="20"/>
        </w:rPr>
        <w:t xml:space="preserve">” for more information on such proceedings). There can be no assurance that our insurance coverage </w:t>
      </w:r>
      <w:r>
        <w:rPr>
          <w:rFonts w:eastAsia="Times New Roman"/>
          <w:color w:val="000000"/>
          <w:sz w:val="20"/>
          <w:szCs w:val="20"/>
        </w:rPr>
        <w:t>will be adequate to protect us from all material expenses related to pending and future claims or that such levels of insurance would be available in the future at economical prices. Moreover, defense and settlement costs may be substantial, even with resp</w:t>
      </w:r>
      <w:r>
        <w:rPr>
          <w:rFonts w:eastAsia="Times New Roman"/>
          <w:color w:val="000000"/>
          <w:sz w:val="20"/>
          <w:szCs w:val="20"/>
        </w:rPr>
        <w:t xml:space="preserve">ect to claims and investigations that have no merit. If we cannot resolve these matters favorably, our business, financial condition, results of operations and future prospects may be materially adversely affected. </w:t>
      </w:r>
    </w:p>
    <w:p w14:paraId="394400DB" w14:textId="77777777" w:rsidR="00000000" w:rsidRDefault="00C1661D">
      <w:pPr>
        <w:jc w:val="both"/>
        <w:rPr>
          <w:rFonts w:eastAsia="Times New Roman"/>
        </w:rPr>
      </w:pPr>
    </w:p>
    <w:p w14:paraId="00E1B644" w14:textId="77777777" w:rsidR="00000000" w:rsidRDefault="00C1661D">
      <w:pPr>
        <w:jc w:val="both"/>
        <w:rPr>
          <w:rFonts w:eastAsia="Times New Roman"/>
        </w:rPr>
      </w:pPr>
      <w:r>
        <w:rPr>
          <w:rFonts w:eastAsia="Times New Roman"/>
          <w:b/>
          <w:bCs/>
          <w:i/>
          <w:iCs/>
          <w:color w:val="000000"/>
          <w:sz w:val="20"/>
          <w:szCs w:val="20"/>
        </w:rPr>
        <w:t>The risk of natural disasters, pandemi</w:t>
      </w:r>
      <w:r>
        <w:rPr>
          <w:rFonts w:eastAsia="Times New Roman"/>
          <w:b/>
          <w:bCs/>
          <w:i/>
          <w:iCs/>
          <w:color w:val="000000"/>
          <w:sz w:val="20"/>
          <w:szCs w:val="20"/>
        </w:rPr>
        <w:t xml:space="preserve">cs and catastrophic events, including acts of war and terrorism, may adversely affect the economy and the price and availability of LPG, other refined fuels and natural gas. </w:t>
      </w:r>
      <w:r>
        <w:rPr>
          <w:rFonts w:eastAsia="Times New Roman"/>
          <w:color w:val="000000"/>
          <w:sz w:val="20"/>
          <w:szCs w:val="20"/>
        </w:rPr>
        <w:t xml:space="preserve">Natural disasters, pandemics and catastrophic events, such as fires, earthquakes, </w:t>
      </w:r>
      <w:r>
        <w:rPr>
          <w:rFonts w:eastAsia="Times New Roman"/>
          <w:color w:val="000000"/>
          <w:sz w:val="20"/>
          <w:szCs w:val="20"/>
        </w:rPr>
        <w:t>explosions, floods, tornadoes, hurricanes, terrorist attacks, war, political unrest and other similar occurrences, may adversely impact the demand for, price and availability of LPG (including propane), other refined fuels and natural gas, which could adve</w:t>
      </w:r>
      <w:r>
        <w:rPr>
          <w:rFonts w:eastAsia="Times New Roman"/>
          <w:color w:val="000000"/>
          <w:sz w:val="20"/>
          <w:szCs w:val="20"/>
        </w:rPr>
        <w:t>rsely impact our financial condition and results of operations, our ability to raise capital and our future growth. The impact that the foregoing may have on our industries in general, and on us in particular, is not known at this time. A natural disaster,</w:t>
      </w:r>
      <w:r>
        <w:rPr>
          <w:rFonts w:eastAsia="Times New Roman"/>
          <w:color w:val="000000"/>
          <w:sz w:val="20"/>
          <w:szCs w:val="20"/>
        </w:rPr>
        <w:t xml:space="preserve"> pandemic or an act of war or terrorism could result in disruptions of crude oil or natural gas supplies and markets (the sources of LPG), cause price volatility in the cost of LPG, fuel oil and natural gas, and our infrastructure facilities could be direc</w:t>
      </w:r>
      <w:r>
        <w:rPr>
          <w:rFonts w:eastAsia="Times New Roman"/>
          <w:color w:val="000000"/>
          <w:sz w:val="20"/>
          <w:szCs w:val="20"/>
        </w:rPr>
        <w:t>tly or indirectly impacted. Additionally, if our means of supply transportation, such as rail, truck or pipeline, are delayed or temporarily unavailable due to a natural disaster, pandemic, war or terrorist activity, we may be unable to transport LPG and o</w:t>
      </w:r>
      <w:r>
        <w:rPr>
          <w:rFonts w:eastAsia="Times New Roman"/>
          <w:color w:val="000000"/>
          <w:sz w:val="20"/>
          <w:szCs w:val="20"/>
        </w:rPr>
        <w:t>ther refined fuels in a timely manner or at all. A lower level of economic activity could result in a decline in energy consumption, which could adversely affect our revenues or restrict our future growth. Instability in the financial markets as a result o</w:t>
      </w:r>
      <w:r>
        <w:rPr>
          <w:rFonts w:eastAsia="Times New Roman"/>
          <w:color w:val="000000"/>
          <w:sz w:val="20"/>
          <w:szCs w:val="20"/>
        </w:rPr>
        <w:t>f a natural disaster, pandemic, war or terrorism could also affect our ability to raise capital. We have opted to purchase insurance coverage for natural disasters and terrorist acts within our property and casualty insurance programs, but we can give no a</w:t>
      </w:r>
      <w:r>
        <w:rPr>
          <w:rFonts w:eastAsia="Times New Roman"/>
          <w:color w:val="000000"/>
          <w:sz w:val="20"/>
          <w:szCs w:val="20"/>
        </w:rPr>
        <w:t>ssurance that our insurance coverage would be adequate to fully compensate us for any losses to our business or property resulting from natural disasters or terrorist acts.</w:t>
      </w:r>
    </w:p>
    <w:p w14:paraId="6E1A1270" w14:textId="77777777" w:rsidR="00000000" w:rsidRDefault="00C1661D">
      <w:pPr>
        <w:jc w:val="both"/>
        <w:rPr>
          <w:rFonts w:eastAsia="Times New Roman"/>
        </w:rPr>
      </w:pPr>
    </w:p>
    <w:p w14:paraId="79423451" w14:textId="77777777" w:rsidR="00000000" w:rsidRDefault="00C1661D">
      <w:pPr>
        <w:jc w:val="both"/>
        <w:rPr>
          <w:rFonts w:eastAsia="Times New Roman"/>
        </w:rPr>
      </w:pPr>
      <w:r>
        <w:rPr>
          <w:rFonts w:eastAsia="Times New Roman"/>
          <w:b/>
          <w:bCs/>
          <w:i/>
          <w:iCs/>
          <w:color w:val="000000"/>
          <w:sz w:val="20"/>
          <w:szCs w:val="20"/>
        </w:rPr>
        <w:t>Our indebtedness may adversely affect our business, financial condition and opera</w:t>
      </w:r>
      <w:r>
        <w:rPr>
          <w:rFonts w:eastAsia="Times New Roman"/>
          <w:b/>
          <w:bCs/>
          <w:i/>
          <w:iCs/>
          <w:color w:val="000000"/>
          <w:sz w:val="20"/>
          <w:szCs w:val="20"/>
        </w:rPr>
        <w:t>ting results. Our debt agreements also contain covenants that restrict our operational flexibility.</w:t>
      </w:r>
      <w:r>
        <w:rPr>
          <w:rFonts w:ascii="Calibri" w:eastAsia="Times New Roman" w:hAnsi="Calibri" w:cs="Calibri"/>
          <w:color w:val="000000"/>
          <w:sz w:val="20"/>
          <w:szCs w:val="20"/>
        </w:rPr>
        <w:t xml:space="preserve"> </w:t>
      </w:r>
      <w:r>
        <w:rPr>
          <w:rFonts w:eastAsia="Times New Roman"/>
          <w:color w:val="000000"/>
          <w:sz w:val="20"/>
          <w:szCs w:val="20"/>
        </w:rPr>
        <w:t>As of September 30, 2022, we had total indebtedness of $7 billion. Our indebtedness could adversely affect our business, financial condition, operating resu</w:t>
      </w:r>
      <w:r>
        <w:rPr>
          <w:rFonts w:eastAsia="Times New Roman"/>
          <w:color w:val="000000"/>
          <w:sz w:val="20"/>
          <w:szCs w:val="20"/>
        </w:rPr>
        <w:t xml:space="preserve">lts and operational flexibility by, among other things: </w:t>
      </w:r>
    </w:p>
    <w:p w14:paraId="7BDE06E0" w14:textId="77777777" w:rsidR="00000000" w:rsidRDefault="00C1661D">
      <w:pPr>
        <w:divId w:val="322122452"/>
        <w:rPr>
          <w:rFonts w:eastAsia="Times New Roman"/>
        </w:rPr>
      </w:pPr>
    </w:p>
    <w:p w14:paraId="0FBABE88" w14:textId="77777777" w:rsidR="00000000" w:rsidRDefault="00C1661D">
      <w:pPr>
        <w:ind w:hanging="360"/>
        <w:divId w:val="264575180"/>
        <w:rPr>
          <w:rFonts w:eastAsia="Times New Roman"/>
        </w:rPr>
      </w:pPr>
      <w:r>
        <w:rPr>
          <w:rFonts w:eastAsia="Times New Roman"/>
          <w:color w:val="000000"/>
          <w:sz w:val="20"/>
          <w:szCs w:val="20"/>
        </w:rPr>
        <w:t>•impairing our ability to obtain additional financing in the future for working capital, capital expenditures, acquisitions or other purposes</w:t>
      </w:r>
      <w:r>
        <w:rPr>
          <w:rFonts w:eastAsia="Times New Roman"/>
          <w:color w:val="000000"/>
          <w:sz w:val="20"/>
          <w:szCs w:val="20"/>
        </w:rPr>
        <w:t>;</w:t>
      </w:r>
      <w:r>
        <w:rPr>
          <w:rFonts w:eastAsia="Times New Roman"/>
          <w:color w:val="000000"/>
          <w:sz w:val="20"/>
          <w:szCs w:val="20"/>
        </w:rPr>
        <w:t xml:space="preserve"> </w:t>
      </w:r>
    </w:p>
    <w:p w14:paraId="0A2C2454" w14:textId="77777777" w:rsidR="00000000" w:rsidRDefault="00C1661D">
      <w:pPr>
        <w:ind w:hanging="360"/>
        <w:divId w:val="1408648321"/>
        <w:rPr>
          <w:rFonts w:eastAsia="Times New Roman"/>
        </w:rPr>
      </w:pPr>
      <w:r>
        <w:rPr>
          <w:rFonts w:eastAsia="Times New Roman"/>
          <w:color w:val="000000"/>
          <w:sz w:val="20"/>
          <w:szCs w:val="20"/>
        </w:rPr>
        <w:t>•</w:t>
      </w:r>
      <w:r>
        <w:rPr>
          <w:rFonts w:eastAsia="Times New Roman"/>
          <w:color w:val="000000"/>
          <w:sz w:val="20"/>
          <w:szCs w:val="20"/>
        </w:rPr>
        <w:t xml:space="preserve">limiting operational flexibility and our ability to pursue business opportunities and implement certain business strategies; </w:t>
      </w:r>
    </w:p>
    <w:p w14:paraId="5A7A517A" w14:textId="77777777" w:rsidR="00000000" w:rsidRDefault="00C1661D">
      <w:pPr>
        <w:ind w:hanging="360"/>
        <w:divId w:val="844907205"/>
        <w:rPr>
          <w:rFonts w:eastAsia="Times New Roman"/>
        </w:rPr>
      </w:pPr>
      <w:r>
        <w:rPr>
          <w:rFonts w:eastAsia="Times New Roman"/>
          <w:color w:val="000000"/>
          <w:sz w:val="20"/>
          <w:szCs w:val="20"/>
        </w:rPr>
        <w:t xml:space="preserve">•impairing our ability to respond to changing business and economic conditions; </w:t>
      </w:r>
    </w:p>
    <w:p w14:paraId="2194A08B" w14:textId="77777777" w:rsidR="00000000" w:rsidRDefault="00C1661D">
      <w:pPr>
        <w:ind w:hanging="360"/>
        <w:divId w:val="545871078"/>
        <w:rPr>
          <w:rFonts w:eastAsia="Times New Roman"/>
        </w:rPr>
      </w:pPr>
      <w:r>
        <w:rPr>
          <w:rFonts w:eastAsia="Times New Roman"/>
          <w:color w:val="000000"/>
          <w:sz w:val="20"/>
          <w:szCs w:val="20"/>
        </w:rPr>
        <w:t xml:space="preserve">•impairing our ability to repay our indebtedness </w:t>
      </w:r>
      <w:r>
        <w:rPr>
          <w:rFonts w:eastAsia="Times New Roman"/>
          <w:color w:val="000000"/>
          <w:sz w:val="20"/>
          <w:szCs w:val="20"/>
        </w:rPr>
        <w:t>at maturity, especially where our debt agreements contain significant maturities;</w:t>
      </w:r>
    </w:p>
    <w:p w14:paraId="5DDFCB90" w14:textId="77777777" w:rsidR="00000000" w:rsidRDefault="00C1661D">
      <w:pPr>
        <w:ind w:hanging="360"/>
        <w:divId w:val="566917226"/>
        <w:rPr>
          <w:rFonts w:eastAsia="Times New Roman"/>
        </w:rPr>
      </w:pPr>
      <w:r>
        <w:rPr>
          <w:rFonts w:eastAsia="Times New Roman"/>
          <w:color w:val="000000"/>
          <w:sz w:val="20"/>
          <w:szCs w:val="20"/>
        </w:rPr>
        <w:t>•exposing us to the risk of increased interest rates where our debt agreements have variable interest rates; and</w:t>
      </w:r>
    </w:p>
    <w:p w14:paraId="6D912FB2" w14:textId="77777777" w:rsidR="00000000" w:rsidRDefault="00C1661D">
      <w:pPr>
        <w:ind w:hanging="360"/>
        <w:divId w:val="361321398"/>
        <w:rPr>
          <w:rFonts w:eastAsia="Times New Roman"/>
        </w:rPr>
      </w:pPr>
      <w:r>
        <w:rPr>
          <w:rFonts w:eastAsia="Times New Roman"/>
          <w:color w:val="000000"/>
          <w:sz w:val="20"/>
          <w:szCs w:val="20"/>
        </w:rPr>
        <w:t>•</w:t>
      </w:r>
      <w:r>
        <w:rPr>
          <w:rFonts w:eastAsia="Times New Roman"/>
          <w:color w:val="000000"/>
          <w:sz w:val="20"/>
          <w:szCs w:val="20"/>
        </w:rPr>
        <w:t xml:space="preserve">placing us at a competitive disadvantage compared to our competitors that have proportionately less debt and fewer guarantee obligations. </w:t>
      </w:r>
    </w:p>
    <w:p w14:paraId="75DFBE71" w14:textId="77777777" w:rsidR="00000000" w:rsidRDefault="00C1661D">
      <w:pPr>
        <w:divId w:val="219950637"/>
        <w:rPr>
          <w:rFonts w:eastAsia="Times New Roman"/>
        </w:rPr>
      </w:pPr>
    </w:p>
    <w:p w14:paraId="2399DBC8" w14:textId="77777777" w:rsidR="00000000" w:rsidRDefault="00C1661D">
      <w:pPr>
        <w:jc w:val="both"/>
        <w:rPr>
          <w:rFonts w:eastAsia="Times New Roman"/>
        </w:rPr>
      </w:pPr>
      <w:r>
        <w:rPr>
          <w:rFonts w:eastAsia="Times New Roman"/>
          <w:color w:val="000000"/>
          <w:sz w:val="20"/>
          <w:szCs w:val="20"/>
        </w:rPr>
        <w:t>The occurrence of any of such events could have a material adverse effect upon our business, financial condition an</w:t>
      </w:r>
      <w:r>
        <w:rPr>
          <w:rFonts w:eastAsia="Times New Roman"/>
          <w:color w:val="000000"/>
          <w:sz w:val="20"/>
          <w:szCs w:val="20"/>
        </w:rPr>
        <w:t>d results of operations. Further, if our credit ratings were to be downgraded, or general market conditions were to ascribe higher risk to our rating levels, our industry, or us, our access to capital and the cost of any future debt financing could be nega</w:t>
      </w:r>
      <w:r>
        <w:rPr>
          <w:rFonts w:eastAsia="Times New Roman"/>
          <w:color w:val="000000"/>
          <w:sz w:val="20"/>
          <w:szCs w:val="20"/>
        </w:rPr>
        <w:t xml:space="preserve">tively impacted. Additionally, our ability to make payments of principal and interest on our indebtedness depends upon our future performance, </w:t>
      </w:r>
    </w:p>
    <w:p w14:paraId="60913C54" w14:textId="77777777" w:rsidR="00000000" w:rsidRDefault="00C1661D">
      <w:pPr>
        <w:jc w:val="center"/>
        <w:divId w:val="294530503"/>
        <w:rPr>
          <w:rFonts w:eastAsia="Times New Roman"/>
        </w:rPr>
      </w:pPr>
      <w:r>
        <w:rPr>
          <w:rFonts w:eastAsia="Times New Roman"/>
          <w:color w:val="000000"/>
          <w:sz w:val="20"/>
          <w:szCs w:val="20"/>
        </w:rPr>
        <w:t>45</w:t>
      </w:r>
    </w:p>
    <w:p w14:paraId="3EC456F4" w14:textId="77777777" w:rsidR="00000000" w:rsidRDefault="00C1661D">
      <w:pPr>
        <w:rPr>
          <w:rFonts w:eastAsia="Times New Roman"/>
        </w:rPr>
      </w:pPr>
      <w:r>
        <w:rPr>
          <w:rFonts w:eastAsia="Times New Roman"/>
        </w:rPr>
        <w:pict w14:anchorId="01F1F3A4">
          <v:rect id="_x0000_i1071" style="width:0;height:1.5pt" o:hralign="center" o:hrstd="t" o:hr="t" fillcolor="#a0a0a0" stroked="f"/>
        </w:pict>
      </w:r>
    </w:p>
    <w:p w14:paraId="0D48B2D3" w14:textId="77777777" w:rsidR="00000000" w:rsidRDefault="00C1661D">
      <w:pPr>
        <w:divId w:val="216549738"/>
        <w:rPr>
          <w:rFonts w:eastAsia="Times New Roman"/>
        </w:rPr>
      </w:pPr>
      <w:hyperlink w:anchor="i3850c3c6c0104e42b9951aac2f16098a_7" w:history="1">
        <w:r>
          <w:rPr>
            <w:rStyle w:val="a3"/>
            <w:rFonts w:eastAsia="Times New Roman"/>
            <w:b/>
            <w:bCs/>
            <w:sz w:val="20"/>
            <w:szCs w:val="20"/>
          </w:rPr>
          <w:t>Table of Conte</w:t>
        </w:r>
        <w:r>
          <w:rPr>
            <w:rStyle w:val="a3"/>
            <w:rFonts w:eastAsia="Times New Roman"/>
            <w:b/>
            <w:bCs/>
            <w:sz w:val="20"/>
            <w:szCs w:val="20"/>
          </w:rPr>
          <w:t>nts</w:t>
        </w:r>
      </w:hyperlink>
    </w:p>
    <w:p w14:paraId="3900F682" w14:textId="77777777" w:rsidR="00000000" w:rsidRDefault="00C1661D">
      <w:pPr>
        <w:jc w:val="both"/>
        <w:rPr>
          <w:rFonts w:eastAsia="Times New Roman"/>
        </w:rPr>
      </w:pPr>
      <w:r>
        <w:rPr>
          <w:rFonts w:eastAsia="Times New Roman"/>
          <w:color w:val="000000"/>
          <w:sz w:val="20"/>
          <w:szCs w:val="20"/>
        </w:rPr>
        <w:t>which is subject to economic and political conditions, seasonal cycles and financial, business and other factors, many of which are beyond our control. If we are unable to generate sufficient cash flow from operations to service our indebtedness, we ma</w:t>
      </w:r>
      <w:r>
        <w:rPr>
          <w:rFonts w:eastAsia="Times New Roman"/>
          <w:color w:val="000000"/>
          <w:sz w:val="20"/>
          <w:szCs w:val="20"/>
        </w:rPr>
        <w:t>y be required to, among other things, refinance or restructure all or a portion of our indebtedness, reduce or delay planned capital or operating expenditures or sell selected assets. Such measures might not be sufficient to enable us to service our indebt</w:t>
      </w:r>
      <w:r>
        <w:rPr>
          <w:rFonts w:eastAsia="Times New Roman"/>
          <w:color w:val="000000"/>
          <w:sz w:val="20"/>
          <w:szCs w:val="20"/>
        </w:rPr>
        <w:t>edness, and any such refinancing, restructuring or sale of assets might not be available on favorable terms or at all.</w:t>
      </w:r>
    </w:p>
    <w:p w14:paraId="74FDB95B" w14:textId="77777777" w:rsidR="00000000" w:rsidRDefault="00C1661D">
      <w:pPr>
        <w:divId w:val="765882554"/>
        <w:rPr>
          <w:rFonts w:eastAsia="Times New Roman"/>
        </w:rPr>
      </w:pPr>
    </w:p>
    <w:p w14:paraId="44BCD9FC" w14:textId="77777777" w:rsidR="00000000" w:rsidRDefault="00C1661D">
      <w:pPr>
        <w:jc w:val="both"/>
        <w:rPr>
          <w:rFonts w:eastAsia="Times New Roman"/>
        </w:rPr>
      </w:pPr>
      <w:r>
        <w:rPr>
          <w:rFonts w:eastAsia="Times New Roman"/>
          <w:color w:val="000000"/>
          <w:sz w:val="20"/>
          <w:szCs w:val="20"/>
        </w:rPr>
        <w:t>In addition, our debt agreements generally contain customary affirmative covenants, including, among others, covenants pertaining to th</w:t>
      </w:r>
      <w:r>
        <w:rPr>
          <w:rFonts w:eastAsia="Times New Roman"/>
          <w:color w:val="000000"/>
          <w:sz w:val="20"/>
          <w:szCs w:val="20"/>
        </w:rPr>
        <w:t>e delivery of financial statements; certain financial covenants; notices of default and certain other material events; payment of obligations; preservation of corporate existence, rights, privileges, permits, licenses, franchises and intellectual property;</w:t>
      </w:r>
      <w:r>
        <w:rPr>
          <w:rFonts w:eastAsia="Times New Roman"/>
          <w:color w:val="000000"/>
          <w:sz w:val="20"/>
          <w:szCs w:val="20"/>
        </w:rPr>
        <w:t xml:space="preserve"> maintenance of property and insurance and compliance with laws, as well as customary negative covenants, including, among others, limitations on the incurrence of liens, investments and indebtedness; mergers, acquisitions and certain other fundamental cha</w:t>
      </w:r>
      <w:r>
        <w:rPr>
          <w:rFonts w:eastAsia="Times New Roman"/>
          <w:color w:val="000000"/>
          <w:sz w:val="20"/>
          <w:szCs w:val="20"/>
        </w:rPr>
        <w:t>nges; transfers, leases or dispositions of assets outside the ordinary course of business</w:t>
      </w:r>
      <w:r>
        <w:rPr>
          <w:rFonts w:eastAsia="Times New Roman"/>
          <w:color w:val="000000"/>
          <w:sz w:val="20"/>
          <w:szCs w:val="20"/>
        </w:rPr>
        <w:t>;</w:t>
      </w:r>
      <w:r>
        <w:rPr>
          <w:rFonts w:eastAsia="Times New Roman"/>
          <w:color w:val="000000"/>
          <w:sz w:val="20"/>
          <w:szCs w:val="20"/>
        </w:rPr>
        <w:t xml:space="preserve"> restricted payments; changes in our line of business</w:t>
      </w:r>
      <w:r>
        <w:rPr>
          <w:rFonts w:eastAsia="Times New Roman"/>
          <w:color w:val="000000"/>
          <w:sz w:val="20"/>
          <w:szCs w:val="20"/>
        </w:rPr>
        <w:t>;</w:t>
      </w:r>
      <w:r>
        <w:rPr>
          <w:rFonts w:eastAsia="Times New Roman"/>
          <w:color w:val="000000"/>
          <w:sz w:val="20"/>
          <w:szCs w:val="20"/>
        </w:rPr>
        <w:t xml:space="preserve"> transactions with affiliates and burdensome agreements. These covenants could affect our ability to operate our</w:t>
      </w:r>
      <w:r>
        <w:rPr>
          <w:rFonts w:eastAsia="Times New Roman"/>
          <w:color w:val="000000"/>
          <w:sz w:val="20"/>
          <w:szCs w:val="20"/>
        </w:rPr>
        <w:t xml:space="preserve"> business, respond to changes in business and economic conditions, obtain additional financing (if needed), and may increase the amount of interest expense we ultimately pay pursuant to the debt agreements. Further, our ability to comply with the covenants</w:t>
      </w:r>
      <w:r>
        <w:rPr>
          <w:rFonts w:eastAsia="Times New Roman"/>
          <w:color w:val="000000"/>
          <w:sz w:val="20"/>
          <w:szCs w:val="20"/>
        </w:rPr>
        <w:t xml:space="preserve"> and restrictions contained in our debt agreements may be affected by events beyond our control, including prevailing economic, financial and industry conditions or regulatory changes. A failure to comply with the covenants in our debt agreements could res</w:t>
      </w:r>
      <w:r>
        <w:rPr>
          <w:rFonts w:eastAsia="Times New Roman"/>
          <w:color w:val="000000"/>
          <w:sz w:val="20"/>
          <w:szCs w:val="20"/>
        </w:rPr>
        <w:t>ult in a default or an event of default. Upon an event of default, unless waived, the lenders could elect to terminate their commitments, cease making further loans, require cash collateralization of letters of credit, cause their loans to become due and p</w:t>
      </w:r>
      <w:r>
        <w:rPr>
          <w:rFonts w:eastAsia="Times New Roman"/>
          <w:color w:val="000000"/>
          <w:sz w:val="20"/>
          <w:szCs w:val="20"/>
        </w:rPr>
        <w:t>ayable in full, foreclose against any assets securing the debt under our debt agreements and force us and our subsidiaries into bankruptcy or liquidation. If the payment of our debt is accelerated, we cannot be certain that we will have sufficient funds av</w:t>
      </w:r>
      <w:r>
        <w:rPr>
          <w:rFonts w:eastAsia="Times New Roman"/>
          <w:color w:val="000000"/>
          <w:sz w:val="20"/>
          <w:szCs w:val="20"/>
        </w:rPr>
        <w:t>ailable to pay down the indebtedness (together with accrued interest and fees), or that we will have the ability to refinance the accelerated indebtedness on terms favorable to us or at all. This could have a material adverse effect upon our business, fina</w:t>
      </w:r>
      <w:r>
        <w:rPr>
          <w:rFonts w:eastAsia="Times New Roman"/>
          <w:color w:val="000000"/>
          <w:sz w:val="20"/>
          <w:szCs w:val="20"/>
        </w:rPr>
        <w:t>ncial condition and results of operations.</w:t>
      </w:r>
    </w:p>
    <w:p w14:paraId="1C037131" w14:textId="77777777" w:rsidR="00000000" w:rsidRDefault="00C1661D">
      <w:pPr>
        <w:divId w:val="1045713488"/>
        <w:rPr>
          <w:rFonts w:eastAsia="Times New Roman"/>
        </w:rPr>
      </w:pPr>
    </w:p>
    <w:p w14:paraId="4B1A13B5" w14:textId="77777777" w:rsidR="00000000" w:rsidRDefault="00C1661D">
      <w:pPr>
        <w:jc w:val="both"/>
        <w:rPr>
          <w:rFonts w:eastAsia="Times New Roman"/>
        </w:rPr>
      </w:pPr>
      <w:r>
        <w:rPr>
          <w:rFonts w:eastAsia="Times New Roman"/>
          <w:color w:val="000000"/>
          <w:sz w:val="20"/>
          <w:szCs w:val="20"/>
        </w:rPr>
        <w:t>Additionally, the terms of future debt agreements could include more restrictive covenants, or require incremental collateral, which may further restrict our business operations or conflict with covenant restric</w:t>
      </w:r>
      <w:r>
        <w:rPr>
          <w:rFonts w:eastAsia="Times New Roman"/>
          <w:color w:val="000000"/>
          <w:sz w:val="20"/>
          <w:szCs w:val="20"/>
        </w:rPr>
        <w:t>tions then in effect. As a result, there is no guarantee that financings will be available in the future to fund our obligations, or that they will be available on terms consistent with our expectations. See the liquidity section in Item 7. Management's Di</w:t>
      </w:r>
      <w:r>
        <w:rPr>
          <w:rFonts w:eastAsia="Times New Roman"/>
          <w:color w:val="000000"/>
          <w:sz w:val="20"/>
          <w:szCs w:val="20"/>
        </w:rPr>
        <w:t>scussion and Analysis for additional information on our current debt agreements.</w:t>
      </w:r>
    </w:p>
    <w:p w14:paraId="4272D55B" w14:textId="77777777" w:rsidR="00000000" w:rsidRDefault="00C1661D">
      <w:pPr>
        <w:divId w:val="1493764070"/>
        <w:rPr>
          <w:rFonts w:eastAsia="Times New Roman"/>
        </w:rPr>
      </w:pPr>
    </w:p>
    <w:p w14:paraId="4A6FCC4A" w14:textId="77777777" w:rsidR="00000000" w:rsidRDefault="00C1661D">
      <w:pPr>
        <w:jc w:val="both"/>
        <w:rPr>
          <w:rFonts w:eastAsia="Times New Roman"/>
        </w:rPr>
      </w:pPr>
      <w:r>
        <w:rPr>
          <w:rFonts w:eastAsia="Times New Roman"/>
          <w:b/>
          <w:bCs/>
          <w:i/>
          <w:iCs/>
          <w:color w:val="000000"/>
          <w:sz w:val="20"/>
          <w:szCs w:val="20"/>
        </w:rPr>
        <w:t>Our holding company structure could limit our ability to pay dividends or</w:t>
      </w:r>
      <w:r>
        <w:rPr>
          <w:rFonts w:eastAsia="Times New Roman"/>
          <w:color w:val="000000"/>
          <w:sz w:val="20"/>
          <w:szCs w:val="20"/>
        </w:rPr>
        <w:t xml:space="preserve"> </w:t>
      </w:r>
      <w:r>
        <w:rPr>
          <w:rFonts w:eastAsia="Times New Roman"/>
          <w:b/>
          <w:bCs/>
          <w:i/>
          <w:iCs/>
          <w:color w:val="000000"/>
          <w:sz w:val="20"/>
          <w:szCs w:val="20"/>
        </w:rPr>
        <w:t xml:space="preserve">service debt. </w:t>
      </w:r>
      <w:r>
        <w:rPr>
          <w:rFonts w:eastAsia="Times New Roman"/>
          <w:color w:val="000000"/>
          <w:sz w:val="20"/>
          <w:szCs w:val="20"/>
        </w:rPr>
        <w:t>We are a holding company whose material assets are the stock of our subsidiaries. Our</w:t>
      </w:r>
      <w:r>
        <w:rPr>
          <w:rFonts w:eastAsia="Times New Roman"/>
          <w:color w:val="000000"/>
          <w:sz w:val="20"/>
          <w:szCs w:val="20"/>
        </w:rPr>
        <w:t xml:space="preserve"> ability to pay dividends on our Common Stock and to pay principal and accrued interest on our debt, if any, depends on the payment of dividends to us by our principal subsidiaries. Payments to us by our subsidiaries, in turn, depend upon their consolidate</w:t>
      </w:r>
      <w:r>
        <w:rPr>
          <w:rFonts w:eastAsia="Times New Roman"/>
          <w:color w:val="000000"/>
          <w:sz w:val="20"/>
          <w:szCs w:val="20"/>
        </w:rPr>
        <w:t>d results of operations and cash flows. The operations of our subsidiaries are affected by conditions beyond our control, including weather, regulations, competition in national and international markets we serve, the costs and availability of propane, but</w:t>
      </w:r>
      <w:r>
        <w:rPr>
          <w:rFonts w:eastAsia="Times New Roman"/>
          <w:color w:val="000000"/>
          <w:sz w:val="20"/>
          <w:szCs w:val="20"/>
        </w:rPr>
        <w:t>ane, natural gas, electricity, and other energy sources and capital market conditions. The ability of our subsidiaries to make payments to us is also affected by the level of indebtedness of our subsidiaries, which is substantial, and the restrictions on p</w:t>
      </w:r>
      <w:r>
        <w:rPr>
          <w:rFonts w:eastAsia="Times New Roman"/>
          <w:color w:val="000000"/>
          <w:sz w:val="20"/>
          <w:szCs w:val="20"/>
        </w:rPr>
        <w:t>ayments to us imposed under the terms of such indebtedness.</w:t>
      </w:r>
    </w:p>
    <w:p w14:paraId="3DFD109E" w14:textId="77777777" w:rsidR="00000000" w:rsidRDefault="00C1661D">
      <w:pPr>
        <w:jc w:val="both"/>
        <w:rPr>
          <w:rFonts w:eastAsia="Times New Roman"/>
        </w:rPr>
      </w:pPr>
    </w:p>
    <w:p w14:paraId="30736028" w14:textId="77777777" w:rsidR="00000000" w:rsidRDefault="00C1661D">
      <w:pPr>
        <w:jc w:val="both"/>
        <w:rPr>
          <w:rFonts w:eastAsia="Times New Roman"/>
        </w:rPr>
      </w:pPr>
      <w:r>
        <w:rPr>
          <w:rFonts w:eastAsia="Times New Roman"/>
          <w:b/>
          <w:bCs/>
          <w:i/>
          <w:iCs/>
          <w:color w:val="000000"/>
          <w:sz w:val="20"/>
          <w:szCs w:val="20"/>
        </w:rPr>
        <w:t>Volatility in credit and capital markets may restrict our ability to grow,</w:t>
      </w:r>
      <w:r>
        <w:rPr>
          <w:rFonts w:eastAsia="Times New Roman"/>
          <w:color w:val="000000"/>
          <w:sz w:val="20"/>
          <w:szCs w:val="20"/>
        </w:rPr>
        <w:t xml:space="preserve"> </w:t>
      </w:r>
      <w:r>
        <w:rPr>
          <w:rFonts w:eastAsia="Times New Roman"/>
          <w:b/>
          <w:bCs/>
          <w:i/>
          <w:iCs/>
          <w:color w:val="000000"/>
          <w:sz w:val="20"/>
          <w:szCs w:val="20"/>
        </w:rPr>
        <w:t>increase the likelihood of defaults by our suppliers and vendors, customers and counterparties and adversely affect our</w:t>
      </w:r>
      <w:r>
        <w:rPr>
          <w:rFonts w:eastAsia="Times New Roman"/>
          <w:b/>
          <w:bCs/>
          <w:i/>
          <w:iCs/>
          <w:color w:val="000000"/>
          <w:sz w:val="20"/>
          <w:szCs w:val="20"/>
        </w:rPr>
        <w:t xml:space="preserve"> operating results. </w:t>
      </w:r>
      <w:r>
        <w:rPr>
          <w:rFonts w:eastAsia="Times New Roman"/>
          <w:color w:val="000000"/>
          <w:sz w:val="20"/>
          <w:szCs w:val="20"/>
        </w:rPr>
        <w:t>Volatility in credit and capital markets may create additional risks to our businesses in the future. We are exposed to financial market risk (including refinancing risk) resulting from, among other things, changes in interest rates and</w:t>
      </w:r>
      <w:r>
        <w:rPr>
          <w:rFonts w:eastAsia="Times New Roman"/>
          <w:color w:val="000000"/>
          <w:sz w:val="20"/>
          <w:szCs w:val="20"/>
        </w:rPr>
        <w:t xml:space="preserve"> conditions in the credit and capital markets. Adverse developments in the credit markets may increase our possible exposure to the liquidity, default and credit risks of our suppliers and vendors, counterparties associated with derivative financial instru</w:t>
      </w:r>
      <w:r>
        <w:rPr>
          <w:rFonts w:eastAsia="Times New Roman"/>
          <w:color w:val="000000"/>
          <w:sz w:val="20"/>
          <w:szCs w:val="20"/>
        </w:rPr>
        <w:t xml:space="preserve">ments and our customers. Although we believe that current financial market conditions, if they were to continue for the foreseeable future, will not have a significant impact on our ability to fund our existing operations, less favorable market conditions </w:t>
      </w:r>
      <w:r>
        <w:rPr>
          <w:rFonts w:eastAsia="Times New Roman"/>
          <w:color w:val="000000"/>
          <w:sz w:val="20"/>
          <w:szCs w:val="20"/>
        </w:rPr>
        <w:t>could restrict our ability to grow through acquisitions, limit the scope of major capital projects if access to credit and capital markets is limited, or adversely affect our operating results.</w:t>
      </w:r>
    </w:p>
    <w:p w14:paraId="553CA171" w14:textId="77777777" w:rsidR="00000000" w:rsidRDefault="00C1661D">
      <w:pPr>
        <w:jc w:val="both"/>
        <w:rPr>
          <w:rFonts w:eastAsia="Times New Roman"/>
        </w:rPr>
      </w:pPr>
    </w:p>
    <w:p w14:paraId="120A4DC3" w14:textId="77777777" w:rsidR="00000000" w:rsidRDefault="00C1661D">
      <w:pPr>
        <w:jc w:val="both"/>
        <w:rPr>
          <w:rFonts w:eastAsia="Times New Roman"/>
        </w:rPr>
      </w:pPr>
      <w:r>
        <w:rPr>
          <w:rFonts w:eastAsia="Times New Roman"/>
          <w:b/>
          <w:bCs/>
          <w:i/>
          <w:iCs/>
          <w:color w:val="000000"/>
          <w:sz w:val="20"/>
          <w:szCs w:val="20"/>
        </w:rPr>
        <w:t>We depend on our intellectual property and failure to protec</w:t>
      </w:r>
      <w:r>
        <w:rPr>
          <w:rFonts w:eastAsia="Times New Roman"/>
          <w:b/>
          <w:bCs/>
          <w:i/>
          <w:iCs/>
          <w:color w:val="000000"/>
          <w:sz w:val="20"/>
          <w:szCs w:val="20"/>
        </w:rPr>
        <w:t xml:space="preserve">t that intellectual property could adversely affect us. </w:t>
      </w:r>
      <w:r>
        <w:rPr>
          <w:rFonts w:eastAsia="Times New Roman"/>
          <w:color w:val="000000"/>
          <w:sz w:val="20"/>
          <w:szCs w:val="20"/>
        </w:rPr>
        <w:t>We seek trademark protection for our brands in each of our businesses, and we invest significant resources in developing our business brands. Failure to maintain our trademarks and brands could advers</w:t>
      </w:r>
      <w:r>
        <w:rPr>
          <w:rFonts w:eastAsia="Times New Roman"/>
          <w:color w:val="000000"/>
          <w:sz w:val="20"/>
          <w:szCs w:val="20"/>
        </w:rPr>
        <w:t>ely affect our customer-facing businesses and our operational results.</w:t>
      </w:r>
    </w:p>
    <w:p w14:paraId="3055DFEC" w14:textId="77777777" w:rsidR="00000000" w:rsidRDefault="00C1661D">
      <w:pPr>
        <w:jc w:val="both"/>
        <w:rPr>
          <w:rFonts w:eastAsia="Times New Roman"/>
        </w:rPr>
      </w:pPr>
    </w:p>
    <w:p w14:paraId="697C2F68" w14:textId="77777777" w:rsidR="00000000" w:rsidRDefault="00C1661D">
      <w:pPr>
        <w:jc w:val="center"/>
        <w:divId w:val="2087804765"/>
        <w:rPr>
          <w:rFonts w:eastAsia="Times New Roman"/>
        </w:rPr>
      </w:pPr>
      <w:r>
        <w:rPr>
          <w:rFonts w:eastAsia="Times New Roman"/>
          <w:color w:val="000000"/>
          <w:sz w:val="20"/>
          <w:szCs w:val="20"/>
        </w:rPr>
        <w:t>46</w:t>
      </w:r>
    </w:p>
    <w:p w14:paraId="5C339E58" w14:textId="77777777" w:rsidR="00000000" w:rsidRDefault="00C1661D">
      <w:pPr>
        <w:rPr>
          <w:rFonts w:eastAsia="Times New Roman"/>
        </w:rPr>
      </w:pPr>
      <w:r>
        <w:rPr>
          <w:rFonts w:eastAsia="Times New Roman"/>
        </w:rPr>
        <w:pict w14:anchorId="3A1C9B51">
          <v:rect id="_x0000_i1072" style="width:0;height:1.5pt" o:hralign="center" o:hrstd="t" o:hr="t" fillcolor="#a0a0a0" stroked="f"/>
        </w:pict>
      </w:r>
    </w:p>
    <w:p w14:paraId="434E6F95" w14:textId="77777777" w:rsidR="00000000" w:rsidRDefault="00C1661D">
      <w:pPr>
        <w:divId w:val="1260941554"/>
        <w:rPr>
          <w:rFonts w:eastAsia="Times New Roman"/>
        </w:rPr>
      </w:pPr>
      <w:hyperlink w:anchor="i3850c3c6c0104e42b9951aac2f16098a_7" w:history="1">
        <w:r>
          <w:rPr>
            <w:rStyle w:val="a3"/>
            <w:rFonts w:eastAsia="Times New Roman"/>
            <w:b/>
            <w:bCs/>
            <w:sz w:val="20"/>
            <w:szCs w:val="20"/>
          </w:rPr>
          <w:t>Table of Contents</w:t>
        </w:r>
      </w:hyperlink>
    </w:p>
    <w:p w14:paraId="331B8A43" w14:textId="77777777" w:rsidR="00000000" w:rsidRDefault="00C1661D">
      <w:pPr>
        <w:jc w:val="both"/>
        <w:rPr>
          <w:rFonts w:eastAsia="Times New Roman"/>
        </w:rPr>
      </w:pPr>
      <w:r>
        <w:rPr>
          <w:rFonts w:eastAsia="Times New Roman"/>
          <w:b/>
          <w:bCs/>
          <w:i/>
          <w:iCs/>
          <w:color w:val="000000"/>
          <w:sz w:val="20"/>
          <w:szCs w:val="20"/>
        </w:rPr>
        <w:t>Declines in the stock market or bond market, and a low interest</w:t>
      </w:r>
      <w:r>
        <w:rPr>
          <w:rFonts w:eastAsia="Times New Roman"/>
          <w:color w:val="000000"/>
          <w:sz w:val="20"/>
          <w:szCs w:val="20"/>
        </w:rPr>
        <w:t xml:space="preserve"> </w:t>
      </w:r>
      <w:r>
        <w:rPr>
          <w:rFonts w:eastAsia="Times New Roman"/>
          <w:b/>
          <w:bCs/>
          <w:i/>
          <w:iCs/>
          <w:color w:val="000000"/>
          <w:sz w:val="20"/>
          <w:szCs w:val="20"/>
        </w:rPr>
        <w:t>rate</w:t>
      </w:r>
      <w:r>
        <w:rPr>
          <w:rFonts w:eastAsia="Times New Roman"/>
          <w:b/>
          <w:bCs/>
          <w:i/>
          <w:iCs/>
          <w:color w:val="000000"/>
          <w:sz w:val="20"/>
          <w:szCs w:val="20"/>
        </w:rPr>
        <w:t xml:space="preserve"> environment, may negatively impact our pension liability. </w:t>
      </w:r>
      <w:r>
        <w:rPr>
          <w:rFonts w:eastAsia="Times New Roman"/>
          <w:color w:val="000000"/>
          <w:sz w:val="20"/>
          <w:szCs w:val="20"/>
        </w:rPr>
        <w:t xml:space="preserve">Declines in the stock market and a low interest rate environment historically have resulted in a significant impact on our pension liability and funded status. Declines in the stock or bond market </w:t>
      </w:r>
      <w:r>
        <w:rPr>
          <w:rFonts w:eastAsia="Times New Roman"/>
          <w:color w:val="000000"/>
          <w:sz w:val="20"/>
          <w:szCs w:val="20"/>
        </w:rPr>
        <w:t xml:space="preserve">and valuation of stocks or bonds, combined with low interest rates, could further impact our pension liability and funded status and increase the amount of required contributions to our pension plans. </w:t>
      </w:r>
    </w:p>
    <w:p w14:paraId="4293EBBB" w14:textId="77777777" w:rsidR="00000000" w:rsidRDefault="00C1661D">
      <w:pPr>
        <w:jc w:val="both"/>
        <w:rPr>
          <w:rFonts w:eastAsia="Times New Roman"/>
        </w:rPr>
      </w:pPr>
    </w:p>
    <w:p w14:paraId="3FC73209" w14:textId="77777777" w:rsidR="00000000" w:rsidRDefault="00C1661D">
      <w:pPr>
        <w:jc w:val="both"/>
        <w:rPr>
          <w:rFonts w:eastAsia="Times New Roman"/>
        </w:rPr>
      </w:pPr>
      <w:r>
        <w:rPr>
          <w:rFonts w:eastAsia="Times New Roman"/>
          <w:b/>
          <w:bCs/>
          <w:i/>
          <w:iCs/>
          <w:color w:val="000000"/>
          <w:sz w:val="20"/>
          <w:szCs w:val="20"/>
        </w:rPr>
        <w:t xml:space="preserve">Unless we otherwise consent in writing, our Amended and Restated Bylaws designate a state court located in Montgomery County, Pennsylvania or, if no state court located within such county has jurisdiction over such action or proceeding, the federal United </w:t>
      </w:r>
      <w:r>
        <w:rPr>
          <w:rFonts w:eastAsia="Times New Roman"/>
          <w:b/>
          <w:bCs/>
          <w:i/>
          <w:iCs/>
          <w:color w:val="000000"/>
          <w:sz w:val="20"/>
          <w:szCs w:val="20"/>
        </w:rPr>
        <w:t>States District Court for the Eastern District of Pennsylvania, as the sole and exclusive forum for certain types of actions and proceedings that may be initiated by our shareholders, which could discourage lawsuits against us and our directors and officer</w:t>
      </w:r>
      <w:r>
        <w:rPr>
          <w:rFonts w:eastAsia="Times New Roman"/>
          <w:b/>
          <w:bCs/>
          <w:i/>
          <w:iCs/>
          <w:color w:val="000000"/>
          <w:sz w:val="20"/>
          <w:szCs w:val="20"/>
        </w:rPr>
        <w:t xml:space="preserve">s. </w:t>
      </w:r>
      <w:r>
        <w:rPr>
          <w:rFonts w:eastAsia="Times New Roman"/>
          <w:color w:val="000000"/>
          <w:sz w:val="20"/>
          <w:szCs w:val="20"/>
        </w:rPr>
        <w:t xml:space="preserve">Our Amended and Restated Bylaws provide that, unless we otherwise consent in writing, a state court located in Montgomery County, Pennsylvania or, if no state court located within such county has jurisdiction over such action or proceeding, the federal </w:t>
      </w:r>
      <w:r>
        <w:rPr>
          <w:rFonts w:eastAsia="Times New Roman"/>
          <w:color w:val="000000"/>
          <w:sz w:val="20"/>
          <w:szCs w:val="20"/>
        </w:rPr>
        <w:t xml:space="preserve">United States District Court for the Eastern District of Pennsylvania, as the sole and exclusive forum for: (a) any derivative action or proceeding brought on behalf of us; (b) any action or proceeding asserting a claim of breach of duty owed to us or our </w:t>
      </w:r>
      <w:r>
        <w:rPr>
          <w:rFonts w:eastAsia="Times New Roman"/>
          <w:color w:val="000000"/>
          <w:sz w:val="20"/>
          <w:szCs w:val="20"/>
        </w:rPr>
        <w:t>shareholders by any director, officer, or other employee of ours; (c) any action or proceeding asserting a claim against us or against any of our directors, officers or other employees arising pursuant to, or involving any interpretation or enforcement of,</w:t>
      </w:r>
      <w:r>
        <w:rPr>
          <w:rFonts w:eastAsia="Times New Roman"/>
          <w:color w:val="000000"/>
          <w:sz w:val="20"/>
          <w:szCs w:val="20"/>
        </w:rPr>
        <w:t xml:space="preserve"> any provision of the Pennsylvania Associations Code, Pennsylvania Business Corporation Law of 1988, or our Amended and Restated Articles of Incorporation or Amended and Restated Bylaws; and (d) any action or proceeding asserting a claim peculiar to the re</w:t>
      </w:r>
      <w:r>
        <w:rPr>
          <w:rFonts w:eastAsia="Times New Roman"/>
          <w:color w:val="000000"/>
          <w:sz w:val="20"/>
          <w:szCs w:val="20"/>
        </w:rPr>
        <w:t xml:space="preserve">lationship between or among us and our officers, directors, and shareholders, or otherwise governed by or involving the internal affairs doctrine. This exclusive forum provision does not apply to suits brought to enforce a duty or liability created by the </w:t>
      </w:r>
      <w:r>
        <w:rPr>
          <w:rFonts w:eastAsia="Times New Roman"/>
          <w:color w:val="000000"/>
          <w:sz w:val="20"/>
          <w:szCs w:val="20"/>
        </w:rPr>
        <w:t xml:space="preserve">Exchange Act or the Securities Act. </w:t>
      </w:r>
    </w:p>
    <w:p w14:paraId="57D75996" w14:textId="77777777" w:rsidR="00000000" w:rsidRDefault="00C1661D">
      <w:pPr>
        <w:jc w:val="both"/>
        <w:rPr>
          <w:rFonts w:eastAsia="Times New Roman"/>
        </w:rPr>
      </w:pPr>
    </w:p>
    <w:p w14:paraId="7B94B2EB" w14:textId="77777777" w:rsidR="00000000" w:rsidRDefault="00C1661D">
      <w:pPr>
        <w:jc w:val="both"/>
        <w:rPr>
          <w:rFonts w:eastAsia="Times New Roman"/>
        </w:rPr>
      </w:pPr>
      <w:r>
        <w:rPr>
          <w:rFonts w:eastAsia="Times New Roman"/>
          <w:color w:val="000000"/>
          <w:sz w:val="20"/>
          <w:szCs w:val="20"/>
        </w:rPr>
        <w:t>This exclusive forum provision may limit the ability of our shareholders to bring a claim in a judicial forum that such shareholders find favorable for disputes with us or our directors or officers, which may discoura</w:t>
      </w:r>
      <w:r>
        <w:rPr>
          <w:rFonts w:eastAsia="Times New Roman"/>
          <w:color w:val="000000"/>
          <w:sz w:val="20"/>
          <w:szCs w:val="20"/>
        </w:rPr>
        <w:t>ge such lawsuits against us and our directors and officers. Alternatively, if a court outside of Pennsylvania were to find this exclusive forum provision inapplicable to, or unenforceable in respect of, one or more of the specified types of actions or proc</w:t>
      </w:r>
      <w:r>
        <w:rPr>
          <w:rFonts w:eastAsia="Times New Roman"/>
          <w:color w:val="000000"/>
          <w:sz w:val="20"/>
          <w:szCs w:val="20"/>
        </w:rPr>
        <w:t>eedings described above, we may incur additional costs associated with resolving such matters in other jurisdictions, which could adversely affect our business, results of operations and financial condition.</w:t>
      </w:r>
    </w:p>
    <w:p w14:paraId="12A0E300" w14:textId="77777777" w:rsidR="00000000" w:rsidRDefault="00C1661D">
      <w:pPr>
        <w:jc w:val="both"/>
        <w:rPr>
          <w:rFonts w:eastAsia="Times New Roman"/>
        </w:rPr>
      </w:pPr>
    </w:p>
    <w:p w14:paraId="413133C4" w14:textId="77777777" w:rsidR="00000000" w:rsidRDefault="00C1661D">
      <w:pPr>
        <w:jc w:val="both"/>
        <w:divId w:val="94059792"/>
        <w:rPr>
          <w:rFonts w:eastAsia="Times New Roman"/>
        </w:rPr>
      </w:pPr>
      <w:r>
        <w:rPr>
          <w:rFonts w:eastAsia="Times New Roman"/>
          <w:b/>
          <w:bCs/>
          <w:color w:val="000000"/>
          <w:sz w:val="20"/>
          <w:szCs w:val="20"/>
        </w:rPr>
        <w:t>ITEM 1B. UNRESOLVED STAFF COMMENTS</w:t>
      </w:r>
    </w:p>
    <w:p w14:paraId="179BCBF5" w14:textId="77777777" w:rsidR="00000000" w:rsidRDefault="00C1661D">
      <w:pPr>
        <w:divId w:val="592203647"/>
        <w:rPr>
          <w:rFonts w:eastAsia="Times New Roman"/>
        </w:rPr>
      </w:pPr>
    </w:p>
    <w:p w14:paraId="4EEC431B" w14:textId="77777777" w:rsidR="00000000" w:rsidRDefault="00C1661D">
      <w:pPr>
        <w:divId w:val="1268081211"/>
        <w:rPr>
          <w:rFonts w:eastAsia="Times New Roman"/>
        </w:rPr>
      </w:pPr>
      <w:r>
        <w:rPr>
          <w:rFonts w:eastAsia="Times New Roman"/>
          <w:color w:val="000000"/>
          <w:sz w:val="20"/>
          <w:szCs w:val="20"/>
        </w:rPr>
        <w:t xml:space="preserve">None. </w:t>
      </w:r>
    </w:p>
    <w:p w14:paraId="58D73920" w14:textId="77777777" w:rsidR="00000000" w:rsidRDefault="00C1661D">
      <w:pPr>
        <w:jc w:val="both"/>
        <w:divId w:val="192306410"/>
        <w:rPr>
          <w:rFonts w:eastAsia="Times New Roman"/>
        </w:rPr>
      </w:pPr>
      <w:r>
        <w:rPr>
          <w:rFonts w:eastAsia="Times New Roman"/>
          <w:b/>
          <w:bCs/>
          <w:color w:val="000000"/>
          <w:sz w:val="20"/>
          <w:szCs w:val="20"/>
        </w:rPr>
        <w:t>IT</w:t>
      </w:r>
      <w:r>
        <w:rPr>
          <w:rFonts w:eastAsia="Times New Roman"/>
          <w:b/>
          <w:bCs/>
          <w:color w:val="000000"/>
          <w:sz w:val="20"/>
          <w:szCs w:val="20"/>
        </w:rPr>
        <w:t>EM 3. LEGAL PROCEEDINGS</w:t>
      </w:r>
    </w:p>
    <w:p w14:paraId="53B7640E" w14:textId="77777777" w:rsidR="00000000" w:rsidRDefault="00C1661D">
      <w:pPr>
        <w:divId w:val="595989964"/>
        <w:rPr>
          <w:rFonts w:eastAsia="Times New Roman"/>
        </w:rPr>
      </w:pPr>
    </w:p>
    <w:p w14:paraId="3D864859" w14:textId="77777777" w:rsidR="00000000" w:rsidRDefault="00C1661D">
      <w:pPr>
        <w:jc w:val="both"/>
        <w:rPr>
          <w:rFonts w:eastAsia="Times New Roman"/>
        </w:rPr>
      </w:pPr>
      <w:r>
        <w:rPr>
          <w:rFonts w:eastAsia="Times New Roman"/>
          <w:color w:val="000000"/>
          <w:sz w:val="20"/>
          <w:szCs w:val="20"/>
        </w:rPr>
        <w:t>With the exception of those matters set forth in Note 17 to Consolidated Financial Statements included in Item 15 of this Report, no material legal proceedings are pending involving the Company, any of its subsidiaries, or any of their properties, and no s</w:t>
      </w:r>
      <w:r>
        <w:rPr>
          <w:rFonts w:eastAsia="Times New Roman"/>
          <w:color w:val="000000"/>
          <w:sz w:val="20"/>
          <w:szCs w:val="20"/>
        </w:rPr>
        <w:t>uch proceedings are known to be contemplated by governmental authorities other than claims arising in the ordinary course of business.</w:t>
      </w:r>
    </w:p>
    <w:p w14:paraId="6392614F" w14:textId="77777777" w:rsidR="00000000" w:rsidRDefault="00C1661D">
      <w:pPr>
        <w:jc w:val="both"/>
        <w:divId w:val="1198078743"/>
        <w:rPr>
          <w:rFonts w:eastAsia="Times New Roman"/>
        </w:rPr>
      </w:pPr>
      <w:r>
        <w:rPr>
          <w:rFonts w:eastAsia="Times New Roman"/>
          <w:b/>
          <w:bCs/>
          <w:color w:val="000000"/>
          <w:sz w:val="20"/>
          <w:szCs w:val="20"/>
        </w:rPr>
        <w:t>ITEM 4. MINE SAFETY DISCLOSURES</w:t>
      </w:r>
    </w:p>
    <w:p w14:paraId="01AC11E2" w14:textId="77777777" w:rsidR="00000000" w:rsidRDefault="00C1661D">
      <w:pPr>
        <w:divId w:val="2014910969"/>
        <w:rPr>
          <w:rFonts w:eastAsia="Times New Roman"/>
        </w:rPr>
      </w:pPr>
    </w:p>
    <w:p w14:paraId="4136BA15" w14:textId="77777777" w:rsidR="00000000" w:rsidRDefault="00C1661D">
      <w:pPr>
        <w:divId w:val="1652905139"/>
        <w:rPr>
          <w:rFonts w:eastAsia="Times New Roman"/>
        </w:rPr>
      </w:pPr>
      <w:r>
        <w:rPr>
          <w:rFonts w:eastAsia="Times New Roman"/>
          <w:color w:val="000000"/>
          <w:sz w:val="20"/>
          <w:szCs w:val="20"/>
        </w:rPr>
        <w:t>None.</w:t>
      </w:r>
    </w:p>
    <w:p w14:paraId="6B8D8D32" w14:textId="77777777" w:rsidR="00000000" w:rsidRDefault="00C1661D">
      <w:pPr>
        <w:jc w:val="center"/>
        <w:divId w:val="1984237951"/>
        <w:rPr>
          <w:rFonts w:eastAsia="Times New Roman"/>
        </w:rPr>
      </w:pPr>
      <w:r>
        <w:rPr>
          <w:rFonts w:eastAsia="Times New Roman"/>
          <w:b/>
          <w:bCs/>
          <w:color w:val="000000"/>
          <w:sz w:val="20"/>
          <w:szCs w:val="20"/>
        </w:rPr>
        <w:t>EXECUTIVE OFFICERS</w:t>
      </w:r>
    </w:p>
    <w:p w14:paraId="306EB8A4" w14:textId="77777777" w:rsidR="00000000" w:rsidRDefault="00C1661D">
      <w:pPr>
        <w:divId w:val="1138375759"/>
        <w:rPr>
          <w:rFonts w:eastAsia="Times New Roman"/>
        </w:rPr>
      </w:pPr>
    </w:p>
    <w:p w14:paraId="22AE40A0" w14:textId="77777777" w:rsidR="00000000" w:rsidRDefault="00C1661D">
      <w:pPr>
        <w:jc w:val="both"/>
        <w:rPr>
          <w:rFonts w:eastAsia="Times New Roman"/>
        </w:rPr>
      </w:pPr>
      <w:r>
        <w:rPr>
          <w:rFonts w:eastAsia="Times New Roman"/>
          <w:color w:val="000000"/>
          <w:sz w:val="20"/>
          <w:szCs w:val="20"/>
        </w:rPr>
        <w:t xml:space="preserve">Information regarding our executive officers is included in </w:t>
      </w:r>
      <w:r>
        <w:rPr>
          <w:rFonts w:eastAsia="Times New Roman"/>
          <w:color w:val="000000"/>
          <w:sz w:val="20"/>
          <w:szCs w:val="20"/>
        </w:rPr>
        <w:t>Part III of this Report and is incorporated in Part I by reference.</w:t>
      </w:r>
    </w:p>
    <w:p w14:paraId="11F1F3D3" w14:textId="77777777" w:rsidR="00000000" w:rsidRDefault="00C1661D">
      <w:pPr>
        <w:jc w:val="center"/>
        <w:divId w:val="1298874404"/>
        <w:rPr>
          <w:rFonts w:eastAsia="Times New Roman"/>
        </w:rPr>
      </w:pPr>
      <w:r>
        <w:rPr>
          <w:rFonts w:eastAsia="Times New Roman"/>
          <w:color w:val="000000"/>
          <w:sz w:val="20"/>
          <w:szCs w:val="20"/>
        </w:rPr>
        <w:t>47</w:t>
      </w:r>
    </w:p>
    <w:p w14:paraId="0A2393E3" w14:textId="77777777" w:rsidR="00000000" w:rsidRDefault="00C1661D">
      <w:pPr>
        <w:rPr>
          <w:rFonts w:eastAsia="Times New Roman"/>
        </w:rPr>
      </w:pPr>
      <w:r>
        <w:rPr>
          <w:rFonts w:eastAsia="Times New Roman"/>
        </w:rPr>
        <w:pict w14:anchorId="767F49DE">
          <v:rect id="_x0000_i1073" style="width:0;height:1.5pt" o:hralign="center" o:hrstd="t" o:hr="t" fillcolor="#a0a0a0" stroked="f"/>
        </w:pict>
      </w:r>
    </w:p>
    <w:p w14:paraId="11ED21B7" w14:textId="77777777" w:rsidR="00000000" w:rsidRDefault="00C1661D">
      <w:pPr>
        <w:divId w:val="2025008943"/>
        <w:rPr>
          <w:rFonts w:eastAsia="Times New Roman"/>
        </w:rPr>
      </w:pPr>
      <w:hyperlink w:anchor="i3850c3c6c0104e42b9951aac2f16098a_7" w:history="1">
        <w:r>
          <w:rPr>
            <w:rStyle w:val="a3"/>
            <w:rFonts w:eastAsia="Times New Roman"/>
            <w:b/>
            <w:bCs/>
            <w:sz w:val="20"/>
            <w:szCs w:val="20"/>
          </w:rPr>
          <w:t>Table of Contents</w:t>
        </w:r>
      </w:hyperlink>
    </w:p>
    <w:p w14:paraId="51333070" w14:textId="77777777" w:rsidR="00000000" w:rsidRDefault="00C1661D">
      <w:pPr>
        <w:jc w:val="both"/>
        <w:rPr>
          <w:rFonts w:eastAsia="Times New Roman"/>
        </w:rPr>
      </w:pPr>
      <w:r>
        <w:rPr>
          <w:rFonts w:eastAsia="Times New Roman"/>
          <w:b/>
          <w:bCs/>
          <w:color w:val="000000"/>
          <w:sz w:val="20"/>
          <w:szCs w:val="20"/>
        </w:rPr>
        <w:t>PART II:</w:t>
      </w:r>
    </w:p>
    <w:p w14:paraId="33D6130D" w14:textId="77777777" w:rsidR="00000000" w:rsidRDefault="00C1661D">
      <w:pPr>
        <w:jc w:val="both"/>
        <w:rPr>
          <w:rFonts w:eastAsia="Times New Roman"/>
        </w:rPr>
      </w:pPr>
    </w:p>
    <w:p w14:paraId="36A5B5CF" w14:textId="77777777" w:rsidR="00000000" w:rsidRDefault="00C1661D">
      <w:pPr>
        <w:ind w:hanging="810"/>
        <w:jc w:val="both"/>
        <w:rPr>
          <w:rFonts w:eastAsia="Times New Roman"/>
        </w:rPr>
      </w:pPr>
      <w:r>
        <w:rPr>
          <w:rFonts w:eastAsia="Times New Roman"/>
          <w:b/>
          <w:bCs/>
          <w:color w:val="000000"/>
          <w:sz w:val="20"/>
          <w:szCs w:val="20"/>
        </w:rPr>
        <w:t>ITEM 5.MARKET FOR REGISTRANT’S COMMON EQUITY, RELATED STOCKHO</w:t>
      </w:r>
      <w:r>
        <w:rPr>
          <w:rFonts w:eastAsia="Times New Roman"/>
          <w:b/>
          <w:bCs/>
          <w:color w:val="000000"/>
          <w:sz w:val="20"/>
          <w:szCs w:val="20"/>
        </w:rPr>
        <w:t>LDER MATTERS AND ISSUER PURCHASES OF EQUITY SECURITIES</w:t>
      </w:r>
    </w:p>
    <w:p w14:paraId="0E3CA91C" w14:textId="77777777" w:rsidR="00000000" w:rsidRDefault="00C1661D">
      <w:pPr>
        <w:jc w:val="both"/>
        <w:rPr>
          <w:rFonts w:eastAsia="Times New Roman"/>
        </w:rPr>
      </w:pPr>
    </w:p>
    <w:p w14:paraId="483041A8" w14:textId="77777777" w:rsidR="00000000" w:rsidRDefault="00C1661D">
      <w:pPr>
        <w:jc w:val="both"/>
        <w:rPr>
          <w:rFonts w:eastAsia="Times New Roman"/>
        </w:rPr>
      </w:pPr>
      <w:r>
        <w:rPr>
          <w:rFonts w:eastAsia="Times New Roman"/>
          <w:b/>
          <w:bCs/>
          <w:color w:val="000000"/>
          <w:sz w:val="20"/>
          <w:szCs w:val="20"/>
        </w:rPr>
        <w:t>Market Information and Dividend Policy</w:t>
      </w:r>
    </w:p>
    <w:p w14:paraId="7E53A37E" w14:textId="77777777" w:rsidR="00000000" w:rsidRDefault="00C1661D">
      <w:pPr>
        <w:divId w:val="1555392046"/>
        <w:rPr>
          <w:rFonts w:eastAsia="Times New Roman"/>
        </w:rPr>
      </w:pPr>
    </w:p>
    <w:p w14:paraId="69B41454" w14:textId="77777777" w:rsidR="00000000" w:rsidRDefault="00C1661D">
      <w:pPr>
        <w:jc w:val="both"/>
        <w:rPr>
          <w:rFonts w:eastAsia="Times New Roman"/>
        </w:rPr>
      </w:pPr>
      <w:r>
        <w:rPr>
          <w:rFonts w:eastAsia="Times New Roman"/>
          <w:color w:val="000000"/>
          <w:sz w:val="20"/>
          <w:szCs w:val="20"/>
        </w:rPr>
        <w:t>Our Common Stock is traded on the New York Stock Exchange under the symbol “UGI.” On November 11, 2022, we had 6,485 holders of record of Common Stock.</w:t>
      </w:r>
    </w:p>
    <w:p w14:paraId="3C7CC896" w14:textId="77777777" w:rsidR="00000000" w:rsidRDefault="00C1661D">
      <w:pPr>
        <w:jc w:val="both"/>
        <w:rPr>
          <w:rFonts w:eastAsia="Times New Roman"/>
        </w:rPr>
      </w:pPr>
    </w:p>
    <w:p w14:paraId="1A27F5D1" w14:textId="77777777" w:rsidR="00000000" w:rsidRDefault="00C1661D">
      <w:pPr>
        <w:jc w:val="both"/>
        <w:rPr>
          <w:rFonts w:eastAsia="Times New Roman"/>
        </w:rPr>
      </w:pPr>
      <w:r>
        <w:rPr>
          <w:rFonts w:eastAsia="Times New Roman"/>
          <w:color w:val="000000"/>
          <w:sz w:val="20"/>
          <w:szCs w:val="20"/>
        </w:rPr>
        <w:t>Payment of dividends is subject to declaration by the Board of Directors. Factors considered in determining dividends include our profitability and expected capital needs. Subject to these qualifications, we presently expect to continue to pay dividends on</w:t>
      </w:r>
      <w:r>
        <w:rPr>
          <w:rFonts w:eastAsia="Times New Roman"/>
          <w:color w:val="000000"/>
          <w:sz w:val="20"/>
          <w:szCs w:val="20"/>
        </w:rPr>
        <w:t xml:space="preserve"> a quarterly basis.</w:t>
      </w:r>
    </w:p>
    <w:p w14:paraId="0A0E05CE" w14:textId="77777777" w:rsidR="00000000" w:rsidRDefault="00C1661D">
      <w:pPr>
        <w:divId w:val="274486282"/>
        <w:rPr>
          <w:rFonts w:eastAsia="Times New Roman"/>
        </w:rPr>
      </w:pPr>
    </w:p>
    <w:p w14:paraId="57017020" w14:textId="77777777" w:rsidR="00000000" w:rsidRDefault="00C1661D">
      <w:pPr>
        <w:divId w:val="775905140"/>
        <w:rPr>
          <w:rFonts w:eastAsia="Times New Roman"/>
        </w:rPr>
      </w:pPr>
      <w:r>
        <w:rPr>
          <w:rFonts w:eastAsia="Times New Roman"/>
          <w:b/>
          <w:bCs/>
          <w:color w:val="000000"/>
          <w:sz w:val="20"/>
          <w:szCs w:val="20"/>
        </w:rPr>
        <w:t>Equity Compensation Plan Information</w:t>
      </w:r>
    </w:p>
    <w:p w14:paraId="6D374F9E" w14:textId="77777777" w:rsidR="00000000" w:rsidRDefault="00C1661D">
      <w:pPr>
        <w:divId w:val="434129292"/>
        <w:rPr>
          <w:rFonts w:eastAsia="Times New Roman"/>
        </w:rPr>
      </w:pPr>
    </w:p>
    <w:p w14:paraId="7DF651FC" w14:textId="77777777" w:rsidR="00000000" w:rsidRDefault="00C1661D">
      <w:pPr>
        <w:jc w:val="both"/>
        <w:rPr>
          <w:rFonts w:eastAsia="Times New Roman"/>
        </w:rPr>
      </w:pPr>
      <w:r>
        <w:rPr>
          <w:rFonts w:eastAsia="Times New Roman"/>
          <w:color w:val="000000"/>
          <w:sz w:val="20"/>
          <w:szCs w:val="20"/>
        </w:rPr>
        <w:t>Information regarding the securities authorized for issuance under our equity compensation plans can be found under Part III of this Report.</w:t>
      </w:r>
    </w:p>
    <w:p w14:paraId="6DB43ED5" w14:textId="77777777" w:rsidR="00000000" w:rsidRDefault="00C1661D">
      <w:pPr>
        <w:divId w:val="662705224"/>
        <w:rPr>
          <w:rFonts w:eastAsia="Times New Roman"/>
        </w:rPr>
      </w:pPr>
    </w:p>
    <w:p w14:paraId="36DB6F2F" w14:textId="77777777" w:rsidR="00000000" w:rsidRDefault="00C1661D">
      <w:pPr>
        <w:divId w:val="403264178"/>
        <w:rPr>
          <w:rFonts w:eastAsia="Times New Roman"/>
        </w:rPr>
      </w:pPr>
      <w:r>
        <w:rPr>
          <w:rFonts w:eastAsia="Times New Roman"/>
          <w:b/>
          <w:bCs/>
          <w:color w:val="000000"/>
          <w:sz w:val="20"/>
          <w:szCs w:val="20"/>
        </w:rPr>
        <w:t>Issuer Purchases of Equity Securities</w:t>
      </w:r>
    </w:p>
    <w:p w14:paraId="1B453704" w14:textId="77777777" w:rsidR="00000000" w:rsidRDefault="00C1661D">
      <w:pPr>
        <w:divId w:val="529993630"/>
        <w:rPr>
          <w:rFonts w:eastAsia="Times New Roman"/>
        </w:rPr>
      </w:pPr>
    </w:p>
    <w:p w14:paraId="495C5F3B" w14:textId="77777777" w:rsidR="00000000" w:rsidRDefault="00C1661D">
      <w:pPr>
        <w:jc w:val="both"/>
        <w:rPr>
          <w:rFonts w:eastAsia="Times New Roman"/>
        </w:rPr>
      </w:pPr>
      <w:r>
        <w:rPr>
          <w:rFonts w:eastAsia="Times New Roman"/>
          <w:color w:val="000000"/>
          <w:sz w:val="20"/>
          <w:szCs w:val="20"/>
        </w:rPr>
        <w:t xml:space="preserve">The Company </w:t>
      </w:r>
      <w:r>
        <w:rPr>
          <w:rFonts w:eastAsia="Times New Roman"/>
          <w:color w:val="000000"/>
          <w:sz w:val="20"/>
          <w:szCs w:val="20"/>
        </w:rPr>
        <w:t>did not repurchase any shares of its Common Stock during the quarter ended September 30, 2022. As of September 30, 2022, the Company had 7.10 million shares of Common Stock available for repurchase through an extension of a previous share repurchase progra</w:t>
      </w:r>
      <w:r>
        <w:rPr>
          <w:rFonts w:eastAsia="Times New Roman"/>
          <w:color w:val="000000"/>
          <w:sz w:val="20"/>
          <w:szCs w:val="20"/>
        </w:rPr>
        <w:t>m announced by the Company on February 2, 2022. The Board of Directors authorized the repurchase of up to 8 million shares of Common Stock over a four-year period expiring in February 2026.</w:t>
      </w:r>
    </w:p>
    <w:p w14:paraId="77BE3EE9" w14:textId="77777777" w:rsidR="00000000" w:rsidRDefault="00C1661D">
      <w:pPr>
        <w:divId w:val="917330789"/>
        <w:rPr>
          <w:rFonts w:eastAsia="Times New Roman"/>
        </w:rPr>
      </w:pPr>
    </w:p>
    <w:p w14:paraId="588060BC" w14:textId="77777777" w:rsidR="00000000" w:rsidRDefault="00C1661D">
      <w:pPr>
        <w:divId w:val="1205294559"/>
        <w:rPr>
          <w:rFonts w:eastAsia="Times New Roman"/>
        </w:rPr>
      </w:pPr>
      <w:r>
        <w:rPr>
          <w:rFonts w:eastAsia="Times New Roman"/>
          <w:b/>
          <w:bCs/>
          <w:color w:val="000000"/>
          <w:sz w:val="20"/>
          <w:szCs w:val="20"/>
        </w:rPr>
        <w:t>Recent Sale of Unregistered Securities</w:t>
      </w:r>
    </w:p>
    <w:p w14:paraId="500C024F" w14:textId="77777777" w:rsidR="00000000" w:rsidRDefault="00C1661D">
      <w:pPr>
        <w:jc w:val="both"/>
        <w:rPr>
          <w:rFonts w:eastAsia="Times New Roman"/>
        </w:rPr>
      </w:pPr>
    </w:p>
    <w:p w14:paraId="77C16DC2" w14:textId="77777777" w:rsidR="00000000" w:rsidRDefault="00C1661D">
      <w:pPr>
        <w:jc w:val="both"/>
        <w:rPr>
          <w:rFonts w:eastAsia="Times New Roman"/>
        </w:rPr>
      </w:pPr>
      <w:r>
        <w:rPr>
          <w:rFonts w:eastAsia="Times New Roman"/>
          <w:color w:val="000000"/>
          <w:sz w:val="20"/>
          <w:szCs w:val="20"/>
        </w:rPr>
        <w:t>The Company did not sel</w:t>
      </w:r>
      <w:r>
        <w:rPr>
          <w:rFonts w:eastAsia="Times New Roman"/>
          <w:color w:val="000000"/>
          <w:sz w:val="20"/>
          <w:szCs w:val="20"/>
        </w:rPr>
        <w:t>l any unregistered securities during Fiscal 2022.</w:t>
      </w:r>
    </w:p>
    <w:p w14:paraId="529C9C3E" w14:textId="77777777" w:rsidR="00000000" w:rsidRDefault="00C1661D">
      <w:pPr>
        <w:jc w:val="both"/>
        <w:rPr>
          <w:rFonts w:eastAsia="Times New Roman"/>
        </w:rPr>
      </w:pPr>
    </w:p>
    <w:p w14:paraId="5D22DE99" w14:textId="77777777" w:rsidR="00000000" w:rsidRDefault="00C1661D">
      <w:pPr>
        <w:divId w:val="2038121297"/>
        <w:rPr>
          <w:rFonts w:eastAsia="Times New Roman"/>
        </w:rPr>
      </w:pPr>
      <w:r>
        <w:rPr>
          <w:rFonts w:eastAsia="Times New Roman"/>
          <w:b/>
          <w:bCs/>
          <w:color w:val="000000"/>
          <w:sz w:val="20"/>
          <w:szCs w:val="20"/>
        </w:rPr>
        <w:t>Performance Graph</w:t>
      </w:r>
    </w:p>
    <w:p w14:paraId="1DC278E3" w14:textId="77777777" w:rsidR="00000000" w:rsidRDefault="00C1661D">
      <w:pPr>
        <w:divId w:val="655887035"/>
        <w:rPr>
          <w:rFonts w:eastAsia="Times New Roman"/>
        </w:rPr>
      </w:pPr>
    </w:p>
    <w:p w14:paraId="48A4661F" w14:textId="77777777" w:rsidR="00000000" w:rsidRDefault="00C1661D">
      <w:pPr>
        <w:divId w:val="1056969666"/>
        <w:rPr>
          <w:rFonts w:eastAsia="Times New Roman"/>
        </w:rPr>
      </w:pPr>
      <w:r>
        <w:rPr>
          <w:rFonts w:eastAsia="Times New Roman"/>
          <w:color w:val="000000"/>
          <w:sz w:val="20"/>
          <w:szCs w:val="20"/>
        </w:rPr>
        <w:t>The following graph compares the cumulative five-year total shareholder return (stock price appreciation and the reinvestment of dividends) on an investment of $100 in UGI Common Stock</w:t>
      </w:r>
      <w:r>
        <w:rPr>
          <w:rFonts w:eastAsia="Times New Roman"/>
          <w:color w:val="000000"/>
          <w:sz w:val="20"/>
          <w:szCs w:val="20"/>
        </w:rPr>
        <w:t>, the S&amp;P 500 Index, and the S&amp;P 500 Utilities Index over the five years from September 30, 2017, through September 30, 2022. The stock performance shown on the graph below is based on historical data and is not necessarily indicative of future stock price</w:t>
      </w:r>
      <w:r>
        <w:rPr>
          <w:rFonts w:eastAsia="Times New Roman"/>
          <w:color w:val="000000"/>
          <w:sz w:val="20"/>
          <w:szCs w:val="20"/>
        </w:rPr>
        <w:t xml:space="preserve"> performance.</w:t>
      </w:r>
    </w:p>
    <w:p w14:paraId="65EE7BF1" w14:textId="77777777" w:rsidR="00000000" w:rsidRDefault="00C1661D">
      <w:pPr>
        <w:jc w:val="center"/>
        <w:rPr>
          <w:rFonts w:eastAsia="Times New Roman"/>
        </w:rPr>
      </w:pPr>
      <w:r>
        <w:rPr>
          <w:rFonts w:eastAsia="Times New Roman"/>
          <w:noProof/>
        </w:rPr>
        <w:drawing>
          <wp:inline distT="0" distB="0" distL="0" distR="0" wp14:anchorId="0C41B985" wp14:editId="5076DE22">
            <wp:extent cx="304800" cy="3048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915ADBD" w14:textId="77777777" w:rsidR="00000000" w:rsidRDefault="00C1661D">
      <w:pPr>
        <w:jc w:val="center"/>
        <w:rPr>
          <w:rFonts w:eastAsia="Times New Roman"/>
        </w:rPr>
      </w:pPr>
    </w:p>
    <w:p w14:paraId="1FB6CF54" w14:textId="77777777" w:rsidR="00000000" w:rsidRDefault="00C1661D">
      <w:pPr>
        <w:jc w:val="center"/>
        <w:divId w:val="2106682217"/>
        <w:rPr>
          <w:rFonts w:eastAsia="Times New Roman"/>
        </w:rPr>
      </w:pPr>
      <w:r>
        <w:rPr>
          <w:rFonts w:eastAsia="Times New Roman"/>
          <w:color w:val="000000"/>
          <w:sz w:val="20"/>
          <w:szCs w:val="20"/>
        </w:rPr>
        <w:t>48</w:t>
      </w:r>
    </w:p>
    <w:p w14:paraId="433C8EAD" w14:textId="77777777" w:rsidR="00000000" w:rsidRDefault="00C1661D">
      <w:pPr>
        <w:rPr>
          <w:rFonts w:eastAsia="Times New Roman"/>
        </w:rPr>
      </w:pPr>
      <w:r>
        <w:rPr>
          <w:rFonts w:eastAsia="Times New Roman"/>
        </w:rPr>
        <w:pict w14:anchorId="7B34AEBE">
          <v:rect id="_x0000_i1075" style="width:0;height:1.5pt" o:hralign="center" o:hrstd="t" o:hr="t" fillcolor="#a0a0a0" stroked="f"/>
        </w:pict>
      </w:r>
    </w:p>
    <w:p w14:paraId="053A4F6E" w14:textId="77777777" w:rsidR="00000000" w:rsidRDefault="00C1661D">
      <w:pPr>
        <w:divId w:val="1850943784"/>
        <w:rPr>
          <w:rFonts w:eastAsia="Times New Roman"/>
        </w:rPr>
      </w:pPr>
      <w:hyperlink w:anchor="i3850c3c6c0104e42b9951aac2f16098a_7" w:history="1">
        <w:r>
          <w:rPr>
            <w:rStyle w:val="a3"/>
            <w:rFonts w:eastAsia="Times New Roman"/>
            <w:b/>
            <w:bCs/>
            <w:sz w:val="20"/>
            <w:szCs w:val="20"/>
          </w:rPr>
          <w:t>Table of Contents</w:t>
        </w:r>
      </w:hyperlink>
    </w:p>
    <w:p w14:paraId="2905D480" w14:textId="77777777" w:rsidR="00000000" w:rsidRDefault="00C1661D">
      <w:pPr>
        <w:divId w:val="2050766119"/>
        <w:rPr>
          <w:rFonts w:eastAsia="Times New Roman"/>
        </w:rPr>
      </w:pPr>
    </w:p>
    <w:p w14:paraId="5FB60C6A" w14:textId="77777777" w:rsidR="00000000" w:rsidRDefault="00C1661D">
      <w:pPr>
        <w:ind w:hanging="810"/>
        <w:jc w:val="both"/>
        <w:divId w:val="1027371585"/>
        <w:rPr>
          <w:rFonts w:eastAsia="Times New Roman"/>
        </w:rPr>
      </w:pPr>
      <w:r>
        <w:rPr>
          <w:rFonts w:eastAsia="Times New Roman"/>
          <w:b/>
          <w:bCs/>
          <w:color w:val="000000"/>
          <w:sz w:val="20"/>
          <w:szCs w:val="20"/>
        </w:rPr>
        <w:t>ITEM 6.SELECTED FINANCIAL DATA</w:t>
      </w:r>
    </w:p>
    <w:p w14:paraId="66071725" w14:textId="77777777" w:rsidR="00000000" w:rsidRDefault="00C1661D">
      <w:pPr>
        <w:jc w:val="both"/>
        <w:rPr>
          <w:rFonts w:eastAsia="Times New Roman"/>
        </w:rPr>
      </w:pPr>
      <w:r>
        <w:rPr>
          <w:rFonts w:eastAsia="Times New Roman"/>
          <w:color w:val="000000"/>
          <w:sz w:val="20"/>
          <w:szCs w:val="20"/>
        </w:rPr>
        <w:t>Intentionally omitted.</w:t>
      </w:r>
    </w:p>
    <w:p w14:paraId="390FE213" w14:textId="77777777" w:rsidR="00000000" w:rsidRDefault="00C1661D">
      <w:pPr>
        <w:ind w:hanging="360"/>
        <w:jc w:val="both"/>
        <w:rPr>
          <w:rFonts w:eastAsia="Times New Roman"/>
        </w:rPr>
      </w:pPr>
    </w:p>
    <w:p w14:paraId="3160C181" w14:textId="77777777" w:rsidR="00000000" w:rsidRDefault="00C1661D">
      <w:pPr>
        <w:ind w:hanging="810"/>
        <w:jc w:val="both"/>
        <w:rPr>
          <w:rFonts w:eastAsia="Times New Roman"/>
        </w:rPr>
      </w:pPr>
      <w:r>
        <w:rPr>
          <w:rFonts w:eastAsia="Times New Roman"/>
          <w:b/>
          <w:bCs/>
          <w:color w:val="000000"/>
          <w:sz w:val="20"/>
          <w:szCs w:val="20"/>
        </w:rPr>
        <w:t>ITEM 7.MANAGEMENT’S DISCUSSION AND ANALYSIS OF FINANCIAL CONDITION AND RESULTS OF OPERATIONS</w:t>
      </w:r>
    </w:p>
    <w:p w14:paraId="67EC3A18" w14:textId="77777777" w:rsidR="00000000" w:rsidRDefault="00C1661D">
      <w:pPr>
        <w:jc w:val="both"/>
        <w:rPr>
          <w:rFonts w:eastAsia="Times New Roman"/>
        </w:rPr>
      </w:pPr>
    </w:p>
    <w:p w14:paraId="6C7D8874" w14:textId="77777777" w:rsidR="00000000" w:rsidRDefault="00C1661D">
      <w:pPr>
        <w:jc w:val="both"/>
        <w:rPr>
          <w:rFonts w:eastAsia="Times New Roman"/>
        </w:rPr>
      </w:pPr>
      <w:r>
        <w:rPr>
          <w:rFonts w:eastAsia="Times New Roman"/>
          <w:color w:val="000000"/>
          <w:sz w:val="20"/>
          <w:szCs w:val="20"/>
        </w:rPr>
        <w:t>MD&amp;A discusses our results of operations for Fiscal 2022 and Fiscal 2021, and our financial condition. For discussion of our results of operations and cash flows</w:t>
      </w:r>
      <w:r>
        <w:rPr>
          <w:rFonts w:eastAsia="Times New Roman"/>
          <w:color w:val="000000"/>
          <w:sz w:val="20"/>
          <w:szCs w:val="20"/>
        </w:rPr>
        <w:t xml:space="preserve"> for Fiscal 2021 compared with Fiscal 2020, refer to “Item 7. Management’s Discussion and Analysis of Financial Condition and Results of Operations” in our Fiscal 2021 Annual Report on Form 10-K, filed with the SEC on November 19, 2021. MD&amp;A should be read</w:t>
      </w:r>
      <w:r>
        <w:rPr>
          <w:rFonts w:eastAsia="Times New Roman"/>
          <w:color w:val="000000"/>
          <w:sz w:val="20"/>
          <w:szCs w:val="20"/>
        </w:rPr>
        <w:t xml:space="preserve"> in conjunction with Items 1 and 2, “Business and Properties,” Item 1A, “Risk Factors,” and the Consolidated Financial Statements in Item 8 below including “Segment Information” included in Note 23 to Consolidated Financial Statements. </w:t>
      </w:r>
    </w:p>
    <w:p w14:paraId="26E8ACE6" w14:textId="77777777" w:rsidR="00000000" w:rsidRDefault="00C1661D">
      <w:pPr>
        <w:jc w:val="both"/>
        <w:divId w:val="1174952636"/>
        <w:rPr>
          <w:rFonts w:eastAsia="Times New Roman"/>
        </w:rPr>
      </w:pPr>
      <w:r>
        <w:rPr>
          <w:rFonts w:eastAsia="Times New Roman"/>
          <w:color w:val="000000"/>
          <w:sz w:val="20"/>
          <w:szCs w:val="20"/>
        </w:rPr>
        <w:t>Because most of our</w:t>
      </w:r>
      <w:r>
        <w:rPr>
          <w:rFonts w:eastAsia="Times New Roman"/>
          <w:color w:val="000000"/>
          <w:sz w:val="20"/>
          <w:szCs w:val="20"/>
        </w:rPr>
        <w:t xml:space="preserve"> businesses sell or distribute energy products used in large part for heating purposes, our results are significantly influenced by temperatures in our service territories, particularly during the heating-season months of October through March. Accordingly</w:t>
      </w:r>
      <w:r>
        <w:rPr>
          <w:rFonts w:eastAsia="Times New Roman"/>
          <w:color w:val="000000"/>
          <w:sz w:val="20"/>
          <w:szCs w:val="20"/>
        </w:rPr>
        <w:t>, our results of operations, after adjusting for the effects of gains and losses on derivative instruments not associated with current-period transactions as further discussed below, are significantly higher in our first and second fiscal quarters.</w:t>
      </w:r>
    </w:p>
    <w:p w14:paraId="473DB69E" w14:textId="77777777" w:rsidR="00000000" w:rsidRDefault="00C1661D">
      <w:pPr>
        <w:jc w:val="both"/>
        <w:rPr>
          <w:rFonts w:eastAsia="Times New Roman"/>
        </w:rPr>
      </w:pPr>
    </w:p>
    <w:p w14:paraId="259394AE" w14:textId="77777777" w:rsidR="00000000" w:rsidRDefault="00C1661D">
      <w:pPr>
        <w:jc w:val="both"/>
        <w:rPr>
          <w:rFonts w:eastAsia="Times New Roman"/>
        </w:rPr>
      </w:pPr>
      <w:r>
        <w:rPr>
          <w:rFonts w:eastAsia="Times New Roman"/>
          <w:b/>
          <w:bCs/>
          <w:color w:val="000000"/>
          <w:sz w:val="20"/>
          <w:szCs w:val="20"/>
          <w:u w:val="single"/>
        </w:rPr>
        <w:t>Execu</w:t>
      </w:r>
      <w:r>
        <w:rPr>
          <w:rFonts w:eastAsia="Times New Roman"/>
          <w:b/>
          <w:bCs/>
          <w:color w:val="000000"/>
          <w:sz w:val="20"/>
          <w:szCs w:val="20"/>
          <w:u w:val="single"/>
        </w:rPr>
        <w:t>tive Overview</w:t>
      </w:r>
    </w:p>
    <w:p w14:paraId="29BBA36A" w14:textId="77777777" w:rsidR="00000000" w:rsidRDefault="00C1661D">
      <w:pPr>
        <w:jc w:val="both"/>
        <w:divId w:val="159003324"/>
        <w:rPr>
          <w:rFonts w:eastAsia="Times New Roman"/>
        </w:rPr>
      </w:pPr>
      <w:r>
        <w:rPr>
          <w:rFonts w:eastAsia="Times New Roman"/>
          <w:b/>
          <w:bCs/>
          <w:color w:val="000000"/>
          <w:sz w:val="20"/>
          <w:szCs w:val="20"/>
        </w:rPr>
        <w:t>Recent Developments</w:t>
      </w:r>
    </w:p>
    <w:p w14:paraId="1E78E8EF" w14:textId="77777777" w:rsidR="00000000" w:rsidRDefault="00C1661D">
      <w:pPr>
        <w:jc w:val="both"/>
        <w:divId w:val="1667977611"/>
        <w:rPr>
          <w:rFonts w:eastAsia="Times New Roman"/>
        </w:rPr>
      </w:pPr>
      <w:r>
        <w:rPr>
          <w:rFonts w:eastAsia="Times New Roman"/>
          <w:b/>
          <w:bCs/>
          <w:i/>
          <w:iCs/>
          <w:color w:val="000000"/>
          <w:sz w:val="20"/>
          <w:szCs w:val="20"/>
        </w:rPr>
        <w:t>UGI International Energy Marketing Business</w:t>
      </w:r>
    </w:p>
    <w:p w14:paraId="1F8CE0FC" w14:textId="77777777" w:rsidR="00000000" w:rsidRDefault="00C1661D">
      <w:pPr>
        <w:jc w:val="both"/>
        <w:divId w:val="1507401902"/>
        <w:rPr>
          <w:rFonts w:eastAsia="Times New Roman"/>
        </w:rPr>
      </w:pPr>
      <w:r>
        <w:rPr>
          <w:rFonts w:eastAsia="Times New Roman"/>
          <w:color w:val="000000"/>
          <w:sz w:val="20"/>
          <w:szCs w:val="20"/>
        </w:rPr>
        <w:t>In October 2022, UGI International, through a wholly-owned subsidiary, sold its natural gas marketing business located in the United Kingdom resulting in a net cash payment to th</w:t>
      </w:r>
      <w:r>
        <w:rPr>
          <w:rFonts w:eastAsia="Times New Roman"/>
          <w:color w:val="000000"/>
          <w:sz w:val="20"/>
          <w:szCs w:val="20"/>
        </w:rPr>
        <w:t xml:space="preserve">e buyer of $19 million which includes working capital adjustments. The assets and liabilities associated with this business, primarily attributable to the value of unrealized gains and losses on derivative contracts, are classified as held-for-sale on the </w:t>
      </w:r>
      <w:r>
        <w:rPr>
          <w:rFonts w:eastAsia="Times New Roman"/>
          <w:color w:val="000000"/>
          <w:sz w:val="20"/>
          <w:szCs w:val="20"/>
        </w:rPr>
        <w:t>accompanying Consolidated Balance Sheet as of September 30, 2022. During the fourth quarter of Fiscal 2022, the Company recognized an impairment charge, which was limited to the disposal group’s long-lived assets in accordance with its policy related to as</w:t>
      </w:r>
      <w:r>
        <w:rPr>
          <w:rFonts w:eastAsia="Times New Roman"/>
          <w:color w:val="000000"/>
          <w:sz w:val="20"/>
          <w:szCs w:val="20"/>
        </w:rPr>
        <w:t>sets held for sale. Such impairment in Fiscal 2022 was not material. An incremental pretax loss of approximately $220 million was recognized in the first quarter of Fiscal 2023 in connection with the completed sale, largely attributable to the difference b</w:t>
      </w:r>
      <w:r>
        <w:rPr>
          <w:rFonts w:eastAsia="Times New Roman"/>
          <w:color w:val="000000"/>
          <w:sz w:val="20"/>
          <w:szCs w:val="20"/>
        </w:rPr>
        <w:t>etween the net cash payment to the buyer and the fair value of net derivative assets sold along with customer contracts as of the transaction date. The change in the net assets held for sale as of September 30, 2022, and the loss recognized upon disposal i</w:t>
      </w:r>
      <w:r>
        <w:rPr>
          <w:rFonts w:eastAsia="Times New Roman"/>
          <w:color w:val="000000"/>
          <w:sz w:val="20"/>
          <w:szCs w:val="20"/>
        </w:rPr>
        <w:t xml:space="preserve">n October 2022, was due to the change in the fair value of the net derivative assets subsequent to September 30, 2022. </w:t>
      </w:r>
    </w:p>
    <w:p w14:paraId="7A9FD3F3" w14:textId="77777777" w:rsidR="00000000" w:rsidRDefault="00C1661D">
      <w:pPr>
        <w:jc w:val="both"/>
        <w:divId w:val="1268074013"/>
        <w:rPr>
          <w:rFonts w:eastAsia="Times New Roman"/>
        </w:rPr>
      </w:pPr>
      <w:r>
        <w:rPr>
          <w:rFonts w:eastAsia="Times New Roman"/>
          <w:color w:val="000000"/>
          <w:sz w:val="20"/>
          <w:szCs w:val="20"/>
        </w:rPr>
        <w:t xml:space="preserve">In November 2022, the Company announced its intent to sell its energy marketing business located in France, with a definitive agreement </w:t>
      </w:r>
      <w:r>
        <w:rPr>
          <w:rFonts w:eastAsia="Times New Roman"/>
          <w:color w:val="000000"/>
          <w:sz w:val="20"/>
          <w:szCs w:val="20"/>
        </w:rPr>
        <w:t>expected to be signed in the first quarter of Fiscal 2023. The Company expects to recognize a significant loss on the sale largely attributable to the value of net derivative assets sold along with the related customer contracts. At September 30, 2022, the</w:t>
      </w:r>
      <w:r>
        <w:rPr>
          <w:rFonts w:eastAsia="Times New Roman"/>
          <w:color w:val="000000"/>
          <w:sz w:val="20"/>
          <w:szCs w:val="20"/>
        </w:rPr>
        <w:t xml:space="preserve"> carrying value of the net assets of the Company’s energy marketing business in France amounted to approximately $470 million with primarily all of that value related to the fair value of the applicable derivative contracts.</w:t>
      </w:r>
    </w:p>
    <w:p w14:paraId="6092F827" w14:textId="77777777" w:rsidR="00000000" w:rsidRDefault="00C1661D">
      <w:pPr>
        <w:jc w:val="both"/>
        <w:divId w:val="1601061318"/>
        <w:rPr>
          <w:rFonts w:eastAsia="Times New Roman"/>
        </w:rPr>
      </w:pPr>
      <w:r>
        <w:rPr>
          <w:rFonts w:eastAsia="Times New Roman"/>
          <w:b/>
          <w:bCs/>
          <w:i/>
          <w:iCs/>
          <w:color w:val="000000"/>
          <w:sz w:val="20"/>
          <w:szCs w:val="20"/>
        </w:rPr>
        <w:t>Global Macroeconomic Conditions</w:t>
      </w:r>
    </w:p>
    <w:p w14:paraId="0146D926" w14:textId="77777777" w:rsidR="00000000" w:rsidRDefault="00C1661D">
      <w:pPr>
        <w:jc w:val="both"/>
        <w:divId w:val="1483235711"/>
        <w:rPr>
          <w:rFonts w:eastAsia="Times New Roman"/>
        </w:rPr>
      </w:pPr>
      <w:r>
        <w:rPr>
          <w:rFonts w:eastAsia="Times New Roman"/>
          <w:color w:val="000000"/>
          <w:sz w:val="20"/>
          <w:szCs w:val="20"/>
        </w:rPr>
        <w:t>During Fiscal 2021 and continuing into the current fiscal year, global commodity and labor markets have experienced significant inflationary pressures attributable to various economic and political factors, including: the economic recovery and evolving co</w:t>
      </w:r>
      <w:r>
        <w:rPr>
          <w:rFonts w:eastAsia="Times New Roman"/>
          <w:color w:val="000000"/>
          <w:sz w:val="20"/>
          <w:szCs w:val="20"/>
        </w:rPr>
        <w:t>nsumer patterns associated with the COVID-19 pandemic; supply chain issues associated with labor shortages; significant inflationary pressures on commodity prices; and political and regulatory conditions resulting from the war between Russia and Ukraine, a</w:t>
      </w:r>
      <w:r>
        <w:rPr>
          <w:rFonts w:eastAsia="Times New Roman"/>
          <w:color w:val="000000"/>
          <w:sz w:val="20"/>
          <w:szCs w:val="20"/>
        </w:rPr>
        <w:t>mong others. These factors have led to significant volatility across various consumer price indices during Fiscal 2021 and Fiscal 2022. We have experienced substantial shifts in commodity prices, particularly in LPG, natural gas and electricity prices, whi</w:t>
      </w:r>
      <w:r>
        <w:rPr>
          <w:rFonts w:eastAsia="Times New Roman"/>
          <w:color w:val="000000"/>
          <w:sz w:val="20"/>
          <w:szCs w:val="20"/>
        </w:rPr>
        <w:t>ch, in turn, have led to extensive mark-to-market impacts on commodity derivative instruments not associated with current-period activity. The ongoing strain on supply costs has resulted in increased inventory costs and certain distribution expenses across</w:t>
      </w:r>
      <w:r>
        <w:rPr>
          <w:rFonts w:eastAsia="Times New Roman"/>
          <w:color w:val="000000"/>
          <w:sz w:val="20"/>
          <w:szCs w:val="20"/>
        </w:rPr>
        <w:t xml:space="preserve"> all of our businesses. It has also affected requirements around cash collateral and restricted cash associated with our outstanding derivatives. We cannot predict the duration or total magnitude of these factors and the total effects on our business, fina</w:t>
      </w:r>
      <w:r>
        <w:rPr>
          <w:rFonts w:eastAsia="Times New Roman"/>
          <w:color w:val="000000"/>
          <w:sz w:val="20"/>
          <w:szCs w:val="20"/>
        </w:rPr>
        <w:t>ncial position, results of operations, liquidity or cash flows at this time. However, we continue to evaluate and react to these global economic and political conditions and remain focused on managing our financial condition and liquidity as these conditio</w:t>
      </w:r>
      <w:r>
        <w:rPr>
          <w:rFonts w:eastAsia="Times New Roman"/>
          <w:color w:val="000000"/>
          <w:sz w:val="20"/>
          <w:szCs w:val="20"/>
        </w:rPr>
        <w:t>ns continue to evolve.</w:t>
      </w:r>
    </w:p>
    <w:p w14:paraId="16052647" w14:textId="77777777" w:rsidR="00000000" w:rsidRDefault="00C1661D">
      <w:pPr>
        <w:jc w:val="center"/>
        <w:divId w:val="1654021688"/>
        <w:rPr>
          <w:rFonts w:eastAsia="Times New Roman"/>
        </w:rPr>
      </w:pPr>
      <w:r>
        <w:rPr>
          <w:rFonts w:eastAsia="Times New Roman"/>
          <w:color w:val="000000"/>
          <w:sz w:val="20"/>
          <w:szCs w:val="20"/>
        </w:rPr>
        <w:t>49</w:t>
      </w:r>
    </w:p>
    <w:p w14:paraId="5E9A305C" w14:textId="77777777" w:rsidR="00000000" w:rsidRDefault="00C1661D">
      <w:pPr>
        <w:rPr>
          <w:rFonts w:eastAsia="Times New Roman"/>
        </w:rPr>
      </w:pPr>
      <w:r>
        <w:rPr>
          <w:rFonts w:eastAsia="Times New Roman"/>
        </w:rPr>
        <w:pict w14:anchorId="2F209A8C">
          <v:rect id="_x0000_i1076" style="width:0;height:1.5pt" o:hralign="center" o:hrstd="t" o:hr="t" fillcolor="#a0a0a0" stroked="f"/>
        </w:pict>
      </w:r>
    </w:p>
    <w:p w14:paraId="5C3E1219" w14:textId="77777777" w:rsidR="00000000" w:rsidRDefault="00C1661D">
      <w:pPr>
        <w:divId w:val="176845235"/>
        <w:rPr>
          <w:rFonts w:eastAsia="Times New Roman"/>
        </w:rPr>
      </w:pPr>
      <w:hyperlink w:anchor="i3850c3c6c0104e42b9951aac2f16098a_7" w:history="1">
        <w:r>
          <w:rPr>
            <w:rStyle w:val="a3"/>
            <w:rFonts w:eastAsia="Times New Roman"/>
            <w:b/>
            <w:bCs/>
            <w:sz w:val="20"/>
            <w:szCs w:val="20"/>
          </w:rPr>
          <w:t>Table of Contents</w:t>
        </w:r>
      </w:hyperlink>
    </w:p>
    <w:p w14:paraId="544934FA" w14:textId="77777777" w:rsidR="00000000" w:rsidRDefault="00C1661D">
      <w:pPr>
        <w:jc w:val="both"/>
        <w:divId w:val="1476794386"/>
        <w:rPr>
          <w:rFonts w:eastAsia="Times New Roman"/>
        </w:rPr>
      </w:pPr>
      <w:r>
        <w:rPr>
          <w:rFonts w:eastAsia="Times New Roman"/>
          <w:b/>
          <w:bCs/>
          <w:i/>
          <w:iCs/>
          <w:color w:val="000000"/>
          <w:sz w:val="20"/>
          <w:szCs w:val="20"/>
        </w:rPr>
        <w:t>Acquisition of Mountaineer Gas Company</w:t>
      </w:r>
    </w:p>
    <w:p w14:paraId="17824A3E" w14:textId="77777777" w:rsidR="00000000" w:rsidRDefault="00C1661D">
      <w:pPr>
        <w:jc w:val="both"/>
        <w:divId w:val="2023778839"/>
        <w:rPr>
          <w:rFonts w:eastAsia="Times New Roman"/>
        </w:rPr>
      </w:pPr>
      <w:r>
        <w:rPr>
          <w:rFonts w:eastAsia="Times New Roman"/>
          <w:color w:val="000000"/>
          <w:sz w:val="20"/>
          <w:szCs w:val="20"/>
        </w:rPr>
        <w:t>On September 1, 2021, UGI acquired Mountaineer, the largest natural gas distribution company in West Virginia for a purchase price of $540 million, which included the assumption of approximately $140 million principal amounts of long-term debt. Mountaineer</w:t>
      </w:r>
      <w:r>
        <w:rPr>
          <w:rFonts w:eastAsia="Times New Roman"/>
          <w:color w:val="000000"/>
          <w:sz w:val="20"/>
          <w:szCs w:val="20"/>
        </w:rPr>
        <w:t xml:space="preserve"> serves nearly 214,000 customers across 50 of the state’s 55 counties, and is subject to regulation by the WVPSC. The Mountaineer Acquisition was funded with cash proceeds from the 2021 UGI Corporation Senior Credit Facility and the issuance of Equity Unit</w:t>
      </w:r>
      <w:r>
        <w:rPr>
          <w:rFonts w:eastAsia="Times New Roman"/>
          <w:color w:val="000000"/>
          <w:sz w:val="20"/>
          <w:szCs w:val="20"/>
        </w:rPr>
        <w:t>s and cash on hand. Mountaineer is included in the Utilities segment as of and in all periods subsequent to the acquisition date. For additional information on the Mountaineer Acquisition and the associated financing activities, see Notes 5, 6 and 13 to th</w:t>
      </w:r>
      <w:r>
        <w:rPr>
          <w:rFonts w:eastAsia="Times New Roman"/>
          <w:color w:val="000000"/>
          <w:sz w:val="20"/>
          <w:szCs w:val="20"/>
        </w:rPr>
        <w:t>e Consolidated Financial Statements.</w:t>
      </w:r>
    </w:p>
    <w:p w14:paraId="7C66E3D1" w14:textId="77777777" w:rsidR="00000000" w:rsidRDefault="00C1661D">
      <w:pPr>
        <w:jc w:val="both"/>
        <w:divId w:val="709382579"/>
        <w:rPr>
          <w:rFonts w:eastAsia="Times New Roman"/>
        </w:rPr>
      </w:pPr>
      <w:r>
        <w:rPr>
          <w:rFonts w:eastAsia="Times New Roman"/>
          <w:b/>
          <w:bCs/>
          <w:i/>
          <w:iCs/>
          <w:color w:val="000000"/>
          <w:sz w:val="20"/>
          <w:szCs w:val="20"/>
        </w:rPr>
        <w:t>Continuing Business Transformation Initiatives</w:t>
      </w:r>
    </w:p>
    <w:p w14:paraId="123ECB14" w14:textId="77777777" w:rsidR="00000000" w:rsidRDefault="00C1661D">
      <w:pPr>
        <w:jc w:val="both"/>
        <w:divId w:val="1433625231"/>
        <w:rPr>
          <w:rFonts w:eastAsia="Times New Roman"/>
        </w:rPr>
      </w:pPr>
      <w:r>
        <w:rPr>
          <w:rFonts w:eastAsia="Times New Roman"/>
          <w:color w:val="000000"/>
          <w:sz w:val="20"/>
          <w:szCs w:val="20"/>
        </w:rPr>
        <w:t xml:space="preserve">By the end of Fiscal 2021, AmeriGas Propane and UGI International substantially completed their previously announced business transformation initiatives. Benefits provided </w:t>
      </w:r>
      <w:r>
        <w:rPr>
          <w:rFonts w:eastAsia="Times New Roman"/>
          <w:color w:val="000000"/>
          <w:sz w:val="20"/>
          <w:szCs w:val="20"/>
        </w:rPr>
        <w:t xml:space="preserve">under each initiative were consistent with expectations during Fiscal 2022, and are expected to provide ongoing annual benefits of more than $150 million and €30 million, respectively. </w:t>
      </w:r>
    </w:p>
    <w:p w14:paraId="0E018560" w14:textId="77777777" w:rsidR="00000000" w:rsidRDefault="00C1661D">
      <w:pPr>
        <w:jc w:val="both"/>
        <w:divId w:val="973027376"/>
        <w:rPr>
          <w:rFonts w:eastAsia="Times New Roman"/>
        </w:rPr>
      </w:pPr>
      <w:r>
        <w:rPr>
          <w:rFonts w:eastAsia="Times New Roman"/>
          <w:color w:val="000000"/>
          <w:sz w:val="20"/>
          <w:szCs w:val="20"/>
        </w:rPr>
        <w:t>Beginning in Fiscal 2020, we initiated a transformation project focuse</w:t>
      </w:r>
      <w:r>
        <w:rPr>
          <w:rFonts w:eastAsia="Times New Roman"/>
          <w:color w:val="000000"/>
          <w:sz w:val="20"/>
          <w:szCs w:val="20"/>
        </w:rPr>
        <w:t>d on our corporate support functions including: finance, procurement, human resources and information technology. This initiative will standardize processes and activities across our global platform, while leveraging the use of best practices and efficienc</w:t>
      </w:r>
      <w:r>
        <w:rPr>
          <w:rFonts w:eastAsia="Times New Roman"/>
          <w:color w:val="000000"/>
          <w:sz w:val="20"/>
          <w:szCs w:val="20"/>
        </w:rPr>
        <w:t>ies between our businesses. While this initiative is being coordinated across multiple support functions, each function is at a different stage of transformation and will undergo the required changes by the end of Fiscal 2023. In connection with these acti</w:t>
      </w:r>
      <w:r>
        <w:rPr>
          <w:rFonts w:eastAsia="Times New Roman"/>
          <w:color w:val="000000"/>
          <w:sz w:val="20"/>
          <w:szCs w:val="20"/>
        </w:rPr>
        <w:t>vities, we expect to incur approximately $40 million of non-recurring costs during that time resulting in more than $15 million of ongoing annualized savings by the end of Fiscal 2023.</w:t>
      </w:r>
    </w:p>
    <w:p w14:paraId="6B6675CF" w14:textId="77777777" w:rsidR="00000000" w:rsidRDefault="00C1661D">
      <w:pPr>
        <w:jc w:val="both"/>
        <w:rPr>
          <w:rFonts w:eastAsia="Times New Roman"/>
        </w:rPr>
      </w:pPr>
    </w:p>
    <w:p w14:paraId="54C28068" w14:textId="77777777" w:rsidR="00000000" w:rsidRDefault="00C1661D">
      <w:pPr>
        <w:jc w:val="both"/>
        <w:rPr>
          <w:rFonts w:eastAsia="Times New Roman"/>
        </w:rPr>
      </w:pPr>
      <w:r>
        <w:rPr>
          <w:rFonts w:eastAsia="Times New Roman"/>
          <w:b/>
          <w:bCs/>
          <w:color w:val="000000"/>
          <w:sz w:val="20"/>
          <w:szCs w:val="20"/>
          <w:u w:val="single"/>
        </w:rPr>
        <w:t>Non-GAAP Financial Measures</w:t>
      </w:r>
    </w:p>
    <w:p w14:paraId="44C4F983" w14:textId="77777777" w:rsidR="00000000" w:rsidRDefault="00C1661D">
      <w:pPr>
        <w:jc w:val="both"/>
        <w:divId w:val="580874118"/>
        <w:rPr>
          <w:rFonts w:eastAsia="Times New Roman"/>
        </w:rPr>
      </w:pPr>
      <w:r>
        <w:rPr>
          <w:rFonts w:eastAsia="Times New Roman"/>
          <w:color w:val="000000"/>
          <w:sz w:val="20"/>
          <w:szCs w:val="20"/>
        </w:rPr>
        <w:t xml:space="preserve">UGI management uses “adjusted net income </w:t>
      </w:r>
      <w:r>
        <w:rPr>
          <w:rFonts w:eastAsia="Times New Roman"/>
          <w:color w:val="000000"/>
          <w:sz w:val="20"/>
          <w:szCs w:val="20"/>
        </w:rPr>
        <w:t>attributable to UGI Corporation” and “adjusted diluted earnings per share,” both of which are non-GAAP financial measures, when evaluating UGI’s overall performance. Management believes that these non-GAAP measures provide meaningful information to investo</w:t>
      </w:r>
      <w:r>
        <w:rPr>
          <w:rFonts w:eastAsia="Times New Roman"/>
          <w:color w:val="000000"/>
          <w:sz w:val="20"/>
          <w:szCs w:val="20"/>
        </w:rPr>
        <w:t>rs about UGI’s performance because they eliminate gains and losses on commodity and certain foreign currency derivative instruments not associated with current-period transactions and other significant discrete items that can affect the comparison of perio</w:t>
      </w:r>
      <w:r>
        <w:rPr>
          <w:rFonts w:eastAsia="Times New Roman"/>
          <w:color w:val="000000"/>
          <w:sz w:val="20"/>
          <w:szCs w:val="20"/>
        </w:rPr>
        <w:t>d-over-period results.</w:t>
      </w:r>
    </w:p>
    <w:p w14:paraId="53A4E75D" w14:textId="77777777" w:rsidR="00000000" w:rsidRDefault="00C1661D">
      <w:pPr>
        <w:jc w:val="both"/>
        <w:divId w:val="140390658"/>
        <w:rPr>
          <w:rFonts w:eastAsia="Times New Roman"/>
        </w:rPr>
      </w:pPr>
      <w:r>
        <w:rPr>
          <w:rFonts w:eastAsia="Times New Roman"/>
          <w:color w:val="000000"/>
          <w:sz w:val="20"/>
          <w:szCs w:val="20"/>
        </w:rPr>
        <w:t>UGI does not designate its commodity and certain foreign currency derivative instruments as hedges under GAAP. Volatility in net income attributable to UGI Corporation can occur as a result of gains and losses on such derivative inst</w:t>
      </w:r>
      <w:r>
        <w:rPr>
          <w:rFonts w:eastAsia="Times New Roman"/>
          <w:color w:val="000000"/>
          <w:sz w:val="20"/>
          <w:szCs w:val="20"/>
        </w:rPr>
        <w:t>ruments not associated with current-period transactions. These gains and losses result principally from recording changes in unrealized gains and losses on unsettled commodity and certain foreign currency derivative instruments and, to a much lesser extent</w:t>
      </w:r>
      <w:r>
        <w:rPr>
          <w:rFonts w:eastAsia="Times New Roman"/>
          <w:color w:val="000000"/>
          <w:sz w:val="20"/>
          <w:szCs w:val="20"/>
        </w:rPr>
        <w:t>, certain realized gains and losses on settled commodity derivative instruments that are not associated with current-period transactions. However, because these derivative instruments economically hedge anticipated future purchases or sales of energy commo</w:t>
      </w:r>
      <w:r>
        <w:rPr>
          <w:rFonts w:eastAsia="Times New Roman"/>
          <w:color w:val="000000"/>
          <w:sz w:val="20"/>
          <w:szCs w:val="20"/>
        </w:rPr>
        <w:t>dities, or in the case of certain foreign currency derivatives, reduce volatility in anticipated future earnings associated with our foreign operations, we expect that such gains or losses will be largely offset by gains or losses on anticipated future ene</w:t>
      </w:r>
      <w:r>
        <w:rPr>
          <w:rFonts w:eastAsia="Times New Roman"/>
          <w:color w:val="000000"/>
          <w:sz w:val="20"/>
          <w:szCs w:val="20"/>
        </w:rPr>
        <w:t>rgy commodity transactions or mitigate volatility in anticipated future earnings. Non-GAAP financial measures are not in accordance with, or an alternative to, GAAP and should be considered in addition to, and not as a substitute for, the comparable GAAP m</w:t>
      </w:r>
      <w:r>
        <w:rPr>
          <w:rFonts w:eastAsia="Times New Roman"/>
          <w:color w:val="000000"/>
          <w:sz w:val="20"/>
          <w:szCs w:val="20"/>
        </w:rPr>
        <w:t>easures.</w:t>
      </w:r>
    </w:p>
    <w:p w14:paraId="784CAD47" w14:textId="77777777" w:rsidR="00000000" w:rsidRDefault="00C1661D">
      <w:pPr>
        <w:jc w:val="both"/>
        <w:divId w:val="840856952"/>
        <w:rPr>
          <w:rFonts w:eastAsia="Times New Roman"/>
        </w:rPr>
      </w:pPr>
      <w:r>
        <w:rPr>
          <w:rFonts w:eastAsia="Times New Roman"/>
          <w:color w:val="000000"/>
          <w:sz w:val="20"/>
          <w:szCs w:val="20"/>
        </w:rPr>
        <w:t>The following tables reflect the adjustments referred to above and reconcile net income attributable to UGI Corporation, the most directly comparable GAAP measure, to adjusted net income attributable to UGI Corporation, and reconcile diluted earni</w:t>
      </w:r>
      <w:r>
        <w:rPr>
          <w:rFonts w:eastAsia="Times New Roman"/>
          <w:color w:val="000000"/>
          <w:sz w:val="20"/>
          <w:szCs w:val="20"/>
        </w:rPr>
        <w:t>ngs per share, the most directly comparable GAAP measure, to adjusted diluted earnings per share:</w:t>
      </w:r>
    </w:p>
    <w:p w14:paraId="30A07C79" w14:textId="77777777" w:rsidR="00000000" w:rsidRDefault="00C1661D">
      <w:pPr>
        <w:jc w:val="center"/>
        <w:divId w:val="984044580"/>
        <w:rPr>
          <w:rFonts w:eastAsia="Times New Roman"/>
        </w:rPr>
      </w:pPr>
      <w:r>
        <w:rPr>
          <w:rFonts w:eastAsia="Times New Roman"/>
          <w:color w:val="000000"/>
          <w:sz w:val="20"/>
          <w:szCs w:val="20"/>
        </w:rPr>
        <w:t>50</w:t>
      </w:r>
    </w:p>
    <w:p w14:paraId="17D3F537" w14:textId="77777777" w:rsidR="00000000" w:rsidRDefault="00C1661D">
      <w:pPr>
        <w:rPr>
          <w:rFonts w:eastAsia="Times New Roman"/>
        </w:rPr>
      </w:pPr>
      <w:r>
        <w:rPr>
          <w:rFonts w:eastAsia="Times New Roman"/>
        </w:rPr>
        <w:pict w14:anchorId="10D5B984">
          <v:rect id="_x0000_i1077" style="width:0;height:1.5pt" o:hralign="center" o:hrstd="t" o:hr="t" fillcolor="#a0a0a0" stroked="f"/>
        </w:pict>
      </w:r>
    </w:p>
    <w:p w14:paraId="39730EDB" w14:textId="77777777" w:rsidR="00000000" w:rsidRDefault="00C1661D">
      <w:pPr>
        <w:divId w:val="484973220"/>
        <w:rPr>
          <w:rFonts w:eastAsia="Times New Roman"/>
        </w:rPr>
      </w:pPr>
      <w:hyperlink w:anchor="i3850c3c6c0104e42b9951aac2f16098a_7"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077"/>
        <w:gridCol w:w="38"/>
        <w:gridCol w:w="36"/>
        <w:gridCol w:w="36"/>
        <w:gridCol w:w="36"/>
        <w:gridCol w:w="120"/>
        <w:gridCol w:w="781"/>
        <w:gridCol w:w="36"/>
        <w:gridCol w:w="36"/>
        <w:gridCol w:w="36"/>
        <w:gridCol w:w="36"/>
        <w:gridCol w:w="121"/>
        <w:gridCol w:w="806"/>
        <w:gridCol w:w="36"/>
        <w:gridCol w:w="36"/>
      </w:tblGrid>
      <w:tr w:rsidR="00000000" w14:paraId="4ABE20E9" w14:textId="77777777">
        <w:trPr>
          <w:divId w:val="1023550578"/>
          <w:jc w:val="center"/>
        </w:trPr>
        <w:tc>
          <w:tcPr>
            <w:tcW w:w="50" w:type="pct"/>
            <w:vAlign w:val="center"/>
            <w:hideMark/>
          </w:tcPr>
          <w:p w14:paraId="0E0DB32A" w14:textId="77777777" w:rsidR="00000000" w:rsidRDefault="00C1661D">
            <w:pPr>
              <w:rPr>
                <w:rFonts w:eastAsia="Times New Roman"/>
              </w:rPr>
            </w:pPr>
          </w:p>
        </w:tc>
        <w:tc>
          <w:tcPr>
            <w:tcW w:w="3702" w:type="pct"/>
            <w:vAlign w:val="center"/>
            <w:hideMark/>
          </w:tcPr>
          <w:p w14:paraId="3E9F104D" w14:textId="77777777" w:rsidR="00000000" w:rsidRDefault="00C1661D">
            <w:pPr>
              <w:spacing w:after="100"/>
              <w:rPr>
                <w:rFonts w:eastAsia="Times New Roman"/>
                <w:sz w:val="20"/>
                <w:szCs w:val="20"/>
              </w:rPr>
            </w:pPr>
          </w:p>
        </w:tc>
        <w:tc>
          <w:tcPr>
            <w:tcW w:w="5" w:type="pct"/>
            <w:vAlign w:val="center"/>
            <w:hideMark/>
          </w:tcPr>
          <w:p w14:paraId="77411CBB" w14:textId="77777777" w:rsidR="00000000" w:rsidRDefault="00C1661D">
            <w:pPr>
              <w:spacing w:after="100"/>
              <w:rPr>
                <w:rFonts w:eastAsia="Times New Roman"/>
                <w:sz w:val="20"/>
                <w:szCs w:val="20"/>
              </w:rPr>
            </w:pPr>
          </w:p>
        </w:tc>
        <w:tc>
          <w:tcPr>
            <w:tcW w:w="5" w:type="pct"/>
            <w:vAlign w:val="center"/>
            <w:hideMark/>
          </w:tcPr>
          <w:p w14:paraId="17F82C12" w14:textId="77777777" w:rsidR="00000000" w:rsidRDefault="00C1661D">
            <w:pPr>
              <w:spacing w:after="100"/>
              <w:rPr>
                <w:rFonts w:eastAsia="Times New Roman"/>
                <w:sz w:val="20"/>
                <w:szCs w:val="20"/>
              </w:rPr>
            </w:pPr>
          </w:p>
        </w:tc>
        <w:tc>
          <w:tcPr>
            <w:tcW w:w="26" w:type="pct"/>
            <w:vAlign w:val="center"/>
            <w:hideMark/>
          </w:tcPr>
          <w:p w14:paraId="26BF6504" w14:textId="77777777" w:rsidR="00000000" w:rsidRDefault="00C1661D">
            <w:pPr>
              <w:spacing w:after="100"/>
              <w:rPr>
                <w:rFonts w:eastAsia="Times New Roman"/>
                <w:sz w:val="20"/>
                <w:szCs w:val="20"/>
              </w:rPr>
            </w:pPr>
          </w:p>
        </w:tc>
        <w:tc>
          <w:tcPr>
            <w:tcW w:w="5" w:type="pct"/>
            <w:vAlign w:val="center"/>
            <w:hideMark/>
          </w:tcPr>
          <w:p w14:paraId="1792FFF4" w14:textId="77777777" w:rsidR="00000000" w:rsidRDefault="00C1661D">
            <w:pPr>
              <w:spacing w:after="100"/>
              <w:rPr>
                <w:rFonts w:eastAsia="Times New Roman"/>
                <w:sz w:val="20"/>
                <w:szCs w:val="20"/>
              </w:rPr>
            </w:pPr>
          </w:p>
        </w:tc>
        <w:tc>
          <w:tcPr>
            <w:tcW w:w="50" w:type="pct"/>
            <w:vAlign w:val="center"/>
            <w:hideMark/>
          </w:tcPr>
          <w:p w14:paraId="7D7201A3" w14:textId="77777777" w:rsidR="00000000" w:rsidRDefault="00C1661D">
            <w:pPr>
              <w:spacing w:after="100"/>
              <w:rPr>
                <w:rFonts w:eastAsia="Times New Roman"/>
                <w:sz w:val="20"/>
                <w:szCs w:val="20"/>
              </w:rPr>
            </w:pPr>
          </w:p>
        </w:tc>
        <w:tc>
          <w:tcPr>
            <w:tcW w:w="522" w:type="pct"/>
            <w:vAlign w:val="center"/>
            <w:hideMark/>
          </w:tcPr>
          <w:p w14:paraId="19B5CDCB" w14:textId="77777777" w:rsidR="00000000" w:rsidRDefault="00C1661D">
            <w:pPr>
              <w:spacing w:after="100"/>
              <w:rPr>
                <w:rFonts w:eastAsia="Times New Roman"/>
                <w:sz w:val="20"/>
                <w:szCs w:val="20"/>
              </w:rPr>
            </w:pPr>
          </w:p>
        </w:tc>
        <w:tc>
          <w:tcPr>
            <w:tcW w:w="5" w:type="pct"/>
            <w:vAlign w:val="center"/>
            <w:hideMark/>
          </w:tcPr>
          <w:p w14:paraId="6EA496B9" w14:textId="77777777" w:rsidR="00000000" w:rsidRDefault="00C1661D">
            <w:pPr>
              <w:spacing w:after="100"/>
              <w:rPr>
                <w:rFonts w:eastAsia="Times New Roman"/>
                <w:sz w:val="20"/>
                <w:szCs w:val="20"/>
              </w:rPr>
            </w:pPr>
          </w:p>
        </w:tc>
        <w:tc>
          <w:tcPr>
            <w:tcW w:w="5" w:type="pct"/>
            <w:vAlign w:val="center"/>
            <w:hideMark/>
          </w:tcPr>
          <w:p w14:paraId="3B3716F7" w14:textId="77777777" w:rsidR="00000000" w:rsidRDefault="00C1661D">
            <w:pPr>
              <w:spacing w:after="100"/>
              <w:rPr>
                <w:rFonts w:eastAsia="Times New Roman"/>
                <w:sz w:val="20"/>
                <w:szCs w:val="20"/>
              </w:rPr>
            </w:pPr>
          </w:p>
        </w:tc>
        <w:tc>
          <w:tcPr>
            <w:tcW w:w="26" w:type="pct"/>
            <w:vAlign w:val="center"/>
            <w:hideMark/>
          </w:tcPr>
          <w:p w14:paraId="4B78E0F7" w14:textId="77777777" w:rsidR="00000000" w:rsidRDefault="00C1661D">
            <w:pPr>
              <w:spacing w:after="100"/>
              <w:rPr>
                <w:rFonts w:eastAsia="Times New Roman"/>
                <w:sz w:val="20"/>
                <w:szCs w:val="20"/>
              </w:rPr>
            </w:pPr>
          </w:p>
        </w:tc>
        <w:tc>
          <w:tcPr>
            <w:tcW w:w="5" w:type="pct"/>
            <w:vAlign w:val="center"/>
            <w:hideMark/>
          </w:tcPr>
          <w:p w14:paraId="775B3865" w14:textId="77777777" w:rsidR="00000000" w:rsidRDefault="00C1661D">
            <w:pPr>
              <w:spacing w:after="100"/>
              <w:rPr>
                <w:rFonts w:eastAsia="Times New Roman"/>
                <w:sz w:val="20"/>
                <w:szCs w:val="20"/>
              </w:rPr>
            </w:pPr>
          </w:p>
        </w:tc>
        <w:tc>
          <w:tcPr>
            <w:tcW w:w="50" w:type="pct"/>
            <w:vAlign w:val="center"/>
            <w:hideMark/>
          </w:tcPr>
          <w:p w14:paraId="018F84A3" w14:textId="77777777" w:rsidR="00000000" w:rsidRDefault="00C1661D">
            <w:pPr>
              <w:spacing w:after="100"/>
              <w:rPr>
                <w:rFonts w:eastAsia="Times New Roman"/>
                <w:sz w:val="20"/>
                <w:szCs w:val="20"/>
              </w:rPr>
            </w:pPr>
          </w:p>
        </w:tc>
        <w:tc>
          <w:tcPr>
            <w:tcW w:w="537" w:type="pct"/>
            <w:vAlign w:val="center"/>
            <w:hideMark/>
          </w:tcPr>
          <w:p w14:paraId="79E0241F" w14:textId="77777777" w:rsidR="00000000" w:rsidRDefault="00C1661D">
            <w:pPr>
              <w:spacing w:after="100"/>
              <w:rPr>
                <w:rFonts w:eastAsia="Times New Roman"/>
                <w:sz w:val="20"/>
                <w:szCs w:val="20"/>
              </w:rPr>
            </w:pPr>
          </w:p>
        </w:tc>
        <w:tc>
          <w:tcPr>
            <w:tcW w:w="5" w:type="pct"/>
            <w:vAlign w:val="center"/>
            <w:hideMark/>
          </w:tcPr>
          <w:p w14:paraId="26D6C156" w14:textId="77777777" w:rsidR="00000000" w:rsidRDefault="00C1661D">
            <w:pPr>
              <w:spacing w:after="100"/>
              <w:rPr>
                <w:rFonts w:eastAsia="Times New Roman"/>
                <w:sz w:val="20"/>
                <w:szCs w:val="20"/>
              </w:rPr>
            </w:pPr>
          </w:p>
        </w:tc>
        <w:tc>
          <w:tcPr>
            <w:tcW w:w="0" w:type="auto"/>
            <w:vAlign w:val="center"/>
            <w:hideMark/>
          </w:tcPr>
          <w:p w14:paraId="17C3B9DD" w14:textId="77777777" w:rsidR="00000000" w:rsidRDefault="00C1661D">
            <w:pPr>
              <w:spacing w:after="100"/>
              <w:rPr>
                <w:rFonts w:eastAsia="Times New Roman"/>
                <w:sz w:val="20"/>
                <w:szCs w:val="20"/>
              </w:rPr>
            </w:pPr>
          </w:p>
        </w:tc>
      </w:tr>
      <w:tr w:rsidR="00000000" w14:paraId="47BF8133" w14:textId="77777777">
        <w:trPr>
          <w:divId w:val="1023550578"/>
          <w:jc w:val="center"/>
        </w:trPr>
        <w:tc>
          <w:tcPr>
            <w:tcW w:w="0" w:type="auto"/>
            <w:gridSpan w:val="3"/>
            <w:tcMar>
              <w:top w:w="0" w:type="dxa"/>
              <w:left w:w="20" w:type="dxa"/>
              <w:bottom w:w="0" w:type="dxa"/>
              <w:right w:w="20" w:type="dxa"/>
            </w:tcMar>
            <w:vAlign w:val="center"/>
            <w:hideMark/>
          </w:tcPr>
          <w:p w14:paraId="7B016B60"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812ED3" w14:textId="77777777" w:rsidR="00000000" w:rsidRDefault="00C1661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6EE0C52" w14:textId="77777777" w:rsidR="00000000" w:rsidRDefault="00C1661D">
            <w:pPr>
              <w:spacing w:after="100"/>
              <w:jc w:val="center"/>
              <w:rPr>
                <w:rFonts w:eastAsia="Times New Roman"/>
              </w:rPr>
            </w:pPr>
            <w:r>
              <w:rPr>
                <w:rFonts w:eastAsia="Times New Roman"/>
                <w:color w:val="000000"/>
                <w:sz w:val="20"/>
                <w:szCs w:val="20"/>
              </w:rPr>
              <w:t>Year Ended September 30,</w:t>
            </w:r>
          </w:p>
        </w:tc>
        <w:tc>
          <w:tcPr>
            <w:tcW w:w="0" w:type="auto"/>
            <w:vAlign w:val="center"/>
            <w:hideMark/>
          </w:tcPr>
          <w:p w14:paraId="255BA46C" w14:textId="77777777" w:rsidR="00000000" w:rsidRDefault="00C1661D">
            <w:pPr>
              <w:spacing w:after="100"/>
              <w:jc w:val="center"/>
              <w:rPr>
                <w:rFonts w:eastAsia="Times New Roman"/>
              </w:rPr>
            </w:pPr>
          </w:p>
        </w:tc>
      </w:tr>
      <w:tr w:rsidR="00000000" w14:paraId="4E200F76" w14:textId="77777777">
        <w:trPr>
          <w:divId w:val="1023550578"/>
          <w:jc w:val="center"/>
        </w:trPr>
        <w:tc>
          <w:tcPr>
            <w:tcW w:w="0" w:type="auto"/>
            <w:gridSpan w:val="3"/>
            <w:tcMar>
              <w:top w:w="30" w:type="dxa"/>
              <w:left w:w="20" w:type="dxa"/>
              <w:bottom w:w="30" w:type="dxa"/>
              <w:right w:w="20" w:type="dxa"/>
            </w:tcMar>
            <w:vAlign w:val="bottom"/>
            <w:hideMark/>
          </w:tcPr>
          <w:p w14:paraId="18CC63B0" w14:textId="77777777" w:rsidR="00000000" w:rsidRDefault="00C1661D">
            <w:pPr>
              <w:spacing w:after="100"/>
              <w:rPr>
                <w:rFonts w:eastAsia="Times New Roman"/>
              </w:rPr>
            </w:pPr>
            <w:r>
              <w:rPr>
                <w:rFonts w:eastAsia="Times New Roman"/>
                <w:color w:val="000000"/>
                <w:sz w:val="20"/>
                <w:szCs w:val="20"/>
              </w:rPr>
              <w:t>(Millions of dollars, except per share amounts)</w:t>
            </w:r>
          </w:p>
        </w:tc>
        <w:tc>
          <w:tcPr>
            <w:tcW w:w="0" w:type="auto"/>
            <w:gridSpan w:val="3"/>
            <w:tcMar>
              <w:top w:w="0" w:type="dxa"/>
              <w:left w:w="20" w:type="dxa"/>
              <w:bottom w:w="0" w:type="dxa"/>
              <w:right w:w="20" w:type="dxa"/>
            </w:tcMar>
            <w:vAlign w:val="center"/>
            <w:hideMark/>
          </w:tcPr>
          <w:p w14:paraId="74190876"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66998A"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1E1D3AF2"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6B1A79"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vAlign w:val="center"/>
            <w:hideMark/>
          </w:tcPr>
          <w:p w14:paraId="41E37584" w14:textId="77777777" w:rsidR="00000000" w:rsidRDefault="00C1661D">
            <w:pPr>
              <w:spacing w:after="100"/>
              <w:jc w:val="center"/>
              <w:rPr>
                <w:rFonts w:eastAsia="Times New Roman"/>
              </w:rPr>
            </w:pPr>
          </w:p>
        </w:tc>
      </w:tr>
      <w:tr w:rsidR="00000000" w14:paraId="700366E5" w14:textId="77777777">
        <w:trPr>
          <w:divId w:val="1023550578"/>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EFDF8C9" w14:textId="77777777" w:rsidR="00000000" w:rsidRDefault="00C1661D">
            <w:pPr>
              <w:spacing w:after="100"/>
              <w:rPr>
                <w:rFonts w:eastAsia="Times New Roman"/>
              </w:rPr>
            </w:pPr>
            <w:r>
              <w:rPr>
                <w:rFonts w:eastAsia="Times New Roman"/>
                <w:b/>
                <w:bCs/>
                <w:color w:val="000000"/>
                <w:sz w:val="20"/>
                <w:szCs w:val="20"/>
              </w:rPr>
              <w:t>Adjusted net income attributable to UGI Corporation:</w:t>
            </w:r>
          </w:p>
        </w:tc>
        <w:tc>
          <w:tcPr>
            <w:tcW w:w="0" w:type="auto"/>
            <w:gridSpan w:val="3"/>
            <w:shd w:val="clear" w:color="auto" w:fill="FFFFFF"/>
            <w:tcMar>
              <w:top w:w="0" w:type="dxa"/>
              <w:left w:w="20" w:type="dxa"/>
              <w:bottom w:w="0" w:type="dxa"/>
              <w:right w:w="20" w:type="dxa"/>
            </w:tcMar>
            <w:vAlign w:val="center"/>
            <w:hideMark/>
          </w:tcPr>
          <w:p w14:paraId="303E0579"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664AD40"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57563A"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493D115" w14:textId="77777777" w:rsidR="00000000" w:rsidRDefault="00C1661D">
            <w:pPr>
              <w:spacing w:after="100"/>
              <w:rPr>
                <w:rFonts w:eastAsia="Times New Roman"/>
                <w:sz w:val="20"/>
                <w:szCs w:val="20"/>
              </w:rPr>
            </w:pPr>
          </w:p>
        </w:tc>
        <w:tc>
          <w:tcPr>
            <w:tcW w:w="0" w:type="auto"/>
            <w:vAlign w:val="center"/>
            <w:hideMark/>
          </w:tcPr>
          <w:p w14:paraId="35C8B639" w14:textId="77777777" w:rsidR="00000000" w:rsidRDefault="00C1661D">
            <w:pPr>
              <w:spacing w:after="100"/>
              <w:rPr>
                <w:rFonts w:eastAsia="Times New Roman"/>
                <w:sz w:val="20"/>
                <w:szCs w:val="20"/>
              </w:rPr>
            </w:pPr>
          </w:p>
        </w:tc>
      </w:tr>
      <w:tr w:rsidR="00000000" w14:paraId="1059ABFE"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4D8F5641" w14:textId="77777777" w:rsidR="00000000" w:rsidRDefault="00C1661D">
            <w:pPr>
              <w:spacing w:after="100"/>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14:paraId="0EECC738"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CA36D6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4A831BB" w14:textId="77777777" w:rsidR="00000000" w:rsidRDefault="00C1661D">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14:paraId="1388805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B0664A"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51192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3F833B" w14:textId="77777777" w:rsidR="00000000" w:rsidRDefault="00C1661D">
            <w:pPr>
              <w:spacing w:after="100"/>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bottom"/>
            <w:hideMark/>
          </w:tcPr>
          <w:p w14:paraId="419A2488" w14:textId="77777777" w:rsidR="00000000" w:rsidRDefault="00C1661D">
            <w:pPr>
              <w:spacing w:after="100"/>
              <w:jc w:val="right"/>
              <w:rPr>
                <w:rFonts w:eastAsia="Times New Roman"/>
              </w:rPr>
            </w:pPr>
          </w:p>
        </w:tc>
        <w:tc>
          <w:tcPr>
            <w:tcW w:w="0" w:type="auto"/>
            <w:vAlign w:val="center"/>
            <w:hideMark/>
          </w:tcPr>
          <w:p w14:paraId="517854CA" w14:textId="77777777" w:rsidR="00000000" w:rsidRDefault="00C1661D">
            <w:pPr>
              <w:spacing w:after="100"/>
              <w:jc w:val="right"/>
              <w:rPr>
                <w:rFonts w:eastAsia="Times New Roman"/>
                <w:sz w:val="20"/>
                <w:szCs w:val="20"/>
              </w:rPr>
            </w:pPr>
          </w:p>
        </w:tc>
      </w:tr>
      <w:tr w:rsidR="00000000" w14:paraId="68C0A355" w14:textId="77777777">
        <w:trPr>
          <w:divId w:val="1023550578"/>
          <w:jc w:val="center"/>
        </w:trPr>
        <w:tc>
          <w:tcPr>
            <w:tcW w:w="0" w:type="auto"/>
            <w:gridSpan w:val="3"/>
            <w:shd w:val="clear" w:color="auto" w:fill="FFFFFF"/>
            <w:tcMar>
              <w:top w:w="30" w:type="dxa"/>
              <w:left w:w="20" w:type="dxa"/>
              <w:bottom w:w="30" w:type="dxa"/>
              <w:right w:w="20" w:type="dxa"/>
            </w:tcMar>
            <w:vAlign w:val="bottom"/>
            <w:hideMark/>
          </w:tcPr>
          <w:p w14:paraId="5B27E43F" w14:textId="77777777" w:rsidR="00000000" w:rsidRDefault="00C1661D">
            <w:pPr>
              <w:spacing w:after="100"/>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14:paraId="246C2ED6"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4D9B6F" w14:textId="77777777" w:rsidR="00000000" w:rsidRDefault="00C1661D">
            <w:pPr>
              <w:spacing w:after="100"/>
              <w:jc w:val="right"/>
              <w:rPr>
                <w:rFonts w:eastAsia="Times New Roman"/>
              </w:rPr>
            </w:pPr>
            <w:r>
              <w:rPr>
                <w:rFonts w:eastAsia="Times New Roman"/>
                <w:color w:val="000000"/>
                <w:sz w:val="20"/>
                <w:szCs w:val="20"/>
              </w:rPr>
              <w:t>175 </w:t>
            </w:r>
          </w:p>
        </w:tc>
        <w:tc>
          <w:tcPr>
            <w:tcW w:w="0" w:type="auto"/>
            <w:shd w:val="clear" w:color="auto" w:fill="FFFFFF"/>
            <w:tcMar>
              <w:top w:w="30" w:type="dxa"/>
              <w:left w:w="0" w:type="dxa"/>
              <w:bottom w:w="30" w:type="dxa"/>
              <w:right w:w="20" w:type="dxa"/>
            </w:tcMar>
            <w:vAlign w:val="bottom"/>
            <w:hideMark/>
          </w:tcPr>
          <w:p w14:paraId="6D50ED6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B080D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4B1AF6" w14:textId="77777777" w:rsidR="00000000" w:rsidRDefault="00C1661D">
            <w:pPr>
              <w:spacing w:after="100"/>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bottom"/>
            <w:hideMark/>
          </w:tcPr>
          <w:p w14:paraId="66560FF4" w14:textId="77777777" w:rsidR="00000000" w:rsidRDefault="00C1661D">
            <w:pPr>
              <w:spacing w:after="100"/>
              <w:jc w:val="right"/>
              <w:rPr>
                <w:rFonts w:eastAsia="Times New Roman"/>
              </w:rPr>
            </w:pPr>
          </w:p>
        </w:tc>
        <w:tc>
          <w:tcPr>
            <w:tcW w:w="0" w:type="auto"/>
            <w:vAlign w:val="center"/>
            <w:hideMark/>
          </w:tcPr>
          <w:p w14:paraId="0EAEF383" w14:textId="77777777" w:rsidR="00000000" w:rsidRDefault="00C1661D">
            <w:pPr>
              <w:spacing w:after="100"/>
              <w:jc w:val="right"/>
              <w:rPr>
                <w:rFonts w:eastAsia="Times New Roman"/>
                <w:sz w:val="20"/>
                <w:szCs w:val="20"/>
              </w:rPr>
            </w:pPr>
          </w:p>
        </w:tc>
      </w:tr>
      <w:tr w:rsidR="00000000" w14:paraId="51981B17"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4146DD4E" w14:textId="77777777" w:rsidR="00000000" w:rsidRDefault="00C1661D">
            <w:pPr>
              <w:spacing w:after="100"/>
              <w:rPr>
                <w:rFonts w:eastAsia="Times New Roman"/>
              </w:rPr>
            </w:pPr>
            <w:r>
              <w:rPr>
                <w:rFonts w:eastAsia="Times New Roman"/>
                <w:color w:val="000000"/>
                <w:sz w:val="20"/>
                <w:szCs w:val="20"/>
              </w:rPr>
              <w:t xml:space="preserve">Midstream &amp; </w:t>
            </w:r>
            <w:r>
              <w:rPr>
                <w:rFonts w:eastAsia="Times New Roman"/>
                <w:color w:val="000000"/>
                <w:sz w:val="20"/>
                <w:szCs w:val="20"/>
              </w:rPr>
              <w:t>Marketing</w:t>
            </w:r>
          </w:p>
        </w:tc>
        <w:tc>
          <w:tcPr>
            <w:tcW w:w="0" w:type="auto"/>
            <w:gridSpan w:val="3"/>
            <w:shd w:val="clear" w:color="auto" w:fill="CCEEFF"/>
            <w:tcMar>
              <w:top w:w="0" w:type="dxa"/>
              <w:left w:w="20" w:type="dxa"/>
              <w:bottom w:w="0" w:type="dxa"/>
              <w:right w:w="20" w:type="dxa"/>
            </w:tcMar>
            <w:vAlign w:val="center"/>
            <w:hideMark/>
          </w:tcPr>
          <w:p w14:paraId="56A4C29D"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CAF39B" w14:textId="77777777" w:rsidR="00000000" w:rsidRDefault="00C1661D">
            <w:pPr>
              <w:spacing w:after="100"/>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14:paraId="49F02A5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9646A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21E4E4" w14:textId="77777777" w:rsidR="00000000" w:rsidRDefault="00C1661D">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14:paraId="1456BF58" w14:textId="77777777" w:rsidR="00000000" w:rsidRDefault="00C1661D">
            <w:pPr>
              <w:spacing w:after="100"/>
              <w:jc w:val="right"/>
              <w:rPr>
                <w:rFonts w:eastAsia="Times New Roman"/>
              </w:rPr>
            </w:pPr>
          </w:p>
        </w:tc>
        <w:tc>
          <w:tcPr>
            <w:tcW w:w="0" w:type="auto"/>
            <w:vAlign w:val="center"/>
            <w:hideMark/>
          </w:tcPr>
          <w:p w14:paraId="5EF75581" w14:textId="77777777" w:rsidR="00000000" w:rsidRDefault="00C1661D">
            <w:pPr>
              <w:spacing w:after="100"/>
              <w:jc w:val="right"/>
              <w:rPr>
                <w:rFonts w:eastAsia="Times New Roman"/>
                <w:sz w:val="20"/>
                <w:szCs w:val="20"/>
              </w:rPr>
            </w:pPr>
          </w:p>
        </w:tc>
      </w:tr>
      <w:tr w:rsidR="00000000" w14:paraId="0F34B1B9" w14:textId="77777777">
        <w:trPr>
          <w:divId w:val="1023550578"/>
          <w:jc w:val="center"/>
        </w:trPr>
        <w:tc>
          <w:tcPr>
            <w:tcW w:w="0" w:type="auto"/>
            <w:gridSpan w:val="3"/>
            <w:shd w:val="clear" w:color="auto" w:fill="FFFFFF"/>
            <w:tcMar>
              <w:top w:w="30" w:type="dxa"/>
              <w:left w:w="20" w:type="dxa"/>
              <w:bottom w:w="30" w:type="dxa"/>
              <w:right w:w="20" w:type="dxa"/>
            </w:tcMar>
            <w:vAlign w:val="bottom"/>
            <w:hideMark/>
          </w:tcPr>
          <w:p w14:paraId="53542A67" w14:textId="77777777" w:rsidR="00000000" w:rsidRDefault="00C1661D">
            <w:pPr>
              <w:spacing w:after="100"/>
              <w:rPr>
                <w:rFonts w:eastAsia="Times New Roman"/>
              </w:rPr>
            </w:pPr>
            <w:r>
              <w:rPr>
                <w:rFonts w:eastAsia="Times New Roman"/>
                <w:color w:val="000000"/>
                <w:sz w:val="20"/>
                <w:szCs w:val="20"/>
              </w:rPr>
              <w:t>Utilities</w:t>
            </w:r>
          </w:p>
        </w:tc>
        <w:tc>
          <w:tcPr>
            <w:tcW w:w="0" w:type="auto"/>
            <w:gridSpan w:val="3"/>
            <w:shd w:val="clear" w:color="auto" w:fill="FFFFFF"/>
            <w:tcMar>
              <w:top w:w="0" w:type="dxa"/>
              <w:left w:w="20" w:type="dxa"/>
              <w:bottom w:w="0" w:type="dxa"/>
              <w:right w:w="20" w:type="dxa"/>
            </w:tcMar>
            <w:vAlign w:val="center"/>
            <w:hideMark/>
          </w:tcPr>
          <w:p w14:paraId="5EEBA495"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15C8F0" w14:textId="77777777" w:rsidR="00000000" w:rsidRDefault="00C1661D">
            <w:pPr>
              <w:spacing w:after="100"/>
              <w:jc w:val="right"/>
              <w:rPr>
                <w:rFonts w:eastAsia="Times New Roman"/>
              </w:rPr>
            </w:pPr>
            <w:r>
              <w:rPr>
                <w:rFonts w:eastAsia="Times New Roman"/>
                <w:color w:val="000000"/>
                <w:sz w:val="20"/>
                <w:szCs w:val="20"/>
              </w:rPr>
              <w:t>206 </w:t>
            </w:r>
          </w:p>
        </w:tc>
        <w:tc>
          <w:tcPr>
            <w:tcW w:w="0" w:type="auto"/>
            <w:shd w:val="clear" w:color="auto" w:fill="FFFFFF"/>
            <w:tcMar>
              <w:top w:w="30" w:type="dxa"/>
              <w:left w:w="0" w:type="dxa"/>
              <w:bottom w:w="30" w:type="dxa"/>
              <w:right w:w="20" w:type="dxa"/>
            </w:tcMar>
            <w:vAlign w:val="bottom"/>
            <w:hideMark/>
          </w:tcPr>
          <w:p w14:paraId="0BCA6CB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A686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44E84D" w14:textId="77777777" w:rsidR="00000000" w:rsidRDefault="00C1661D">
            <w:pPr>
              <w:spacing w:after="100"/>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14:paraId="3790AF8F" w14:textId="77777777" w:rsidR="00000000" w:rsidRDefault="00C1661D">
            <w:pPr>
              <w:spacing w:after="100"/>
              <w:jc w:val="right"/>
              <w:rPr>
                <w:rFonts w:eastAsia="Times New Roman"/>
              </w:rPr>
            </w:pPr>
          </w:p>
        </w:tc>
        <w:tc>
          <w:tcPr>
            <w:tcW w:w="0" w:type="auto"/>
            <w:vAlign w:val="center"/>
            <w:hideMark/>
          </w:tcPr>
          <w:p w14:paraId="44ABD5C5" w14:textId="77777777" w:rsidR="00000000" w:rsidRDefault="00C1661D">
            <w:pPr>
              <w:spacing w:after="100"/>
              <w:jc w:val="right"/>
              <w:rPr>
                <w:rFonts w:eastAsia="Times New Roman"/>
                <w:sz w:val="20"/>
                <w:szCs w:val="20"/>
              </w:rPr>
            </w:pPr>
          </w:p>
        </w:tc>
      </w:tr>
      <w:tr w:rsidR="00000000" w14:paraId="2E623A6F"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7392C0CC" w14:textId="77777777" w:rsidR="00000000" w:rsidRDefault="00C1661D">
            <w:pPr>
              <w:spacing w:after="100"/>
              <w:rPr>
                <w:rFonts w:eastAsia="Times New Roman"/>
              </w:rPr>
            </w:pPr>
            <w:r>
              <w:rPr>
                <w:rFonts w:eastAsia="Times New Roman"/>
                <w:color w:val="000000"/>
                <w:sz w:val="20"/>
                <w:szCs w:val="20"/>
              </w:rPr>
              <w:t>Corporate &amp; Other (a)</w:t>
            </w:r>
          </w:p>
        </w:tc>
        <w:tc>
          <w:tcPr>
            <w:tcW w:w="0" w:type="auto"/>
            <w:gridSpan w:val="3"/>
            <w:shd w:val="clear" w:color="auto" w:fill="CCEEFF"/>
            <w:tcMar>
              <w:top w:w="0" w:type="dxa"/>
              <w:left w:w="20" w:type="dxa"/>
              <w:bottom w:w="0" w:type="dxa"/>
              <w:right w:w="20" w:type="dxa"/>
            </w:tcMar>
            <w:vAlign w:val="center"/>
            <w:hideMark/>
          </w:tcPr>
          <w:p w14:paraId="5FFB53F5"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D0D5F7" w14:textId="77777777" w:rsidR="00000000" w:rsidRDefault="00C1661D">
            <w:pPr>
              <w:spacing w:after="100"/>
              <w:jc w:val="right"/>
              <w:rPr>
                <w:rFonts w:eastAsia="Times New Roman"/>
              </w:rPr>
            </w:pPr>
            <w:r>
              <w:rPr>
                <w:rFonts w:eastAsia="Times New Roman"/>
                <w:color w:val="000000"/>
                <w:sz w:val="20"/>
                <w:szCs w:val="20"/>
              </w:rPr>
              <w:t>417 </w:t>
            </w:r>
          </w:p>
        </w:tc>
        <w:tc>
          <w:tcPr>
            <w:tcW w:w="0" w:type="auto"/>
            <w:shd w:val="clear" w:color="auto" w:fill="CCEEFF"/>
            <w:tcMar>
              <w:top w:w="30" w:type="dxa"/>
              <w:left w:w="0" w:type="dxa"/>
              <w:bottom w:w="30" w:type="dxa"/>
              <w:right w:w="20" w:type="dxa"/>
            </w:tcMar>
            <w:vAlign w:val="bottom"/>
            <w:hideMark/>
          </w:tcPr>
          <w:p w14:paraId="31AD372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29A58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BF8455" w14:textId="77777777" w:rsidR="00000000" w:rsidRDefault="00C1661D">
            <w:pPr>
              <w:spacing w:after="100"/>
              <w:jc w:val="right"/>
              <w:rPr>
                <w:rFonts w:eastAsia="Times New Roman"/>
              </w:rPr>
            </w:pPr>
            <w:r>
              <w:rPr>
                <w:rFonts w:eastAsia="Times New Roman"/>
                <w:color w:val="000000"/>
                <w:sz w:val="20"/>
                <w:szCs w:val="20"/>
              </w:rPr>
              <w:t>827 </w:t>
            </w:r>
          </w:p>
        </w:tc>
        <w:tc>
          <w:tcPr>
            <w:tcW w:w="0" w:type="auto"/>
            <w:shd w:val="clear" w:color="auto" w:fill="CCEEFF"/>
            <w:tcMar>
              <w:top w:w="30" w:type="dxa"/>
              <w:left w:w="0" w:type="dxa"/>
              <w:bottom w:w="30" w:type="dxa"/>
              <w:right w:w="20" w:type="dxa"/>
            </w:tcMar>
            <w:vAlign w:val="bottom"/>
            <w:hideMark/>
          </w:tcPr>
          <w:p w14:paraId="4B448061" w14:textId="77777777" w:rsidR="00000000" w:rsidRDefault="00C1661D">
            <w:pPr>
              <w:spacing w:after="100"/>
              <w:jc w:val="right"/>
              <w:rPr>
                <w:rFonts w:eastAsia="Times New Roman"/>
              </w:rPr>
            </w:pPr>
          </w:p>
        </w:tc>
        <w:tc>
          <w:tcPr>
            <w:tcW w:w="0" w:type="auto"/>
            <w:vAlign w:val="center"/>
            <w:hideMark/>
          </w:tcPr>
          <w:p w14:paraId="1DFDD85D" w14:textId="77777777" w:rsidR="00000000" w:rsidRDefault="00C1661D">
            <w:pPr>
              <w:spacing w:after="100"/>
              <w:jc w:val="right"/>
              <w:rPr>
                <w:rFonts w:eastAsia="Times New Roman"/>
                <w:sz w:val="20"/>
                <w:szCs w:val="20"/>
              </w:rPr>
            </w:pPr>
          </w:p>
        </w:tc>
      </w:tr>
      <w:tr w:rsidR="00000000" w14:paraId="6282B229" w14:textId="77777777">
        <w:trPr>
          <w:divId w:val="1023550578"/>
          <w:jc w:val="center"/>
        </w:trPr>
        <w:tc>
          <w:tcPr>
            <w:tcW w:w="0" w:type="auto"/>
            <w:gridSpan w:val="3"/>
            <w:shd w:val="clear" w:color="auto" w:fill="FFFFFF"/>
            <w:tcMar>
              <w:top w:w="30" w:type="dxa"/>
              <w:left w:w="20" w:type="dxa"/>
              <w:bottom w:w="30" w:type="dxa"/>
              <w:right w:w="20" w:type="dxa"/>
            </w:tcMar>
            <w:vAlign w:val="bottom"/>
            <w:hideMark/>
          </w:tcPr>
          <w:p w14:paraId="09687537" w14:textId="77777777" w:rsidR="00000000" w:rsidRDefault="00C1661D">
            <w:pPr>
              <w:spacing w:after="100"/>
              <w:rPr>
                <w:rFonts w:eastAsia="Times New Roman"/>
              </w:rPr>
            </w:pPr>
            <w:r>
              <w:rPr>
                <w:rFonts w:eastAsia="Times New Roman"/>
                <w:b/>
                <w:bCs/>
                <w:color w:val="000000"/>
                <w:sz w:val="20"/>
                <w:szCs w:val="20"/>
              </w:rPr>
              <w:t>Net income attributable to UGI Corporation</w:t>
            </w:r>
          </w:p>
        </w:tc>
        <w:tc>
          <w:tcPr>
            <w:tcW w:w="0" w:type="auto"/>
            <w:gridSpan w:val="3"/>
            <w:shd w:val="clear" w:color="auto" w:fill="FFFFFF"/>
            <w:tcMar>
              <w:top w:w="0" w:type="dxa"/>
              <w:left w:w="20" w:type="dxa"/>
              <w:bottom w:w="0" w:type="dxa"/>
              <w:right w:w="20" w:type="dxa"/>
            </w:tcMar>
            <w:vAlign w:val="center"/>
            <w:hideMark/>
          </w:tcPr>
          <w:p w14:paraId="07657E00" w14:textId="77777777" w:rsidR="00000000" w:rsidRDefault="00C166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9F7042" w14:textId="77777777" w:rsidR="00000000" w:rsidRDefault="00C1661D">
            <w:pPr>
              <w:spacing w:after="100"/>
              <w:jc w:val="right"/>
              <w:rPr>
                <w:rFonts w:eastAsia="Times New Roman"/>
              </w:rPr>
            </w:pPr>
            <w:r>
              <w:rPr>
                <w:rFonts w:eastAsia="Times New Roman"/>
                <w:color w:val="000000"/>
                <w:sz w:val="20"/>
                <w:szCs w:val="20"/>
              </w:rPr>
              <w:t>1,073 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A27EE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EB1F1D"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15620A" w14:textId="77777777" w:rsidR="00000000" w:rsidRDefault="00C1661D">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5F16EA" w14:textId="77777777" w:rsidR="00000000" w:rsidRDefault="00C1661D">
            <w:pPr>
              <w:spacing w:after="100"/>
              <w:jc w:val="right"/>
              <w:rPr>
                <w:rFonts w:eastAsia="Times New Roman"/>
              </w:rPr>
            </w:pPr>
          </w:p>
        </w:tc>
        <w:tc>
          <w:tcPr>
            <w:tcW w:w="0" w:type="auto"/>
            <w:vAlign w:val="center"/>
            <w:hideMark/>
          </w:tcPr>
          <w:p w14:paraId="0EFEDD76" w14:textId="77777777" w:rsidR="00000000" w:rsidRDefault="00C1661D">
            <w:pPr>
              <w:spacing w:after="100"/>
              <w:jc w:val="right"/>
              <w:rPr>
                <w:rFonts w:eastAsia="Times New Roman"/>
                <w:sz w:val="20"/>
                <w:szCs w:val="20"/>
              </w:rPr>
            </w:pPr>
          </w:p>
        </w:tc>
      </w:tr>
      <w:tr w:rsidR="00000000" w14:paraId="1391EDE9"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4AF9B4DF" w14:textId="77777777" w:rsidR="00000000" w:rsidRDefault="00C1661D">
            <w:pPr>
              <w:spacing w:after="100"/>
              <w:divId w:val="1017079158"/>
              <w:rPr>
                <w:rFonts w:eastAsia="Times New Roman"/>
              </w:rPr>
            </w:pPr>
            <w:r>
              <w:rPr>
                <w:rFonts w:eastAsia="Times New Roman"/>
                <w:color w:val="000000"/>
                <w:sz w:val="20"/>
                <w:szCs w:val="20"/>
              </w:rPr>
              <w:t>Net gains on commodity derivative instruments not associated with current-period transactions (net of tax of $140 and $389, respectively)</w:t>
            </w:r>
          </w:p>
        </w:tc>
        <w:tc>
          <w:tcPr>
            <w:tcW w:w="0" w:type="auto"/>
            <w:gridSpan w:val="3"/>
            <w:shd w:val="clear" w:color="auto" w:fill="CCEEFF"/>
            <w:tcMar>
              <w:top w:w="0" w:type="dxa"/>
              <w:left w:w="20" w:type="dxa"/>
              <w:bottom w:w="0" w:type="dxa"/>
              <w:right w:w="20" w:type="dxa"/>
            </w:tcMar>
            <w:vAlign w:val="center"/>
            <w:hideMark/>
          </w:tcPr>
          <w:p w14:paraId="689CB104"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3FD6C5" w14:textId="77777777" w:rsidR="00000000" w:rsidRDefault="00C1661D">
            <w:pPr>
              <w:spacing w:after="100"/>
              <w:jc w:val="right"/>
              <w:rPr>
                <w:rFonts w:eastAsia="Times New Roman"/>
              </w:rPr>
            </w:pPr>
            <w:r>
              <w:rPr>
                <w:rFonts w:eastAsia="Times New Roman"/>
                <w:color w:val="000000"/>
                <w:sz w:val="20"/>
                <w:szCs w:val="20"/>
              </w:rPr>
              <w:t>(458)</w:t>
            </w:r>
          </w:p>
        </w:tc>
        <w:tc>
          <w:tcPr>
            <w:tcW w:w="0" w:type="auto"/>
            <w:shd w:val="clear" w:color="auto" w:fill="CCEEFF"/>
            <w:tcMar>
              <w:top w:w="30" w:type="dxa"/>
              <w:left w:w="0" w:type="dxa"/>
              <w:bottom w:w="30" w:type="dxa"/>
              <w:right w:w="20" w:type="dxa"/>
            </w:tcMar>
            <w:vAlign w:val="bottom"/>
            <w:hideMark/>
          </w:tcPr>
          <w:p w14:paraId="521F281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52FDF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E591E5" w14:textId="77777777" w:rsidR="00000000" w:rsidRDefault="00C1661D">
            <w:pPr>
              <w:spacing w:after="100"/>
              <w:jc w:val="right"/>
              <w:rPr>
                <w:rFonts w:eastAsia="Times New Roman"/>
              </w:rPr>
            </w:pPr>
            <w:r>
              <w:rPr>
                <w:rFonts w:eastAsia="Times New Roman"/>
                <w:color w:val="000000"/>
                <w:sz w:val="20"/>
                <w:szCs w:val="20"/>
              </w:rPr>
              <w:t>(1,001)</w:t>
            </w:r>
          </w:p>
        </w:tc>
        <w:tc>
          <w:tcPr>
            <w:tcW w:w="0" w:type="auto"/>
            <w:shd w:val="clear" w:color="auto" w:fill="CCEEFF"/>
            <w:tcMar>
              <w:top w:w="30" w:type="dxa"/>
              <w:left w:w="0" w:type="dxa"/>
              <w:bottom w:w="30" w:type="dxa"/>
              <w:right w:w="20" w:type="dxa"/>
            </w:tcMar>
            <w:vAlign w:val="bottom"/>
            <w:hideMark/>
          </w:tcPr>
          <w:p w14:paraId="341ADBA1" w14:textId="77777777" w:rsidR="00000000" w:rsidRDefault="00C1661D">
            <w:pPr>
              <w:spacing w:after="100"/>
              <w:jc w:val="right"/>
              <w:rPr>
                <w:rFonts w:eastAsia="Times New Roman"/>
              </w:rPr>
            </w:pPr>
          </w:p>
        </w:tc>
        <w:tc>
          <w:tcPr>
            <w:tcW w:w="0" w:type="auto"/>
            <w:vAlign w:val="center"/>
            <w:hideMark/>
          </w:tcPr>
          <w:p w14:paraId="05687660" w14:textId="77777777" w:rsidR="00000000" w:rsidRDefault="00C1661D">
            <w:pPr>
              <w:spacing w:after="100"/>
              <w:jc w:val="right"/>
              <w:rPr>
                <w:rFonts w:eastAsia="Times New Roman"/>
                <w:sz w:val="20"/>
                <w:szCs w:val="20"/>
              </w:rPr>
            </w:pPr>
          </w:p>
        </w:tc>
      </w:tr>
      <w:tr w:rsidR="00000000" w14:paraId="37CBE98D" w14:textId="77777777">
        <w:trPr>
          <w:divId w:val="1023550578"/>
          <w:jc w:val="center"/>
        </w:trPr>
        <w:tc>
          <w:tcPr>
            <w:tcW w:w="0" w:type="auto"/>
            <w:gridSpan w:val="3"/>
            <w:shd w:val="clear" w:color="auto" w:fill="FFFFFF"/>
            <w:tcMar>
              <w:top w:w="30" w:type="dxa"/>
              <w:left w:w="20" w:type="dxa"/>
              <w:bottom w:w="30" w:type="dxa"/>
              <w:right w:w="20" w:type="dxa"/>
            </w:tcMar>
            <w:vAlign w:val="bottom"/>
            <w:hideMark/>
          </w:tcPr>
          <w:p w14:paraId="6060BD7D" w14:textId="77777777" w:rsidR="00000000" w:rsidRDefault="00C1661D">
            <w:pPr>
              <w:spacing w:after="100"/>
              <w:divId w:val="1998731364"/>
              <w:rPr>
                <w:rFonts w:eastAsia="Times New Roman"/>
              </w:rPr>
            </w:pPr>
            <w:r>
              <w:rPr>
                <w:rFonts w:eastAsia="Times New Roman"/>
                <w:color w:val="000000"/>
                <w:sz w:val="20"/>
                <w:szCs w:val="20"/>
              </w:rPr>
              <w:t>Unrealized gains on foreign currency derivative instruments (net of tax of $14 and $2, r</w:t>
            </w:r>
            <w:r>
              <w:rPr>
                <w:rFonts w:eastAsia="Times New Roman"/>
                <w:color w:val="000000"/>
                <w:sz w:val="20"/>
                <w:szCs w:val="20"/>
              </w:rPr>
              <w:t>espectively)</w:t>
            </w:r>
          </w:p>
        </w:tc>
        <w:tc>
          <w:tcPr>
            <w:tcW w:w="0" w:type="auto"/>
            <w:gridSpan w:val="3"/>
            <w:shd w:val="clear" w:color="auto" w:fill="FFFFFF"/>
            <w:tcMar>
              <w:top w:w="0" w:type="dxa"/>
              <w:left w:w="20" w:type="dxa"/>
              <w:bottom w:w="0" w:type="dxa"/>
              <w:right w:w="20" w:type="dxa"/>
            </w:tcMar>
            <w:vAlign w:val="center"/>
            <w:hideMark/>
          </w:tcPr>
          <w:p w14:paraId="7A5246F0"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785FEC" w14:textId="77777777" w:rsidR="00000000" w:rsidRDefault="00C1661D">
            <w:pPr>
              <w:spacing w:after="100"/>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14:paraId="4204A89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C48A1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F34B88" w14:textId="77777777" w:rsidR="00000000" w:rsidRDefault="00C1661D">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14:paraId="65A587CE" w14:textId="77777777" w:rsidR="00000000" w:rsidRDefault="00C1661D">
            <w:pPr>
              <w:spacing w:after="100"/>
              <w:jc w:val="right"/>
              <w:rPr>
                <w:rFonts w:eastAsia="Times New Roman"/>
              </w:rPr>
            </w:pPr>
          </w:p>
        </w:tc>
        <w:tc>
          <w:tcPr>
            <w:tcW w:w="0" w:type="auto"/>
            <w:vAlign w:val="center"/>
            <w:hideMark/>
          </w:tcPr>
          <w:p w14:paraId="1A57DD27" w14:textId="77777777" w:rsidR="00000000" w:rsidRDefault="00C1661D">
            <w:pPr>
              <w:spacing w:after="100"/>
              <w:jc w:val="right"/>
              <w:rPr>
                <w:rFonts w:eastAsia="Times New Roman"/>
                <w:sz w:val="20"/>
                <w:szCs w:val="20"/>
              </w:rPr>
            </w:pPr>
          </w:p>
        </w:tc>
      </w:tr>
      <w:tr w:rsidR="00000000" w14:paraId="61DCFF7C" w14:textId="77777777">
        <w:trPr>
          <w:divId w:val="1023550578"/>
          <w:jc w:val="center"/>
        </w:trPr>
        <w:tc>
          <w:tcPr>
            <w:tcW w:w="0" w:type="auto"/>
            <w:gridSpan w:val="3"/>
            <w:vAlign w:val="center"/>
            <w:hideMark/>
          </w:tcPr>
          <w:p w14:paraId="24CB8B89" w14:textId="77777777" w:rsidR="00000000" w:rsidRDefault="00C1661D">
            <w:pPr>
              <w:spacing w:after="100"/>
              <w:rPr>
                <w:rFonts w:eastAsia="Times New Roman"/>
                <w:sz w:val="20"/>
                <w:szCs w:val="20"/>
              </w:rPr>
            </w:pPr>
          </w:p>
        </w:tc>
        <w:tc>
          <w:tcPr>
            <w:tcW w:w="0" w:type="auto"/>
            <w:gridSpan w:val="3"/>
            <w:vAlign w:val="center"/>
            <w:hideMark/>
          </w:tcPr>
          <w:p w14:paraId="2FB4BAEC" w14:textId="77777777" w:rsidR="00000000" w:rsidRDefault="00C1661D">
            <w:pPr>
              <w:spacing w:after="100"/>
              <w:rPr>
                <w:rFonts w:eastAsia="Times New Roman"/>
                <w:sz w:val="20"/>
                <w:szCs w:val="20"/>
              </w:rPr>
            </w:pPr>
          </w:p>
        </w:tc>
        <w:tc>
          <w:tcPr>
            <w:tcW w:w="0" w:type="auto"/>
            <w:gridSpan w:val="3"/>
            <w:vAlign w:val="center"/>
            <w:hideMark/>
          </w:tcPr>
          <w:p w14:paraId="4373B365" w14:textId="77777777" w:rsidR="00000000" w:rsidRDefault="00C1661D">
            <w:pPr>
              <w:spacing w:after="100"/>
              <w:rPr>
                <w:rFonts w:eastAsia="Times New Roman"/>
                <w:sz w:val="20"/>
                <w:szCs w:val="20"/>
              </w:rPr>
            </w:pPr>
          </w:p>
        </w:tc>
        <w:tc>
          <w:tcPr>
            <w:tcW w:w="0" w:type="auto"/>
            <w:gridSpan w:val="3"/>
            <w:vAlign w:val="center"/>
            <w:hideMark/>
          </w:tcPr>
          <w:p w14:paraId="48B6045B" w14:textId="77777777" w:rsidR="00000000" w:rsidRDefault="00C1661D">
            <w:pPr>
              <w:spacing w:after="100"/>
              <w:rPr>
                <w:rFonts w:eastAsia="Times New Roman"/>
                <w:sz w:val="20"/>
                <w:szCs w:val="20"/>
              </w:rPr>
            </w:pPr>
          </w:p>
        </w:tc>
        <w:tc>
          <w:tcPr>
            <w:tcW w:w="0" w:type="auto"/>
            <w:gridSpan w:val="3"/>
            <w:vAlign w:val="center"/>
            <w:hideMark/>
          </w:tcPr>
          <w:p w14:paraId="09D1E8A9" w14:textId="77777777" w:rsidR="00000000" w:rsidRDefault="00C1661D">
            <w:pPr>
              <w:spacing w:after="100"/>
              <w:rPr>
                <w:rFonts w:eastAsia="Times New Roman"/>
                <w:sz w:val="20"/>
                <w:szCs w:val="20"/>
              </w:rPr>
            </w:pPr>
          </w:p>
        </w:tc>
        <w:tc>
          <w:tcPr>
            <w:tcW w:w="0" w:type="auto"/>
            <w:vAlign w:val="center"/>
            <w:hideMark/>
          </w:tcPr>
          <w:p w14:paraId="54D74774" w14:textId="77777777" w:rsidR="00000000" w:rsidRDefault="00C1661D">
            <w:pPr>
              <w:spacing w:after="100"/>
              <w:rPr>
                <w:rFonts w:eastAsia="Times New Roman"/>
                <w:sz w:val="20"/>
                <w:szCs w:val="20"/>
              </w:rPr>
            </w:pPr>
          </w:p>
        </w:tc>
      </w:tr>
      <w:tr w:rsidR="00000000" w14:paraId="1871A5DA"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764229C9" w14:textId="77777777" w:rsidR="00000000" w:rsidRDefault="00C1661D">
            <w:pPr>
              <w:spacing w:after="100"/>
              <w:divId w:val="1964118748"/>
              <w:rPr>
                <w:rFonts w:eastAsia="Times New Roman"/>
              </w:rPr>
            </w:pPr>
            <w:r>
              <w:rPr>
                <w:rFonts w:eastAsia="Times New Roman"/>
                <w:color w:val="000000"/>
                <w:sz w:val="20"/>
                <w:szCs w:val="20"/>
              </w:rPr>
              <w:t>Business transformation expenses (net of tax of $(2) and $(27), respectively)</w:t>
            </w:r>
          </w:p>
        </w:tc>
        <w:tc>
          <w:tcPr>
            <w:tcW w:w="0" w:type="auto"/>
            <w:gridSpan w:val="3"/>
            <w:shd w:val="clear" w:color="auto" w:fill="CCEEFF"/>
            <w:tcMar>
              <w:top w:w="0" w:type="dxa"/>
              <w:left w:w="20" w:type="dxa"/>
              <w:bottom w:w="0" w:type="dxa"/>
              <w:right w:w="20" w:type="dxa"/>
            </w:tcMar>
            <w:vAlign w:val="center"/>
            <w:hideMark/>
          </w:tcPr>
          <w:p w14:paraId="6349F9E1"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04224D" w14:textId="77777777" w:rsidR="00000000" w:rsidRDefault="00C1661D">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41A4BD9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0A069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ACE783" w14:textId="77777777" w:rsidR="00000000" w:rsidRDefault="00C1661D">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14:paraId="7B3A800D" w14:textId="77777777" w:rsidR="00000000" w:rsidRDefault="00C1661D">
            <w:pPr>
              <w:spacing w:after="100"/>
              <w:jc w:val="right"/>
              <w:rPr>
                <w:rFonts w:eastAsia="Times New Roman"/>
              </w:rPr>
            </w:pPr>
          </w:p>
        </w:tc>
        <w:tc>
          <w:tcPr>
            <w:tcW w:w="0" w:type="auto"/>
            <w:vAlign w:val="center"/>
            <w:hideMark/>
          </w:tcPr>
          <w:p w14:paraId="0E4F6F68" w14:textId="77777777" w:rsidR="00000000" w:rsidRDefault="00C1661D">
            <w:pPr>
              <w:spacing w:after="100"/>
              <w:jc w:val="right"/>
              <w:rPr>
                <w:rFonts w:eastAsia="Times New Roman"/>
                <w:sz w:val="20"/>
                <w:szCs w:val="20"/>
              </w:rPr>
            </w:pPr>
          </w:p>
        </w:tc>
      </w:tr>
      <w:tr w:rsidR="00000000" w14:paraId="255692B8" w14:textId="77777777">
        <w:trPr>
          <w:divId w:val="1023550578"/>
          <w:jc w:val="center"/>
        </w:trPr>
        <w:tc>
          <w:tcPr>
            <w:tcW w:w="0" w:type="auto"/>
            <w:gridSpan w:val="3"/>
            <w:vAlign w:val="center"/>
            <w:hideMark/>
          </w:tcPr>
          <w:p w14:paraId="5AF45118" w14:textId="77777777" w:rsidR="00000000" w:rsidRDefault="00C1661D">
            <w:pPr>
              <w:spacing w:after="100"/>
              <w:rPr>
                <w:rFonts w:eastAsia="Times New Roman"/>
                <w:sz w:val="20"/>
                <w:szCs w:val="20"/>
              </w:rPr>
            </w:pPr>
          </w:p>
        </w:tc>
        <w:tc>
          <w:tcPr>
            <w:tcW w:w="0" w:type="auto"/>
            <w:gridSpan w:val="3"/>
            <w:vAlign w:val="center"/>
            <w:hideMark/>
          </w:tcPr>
          <w:p w14:paraId="69D7E8B2" w14:textId="77777777" w:rsidR="00000000" w:rsidRDefault="00C1661D">
            <w:pPr>
              <w:spacing w:after="100"/>
              <w:rPr>
                <w:rFonts w:eastAsia="Times New Roman"/>
                <w:sz w:val="20"/>
                <w:szCs w:val="20"/>
              </w:rPr>
            </w:pPr>
          </w:p>
        </w:tc>
        <w:tc>
          <w:tcPr>
            <w:tcW w:w="0" w:type="auto"/>
            <w:gridSpan w:val="3"/>
            <w:vAlign w:val="center"/>
            <w:hideMark/>
          </w:tcPr>
          <w:p w14:paraId="1B06F2D9" w14:textId="77777777" w:rsidR="00000000" w:rsidRDefault="00C1661D">
            <w:pPr>
              <w:spacing w:after="100"/>
              <w:rPr>
                <w:rFonts w:eastAsia="Times New Roman"/>
                <w:sz w:val="20"/>
                <w:szCs w:val="20"/>
              </w:rPr>
            </w:pPr>
          </w:p>
        </w:tc>
        <w:tc>
          <w:tcPr>
            <w:tcW w:w="0" w:type="auto"/>
            <w:gridSpan w:val="3"/>
            <w:vAlign w:val="center"/>
            <w:hideMark/>
          </w:tcPr>
          <w:p w14:paraId="749F1DCF" w14:textId="77777777" w:rsidR="00000000" w:rsidRDefault="00C1661D">
            <w:pPr>
              <w:spacing w:after="100"/>
              <w:rPr>
                <w:rFonts w:eastAsia="Times New Roman"/>
                <w:sz w:val="20"/>
                <w:szCs w:val="20"/>
              </w:rPr>
            </w:pPr>
          </w:p>
        </w:tc>
        <w:tc>
          <w:tcPr>
            <w:tcW w:w="0" w:type="auto"/>
            <w:gridSpan w:val="3"/>
            <w:vAlign w:val="center"/>
            <w:hideMark/>
          </w:tcPr>
          <w:p w14:paraId="17478A22" w14:textId="77777777" w:rsidR="00000000" w:rsidRDefault="00C1661D">
            <w:pPr>
              <w:spacing w:after="100"/>
              <w:rPr>
                <w:rFonts w:eastAsia="Times New Roman"/>
                <w:sz w:val="20"/>
                <w:szCs w:val="20"/>
              </w:rPr>
            </w:pPr>
          </w:p>
        </w:tc>
        <w:tc>
          <w:tcPr>
            <w:tcW w:w="0" w:type="auto"/>
            <w:vAlign w:val="center"/>
            <w:hideMark/>
          </w:tcPr>
          <w:p w14:paraId="2E8AFE9D" w14:textId="77777777" w:rsidR="00000000" w:rsidRDefault="00C1661D">
            <w:pPr>
              <w:spacing w:after="100"/>
              <w:rPr>
                <w:rFonts w:eastAsia="Times New Roman"/>
                <w:sz w:val="20"/>
                <w:szCs w:val="20"/>
              </w:rPr>
            </w:pPr>
          </w:p>
        </w:tc>
      </w:tr>
      <w:tr w:rsidR="00000000" w14:paraId="622CF42A" w14:textId="77777777">
        <w:trPr>
          <w:divId w:val="1023550578"/>
          <w:jc w:val="center"/>
        </w:trPr>
        <w:tc>
          <w:tcPr>
            <w:tcW w:w="0" w:type="auto"/>
            <w:gridSpan w:val="3"/>
            <w:shd w:val="clear" w:color="auto" w:fill="FFFFFF"/>
            <w:tcMar>
              <w:top w:w="30" w:type="dxa"/>
              <w:left w:w="20" w:type="dxa"/>
              <w:bottom w:w="30" w:type="dxa"/>
              <w:right w:w="20" w:type="dxa"/>
            </w:tcMar>
            <w:vAlign w:val="bottom"/>
            <w:hideMark/>
          </w:tcPr>
          <w:p w14:paraId="054773D7" w14:textId="77777777" w:rsidR="00000000" w:rsidRDefault="00C1661D">
            <w:pPr>
              <w:spacing w:after="100"/>
              <w:divId w:val="335615385"/>
              <w:rPr>
                <w:rFonts w:eastAsia="Times New Roman"/>
              </w:rPr>
            </w:pPr>
            <w:r>
              <w:rPr>
                <w:rFonts w:eastAsia="Times New Roman"/>
                <w:color w:val="000000"/>
                <w:sz w:val="20"/>
                <w:szCs w:val="20"/>
              </w:rPr>
              <w:t>Acquisition and integration expenses associated with the Mountaineer Acquisition (net of tax of $(1) and $(4), respectively)</w:t>
            </w:r>
          </w:p>
        </w:tc>
        <w:tc>
          <w:tcPr>
            <w:tcW w:w="0" w:type="auto"/>
            <w:gridSpan w:val="3"/>
            <w:shd w:val="clear" w:color="auto" w:fill="FFFFFF"/>
            <w:tcMar>
              <w:top w:w="0" w:type="dxa"/>
              <w:left w:w="20" w:type="dxa"/>
              <w:bottom w:w="0" w:type="dxa"/>
              <w:right w:w="20" w:type="dxa"/>
            </w:tcMar>
            <w:vAlign w:val="center"/>
            <w:hideMark/>
          </w:tcPr>
          <w:p w14:paraId="2133AE2A"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AD376E" w14:textId="77777777" w:rsidR="00000000" w:rsidRDefault="00C1661D">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4E345D5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ECA48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716A93" w14:textId="77777777" w:rsidR="00000000" w:rsidRDefault="00C1661D">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18124978" w14:textId="77777777" w:rsidR="00000000" w:rsidRDefault="00C1661D">
            <w:pPr>
              <w:spacing w:after="100"/>
              <w:jc w:val="right"/>
              <w:rPr>
                <w:rFonts w:eastAsia="Times New Roman"/>
              </w:rPr>
            </w:pPr>
          </w:p>
        </w:tc>
        <w:tc>
          <w:tcPr>
            <w:tcW w:w="0" w:type="auto"/>
            <w:vAlign w:val="center"/>
            <w:hideMark/>
          </w:tcPr>
          <w:p w14:paraId="10993FB0" w14:textId="77777777" w:rsidR="00000000" w:rsidRDefault="00C1661D">
            <w:pPr>
              <w:spacing w:after="100"/>
              <w:jc w:val="right"/>
              <w:rPr>
                <w:rFonts w:eastAsia="Times New Roman"/>
                <w:sz w:val="20"/>
                <w:szCs w:val="20"/>
              </w:rPr>
            </w:pPr>
          </w:p>
        </w:tc>
      </w:tr>
      <w:tr w:rsidR="00000000" w14:paraId="17C26054"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719FD60F" w14:textId="77777777" w:rsidR="00000000" w:rsidRDefault="00C1661D">
            <w:pPr>
              <w:spacing w:after="100"/>
              <w:divId w:val="228729482"/>
              <w:rPr>
                <w:rFonts w:eastAsia="Times New Roman"/>
              </w:rPr>
            </w:pPr>
            <w:r>
              <w:rPr>
                <w:rFonts w:eastAsia="Times New Roman"/>
                <w:color w:val="000000"/>
                <w:sz w:val="20"/>
                <w:szCs w:val="20"/>
              </w:rPr>
              <w:t>Impairment of customer relationship intangible (net of tax of $0 and $(5), respectively)</w:t>
            </w:r>
          </w:p>
        </w:tc>
        <w:tc>
          <w:tcPr>
            <w:tcW w:w="0" w:type="auto"/>
            <w:gridSpan w:val="3"/>
            <w:shd w:val="clear" w:color="auto" w:fill="CCEEFF"/>
            <w:tcMar>
              <w:top w:w="0" w:type="dxa"/>
              <w:left w:w="20" w:type="dxa"/>
              <w:bottom w:w="0" w:type="dxa"/>
              <w:right w:w="20" w:type="dxa"/>
            </w:tcMar>
            <w:vAlign w:val="center"/>
            <w:hideMark/>
          </w:tcPr>
          <w:p w14:paraId="1BE3DF62"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FD75AA"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97C40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487FD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5D042A" w14:textId="77777777" w:rsidR="00000000" w:rsidRDefault="00C1661D">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3175ADC7" w14:textId="77777777" w:rsidR="00000000" w:rsidRDefault="00C1661D">
            <w:pPr>
              <w:spacing w:after="100"/>
              <w:jc w:val="right"/>
              <w:rPr>
                <w:rFonts w:eastAsia="Times New Roman"/>
              </w:rPr>
            </w:pPr>
          </w:p>
        </w:tc>
        <w:tc>
          <w:tcPr>
            <w:tcW w:w="0" w:type="auto"/>
            <w:vAlign w:val="center"/>
            <w:hideMark/>
          </w:tcPr>
          <w:p w14:paraId="0A988210" w14:textId="77777777" w:rsidR="00000000" w:rsidRDefault="00C1661D">
            <w:pPr>
              <w:spacing w:after="100"/>
              <w:jc w:val="right"/>
              <w:rPr>
                <w:rFonts w:eastAsia="Times New Roman"/>
                <w:sz w:val="20"/>
                <w:szCs w:val="20"/>
              </w:rPr>
            </w:pPr>
          </w:p>
        </w:tc>
      </w:tr>
      <w:tr w:rsidR="00000000" w14:paraId="25F547B7" w14:textId="77777777">
        <w:trPr>
          <w:divId w:val="1023550578"/>
          <w:jc w:val="center"/>
        </w:trPr>
        <w:tc>
          <w:tcPr>
            <w:tcW w:w="0" w:type="auto"/>
            <w:gridSpan w:val="3"/>
            <w:shd w:val="clear" w:color="auto" w:fill="FFFFFF"/>
            <w:tcMar>
              <w:top w:w="30" w:type="dxa"/>
              <w:left w:w="20" w:type="dxa"/>
              <w:bottom w:w="30" w:type="dxa"/>
              <w:right w:w="20" w:type="dxa"/>
            </w:tcMar>
            <w:vAlign w:val="bottom"/>
            <w:hideMark/>
          </w:tcPr>
          <w:p w14:paraId="16F6390E" w14:textId="77777777" w:rsidR="00000000" w:rsidRDefault="00C1661D">
            <w:pPr>
              <w:spacing w:after="100"/>
              <w:divId w:val="238685362"/>
              <w:rPr>
                <w:rFonts w:eastAsia="Times New Roman"/>
              </w:rPr>
            </w:pPr>
            <w:r>
              <w:rPr>
                <w:rFonts w:eastAsia="Times New Roman"/>
                <w:color w:val="000000"/>
                <w:sz w:val="20"/>
                <w:szCs w:val="20"/>
              </w:rPr>
              <w:t>Impairments of certain equity method investments and assets (net of tax of $(14) and $0, respectively)</w:t>
            </w:r>
          </w:p>
        </w:tc>
        <w:tc>
          <w:tcPr>
            <w:tcW w:w="0" w:type="auto"/>
            <w:gridSpan w:val="3"/>
            <w:shd w:val="clear" w:color="auto" w:fill="FFFFFF"/>
            <w:tcMar>
              <w:top w:w="0" w:type="dxa"/>
              <w:left w:w="20" w:type="dxa"/>
              <w:bottom w:w="0" w:type="dxa"/>
              <w:right w:w="20" w:type="dxa"/>
            </w:tcMar>
            <w:vAlign w:val="center"/>
            <w:hideMark/>
          </w:tcPr>
          <w:p w14:paraId="7EF78CF2"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E72F53" w14:textId="77777777" w:rsidR="00000000" w:rsidRDefault="00C1661D">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350F767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40A20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959900" w14:textId="77777777" w:rsidR="00000000" w:rsidRDefault="00C1661D">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14:paraId="3D1B6B65" w14:textId="77777777" w:rsidR="00000000" w:rsidRDefault="00C1661D">
            <w:pPr>
              <w:spacing w:after="100"/>
              <w:jc w:val="right"/>
              <w:rPr>
                <w:rFonts w:eastAsia="Times New Roman"/>
              </w:rPr>
            </w:pPr>
          </w:p>
        </w:tc>
        <w:tc>
          <w:tcPr>
            <w:tcW w:w="0" w:type="auto"/>
            <w:vAlign w:val="center"/>
            <w:hideMark/>
          </w:tcPr>
          <w:p w14:paraId="5FF3C5BA" w14:textId="77777777" w:rsidR="00000000" w:rsidRDefault="00C1661D">
            <w:pPr>
              <w:spacing w:after="100"/>
              <w:jc w:val="right"/>
              <w:rPr>
                <w:rFonts w:eastAsia="Times New Roman"/>
                <w:sz w:val="20"/>
                <w:szCs w:val="20"/>
              </w:rPr>
            </w:pPr>
          </w:p>
        </w:tc>
      </w:tr>
      <w:tr w:rsidR="00000000" w14:paraId="390D1833" w14:textId="77777777">
        <w:trPr>
          <w:divId w:val="1023550578"/>
          <w:jc w:val="center"/>
        </w:trPr>
        <w:tc>
          <w:tcPr>
            <w:tcW w:w="0" w:type="auto"/>
            <w:gridSpan w:val="3"/>
            <w:shd w:val="clear" w:color="auto" w:fill="CCEEFF"/>
            <w:tcMar>
              <w:top w:w="30" w:type="dxa"/>
              <w:left w:w="155" w:type="dxa"/>
              <w:bottom w:w="30" w:type="dxa"/>
              <w:right w:w="20" w:type="dxa"/>
            </w:tcMar>
            <w:vAlign w:val="bottom"/>
            <w:hideMark/>
          </w:tcPr>
          <w:p w14:paraId="4DCCF479" w14:textId="77777777" w:rsidR="00000000" w:rsidRDefault="00C1661D">
            <w:pPr>
              <w:spacing w:after="100"/>
              <w:rPr>
                <w:rFonts w:eastAsia="Times New Roman"/>
              </w:rPr>
            </w:pPr>
            <w:r>
              <w:rPr>
                <w:rFonts w:eastAsia="Times New Roman"/>
                <w:color w:val="000000"/>
                <w:sz w:val="20"/>
                <w:szCs w:val="20"/>
              </w:rPr>
              <w:t>Impact of change in tax law</w:t>
            </w:r>
          </w:p>
        </w:tc>
        <w:tc>
          <w:tcPr>
            <w:tcW w:w="0" w:type="auto"/>
            <w:gridSpan w:val="3"/>
            <w:shd w:val="clear" w:color="auto" w:fill="CCEEFF"/>
            <w:tcMar>
              <w:top w:w="0" w:type="dxa"/>
              <w:left w:w="20" w:type="dxa"/>
              <w:bottom w:w="0" w:type="dxa"/>
              <w:right w:w="20" w:type="dxa"/>
            </w:tcMar>
            <w:vAlign w:val="center"/>
            <w:hideMark/>
          </w:tcPr>
          <w:p w14:paraId="4ACB9A40"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E97059" w14:textId="77777777" w:rsidR="00000000" w:rsidRDefault="00C1661D">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14:paraId="3988042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138BA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E176D0" w14:textId="77777777" w:rsidR="00000000" w:rsidRDefault="00C1661D">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14:paraId="0E97C7AE" w14:textId="77777777" w:rsidR="00000000" w:rsidRDefault="00C1661D">
            <w:pPr>
              <w:spacing w:after="100"/>
              <w:jc w:val="right"/>
              <w:rPr>
                <w:rFonts w:eastAsia="Times New Roman"/>
              </w:rPr>
            </w:pPr>
          </w:p>
        </w:tc>
        <w:tc>
          <w:tcPr>
            <w:tcW w:w="0" w:type="auto"/>
            <w:vAlign w:val="center"/>
            <w:hideMark/>
          </w:tcPr>
          <w:p w14:paraId="6FD427F0" w14:textId="77777777" w:rsidR="00000000" w:rsidRDefault="00C1661D">
            <w:pPr>
              <w:spacing w:after="100"/>
              <w:jc w:val="right"/>
              <w:rPr>
                <w:rFonts w:eastAsia="Times New Roman"/>
                <w:sz w:val="20"/>
                <w:szCs w:val="20"/>
              </w:rPr>
            </w:pPr>
          </w:p>
        </w:tc>
      </w:tr>
      <w:tr w:rsidR="00000000" w14:paraId="6AD7C4A5" w14:textId="77777777">
        <w:trPr>
          <w:divId w:val="1023550578"/>
          <w:jc w:val="center"/>
        </w:trPr>
        <w:tc>
          <w:tcPr>
            <w:tcW w:w="0" w:type="auto"/>
            <w:gridSpan w:val="3"/>
            <w:shd w:val="clear" w:color="auto" w:fill="FFFFFF"/>
            <w:tcMar>
              <w:top w:w="30" w:type="dxa"/>
              <w:left w:w="20" w:type="dxa"/>
              <w:bottom w:w="30" w:type="dxa"/>
              <w:right w:w="20" w:type="dxa"/>
            </w:tcMar>
            <w:vAlign w:val="bottom"/>
            <w:hideMark/>
          </w:tcPr>
          <w:p w14:paraId="466639AA" w14:textId="77777777" w:rsidR="00000000" w:rsidRDefault="00C1661D">
            <w:pPr>
              <w:spacing w:after="100"/>
              <w:divId w:val="381901177"/>
              <w:rPr>
                <w:rFonts w:eastAsia="Times New Roman"/>
              </w:rPr>
            </w:pPr>
            <w:r>
              <w:rPr>
                <w:rFonts w:eastAsia="Times New Roman"/>
                <w:color w:val="000000"/>
                <w:sz w:val="20"/>
                <w:szCs w:val="20"/>
              </w:rPr>
              <w:t>Loss on extinguishment of debt (net of tax of $(3) and $0, respectively)</w:t>
            </w:r>
          </w:p>
        </w:tc>
        <w:tc>
          <w:tcPr>
            <w:tcW w:w="0" w:type="auto"/>
            <w:gridSpan w:val="3"/>
            <w:shd w:val="clear" w:color="auto" w:fill="FFFFFF"/>
            <w:tcMar>
              <w:top w:w="0" w:type="dxa"/>
              <w:left w:w="20" w:type="dxa"/>
              <w:bottom w:w="0" w:type="dxa"/>
              <w:right w:w="20" w:type="dxa"/>
            </w:tcMar>
            <w:vAlign w:val="center"/>
            <w:hideMark/>
          </w:tcPr>
          <w:p w14:paraId="5ABF0021"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74D5DE" w14:textId="77777777" w:rsidR="00000000" w:rsidRDefault="00C1661D">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593D845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0B87A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60D1E9"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61BE38" w14:textId="77777777" w:rsidR="00000000" w:rsidRDefault="00C1661D">
            <w:pPr>
              <w:spacing w:after="100"/>
              <w:jc w:val="right"/>
              <w:rPr>
                <w:rFonts w:eastAsia="Times New Roman"/>
              </w:rPr>
            </w:pPr>
          </w:p>
        </w:tc>
        <w:tc>
          <w:tcPr>
            <w:tcW w:w="0" w:type="auto"/>
            <w:vAlign w:val="center"/>
            <w:hideMark/>
          </w:tcPr>
          <w:p w14:paraId="4ECB5DBC" w14:textId="77777777" w:rsidR="00000000" w:rsidRDefault="00C1661D">
            <w:pPr>
              <w:spacing w:after="100"/>
              <w:jc w:val="right"/>
              <w:rPr>
                <w:rFonts w:eastAsia="Times New Roman"/>
                <w:sz w:val="20"/>
                <w:szCs w:val="20"/>
              </w:rPr>
            </w:pPr>
          </w:p>
        </w:tc>
      </w:tr>
      <w:tr w:rsidR="00000000" w14:paraId="45A2CB31"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729FD57D" w14:textId="77777777" w:rsidR="00000000" w:rsidRDefault="00C1661D">
            <w:pPr>
              <w:spacing w:after="100"/>
              <w:divId w:val="573785054"/>
              <w:rPr>
                <w:rFonts w:eastAsia="Times New Roman"/>
              </w:rPr>
            </w:pPr>
            <w:r>
              <w:rPr>
                <w:rFonts w:eastAsia="Times New Roman"/>
                <w:color w:val="000000"/>
                <w:sz w:val="20"/>
                <w:szCs w:val="20"/>
              </w:rPr>
              <w:t>Restructuring costs (net of tax of $(10) and $0, respectively)</w:t>
            </w:r>
          </w:p>
        </w:tc>
        <w:tc>
          <w:tcPr>
            <w:tcW w:w="0" w:type="auto"/>
            <w:gridSpan w:val="3"/>
            <w:shd w:val="clear" w:color="auto" w:fill="CCEEFF"/>
            <w:tcMar>
              <w:top w:w="0" w:type="dxa"/>
              <w:left w:w="20" w:type="dxa"/>
              <w:bottom w:w="0" w:type="dxa"/>
              <w:right w:w="20" w:type="dxa"/>
            </w:tcMar>
            <w:vAlign w:val="center"/>
            <w:hideMark/>
          </w:tcPr>
          <w:p w14:paraId="78CE1DCF"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5A82B7" w14:textId="77777777" w:rsidR="00000000" w:rsidRDefault="00C1661D">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29556B5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3BFA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DD05DF"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137146D" w14:textId="77777777" w:rsidR="00000000" w:rsidRDefault="00C1661D">
            <w:pPr>
              <w:spacing w:after="100"/>
              <w:jc w:val="right"/>
              <w:rPr>
                <w:rFonts w:eastAsia="Times New Roman"/>
              </w:rPr>
            </w:pPr>
          </w:p>
        </w:tc>
        <w:tc>
          <w:tcPr>
            <w:tcW w:w="0" w:type="auto"/>
            <w:vAlign w:val="center"/>
            <w:hideMark/>
          </w:tcPr>
          <w:p w14:paraId="69178052" w14:textId="77777777" w:rsidR="00000000" w:rsidRDefault="00C1661D">
            <w:pPr>
              <w:spacing w:after="100"/>
              <w:jc w:val="right"/>
              <w:rPr>
                <w:rFonts w:eastAsia="Times New Roman"/>
                <w:sz w:val="20"/>
                <w:szCs w:val="20"/>
              </w:rPr>
            </w:pPr>
          </w:p>
        </w:tc>
      </w:tr>
      <w:tr w:rsidR="00000000" w14:paraId="18E439C7" w14:textId="77777777">
        <w:trPr>
          <w:divId w:val="1023550578"/>
          <w:jc w:val="center"/>
        </w:trPr>
        <w:tc>
          <w:tcPr>
            <w:tcW w:w="0" w:type="auto"/>
            <w:gridSpan w:val="3"/>
            <w:vAlign w:val="center"/>
            <w:hideMark/>
          </w:tcPr>
          <w:p w14:paraId="1159E4E1" w14:textId="77777777" w:rsidR="00000000" w:rsidRDefault="00C1661D">
            <w:pPr>
              <w:spacing w:after="100"/>
              <w:rPr>
                <w:rFonts w:eastAsia="Times New Roman"/>
                <w:sz w:val="20"/>
                <w:szCs w:val="20"/>
              </w:rPr>
            </w:pPr>
          </w:p>
        </w:tc>
        <w:tc>
          <w:tcPr>
            <w:tcW w:w="0" w:type="auto"/>
            <w:gridSpan w:val="3"/>
            <w:vAlign w:val="center"/>
            <w:hideMark/>
          </w:tcPr>
          <w:p w14:paraId="40AE498E" w14:textId="77777777" w:rsidR="00000000" w:rsidRDefault="00C1661D">
            <w:pPr>
              <w:spacing w:after="100"/>
              <w:rPr>
                <w:rFonts w:eastAsia="Times New Roman"/>
                <w:sz w:val="20"/>
                <w:szCs w:val="20"/>
              </w:rPr>
            </w:pPr>
          </w:p>
        </w:tc>
        <w:tc>
          <w:tcPr>
            <w:tcW w:w="0" w:type="auto"/>
            <w:gridSpan w:val="3"/>
            <w:vAlign w:val="center"/>
            <w:hideMark/>
          </w:tcPr>
          <w:p w14:paraId="7948A0CD" w14:textId="77777777" w:rsidR="00000000" w:rsidRDefault="00C1661D">
            <w:pPr>
              <w:spacing w:after="100"/>
              <w:rPr>
                <w:rFonts w:eastAsia="Times New Roman"/>
                <w:sz w:val="20"/>
                <w:szCs w:val="20"/>
              </w:rPr>
            </w:pPr>
          </w:p>
        </w:tc>
        <w:tc>
          <w:tcPr>
            <w:tcW w:w="0" w:type="auto"/>
            <w:gridSpan w:val="3"/>
            <w:vAlign w:val="center"/>
            <w:hideMark/>
          </w:tcPr>
          <w:p w14:paraId="724DDEF7" w14:textId="77777777" w:rsidR="00000000" w:rsidRDefault="00C1661D">
            <w:pPr>
              <w:spacing w:after="100"/>
              <w:rPr>
                <w:rFonts w:eastAsia="Times New Roman"/>
                <w:sz w:val="20"/>
                <w:szCs w:val="20"/>
              </w:rPr>
            </w:pPr>
          </w:p>
        </w:tc>
        <w:tc>
          <w:tcPr>
            <w:tcW w:w="0" w:type="auto"/>
            <w:gridSpan w:val="3"/>
            <w:vAlign w:val="center"/>
            <w:hideMark/>
          </w:tcPr>
          <w:p w14:paraId="306FABBB" w14:textId="77777777" w:rsidR="00000000" w:rsidRDefault="00C1661D">
            <w:pPr>
              <w:spacing w:after="100"/>
              <w:rPr>
                <w:rFonts w:eastAsia="Times New Roman"/>
                <w:sz w:val="20"/>
                <w:szCs w:val="20"/>
              </w:rPr>
            </w:pPr>
          </w:p>
        </w:tc>
        <w:tc>
          <w:tcPr>
            <w:tcW w:w="0" w:type="auto"/>
            <w:vAlign w:val="center"/>
            <w:hideMark/>
          </w:tcPr>
          <w:p w14:paraId="471C0478" w14:textId="77777777" w:rsidR="00000000" w:rsidRDefault="00C1661D">
            <w:pPr>
              <w:spacing w:after="100"/>
              <w:rPr>
                <w:rFonts w:eastAsia="Times New Roman"/>
                <w:sz w:val="20"/>
                <w:szCs w:val="20"/>
              </w:rPr>
            </w:pPr>
          </w:p>
        </w:tc>
      </w:tr>
      <w:tr w:rsidR="00000000" w14:paraId="0E074796" w14:textId="77777777">
        <w:trPr>
          <w:divId w:val="1023550578"/>
          <w:jc w:val="center"/>
        </w:trPr>
        <w:tc>
          <w:tcPr>
            <w:tcW w:w="0" w:type="auto"/>
            <w:gridSpan w:val="3"/>
            <w:vAlign w:val="center"/>
            <w:hideMark/>
          </w:tcPr>
          <w:p w14:paraId="06893407" w14:textId="77777777" w:rsidR="00000000" w:rsidRDefault="00C1661D">
            <w:pPr>
              <w:spacing w:after="100"/>
              <w:rPr>
                <w:rFonts w:eastAsia="Times New Roman"/>
                <w:sz w:val="20"/>
                <w:szCs w:val="20"/>
              </w:rPr>
            </w:pPr>
          </w:p>
        </w:tc>
        <w:tc>
          <w:tcPr>
            <w:tcW w:w="0" w:type="auto"/>
            <w:gridSpan w:val="3"/>
            <w:vAlign w:val="center"/>
            <w:hideMark/>
          </w:tcPr>
          <w:p w14:paraId="589DB4E0" w14:textId="77777777" w:rsidR="00000000" w:rsidRDefault="00C1661D">
            <w:pPr>
              <w:spacing w:after="100"/>
              <w:rPr>
                <w:rFonts w:eastAsia="Times New Roman"/>
                <w:sz w:val="20"/>
                <w:szCs w:val="20"/>
              </w:rPr>
            </w:pPr>
          </w:p>
        </w:tc>
        <w:tc>
          <w:tcPr>
            <w:tcW w:w="0" w:type="auto"/>
            <w:gridSpan w:val="3"/>
            <w:vAlign w:val="center"/>
            <w:hideMark/>
          </w:tcPr>
          <w:p w14:paraId="3530E864" w14:textId="77777777" w:rsidR="00000000" w:rsidRDefault="00C1661D">
            <w:pPr>
              <w:spacing w:after="100"/>
              <w:rPr>
                <w:rFonts w:eastAsia="Times New Roman"/>
                <w:sz w:val="20"/>
                <w:szCs w:val="20"/>
              </w:rPr>
            </w:pPr>
          </w:p>
        </w:tc>
        <w:tc>
          <w:tcPr>
            <w:tcW w:w="0" w:type="auto"/>
            <w:gridSpan w:val="3"/>
            <w:vAlign w:val="center"/>
            <w:hideMark/>
          </w:tcPr>
          <w:p w14:paraId="30501733" w14:textId="77777777" w:rsidR="00000000" w:rsidRDefault="00C1661D">
            <w:pPr>
              <w:spacing w:after="100"/>
              <w:rPr>
                <w:rFonts w:eastAsia="Times New Roman"/>
                <w:sz w:val="20"/>
                <w:szCs w:val="20"/>
              </w:rPr>
            </w:pPr>
          </w:p>
        </w:tc>
        <w:tc>
          <w:tcPr>
            <w:tcW w:w="0" w:type="auto"/>
            <w:gridSpan w:val="3"/>
            <w:vAlign w:val="center"/>
            <w:hideMark/>
          </w:tcPr>
          <w:p w14:paraId="0B96D553" w14:textId="77777777" w:rsidR="00000000" w:rsidRDefault="00C1661D">
            <w:pPr>
              <w:spacing w:after="100"/>
              <w:rPr>
                <w:rFonts w:eastAsia="Times New Roman"/>
                <w:sz w:val="20"/>
                <w:szCs w:val="20"/>
              </w:rPr>
            </w:pPr>
          </w:p>
        </w:tc>
        <w:tc>
          <w:tcPr>
            <w:tcW w:w="0" w:type="auto"/>
            <w:vAlign w:val="center"/>
            <w:hideMark/>
          </w:tcPr>
          <w:p w14:paraId="348283CE" w14:textId="77777777" w:rsidR="00000000" w:rsidRDefault="00C1661D">
            <w:pPr>
              <w:spacing w:after="100"/>
              <w:rPr>
                <w:rFonts w:eastAsia="Times New Roman"/>
                <w:sz w:val="20"/>
                <w:szCs w:val="20"/>
              </w:rPr>
            </w:pPr>
          </w:p>
        </w:tc>
      </w:tr>
      <w:tr w:rsidR="00000000" w14:paraId="7173B0CD" w14:textId="77777777">
        <w:trPr>
          <w:divId w:val="1023550578"/>
          <w:jc w:val="center"/>
        </w:trPr>
        <w:tc>
          <w:tcPr>
            <w:tcW w:w="0" w:type="auto"/>
            <w:gridSpan w:val="3"/>
            <w:shd w:val="clear" w:color="auto" w:fill="FFFFFF"/>
            <w:tcMar>
              <w:top w:w="30" w:type="dxa"/>
              <w:left w:w="245" w:type="dxa"/>
              <w:bottom w:w="30" w:type="dxa"/>
              <w:right w:w="20" w:type="dxa"/>
            </w:tcMar>
            <w:vAlign w:val="bottom"/>
            <w:hideMark/>
          </w:tcPr>
          <w:p w14:paraId="4851FF7D" w14:textId="77777777" w:rsidR="00000000" w:rsidRDefault="00C1661D">
            <w:pPr>
              <w:spacing w:after="100"/>
              <w:rPr>
                <w:rFonts w:eastAsia="Times New Roman"/>
              </w:rPr>
            </w:pPr>
            <w:r>
              <w:rPr>
                <w:rFonts w:eastAsia="Times New Roman"/>
                <w:color w:val="000000"/>
                <w:sz w:val="20"/>
                <w:szCs w:val="20"/>
              </w:rPr>
              <w:t>Total adjustments (a) (b)</w:t>
            </w:r>
          </w:p>
        </w:tc>
        <w:tc>
          <w:tcPr>
            <w:tcW w:w="0" w:type="auto"/>
            <w:gridSpan w:val="3"/>
            <w:shd w:val="clear" w:color="auto" w:fill="FFFFFF"/>
            <w:tcMar>
              <w:top w:w="0" w:type="dxa"/>
              <w:left w:w="20" w:type="dxa"/>
              <w:bottom w:w="0" w:type="dxa"/>
              <w:right w:w="20" w:type="dxa"/>
            </w:tcMar>
            <w:vAlign w:val="center"/>
            <w:hideMark/>
          </w:tcPr>
          <w:p w14:paraId="0CC32885" w14:textId="77777777" w:rsidR="00000000" w:rsidRDefault="00C166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F61C15" w14:textId="77777777" w:rsidR="00000000" w:rsidRDefault="00C1661D">
            <w:pPr>
              <w:spacing w:after="100"/>
              <w:jc w:val="right"/>
              <w:rPr>
                <w:rFonts w:eastAsia="Times New Roman"/>
              </w:rPr>
            </w:pPr>
            <w:r>
              <w:rPr>
                <w:rFonts w:eastAsia="Times New Roman"/>
                <w:color w:val="000000"/>
                <w:sz w:val="20"/>
                <w:szCs w:val="20"/>
              </w:rPr>
              <w:t>(447)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A01A1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158A45"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664F75" w14:textId="77777777" w:rsidR="00000000" w:rsidRDefault="00C1661D">
            <w:pPr>
              <w:spacing w:after="100"/>
              <w:jc w:val="right"/>
              <w:rPr>
                <w:rFonts w:eastAsia="Times New Roman"/>
              </w:rPr>
            </w:pPr>
            <w:r>
              <w:rPr>
                <w:rFonts w:eastAsia="Times New Roman"/>
                <w:color w:val="000000"/>
                <w:sz w:val="20"/>
                <w:szCs w:val="20"/>
              </w:rPr>
              <w:t>(838)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0325E7" w14:textId="77777777" w:rsidR="00000000" w:rsidRDefault="00C1661D">
            <w:pPr>
              <w:spacing w:after="100"/>
              <w:jc w:val="right"/>
              <w:rPr>
                <w:rFonts w:eastAsia="Times New Roman"/>
              </w:rPr>
            </w:pPr>
          </w:p>
        </w:tc>
        <w:tc>
          <w:tcPr>
            <w:tcW w:w="0" w:type="auto"/>
            <w:vAlign w:val="center"/>
            <w:hideMark/>
          </w:tcPr>
          <w:p w14:paraId="4AD1E60F" w14:textId="77777777" w:rsidR="00000000" w:rsidRDefault="00C1661D">
            <w:pPr>
              <w:spacing w:after="100"/>
              <w:jc w:val="right"/>
              <w:rPr>
                <w:rFonts w:eastAsia="Times New Roman"/>
                <w:sz w:val="20"/>
                <w:szCs w:val="20"/>
              </w:rPr>
            </w:pPr>
          </w:p>
        </w:tc>
      </w:tr>
      <w:tr w:rsidR="00000000" w14:paraId="2425EB99"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7E52A320" w14:textId="77777777" w:rsidR="00000000" w:rsidRDefault="00C1661D">
            <w:pPr>
              <w:spacing w:after="100"/>
              <w:rPr>
                <w:rFonts w:eastAsia="Times New Roman"/>
              </w:rPr>
            </w:pPr>
            <w:r>
              <w:rPr>
                <w:rFonts w:eastAsia="Times New Roman"/>
                <w:b/>
                <w:bCs/>
                <w:color w:val="000000"/>
                <w:sz w:val="20"/>
                <w:szCs w:val="20"/>
              </w:rPr>
              <w:t>Adjusted net income attributable to UGI Corporation</w:t>
            </w:r>
          </w:p>
        </w:tc>
        <w:tc>
          <w:tcPr>
            <w:tcW w:w="0" w:type="auto"/>
            <w:gridSpan w:val="3"/>
            <w:shd w:val="clear" w:color="auto" w:fill="CCEEFF"/>
            <w:tcMar>
              <w:top w:w="0" w:type="dxa"/>
              <w:left w:w="20" w:type="dxa"/>
              <w:bottom w:w="0" w:type="dxa"/>
              <w:right w:w="20" w:type="dxa"/>
            </w:tcMar>
            <w:vAlign w:val="center"/>
            <w:hideMark/>
          </w:tcPr>
          <w:p w14:paraId="4349102A" w14:textId="77777777" w:rsidR="00000000" w:rsidRDefault="00C166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FDF9BE"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62C9BB" w14:textId="77777777" w:rsidR="00000000" w:rsidRDefault="00C1661D">
            <w:pPr>
              <w:spacing w:after="100"/>
              <w:jc w:val="right"/>
              <w:rPr>
                <w:rFonts w:eastAsia="Times New Roman"/>
              </w:rPr>
            </w:pPr>
            <w:r>
              <w:rPr>
                <w:rFonts w:eastAsia="Times New Roman"/>
                <w:color w:val="000000"/>
                <w:sz w:val="20"/>
                <w:szCs w:val="20"/>
              </w:rPr>
              <w:t>626 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E217B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4F9BC"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DD7FDB"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7ED73D" w14:textId="77777777" w:rsidR="00000000" w:rsidRDefault="00C1661D">
            <w:pPr>
              <w:spacing w:after="100"/>
              <w:jc w:val="right"/>
              <w:rPr>
                <w:rFonts w:eastAsia="Times New Roman"/>
              </w:rPr>
            </w:pPr>
            <w:r>
              <w:rPr>
                <w:rFonts w:eastAsia="Times New Roman"/>
                <w:color w:val="000000"/>
                <w:sz w:val="20"/>
                <w:szCs w:val="20"/>
              </w:rPr>
              <w:t>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142177" w14:textId="77777777" w:rsidR="00000000" w:rsidRDefault="00C1661D">
            <w:pPr>
              <w:spacing w:after="100"/>
              <w:jc w:val="right"/>
              <w:rPr>
                <w:rFonts w:eastAsia="Times New Roman"/>
              </w:rPr>
            </w:pPr>
          </w:p>
        </w:tc>
        <w:tc>
          <w:tcPr>
            <w:tcW w:w="0" w:type="auto"/>
            <w:vAlign w:val="center"/>
            <w:hideMark/>
          </w:tcPr>
          <w:p w14:paraId="4354B80F" w14:textId="77777777" w:rsidR="00000000" w:rsidRDefault="00C1661D">
            <w:pPr>
              <w:spacing w:after="100"/>
              <w:jc w:val="right"/>
              <w:rPr>
                <w:rFonts w:eastAsia="Times New Roman"/>
                <w:sz w:val="20"/>
                <w:szCs w:val="20"/>
              </w:rPr>
            </w:pPr>
          </w:p>
        </w:tc>
      </w:tr>
      <w:tr w:rsidR="00000000" w14:paraId="3CDB7865" w14:textId="77777777">
        <w:trPr>
          <w:divId w:val="1023550578"/>
          <w:trHeight w:val="300"/>
          <w:jc w:val="center"/>
        </w:trPr>
        <w:tc>
          <w:tcPr>
            <w:tcW w:w="0" w:type="auto"/>
            <w:gridSpan w:val="3"/>
            <w:shd w:val="clear" w:color="auto" w:fill="FFFFFF"/>
            <w:tcMar>
              <w:top w:w="0" w:type="dxa"/>
              <w:left w:w="20" w:type="dxa"/>
              <w:bottom w:w="0" w:type="dxa"/>
              <w:right w:w="20" w:type="dxa"/>
            </w:tcMar>
            <w:vAlign w:val="center"/>
            <w:hideMark/>
          </w:tcPr>
          <w:p w14:paraId="5DCBFF62"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113248" w14:textId="77777777" w:rsidR="00000000" w:rsidRDefault="00C166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CC2F2A3"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E32212" w14:textId="77777777" w:rsidR="00000000" w:rsidRDefault="00C166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D9ED19F" w14:textId="77777777" w:rsidR="00000000" w:rsidRDefault="00C1661D">
            <w:pPr>
              <w:spacing w:after="100"/>
              <w:rPr>
                <w:rFonts w:eastAsia="Times New Roman"/>
                <w:sz w:val="20"/>
                <w:szCs w:val="20"/>
              </w:rPr>
            </w:pPr>
          </w:p>
        </w:tc>
        <w:tc>
          <w:tcPr>
            <w:tcW w:w="0" w:type="auto"/>
            <w:vAlign w:val="center"/>
            <w:hideMark/>
          </w:tcPr>
          <w:p w14:paraId="50DCACBC" w14:textId="77777777" w:rsidR="00000000" w:rsidRDefault="00C1661D">
            <w:pPr>
              <w:spacing w:after="100"/>
              <w:rPr>
                <w:rFonts w:eastAsia="Times New Roman"/>
                <w:sz w:val="20"/>
                <w:szCs w:val="20"/>
              </w:rPr>
            </w:pPr>
          </w:p>
        </w:tc>
      </w:tr>
      <w:tr w:rsidR="00000000" w14:paraId="2A3D77C1"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4AA69B33" w14:textId="77777777" w:rsidR="00000000" w:rsidRDefault="00C1661D">
            <w:pPr>
              <w:spacing w:after="100"/>
              <w:rPr>
                <w:rFonts w:eastAsia="Times New Roman"/>
              </w:rPr>
            </w:pPr>
            <w:r>
              <w:rPr>
                <w:rFonts w:eastAsia="Times New Roman"/>
                <w:b/>
                <w:bCs/>
                <w:color w:val="000000"/>
                <w:sz w:val="20"/>
                <w:szCs w:val="20"/>
              </w:rPr>
              <w:t>Adjusted diluted earnings per share:</w:t>
            </w:r>
          </w:p>
        </w:tc>
        <w:tc>
          <w:tcPr>
            <w:tcW w:w="0" w:type="auto"/>
            <w:gridSpan w:val="3"/>
            <w:shd w:val="clear" w:color="auto" w:fill="CCEEFF"/>
            <w:tcMar>
              <w:top w:w="0" w:type="dxa"/>
              <w:left w:w="20" w:type="dxa"/>
              <w:bottom w:w="0" w:type="dxa"/>
              <w:right w:w="20" w:type="dxa"/>
            </w:tcMar>
            <w:vAlign w:val="center"/>
            <w:hideMark/>
          </w:tcPr>
          <w:p w14:paraId="749CCB91"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3A63ED"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18447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06E94F" w14:textId="77777777" w:rsidR="00000000" w:rsidRDefault="00C1661D">
            <w:pPr>
              <w:spacing w:after="100"/>
              <w:rPr>
                <w:rFonts w:eastAsia="Times New Roman"/>
                <w:sz w:val="20"/>
                <w:szCs w:val="20"/>
              </w:rPr>
            </w:pPr>
          </w:p>
        </w:tc>
        <w:tc>
          <w:tcPr>
            <w:tcW w:w="0" w:type="auto"/>
            <w:vAlign w:val="center"/>
            <w:hideMark/>
          </w:tcPr>
          <w:p w14:paraId="53316D5D" w14:textId="77777777" w:rsidR="00000000" w:rsidRDefault="00C1661D">
            <w:pPr>
              <w:spacing w:after="100"/>
              <w:rPr>
                <w:rFonts w:eastAsia="Times New Roman"/>
                <w:sz w:val="20"/>
                <w:szCs w:val="20"/>
              </w:rPr>
            </w:pPr>
          </w:p>
        </w:tc>
      </w:tr>
      <w:tr w:rsidR="00000000" w14:paraId="2CD7E95B" w14:textId="77777777">
        <w:trPr>
          <w:divId w:val="1023550578"/>
          <w:jc w:val="center"/>
        </w:trPr>
        <w:tc>
          <w:tcPr>
            <w:tcW w:w="0" w:type="auto"/>
            <w:gridSpan w:val="3"/>
            <w:shd w:val="clear" w:color="auto" w:fill="FFFFFF"/>
            <w:tcMar>
              <w:top w:w="30" w:type="dxa"/>
              <w:left w:w="20" w:type="dxa"/>
              <w:bottom w:w="30" w:type="dxa"/>
              <w:right w:w="20" w:type="dxa"/>
            </w:tcMar>
            <w:vAlign w:val="bottom"/>
            <w:hideMark/>
          </w:tcPr>
          <w:p w14:paraId="13280154" w14:textId="77777777" w:rsidR="00000000" w:rsidRDefault="00C1661D">
            <w:pPr>
              <w:spacing w:after="100"/>
              <w:rPr>
                <w:rFonts w:eastAsia="Times New Roman"/>
              </w:rPr>
            </w:pPr>
            <w:r>
              <w:rPr>
                <w:rFonts w:eastAsia="Times New Roman"/>
                <w:color w:val="000000"/>
                <w:sz w:val="20"/>
                <w:szCs w:val="20"/>
              </w:rPr>
              <w:t>AmeriGas Propane</w:t>
            </w:r>
          </w:p>
        </w:tc>
        <w:tc>
          <w:tcPr>
            <w:tcW w:w="0" w:type="auto"/>
            <w:gridSpan w:val="3"/>
            <w:shd w:val="clear" w:color="auto" w:fill="FFFFFF"/>
            <w:tcMar>
              <w:top w:w="0" w:type="dxa"/>
              <w:left w:w="20" w:type="dxa"/>
              <w:bottom w:w="0" w:type="dxa"/>
              <w:right w:w="20" w:type="dxa"/>
            </w:tcMar>
            <w:vAlign w:val="center"/>
            <w:hideMark/>
          </w:tcPr>
          <w:p w14:paraId="00C7C1AC"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A5D81E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04D7162" w14:textId="77777777" w:rsidR="00000000" w:rsidRDefault="00C1661D">
            <w:pPr>
              <w:spacing w:after="100"/>
              <w:jc w:val="right"/>
              <w:rPr>
                <w:rFonts w:eastAsia="Times New Roman"/>
              </w:rPr>
            </w:pPr>
            <w:r>
              <w:rPr>
                <w:rFonts w:eastAsia="Times New Roman"/>
                <w:color w:val="000000"/>
                <w:sz w:val="20"/>
                <w:szCs w:val="20"/>
              </w:rPr>
              <w:t>0.52 </w:t>
            </w:r>
          </w:p>
        </w:tc>
        <w:tc>
          <w:tcPr>
            <w:tcW w:w="0" w:type="auto"/>
            <w:shd w:val="clear" w:color="auto" w:fill="FFFFFF"/>
            <w:tcMar>
              <w:top w:w="30" w:type="dxa"/>
              <w:left w:w="0" w:type="dxa"/>
              <w:bottom w:w="30" w:type="dxa"/>
              <w:right w:w="20" w:type="dxa"/>
            </w:tcMar>
            <w:vAlign w:val="bottom"/>
            <w:hideMark/>
          </w:tcPr>
          <w:p w14:paraId="7603823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A8918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E42F4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CF69008" w14:textId="77777777" w:rsidR="00000000" w:rsidRDefault="00C1661D">
            <w:pPr>
              <w:spacing w:after="100"/>
              <w:jc w:val="right"/>
              <w:rPr>
                <w:rFonts w:eastAsia="Times New Roman"/>
              </w:rPr>
            </w:pPr>
            <w:r>
              <w:rPr>
                <w:rFonts w:eastAsia="Times New Roman"/>
                <w:color w:val="000000"/>
                <w:sz w:val="20"/>
                <w:szCs w:val="20"/>
              </w:rPr>
              <w:t>0.79 </w:t>
            </w:r>
          </w:p>
        </w:tc>
        <w:tc>
          <w:tcPr>
            <w:tcW w:w="0" w:type="auto"/>
            <w:shd w:val="clear" w:color="auto" w:fill="FFFFFF"/>
            <w:tcMar>
              <w:top w:w="30" w:type="dxa"/>
              <w:left w:w="0" w:type="dxa"/>
              <w:bottom w:w="30" w:type="dxa"/>
              <w:right w:w="20" w:type="dxa"/>
            </w:tcMar>
            <w:vAlign w:val="bottom"/>
            <w:hideMark/>
          </w:tcPr>
          <w:p w14:paraId="2A006990" w14:textId="77777777" w:rsidR="00000000" w:rsidRDefault="00C1661D">
            <w:pPr>
              <w:spacing w:after="100"/>
              <w:jc w:val="right"/>
              <w:rPr>
                <w:rFonts w:eastAsia="Times New Roman"/>
              </w:rPr>
            </w:pPr>
          </w:p>
        </w:tc>
        <w:tc>
          <w:tcPr>
            <w:tcW w:w="0" w:type="auto"/>
            <w:vAlign w:val="center"/>
            <w:hideMark/>
          </w:tcPr>
          <w:p w14:paraId="6CDE7268" w14:textId="77777777" w:rsidR="00000000" w:rsidRDefault="00C1661D">
            <w:pPr>
              <w:spacing w:after="100"/>
              <w:jc w:val="right"/>
              <w:rPr>
                <w:rFonts w:eastAsia="Times New Roman"/>
                <w:sz w:val="20"/>
                <w:szCs w:val="20"/>
              </w:rPr>
            </w:pPr>
          </w:p>
        </w:tc>
      </w:tr>
      <w:tr w:rsidR="00000000" w14:paraId="3AC5F13A"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72201F59" w14:textId="77777777" w:rsidR="00000000" w:rsidRDefault="00C1661D">
            <w:pPr>
              <w:spacing w:after="100"/>
              <w:rPr>
                <w:rFonts w:eastAsia="Times New Roman"/>
              </w:rPr>
            </w:pPr>
            <w:r>
              <w:rPr>
                <w:rFonts w:eastAsia="Times New Roman"/>
                <w:color w:val="000000"/>
                <w:sz w:val="20"/>
                <w:szCs w:val="20"/>
              </w:rPr>
              <w:t>UGI International</w:t>
            </w:r>
          </w:p>
        </w:tc>
        <w:tc>
          <w:tcPr>
            <w:tcW w:w="0" w:type="auto"/>
            <w:gridSpan w:val="3"/>
            <w:shd w:val="clear" w:color="auto" w:fill="CCEEFF"/>
            <w:tcMar>
              <w:top w:w="0" w:type="dxa"/>
              <w:left w:w="20" w:type="dxa"/>
              <w:bottom w:w="0" w:type="dxa"/>
              <w:right w:w="20" w:type="dxa"/>
            </w:tcMar>
            <w:vAlign w:val="center"/>
            <w:hideMark/>
          </w:tcPr>
          <w:p w14:paraId="555F8A9F"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55E82D" w14:textId="77777777" w:rsidR="00000000" w:rsidRDefault="00C1661D">
            <w:pPr>
              <w:spacing w:after="100"/>
              <w:jc w:val="right"/>
              <w:rPr>
                <w:rFonts w:eastAsia="Times New Roman"/>
              </w:rPr>
            </w:pPr>
            <w:r>
              <w:rPr>
                <w:rFonts w:eastAsia="Times New Roman"/>
                <w:color w:val="000000"/>
                <w:sz w:val="20"/>
                <w:szCs w:val="20"/>
              </w:rPr>
              <w:t>0.81 </w:t>
            </w:r>
          </w:p>
        </w:tc>
        <w:tc>
          <w:tcPr>
            <w:tcW w:w="0" w:type="auto"/>
            <w:shd w:val="clear" w:color="auto" w:fill="CCEEFF"/>
            <w:tcMar>
              <w:top w:w="30" w:type="dxa"/>
              <w:left w:w="0" w:type="dxa"/>
              <w:bottom w:w="30" w:type="dxa"/>
              <w:right w:w="20" w:type="dxa"/>
            </w:tcMar>
            <w:vAlign w:val="bottom"/>
            <w:hideMark/>
          </w:tcPr>
          <w:p w14:paraId="73B8EE3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6EAE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BF5C30" w14:textId="77777777" w:rsidR="00000000" w:rsidRDefault="00C1661D">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14:paraId="78409253" w14:textId="77777777" w:rsidR="00000000" w:rsidRDefault="00C1661D">
            <w:pPr>
              <w:spacing w:after="100"/>
              <w:jc w:val="right"/>
              <w:rPr>
                <w:rFonts w:eastAsia="Times New Roman"/>
              </w:rPr>
            </w:pPr>
          </w:p>
        </w:tc>
        <w:tc>
          <w:tcPr>
            <w:tcW w:w="0" w:type="auto"/>
            <w:vAlign w:val="center"/>
            <w:hideMark/>
          </w:tcPr>
          <w:p w14:paraId="603A61C7" w14:textId="77777777" w:rsidR="00000000" w:rsidRDefault="00C1661D">
            <w:pPr>
              <w:spacing w:after="100"/>
              <w:jc w:val="right"/>
              <w:rPr>
                <w:rFonts w:eastAsia="Times New Roman"/>
                <w:sz w:val="20"/>
                <w:szCs w:val="20"/>
              </w:rPr>
            </w:pPr>
          </w:p>
        </w:tc>
      </w:tr>
      <w:tr w:rsidR="00000000" w14:paraId="7A763E19" w14:textId="77777777">
        <w:trPr>
          <w:divId w:val="1023550578"/>
          <w:jc w:val="center"/>
        </w:trPr>
        <w:tc>
          <w:tcPr>
            <w:tcW w:w="0" w:type="auto"/>
            <w:gridSpan w:val="3"/>
            <w:shd w:val="clear" w:color="auto" w:fill="FFFFFF"/>
            <w:tcMar>
              <w:top w:w="30" w:type="dxa"/>
              <w:left w:w="20" w:type="dxa"/>
              <w:bottom w:w="30" w:type="dxa"/>
              <w:right w:w="20" w:type="dxa"/>
            </w:tcMar>
            <w:vAlign w:val="bottom"/>
            <w:hideMark/>
          </w:tcPr>
          <w:p w14:paraId="56C4010E" w14:textId="77777777" w:rsidR="00000000" w:rsidRDefault="00C1661D">
            <w:pPr>
              <w:spacing w:after="100"/>
              <w:rPr>
                <w:rFonts w:eastAsia="Times New Roman"/>
              </w:rPr>
            </w:pPr>
            <w:r>
              <w:rPr>
                <w:rFonts w:eastAsia="Times New Roman"/>
                <w:color w:val="000000"/>
                <w:sz w:val="20"/>
                <w:szCs w:val="20"/>
              </w:rPr>
              <w:t>Midstream &amp; Marketing</w:t>
            </w:r>
          </w:p>
        </w:tc>
        <w:tc>
          <w:tcPr>
            <w:tcW w:w="0" w:type="auto"/>
            <w:gridSpan w:val="3"/>
            <w:shd w:val="clear" w:color="auto" w:fill="FFFFFF"/>
            <w:tcMar>
              <w:top w:w="0" w:type="dxa"/>
              <w:left w:w="20" w:type="dxa"/>
              <w:bottom w:w="0" w:type="dxa"/>
              <w:right w:w="20" w:type="dxa"/>
            </w:tcMar>
            <w:vAlign w:val="center"/>
            <w:hideMark/>
          </w:tcPr>
          <w:p w14:paraId="38695EC3"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652F2A" w14:textId="77777777" w:rsidR="00000000" w:rsidRDefault="00C1661D">
            <w:pPr>
              <w:spacing w:after="100"/>
              <w:jc w:val="right"/>
              <w:rPr>
                <w:rFonts w:eastAsia="Times New Roman"/>
              </w:rPr>
            </w:pPr>
            <w:r>
              <w:rPr>
                <w:rFonts w:eastAsia="Times New Roman"/>
                <w:color w:val="000000"/>
                <w:sz w:val="20"/>
                <w:szCs w:val="20"/>
              </w:rPr>
              <w:t>0.76 </w:t>
            </w:r>
          </w:p>
        </w:tc>
        <w:tc>
          <w:tcPr>
            <w:tcW w:w="0" w:type="auto"/>
            <w:shd w:val="clear" w:color="auto" w:fill="FFFFFF"/>
            <w:tcMar>
              <w:top w:w="30" w:type="dxa"/>
              <w:left w:w="0" w:type="dxa"/>
              <w:bottom w:w="30" w:type="dxa"/>
              <w:right w:w="20" w:type="dxa"/>
            </w:tcMar>
            <w:vAlign w:val="bottom"/>
            <w:hideMark/>
          </w:tcPr>
          <w:p w14:paraId="6DCF2D4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09FB6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FD7D65" w14:textId="77777777" w:rsidR="00000000" w:rsidRDefault="00C1661D">
            <w:pPr>
              <w:spacing w:after="100"/>
              <w:jc w:val="right"/>
              <w:rPr>
                <w:rFonts w:eastAsia="Times New Roman"/>
              </w:rPr>
            </w:pPr>
            <w:r>
              <w:rPr>
                <w:rFonts w:eastAsia="Times New Roman"/>
                <w:color w:val="000000"/>
                <w:sz w:val="20"/>
                <w:szCs w:val="20"/>
              </w:rPr>
              <w:t>0.51 </w:t>
            </w:r>
          </w:p>
        </w:tc>
        <w:tc>
          <w:tcPr>
            <w:tcW w:w="0" w:type="auto"/>
            <w:shd w:val="clear" w:color="auto" w:fill="FFFFFF"/>
            <w:tcMar>
              <w:top w:w="30" w:type="dxa"/>
              <w:left w:w="0" w:type="dxa"/>
              <w:bottom w:w="30" w:type="dxa"/>
              <w:right w:w="20" w:type="dxa"/>
            </w:tcMar>
            <w:vAlign w:val="bottom"/>
            <w:hideMark/>
          </w:tcPr>
          <w:p w14:paraId="6CC07EA1" w14:textId="77777777" w:rsidR="00000000" w:rsidRDefault="00C1661D">
            <w:pPr>
              <w:spacing w:after="100"/>
              <w:jc w:val="right"/>
              <w:rPr>
                <w:rFonts w:eastAsia="Times New Roman"/>
              </w:rPr>
            </w:pPr>
          </w:p>
        </w:tc>
        <w:tc>
          <w:tcPr>
            <w:tcW w:w="0" w:type="auto"/>
            <w:vAlign w:val="center"/>
            <w:hideMark/>
          </w:tcPr>
          <w:p w14:paraId="2FC6D8C1" w14:textId="77777777" w:rsidR="00000000" w:rsidRDefault="00C1661D">
            <w:pPr>
              <w:spacing w:after="100"/>
              <w:jc w:val="right"/>
              <w:rPr>
                <w:rFonts w:eastAsia="Times New Roman"/>
                <w:sz w:val="20"/>
                <w:szCs w:val="20"/>
              </w:rPr>
            </w:pPr>
          </w:p>
        </w:tc>
      </w:tr>
      <w:tr w:rsidR="00000000" w14:paraId="6AD70DC4"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25394B0E" w14:textId="77777777" w:rsidR="00000000" w:rsidRDefault="00C1661D">
            <w:pPr>
              <w:spacing w:after="100"/>
              <w:rPr>
                <w:rFonts w:eastAsia="Times New Roman"/>
              </w:rPr>
            </w:pPr>
            <w:r>
              <w:rPr>
                <w:rFonts w:eastAsia="Times New Roman"/>
                <w:color w:val="000000"/>
                <w:sz w:val="20"/>
                <w:szCs w:val="20"/>
              </w:rPr>
              <w:t>Utilities</w:t>
            </w:r>
          </w:p>
        </w:tc>
        <w:tc>
          <w:tcPr>
            <w:tcW w:w="0" w:type="auto"/>
            <w:gridSpan w:val="3"/>
            <w:shd w:val="clear" w:color="auto" w:fill="CCEEFF"/>
            <w:tcMar>
              <w:top w:w="0" w:type="dxa"/>
              <w:left w:w="20" w:type="dxa"/>
              <w:bottom w:w="0" w:type="dxa"/>
              <w:right w:w="20" w:type="dxa"/>
            </w:tcMar>
            <w:vAlign w:val="center"/>
            <w:hideMark/>
          </w:tcPr>
          <w:p w14:paraId="2201293C"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97B1C6" w14:textId="77777777" w:rsidR="00000000" w:rsidRDefault="00C1661D">
            <w:pPr>
              <w:spacing w:after="100"/>
              <w:jc w:val="right"/>
              <w:rPr>
                <w:rFonts w:eastAsia="Times New Roman"/>
              </w:rPr>
            </w:pPr>
            <w:r>
              <w:rPr>
                <w:rFonts w:eastAsia="Times New Roman"/>
                <w:color w:val="000000"/>
                <w:sz w:val="20"/>
                <w:szCs w:val="20"/>
              </w:rPr>
              <w:t>0.95 </w:t>
            </w:r>
          </w:p>
        </w:tc>
        <w:tc>
          <w:tcPr>
            <w:tcW w:w="0" w:type="auto"/>
            <w:shd w:val="clear" w:color="auto" w:fill="CCEEFF"/>
            <w:tcMar>
              <w:top w:w="30" w:type="dxa"/>
              <w:left w:w="0" w:type="dxa"/>
              <w:bottom w:w="30" w:type="dxa"/>
              <w:right w:w="20" w:type="dxa"/>
            </w:tcMar>
            <w:vAlign w:val="bottom"/>
            <w:hideMark/>
          </w:tcPr>
          <w:p w14:paraId="538BBDA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705B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A2D562" w14:textId="77777777" w:rsidR="00000000" w:rsidRDefault="00C1661D">
            <w:pPr>
              <w:spacing w:after="100"/>
              <w:jc w:val="right"/>
              <w:rPr>
                <w:rFonts w:eastAsia="Times New Roman"/>
              </w:rPr>
            </w:pPr>
            <w:r>
              <w:rPr>
                <w:rFonts w:eastAsia="Times New Roman"/>
                <w:color w:val="000000"/>
                <w:sz w:val="20"/>
                <w:szCs w:val="20"/>
              </w:rPr>
              <w:t>0.68 </w:t>
            </w:r>
          </w:p>
        </w:tc>
        <w:tc>
          <w:tcPr>
            <w:tcW w:w="0" w:type="auto"/>
            <w:shd w:val="clear" w:color="auto" w:fill="CCEEFF"/>
            <w:tcMar>
              <w:top w:w="30" w:type="dxa"/>
              <w:left w:w="0" w:type="dxa"/>
              <w:bottom w:w="30" w:type="dxa"/>
              <w:right w:w="20" w:type="dxa"/>
            </w:tcMar>
            <w:vAlign w:val="bottom"/>
            <w:hideMark/>
          </w:tcPr>
          <w:p w14:paraId="06E0E845" w14:textId="77777777" w:rsidR="00000000" w:rsidRDefault="00C1661D">
            <w:pPr>
              <w:spacing w:after="100"/>
              <w:jc w:val="right"/>
              <w:rPr>
                <w:rFonts w:eastAsia="Times New Roman"/>
              </w:rPr>
            </w:pPr>
          </w:p>
        </w:tc>
        <w:tc>
          <w:tcPr>
            <w:tcW w:w="0" w:type="auto"/>
            <w:vAlign w:val="center"/>
            <w:hideMark/>
          </w:tcPr>
          <w:p w14:paraId="7D3B6678" w14:textId="77777777" w:rsidR="00000000" w:rsidRDefault="00C1661D">
            <w:pPr>
              <w:spacing w:after="100"/>
              <w:jc w:val="right"/>
              <w:rPr>
                <w:rFonts w:eastAsia="Times New Roman"/>
                <w:sz w:val="20"/>
                <w:szCs w:val="20"/>
              </w:rPr>
            </w:pPr>
          </w:p>
        </w:tc>
      </w:tr>
      <w:tr w:rsidR="00000000" w14:paraId="6F49FF25" w14:textId="77777777">
        <w:trPr>
          <w:divId w:val="1023550578"/>
          <w:jc w:val="center"/>
        </w:trPr>
        <w:tc>
          <w:tcPr>
            <w:tcW w:w="0" w:type="auto"/>
            <w:gridSpan w:val="3"/>
            <w:shd w:val="clear" w:color="auto" w:fill="FFFFFF"/>
            <w:tcMar>
              <w:top w:w="30" w:type="dxa"/>
              <w:left w:w="20" w:type="dxa"/>
              <w:bottom w:w="30" w:type="dxa"/>
              <w:right w:w="20" w:type="dxa"/>
            </w:tcMar>
            <w:vAlign w:val="bottom"/>
            <w:hideMark/>
          </w:tcPr>
          <w:p w14:paraId="573801ED" w14:textId="77777777" w:rsidR="00000000" w:rsidRDefault="00C1661D">
            <w:pPr>
              <w:spacing w:after="100"/>
              <w:rPr>
                <w:rFonts w:eastAsia="Times New Roman"/>
              </w:rPr>
            </w:pPr>
            <w:r>
              <w:rPr>
                <w:rFonts w:eastAsia="Times New Roman"/>
                <w:color w:val="000000"/>
                <w:sz w:val="20"/>
                <w:szCs w:val="20"/>
              </w:rPr>
              <w:t>Corporate &amp; Other (a)</w:t>
            </w:r>
          </w:p>
        </w:tc>
        <w:tc>
          <w:tcPr>
            <w:tcW w:w="0" w:type="auto"/>
            <w:gridSpan w:val="3"/>
            <w:shd w:val="clear" w:color="auto" w:fill="FFFFFF"/>
            <w:tcMar>
              <w:top w:w="0" w:type="dxa"/>
              <w:left w:w="20" w:type="dxa"/>
              <w:bottom w:w="0" w:type="dxa"/>
              <w:right w:w="20" w:type="dxa"/>
            </w:tcMar>
            <w:vAlign w:val="center"/>
            <w:hideMark/>
          </w:tcPr>
          <w:p w14:paraId="1AAEC654"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FB4734" w14:textId="77777777" w:rsidR="00000000" w:rsidRDefault="00C1661D">
            <w:pPr>
              <w:spacing w:after="100"/>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bottom"/>
            <w:hideMark/>
          </w:tcPr>
          <w:p w14:paraId="6BE762B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C2011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B15CB8" w14:textId="77777777" w:rsidR="00000000" w:rsidRDefault="00C1661D">
            <w:pPr>
              <w:spacing w:after="100"/>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bottom"/>
            <w:hideMark/>
          </w:tcPr>
          <w:p w14:paraId="5E3EFEF8" w14:textId="77777777" w:rsidR="00000000" w:rsidRDefault="00C1661D">
            <w:pPr>
              <w:spacing w:after="100"/>
              <w:jc w:val="right"/>
              <w:rPr>
                <w:rFonts w:eastAsia="Times New Roman"/>
              </w:rPr>
            </w:pPr>
          </w:p>
        </w:tc>
        <w:tc>
          <w:tcPr>
            <w:tcW w:w="0" w:type="auto"/>
            <w:vAlign w:val="center"/>
            <w:hideMark/>
          </w:tcPr>
          <w:p w14:paraId="31C86150" w14:textId="77777777" w:rsidR="00000000" w:rsidRDefault="00C1661D">
            <w:pPr>
              <w:spacing w:after="100"/>
              <w:jc w:val="right"/>
              <w:rPr>
                <w:rFonts w:eastAsia="Times New Roman"/>
                <w:sz w:val="20"/>
                <w:szCs w:val="20"/>
              </w:rPr>
            </w:pPr>
          </w:p>
        </w:tc>
      </w:tr>
      <w:tr w:rsidR="00000000" w14:paraId="3683A1B4"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04CE1A6B" w14:textId="77777777" w:rsidR="00000000" w:rsidRDefault="00C1661D">
            <w:pPr>
              <w:spacing w:after="100"/>
              <w:rPr>
                <w:rFonts w:eastAsia="Times New Roman"/>
              </w:rPr>
            </w:pPr>
            <w:r>
              <w:rPr>
                <w:rFonts w:eastAsia="Times New Roman"/>
                <w:b/>
                <w:bCs/>
                <w:color w:val="000000"/>
                <w:sz w:val="20"/>
                <w:szCs w:val="20"/>
              </w:rPr>
              <w:t>Earnings per share - diluted</w:t>
            </w:r>
          </w:p>
        </w:tc>
        <w:tc>
          <w:tcPr>
            <w:tcW w:w="0" w:type="auto"/>
            <w:gridSpan w:val="3"/>
            <w:shd w:val="clear" w:color="auto" w:fill="CCEEFF"/>
            <w:tcMar>
              <w:top w:w="0" w:type="dxa"/>
              <w:left w:w="20" w:type="dxa"/>
              <w:bottom w:w="0" w:type="dxa"/>
              <w:right w:w="20" w:type="dxa"/>
            </w:tcMar>
            <w:vAlign w:val="center"/>
            <w:hideMark/>
          </w:tcPr>
          <w:p w14:paraId="71D8249A" w14:textId="77777777" w:rsidR="00000000" w:rsidRDefault="00C166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012ED2" w14:textId="77777777" w:rsidR="00000000" w:rsidRDefault="00C1661D">
            <w:pPr>
              <w:spacing w:after="100"/>
              <w:jc w:val="right"/>
              <w:rPr>
                <w:rFonts w:eastAsia="Times New Roman"/>
              </w:rPr>
            </w:pPr>
            <w:r>
              <w:rPr>
                <w:rFonts w:eastAsia="Times New Roman"/>
                <w:color w:val="000000"/>
                <w:sz w:val="20"/>
                <w:szCs w:val="20"/>
              </w:rPr>
              <w:t>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6DDFF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35F0FB"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6A9663" w14:textId="77777777" w:rsidR="00000000" w:rsidRDefault="00C1661D">
            <w:pPr>
              <w:spacing w:after="100"/>
              <w:jc w:val="right"/>
              <w:rPr>
                <w:rFonts w:eastAsia="Times New Roman"/>
              </w:rPr>
            </w:pPr>
            <w:r>
              <w:rPr>
                <w:rFonts w:eastAsia="Times New Roman"/>
                <w:color w:val="000000"/>
                <w:sz w:val="20"/>
                <w:szCs w:val="20"/>
              </w:rPr>
              <w:t>6.92 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183F90" w14:textId="77777777" w:rsidR="00000000" w:rsidRDefault="00C1661D">
            <w:pPr>
              <w:spacing w:after="100"/>
              <w:jc w:val="right"/>
              <w:rPr>
                <w:rFonts w:eastAsia="Times New Roman"/>
              </w:rPr>
            </w:pPr>
          </w:p>
        </w:tc>
        <w:tc>
          <w:tcPr>
            <w:tcW w:w="0" w:type="auto"/>
            <w:vAlign w:val="center"/>
            <w:hideMark/>
          </w:tcPr>
          <w:p w14:paraId="6F4B4ADB" w14:textId="77777777" w:rsidR="00000000" w:rsidRDefault="00C1661D">
            <w:pPr>
              <w:spacing w:after="100"/>
              <w:jc w:val="right"/>
              <w:rPr>
                <w:rFonts w:eastAsia="Times New Roman"/>
                <w:sz w:val="20"/>
                <w:szCs w:val="20"/>
              </w:rPr>
            </w:pPr>
          </w:p>
        </w:tc>
      </w:tr>
      <w:tr w:rsidR="00000000" w14:paraId="254FDA60" w14:textId="77777777">
        <w:trPr>
          <w:divId w:val="1023550578"/>
          <w:jc w:val="center"/>
        </w:trPr>
        <w:tc>
          <w:tcPr>
            <w:tcW w:w="0" w:type="auto"/>
            <w:gridSpan w:val="3"/>
            <w:shd w:val="clear" w:color="auto" w:fill="FFFFFF"/>
            <w:tcMar>
              <w:top w:w="30" w:type="dxa"/>
              <w:left w:w="20" w:type="dxa"/>
              <w:bottom w:w="30" w:type="dxa"/>
              <w:right w:w="20" w:type="dxa"/>
            </w:tcMar>
            <w:vAlign w:val="bottom"/>
            <w:hideMark/>
          </w:tcPr>
          <w:p w14:paraId="72DF50D4" w14:textId="77777777" w:rsidR="00000000" w:rsidRDefault="00C1661D">
            <w:pPr>
              <w:spacing w:after="100"/>
              <w:rPr>
                <w:rFonts w:eastAsia="Times New Roman"/>
              </w:rPr>
            </w:pPr>
            <w:r>
              <w:rPr>
                <w:rFonts w:eastAsia="Times New Roman"/>
                <w:color w:val="000000"/>
                <w:sz w:val="20"/>
                <w:szCs w:val="20"/>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14:paraId="7C2CB811"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9E6979" w14:textId="77777777" w:rsidR="00000000" w:rsidRDefault="00C1661D">
            <w:pPr>
              <w:spacing w:after="100"/>
              <w:jc w:val="right"/>
              <w:rPr>
                <w:rFonts w:eastAsia="Times New Roman"/>
              </w:rPr>
            </w:pPr>
            <w:r>
              <w:rPr>
                <w:rFonts w:eastAsia="Times New Roman"/>
                <w:color w:val="000000"/>
                <w:sz w:val="20"/>
                <w:szCs w:val="20"/>
              </w:rPr>
              <w:t>(2.11)</w:t>
            </w:r>
          </w:p>
        </w:tc>
        <w:tc>
          <w:tcPr>
            <w:tcW w:w="0" w:type="auto"/>
            <w:shd w:val="clear" w:color="auto" w:fill="FFFFFF"/>
            <w:tcMar>
              <w:top w:w="30" w:type="dxa"/>
              <w:left w:w="0" w:type="dxa"/>
              <w:bottom w:w="30" w:type="dxa"/>
              <w:right w:w="20" w:type="dxa"/>
            </w:tcMar>
            <w:vAlign w:val="bottom"/>
            <w:hideMark/>
          </w:tcPr>
          <w:p w14:paraId="0A41263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62FA7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2FB12C" w14:textId="77777777" w:rsidR="00000000" w:rsidRDefault="00C1661D">
            <w:pPr>
              <w:spacing w:after="100"/>
              <w:jc w:val="right"/>
              <w:rPr>
                <w:rFonts w:eastAsia="Times New Roman"/>
              </w:rPr>
            </w:pPr>
            <w:r>
              <w:rPr>
                <w:rFonts w:eastAsia="Times New Roman"/>
                <w:color w:val="000000"/>
                <w:sz w:val="20"/>
                <w:szCs w:val="20"/>
              </w:rPr>
              <w:t>(4.72)</w:t>
            </w:r>
          </w:p>
        </w:tc>
        <w:tc>
          <w:tcPr>
            <w:tcW w:w="0" w:type="auto"/>
            <w:shd w:val="clear" w:color="auto" w:fill="FFFFFF"/>
            <w:tcMar>
              <w:top w:w="30" w:type="dxa"/>
              <w:left w:w="0" w:type="dxa"/>
              <w:bottom w:w="30" w:type="dxa"/>
              <w:right w:w="20" w:type="dxa"/>
            </w:tcMar>
            <w:vAlign w:val="bottom"/>
            <w:hideMark/>
          </w:tcPr>
          <w:p w14:paraId="70ACCE2F" w14:textId="77777777" w:rsidR="00000000" w:rsidRDefault="00C1661D">
            <w:pPr>
              <w:spacing w:after="100"/>
              <w:jc w:val="right"/>
              <w:rPr>
                <w:rFonts w:eastAsia="Times New Roman"/>
              </w:rPr>
            </w:pPr>
          </w:p>
        </w:tc>
        <w:tc>
          <w:tcPr>
            <w:tcW w:w="0" w:type="auto"/>
            <w:vAlign w:val="center"/>
            <w:hideMark/>
          </w:tcPr>
          <w:p w14:paraId="306ECA33" w14:textId="77777777" w:rsidR="00000000" w:rsidRDefault="00C1661D">
            <w:pPr>
              <w:spacing w:after="100"/>
              <w:jc w:val="right"/>
              <w:rPr>
                <w:rFonts w:eastAsia="Times New Roman"/>
                <w:sz w:val="20"/>
                <w:szCs w:val="20"/>
              </w:rPr>
            </w:pPr>
          </w:p>
        </w:tc>
      </w:tr>
      <w:tr w:rsidR="00000000" w14:paraId="7730CC8A"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0379522C" w14:textId="77777777" w:rsidR="00000000" w:rsidRDefault="00C1661D">
            <w:pPr>
              <w:spacing w:after="100"/>
              <w:rPr>
                <w:rFonts w:eastAsia="Times New Roman"/>
              </w:rPr>
            </w:pPr>
            <w:r>
              <w:rPr>
                <w:rFonts w:eastAsia="Times New Roman"/>
                <w:color w:val="000000"/>
                <w:sz w:val="20"/>
                <w:szCs w:val="20"/>
              </w:rPr>
              <w:t>Unrealized gains on foreign currency derivative instruments</w:t>
            </w:r>
          </w:p>
        </w:tc>
        <w:tc>
          <w:tcPr>
            <w:tcW w:w="0" w:type="auto"/>
            <w:gridSpan w:val="3"/>
            <w:shd w:val="clear" w:color="auto" w:fill="CCEEFF"/>
            <w:tcMar>
              <w:top w:w="0" w:type="dxa"/>
              <w:left w:w="20" w:type="dxa"/>
              <w:bottom w:w="0" w:type="dxa"/>
              <w:right w:w="20" w:type="dxa"/>
            </w:tcMar>
            <w:vAlign w:val="center"/>
            <w:hideMark/>
          </w:tcPr>
          <w:p w14:paraId="6052056C"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A6FD37" w14:textId="77777777" w:rsidR="00000000" w:rsidRDefault="00C1661D">
            <w:pPr>
              <w:spacing w:after="100"/>
              <w:jc w:val="right"/>
              <w:rPr>
                <w:rFonts w:eastAsia="Times New Roman"/>
              </w:rPr>
            </w:pPr>
            <w:r>
              <w:rPr>
                <w:rFonts w:eastAsia="Times New Roman"/>
                <w:color w:val="000000"/>
                <w:sz w:val="20"/>
                <w:szCs w:val="20"/>
              </w:rPr>
              <w:t>(0.17)</w:t>
            </w:r>
          </w:p>
        </w:tc>
        <w:tc>
          <w:tcPr>
            <w:tcW w:w="0" w:type="auto"/>
            <w:shd w:val="clear" w:color="auto" w:fill="CCEEFF"/>
            <w:tcMar>
              <w:top w:w="30" w:type="dxa"/>
              <w:left w:w="0" w:type="dxa"/>
              <w:bottom w:w="30" w:type="dxa"/>
              <w:right w:w="20" w:type="dxa"/>
            </w:tcMar>
            <w:vAlign w:val="bottom"/>
            <w:hideMark/>
          </w:tcPr>
          <w:p w14:paraId="324CFFE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2CB8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464512" w14:textId="77777777" w:rsidR="00000000" w:rsidRDefault="00C1661D">
            <w:pPr>
              <w:spacing w:after="100"/>
              <w:jc w:val="right"/>
              <w:rPr>
                <w:rFonts w:eastAsia="Times New Roman"/>
              </w:rPr>
            </w:pPr>
            <w:r>
              <w:rPr>
                <w:rFonts w:eastAsia="Times New Roman"/>
                <w:color w:val="000000"/>
                <w:sz w:val="20"/>
                <w:szCs w:val="20"/>
              </w:rPr>
              <w:t>(0.03)</w:t>
            </w:r>
          </w:p>
        </w:tc>
        <w:tc>
          <w:tcPr>
            <w:tcW w:w="0" w:type="auto"/>
            <w:shd w:val="clear" w:color="auto" w:fill="CCEEFF"/>
            <w:tcMar>
              <w:top w:w="30" w:type="dxa"/>
              <w:left w:w="0" w:type="dxa"/>
              <w:bottom w:w="30" w:type="dxa"/>
              <w:right w:w="20" w:type="dxa"/>
            </w:tcMar>
            <w:vAlign w:val="bottom"/>
            <w:hideMark/>
          </w:tcPr>
          <w:p w14:paraId="57D48D44" w14:textId="77777777" w:rsidR="00000000" w:rsidRDefault="00C1661D">
            <w:pPr>
              <w:spacing w:after="100"/>
              <w:jc w:val="right"/>
              <w:rPr>
                <w:rFonts w:eastAsia="Times New Roman"/>
              </w:rPr>
            </w:pPr>
          </w:p>
        </w:tc>
        <w:tc>
          <w:tcPr>
            <w:tcW w:w="0" w:type="auto"/>
            <w:vAlign w:val="center"/>
            <w:hideMark/>
          </w:tcPr>
          <w:p w14:paraId="103C5FB8" w14:textId="77777777" w:rsidR="00000000" w:rsidRDefault="00C1661D">
            <w:pPr>
              <w:spacing w:after="100"/>
              <w:jc w:val="right"/>
              <w:rPr>
                <w:rFonts w:eastAsia="Times New Roman"/>
                <w:sz w:val="20"/>
                <w:szCs w:val="20"/>
              </w:rPr>
            </w:pPr>
          </w:p>
        </w:tc>
      </w:tr>
      <w:tr w:rsidR="00000000" w14:paraId="0F7A5715" w14:textId="77777777">
        <w:trPr>
          <w:divId w:val="1023550578"/>
          <w:jc w:val="center"/>
        </w:trPr>
        <w:tc>
          <w:tcPr>
            <w:tcW w:w="0" w:type="auto"/>
            <w:gridSpan w:val="3"/>
            <w:shd w:val="clear" w:color="auto" w:fill="FFFFFF"/>
            <w:tcMar>
              <w:top w:w="30" w:type="dxa"/>
              <w:left w:w="20" w:type="dxa"/>
              <w:bottom w:w="30" w:type="dxa"/>
              <w:right w:w="20" w:type="dxa"/>
            </w:tcMar>
            <w:vAlign w:val="bottom"/>
            <w:hideMark/>
          </w:tcPr>
          <w:p w14:paraId="2623BAE7" w14:textId="77777777" w:rsidR="00000000" w:rsidRDefault="00C1661D">
            <w:pPr>
              <w:spacing w:after="100"/>
              <w:rPr>
                <w:rFonts w:eastAsia="Times New Roman"/>
              </w:rPr>
            </w:pPr>
            <w:r>
              <w:rPr>
                <w:rFonts w:eastAsia="Times New Roman"/>
                <w:color w:val="000000"/>
                <w:sz w:val="20"/>
                <w:szCs w:val="20"/>
              </w:rPr>
              <w:t>Business transformation expenses</w:t>
            </w:r>
          </w:p>
        </w:tc>
        <w:tc>
          <w:tcPr>
            <w:tcW w:w="0" w:type="auto"/>
            <w:gridSpan w:val="3"/>
            <w:shd w:val="clear" w:color="auto" w:fill="FFFFFF"/>
            <w:tcMar>
              <w:top w:w="0" w:type="dxa"/>
              <w:left w:w="20" w:type="dxa"/>
              <w:bottom w:w="0" w:type="dxa"/>
              <w:right w:w="20" w:type="dxa"/>
            </w:tcMar>
            <w:vAlign w:val="center"/>
            <w:hideMark/>
          </w:tcPr>
          <w:p w14:paraId="43C5F1A1"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D392CB" w14:textId="77777777" w:rsidR="00000000" w:rsidRDefault="00C1661D">
            <w:pPr>
              <w:spacing w:after="100"/>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14:paraId="1EB33F6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941B1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E06F44" w14:textId="77777777" w:rsidR="00000000" w:rsidRDefault="00C1661D">
            <w:pPr>
              <w:spacing w:after="100"/>
              <w:jc w:val="right"/>
              <w:rPr>
                <w:rFonts w:eastAsia="Times New Roman"/>
              </w:rPr>
            </w:pPr>
            <w:r>
              <w:rPr>
                <w:rFonts w:eastAsia="Times New Roman"/>
                <w:color w:val="000000"/>
                <w:sz w:val="20"/>
                <w:szCs w:val="20"/>
              </w:rPr>
              <w:t>0.35 </w:t>
            </w:r>
          </w:p>
        </w:tc>
        <w:tc>
          <w:tcPr>
            <w:tcW w:w="0" w:type="auto"/>
            <w:shd w:val="clear" w:color="auto" w:fill="FFFFFF"/>
            <w:tcMar>
              <w:top w:w="30" w:type="dxa"/>
              <w:left w:w="0" w:type="dxa"/>
              <w:bottom w:w="30" w:type="dxa"/>
              <w:right w:w="20" w:type="dxa"/>
            </w:tcMar>
            <w:vAlign w:val="bottom"/>
            <w:hideMark/>
          </w:tcPr>
          <w:p w14:paraId="5E194DBB" w14:textId="77777777" w:rsidR="00000000" w:rsidRDefault="00C1661D">
            <w:pPr>
              <w:spacing w:after="100"/>
              <w:jc w:val="right"/>
              <w:rPr>
                <w:rFonts w:eastAsia="Times New Roman"/>
              </w:rPr>
            </w:pPr>
          </w:p>
        </w:tc>
        <w:tc>
          <w:tcPr>
            <w:tcW w:w="0" w:type="auto"/>
            <w:vAlign w:val="center"/>
            <w:hideMark/>
          </w:tcPr>
          <w:p w14:paraId="0BC7EA76" w14:textId="77777777" w:rsidR="00000000" w:rsidRDefault="00C1661D">
            <w:pPr>
              <w:spacing w:after="100"/>
              <w:jc w:val="right"/>
              <w:rPr>
                <w:rFonts w:eastAsia="Times New Roman"/>
                <w:sz w:val="20"/>
                <w:szCs w:val="20"/>
              </w:rPr>
            </w:pPr>
          </w:p>
        </w:tc>
      </w:tr>
      <w:tr w:rsidR="00000000" w14:paraId="421B013C" w14:textId="77777777">
        <w:trPr>
          <w:divId w:val="1023550578"/>
          <w:jc w:val="center"/>
        </w:trPr>
        <w:tc>
          <w:tcPr>
            <w:tcW w:w="0" w:type="auto"/>
            <w:gridSpan w:val="3"/>
            <w:vAlign w:val="center"/>
            <w:hideMark/>
          </w:tcPr>
          <w:p w14:paraId="636B8C88" w14:textId="77777777" w:rsidR="00000000" w:rsidRDefault="00C1661D">
            <w:pPr>
              <w:spacing w:after="100"/>
              <w:rPr>
                <w:rFonts w:eastAsia="Times New Roman"/>
                <w:sz w:val="20"/>
                <w:szCs w:val="20"/>
              </w:rPr>
            </w:pPr>
          </w:p>
        </w:tc>
        <w:tc>
          <w:tcPr>
            <w:tcW w:w="0" w:type="auto"/>
            <w:gridSpan w:val="3"/>
            <w:vAlign w:val="center"/>
            <w:hideMark/>
          </w:tcPr>
          <w:p w14:paraId="2FFB1752" w14:textId="77777777" w:rsidR="00000000" w:rsidRDefault="00C1661D">
            <w:pPr>
              <w:spacing w:after="100"/>
              <w:rPr>
                <w:rFonts w:eastAsia="Times New Roman"/>
                <w:sz w:val="20"/>
                <w:szCs w:val="20"/>
              </w:rPr>
            </w:pPr>
          </w:p>
        </w:tc>
        <w:tc>
          <w:tcPr>
            <w:tcW w:w="0" w:type="auto"/>
            <w:gridSpan w:val="3"/>
            <w:vAlign w:val="center"/>
            <w:hideMark/>
          </w:tcPr>
          <w:p w14:paraId="4EBA7D6E" w14:textId="77777777" w:rsidR="00000000" w:rsidRDefault="00C1661D">
            <w:pPr>
              <w:spacing w:after="100"/>
              <w:rPr>
                <w:rFonts w:eastAsia="Times New Roman"/>
                <w:sz w:val="20"/>
                <w:szCs w:val="20"/>
              </w:rPr>
            </w:pPr>
          </w:p>
        </w:tc>
        <w:tc>
          <w:tcPr>
            <w:tcW w:w="0" w:type="auto"/>
            <w:gridSpan w:val="3"/>
            <w:vAlign w:val="center"/>
            <w:hideMark/>
          </w:tcPr>
          <w:p w14:paraId="636ABA3A" w14:textId="77777777" w:rsidR="00000000" w:rsidRDefault="00C1661D">
            <w:pPr>
              <w:spacing w:after="100"/>
              <w:rPr>
                <w:rFonts w:eastAsia="Times New Roman"/>
                <w:sz w:val="20"/>
                <w:szCs w:val="20"/>
              </w:rPr>
            </w:pPr>
          </w:p>
        </w:tc>
        <w:tc>
          <w:tcPr>
            <w:tcW w:w="0" w:type="auto"/>
            <w:gridSpan w:val="3"/>
            <w:vAlign w:val="center"/>
            <w:hideMark/>
          </w:tcPr>
          <w:p w14:paraId="10773809" w14:textId="77777777" w:rsidR="00000000" w:rsidRDefault="00C1661D">
            <w:pPr>
              <w:spacing w:after="100"/>
              <w:rPr>
                <w:rFonts w:eastAsia="Times New Roman"/>
                <w:sz w:val="20"/>
                <w:szCs w:val="20"/>
              </w:rPr>
            </w:pPr>
          </w:p>
        </w:tc>
        <w:tc>
          <w:tcPr>
            <w:tcW w:w="0" w:type="auto"/>
            <w:vAlign w:val="center"/>
            <w:hideMark/>
          </w:tcPr>
          <w:p w14:paraId="48AD7980" w14:textId="77777777" w:rsidR="00000000" w:rsidRDefault="00C1661D">
            <w:pPr>
              <w:spacing w:after="100"/>
              <w:rPr>
                <w:rFonts w:eastAsia="Times New Roman"/>
                <w:sz w:val="20"/>
                <w:szCs w:val="20"/>
              </w:rPr>
            </w:pPr>
          </w:p>
        </w:tc>
      </w:tr>
      <w:tr w:rsidR="00000000" w14:paraId="7403EE8B" w14:textId="77777777">
        <w:trPr>
          <w:divId w:val="1023550578"/>
          <w:jc w:val="center"/>
        </w:trPr>
        <w:tc>
          <w:tcPr>
            <w:tcW w:w="0" w:type="auto"/>
            <w:gridSpan w:val="3"/>
            <w:vAlign w:val="center"/>
            <w:hideMark/>
          </w:tcPr>
          <w:p w14:paraId="210B3D8E" w14:textId="77777777" w:rsidR="00000000" w:rsidRDefault="00C1661D">
            <w:pPr>
              <w:spacing w:after="100"/>
              <w:rPr>
                <w:rFonts w:eastAsia="Times New Roman"/>
                <w:sz w:val="20"/>
                <w:szCs w:val="20"/>
              </w:rPr>
            </w:pPr>
          </w:p>
        </w:tc>
        <w:tc>
          <w:tcPr>
            <w:tcW w:w="0" w:type="auto"/>
            <w:gridSpan w:val="3"/>
            <w:vAlign w:val="center"/>
            <w:hideMark/>
          </w:tcPr>
          <w:p w14:paraId="4745337F" w14:textId="77777777" w:rsidR="00000000" w:rsidRDefault="00C1661D">
            <w:pPr>
              <w:spacing w:after="100"/>
              <w:rPr>
                <w:rFonts w:eastAsia="Times New Roman"/>
                <w:sz w:val="20"/>
                <w:szCs w:val="20"/>
              </w:rPr>
            </w:pPr>
          </w:p>
        </w:tc>
        <w:tc>
          <w:tcPr>
            <w:tcW w:w="0" w:type="auto"/>
            <w:gridSpan w:val="3"/>
            <w:vAlign w:val="center"/>
            <w:hideMark/>
          </w:tcPr>
          <w:p w14:paraId="44D570D8" w14:textId="77777777" w:rsidR="00000000" w:rsidRDefault="00C1661D">
            <w:pPr>
              <w:spacing w:after="100"/>
              <w:rPr>
                <w:rFonts w:eastAsia="Times New Roman"/>
                <w:sz w:val="20"/>
                <w:szCs w:val="20"/>
              </w:rPr>
            </w:pPr>
          </w:p>
        </w:tc>
        <w:tc>
          <w:tcPr>
            <w:tcW w:w="0" w:type="auto"/>
            <w:gridSpan w:val="3"/>
            <w:vAlign w:val="center"/>
            <w:hideMark/>
          </w:tcPr>
          <w:p w14:paraId="4B56E2EA" w14:textId="77777777" w:rsidR="00000000" w:rsidRDefault="00C1661D">
            <w:pPr>
              <w:spacing w:after="100"/>
              <w:rPr>
                <w:rFonts w:eastAsia="Times New Roman"/>
                <w:sz w:val="20"/>
                <w:szCs w:val="20"/>
              </w:rPr>
            </w:pPr>
          </w:p>
        </w:tc>
        <w:tc>
          <w:tcPr>
            <w:tcW w:w="0" w:type="auto"/>
            <w:gridSpan w:val="3"/>
            <w:vAlign w:val="center"/>
            <w:hideMark/>
          </w:tcPr>
          <w:p w14:paraId="5F4BF9AE" w14:textId="77777777" w:rsidR="00000000" w:rsidRDefault="00C1661D">
            <w:pPr>
              <w:spacing w:after="100"/>
              <w:rPr>
                <w:rFonts w:eastAsia="Times New Roman"/>
                <w:sz w:val="20"/>
                <w:szCs w:val="20"/>
              </w:rPr>
            </w:pPr>
          </w:p>
        </w:tc>
        <w:tc>
          <w:tcPr>
            <w:tcW w:w="0" w:type="auto"/>
            <w:vAlign w:val="center"/>
            <w:hideMark/>
          </w:tcPr>
          <w:p w14:paraId="00B67DC7" w14:textId="77777777" w:rsidR="00000000" w:rsidRDefault="00C1661D">
            <w:pPr>
              <w:spacing w:after="100"/>
              <w:rPr>
                <w:rFonts w:eastAsia="Times New Roman"/>
                <w:sz w:val="20"/>
                <w:szCs w:val="20"/>
              </w:rPr>
            </w:pPr>
          </w:p>
        </w:tc>
      </w:tr>
      <w:tr w:rsidR="00000000" w14:paraId="63F03098"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55E32DA0" w14:textId="77777777" w:rsidR="00000000" w:rsidRDefault="00C1661D">
            <w:pPr>
              <w:spacing w:after="100"/>
              <w:rPr>
                <w:rFonts w:eastAsia="Times New Roman"/>
              </w:rPr>
            </w:pPr>
            <w:r>
              <w:rPr>
                <w:rFonts w:eastAsia="Times New Roman"/>
                <w:color w:val="000000"/>
                <w:sz w:val="20"/>
                <w:szCs w:val="20"/>
              </w:rPr>
              <w:t>Acquisition and integration expenses associated with the Mountaineer Acquisition</w:t>
            </w:r>
          </w:p>
        </w:tc>
        <w:tc>
          <w:tcPr>
            <w:tcW w:w="0" w:type="auto"/>
            <w:gridSpan w:val="3"/>
            <w:shd w:val="clear" w:color="auto" w:fill="CCEEFF"/>
            <w:tcMar>
              <w:top w:w="0" w:type="dxa"/>
              <w:left w:w="20" w:type="dxa"/>
              <w:bottom w:w="0" w:type="dxa"/>
              <w:right w:w="20" w:type="dxa"/>
            </w:tcMar>
            <w:vAlign w:val="center"/>
            <w:hideMark/>
          </w:tcPr>
          <w:p w14:paraId="075A447F"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0268C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7B177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40741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B28F37" w14:textId="77777777" w:rsidR="00000000" w:rsidRDefault="00C1661D">
            <w:pPr>
              <w:spacing w:after="100"/>
              <w:jc w:val="right"/>
              <w:rPr>
                <w:rFonts w:eastAsia="Times New Roman"/>
              </w:rPr>
            </w:pPr>
            <w:r>
              <w:rPr>
                <w:rFonts w:eastAsia="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14:paraId="792D0A4B" w14:textId="77777777" w:rsidR="00000000" w:rsidRDefault="00C1661D">
            <w:pPr>
              <w:spacing w:after="100"/>
              <w:jc w:val="right"/>
              <w:rPr>
                <w:rFonts w:eastAsia="Times New Roman"/>
              </w:rPr>
            </w:pPr>
          </w:p>
        </w:tc>
        <w:tc>
          <w:tcPr>
            <w:tcW w:w="0" w:type="auto"/>
            <w:vAlign w:val="center"/>
            <w:hideMark/>
          </w:tcPr>
          <w:p w14:paraId="4FF0CCDE" w14:textId="77777777" w:rsidR="00000000" w:rsidRDefault="00C1661D">
            <w:pPr>
              <w:spacing w:after="100"/>
              <w:jc w:val="right"/>
              <w:rPr>
                <w:rFonts w:eastAsia="Times New Roman"/>
                <w:sz w:val="20"/>
                <w:szCs w:val="20"/>
              </w:rPr>
            </w:pPr>
          </w:p>
        </w:tc>
      </w:tr>
      <w:tr w:rsidR="00000000" w14:paraId="443516D9" w14:textId="77777777">
        <w:trPr>
          <w:divId w:val="1023550578"/>
          <w:jc w:val="center"/>
        </w:trPr>
        <w:tc>
          <w:tcPr>
            <w:tcW w:w="0" w:type="auto"/>
            <w:gridSpan w:val="3"/>
            <w:shd w:val="clear" w:color="auto" w:fill="FFFFFF"/>
            <w:tcMar>
              <w:top w:w="30" w:type="dxa"/>
              <w:left w:w="20" w:type="dxa"/>
              <w:bottom w:w="30" w:type="dxa"/>
              <w:right w:w="20" w:type="dxa"/>
            </w:tcMar>
            <w:vAlign w:val="bottom"/>
            <w:hideMark/>
          </w:tcPr>
          <w:p w14:paraId="10853028" w14:textId="77777777" w:rsidR="00000000" w:rsidRDefault="00C1661D">
            <w:pPr>
              <w:spacing w:after="100"/>
              <w:rPr>
                <w:rFonts w:eastAsia="Times New Roman"/>
              </w:rPr>
            </w:pPr>
            <w:r>
              <w:rPr>
                <w:rFonts w:eastAsia="Times New Roman"/>
                <w:color w:val="000000"/>
                <w:sz w:val="20"/>
                <w:szCs w:val="20"/>
              </w:rPr>
              <w:t xml:space="preserve">Impairment of customer relationship intangible </w:t>
            </w:r>
          </w:p>
        </w:tc>
        <w:tc>
          <w:tcPr>
            <w:tcW w:w="0" w:type="auto"/>
            <w:gridSpan w:val="3"/>
            <w:shd w:val="clear" w:color="auto" w:fill="FFFFFF"/>
            <w:tcMar>
              <w:top w:w="0" w:type="dxa"/>
              <w:left w:w="20" w:type="dxa"/>
              <w:bottom w:w="0" w:type="dxa"/>
              <w:right w:w="20" w:type="dxa"/>
            </w:tcMar>
            <w:vAlign w:val="center"/>
            <w:hideMark/>
          </w:tcPr>
          <w:p w14:paraId="60952873"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3DAD47"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A2D4D0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F1671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0C3A11" w14:textId="77777777" w:rsidR="00000000" w:rsidRDefault="00C1661D">
            <w:pPr>
              <w:spacing w:after="100"/>
              <w:jc w:val="right"/>
              <w:rPr>
                <w:rFonts w:eastAsia="Times New Roman"/>
              </w:rPr>
            </w:pPr>
            <w:r>
              <w:rPr>
                <w:rFonts w:eastAsia="Times New Roman"/>
                <w:color w:val="000000"/>
                <w:sz w:val="20"/>
                <w:szCs w:val="20"/>
              </w:rPr>
              <w:t>0.07 </w:t>
            </w:r>
          </w:p>
        </w:tc>
        <w:tc>
          <w:tcPr>
            <w:tcW w:w="0" w:type="auto"/>
            <w:shd w:val="clear" w:color="auto" w:fill="FFFFFF"/>
            <w:tcMar>
              <w:top w:w="30" w:type="dxa"/>
              <w:left w:w="0" w:type="dxa"/>
              <w:bottom w:w="30" w:type="dxa"/>
              <w:right w:w="20" w:type="dxa"/>
            </w:tcMar>
            <w:vAlign w:val="bottom"/>
            <w:hideMark/>
          </w:tcPr>
          <w:p w14:paraId="3E1C62E3" w14:textId="77777777" w:rsidR="00000000" w:rsidRDefault="00C1661D">
            <w:pPr>
              <w:spacing w:after="100"/>
              <w:jc w:val="right"/>
              <w:rPr>
                <w:rFonts w:eastAsia="Times New Roman"/>
              </w:rPr>
            </w:pPr>
          </w:p>
        </w:tc>
        <w:tc>
          <w:tcPr>
            <w:tcW w:w="0" w:type="auto"/>
            <w:vAlign w:val="center"/>
            <w:hideMark/>
          </w:tcPr>
          <w:p w14:paraId="620A6798" w14:textId="77777777" w:rsidR="00000000" w:rsidRDefault="00C1661D">
            <w:pPr>
              <w:spacing w:after="100"/>
              <w:jc w:val="right"/>
              <w:rPr>
                <w:rFonts w:eastAsia="Times New Roman"/>
                <w:sz w:val="20"/>
                <w:szCs w:val="20"/>
              </w:rPr>
            </w:pPr>
          </w:p>
        </w:tc>
      </w:tr>
      <w:tr w:rsidR="00000000" w14:paraId="0DB6248A"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43BA5A80" w14:textId="77777777" w:rsidR="00000000" w:rsidRDefault="00C1661D">
            <w:pPr>
              <w:spacing w:after="100"/>
              <w:rPr>
                <w:rFonts w:eastAsia="Times New Roman"/>
              </w:rPr>
            </w:pPr>
            <w:r>
              <w:rPr>
                <w:rFonts w:eastAsia="Times New Roman"/>
                <w:color w:val="000000"/>
                <w:sz w:val="20"/>
                <w:szCs w:val="20"/>
              </w:rPr>
              <w:t>Impairments of certain equity method investments and assets</w:t>
            </w:r>
          </w:p>
        </w:tc>
        <w:tc>
          <w:tcPr>
            <w:tcW w:w="0" w:type="auto"/>
            <w:gridSpan w:val="3"/>
            <w:shd w:val="clear" w:color="auto" w:fill="CCEEFF"/>
            <w:tcMar>
              <w:top w:w="0" w:type="dxa"/>
              <w:left w:w="20" w:type="dxa"/>
              <w:bottom w:w="0" w:type="dxa"/>
              <w:right w:w="20" w:type="dxa"/>
            </w:tcMar>
            <w:vAlign w:val="center"/>
            <w:hideMark/>
          </w:tcPr>
          <w:p w14:paraId="5F2EA7E8"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EC4D18" w14:textId="77777777" w:rsidR="00000000" w:rsidRDefault="00C1661D">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14:paraId="5356551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0AC56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447BF3" w14:textId="77777777" w:rsidR="00000000" w:rsidRDefault="00C1661D">
            <w:pPr>
              <w:spacing w:after="100"/>
              <w:jc w:val="right"/>
              <w:rPr>
                <w:rFonts w:eastAsia="Times New Roman"/>
              </w:rPr>
            </w:pPr>
            <w:r>
              <w:rPr>
                <w:rFonts w:eastAsia="Times New Roman"/>
                <w:color w:val="000000"/>
                <w:sz w:val="20"/>
                <w:szCs w:val="20"/>
              </w:rPr>
              <w:t>0.44 </w:t>
            </w:r>
          </w:p>
        </w:tc>
        <w:tc>
          <w:tcPr>
            <w:tcW w:w="0" w:type="auto"/>
            <w:shd w:val="clear" w:color="auto" w:fill="CCEEFF"/>
            <w:tcMar>
              <w:top w:w="30" w:type="dxa"/>
              <w:left w:w="0" w:type="dxa"/>
              <w:bottom w:w="30" w:type="dxa"/>
              <w:right w:w="20" w:type="dxa"/>
            </w:tcMar>
            <w:vAlign w:val="bottom"/>
            <w:hideMark/>
          </w:tcPr>
          <w:p w14:paraId="7854108F" w14:textId="77777777" w:rsidR="00000000" w:rsidRDefault="00C1661D">
            <w:pPr>
              <w:spacing w:after="100"/>
              <w:jc w:val="right"/>
              <w:rPr>
                <w:rFonts w:eastAsia="Times New Roman"/>
              </w:rPr>
            </w:pPr>
          </w:p>
        </w:tc>
        <w:tc>
          <w:tcPr>
            <w:tcW w:w="0" w:type="auto"/>
            <w:vAlign w:val="center"/>
            <w:hideMark/>
          </w:tcPr>
          <w:p w14:paraId="4C0C44BF" w14:textId="77777777" w:rsidR="00000000" w:rsidRDefault="00C1661D">
            <w:pPr>
              <w:spacing w:after="100"/>
              <w:jc w:val="right"/>
              <w:rPr>
                <w:rFonts w:eastAsia="Times New Roman"/>
                <w:sz w:val="20"/>
                <w:szCs w:val="20"/>
              </w:rPr>
            </w:pPr>
          </w:p>
        </w:tc>
      </w:tr>
      <w:tr w:rsidR="00000000" w14:paraId="17722500" w14:textId="77777777">
        <w:trPr>
          <w:divId w:val="1023550578"/>
          <w:jc w:val="center"/>
        </w:trPr>
        <w:tc>
          <w:tcPr>
            <w:tcW w:w="0" w:type="auto"/>
            <w:gridSpan w:val="3"/>
            <w:shd w:val="clear" w:color="auto" w:fill="FFFFFF"/>
            <w:tcMar>
              <w:top w:w="30" w:type="dxa"/>
              <w:left w:w="20" w:type="dxa"/>
              <w:bottom w:w="30" w:type="dxa"/>
              <w:right w:w="20" w:type="dxa"/>
            </w:tcMar>
            <w:vAlign w:val="bottom"/>
            <w:hideMark/>
          </w:tcPr>
          <w:p w14:paraId="1FA46ABF" w14:textId="77777777" w:rsidR="00000000" w:rsidRDefault="00C1661D">
            <w:pPr>
              <w:spacing w:after="100"/>
              <w:rPr>
                <w:rFonts w:eastAsia="Times New Roman"/>
              </w:rPr>
            </w:pPr>
            <w:r>
              <w:rPr>
                <w:rFonts w:eastAsia="Times New Roman"/>
                <w:color w:val="000000"/>
                <w:sz w:val="20"/>
                <w:szCs w:val="20"/>
              </w:rPr>
              <w:t>Impact of change in tax law</w:t>
            </w:r>
          </w:p>
        </w:tc>
        <w:tc>
          <w:tcPr>
            <w:tcW w:w="0" w:type="auto"/>
            <w:gridSpan w:val="3"/>
            <w:shd w:val="clear" w:color="auto" w:fill="FFFFFF"/>
            <w:tcMar>
              <w:top w:w="0" w:type="dxa"/>
              <w:left w:w="20" w:type="dxa"/>
              <w:bottom w:w="0" w:type="dxa"/>
              <w:right w:w="20" w:type="dxa"/>
            </w:tcMar>
            <w:vAlign w:val="center"/>
            <w:hideMark/>
          </w:tcPr>
          <w:p w14:paraId="019FE61A"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4B1636" w14:textId="77777777" w:rsidR="00000000" w:rsidRDefault="00C1661D">
            <w:pPr>
              <w:spacing w:after="100"/>
              <w:jc w:val="right"/>
              <w:rPr>
                <w:rFonts w:eastAsia="Times New Roman"/>
              </w:rPr>
            </w:pPr>
            <w:r>
              <w:rPr>
                <w:rFonts w:eastAsia="Times New Roman"/>
                <w:color w:val="000000"/>
                <w:sz w:val="20"/>
                <w:szCs w:val="20"/>
              </w:rPr>
              <w:t>(0.09)</w:t>
            </w:r>
          </w:p>
        </w:tc>
        <w:tc>
          <w:tcPr>
            <w:tcW w:w="0" w:type="auto"/>
            <w:shd w:val="clear" w:color="auto" w:fill="FFFFFF"/>
            <w:tcMar>
              <w:top w:w="30" w:type="dxa"/>
              <w:left w:w="0" w:type="dxa"/>
              <w:bottom w:w="30" w:type="dxa"/>
              <w:right w:w="20" w:type="dxa"/>
            </w:tcMar>
            <w:vAlign w:val="bottom"/>
            <w:hideMark/>
          </w:tcPr>
          <w:p w14:paraId="519FFA3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50262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D50CF2" w14:textId="77777777" w:rsidR="00000000" w:rsidRDefault="00C1661D">
            <w:pPr>
              <w:spacing w:after="100"/>
              <w:jc w:val="right"/>
              <w:rPr>
                <w:rFonts w:eastAsia="Times New Roman"/>
              </w:rPr>
            </w:pPr>
            <w:r>
              <w:rPr>
                <w:rFonts w:eastAsia="Times New Roman"/>
                <w:color w:val="000000"/>
                <w:sz w:val="20"/>
                <w:szCs w:val="20"/>
              </w:rPr>
              <w:t>(0.11)</w:t>
            </w:r>
          </w:p>
        </w:tc>
        <w:tc>
          <w:tcPr>
            <w:tcW w:w="0" w:type="auto"/>
            <w:shd w:val="clear" w:color="auto" w:fill="FFFFFF"/>
            <w:tcMar>
              <w:top w:w="30" w:type="dxa"/>
              <w:left w:w="0" w:type="dxa"/>
              <w:bottom w:w="30" w:type="dxa"/>
              <w:right w:w="20" w:type="dxa"/>
            </w:tcMar>
            <w:vAlign w:val="bottom"/>
            <w:hideMark/>
          </w:tcPr>
          <w:p w14:paraId="5A5E8B23" w14:textId="77777777" w:rsidR="00000000" w:rsidRDefault="00C1661D">
            <w:pPr>
              <w:spacing w:after="100"/>
              <w:jc w:val="right"/>
              <w:rPr>
                <w:rFonts w:eastAsia="Times New Roman"/>
              </w:rPr>
            </w:pPr>
          </w:p>
        </w:tc>
        <w:tc>
          <w:tcPr>
            <w:tcW w:w="0" w:type="auto"/>
            <w:vAlign w:val="center"/>
            <w:hideMark/>
          </w:tcPr>
          <w:p w14:paraId="780CA064" w14:textId="77777777" w:rsidR="00000000" w:rsidRDefault="00C1661D">
            <w:pPr>
              <w:spacing w:after="100"/>
              <w:jc w:val="right"/>
              <w:rPr>
                <w:rFonts w:eastAsia="Times New Roman"/>
                <w:sz w:val="20"/>
                <w:szCs w:val="20"/>
              </w:rPr>
            </w:pPr>
          </w:p>
        </w:tc>
      </w:tr>
      <w:tr w:rsidR="00000000" w14:paraId="1DA444CE"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11023078" w14:textId="77777777" w:rsidR="00000000" w:rsidRDefault="00C1661D">
            <w:pPr>
              <w:spacing w:after="100"/>
              <w:rPr>
                <w:rFonts w:eastAsia="Times New Roman"/>
              </w:rPr>
            </w:pPr>
            <w:r>
              <w:rPr>
                <w:rFonts w:eastAsia="Times New Roman"/>
                <w:color w:val="000000"/>
                <w:sz w:val="20"/>
                <w:szCs w:val="20"/>
              </w:rPr>
              <w:t>Loss on extinguishment of debt</w:t>
            </w:r>
          </w:p>
        </w:tc>
        <w:tc>
          <w:tcPr>
            <w:tcW w:w="0" w:type="auto"/>
            <w:gridSpan w:val="3"/>
            <w:shd w:val="clear" w:color="auto" w:fill="CCEEFF"/>
            <w:tcMar>
              <w:top w:w="0" w:type="dxa"/>
              <w:left w:w="20" w:type="dxa"/>
              <w:bottom w:w="0" w:type="dxa"/>
              <w:right w:w="20" w:type="dxa"/>
            </w:tcMar>
            <w:vAlign w:val="center"/>
            <w:hideMark/>
          </w:tcPr>
          <w:p w14:paraId="1C0A194D"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79712B" w14:textId="77777777" w:rsidR="00000000" w:rsidRDefault="00C1661D">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14:paraId="2FF7626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7C75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F722FB"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05D0E0" w14:textId="77777777" w:rsidR="00000000" w:rsidRDefault="00C1661D">
            <w:pPr>
              <w:spacing w:after="100"/>
              <w:jc w:val="right"/>
              <w:rPr>
                <w:rFonts w:eastAsia="Times New Roman"/>
              </w:rPr>
            </w:pPr>
          </w:p>
        </w:tc>
        <w:tc>
          <w:tcPr>
            <w:tcW w:w="0" w:type="auto"/>
            <w:vAlign w:val="center"/>
            <w:hideMark/>
          </w:tcPr>
          <w:p w14:paraId="192AE51D" w14:textId="77777777" w:rsidR="00000000" w:rsidRDefault="00C1661D">
            <w:pPr>
              <w:spacing w:after="100"/>
              <w:jc w:val="right"/>
              <w:rPr>
                <w:rFonts w:eastAsia="Times New Roman"/>
                <w:sz w:val="20"/>
                <w:szCs w:val="20"/>
              </w:rPr>
            </w:pPr>
          </w:p>
        </w:tc>
      </w:tr>
      <w:tr w:rsidR="00000000" w14:paraId="0E47CC64" w14:textId="77777777">
        <w:trPr>
          <w:divId w:val="1023550578"/>
          <w:jc w:val="center"/>
        </w:trPr>
        <w:tc>
          <w:tcPr>
            <w:tcW w:w="0" w:type="auto"/>
            <w:gridSpan w:val="3"/>
            <w:shd w:val="clear" w:color="auto" w:fill="FFFFFF"/>
            <w:tcMar>
              <w:top w:w="30" w:type="dxa"/>
              <w:left w:w="20" w:type="dxa"/>
              <w:bottom w:w="30" w:type="dxa"/>
              <w:right w:w="20" w:type="dxa"/>
            </w:tcMar>
            <w:vAlign w:val="bottom"/>
            <w:hideMark/>
          </w:tcPr>
          <w:p w14:paraId="41F06050" w14:textId="77777777" w:rsidR="00000000" w:rsidRDefault="00C1661D">
            <w:pPr>
              <w:spacing w:after="100"/>
              <w:rPr>
                <w:rFonts w:eastAsia="Times New Roman"/>
              </w:rPr>
            </w:pPr>
            <w:r>
              <w:rPr>
                <w:rFonts w:eastAsia="Times New Roman"/>
                <w:color w:val="000000"/>
                <w:sz w:val="20"/>
                <w:szCs w:val="20"/>
              </w:rPr>
              <w:t>Restructuring costs</w:t>
            </w:r>
          </w:p>
        </w:tc>
        <w:tc>
          <w:tcPr>
            <w:tcW w:w="0" w:type="auto"/>
            <w:gridSpan w:val="3"/>
            <w:shd w:val="clear" w:color="auto" w:fill="FFFFFF"/>
            <w:tcMar>
              <w:top w:w="0" w:type="dxa"/>
              <w:left w:w="20" w:type="dxa"/>
              <w:bottom w:w="0" w:type="dxa"/>
              <w:right w:w="20" w:type="dxa"/>
            </w:tcMar>
            <w:vAlign w:val="center"/>
            <w:hideMark/>
          </w:tcPr>
          <w:p w14:paraId="3DABAFDC"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8659BE" w14:textId="77777777" w:rsidR="00000000" w:rsidRDefault="00C1661D">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14:paraId="032DD18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CBD32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6F5D7A"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061DC8C" w14:textId="77777777" w:rsidR="00000000" w:rsidRDefault="00C1661D">
            <w:pPr>
              <w:spacing w:after="100"/>
              <w:jc w:val="right"/>
              <w:rPr>
                <w:rFonts w:eastAsia="Times New Roman"/>
              </w:rPr>
            </w:pPr>
          </w:p>
        </w:tc>
        <w:tc>
          <w:tcPr>
            <w:tcW w:w="0" w:type="auto"/>
            <w:vAlign w:val="center"/>
            <w:hideMark/>
          </w:tcPr>
          <w:p w14:paraId="2556CEC9" w14:textId="77777777" w:rsidR="00000000" w:rsidRDefault="00C1661D">
            <w:pPr>
              <w:spacing w:after="100"/>
              <w:jc w:val="right"/>
              <w:rPr>
                <w:rFonts w:eastAsia="Times New Roman"/>
                <w:sz w:val="20"/>
                <w:szCs w:val="20"/>
              </w:rPr>
            </w:pPr>
          </w:p>
        </w:tc>
      </w:tr>
      <w:tr w:rsidR="00000000" w14:paraId="2EF10F45" w14:textId="77777777">
        <w:trPr>
          <w:divId w:val="1023550578"/>
          <w:jc w:val="center"/>
        </w:trPr>
        <w:tc>
          <w:tcPr>
            <w:tcW w:w="0" w:type="auto"/>
            <w:gridSpan w:val="3"/>
            <w:vAlign w:val="center"/>
            <w:hideMark/>
          </w:tcPr>
          <w:p w14:paraId="7378C3DC" w14:textId="77777777" w:rsidR="00000000" w:rsidRDefault="00C1661D">
            <w:pPr>
              <w:spacing w:after="100"/>
              <w:rPr>
                <w:rFonts w:eastAsia="Times New Roman"/>
                <w:sz w:val="20"/>
                <w:szCs w:val="20"/>
              </w:rPr>
            </w:pPr>
          </w:p>
        </w:tc>
        <w:tc>
          <w:tcPr>
            <w:tcW w:w="0" w:type="auto"/>
            <w:gridSpan w:val="3"/>
            <w:vAlign w:val="center"/>
            <w:hideMark/>
          </w:tcPr>
          <w:p w14:paraId="7AFEBD37" w14:textId="77777777" w:rsidR="00000000" w:rsidRDefault="00C1661D">
            <w:pPr>
              <w:spacing w:after="100"/>
              <w:rPr>
                <w:rFonts w:eastAsia="Times New Roman"/>
                <w:sz w:val="20"/>
                <w:szCs w:val="20"/>
              </w:rPr>
            </w:pPr>
          </w:p>
        </w:tc>
        <w:tc>
          <w:tcPr>
            <w:tcW w:w="0" w:type="auto"/>
            <w:gridSpan w:val="3"/>
            <w:vAlign w:val="center"/>
            <w:hideMark/>
          </w:tcPr>
          <w:p w14:paraId="19ADCF35" w14:textId="77777777" w:rsidR="00000000" w:rsidRDefault="00C1661D">
            <w:pPr>
              <w:spacing w:after="100"/>
              <w:rPr>
                <w:rFonts w:eastAsia="Times New Roman"/>
                <w:sz w:val="20"/>
                <w:szCs w:val="20"/>
              </w:rPr>
            </w:pPr>
          </w:p>
        </w:tc>
        <w:tc>
          <w:tcPr>
            <w:tcW w:w="0" w:type="auto"/>
            <w:gridSpan w:val="3"/>
            <w:vAlign w:val="center"/>
            <w:hideMark/>
          </w:tcPr>
          <w:p w14:paraId="3BF2F135" w14:textId="77777777" w:rsidR="00000000" w:rsidRDefault="00C1661D">
            <w:pPr>
              <w:spacing w:after="100"/>
              <w:rPr>
                <w:rFonts w:eastAsia="Times New Roman"/>
                <w:sz w:val="20"/>
                <w:szCs w:val="20"/>
              </w:rPr>
            </w:pPr>
          </w:p>
        </w:tc>
        <w:tc>
          <w:tcPr>
            <w:tcW w:w="0" w:type="auto"/>
            <w:gridSpan w:val="3"/>
            <w:vAlign w:val="center"/>
            <w:hideMark/>
          </w:tcPr>
          <w:p w14:paraId="721C46A2" w14:textId="77777777" w:rsidR="00000000" w:rsidRDefault="00C1661D">
            <w:pPr>
              <w:spacing w:after="100"/>
              <w:rPr>
                <w:rFonts w:eastAsia="Times New Roman"/>
                <w:sz w:val="20"/>
                <w:szCs w:val="20"/>
              </w:rPr>
            </w:pPr>
          </w:p>
        </w:tc>
        <w:tc>
          <w:tcPr>
            <w:tcW w:w="0" w:type="auto"/>
            <w:vAlign w:val="center"/>
            <w:hideMark/>
          </w:tcPr>
          <w:p w14:paraId="41CEA086" w14:textId="77777777" w:rsidR="00000000" w:rsidRDefault="00C1661D">
            <w:pPr>
              <w:spacing w:after="100"/>
              <w:rPr>
                <w:rFonts w:eastAsia="Times New Roman"/>
                <w:sz w:val="20"/>
                <w:szCs w:val="20"/>
              </w:rPr>
            </w:pPr>
          </w:p>
        </w:tc>
      </w:tr>
      <w:tr w:rsidR="00000000" w14:paraId="1BEF01EB" w14:textId="77777777">
        <w:trPr>
          <w:divId w:val="1023550578"/>
          <w:jc w:val="center"/>
        </w:trPr>
        <w:tc>
          <w:tcPr>
            <w:tcW w:w="0" w:type="auto"/>
            <w:gridSpan w:val="3"/>
            <w:vAlign w:val="center"/>
            <w:hideMark/>
          </w:tcPr>
          <w:p w14:paraId="70E394B1" w14:textId="77777777" w:rsidR="00000000" w:rsidRDefault="00C1661D">
            <w:pPr>
              <w:spacing w:after="100"/>
              <w:rPr>
                <w:rFonts w:eastAsia="Times New Roman"/>
                <w:sz w:val="20"/>
                <w:szCs w:val="20"/>
              </w:rPr>
            </w:pPr>
          </w:p>
        </w:tc>
        <w:tc>
          <w:tcPr>
            <w:tcW w:w="0" w:type="auto"/>
            <w:gridSpan w:val="3"/>
            <w:vAlign w:val="center"/>
            <w:hideMark/>
          </w:tcPr>
          <w:p w14:paraId="65CC4734" w14:textId="77777777" w:rsidR="00000000" w:rsidRDefault="00C1661D">
            <w:pPr>
              <w:spacing w:after="100"/>
              <w:rPr>
                <w:rFonts w:eastAsia="Times New Roman"/>
                <w:sz w:val="20"/>
                <w:szCs w:val="20"/>
              </w:rPr>
            </w:pPr>
          </w:p>
        </w:tc>
        <w:tc>
          <w:tcPr>
            <w:tcW w:w="0" w:type="auto"/>
            <w:gridSpan w:val="3"/>
            <w:vAlign w:val="center"/>
            <w:hideMark/>
          </w:tcPr>
          <w:p w14:paraId="68D48E4C" w14:textId="77777777" w:rsidR="00000000" w:rsidRDefault="00C1661D">
            <w:pPr>
              <w:spacing w:after="100"/>
              <w:rPr>
                <w:rFonts w:eastAsia="Times New Roman"/>
                <w:sz w:val="20"/>
                <w:szCs w:val="20"/>
              </w:rPr>
            </w:pPr>
          </w:p>
        </w:tc>
        <w:tc>
          <w:tcPr>
            <w:tcW w:w="0" w:type="auto"/>
            <w:gridSpan w:val="3"/>
            <w:vAlign w:val="center"/>
            <w:hideMark/>
          </w:tcPr>
          <w:p w14:paraId="3D63F5D7" w14:textId="77777777" w:rsidR="00000000" w:rsidRDefault="00C1661D">
            <w:pPr>
              <w:spacing w:after="100"/>
              <w:rPr>
                <w:rFonts w:eastAsia="Times New Roman"/>
                <w:sz w:val="20"/>
                <w:szCs w:val="20"/>
              </w:rPr>
            </w:pPr>
          </w:p>
        </w:tc>
        <w:tc>
          <w:tcPr>
            <w:tcW w:w="0" w:type="auto"/>
            <w:gridSpan w:val="3"/>
            <w:vAlign w:val="center"/>
            <w:hideMark/>
          </w:tcPr>
          <w:p w14:paraId="3EDB1917" w14:textId="77777777" w:rsidR="00000000" w:rsidRDefault="00C1661D">
            <w:pPr>
              <w:spacing w:after="100"/>
              <w:rPr>
                <w:rFonts w:eastAsia="Times New Roman"/>
                <w:sz w:val="20"/>
                <w:szCs w:val="20"/>
              </w:rPr>
            </w:pPr>
          </w:p>
        </w:tc>
        <w:tc>
          <w:tcPr>
            <w:tcW w:w="0" w:type="auto"/>
            <w:vAlign w:val="center"/>
            <w:hideMark/>
          </w:tcPr>
          <w:p w14:paraId="765E54FA" w14:textId="77777777" w:rsidR="00000000" w:rsidRDefault="00C1661D">
            <w:pPr>
              <w:spacing w:after="100"/>
              <w:rPr>
                <w:rFonts w:eastAsia="Times New Roman"/>
                <w:sz w:val="20"/>
                <w:szCs w:val="20"/>
              </w:rPr>
            </w:pPr>
          </w:p>
        </w:tc>
      </w:tr>
      <w:tr w:rsidR="00000000" w14:paraId="19432859" w14:textId="77777777">
        <w:trPr>
          <w:divId w:val="1023550578"/>
          <w:jc w:val="center"/>
        </w:trPr>
        <w:tc>
          <w:tcPr>
            <w:tcW w:w="0" w:type="auto"/>
            <w:gridSpan w:val="3"/>
            <w:shd w:val="clear" w:color="auto" w:fill="CCEEFF"/>
            <w:tcMar>
              <w:top w:w="30" w:type="dxa"/>
              <w:left w:w="20" w:type="dxa"/>
              <w:bottom w:w="30" w:type="dxa"/>
              <w:right w:w="20" w:type="dxa"/>
            </w:tcMar>
            <w:vAlign w:val="bottom"/>
            <w:hideMark/>
          </w:tcPr>
          <w:p w14:paraId="3B295B07" w14:textId="77777777" w:rsidR="00000000" w:rsidRDefault="00C1661D">
            <w:pPr>
              <w:spacing w:after="100"/>
              <w:rPr>
                <w:rFonts w:eastAsia="Times New Roman"/>
              </w:rPr>
            </w:pPr>
            <w:r>
              <w:rPr>
                <w:rFonts w:eastAsia="Times New Roman"/>
                <w:color w:val="000000"/>
                <w:sz w:val="20"/>
                <w:szCs w:val="20"/>
              </w:rPr>
              <w:t>Total adjustments (a)</w:t>
            </w:r>
          </w:p>
        </w:tc>
        <w:tc>
          <w:tcPr>
            <w:tcW w:w="0" w:type="auto"/>
            <w:gridSpan w:val="3"/>
            <w:shd w:val="clear" w:color="auto" w:fill="CCEEFF"/>
            <w:tcMar>
              <w:top w:w="0" w:type="dxa"/>
              <w:left w:w="20" w:type="dxa"/>
              <w:bottom w:w="0" w:type="dxa"/>
              <w:right w:w="20" w:type="dxa"/>
            </w:tcMar>
            <w:vAlign w:val="center"/>
            <w:hideMark/>
          </w:tcPr>
          <w:p w14:paraId="3C960066" w14:textId="77777777" w:rsidR="00000000" w:rsidRDefault="00C166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9A0F43" w14:textId="77777777" w:rsidR="00000000" w:rsidRDefault="00C1661D">
            <w:pPr>
              <w:spacing w:after="100"/>
              <w:jc w:val="right"/>
              <w:rPr>
                <w:rFonts w:eastAsia="Times New Roman"/>
              </w:rPr>
            </w:pPr>
            <w:r>
              <w:rPr>
                <w:rFonts w:eastAsia="Times New Roman"/>
                <w:color w:val="000000"/>
                <w:sz w:val="20"/>
                <w:szCs w:val="20"/>
              </w:rPr>
              <w:t>(2.07)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485EB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67A452"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17BD06" w14:textId="77777777" w:rsidR="00000000" w:rsidRDefault="00C1661D">
            <w:pPr>
              <w:spacing w:after="100"/>
              <w:jc w:val="right"/>
              <w:rPr>
                <w:rFonts w:eastAsia="Times New Roman"/>
              </w:rPr>
            </w:pPr>
            <w:r>
              <w:rPr>
                <w:rFonts w:eastAsia="Times New Roman"/>
                <w:color w:val="000000"/>
                <w:sz w:val="20"/>
                <w:szCs w:val="20"/>
              </w:rPr>
              <w:t>(3.96)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BB63D9" w14:textId="77777777" w:rsidR="00000000" w:rsidRDefault="00C1661D">
            <w:pPr>
              <w:spacing w:after="100"/>
              <w:jc w:val="right"/>
              <w:rPr>
                <w:rFonts w:eastAsia="Times New Roman"/>
              </w:rPr>
            </w:pPr>
          </w:p>
        </w:tc>
        <w:tc>
          <w:tcPr>
            <w:tcW w:w="0" w:type="auto"/>
            <w:vAlign w:val="center"/>
            <w:hideMark/>
          </w:tcPr>
          <w:p w14:paraId="1CF25F6A" w14:textId="77777777" w:rsidR="00000000" w:rsidRDefault="00C1661D">
            <w:pPr>
              <w:spacing w:after="100"/>
              <w:jc w:val="right"/>
              <w:rPr>
                <w:rFonts w:eastAsia="Times New Roman"/>
                <w:sz w:val="20"/>
                <w:szCs w:val="20"/>
              </w:rPr>
            </w:pPr>
          </w:p>
        </w:tc>
      </w:tr>
      <w:tr w:rsidR="00000000" w14:paraId="5FD06CFC" w14:textId="77777777">
        <w:trPr>
          <w:divId w:val="1023550578"/>
          <w:jc w:val="center"/>
        </w:trPr>
        <w:tc>
          <w:tcPr>
            <w:tcW w:w="0" w:type="auto"/>
            <w:gridSpan w:val="3"/>
            <w:shd w:val="clear" w:color="auto" w:fill="FFFFFF"/>
            <w:tcMar>
              <w:top w:w="30" w:type="dxa"/>
              <w:left w:w="20" w:type="dxa"/>
              <w:bottom w:w="30" w:type="dxa"/>
              <w:right w:w="20" w:type="dxa"/>
            </w:tcMar>
            <w:vAlign w:val="bottom"/>
            <w:hideMark/>
          </w:tcPr>
          <w:p w14:paraId="406F92B5" w14:textId="77777777" w:rsidR="00000000" w:rsidRDefault="00C1661D">
            <w:pPr>
              <w:spacing w:after="100"/>
              <w:rPr>
                <w:rFonts w:eastAsia="Times New Roman"/>
              </w:rPr>
            </w:pPr>
            <w:r>
              <w:rPr>
                <w:rFonts w:eastAsia="Times New Roman"/>
                <w:b/>
                <w:bCs/>
                <w:color w:val="000000"/>
                <w:sz w:val="20"/>
                <w:szCs w:val="20"/>
              </w:rPr>
              <w:t>Adjusted diluted earnings per share</w:t>
            </w:r>
          </w:p>
        </w:tc>
        <w:tc>
          <w:tcPr>
            <w:tcW w:w="0" w:type="auto"/>
            <w:gridSpan w:val="3"/>
            <w:shd w:val="clear" w:color="auto" w:fill="FFFFFF"/>
            <w:tcMar>
              <w:top w:w="0" w:type="dxa"/>
              <w:left w:w="20" w:type="dxa"/>
              <w:bottom w:w="0" w:type="dxa"/>
              <w:right w:w="20" w:type="dxa"/>
            </w:tcMar>
            <w:vAlign w:val="center"/>
            <w:hideMark/>
          </w:tcPr>
          <w:p w14:paraId="135C0252" w14:textId="77777777" w:rsidR="00000000" w:rsidRDefault="00C1661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D1D21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758F13" w14:textId="77777777" w:rsidR="00000000" w:rsidRDefault="00C1661D">
            <w:pPr>
              <w:spacing w:after="100"/>
              <w:jc w:val="right"/>
              <w:rPr>
                <w:rFonts w:eastAsia="Times New Roman"/>
              </w:rPr>
            </w:pPr>
            <w:r>
              <w:rPr>
                <w:rFonts w:eastAsia="Times New Roman"/>
                <w:color w:val="000000"/>
                <w:sz w:val="20"/>
                <w:szCs w:val="20"/>
              </w:rPr>
              <w:t>2.90 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FEBA1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371886"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B4777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457DF36" w14:textId="77777777" w:rsidR="00000000" w:rsidRDefault="00C1661D">
            <w:pPr>
              <w:spacing w:after="100"/>
              <w:jc w:val="right"/>
              <w:rPr>
                <w:rFonts w:eastAsia="Times New Roman"/>
              </w:rPr>
            </w:pPr>
            <w:r>
              <w:rPr>
                <w:rFonts w:eastAsia="Times New Roman"/>
                <w:color w:val="000000"/>
                <w:sz w:val="20"/>
                <w:szCs w:val="20"/>
              </w:rPr>
              <w:t>2.96 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1ACFF7" w14:textId="77777777" w:rsidR="00000000" w:rsidRDefault="00C1661D">
            <w:pPr>
              <w:spacing w:after="100"/>
              <w:jc w:val="right"/>
              <w:rPr>
                <w:rFonts w:eastAsia="Times New Roman"/>
              </w:rPr>
            </w:pPr>
          </w:p>
        </w:tc>
        <w:tc>
          <w:tcPr>
            <w:tcW w:w="0" w:type="auto"/>
            <w:vAlign w:val="center"/>
            <w:hideMark/>
          </w:tcPr>
          <w:p w14:paraId="51A91D28" w14:textId="77777777" w:rsidR="00000000" w:rsidRDefault="00C1661D">
            <w:pPr>
              <w:spacing w:after="100"/>
              <w:jc w:val="right"/>
              <w:rPr>
                <w:rFonts w:eastAsia="Times New Roman"/>
                <w:sz w:val="20"/>
                <w:szCs w:val="20"/>
              </w:rPr>
            </w:pPr>
          </w:p>
        </w:tc>
      </w:tr>
    </w:tbl>
    <w:p w14:paraId="59F1D723" w14:textId="77777777" w:rsidR="00000000" w:rsidRDefault="00C1661D">
      <w:pPr>
        <w:jc w:val="both"/>
        <w:rPr>
          <w:rFonts w:eastAsia="Times New Roman"/>
        </w:rPr>
      </w:pPr>
    </w:p>
    <w:p w14:paraId="2DD74085" w14:textId="77777777" w:rsidR="00000000" w:rsidRDefault="00C1661D">
      <w:pPr>
        <w:ind w:hanging="360"/>
        <w:jc w:val="both"/>
        <w:rPr>
          <w:rFonts w:eastAsia="Times New Roman"/>
        </w:rPr>
      </w:pPr>
      <w:r>
        <w:rPr>
          <w:rFonts w:eastAsia="Times New Roman"/>
          <w:color w:val="000000"/>
          <w:sz w:val="20"/>
          <w:szCs w:val="20"/>
        </w:rPr>
        <w:t>(a)Corporate &amp; Other includes certain adjustments made to our reporting segments in arriving at net income attributable to UGI Corporation. These adjustments have been excluded from the segment results to align with the measure used by our CODM in a</w:t>
      </w:r>
      <w:r>
        <w:rPr>
          <w:rFonts w:eastAsia="Times New Roman"/>
          <w:color w:val="000000"/>
          <w:sz w:val="20"/>
          <w:szCs w:val="20"/>
        </w:rPr>
        <w:t>ssessing segment performance and allocating resources. See Note 23 to Consolidated Financial Statements for additional information related to these adjustments, as well as other items included within Corporate &amp; Other.</w:t>
      </w:r>
    </w:p>
    <w:p w14:paraId="35D2E9E3" w14:textId="77777777" w:rsidR="00000000" w:rsidRDefault="00C1661D">
      <w:pPr>
        <w:ind w:hanging="360"/>
        <w:jc w:val="both"/>
        <w:rPr>
          <w:rFonts w:eastAsia="Times New Roman"/>
        </w:rPr>
      </w:pPr>
      <w:r>
        <w:rPr>
          <w:rFonts w:eastAsia="Times New Roman"/>
          <w:color w:val="000000"/>
          <w:sz w:val="20"/>
          <w:szCs w:val="20"/>
        </w:rPr>
        <w:t>(b)</w:t>
      </w:r>
      <w:r>
        <w:rPr>
          <w:rFonts w:eastAsia="Times New Roman"/>
          <w:color w:val="000000"/>
          <w:sz w:val="20"/>
          <w:szCs w:val="20"/>
        </w:rPr>
        <w:t>Income taxes associated with pre-tax adjustments determined using statutory business unit tax rates.</w:t>
      </w:r>
    </w:p>
    <w:p w14:paraId="77636C73" w14:textId="77777777" w:rsidR="00000000" w:rsidRDefault="00C1661D">
      <w:pPr>
        <w:jc w:val="both"/>
        <w:rPr>
          <w:rFonts w:eastAsia="Times New Roman"/>
        </w:rPr>
      </w:pPr>
    </w:p>
    <w:p w14:paraId="3C446074" w14:textId="77777777" w:rsidR="00000000" w:rsidRDefault="00C1661D">
      <w:pPr>
        <w:jc w:val="center"/>
        <w:divId w:val="1267301138"/>
        <w:rPr>
          <w:rFonts w:eastAsia="Times New Roman"/>
        </w:rPr>
      </w:pPr>
      <w:r>
        <w:rPr>
          <w:rFonts w:eastAsia="Times New Roman"/>
          <w:color w:val="000000"/>
          <w:sz w:val="20"/>
          <w:szCs w:val="20"/>
        </w:rPr>
        <w:t>51</w:t>
      </w:r>
    </w:p>
    <w:p w14:paraId="2635128A" w14:textId="77777777" w:rsidR="00000000" w:rsidRDefault="00C1661D">
      <w:pPr>
        <w:rPr>
          <w:rFonts w:eastAsia="Times New Roman"/>
        </w:rPr>
      </w:pPr>
      <w:r>
        <w:rPr>
          <w:rFonts w:eastAsia="Times New Roman"/>
        </w:rPr>
        <w:pict w14:anchorId="723AA975">
          <v:rect id="_x0000_i1078" style="width:0;height:1.5pt" o:hralign="center" o:hrstd="t" o:hr="t" fillcolor="#a0a0a0" stroked="f"/>
        </w:pict>
      </w:r>
    </w:p>
    <w:p w14:paraId="5D150E26" w14:textId="77777777" w:rsidR="00000000" w:rsidRDefault="00C1661D">
      <w:pPr>
        <w:divId w:val="1342783064"/>
        <w:rPr>
          <w:rFonts w:eastAsia="Times New Roman"/>
        </w:rPr>
      </w:pPr>
      <w:hyperlink w:anchor="i3850c3c6c0104e42b9951aac2f16098a_7" w:history="1">
        <w:r>
          <w:rPr>
            <w:rStyle w:val="a3"/>
            <w:rFonts w:eastAsia="Times New Roman"/>
            <w:b/>
            <w:bCs/>
            <w:sz w:val="20"/>
            <w:szCs w:val="20"/>
          </w:rPr>
          <w:t>Table of Contents</w:t>
        </w:r>
      </w:hyperlink>
    </w:p>
    <w:p w14:paraId="0BCCB5BA" w14:textId="77777777" w:rsidR="00000000" w:rsidRDefault="00C1661D">
      <w:pPr>
        <w:divId w:val="1835679197"/>
        <w:rPr>
          <w:rFonts w:eastAsia="Times New Roman"/>
        </w:rPr>
      </w:pPr>
    </w:p>
    <w:p w14:paraId="476465F4" w14:textId="77777777" w:rsidR="00000000" w:rsidRDefault="00C1661D">
      <w:pPr>
        <w:jc w:val="both"/>
        <w:divId w:val="1723944131"/>
        <w:rPr>
          <w:rFonts w:eastAsia="Times New Roman"/>
        </w:rPr>
      </w:pPr>
      <w:r>
        <w:rPr>
          <w:rFonts w:eastAsia="Times New Roman"/>
          <w:b/>
          <w:bCs/>
          <w:color w:val="000000"/>
          <w:sz w:val="20"/>
          <w:szCs w:val="20"/>
        </w:rPr>
        <w:t>Fiscal 2022 Compared with Fiscal 2021</w:t>
      </w:r>
    </w:p>
    <w:p w14:paraId="71A8231F" w14:textId="77777777" w:rsidR="00000000" w:rsidRDefault="00C1661D">
      <w:pPr>
        <w:jc w:val="both"/>
        <w:rPr>
          <w:rFonts w:eastAsia="Times New Roman"/>
        </w:rPr>
      </w:pPr>
    </w:p>
    <w:p w14:paraId="5A58422A" w14:textId="77777777" w:rsidR="00000000" w:rsidRDefault="00C1661D">
      <w:pPr>
        <w:jc w:val="both"/>
        <w:rPr>
          <w:rFonts w:eastAsia="Times New Roman"/>
        </w:rPr>
      </w:pPr>
      <w:r>
        <w:rPr>
          <w:rFonts w:eastAsia="Times New Roman"/>
          <w:b/>
          <w:bCs/>
          <w:color w:val="000000"/>
          <w:sz w:val="20"/>
          <w:szCs w:val="20"/>
          <w:shd w:val="clear" w:color="auto" w:fill="FFFFFF"/>
        </w:rPr>
        <w:t>Discussion.</w:t>
      </w:r>
      <w:r>
        <w:rPr>
          <w:rFonts w:eastAsia="Times New Roman"/>
          <w:color w:val="000000"/>
          <w:sz w:val="20"/>
          <w:szCs w:val="20"/>
          <w:shd w:val="clear" w:color="auto" w:fill="FFFFFF"/>
        </w:rPr>
        <w:t xml:space="preserve"> Net income attributable to UGI Corporation was $1,073 million for Fiscal </w:t>
      </w:r>
      <w:r>
        <w:rPr>
          <w:rFonts w:eastAsia="Times New Roman"/>
          <w:color w:val="000000"/>
          <w:sz w:val="20"/>
          <w:szCs w:val="20"/>
        </w:rPr>
        <w:t>2022</w:t>
      </w:r>
      <w:r>
        <w:rPr>
          <w:rFonts w:eastAsia="Times New Roman"/>
          <w:color w:val="000000"/>
          <w:sz w:val="20"/>
          <w:szCs w:val="20"/>
          <w:shd w:val="clear" w:color="auto" w:fill="FFFFFF"/>
        </w:rPr>
        <w:t xml:space="preserve"> (equal to $4.97 per diluted share) compared to $1,467 million for Fiscal </w:t>
      </w:r>
      <w:r>
        <w:rPr>
          <w:rFonts w:eastAsia="Times New Roman"/>
          <w:color w:val="000000"/>
          <w:sz w:val="20"/>
          <w:szCs w:val="20"/>
        </w:rPr>
        <w:t>2021 (equal to $6.92 per diluted share). Net income a</w:t>
      </w:r>
      <w:r>
        <w:rPr>
          <w:rFonts w:eastAsia="Times New Roman"/>
          <w:color w:val="000000"/>
          <w:sz w:val="20"/>
          <w:szCs w:val="20"/>
        </w:rPr>
        <w:t xml:space="preserve">ttributable to UGI Corporation in Fiscal 2022 reflects a </w:t>
      </w:r>
      <w:r>
        <w:rPr>
          <w:rFonts w:eastAsia="Times New Roman"/>
          <w:color w:val="000000"/>
          <w:sz w:val="20"/>
          <w:szCs w:val="20"/>
          <w:shd w:val="clear" w:color="auto" w:fill="FFFFFF"/>
        </w:rPr>
        <w:t>$513 million</w:t>
      </w:r>
      <w:r>
        <w:rPr>
          <w:rFonts w:eastAsia="Times New Roman"/>
          <w:color w:val="000000"/>
          <w:sz w:val="20"/>
          <w:szCs w:val="20"/>
        </w:rPr>
        <w:t xml:space="preserve"> year-over-year decrease in net unrealized gains on commodity derivative instruments and certain foreign currency derivative instruments. This decrease reflects the significant volatility</w:t>
      </w:r>
      <w:r>
        <w:rPr>
          <w:rFonts w:eastAsia="Times New Roman"/>
          <w:color w:val="000000"/>
          <w:sz w:val="20"/>
          <w:szCs w:val="20"/>
        </w:rPr>
        <w:t xml:space="preserve"> related to commodity prices during Fiscal 2022 and Fiscal 2021, as well as the stronger U.S dollar versus the euro, and has contributed to the accumulation of substantial derivative assets related to the Company’s commodity derivative instruments at both </w:t>
      </w:r>
      <w:r>
        <w:rPr>
          <w:rFonts w:eastAsia="Times New Roman"/>
          <w:color w:val="000000"/>
          <w:sz w:val="20"/>
          <w:szCs w:val="20"/>
        </w:rPr>
        <w:t xml:space="preserve">September 30, 2022 and 2021. Net income attributable to UGI Corporation for Fiscal 2022 and Fiscal 2021 also includes (1) impairments of certain equity method investments and other assets of $26 million and $108 million, respectively; (2) benefits related </w:t>
      </w:r>
      <w:r>
        <w:rPr>
          <w:rFonts w:eastAsia="Times New Roman"/>
          <w:color w:val="000000"/>
          <w:sz w:val="20"/>
          <w:szCs w:val="20"/>
        </w:rPr>
        <w:t>to tax law changes of $19 million and $23 million, respectively; (3) business transformation expenses of $7 million and $74 million, respectively; and (4) acquisition and integration expenses of $1 million and $10 million, respectively. Net income attribut</w:t>
      </w:r>
      <w:r>
        <w:rPr>
          <w:rFonts w:eastAsia="Times New Roman"/>
          <w:color w:val="000000"/>
          <w:sz w:val="20"/>
          <w:szCs w:val="20"/>
        </w:rPr>
        <w:t>able to UGI Corporation for Fiscal 2022 also includes restructuring costs of $21 million largely attributable to a reduction in workforce and related costs, and a loss on extinguishment of debt of $8 million associated with financing activities at UGI Inte</w:t>
      </w:r>
      <w:r>
        <w:rPr>
          <w:rFonts w:eastAsia="Times New Roman"/>
          <w:color w:val="000000"/>
          <w:sz w:val="20"/>
          <w:szCs w:val="20"/>
        </w:rPr>
        <w:t xml:space="preserve">rnational. </w:t>
      </w:r>
    </w:p>
    <w:p w14:paraId="06EF204D" w14:textId="77777777" w:rsidR="00000000" w:rsidRDefault="00C1661D">
      <w:pPr>
        <w:divId w:val="58408470"/>
        <w:rPr>
          <w:rFonts w:eastAsia="Times New Roman"/>
        </w:rPr>
      </w:pPr>
    </w:p>
    <w:p w14:paraId="1EB6D1B0" w14:textId="77777777" w:rsidR="00000000" w:rsidRDefault="00C1661D">
      <w:pPr>
        <w:jc w:val="both"/>
        <w:divId w:val="1620793496"/>
        <w:rPr>
          <w:rFonts w:eastAsia="Times New Roman"/>
        </w:rPr>
      </w:pPr>
      <w:r>
        <w:rPr>
          <w:rFonts w:eastAsia="Times New Roman"/>
          <w:color w:val="000000"/>
          <w:sz w:val="20"/>
          <w:szCs w:val="20"/>
        </w:rPr>
        <w:t>Adjusted net income attributable to UGI Corporation for Fiscal 2022 was $626 million (equal to $2.90 per diluted share) compared to adjusted net income attributable to UGI Corporation for Fiscal 2021 of $629 million (equal to $2.96 per dilute</w:t>
      </w:r>
      <w:r>
        <w:rPr>
          <w:rFonts w:eastAsia="Times New Roman"/>
          <w:color w:val="000000"/>
          <w:sz w:val="20"/>
          <w:szCs w:val="20"/>
        </w:rPr>
        <w:t>d share). The slight decrease in adjusted net income attributable to UGI Corporation during Fiscal 2022 reflects lower earnings contributions from our LPG businesses which were significantly impacted by the effects of commodity price volatility on current-</w:t>
      </w:r>
      <w:r>
        <w:rPr>
          <w:rFonts w:eastAsia="Times New Roman"/>
          <w:color w:val="000000"/>
          <w:sz w:val="20"/>
          <w:szCs w:val="20"/>
        </w:rPr>
        <w:t>period margins and related volumes and the absence of a Fiscal 2021 tax benefit under the CARES Act. These factors were largely offset by higher earnings from our Utilities and Midstream &amp; Marketing segments, which include contributions attributable to rec</w:t>
      </w:r>
      <w:r>
        <w:rPr>
          <w:rFonts w:eastAsia="Times New Roman"/>
          <w:color w:val="000000"/>
          <w:sz w:val="20"/>
          <w:szCs w:val="20"/>
        </w:rPr>
        <w:t>ent acquisitions.</w:t>
      </w:r>
    </w:p>
    <w:p w14:paraId="66970AC0" w14:textId="77777777" w:rsidR="00000000" w:rsidRDefault="00C1661D">
      <w:pPr>
        <w:jc w:val="both"/>
        <w:divId w:val="1898398361"/>
        <w:rPr>
          <w:rFonts w:eastAsia="Times New Roman"/>
        </w:rPr>
      </w:pPr>
      <w:r>
        <w:rPr>
          <w:rFonts w:eastAsia="Times New Roman"/>
          <w:color w:val="000000"/>
          <w:sz w:val="20"/>
          <w:szCs w:val="20"/>
        </w:rPr>
        <w:t>AmeriGas Propane’s adjusted net income attributable to UGI Corporation decreased $56 million during Fiscal 2022. This decrease largely reflects lower retail propane margin primarily attributable to lower retail volumes sold and higher ope</w:t>
      </w:r>
      <w:r>
        <w:rPr>
          <w:rFonts w:eastAsia="Times New Roman"/>
          <w:color w:val="000000"/>
          <w:sz w:val="20"/>
          <w:szCs w:val="20"/>
        </w:rPr>
        <w:t xml:space="preserve">rating and administrative expenses largely attributable to inflationary pressures. These factors were partially offset by higher non-propane margin and gains on asset sales. </w:t>
      </w:r>
    </w:p>
    <w:p w14:paraId="4B846255" w14:textId="77777777" w:rsidR="00000000" w:rsidRDefault="00C1661D">
      <w:pPr>
        <w:jc w:val="both"/>
        <w:divId w:val="363286013"/>
        <w:rPr>
          <w:rFonts w:eastAsia="Times New Roman"/>
        </w:rPr>
      </w:pPr>
      <w:r>
        <w:rPr>
          <w:rFonts w:eastAsia="Times New Roman"/>
          <w:color w:val="000000"/>
          <w:sz w:val="20"/>
          <w:szCs w:val="20"/>
        </w:rPr>
        <w:t>UGI International’s adjusted net income attributable to UGI Corporation decreased</w:t>
      </w:r>
      <w:r>
        <w:rPr>
          <w:rFonts w:eastAsia="Times New Roman"/>
          <w:color w:val="000000"/>
          <w:sz w:val="20"/>
          <w:szCs w:val="20"/>
        </w:rPr>
        <w:t xml:space="preserve"> $46 million during Fiscal 2022 principally reflecting lower total margin largely attributable to the effects of commodity price volatility on our energy marketing business and the net effect of weaker foreign currencies compared to the prior year. These f</w:t>
      </w:r>
      <w:r>
        <w:rPr>
          <w:rFonts w:eastAsia="Times New Roman"/>
          <w:color w:val="000000"/>
          <w:sz w:val="20"/>
          <w:szCs w:val="20"/>
        </w:rPr>
        <w:t xml:space="preserve">actors were partially offset by higher gains on asset sales. </w:t>
      </w:r>
    </w:p>
    <w:p w14:paraId="30BD3703" w14:textId="77777777" w:rsidR="00000000" w:rsidRDefault="00C1661D">
      <w:pPr>
        <w:jc w:val="both"/>
        <w:divId w:val="1942451592"/>
        <w:rPr>
          <w:rFonts w:eastAsia="Times New Roman"/>
        </w:rPr>
      </w:pPr>
      <w:r>
        <w:rPr>
          <w:rFonts w:eastAsia="Times New Roman"/>
          <w:color w:val="000000"/>
          <w:sz w:val="20"/>
          <w:szCs w:val="20"/>
        </w:rPr>
        <w:t>Midstream &amp; Marketing adjusted net income in Fiscal 2022 was $56 million higher than the prior year. This increase principally reflects higher margins related to natural gas marketing activities</w:t>
      </w:r>
      <w:r>
        <w:rPr>
          <w:rFonts w:eastAsia="Times New Roman"/>
          <w:color w:val="000000"/>
          <w:sz w:val="20"/>
          <w:szCs w:val="20"/>
        </w:rPr>
        <w:t>, higher total earnings from renewable energy marketing activities, and incremental contributions from UGI Moraine East.</w:t>
      </w:r>
    </w:p>
    <w:p w14:paraId="65F449A6" w14:textId="77777777" w:rsidR="00000000" w:rsidRDefault="00C1661D">
      <w:pPr>
        <w:jc w:val="both"/>
        <w:rPr>
          <w:rFonts w:eastAsia="Times New Roman"/>
        </w:rPr>
      </w:pPr>
      <w:r>
        <w:rPr>
          <w:rFonts w:eastAsia="Times New Roman"/>
          <w:color w:val="000000"/>
          <w:sz w:val="20"/>
          <w:szCs w:val="20"/>
        </w:rPr>
        <w:t>Utilities Fiscal 2022 adjusted net income increased $62 million compared to the prior year. The increase was largely related to the ful</w:t>
      </w:r>
      <w:r>
        <w:rPr>
          <w:rFonts w:eastAsia="Times New Roman"/>
          <w:color w:val="000000"/>
          <w:sz w:val="20"/>
          <w:szCs w:val="20"/>
        </w:rPr>
        <w:t>l-year impact of earnings attributable to the Mountaineer Acquisition, an increase in DSIC rates and higher margin from large delivery including the effects of customer growth at UGI Utilities also contributed to the earnings improvement during the current</w:t>
      </w:r>
      <w:r>
        <w:rPr>
          <w:rFonts w:eastAsia="Times New Roman"/>
          <w:color w:val="000000"/>
          <w:sz w:val="20"/>
          <w:szCs w:val="20"/>
        </w:rPr>
        <w:t xml:space="preserve"> year. </w:t>
      </w:r>
    </w:p>
    <w:p w14:paraId="67BA6428" w14:textId="77777777" w:rsidR="00000000" w:rsidRDefault="00C1661D">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927"/>
        <w:gridCol w:w="37"/>
        <w:gridCol w:w="36"/>
        <w:gridCol w:w="36"/>
        <w:gridCol w:w="36"/>
        <w:gridCol w:w="120"/>
        <w:gridCol w:w="718"/>
        <w:gridCol w:w="187"/>
        <w:gridCol w:w="36"/>
        <w:gridCol w:w="36"/>
        <w:gridCol w:w="36"/>
        <w:gridCol w:w="120"/>
        <w:gridCol w:w="718"/>
        <w:gridCol w:w="187"/>
        <w:gridCol w:w="36"/>
        <w:gridCol w:w="36"/>
        <w:gridCol w:w="36"/>
        <w:gridCol w:w="121"/>
        <w:gridCol w:w="720"/>
        <w:gridCol w:w="37"/>
        <w:gridCol w:w="37"/>
        <w:gridCol w:w="37"/>
        <w:gridCol w:w="36"/>
        <w:gridCol w:w="37"/>
        <w:gridCol w:w="681"/>
        <w:gridCol w:w="187"/>
      </w:tblGrid>
      <w:tr w:rsidR="00000000" w14:paraId="0D231471" w14:textId="77777777">
        <w:tc>
          <w:tcPr>
            <w:tcW w:w="50" w:type="pct"/>
            <w:vAlign w:val="center"/>
            <w:hideMark/>
          </w:tcPr>
          <w:p w14:paraId="74A14039" w14:textId="77777777" w:rsidR="00000000" w:rsidRDefault="00C1661D">
            <w:pPr>
              <w:jc w:val="both"/>
              <w:rPr>
                <w:rFonts w:eastAsia="Times New Roman"/>
              </w:rPr>
            </w:pPr>
          </w:p>
        </w:tc>
        <w:tc>
          <w:tcPr>
            <w:tcW w:w="2448" w:type="pct"/>
            <w:vAlign w:val="center"/>
            <w:hideMark/>
          </w:tcPr>
          <w:p w14:paraId="6929C7E9" w14:textId="77777777" w:rsidR="00000000" w:rsidRDefault="00C1661D">
            <w:pPr>
              <w:spacing w:after="100"/>
              <w:rPr>
                <w:rFonts w:eastAsia="Times New Roman"/>
                <w:sz w:val="20"/>
                <w:szCs w:val="20"/>
              </w:rPr>
            </w:pPr>
          </w:p>
        </w:tc>
        <w:tc>
          <w:tcPr>
            <w:tcW w:w="5" w:type="pct"/>
            <w:vAlign w:val="center"/>
            <w:hideMark/>
          </w:tcPr>
          <w:p w14:paraId="02E72392" w14:textId="77777777" w:rsidR="00000000" w:rsidRDefault="00C1661D">
            <w:pPr>
              <w:spacing w:after="100"/>
              <w:rPr>
                <w:rFonts w:eastAsia="Times New Roman"/>
                <w:sz w:val="20"/>
                <w:szCs w:val="20"/>
              </w:rPr>
            </w:pPr>
          </w:p>
        </w:tc>
        <w:tc>
          <w:tcPr>
            <w:tcW w:w="5" w:type="pct"/>
            <w:vAlign w:val="center"/>
            <w:hideMark/>
          </w:tcPr>
          <w:p w14:paraId="784C370E" w14:textId="77777777" w:rsidR="00000000" w:rsidRDefault="00C1661D">
            <w:pPr>
              <w:spacing w:after="100"/>
              <w:rPr>
                <w:rFonts w:eastAsia="Times New Roman"/>
                <w:sz w:val="20"/>
                <w:szCs w:val="20"/>
              </w:rPr>
            </w:pPr>
          </w:p>
        </w:tc>
        <w:tc>
          <w:tcPr>
            <w:tcW w:w="26" w:type="pct"/>
            <w:vAlign w:val="center"/>
            <w:hideMark/>
          </w:tcPr>
          <w:p w14:paraId="1EE91BF0" w14:textId="77777777" w:rsidR="00000000" w:rsidRDefault="00C1661D">
            <w:pPr>
              <w:spacing w:after="100"/>
              <w:rPr>
                <w:rFonts w:eastAsia="Times New Roman"/>
                <w:sz w:val="20"/>
                <w:szCs w:val="20"/>
              </w:rPr>
            </w:pPr>
          </w:p>
        </w:tc>
        <w:tc>
          <w:tcPr>
            <w:tcW w:w="5" w:type="pct"/>
            <w:vAlign w:val="center"/>
            <w:hideMark/>
          </w:tcPr>
          <w:p w14:paraId="6FE1765D" w14:textId="77777777" w:rsidR="00000000" w:rsidRDefault="00C1661D">
            <w:pPr>
              <w:spacing w:after="100"/>
              <w:rPr>
                <w:rFonts w:eastAsia="Times New Roman"/>
                <w:sz w:val="20"/>
                <w:szCs w:val="20"/>
              </w:rPr>
            </w:pPr>
          </w:p>
        </w:tc>
        <w:tc>
          <w:tcPr>
            <w:tcW w:w="50" w:type="pct"/>
            <w:vAlign w:val="center"/>
            <w:hideMark/>
          </w:tcPr>
          <w:p w14:paraId="3786C61F" w14:textId="77777777" w:rsidR="00000000" w:rsidRDefault="00C1661D">
            <w:pPr>
              <w:spacing w:after="100"/>
              <w:rPr>
                <w:rFonts w:eastAsia="Times New Roman"/>
                <w:sz w:val="20"/>
                <w:szCs w:val="20"/>
              </w:rPr>
            </w:pPr>
          </w:p>
        </w:tc>
        <w:tc>
          <w:tcPr>
            <w:tcW w:w="532" w:type="pct"/>
            <w:vAlign w:val="center"/>
            <w:hideMark/>
          </w:tcPr>
          <w:p w14:paraId="486B6250" w14:textId="77777777" w:rsidR="00000000" w:rsidRDefault="00C1661D">
            <w:pPr>
              <w:spacing w:after="100"/>
              <w:rPr>
                <w:rFonts w:eastAsia="Times New Roman"/>
                <w:sz w:val="20"/>
                <w:szCs w:val="20"/>
              </w:rPr>
            </w:pPr>
          </w:p>
        </w:tc>
        <w:tc>
          <w:tcPr>
            <w:tcW w:w="5" w:type="pct"/>
            <w:vAlign w:val="center"/>
            <w:hideMark/>
          </w:tcPr>
          <w:p w14:paraId="5AA762BD" w14:textId="77777777" w:rsidR="00000000" w:rsidRDefault="00C1661D">
            <w:pPr>
              <w:spacing w:after="100"/>
              <w:rPr>
                <w:rFonts w:eastAsia="Times New Roman"/>
                <w:sz w:val="20"/>
                <w:szCs w:val="20"/>
              </w:rPr>
            </w:pPr>
          </w:p>
        </w:tc>
        <w:tc>
          <w:tcPr>
            <w:tcW w:w="5" w:type="pct"/>
            <w:vAlign w:val="center"/>
            <w:hideMark/>
          </w:tcPr>
          <w:p w14:paraId="6283D808" w14:textId="77777777" w:rsidR="00000000" w:rsidRDefault="00C1661D">
            <w:pPr>
              <w:spacing w:after="100"/>
              <w:rPr>
                <w:rFonts w:eastAsia="Times New Roman"/>
                <w:sz w:val="20"/>
                <w:szCs w:val="20"/>
              </w:rPr>
            </w:pPr>
          </w:p>
        </w:tc>
        <w:tc>
          <w:tcPr>
            <w:tcW w:w="26" w:type="pct"/>
            <w:vAlign w:val="center"/>
            <w:hideMark/>
          </w:tcPr>
          <w:p w14:paraId="77038FE8" w14:textId="77777777" w:rsidR="00000000" w:rsidRDefault="00C1661D">
            <w:pPr>
              <w:spacing w:after="100"/>
              <w:rPr>
                <w:rFonts w:eastAsia="Times New Roman"/>
                <w:sz w:val="20"/>
                <w:szCs w:val="20"/>
              </w:rPr>
            </w:pPr>
          </w:p>
        </w:tc>
        <w:tc>
          <w:tcPr>
            <w:tcW w:w="5" w:type="pct"/>
            <w:vAlign w:val="center"/>
            <w:hideMark/>
          </w:tcPr>
          <w:p w14:paraId="5EB4B1CA" w14:textId="77777777" w:rsidR="00000000" w:rsidRDefault="00C1661D">
            <w:pPr>
              <w:spacing w:after="100"/>
              <w:rPr>
                <w:rFonts w:eastAsia="Times New Roman"/>
                <w:sz w:val="20"/>
                <w:szCs w:val="20"/>
              </w:rPr>
            </w:pPr>
          </w:p>
        </w:tc>
        <w:tc>
          <w:tcPr>
            <w:tcW w:w="50" w:type="pct"/>
            <w:vAlign w:val="center"/>
            <w:hideMark/>
          </w:tcPr>
          <w:p w14:paraId="55156B9F" w14:textId="77777777" w:rsidR="00000000" w:rsidRDefault="00C1661D">
            <w:pPr>
              <w:spacing w:after="100"/>
              <w:rPr>
                <w:rFonts w:eastAsia="Times New Roman"/>
                <w:sz w:val="20"/>
                <w:szCs w:val="20"/>
              </w:rPr>
            </w:pPr>
          </w:p>
        </w:tc>
        <w:tc>
          <w:tcPr>
            <w:tcW w:w="532" w:type="pct"/>
            <w:vAlign w:val="center"/>
            <w:hideMark/>
          </w:tcPr>
          <w:p w14:paraId="31CE996A" w14:textId="77777777" w:rsidR="00000000" w:rsidRDefault="00C1661D">
            <w:pPr>
              <w:spacing w:after="100"/>
              <w:rPr>
                <w:rFonts w:eastAsia="Times New Roman"/>
                <w:sz w:val="20"/>
                <w:szCs w:val="20"/>
              </w:rPr>
            </w:pPr>
          </w:p>
        </w:tc>
        <w:tc>
          <w:tcPr>
            <w:tcW w:w="5" w:type="pct"/>
            <w:vAlign w:val="center"/>
            <w:hideMark/>
          </w:tcPr>
          <w:p w14:paraId="5DE04B80" w14:textId="77777777" w:rsidR="00000000" w:rsidRDefault="00C1661D">
            <w:pPr>
              <w:spacing w:after="100"/>
              <w:rPr>
                <w:rFonts w:eastAsia="Times New Roman"/>
                <w:sz w:val="20"/>
                <w:szCs w:val="20"/>
              </w:rPr>
            </w:pPr>
          </w:p>
        </w:tc>
        <w:tc>
          <w:tcPr>
            <w:tcW w:w="5" w:type="pct"/>
            <w:vAlign w:val="center"/>
            <w:hideMark/>
          </w:tcPr>
          <w:p w14:paraId="00BD5F18" w14:textId="77777777" w:rsidR="00000000" w:rsidRDefault="00C1661D">
            <w:pPr>
              <w:spacing w:after="100"/>
              <w:rPr>
                <w:rFonts w:eastAsia="Times New Roman"/>
                <w:sz w:val="20"/>
                <w:szCs w:val="20"/>
              </w:rPr>
            </w:pPr>
          </w:p>
        </w:tc>
        <w:tc>
          <w:tcPr>
            <w:tcW w:w="26" w:type="pct"/>
            <w:vAlign w:val="center"/>
            <w:hideMark/>
          </w:tcPr>
          <w:p w14:paraId="7BF5DD47" w14:textId="77777777" w:rsidR="00000000" w:rsidRDefault="00C1661D">
            <w:pPr>
              <w:spacing w:after="100"/>
              <w:rPr>
                <w:rFonts w:eastAsia="Times New Roman"/>
                <w:sz w:val="20"/>
                <w:szCs w:val="20"/>
              </w:rPr>
            </w:pPr>
          </w:p>
        </w:tc>
        <w:tc>
          <w:tcPr>
            <w:tcW w:w="5" w:type="pct"/>
            <w:vAlign w:val="center"/>
            <w:hideMark/>
          </w:tcPr>
          <w:p w14:paraId="2236EA87" w14:textId="77777777" w:rsidR="00000000" w:rsidRDefault="00C1661D">
            <w:pPr>
              <w:spacing w:after="100"/>
              <w:rPr>
                <w:rFonts w:eastAsia="Times New Roman"/>
                <w:sz w:val="20"/>
                <w:szCs w:val="20"/>
              </w:rPr>
            </w:pPr>
          </w:p>
        </w:tc>
        <w:tc>
          <w:tcPr>
            <w:tcW w:w="50" w:type="pct"/>
            <w:vAlign w:val="center"/>
            <w:hideMark/>
          </w:tcPr>
          <w:p w14:paraId="2FCFF41E" w14:textId="77777777" w:rsidR="00000000" w:rsidRDefault="00C1661D">
            <w:pPr>
              <w:spacing w:after="100"/>
              <w:rPr>
                <w:rFonts w:eastAsia="Times New Roman"/>
                <w:sz w:val="20"/>
                <w:szCs w:val="20"/>
              </w:rPr>
            </w:pPr>
          </w:p>
        </w:tc>
        <w:tc>
          <w:tcPr>
            <w:tcW w:w="532" w:type="pct"/>
            <w:vAlign w:val="center"/>
            <w:hideMark/>
          </w:tcPr>
          <w:p w14:paraId="57D4E9C8" w14:textId="77777777" w:rsidR="00000000" w:rsidRDefault="00C1661D">
            <w:pPr>
              <w:spacing w:after="100"/>
              <w:rPr>
                <w:rFonts w:eastAsia="Times New Roman"/>
                <w:sz w:val="20"/>
                <w:szCs w:val="20"/>
              </w:rPr>
            </w:pPr>
          </w:p>
        </w:tc>
        <w:tc>
          <w:tcPr>
            <w:tcW w:w="5" w:type="pct"/>
            <w:vAlign w:val="center"/>
            <w:hideMark/>
          </w:tcPr>
          <w:p w14:paraId="1E19710E" w14:textId="77777777" w:rsidR="00000000" w:rsidRDefault="00C1661D">
            <w:pPr>
              <w:spacing w:after="100"/>
              <w:rPr>
                <w:rFonts w:eastAsia="Times New Roman"/>
                <w:sz w:val="20"/>
                <w:szCs w:val="20"/>
              </w:rPr>
            </w:pPr>
          </w:p>
        </w:tc>
        <w:tc>
          <w:tcPr>
            <w:tcW w:w="5" w:type="pct"/>
            <w:vAlign w:val="center"/>
            <w:hideMark/>
          </w:tcPr>
          <w:p w14:paraId="5112DFEE" w14:textId="77777777" w:rsidR="00000000" w:rsidRDefault="00C1661D">
            <w:pPr>
              <w:spacing w:after="100"/>
              <w:rPr>
                <w:rFonts w:eastAsia="Times New Roman"/>
                <w:sz w:val="20"/>
                <w:szCs w:val="20"/>
              </w:rPr>
            </w:pPr>
          </w:p>
        </w:tc>
        <w:tc>
          <w:tcPr>
            <w:tcW w:w="26" w:type="pct"/>
            <w:vAlign w:val="center"/>
            <w:hideMark/>
          </w:tcPr>
          <w:p w14:paraId="5C258FFE" w14:textId="77777777" w:rsidR="00000000" w:rsidRDefault="00C1661D">
            <w:pPr>
              <w:spacing w:after="100"/>
              <w:rPr>
                <w:rFonts w:eastAsia="Times New Roman"/>
                <w:sz w:val="20"/>
                <w:szCs w:val="20"/>
              </w:rPr>
            </w:pPr>
          </w:p>
        </w:tc>
        <w:tc>
          <w:tcPr>
            <w:tcW w:w="5" w:type="pct"/>
            <w:vAlign w:val="center"/>
            <w:hideMark/>
          </w:tcPr>
          <w:p w14:paraId="2811D7A5" w14:textId="77777777" w:rsidR="00000000" w:rsidRDefault="00C1661D">
            <w:pPr>
              <w:spacing w:after="100"/>
              <w:rPr>
                <w:rFonts w:eastAsia="Times New Roman"/>
                <w:sz w:val="20"/>
                <w:szCs w:val="20"/>
              </w:rPr>
            </w:pPr>
          </w:p>
        </w:tc>
        <w:tc>
          <w:tcPr>
            <w:tcW w:w="50" w:type="pct"/>
            <w:vAlign w:val="center"/>
            <w:hideMark/>
          </w:tcPr>
          <w:p w14:paraId="4F8A9CA6" w14:textId="77777777" w:rsidR="00000000" w:rsidRDefault="00C1661D">
            <w:pPr>
              <w:spacing w:after="100"/>
              <w:rPr>
                <w:rFonts w:eastAsia="Times New Roman"/>
                <w:sz w:val="20"/>
                <w:szCs w:val="20"/>
              </w:rPr>
            </w:pPr>
          </w:p>
        </w:tc>
        <w:tc>
          <w:tcPr>
            <w:tcW w:w="532" w:type="pct"/>
            <w:vAlign w:val="center"/>
            <w:hideMark/>
          </w:tcPr>
          <w:p w14:paraId="13A85FA1" w14:textId="77777777" w:rsidR="00000000" w:rsidRDefault="00C1661D">
            <w:pPr>
              <w:spacing w:after="100"/>
              <w:rPr>
                <w:rFonts w:eastAsia="Times New Roman"/>
                <w:sz w:val="20"/>
                <w:szCs w:val="20"/>
              </w:rPr>
            </w:pPr>
          </w:p>
        </w:tc>
        <w:tc>
          <w:tcPr>
            <w:tcW w:w="5" w:type="pct"/>
            <w:vAlign w:val="center"/>
            <w:hideMark/>
          </w:tcPr>
          <w:p w14:paraId="3D69565D" w14:textId="77777777" w:rsidR="00000000" w:rsidRDefault="00C1661D">
            <w:pPr>
              <w:spacing w:after="100"/>
              <w:rPr>
                <w:rFonts w:eastAsia="Times New Roman"/>
                <w:sz w:val="20"/>
                <w:szCs w:val="20"/>
              </w:rPr>
            </w:pPr>
          </w:p>
        </w:tc>
      </w:tr>
      <w:tr w:rsidR="00000000" w14:paraId="1621F6CB" w14:textId="77777777">
        <w:tc>
          <w:tcPr>
            <w:tcW w:w="0" w:type="auto"/>
            <w:gridSpan w:val="3"/>
            <w:tcMar>
              <w:top w:w="30" w:type="dxa"/>
              <w:left w:w="20" w:type="dxa"/>
              <w:bottom w:w="30" w:type="dxa"/>
              <w:right w:w="20" w:type="dxa"/>
            </w:tcMar>
            <w:vAlign w:val="bottom"/>
            <w:hideMark/>
          </w:tcPr>
          <w:p w14:paraId="15D3E0AF" w14:textId="77777777" w:rsidR="00000000" w:rsidRDefault="00C1661D">
            <w:pPr>
              <w:spacing w:after="100"/>
              <w:rPr>
                <w:rFonts w:eastAsia="Times New Roman"/>
              </w:rPr>
            </w:pPr>
            <w:r>
              <w:rPr>
                <w:rFonts w:eastAsia="Times New Roman"/>
                <w:b/>
                <w:bCs/>
                <w:color w:val="000000"/>
                <w:sz w:val="20"/>
                <w:szCs w:val="20"/>
              </w:rPr>
              <w:t>AmeriGas Propane</w:t>
            </w:r>
          </w:p>
        </w:tc>
        <w:tc>
          <w:tcPr>
            <w:tcW w:w="0" w:type="auto"/>
            <w:gridSpan w:val="3"/>
            <w:tcMar>
              <w:top w:w="0" w:type="dxa"/>
              <w:left w:w="20" w:type="dxa"/>
              <w:bottom w:w="0" w:type="dxa"/>
              <w:right w:w="20" w:type="dxa"/>
            </w:tcMar>
            <w:vAlign w:val="center"/>
            <w:hideMark/>
          </w:tcPr>
          <w:p w14:paraId="7C5F64CD"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72AAF465"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236EC480"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B751513"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05B66B0C" w14:textId="77777777" w:rsidR="00000000" w:rsidRDefault="00C1661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23569A0" w14:textId="77777777" w:rsidR="00000000" w:rsidRDefault="00C1661D">
            <w:pPr>
              <w:spacing w:after="100"/>
              <w:jc w:val="center"/>
              <w:rPr>
                <w:rFonts w:eastAsia="Times New Roman"/>
              </w:rPr>
            </w:pPr>
            <w:r>
              <w:rPr>
                <w:rFonts w:eastAsia="Times New Roman"/>
                <w:color w:val="000000"/>
                <w:sz w:val="20"/>
                <w:szCs w:val="20"/>
              </w:rPr>
              <w:t>Increase (Decrease)</w:t>
            </w:r>
          </w:p>
        </w:tc>
      </w:tr>
      <w:tr w:rsidR="00000000" w14:paraId="22BBC7F8" w14:textId="77777777">
        <w:tc>
          <w:tcPr>
            <w:tcW w:w="0" w:type="auto"/>
            <w:gridSpan w:val="3"/>
            <w:tcBorders>
              <w:top w:val="single" w:sz="8" w:space="0" w:color="000000"/>
            </w:tcBorders>
            <w:tcMar>
              <w:top w:w="30" w:type="dxa"/>
              <w:left w:w="20" w:type="dxa"/>
              <w:bottom w:w="30" w:type="dxa"/>
              <w:right w:w="20" w:type="dxa"/>
            </w:tcMar>
            <w:vAlign w:val="bottom"/>
            <w:hideMark/>
          </w:tcPr>
          <w:p w14:paraId="30059127" w14:textId="77777777" w:rsidR="00000000" w:rsidRDefault="00C1661D">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14:paraId="609E62FA"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747FA8C" w14:textId="77777777" w:rsidR="00000000" w:rsidRDefault="00C1661D">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F638BA6" w14:textId="77777777" w:rsidR="00000000" w:rsidRDefault="00C1661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F14164"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A6643E4"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473BE6"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14:paraId="37D1B7A1"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7E6380" w14:textId="77777777" w:rsidR="00000000" w:rsidRDefault="00C1661D">
            <w:pPr>
              <w:spacing w:after="100"/>
              <w:rPr>
                <w:rFonts w:eastAsia="Times New Roman"/>
              </w:rPr>
            </w:pPr>
            <w:r>
              <w:rPr>
                <w:rFonts w:eastAsia="Times New Roman"/>
                <w:color w:val="000000"/>
                <w:sz w:val="20"/>
                <w:szCs w:val="20"/>
              </w:rPr>
              <w:t> </w:t>
            </w:r>
          </w:p>
        </w:tc>
      </w:tr>
      <w:tr w:rsidR="00000000" w14:paraId="26EC43A9" w14:textId="77777777">
        <w:tc>
          <w:tcPr>
            <w:tcW w:w="0" w:type="auto"/>
            <w:gridSpan w:val="3"/>
            <w:shd w:val="clear" w:color="auto" w:fill="CCEEFF"/>
            <w:tcMar>
              <w:top w:w="30" w:type="dxa"/>
              <w:left w:w="20" w:type="dxa"/>
              <w:bottom w:w="30" w:type="dxa"/>
              <w:right w:w="20" w:type="dxa"/>
            </w:tcMar>
            <w:vAlign w:val="bottom"/>
            <w:hideMark/>
          </w:tcPr>
          <w:p w14:paraId="18F33DDA" w14:textId="77777777" w:rsidR="00000000" w:rsidRDefault="00C1661D">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14:paraId="469895FB"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6BEAA7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B9E100A" w14:textId="77777777" w:rsidR="00000000" w:rsidRDefault="00C1661D">
            <w:pPr>
              <w:spacing w:after="100"/>
              <w:jc w:val="right"/>
              <w:rPr>
                <w:rFonts w:eastAsia="Times New Roman"/>
              </w:rPr>
            </w:pPr>
            <w:r>
              <w:rPr>
                <w:rFonts w:eastAsia="Times New Roman"/>
                <w:color w:val="000000"/>
                <w:sz w:val="20"/>
                <w:szCs w:val="20"/>
              </w:rPr>
              <w:t>2,943 </w:t>
            </w:r>
          </w:p>
        </w:tc>
        <w:tc>
          <w:tcPr>
            <w:tcW w:w="0" w:type="auto"/>
            <w:shd w:val="clear" w:color="auto" w:fill="CCEEFF"/>
            <w:tcMar>
              <w:top w:w="30" w:type="dxa"/>
              <w:left w:w="0" w:type="dxa"/>
              <w:bottom w:w="30" w:type="dxa"/>
              <w:right w:w="20" w:type="dxa"/>
            </w:tcMar>
            <w:vAlign w:val="bottom"/>
            <w:hideMark/>
          </w:tcPr>
          <w:p w14:paraId="39DA18B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F1F59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67CA5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FCB659E" w14:textId="77777777" w:rsidR="00000000" w:rsidRDefault="00C1661D">
            <w:pPr>
              <w:spacing w:after="100"/>
              <w:jc w:val="right"/>
              <w:rPr>
                <w:rFonts w:eastAsia="Times New Roman"/>
              </w:rPr>
            </w:pPr>
            <w:r>
              <w:rPr>
                <w:rFonts w:eastAsia="Times New Roman"/>
                <w:color w:val="000000"/>
                <w:sz w:val="20"/>
                <w:szCs w:val="20"/>
              </w:rPr>
              <w:t>2,614 </w:t>
            </w:r>
          </w:p>
        </w:tc>
        <w:tc>
          <w:tcPr>
            <w:tcW w:w="0" w:type="auto"/>
            <w:shd w:val="clear" w:color="auto" w:fill="CCEEFF"/>
            <w:tcMar>
              <w:top w:w="30" w:type="dxa"/>
              <w:left w:w="0" w:type="dxa"/>
              <w:bottom w:w="30" w:type="dxa"/>
              <w:right w:w="20" w:type="dxa"/>
            </w:tcMar>
            <w:vAlign w:val="bottom"/>
            <w:hideMark/>
          </w:tcPr>
          <w:p w14:paraId="190646B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D314E0"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D492A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0B73EC" w14:textId="77777777" w:rsidR="00000000" w:rsidRDefault="00C1661D">
            <w:pPr>
              <w:spacing w:after="100"/>
              <w:jc w:val="right"/>
              <w:rPr>
                <w:rFonts w:eastAsia="Times New Roman"/>
              </w:rPr>
            </w:pPr>
            <w:r>
              <w:rPr>
                <w:rFonts w:eastAsia="Times New Roman"/>
                <w:color w:val="000000"/>
                <w:sz w:val="20"/>
                <w:szCs w:val="20"/>
              </w:rPr>
              <w:t>329 </w:t>
            </w:r>
          </w:p>
        </w:tc>
        <w:tc>
          <w:tcPr>
            <w:tcW w:w="0" w:type="auto"/>
            <w:shd w:val="clear" w:color="auto" w:fill="CCEEFF"/>
            <w:tcMar>
              <w:top w:w="30" w:type="dxa"/>
              <w:left w:w="0" w:type="dxa"/>
              <w:bottom w:w="30" w:type="dxa"/>
              <w:right w:w="20" w:type="dxa"/>
            </w:tcMar>
            <w:vAlign w:val="bottom"/>
            <w:hideMark/>
          </w:tcPr>
          <w:p w14:paraId="6C6B21B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9426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75F416" w14:textId="77777777" w:rsidR="00000000" w:rsidRDefault="00C1661D">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4D21DB70" w14:textId="77777777" w:rsidR="00000000" w:rsidRDefault="00C1661D">
            <w:pPr>
              <w:spacing w:after="100"/>
              <w:jc w:val="right"/>
              <w:rPr>
                <w:rFonts w:eastAsia="Times New Roman"/>
              </w:rPr>
            </w:pPr>
            <w:r>
              <w:rPr>
                <w:rFonts w:eastAsia="Times New Roman"/>
                <w:color w:val="000000"/>
                <w:sz w:val="20"/>
                <w:szCs w:val="20"/>
              </w:rPr>
              <w:t>%</w:t>
            </w:r>
          </w:p>
        </w:tc>
      </w:tr>
      <w:tr w:rsidR="00000000" w14:paraId="24824316" w14:textId="77777777">
        <w:tc>
          <w:tcPr>
            <w:tcW w:w="0" w:type="auto"/>
            <w:gridSpan w:val="3"/>
            <w:shd w:val="clear" w:color="auto" w:fill="FFFFFF"/>
            <w:tcMar>
              <w:top w:w="30" w:type="dxa"/>
              <w:left w:w="20" w:type="dxa"/>
              <w:bottom w:w="30" w:type="dxa"/>
              <w:right w:w="20" w:type="dxa"/>
            </w:tcMar>
            <w:vAlign w:val="bottom"/>
            <w:hideMark/>
          </w:tcPr>
          <w:p w14:paraId="50EC7A6B" w14:textId="77777777" w:rsidR="00000000" w:rsidRDefault="00C1661D">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14:paraId="1B21346A"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3E47C4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F81A636" w14:textId="77777777" w:rsidR="00000000" w:rsidRDefault="00C1661D">
            <w:pPr>
              <w:spacing w:after="100"/>
              <w:jc w:val="right"/>
              <w:rPr>
                <w:rFonts w:eastAsia="Times New Roman"/>
              </w:rPr>
            </w:pPr>
            <w:r>
              <w:rPr>
                <w:rFonts w:eastAsia="Times New Roman"/>
                <w:color w:val="000000"/>
                <w:sz w:val="20"/>
                <w:szCs w:val="20"/>
              </w:rPr>
              <w:t>1,330 </w:t>
            </w:r>
          </w:p>
        </w:tc>
        <w:tc>
          <w:tcPr>
            <w:tcW w:w="0" w:type="auto"/>
            <w:shd w:val="clear" w:color="auto" w:fill="FFFFFF"/>
            <w:tcMar>
              <w:top w:w="30" w:type="dxa"/>
              <w:left w:w="0" w:type="dxa"/>
              <w:bottom w:w="30" w:type="dxa"/>
              <w:right w:w="20" w:type="dxa"/>
            </w:tcMar>
            <w:vAlign w:val="bottom"/>
            <w:hideMark/>
          </w:tcPr>
          <w:p w14:paraId="3BD2325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E233D0"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5EA5DD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B200D67" w14:textId="77777777" w:rsidR="00000000" w:rsidRDefault="00C1661D">
            <w:pPr>
              <w:spacing w:after="100"/>
              <w:jc w:val="right"/>
              <w:rPr>
                <w:rFonts w:eastAsia="Times New Roman"/>
              </w:rPr>
            </w:pPr>
            <w:r>
              <w:rPr>
                <w:rFonts w:eastAsia="Times New Roman"/>
                <w:color w:val="000000"/>
                <w:sz w:val="20"/>
                <w:szCs w:val="20"/>
              </w:rPr>
              <w:t>1,397 </w:t>
            </w:r>
          </w:p>
        </w:tc>
        <w:tc>
          <w:tcPr>
            <w:tcW w:w="0" w:type="auto"/>
            <w:shd w:val="clear" w:color="auto" w:fill="FFFFFF"/>
            <w:tcMar>
              <w:top w:w="30" w:type="dxa"/>
              <w:left w:w="0" w:type="dxa"/>
              <w:bottom w:w="30" w:type="dxa"/>
              <w:right w:w="20" w:type="dxa"/>
            </w:tcMar>
            <w:vAlign w:val="bottom"/>
            <w:hideMark/>
          </w:tcPr>
          <w:p w14:paraId="27AEF6A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38E3B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783EFA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B8D479C" w14:textId="77777777" w:rsidR="00000000" w:rsidRDefault="00C1661D">
            <w:pPr>
              <w:spacing w:after="100"/>
              <w:jc w:val="right"/>
              <w:rPr>
                <w:rFonts w:eastAsia="Times New Roman"/>
              </w:rPr>
            </w:pPr>
            <w:r>
              <w:rPr>
                <w:rFonts w:eastAsia="Times New Roman"/>
                <w:color w:val="000000"/>
                <w:sz w:val="20"/>
                <w:szCs w:val="20"/>
              </w:rPr>
              <w:t>(67)</w:t>
            </w:r>
          </w:p>
        </w:tc>
        <w:tc>
          <w:tcPr>
            <w:tcW w:w="0" w:type="auto"/>
            <w:shd w:val="clear" w:color="auto" w:fill="FFFFFF"/>
            <w:tcMar>
              <w:top w:w="30" w:type="dxa"/>
              <w:left w:w="0" w:type="dxa"/>
              <w:bottom w:w="30" w:type="dxa"/>
              <w:right w:w="20" w:type="dxa"/>
            </w:tcMar>
            <w:vAlign w:val="bottom"/>
            <w:hideMark/>
          </w:tcPr>
          <w:p w14:paraId="06010E2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87D56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122929" w14:textId="77777777" w:rsidR="00000000" w:rsidRDefault="00C1661D">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6AC1B679" w14:textId="77777777" w:rsidR="00000000" w:rsidRDefault="00C1661D">
            <w:pPr>
              <w:spacing w:after="100"/>
              <w:jc w:val="right"/>
              <w:rPr>
                <w:rFonts w:eastAsia="Times New Roman"/>
              </w:rPr>
            </w:pPr>
            <w:r>
              <w:rPr>
                <w:rFonts w:eastAsia="Times New Roman"/>
                <w:color w:val="000000"/>
                <w:sz w:val="20"/>
                <w:szCs w:val="20"/>
              </w:rPr>
              <w:t>%</w:t>
            </w:r>
          </w:p>
        </w:tc>
      </w:tr>
      <w:tr w:rsidR="00000000" w14:paraId="567D8323" w14:textId="77777777">
        <w:tc>
          <w:tcPr>
            <w:tcW w:w="0" w:type="auto"/>
            <w:gridSpan w:val="3"/>
            <w:shd w:val="clear" w:color="auto" w:fill="CCEEFF"/>
            <w:tcMar>
              <w:top w:w="30" w:type="dxa"/>
              <w:left w:w="20" w:type="dxa"/>
              <w:bottom w:w="30" w:type="dxa"/>
              <w:right w:w="20" w:type="dxa"/>
            </w:tcMar>
            <w:vAlign w:val="bottom"/>
            <w:hideMark/>
          </w:tcPr>
          <w:p w14:paraId="34546887" w14:textId="77777777" w:rsidR="00000000" w:rsidRDefault="00C1661D">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14:paraId="253ACC1A"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BB4B8B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F202CD0" w14:textId="77777777" w:rsidR="00000000" w:rsidRDefault="00C1661D">
            <w:pPr>
              <w:spacing w:after="100"/>
              <w:jc w:val="right"/>
              <w:rPr>
                <w:rFonts w:eastAsia="Times New Roman"/>
              </w:rPr>
            </w:pPr>
            <w:r>
              <w:rPr>
                <w:rFonts w:eastAsia="Times New Roman"/>
                <w:color w:val="000000"/>
                <w:sz w:val="20"/>
                <w:szCs w:val="20"/>
              </w:rPr>
              <w:t>889 </w:t>
            </w:r>
          </w:p>
        </w:tc>
        <w:tc>
          <w:tcPr>
            <w:tcW w:w="0" w:type="auto"/>
            <w:shd w:val="clear" w:color="auto" w:fill="CCEEFF"/>
            <w:tcMar>
              <w:top w:w="30" w:type="dxa"/>
              <w:left w:w="0" w:type="dxa"/>
              <w:bottom w:w="30" w:type="dxa"/>
              <w:right w:w="20" w:type="dxa"/>
            </w:tcMar>
            <w:vAlign w:val="bottom"/>
            <w:hideMark/>
          </w:tcPr>
          <w:p w14:paraId="5063EE9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C51E8D"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31DF3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94C17B8" w14:textId="77777777" w:rsidR="00000000" w:rsidRDefault="00C1661D">
            <w:pPr>
              <w:spacing w:after="100"/>
              <w:jc w:val="right"/>
              <w:rPr>
                <w:rFonts w:eastAsia="Times New Roman"/>
              </w:rPr>
            </w:pPr>
            <w:r>
              <w:rPr>
                <w:rFonts w:eastAsia="Times New Roman"/>
                <w:color w:val="000000"/>
                <w:sz w:val="20"/>
                <w:szCs w:val="20"/>
              </w:rPr>
              <w:t>869 </w:t>
            </w:r>
          </w:p>
        </w:tc>
        <w:tc>
          <w:tcPr>
            <w:tcW w:w="0" w:type="auto"/>
            <w:shd w:val="clear" w:color="auto" w:fill="CCEEFF"/>
            <w:tcMar>
              <w:top w:w="30" w:type="dxa"/>
              <w:left w:w="0" w:type="dxa"/>
              <w:bottom w:w="30" w:type="dxa"/>
              <w:right w:w="20" w:type="dxa"/>
            </w:tcMar>
            <w:vAlign w:val="bottom"/>
            <w:hideMark/>
          </w:tcPr>
          <w:p w14:paraId="0736BB2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74BD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E5748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B48827" w14:textId="77777777" w:rsidR="00000000" w:rsidRDefault="00C1661D">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70D83EF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3B0A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CC5E9E"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4056A179" w14:textId="77777777" w:rsidR="00000000" w:rsidRDefault="00C1661D">
            <w:pPr>
              <w:spacing w:after="100"/>
              <w:jc w:val="right"/>
              <w:rPr>
                <w:rFonts w:eastAsia="Times New Roman"/>
              </w:rPr>
            </w:pPr>
            <w:r>
              <w:rPr>
                <w:rFonts w:eastAsia="Times New Roman"/>
                <w:color w:val="000000"/>
                <w:sz w:val="20"/>
                <w:szCs w:val="20"/>
              </w:rPr>
              <w:t>%</w:t>
            </w:r>
          </w:p>
        </w:tc>
      </w:tr>
      <w:tr w:rsidR="00000000" w14:paraId="06E3E543" w14:textId="77777777">
        <w:tc>
          <w:tcPr>
            <w:tcW w:w="0" w:type="auto"/>
            <w:gridSpan w:val="3"/>
            <w:shd w:val="clear" w:color="auto" w:fill="FFFFFF"/>
            <w:tcMar>
              <w:top w:w="30" w:type="dxa"/>
              <w:left w:w="20" w:type="dxa"/>
              <w:bottom w:w="30" w:type="dxa"/>
              <w:right w:w="20" w:type="dxa"/>
            </w:tcMar>
            <w:vAlign w:val="bottom"/>
            <w:hideMark/>
          </w:tcPr>
          <w:p w14:paraId="281CA9F0" w14:textId="77777777" w:rsidR="00000000" w:rsidRDefault="00C1661D">
            <w:pPr>
              <w:spacing w:after="100"/>
              <w:rPr>
                <w:rFonts w:eastAsia="Times New Roman"/>
              </w:rPr>
            </w:pPr>
            <w:r>
              <w:rPr>
                <w:rFonts w:eastAsia="Times New Roman"/>
                <w:color w:val="000000"/>
                <w:sz w:val="20"/>
                <w:szCs w:val="20"/>
              </w:rPr>
              <w:t>Operating income / earnings before interest expense and income taxes</w:t>
            </w:r>
          </w:p>
        </w:tc>
        <w:tc>
          <w:tcPr>
            <w:tcW w:w="0" w:type="auto"/>
            <w:gridSpan w:val="3"/>
            <w:shd w:val="clear" w:color="auto" w:fill="FFFFFF"/>
            <w:tcMar>
              <w:top w:w="0" w:type="dxa"/>
              <w:left w:w="20" w:type="dxa"/>
              <w:bottom w:w="0" w:type="dxa"/>
              <w:right w:w="20" w:type="dxa"/>
            </w:tcMar>
            <w:vAlign w:val="center"/>
            <w:hideMark/>
          </w:tcPr>
          <w:p w14:paraId="6EB015F4"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447339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921A50" w14:textId="77777777" w:rsidR="00000000" w:rsidRDefault="00C1661D">
            <w:pPr>
              <w:spacing w:after="100"/>
              <w:jc w:val="right"/>
              <w:rPr>
                <w:rFonts w:eastAsia="Times New Roman"/>
              </w:rPr>
            </w:pPr>
            <w:r>
              <w:rPr>
                <w:rFonts w:eastAsia="Times New Roman"/>
                <w:color w:val="000000"/>
                <w:sz w:val="20"/>
                <w:szCs w:val="20"/>
              </w:rPr>
              <w:t>307 </w:t>
            </w:r>
          </w:p>
        </w:tc>
        <w:tc>
          <w:tcPr>
            <w:tcW w:w="0" w:type="auto"/>
            <w:shd w:val="clear" w:color="auto" w:fill="FFFFFF"/>
            <w:tcMar>
              <w:top w:w="30" w:type="dxa"/>
              <w:left w:w="0" w:type="dxa"/>
              <w:bottom w:w="30" w:type="dxa"/>
              <w:right w:w="20" w:type="dxa"/>
            </w:tcMar>
            <w:vAlign w:val="bottom"/>
            <w:hideMark/>
          </w:tcPr>
          <w:p w14:paraId="02086AC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F4DD23"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7D44BD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66DD2C5" w14:textId="77777777" w:rsidR="00000000" w:rsidRDefault="00C1661D">
            <w:pPr>
              <w:spacing w:after="100"/>
              <w:jc w:val="right"/>
              <w:rPr>
                <w:rFonts w:eastAsia="Times New Roman"/>
              </w:rPr>
            </w:pPr>
            <w:r>
              <w:rPr>
                <w:rFonts w:eastAsia="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14:paraId="0E3B7F6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923502"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3084AD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02D08E2" w14:textId="77777777" w:rsidR="00000000" w:rsidRDefault="00C1661D">
            <w:pPr>
              <w:spacing w:after="100"/>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14:paraId="5ABA7E9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978BC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DA0B24" w14:textId="77777777" w:rsidR="00000000" w:rsidRDefault="00C1661D">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14:paraId="4EEA203F" w14:textId="77777777" w:rsidR="00000000" w:rsidRDefault="00C1661D">
            <w:pPr>
              <w:spacing w:after="100"/>
              <w:jc w:val="right"/>
              <w:rPr>
                <w:rFonts w:eastAsia="Times New Roman"/>
              </w:rPr>
            </w:pPr>
            <w:r>
              <w:rPr>
                <w:rFonts w:eastAsia="Times New Roman"/>
                <w:color w:val="000000"/>
                <w:sz w:val="20"/>
                <w:szCs w:val="20"/>
              </w:rPr>
              <w:t>%</w:t>
            </w:r>
          </w:p>
        </w:tc>
      </w:tr>
      <w:tr w:rsidR="00000000" w14:paraId="4F1E96C8" w14:textId="77777777">
        <w:tc>
          <w:tcPr>
            <w:tcW w:w="0" w:type="auto"/>
            <w:gridSpan w:val="3"/>
            <w:shd w:val="clear" w:color="auto" w:fill="CCEEFF"/>
            <w:tcMar>
              <w:top w:w="30" w:type="dxa"/>
              <w:left w:w="20" w:type="dxa"/>
              <w:bottom w:w="30" w:type="dxa"/>
              <w:right w:w="20" w:type="dxa"/>
            </w:tcMar>
            <w:vAlign w:val="bottom"/>
            <w:hideMark/>
          </w:tcPr>
          <w:p w14:paraId="6FDEDCAE" w14:textId="77777777" w:rsidR="00000000" w:rsidRDefault="00C1661D">
            <w:pPr>
              <w:spacing w:after="100"/>
              <w:rPr>
                <w:rFonts w:eastAsia="Times New Roman"/>
              </w:rPr>
            </w:pPr>
            <w:r>
              <w:rPr>
                <w:rFonts w:eastAsia="Times New Roman"/>
                <w:color w:val="000000"/>
                <w:sz w:val="20"/>
                <w:szCs w:val="20"/>
              </w:rPr>
              <w:t>Retail gallons sold (millions)</w:t>
            </w:r>
          </w:p>
        </w:tc>
        <w:tc>
          <w:tcPr>
            <w:tcW w:w="0" w:type="auto"/>
            <w:gridSpan w:val="3"/>
            <w:shd w:val="clear" w:color="auto" w:fill="CCEEFF"/>
            <w:tcMar>
              <w:top w:w="0" w:type="dxa"/>
              <w:left w:w="20" w:type="dxa"/>
              <w:bottom w:w="0" w:type="dxa"/>
              <w:right w:w="20" w:type="dxa"/>
            </w:tcMar>
            <w:vAlign w:val="center"/>
            <w:hideMark/>
          </w:tcPr>
          <w:p w14:paraId="53C4F8E5"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8D426E" w14:textId="77777777" w:rsidR="00000000" w:rsidRDefault="00C1661D">
            <w:pPr>
              <w:spacing w:after="100"/>
              <w:jc w:val="right"/>
              <w:rPr>
                <w:rFonts w:eastAsia="Times New Roman"/>
              </w:rPr>
            </w:pPr>
            <w:r>
              <w:rPr>
                <w:rFonts w:eastAsia="Times New Roman"/>
                <w:color w:val="000000"/>
                <w:sz w:val="20"/>
                <w:szCs w:val="20"/>
              </w:rPr>
              <w:t>888 </w:t>
            </w:r>
          </w:p>
        </w:tc>
        <w:tc>
          <w:tcPr>
            <w:tcW w:w="0" w:type="auto"/>
            <w:shd w:val="clear" w:color="auto" w:fill="CCEEFF"/>
            <w:tcMar>
              <w:top w:w="30" w:type="dxa"/>
              <w:left w:w="0" w:type="dxa"/>
              <w:bottom w:w="30" w:type="dxa"/>
              <w:right w:w="20" w:type="dxa"/>
            </w:tcMar>
            <w:vAlign w:val="bottom"/>
            <w:hideMark/>
          </w:tcPr>
          <w:p w14:paraId="343A5C9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FC70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834923" w14:textId="77777777" w:rsidR="00000000" w:rsidRDefault="00C1661D">
            <w:pPr>
              <w:spacing w:after="100"/>
              <w:jc w:val="right"/>
              <w:rPr>
                <w:rFonts w:eastAsia="Times New Roman"/>
              </w:rPr>
            </w:pPr>
            <w:r>
              <w:rPr>
                <w:rFonts w:eastAsia="Times New Roman"/>
                <w:color w:val="000000"/>
                <w:sz w:val="20"/>
                <w:szCs w:val="20"/>
              </w:rPr>
              <w:t>968 </w:t>
            </w:r>
          </w:p>
        </w:tc>
        <w:tc>
          <w:tcPr>
            <w:tcW w:w="0" w:type="auto"/>
            <w:shd w:val="clear" w:color="auto" w:fill="CCEEFF"/>
            <w:tcMar>
              <w:top w:w="30" w:type="dxa"/>
              <w:left w:w="0" w:type="dxa"/>
              <w:bottom w:w="30" w:type="dxa"/>
              <w:right w:w="20" w:type="dxa"/>
            </w:tcMar>
            <w:vAlign w:val="bottom"/>
            <w:hideMark/>
          </w:tcPr>
          <w:p w14:paraId="7F99854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9ACC2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9712F1" w14:textId="77777777" w:rsidR="00000000" w:rsidRDefault="00C1661D">
            <w:pPr>
              <w:spacing w:after="100"/>
              <w:jc w:val="right"/>
              <w:rPr>
                <w:rFonts w:eastAsia="Times New Roman"/>
              </w:rPr>
            </w:pPr>
            <w:r>
              <w:rPr>
                <w:rFonts w:eastAsia="Times New Roman"/>
                <w:color w:val="000000"/>
                <w:sz w:val="20"/>
                <w:szCs w:val="20"/>
              </w:rPr>
              <w:t>(80)</w:t>
            </w:r>
          </w:p>
        </w:tc>
        <w:tc>
          <w:tcPr>
            <w:tcW w:w="0" w:type="auto"/>
            <w:shd w:val="clear" w:color="auto" w:fill="CCEEFF"/>
            <w:tcMar>
              <w:top w:w="30" w:type="dxa"/>
              <w:left w:w="0" w:type="dxa"/>
              <w:bottom w:w="30" w:type="dxa"/>
              <w:right w:w="20" w:type="dxa"/>
            </w:tcMar>
            <w:vAlign w:val="bottom"/>
            <w:hideMark/>
          </w:tcPr>
          <w:p w14:paraId="2EBE7D6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DE51D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F70C2F" w14:textId="77777777" w:rsidR="00000000" w:rsidRDefault="00C1661D">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14:paraId="3B9B47CF" w14:textId="77777777" w:rsidR="00000000" w:rsidRDefault="00C1661D">
            <w:pPr>
              <w:spacing w:after="100"/>
              <w:jc w:val="right"/>
              <w:rPr>
                <w:rFonts w:eastAsia="Times New Roman"/>
              </w:rPr>
            </w:pPr>
            <w:r>
              <w:rPr>
                <w:rFonts w:eastAsia="Times New Roman"/>
                <w:color w:val="000000"/>
                <w:sz w:val="20"/>
                <w:szCs w:val="20"/>
              </w:rPr>
              <w:t>%</w:t>
            </w:r>
          </w:p>
        </w:tc>
      </w:tr>
      <w:tr w:rsidR="00000000" w14:paraId="38533FC4" w14:textId="77777777">
        <w:tc>
          <w:tcPr>
            <w:tcW w:w="0" w:type="auto"/>
            <w:gridSpan w:val="3"/>
            <w:shd w:val="clear" w:color="auto" w:fill="FFFFFF"/>
            <w:tcMar>
              <w:top w:w="30" w:type="dxa"/>
              <w:left w:w="20" w:type="dxa"/>
              <w:bottom w:w="30" w:type="dxa"/>
              <w:right w:w="20" w:type="dxa"/>
            </w:tcMar>
            <w:vAlign w:val="bottom"/>
            <w:hideMark/>
          </w:tcPr>
          <w:p w14:paraId="638B548A" w14:textId="77777777" w:rsidR="00000000" w:rsidRDefault="00C1661D">
            <w:pPr>
              <w:spacing w:after="100"/>
              <w:rPr>
                <w:rFonts w:eastAsia="Times New Roman"/>
              </w:rPr>
            </w:pPr>
            <w:r>
              <w:rPr>
                <w:rFonts w:eastAsia="Times New Roman"/>
                <w:color w:val="000000"/>
                <w:sz w:val="20"/>
                <w:szCs w:val="20"/>
              </w:rPr>
              <w:t>Degree days – % warmer than normal (b)</w:t>
            </w:r>
          </w:p>
        </w:tc>
        <w:tc>
          <w:tcPr>
            <w:tcW w:w="0" w:type="auto"/>
            <w:gridSpan w:val="3"/>
            <w:shd w:val="clear" w:color="auto" w:fill="FFFFFF"/>
            <w:tcMar>
              <w:top w:w="0" w:type="dxa"/>
              <w:left w:w="20" w:type="dxa"/>
              <w:bottom w:w="0" w:type="dxa"/>
              <w:right w:w="20" w:type="dxa"/>
            </w:tcMar>
            <w:vAlign w:val="center"/>
            <w:hideMark/>
          </w:tcPr>
          <w:p w14:paraId="733722D2"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3FD9B0" w14:textId="77777777" w:rsidR="00000000" w:rsidRDefault="00C1661D">
            <w:pPr>
              <w:spacing w:after="100"/>
              <w:jc w:val="right"/>
              <w:rPr>
                <w:rFonts w:eastAsia="Times New Roman"/>
              </w:rPr>
            </w:pPr>
            <w:r>
              <w:rPr>
                <w:rFonts w:eastAsia="Times New Roman"/>
                <w:color w:val="000000"/>
                <w:sz w:val="20"/>
                <w:szCs w:val="20"/>
              </w:rPr>
              <w:t>(0.8)</w:t>
            </w:r>
          </w:p>
        </w:tc>
        <w:tc>
          <w:tcPr>
            <w:tcW w:w="0" w:type="auto"/>
            <w:shd w:val="clear" w:color="auto" w:fill="FFFFFF"/>
            <w:tcMar>
              <w:top w:w="30" w:type="dxa"/>
              <w:left w:w="0" w:type="dxa"/>
              <w:bottom w:w="30" w:type="dxa"/>
              <w:right w:w="20" w:type="dxa"/>
            </w:tcMar>
            <w:vAlign w:val="bottom"/>
            <w:hideMark/>
          </w:tcPr>
          <w:p w14:paraId="1D8EF11B"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FC46D2E" w14:textId="77777777" w:rsidR="00000000" w:rsidRDefault="00C166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9D456A" w14:textId="77777777" w:rsidR="00000000" w:rsidRDefault="00C1661D">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14:paraId="157CED32"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4A44A0A" w14:textId="77777777" w:rsidR="00000000" w:rsidRDefault="00C166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B94848"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16ECA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820EE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83536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32407FD" w14:textId="77777777" w:rsidR="00000000" w:rsidRDefault="00C1661D">
            <w:pPr>
              <w:spacing w:after="100"/>
              <w:jc w:val="right"/>
              <w:rPr>
                <w:rFonts w:eastAsia="Times New Roman"/>
              </w:rPr>
            </w:pPr>
          </w:p>
        </w:tc>
      </w:tr>
    </w:tbl>
    <w:p w14:paraId="6CC20749" w14:textId="77777777" w:rsidR="00000000" w:rsidRDefault="00C1661D">
      <w:pPr>
        <w:ind w:hanging="360"/>
        <w:jc w:val="both"/>
        <w:rPr>
          <w:rFonts w:eastAsia="Times New Roman"/>
        </w:rPr>
      </w:pPr>
      <w:r>
        <w:rPr>
          <w:rFonts w:eastAsia="Times New Roman"/>
          <w:color w:val="000000"/>
          <w:sz w:val="20"/>
          <w:szCs w:val="20"/>
        </w:rPr>
        <w:t>(a</w:t>
      </w:r>
      <w:r>
        <w:rPr>
          <w:rFonts w:eastAsia="Times New Roman"/>
          <w:color w:val="000000"/>
          <w:sz w:val="20"/>
          <w:szCs w:val="20"/>
        </w:rPr>
        <w:t>)Total margin represents revenues less cost of sales.</w:t>
      </w:r>
    </w:p>
    <w:p w14:paraId="6A9E677D" w14:textId="77777777" w:rsidR="00000000" w:rsidRDefault="00C1661D">
      <w:pPr>
        <w:ind w:hanging="360"/>
        <w:jc w:val="both"/>
        <w:rPr>
          <w:rFonts w:eastAsia="Times New Roman"/>
        </w:rPr>
      </w:pPr>
      <w:r>
        <w:rPr>
          <w:rFonts w:eastAsia="Times New Roman"/>
          <w:color w:val="000000"/>
          <w:sz w:val="20"/>
          <w:szCs w:val="20"/>
        </w:rPr>
        <w:t xml:space="preserve">(b)Deviation from average heating degree days is determined on a rolling 10-year period utilizing volume-weighted weather data based on weather statistics provided by NOAA for 344 regions in the United </w:t>
      </w:r>
      <w:r>
        <w:rPr>
          <w:rFonts w:eastAsia="Times New Roman"/>
          <w:color w:val="000000"/>
          <w:sz w:val="20"/>
          <w:szCs w:val="20"/>
        </w:rPr>
        <w:t xml:space="preserve">States, excluding Alaska and Hawaii. </w:t>
      </w:r>
    </w:p>
    <w:p w14:paraId="59F51CDF" w14:textId="77777777" w:rsidR="00000000" w:rsidRDefault="00C1661D">
      <w:pPr>
        <w:jc w:val="both"/>
        <w:rPr>
          <w:rFonts w:eastAsia="Times New Roman"/>
        </w:rPr>
      </w:pPr>
    </w:p>
    <w:p w14:paraId="2B617785" w14:textId="77777777" w:rsidR="00000000" w:rsidRDefault="00C1661D">
      <w:pPr>
        <w:jc w:val="center"/>
        <w:divId w:val="1909345453"/>
        <w:rPr>
          <w:rFonts w:eastAsia="Times New Roman"/>
        </w:rPr>
      </w:pPr>
      <w:r>
        <w:rPr>
          <w:rFonts w:eastAsia="Times New Roman"/>
          <w:color w:val="000000"/>
          <w:sz w:val="20"/>
          <w:szCs w:val="20"/>
        </w:rPr>
        <w:t>52</w:t>
      </w:r>
    </w:p>
    <w:p w14:paraId="5533015B" w14:textId="77777777" w:rsidR="00000000" w:rsidRDefault="00C1661D">
      <w:pPr>
        <w:rPr>
          <w:rFonts w:eastAsia="Times New Roman"/>
        </w:rPr>
      </w:pPr>
      <w:r>
        <w:rPr>
          <w:rFonts w:eastAsia="Times New Roman"/>
        </w:rPr>
        <w:pict w14:anchorId="4F83E9A9">
          <v:rect id="_x0000_i1079" style="width:0;height:1.5pt" o:hralign="center" o:hrstd="t" o:hr="t" fillcolor="#a0a0a0" stroked="f"/>
        </w:pict>
      </w:r>
    </w:p>
    <w:p w14:paraId="20C7EA4F" w14:textId="77777777" w:rsidR="00000000" w:rsidRDefault="00C1661D">
      <w:pPr>
        <w:divId w:val="1862864211"/>
        <w:rPr>
          <w:rFonts w:eastAsia="Times New Roman"/>
        </w:rPr>
      </w:pPr>
      <w:hyperlink w:anchor="i3850c3c6c0104e42b9951aac2f16098a_7" w:history="1">
        <w:r>
          <w:rPr>
            <w:rStyle w:val="a3"/>
            <w:rFonts w:eastAsia="Times New Roman"/>
            <w:b/>
            <w:bCs/>
            <w:sz w:val="20"/>
            <w:szCs w:val="20"/>
          </w:rPr>
          <w:t>Table of Contents</w:t>
        </w:r>
      </w:hyperlink>
    </w:p>
    <w:p w14:paraId="3074A1E8" w14:textId="77777777" w:rsidR="00000000" w:rsidRDefault="00C1661D">
      <w:pPr>
        <w:jc w:val="both"/>
        <w:rPr>
          <w:rFonts w:eastAsia="Times New Roman"/>
        </w:rPr>
      </w:pPr>
      <w:r>
        <w:rPr>
          <w:rFonts w:eastAsia="Times New Roman"/>
          <w:color w:val="000000"/>
          <w:sz w:val="20"/>
          <w:szCs w:val="20"/>
        </w:rPr>
        <w:t xml:space="preserve">Average temperatures during Fiscal 2022 were 0.8% warmer than normal and 1.8% colder than the prior </w:t>
      </w:r>
      <w:r>
        <w:rPr>
          <w:rFonts w:eastAsia="Times New Roman"/>
          <w:color w:val="000000"/>
          <w:sz w:val="20"/>
          <w:szCs w:val="20"/>
        </w:rPr>
        <w:t>year. Total retail gallons sold decreased 8% during Fiscal 2022 principally reflecting the continuing impact of customer service challenges that occurred in Fiscal 2021, staffing shortages in key delivery related positions, increased price sensitivity in t</w:t>
      </w:r>
      <w:r>
        <w:rPr>
          <w:rFonts w:eastAsia="Times New Roman"/>
          <w:color w:val="000000"/>
          <w:sz w:val="20"/>
          <w:szCs w:val="20"/>
        </w:rPr>
        <w:t>he higher commodity cost environment and the absence of the beneficial prior-year impact of COVID-19 on cylinder exchange and resale volumes.</w:t>
      </w:r>
    </w:p>
    <w:p w14:paraId="05740685" w14:textId="77777777" w:rsidR="00000000" w:rsidRDefault="00C1661D">
      <w:pPr>
        <w:jc w:val="both"/>
        <w:rPr>
          <w:rFonts w:eastAsia="Times New Roman"/>
        </w:rPr>
      </w:pPr>
    </w:p>
    <w:p w14:paraId="4F2AC97F" w14:textId="77777777" w:rsidR="00000000" w:rsidRDefault="00C1661D">
      <w:pPr>
        <w:jc w:val="both"/>
        <w:rPr>
          <w:rFonts w:eastAsia="Times New Roman"/>
        </w:rPr>
      </w:pPr>
      <w:r>
        <w:rPr>
          <w:rFonts w:eastAsia="Times New Roman"/>
          <w:color w:val="000000"/>
          <w:sz w:val="20"/>
          <w:szCs w:val="20"/>
        </w:rPr>
        <w:t>Total revenues increased $329 million during Fiscal 2022 largely reflecting higher average propane selling price</w:t>
      </w:r>
      <w:r>
        <w:rPr>
          <w:rFonts w:eastAsia="Times New Roman"/>
          <w:color w:val="000000"/>
          <w:sz w:val="20"/>
          <w:szCs w:val="20"/>
        </w:rPr>
        <w:t>s ($468 million) and, to much lesser extent, higher wholesale volumes ($29 million). These increases were partially offset by the effects of the lower retail propane volumes sold ($182 million). Average daily wholesale propane commodity prices during Fisca</w:t>
      </w:r>
      <w:r>
        <w:rPr>
          <w:rFonts w:eastAsia="Times New Roman"/>
          <w:color w:val="000000"/>
          <w:sz w:val="20"/>
          <w:szCs w:val="20"/>
        </w:rPr>
        <w:t>l 2022 at Mont Belvieu, Texas, one of the major supply points in the U.S., were approximately 39% higher than such prices during Fiscal 2021. Total cost of sales increased $396 million during Fiscal 2022 largely attributable to the higher average propane p</w:t>
      </w:r>
      <w:r>
        <w:rPr>
          <w:rFonts w:eastAsia="Times New Roman"/>
          <w:color w:val="000000"/>
          <w:sz w:val="20"/>
          <w:szCs w:val="20"/>
        </w:rPr>
        <w:t>roduct costs ($448 million) and, to a much lesser extent, the higher wholesale propane volumes ($27 million). These increases were partially offset by the effects of the lower retail propane volumes sold ($82 million).</w:t>
      </w:r>
    </w:p>
    <w:p w14:paraId="3780FB48" w14:textId="77777777" w:rsidR="00000000" w:rsidRDefault="00C1661D">
      <w:pPr>
        <w:jc w:val="both"/>
        <w:rPr>
          <w:rFonts w:eastAsia="Times New Roman"/>
        </w:rPr>
      </w:pPr>
    </w:p>
    <w:p w14:paraId="6A34D371" w14:textId="77777777" w:rsidR="00000000" w:rsidRDefault="00C1661D">
      <w:pPr>
        <w:jc w:val="both"/>
        <w:rPr>
          <w:rFonts w:eastAsia="Times New Roman"/>
        </w:rPr>
      </w:pPr>
      <w:r>
        <w:rPr>
          <w:rFonts w:eastAsia="Times New Roman"/>
          <w:color w:val="000000"/>
          <w:sz w:val="20"/>
          <w:szCs w:val="20"/>
        </w:rPr>
        <w:t>AmeriGas Propane total margin decre</w:t>
      </w:r>
      <w:r>
        <w:rPr>
          <w:rFonts w:eastAsia="Times New Roman"/>
          <w:color w:val="000000"/>
          <w:sz w:val="20"/>
          <w:szCs w:val="20"/>
        </w:rPr>
        <w:t>ased $67 million in Fiscal 2022 largely attributable to the lower retail propane volumes sold ($100 million) compared to the prior year. This decrease was partially offset by higher average retail propane margin ($28 million) and increased non-propane marg</w:t>
      </w:r>
      <w:r>
        <w:rPr>
          <w:rFonts w:eastAsia="Times New Roman"/>
          <w:color w:val="000000"/>
          <w:sz w:val="20"/>
          <w:szCs w:val="20"/>
        </w:rPr>
        <w:t xml:space="preserve">in ($11 million) largely attributable to higher fuel recovery and tank rental fees. </w:t>
      </w:r>
    </w:p>
    <w:p w14:paraId="07A09189" w14:textId="77777777" w:rsidR="00000000" w:rsidRDefault="00C1661D">
      <w:pPr>
        <w:jc w:val="both"/>
        <w:rPr>
          <w:rFonts w:eastAsia="Times New Roman"/>
        </w:rPr>
      </w:pPr>
    </w:p>
    <w:p w14:paraId="35FBF56F" w14:textId="77777777" w:rsidR="00000000" w:rsidRDefault="00C1661D">
      <w:pPr>
        <w:jc w:val="both"/>
        <w:rPr>
          <w:rFonts w:eastAsia="Times New Roman"/>
        </w:rPr>
      </w:pPr>
      <w:r>
        <w:rPr>
          <w:rFonts w:eastAsia="Times New Roman"/>
          <w:color w:val="000000"/>
          <w:sz w:val="20"/>
          <w:szCs w:val="20"/>
        </w:rPr>
        <w:t>Operating income and earnings before interest expense and income taxes decreased $78 million during Fiscal 2022 primarily attributable to the previously mentioned decrea</w:t>
      </w:r>
      <w:r>
        <w:rPr>
          <w:rFonts w:eastAsia="Times New Roman"/>
          <w:color w:val="000000"/>
          <w:sz w:val="20"/>
          <w:szCs w:val="20"/>
        </w:rPr>
        <w:t xml:space="preserve">se in total margin and higher operating and administrative expenses ($20 million). Operating income and earnings before interest expense and income taxes in Fiscal 2022 also includes an increase in other income largely related to gains on asset sales. The </w:t>
      </w:r>
      <w:r>
        <w:rPr>
          <w:rFonts w:eastAsia="Times New Roman"/>
          <w:color w:val="000000"/>
          <w:sz w:val="20"/>
          <w:szCs w:val="20"/>
        </w:rPr>
        <w:t>increase in operating and administrative expenses in Fiscal 2022 was impacted by the inflationary cost environment and includes, among other things, higher bad debt expense ($13 million), vehicle fuel ($13 million), general insurance and claims expense ($1</w:t>
      </w:r>
      <w:r>
        <w:rPr>
          <w:rFonts w:eastAsia="Times New Roman"/>
          <w:color w:val="000000"/>
          <w:sz w:val="20"/>
          <w:szCs w:val="20"/>
        </w:rPr>
        <w:t xml:space="preserve">1 million), and telecommunications expenses ($10 million). These increases were partially offset by lower expenses associated with employee compensation and benefits ($22 million), advertising ($8 million) and vehicle leases ($5 million). </w:t>
      </w:r>
    </w:p>
    <w:p w14:paraId="1E0373CD" w14:textId="77777777" w:rsidR="00000000" w:rsidRDefault="00C1661D">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7"/>
        <w:gridCol w:w="3928"/>
        <w:gridCol w:w="36"/>
        <w:gridCol w:w="36"/>
        <w:gridCol w:w="36"/>
        <w:gridCol w:w="36"/>
        <w:gridCol w:w="120"/>
        <w:gridCol w:w="720"/>
        <w:gridCol w:w="187"/>
        <w:gridCol w:w="36"/>
        <w:gridCol w:w="36"/>
        <w:gridCol w:w="36"/>
        <w:gridCol w:w="120"/>
        <w:gridCol w:w="720"/>
        <w:gridCol w:w="187"/>
        <w:gridCol w:w="36"/>
        <w:gridCol w:w="36"/>
        <w:gridCol w:w="36"/>
        <w:gridCol w:w="120"/>
        <w:gridCol w:w="720"/>
        <w:gridCol w:w="36"/>
        <w:gridCol w:w="36"/>
        <w:gridCol w:w="36"/>
        <w:gridCol w:w="36"/>
        <w:gridCol w:w="38"/>
        <w:gridCol w:w="681"/>
        <w:gridCol w:w="187"/>
      </w:tblGrid>
      <w:tr w:rsidR="00000000" w14:paraId="30485953" w14:textId="77777777">
        <w:tc>
          <w:tcPr>
            <w:tcW w:w="50" w:type="pct"/>
            <w:vAlign w:val="center"/>
            <w:hideMark/>
          </w:tcPr>
          <w:p w14:paraId="057E3619" w14:textId="77777777" w:rsidR="00000000" w:rsidRDefault="00C1661D">
            <w:pPr>
              <w:jc w:val="both"/>
              <w:rPr>
                <w:rFonts w:eastAsia="Times New Roman"/>
              </w:rPr>
            </w:pPr>
          </w:p>
        </w:tc>
        <w:tc>
          <w:tcPr>
            <w:tcW w:w="2448" w:type="pct"/>
            <w:vAlign w:val="center"/>
            <w:hideMark/>
          </w:tcPr>
          <w:p w14:paraId="55EE2084" w14:textId="77777777" w:rsidR="00000000" w:rsidRDefault="00C1661D">
            <w:pPr>
              <w:spacing w:after="100"/>
              <w:rPr>
                <w:rFonts w:eastAsia="Times New Roman"/>
                <w:sz w:val="20"/>
                <w:szCs w:val="20"/>
              </w:rPr>
            </w:pPr>
          </w:p>
        </w:tc>
        <w:tc>
          <w:tcPr>
            <w:tcW w:w="5" w:type="pct"/>
            <w:vAlign w:val="center"/>
            <w:hideMark/>
          </w:tcPr>
          <w:p w14:paraId="2B625414" w14:textId="77777777" w:rsidR="00000000" w:rsidRDefault="00C1661D">
            <w:pPr>
              <w:spacing w:after="100"/>
              <w:rPr>
                <w:rFonts w:eastAsia="Times New Roman"/>
                <w:sz w:val="20"/>
                <w:szCs w:val="20"/>
              </w:rPr>
            </w:pPr>
          </w:p>
        </w:tc>
        <w:tc>
          <w:tcPr>
            <w:tcW w:w="5" w:type="pct"/>
            <w:vAlign w:val="center"/>
            <w:hideMark/>
          </w:tcPr>
          <w:p w14:paraId="76403ADC" w14:textId="77777777" w:rsidR="00000000" w:rsidRDefault="00C1661D">
            <w:pPr>
              <w:spacing w:after="100"/>
              <w:rPr>
                <w:rFonts w:eastAsia="Times New Roman"/>
                <w:sz w:val="20"/>
                <w:szCs w:val="20"/>
              </w:rPr>
            </w:pPr>
          </w:p>
        </w:tc>
        <w:tc>
          <w:tcPr>
            <w:tcW w:w="26" w:type="pct"/>
            <w:vAlign w:val="center"/>
            <w:hideMark/>
          </w:tcPr>
          <w:p w14:paraId="191F0196" w14:textId="77777777" w:rsidR="00000000" w:rsidRDefault="00C1661D">
            <w:pPr>
              <w:spacing w:after="100"/>
              <w:rPr>
                <w:rFonts w:eastAsia="Times New Roman"/>
                <w:sz w:val="20"/>
                <w:szCs w:val="20"/>
              </w:rPr>
            </w:pPr>
          </w:p>
        </w:tc>
        <w:tc>
          <w:tcPr>
            <w:tcW w:w="5" w:type="pct"/>
            <w:vAlign w:val="center"/>
            <w:hideMark/>
          </w:tcPr>
          <w:p w14:paraId="558C8E1D" w14:textId="77777777" w:rsidR="00000000" w:rsidRDefault="00C1661D">
            <w:pPr>
              <w:spacing w:after="100"/>
              <w:rPr>
                <w:rFonts w:eastAsia="Times New Roman"/>
                <w:sz w:val="20"/>
                <w:szCs w:val="20"/>
              </w:rPr>
            </w:pPr>
          </w:p>
        </w:tc>
        <w:tc>
          <w:tcPr>
            <w:tcW w:w="50" w:type="pct"/>
            <w:vAlign w:val="center"/>
            <w:hideMark/>
          </w:tcPr>
          <w:p w14:paraId="0C34D856" w14:textId="77777777" w:rsidR="00000000" w:rsidRDefault="00C1661D">
            <w:pPr>
              <w:spacing w:after="100"/>
              <w:rPr>
                <w:rFonts w:eastAsia="Times New Roman"/>
                <w:sz w:val="20"/>
                <w:szCs w:val="20"/>
              </w:rPr>
            </w:pPr>
          </w:p>
        </w:tc>
        <w:tc>
          <w:tcPr>
            <w:tcW w:w="532" w:type="pct"/>
            <w:vAlign w:val="center"/>
            <w:hideMark/>
          </w:tcPr>
          <w:p w14:paraId="625C2100" w14:textId="77777777" w:rsidR="00000000" w:rsidRDefault="00C1661D">
            <w:pPr>
              <w:spacing w:after="100"/>
              <w:rPr>
                <w:rFonts w:eastAsia="Times New Roman"/>
                <w:sz w:val="20"/>
                <w:szCs w:val="20"/>
              </w:rPr>
            </w:pPr>
          </w:p>
        </w:tc>
        <w:tc>
          <w:tcPr>
            <w:tcW w:w="5" w:type="pct"/>
            <w:vAlign w:val="center"/>
            <w:hideMark/>
          </w:tcPr>
          <w:p w14:paraId="036ADAF7" w14:textId="77777777" w:rsidR="00000000" w:rsidRDefault="00C1661D">
            <w:pPr>
              <w:spacing w:after="100"/>
              <w:rPr>
                <w:rFonts w:eastAsia="Times New Roman"/>
                <w:sz w:val="20"/>
                <w:szCs w:val="20"/>
              </w:rPr>
            </w:pPr>
          </w:p>
        </w:tc>
        <w:tc>
          <w:tcPr>
            <w:tcW w:w="5" w:type="pct"/>
            <w:vAlign w:val="center"/>
            <w:hideMark/>
          </w:tcPr>
          <w:p w14:paraId="355EE0AA" w14:textId="77777777" w:rsidR="00000000" w:rsidRDefault="00C1661D">
            <w:pPr>
              <w:spacing w:after="100"/>
              <w:rPr>
                <w:rFonts w:eastAsia="Times New Roman"/>
                <w:sz w:val="20"/>
                <w:szCs w:val="20"/>
              </w:rPr>
            </w:pPr>
          </w:p>
        </w:tc>
        <w:tc>
          <w:tcPr>
            <w:tcW w:w="26" w:type="pct"/>
            <w:vAlign w:val="center"/>
            <w:hideMark/>
          </w:tcPr>
          <w:p w14:paraId="13DDB6AC" w14:textId="77777777" w:rsidR="00000000" w:rsidRDefault="00C1661D">
            <w:pPr>
              <w:spacing w:after="100"/>
              <w:rPr>
                <w:rFonts w:eastAsia="Times New Roman"/>
                <w:sz w:val="20"/>
                <w:szCs w:val="20"/>
              </w:rPr>
            </w:pPr>
          </w:p>
        </w:tc>
        <w:tc>
          <w:tcPr>
            <w:tcW w:w="5" w:type="pct"/>
            <w:vAlign w:val="center"/>
            <w:hideMark/>
          </w:tcPr>
          <w:p w14:paraId="3BB5A0F4" w14:textId="77777777" w:rsidR="00000000" w:rsidRDefault="00C1661D">
            <w:pPr>
              <w:spacing w:after="100"/>
              <w:rPr>
                <w:rFonts w:eastAsia="Times New Roman"/>
                <w:sz w:val="20"/>
                <w:szCs w:val="20"/>
              </w:rPr>
            </w:pPr>
          </w:p>
        </w:tc>
        <w:tc>
          <w:tcPr>
            <w:tcW w:w="50" w:type="pct"/>
            <w:vAlign w:val="center"/>
            <w:hideMark/>
          </w:tcPr>
          <w:p w14:paraId="41EC7A85" w14:textId="77777777" w:rsidR="00000000" w:rsidRDefault="00C1661D">
            <w:pPr>
              <w:spacing w:after="100"/>
              <w:rPr>
                <w:rFonts w:eastAsia="Times New Roman"/>
                <w:sz w:val="20"/>
                <w:szCs w:val="20"/>
              </w:rPr>
            </w:pPr>
          </w:p>
        </w:tc>
        <w:tc>
          <w:tcPr>
            <w:tcW w:w="532" w:type="pct"/>
            <w:vAlign w:val="center"/>
            <w:hideMark/>
          </w:tcPr>
          <w:p w14:paraId="28251DE7" w14:textId="77777777" w:rsidR="00000000" w:rsidRDefault="00C1661D">
            <w:pPr>
              <w:spacing w:after="100"/>
              <w:rPr>
                <w:rFonts w:eastAsia="Times New Roman"/>
                <w:sz w:val="20"/>
                <w:szCs w:val="20"/>
              </w:rPr>
            </w:pPr>
          </w:p>
        </w:tc>
        <w:tc>
          <w:tcPr>
            <w:tcW w:w="5" w:type="pct"/>
            <w:vAlign w:val="center"/>
            <w:hideMark/>
          </w:tcPr>
          <w:p w14:paraId="32F8FBBD" w14:textId="77777777" w:rsidR="00000000" w:rsidRDefault="00C1661D">
            <w:pPr>
              <w:spacing w:after="100"/>
              <w:rPr>
                <w:rFonts w:eastAsia="Times New Roman"/>
                <w:sz w:val="20"/>
                <w:szCs w:val="20"/>
              </w:rPr>
            </w:pPr>
          </w:p>
        </w:tc>
        <w:tc>
          <w:tcPr>
            <w:tcW w:w="5" w:type="pct"/>
            <w:vAlign w:val="center"/>
            <w:hideMark/>
          </w:tcPr>
          <w:p w14:paraId="14DE4CD1" w14:textId="77777777" w:rsidR="00000000" w:rsidRDefault="00C1661D">
            <w:pPr>
              <w:spacing w:after="100"/>
              <w:rPr>
                <w:rFonts w:eastAsia="Times New Roman"/>
                <w:sz w:val="20"/>
                <w:szCs w:val="20"/>
              </w:rPr>
            </w:pPr>
          </w:p>
        </w:tc>
        <w:tc>
          <w:tcPr>
            <w:tcW w:w="26" w:type="pct"/>
            <w:vAlign w:val="center"/>
            <w:hideMark/>
          </w:tcPr>
          <w:p w14:paraId="2F35A885" w14:textId="77777777" w:rsidR="00000000" w:rsidRDefault="00C1661D">
            <w:pPr>
              <w:spacing w:after="100"/>
              <w:rPr>
                <w:rFonts w:eastAsia="Times New Roman"/>
                <w:sz w:val="20"/>
                <w:szCs w:val="20"/>
              </w:rPr>
            </w:pPr>
          </w:p>
        </w:tc>
        <w:tc>
          <w:tcPr>
            <w:tcW w:w="5" w:type="pct"/>
            <w:vAlign w:val="center"/>
            <w:hideMark/>
          </w:tcPr>
          <w:p w14:paraId="388ED1CE" w14:textId="77777777" w:rsidR="00000000" w:rsidRDefault="00C1661D">
            <w:pPr>
              <w:spacing w:after="100"/>
              <w:rPr>
                <w:rFonts w:eastAsia="Times New Roman"/>
                <w:sz w:val="20"/>
                <w:szCs w:val="20"/>
              </w:rPr>
            </w:pPr>
          </w:p>
        </w:tc>
        <w:tc>
          <w:tcPr>
            <w:tcW w:w="50" w:type="pct"/>
            <w:vAlign w:val="center"/>
            <w:hideMark/>
          </w:tcPr>
          <w:p w14:paraId="5A139D5B" w14:textId="77777777" w:rsidR="00000000" w:rsidRDefault="00C1661D">
            <w:pPr>
              <w:spacing w:after="100"/>
              <w:rPr>
                <w:rFonts w:eastAsia="Times New Roman"/>
                <w:sz w:val="20"/>
                <w:szCs w:val="20"/>
              </w:rPr>
            </w:pPr>
          </w:p>
        </w:tc>
        <w:tc>
          <w:tcPr>
            <w:tcW w:w="532" w:type="pct"/>
            <w:vAlign w:val="center"/>
            <w:hideMark/>
          </w:tcPr>
          <w:p w14:paraId="3D889DE0" w14:textId="77777777" w:rsidR="00000000" w:rsidRDefault="00C1661D">
            <w:pPr>
              <w:spacing w:after="100"/>
              <w:rPr>
                <w:rFonts w:eastAsia="Times New Roman"/>
                <w:sz w:val="20"/>
                <w:szCs w:val="20"/>
              </w:rPr>
            </w:pPr>
          </w:p>
        </w:tc>
        <w:tc>
          <w:tcPr>
            <w:tcW w:w="5" w:type="pct"/>
            <w:vAlign w:val="center"/>
            <w:hideMark/>
          </w:tcPr>
          <w:p w14:paraId="3D1D70D8" w14:textId="77777777" w:rsidR="00000000" w:rsidRDefault="00C1661D">
            <w:pPr>
              <w:spacing w:after="100"/>
              <w:rPr>
                <w:rFonts w:eastAsia="Times New Roman"/>
                <w:sz w:val="20"/>
                <w:szCs w:val="20"/>
              </w:rPr>
            </w:pPr>
          </w:p>
        </w:tc>
        <w:tc>
          <w:tcPr>
            <w:tcW w:w="5" w:type="pct"/>
            <w:vAlign w:val="center"/>
            <w:hideMark/>
          </w:tcPr>
          <w:p w14:paraId="2D7ED979" w14:textId="77777777" w:rsidR="00000000" w:rsidRDefault="00C1661D">
            <w:pPr>
              <w:spacing w:after="100"/>
              <w:rPr>
                <w:rFonts w:eastAsia="Times New Roman"/>
                <w:sz w:val="20"/>
                <w:szCs w:val="20"/>
              </w:rPr>
            </w:pPr>
          </w:p>
        </w:tc>
        <w:tc>
          <w:tcPr>
            <w:tcW w:w="26" w:type="pct"/>
            <w:vAlign w:val="center"/>
            <w:hideMark/>
          </w:tcPr>
          <w:p w14:paraId="7669C9F9" w14:textId="77777777" w:rsidR="00000000" w:rsidRDefault="00C1661D">
            <w:pPr>
              <w:spacing w:after="100"/>
              <w:rPr>
                <w:rFonts w:eastAsia="Times New Roman"/>
                <w:sz w:val="20"/>
                <w:szCs w:val="20"/>
              </w:rPr>
            </w:pPr>
          </w:p>
        </w:tc>
        <w:tc>
          <w:tcPr>
            <w:tcW w:w="5" w:type="pct"/>
            <w:vAlign w:val="center"/>
            <w:hideMark/>
          </w:tcPr>
          <w:p w14:paraId="53765F8D" w14:textId="77777777" w:rsidR="00000000" w:rsidRDefault="00C1661D">
            <w:pPr>
              <w:spacing w:after="100"/>
              <w:rPr>
                <w:rFonts w:eastAsia="Times New Roman"/>
                <w:sz w:val="20"/>
                <w:szCs w:val="20"/>
              </w:rPr>
            </w:pPr>
          </w:p>
        </w:tc>
        <w:tc>
          <w:tcPr>
            <w:tcW w:w="50" w:type="pct"/>
            <w:vAlign w:val="center"/>
            <w:hideMark/>
          </w:tcPr>
          <w:p w14:paraId="7F3C7511" w14:textId="77777777" w:rsidR="00000000" w:rsidRDefault="00C1661D">
            <w:pPr>
              <w:spacing w:after="100"/>
              <w:rPr>
                <w:rFonts w:eastAsia="Times New Roman"/>
                <w:sz w:val="20"/>
                <w:szCs w:val="20"/>
              </w:rPr>
            </w:pPr>
          </w:p>
        </w:tc>
        <w:tc>
          <w:tcPr>
            <w:tcW w:w="532" w:type="pct"/>
            <w:vAlign w:val="center"/>
            <w:hideMark/>
          </w:tcPr>
          <w:p w14:paraId="4D640D01" w14:textId="77777777" w:rsidR="00000000" w:rsidRDefault="00C1661D">
            <w:pPr>
              <w:spacing w:after="100"/>
              <w:rPr>
                <w:rFonts w:eastAsia="Times New Roman"/>
                <w:sz w:val="20"/>
                <w:szCs w:val="20"/>
              </w:rPr>
            </w:pPr>
          </w:p>
        </w:tc>
        <w:tc>
          <w:tcPr>
            <w:tcW w:w="5" w:type="pct"/>
            <w:vAlign w:val="center"/>
            <w:hideMark/>
          </w:tcPr>
          <w:p w14:paraId="1253B4B6" w14:textId="77777777" w:rsidR="00000000" w:rsidRDefault="00C1661D">
            <w:pPr>
              <w:spacing w:after="100"/>
              <w:rPr>
                <w:rFonts w:eastAsia="Times New Roman"/>
                <w:sz w:val="20"/>
                <w:szCs w:val="20"/>
              </w:rPr>
            </w:pPr>
          </w:p>
        </w:tc>
      </w:tr>
      <w:tr w:rsidR="00000000" w14:paraId="4DF5206F" w14:textId="77777777">
        <w:tc>
          <w:tcPr>
            <w:tcW w:w="0" w:type="auto"/>
            <w:gridSpan w:val="3"/>
            <w:tcMar>
              <w:top w:w="30" w:type="dxa"/>
              <w:left w:w="20" w:type="dxa"/>
              <w:bottom w:w="30" w:type="dxa"/>
              <w:right w:w="20" w:type="dxa"/>
            </w:tcMar>
            <w:vAlign w:val="bottom"/>
            <w:hideMark/>
          </w:tcPr>
          <w:p w14:paraId="62978943" w14:textId="77777777" w:rsidR="00000000" w:rsidRDefault="00C1661D">
            <w:pPr>
              <w:spacing w:after="100"/>
              <w:rPr>
                <w:rFonts w:eastAsia="Times New Roman"/>
              </w:rPr>
            </w:pPr>
            <w:r>
              <w:rPr>
                <w:rFonts w:eastAsia="Times New Roman"/>
                <w:b/>
                <w:bCs/>
                <w:color w:val="000000"/>
                <w:sz w:val="20"/>
                <w:szCs w:val="20"/>
              </w:rPr>
              <w:t>UGI International</w:t>
            </w:r>
          </w:p>
        </w:tc>
        <w:tc>
          <w:tcPr>
            <w:tcW w:w="0" w:type="auto"/>
            <w:gridSpan w:val="3"/>
            <w:tcMar>
              <w:top w:w="0" w:type="dxa"/>
              <w:left w:w="20" w:type="dxa"/>
              <w:bottom w:w="0" w:type="dxa"/>
              <w:right w:w="20" w:type="dxa"/>
            </w:tcMar>
            <w:vAlign w:val="center"/>
            <w:hideMark/>
          </w:tcPr>
          <w:p w14:paraId="6A79AD73"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58FFF403"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6E40EBC2"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BA1550E"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0748E35D" w14:textId="77777777" w:rsidR="00000000" w:rsidRDefault="00C1661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2472222" w14:textId="77777777" w:rsidR="00000000" w:rsidRDefault="00C1661D">
            <w:pPr>
              <w:spacing w:after="100"/>
              <w:jc w:val="center"/>
              <w:rPr>
                <w:rFonts w:eastAsia="Times New Roman"/>
              </w:rPr>
            </w:pPr>
            <w:r>
              <w:rPr>
                <w:rFonts w:eastAsia="Times New Roman"/>
                <w:color w:val="000000"/>
                <w:sz w:val="20"/>
                <w:szCs w:val="20"/>
              </w:rPr>
              <w:t>Increase (Decrease)</w:t>
            </w:r>
          </w:p>
        </w:tc>
      </w:tr>
      <w:tr w:rsidR="00000000" w14:paraId="0487025A" w14:textId="77777777">
        <w:tc>
          <w:tcPr>
            <w:tcW w:w="0" w:type="auto"/>
            <w:gridSpan w:val="3"/>
            <w:tcBorders>
              <w:top w:val="single" w:sz="8" w:space="0" w:color="000000"/>
            </w:tcBorders>
            <w:tcMar>
              <w:top w:w="30" w:type="dxa"/>
              <w:left w:w="20" w:type="dxa"/>
              <w:bottom w:w="30" w:type="dxa"/>
              <w:right w:w="20" w:type="dxa"/>
            </w:tcMar>
            <w:vAlign w:val="bottom"/>
            <w:hideMark/>
          </w:tcPr>
          <w:p w14:paraId="4FEA1100" w14:textId="77777777" w:rsidR="00000000" w:rsidRDefault="00C1661D">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14:paraId="619AFC33"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CA0A25"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EF3EA36"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6CD902"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70CDEED3"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501156"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14:paraId="45B5CD4F"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922AF6" w14:textId="77777777" w:rsidR="00000000" w:rsidRDefault="00C1661D">
            <w:pPr>
              <w:spacing w:after="100"/>
              <w:rPr>
                <w:rFonts w:eastAsia="Times New Roman"/>
              </w:rPr>
            </w:pPr>
            <w:r>
              <w:rPr>
                <w:rFonts w:eastAsia="Times New Roman"/>
                <w:color w:val="000000"/>
                <w:sz w:val="20"/>
                <w:szCs w:val="20"/>
              </w:rPr>
              <w:t> </w:t>
            </w:r>
          </w:p>
        </w:tc>
      </w:tr>
      <w:tr w:rsidR="00000000" w14:paraId="5B049D1B" w14:textId="77777777">
        <w:tc>
          <w:tcPr>
            <w:tcW w:w="0" w:type="auto"/>
            <w:gridSpan w:val="3"/>
            <w:shd w:val="clear" w:color="auto" w:fill="CCEEFF"/>
            <w:tcMar>
              <w:top w:w="30" w:type="dxa"/>
              <w:left w:w="20" w:type="dxa"/>
              <w:bottom w:w="30" w:type="dxa"/>
              <w:right w:w="20" w:type="dxa"/>
            </w:tcMar>
            <w:vAlign w:val="bottom"/>
            <w:hideMark/>
          </w:tcPr>
          <w:p w14:paraId="4A71E826" w14:textId="77777777" w:rsidR="00000000" w:rsidRDefault="00C1661D">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14:paraId="0EE3CF27"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48EBA5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90B8FD" w14:textId="77777777" w:rsidR="00000000" w:rsidRDefault="00C1661D">
            <w:pPr>
              <w:spacing w:after="100"/>
              <w:jc w:val="right"/>
              <w:rPr>
                <w:rFonts w:eastAsia="Times New Roman"/>
              </w:rPr>
            </w:pPr>
            <w:r>
              <w:rPr>
                <w:rFonts w:eastAsia="Times New Roman"/>
                <w:color w:val="000000"/>
                <w:sz w:val="20"/>
                <w:szCs w:val="20"/>
              </w:rPr>
              <w:t>3,686 </w:t>
            </w:r>
          </w:p>
        </w:tc>
        <w:tc>
          <w:tcPr>
            <w:tcW w:w="0" w:type="auto"/>
            <w:shd w:val="clear" w:color="auto" w:fill="CCEEFF"/>
            <w:tcMar>
              <w:top w:w="30" w:type="dxa"/>
              <w:left w:w="0" w:type="dxa"/>
              <w:bottom w:w="30" w:type="dxa"/>
              <w:right w:w="20" w:type="dxa"/>
            </w:tcMar>
            <w:vAlign w:val="bottom"/>
            <w:hideMark/>
          </w:tcPr>
          <w:p w14:paraId="051579A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E90145"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E2795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56D66A" w14:textId="77777777" w:rsidR="00000000" w:rsidRDefault="00C1661D">
            <w:pPr>
              <w:spacing w:after="100"/>
              <w:jc w:val="right"/>
              <w:rPr>
                <w:rFonts w:eastAsia="Times New Roman"/>
              </w:rPr>
            </w:pPr>
            <w:r>
              <w:rPr>
                <w:rFonts w:eastAsia="Times New Roman"/>
                <w:color w:val="000000"/>
                <w:sz w:val="20"/>
                <w:szCs w:val="20"/>
              </w:rPr>
              <w:t>2,651 </w:t>
            </w:r>
          </w:p>
        </w:tc>
        <w:tc>
          <w:tcPr>
            <w:tcW w:w="0" w:type="auto"/>
            <w:shd w:val="clear" w:color="auto" w:fill="CCEEFF"/>
            <w:tcMar>
              <w:top w:w="30" w:type="dxa"/>
              <w:left w:w="0" w:type="dxa"/>
              <w:bottom w:w="30" w:type="dxa"/>
              <w:right w:w="20" w:type="dxa"/>
            </w:tcMar>
            <w:vAlign w:val="bottom"/>
            <w:hideMark/>
          </w:tcPr>
          <w:p w14:paraId="396C78C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621CB9"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BF4A20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F99314" w14:textId="77777777" w:rsidR="00000000" w:rsidRDefault="00C1661D">
            <w:pPr>
              <w:spacing w:after="100"/>
              <w:jc w:val="right"/>
              <w:rPr>
                <w:rFonts w:eastAsia="Times New Roman"/>
              </w:rPr>
            </w:pPr>
            <w:r>
              <w:rPr>
                <w:rFonts w:eastAsia="Times New Roman"/>
                <w:color w:val="000000"/>
                <w:sz w:val="20"/>
                <w:szCs w:val="20"/>
              </w:rPr>
              <w:t>1,035 </w:t>
            </w:r>
          </w:p>
        </w:tc>
        <w:tc>
          <w:tcPr>
            <w:tcW w:w="0" w:type="auto"/>
            <w:shd w:val="clear" w:color="auto" w:fill="CCEEFF"/>
            <w:tcMar>
              <w:top w:w="30" w:type="dxa"/>
              <w:left w:w="0" w:type="dxa"/>
              <w:bottom w:w="30" w:type="dxa"/>
              <w:right w:w="20" w:type="dxa"/>
            </w:tcMar>
            <w:vAlign w:val="bottom"/>
            <w:hideMark/>
          </w:tcPr>
          <w:p w14:paraId="6B8C55A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BFF85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A5D188" w14:textId="77777777" w:rsidR="00000000" w:rsidRDefault="00C1661D">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14:paraId="4064184A" w14:textId="77777777" w:rsidR="00000000" w:rsidRDefault="00C1661D">
            <w:pPr>
              <w:spacing w:after="100"/>
              <w:jc w:val="right"/>
              <w:rPr>
                <w:rFonts w:eastAsia="Times New Roman"/>
              </w:rPr>
            </w:pPr>
            <w:r>
              <w:rPr>
                <w:rFonts w:eastAsia="Times New Roman"/>
                <w:color w:val="000000"/>
                <w:sz w:val="20"/>
                <w:szCs w:val="20"/>
              </w:rPr>
              <w:t>%</w:t>
            </w:r>
          </w:p>
        </w:tc>
      </w:tr>
      <w:tr w:rsidR="00000000" w14:paraId="744A1496" w14:textId="77777777">
        <w:tc>
          <w:tcPr>
            <w:tcW w:w="0" w:type="auto"/>
            <w:gridSpan w:val="3"/>
            <w:shd w:val="clear" w:color="auto" w:fill="FFFFFF"/>
            <w:tcMar>
              <w:top w:w="30" w:type="dxa"/>
              <w:left w:w="20" w:type="dxa"/>
              <w:bottom w:w="30" w:type="dxa"/>
              <w:right w:w="20" w:type="dxa"/>
            </w:tcMar>
            <w:vAlign w:val="bottom"/>
            <w:hideMark/>
          </w:tcPr>
          <w:p w14:paraId="5B0C06EC" w14:textId="77777777" w:rsidR="00000000" w:rsidRDefault="00C1661D">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14:paraId="77727E12"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E5B7FC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742169E" w14:textId="77777777" w:rsidR="00000000" w:rsidRDefault="00C1661D">
            <w:pPr>
              <w:spacing w:after="100"/>
              <w:jc w:val="right"/>
              <w:rPr>
                <w:rFonts w:eastAsia="Times New Roman"/>
              </w:rPr>
            </w:pPr>
            <w:r>
              <w:rPr>
                <w:rFonts w:eastAsia="Times New Roman"/>
                <w:color w:val="000000"/>
                <w:sz w:val="20"/>
                <w:szCs w:val="20"/>
              </w:rPr>
              <w:t>935 </w:t>
            </w:r>
          </w:p>
        </w:tc>
        <w:tc>
          <w:tcPr>
            <w:tcW w:w="0" w:type="auto"/>
            <w:shd w:val="clear" w:color="auto" w:fill="FFFFFF"/>
            <w:tcMar>
              <w:top w:w="30" w:type="dxa"/>
              <w:left w:w="0" w:type="dxa"/>
              <w:bottom w:w="30" w:type="dxa"/>
              <w:right w:w="20" w:type="dxa"/>
            </w:tcMar>
            <w:vAlign w:val="bottom"/>
            <w:hideMark/>
          </w:tcPr>
          <w:p w14:paraId="5D6A61B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33C422"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F8229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353FDAD" w14:textId="77777777" w:rsidR="00000000" w:rsidRDefault="00C1661D">
            <w:pPr>
              <w:spacing w:after="100"/>
              <w:jc w:val="right"/>
              <w:rPr>
                <w:rFonts w:eastAsia="Times New Roman"/>
              </w:rPr>
            </w:pPr>
            <w:r>
              <w:rPr>
                <w:rFonts w:eastAsia="Times New Roman"/>
                <w:color w:val="000000"/>
                <w:sz w:val="20"/>
                <w:szCs w:val="20"/>
              </w:rPr>
              <w:t>1,053 </w:t>
            </w:r>
          </w:p>
        </w:tc>
        <w:tc>
          <w:tcPr>
            <w:tcW w:w="0" w:type="auto"/>
            <w:shd w:val="clear" w:color="auto" w:fill="FFFFFF"/>
            <w:tcMar>
              <w:top w:w="30" w:type="dxa"/>
              <w:left w:w="0" w:type="dxa"/>
              <w:bottom w:w="30" w:type="dxa"/>
              <w:right w:w="20" w:type="dxa"/>
            </w:tcMar>
            <w:vAlign w:val="bottom"/>
            <w:hideMark/>
          </w:tcPr>
          <w:p w14:paraId="7837DB9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F038E7"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C3B1E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98E0A9F" w14:textId="77777777" w:rsidR="00000000" w:rsidRDefault="00C1661D">
            <w:pPr>
              <w:spacing w:after="100"/>
              <w:jc w:val="right"/>
              <w:rPr>
                <w:rFonts w:eastAsia="Times New Roman"/>
              </w:rPr>
            </w:pPr>
            <w:r>
              <w:rPr>
                <w:rFonts w:eastAsia="Times New Roman"/>
                <w:color w:val="000000"/>
                <w:sz w:val="20"/>
                <w:szCs w:val="20"/>
              </w:rPr>
              <w:t>(118)</w:t>
            </w:r>
          </w:p>
        </w:tc>
        <w:tc>
          <w:tcPr>
            <w:tcW w:w="0" w:type="auto"/>
            <w:shd w:val="clear" w:color="auto" w:fill="FFFFFF"/>
            <w:tcMar>
              <w:top w:w="30" w:type="dxa"/>
              <w:left w:w="0" w:type="dxa"/>
              <w:bottom w:w="30" w:type="dxa"/>
              <w:right w:w="20" w:type="dxa"/>
            </w:tcMar>
            <w:vAlign w:val="bottom"/>
            <w:hideMark/>
          </w:tcPr>
          <w:p w14:paraId="193A45B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9129B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F92539" w14:textId="77777777" w:rsidR="00000000" w:rsidRDefault="00C1661D">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14:paraId="0315BEEC" w14:textId="77777777" w:rsidR="00000000" w:rsidRDefault="00C1661D">
            <w:pPr>
              <w:spacing w:after="100"/>
              <w:jc w:val="right"/>
              <w:rPr>
                <w:rFonts w:eastAsia="Times New Roman"/>
              </w:rPr>
            </w:pPr>
            <w:r>
              <w:rPr>
                <w:rFonts w:eastAsia="Times New Roman"/>
                <w:color w:val="000000"/>
                <w:sz w:val="20"/>
                <w:szCs w:val="20"/>
              </w:rPr>
              <w:t>%</w:t>
            </w:r>
          </w:p>
        </w:tc>
      </w:tr>
      <w:tr w:rsidR="00000000" w14:paraId="1F69263B" w14:textId="77777777">
        <w:tc>
          <w:tcPr>
            <w:tcW w:w="0" w:type="auto"/>
            <w:gridSpan w:val="3"/>
            <w:shd w:val="clear" w:color="auto" w:fill="CCEEFF"/>
            <w:tcMar>
              <w:top w:w="30" w:type="dxa"/>
              <w:left w:w="20" w:type="dxa"/>
              <w:bottom w:w="30" w:type="dxa"/>
              <w:right w:w="20" w:type="dxa"/>
            </w:tcMar>
            <w:vAlign w:val="bottom"/>
            <w:hideMark/>
          </w:tcPr>
          <w:p w14:paraId="5904A8D1" w14:textId="77777777" w:rsidR="00000000" w:rsidRDefault="00C1661D">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14:paraId="22CD411B"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74760D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85B864D" w14:textId="77777777" w:rsidR="00000000" w:rsidRDefault="00C1661D">
            <w:pPr>
              <w:spacing w:after="100"/>
              <w:jc w:val="right"/>
              <w:rPr>
                <w:rFonts w:eastAsia="Times New Roman"/>
              </w:rPr>
            </w:pPr>
            <w:r>
              <w:rPr>
                <w:rFonts w:eastAsia="Times New Roman"/>
                <w:color w:val="000000"/>
                <w:sz w:val="20"/>
                <w:szCs w:val="20"/>
              </w:rPr>
              <w:t>611 </w:t>
            </w:r>
          </w:p>
        </w:tc>
        <w:tc>
          <w:tcPr>
            <w:tcW w:w="0" w:type="auto"/>
            <w:shd w:val="clear" w:color="auto" w:fill="CCEEFF"/>
            <w:tcMar>
              <w:top w:w="30" w:type="dxa"/>
              <w:left w:w="0" w:type="dxa"/>
              <w:bottom w:w="30" w:type="dxa"/>
              <w:right w:w="20" w:type="dxa"/>
            </w:tcMar>
            <w:vAlign w:val="bottom"/>
            <w:hideMark/>
          </w:tcPr>
          <w:p w14:paraId="7A3C228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052D64"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1AB56E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30D1D2" w14:textId="77777777" w:rsidR="00000000" w:rsidRDefault="00C1661D">
            <w:pPr>
              <w:spacing w:after="100"/>
              <w:jc w:val="right"/>
              <w:rPr>
                <w:rFonts w:eastAsia="Times New Roman"/>
              </w:rPr>
            </w:pPr>
            <w:r>
              <w:rPr>
                <w:rFonts w:eastAsia="Times New Roman"/>
                <w:color w:val="000000"/>
                <w:sz w:val="20"/>
                <w:szCs w:val="20"/>
              </w:rPr>
              <w:t>622 </w:t>
            </w:r>
          </w:p>
        </w:tc>
        <w:tc>
          <w:tcPr>
            <w:tcW w:w="0" w:type="auto"/>
            <w:shd w:val="clear" w:color="auto" w:fill="CCEEFF"/>
            <w:tcMar>
              <w:top w:w="30" w:type="dxa"/>
              <w:left w:w="0" w:type="dxa"/>
              <w:bottom w:w="30" w:type="dxa"/>
              <w:right w:w="20" w:type="dxa"/>
            </w:tcMar>
            <w:vAlign w:val="bottom"/>
            <w:hideMark/>
          </w:tcPr>
          <w:p w14:paraId="6CEE6E8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1434CD"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C3A4FA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40E6F77" w14:textId="77777777" w:rsidR="00000000" w:rsidRDefault="00C1661D">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14:paraId="48D7121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DE628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76FB9C" w14:textId="77777777" w:rsidR="00000000" w:rsidRDefault="00C1661D">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0A9F616C" w14:textId="77777777" w:rsidR="00000000" w:rsidRDefault="00C1661D">
            <w:pPr>
              <w:spacing w:after="100"/>
              <w:jc w:val="right"/>
              <w:rPr>
                <w:rFonts w:eastAsia="Times New Roman"/>
              </w:rPr>
            </w:pPr>
            <w:r>
              <w:rPr>
                <w:rFonts w:eastAsia="Times New Roman"/>
                <w:color w:val="000000"/>
                <w:sz w:val="20"/>
                <w:szCs w:val="20"/>
              </w:rPr>
              <w:t>%</w:t>
            </w:r>
          </w:p>
        </w:tc>
      </w:tr>
      <w:tr w:rsidR="00000000" w14:paraId="5C59B72F" w14:textId="77777777">
        <w:tc>
          <w:tcPr>
            <w:tcW w:w="0" w:type="auto"/>
            <w:gridSpan w:val="3"/>
            <w:shd w:val="clear" w:color="auto" w:fill="FFFFFF"/>
            <w:tcMar>
              <w:top w:w="30" w:type="dxa"/>
              <w:left w:w="20" w:type="dxa"/>
              <w:bottom w:w="30" w:type="dxa"/>
              <w:right w:w="20" w:type="dxa"/>
            </w:tcMar>
            <w:vAlign w:val="bottom"/>
            <w:hideMark/>
          </w:tcPr>
          <w:p w14:paraId="1FEC6F8A" w14:textId="77777777" w:rsidR="00000000" w:rsidRDefault="00C1661D">
            <w:pPr>
              <w:spacing w:after="100"/>
              <w:rPr>
                <w:rFonts w:eastAsia="Times New Roman"/>
              </w:rPr>
            </w:pPr>
            <w:r>
              <w:rPr>
                <w:rFonts w:eastAsia="Times New Roman"/>
                <w:color w:val="000000"/>
                <w:sz w:val="20"/>
                <w:szCs w:val="20"/>
              </w:rPr>
              <w:t xml:space="preserve">Operating income </w:t>
            </w:r>
          </w:p>
        </w:tc>
        <w:tc>
          <w:tcPr>
            <w:tcW w:w="0" w:type="auto"/>
            <w:gridSpan w:val="3"/>
            <w:shd w:val="clear" w:color="auto" w:fill="FFFFFF"/>
            <w:tcMar>
              <w:top w:w="0" w:type="dxa"/>
              <w:left w:w="20" w:type="dxa"/>
              <w:bottom w:w="0" w:type="dxa"/>
              <w:right w:w="20" w:type="dxa"/>
            </w:tcMar>
            <w:vAlign w:val="center"/>
            <w:hideMark/>
          </w:tcPr>
          <w:p w14:paraId="4C7FCD42"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DF24BC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3529D63" w14:textId="77777777" w:rsidR="00000000" w:rsidRDefault="00C1661D">
            <w:pPr>
              <w:spacing w:after="100"/>
              <w:jc w:val="right"/>
              <w:rPr>
                <w:rFonts w:eastAsia="Times New Roman"/>
              </w:rPr>
            </w:pPr>
            <w:r>
              <w:rPr>
                <w:rFonts w:eastAsia="Times New Roman"/>
                <w:color w:val="000000"/>
                <w:sz w:val="20"/>
                <w:szCs w:val="20"/>
              </w:rPr>
              <w:t>237 </w:t>
            </w:r>
          </w:p>
        </w:tc>
        <w:tc>
          <w:tcPr>
            <w:tcW w:w="0" w:type="auto"/>
            <w:shd w:val="clear" w:color="auto" w:fill="FFFFFF"/>
            <w:tcMar>
              <w:top w:w="30" w:type="dxa"/>
              <w:left w:w="0" w:type="dxa"/>
              <w:bottom w:w="30" w:type="dxa"/>
              <w:right w:w="20" w:type="dxa"/>
            </w:tcMar>
            <w:vAlign w:val="bottom"/>
            <w:hideMark/>
          </w:tcPr>
          <w:p w14:paraId="036CB55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764E74"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1ACB5A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9C15E5F" w14:textId="77777777" w:rsidR="00000000" w:rsidRDefault="00C1661D">
            <w:pPr>
              <w:spacing w:after="100"/>
              <w:jc w:val="right"/>
              <w:rPr>
                <w:rFonts w:eastAsia="Times New Roman"/>
              </w:rPr>
            </w:pPr>
            <w:r>
              <w:rPr>
                <w:rFonts w:eastAsia="Times New Roman"/>
                <w:color w:val="000000"/>
                <w:sz w:val="20"/>
                <w:szCs w:val="20"/>
              </w:rPr>
              <w:t>314 </w:t>
            </w:r>
          </w:p>
        </w:tc>
        <w:tc>
          <w:tcPr>
            <w:tcW w:w="0" w:type="auto"/>
            <w:shd w:val="clear" w:color="auto" w:fill="FFFFFF"/>
            <w:tcMar>
              <w:top w:w="30" w:type="dxa"/>
              <w:left w:w="0" w:type="dxa"/>
              <w:bottom w:w="30" w:type="dxa"/>
              <w:right w:w="20" w:type="dxa"/>
            </w:tcMar>
            <w:vAlign w:val="bottom"/>
            <w:hideMark/>
          </w:tcPr>
          <w:p w14:paraId="4A4E3DC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4B7E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303D7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DB2AD37" w14:textId="77777777" w:rsidR="00000000" w:rsidRDefault="00C1661D">
            <w:pPr>
              <w:spacing w:after="100"/>
              <w:jc w:val="right"/>
              <w:rPr>
                <w:rFonts w:eastAsia="Times New Roman"/>
              </w:rPr>
            </w:pPr>
            <w:r>
              <w:rPr>
                <w:rFonts w:eastAsia="Times New Roman"/>
                <w:color w:val="000000"/>
                <w:sz w:val="20"/>
                <w:szCs w:val="20"/>
              </w:rPr>
              <w:t>(77)</w:t>
            </w:r>
          </w:p>
        </w:tc>
        <w:tc>
          <w:tcPr>
            <w:tcW w:w="0" w:type="auto"/>
            <w:shd w:val="clear" w:color="auto" w:fill="FFFFFF"/>
            <w:tcMar>
              <w:top w:w="30" w:type="dxa"/>
              <w:left w:w="0" w:type="dxa"/>
              <w:bottom w:w="30" w:type="dxa"/>
              <w:right w:w="20" w:type="dxa"/>
            </w:tcMar>
            <w:vAlign w:val="bottom"/>
            <w:hideMark/>
          </w:tcPr>
          <w:p w14:paraId="6AABC62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DEE38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CC4FF8" w14:textId="77777777" w:rsidR="00000000" w:rsidRDefault="00C1661D">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4024BC54" w14:textId="77777777" w:rsidR="00000000" w:rsidRDefault="00C1661D">
            <w:pPr>
              <w:spacing w:after="100"/>
              <w:jc w:val="right"/>
              <w:rPr>
                <w:rFonts w:eastAsia="Times New Roman"/>
              </w:rPr>
            </w:pPr>
            <w:r>
              <w:rPr>
                <w:rFonts w:eastAsia="Times New Roman"/>
                <w:color w:val="000000"/>
                <w:sz w:val="20"/>
                <w:szCs w:val="20"/>
              </w:rPr>
              <w:t>%</w:t>
            </w:r>
          </w:p>
        </w:tc>
      </w:tr>
      <w:tr w:rsidR="00000000" w14:paraId="1C288780" w14:textId="77777777">
        <w:tc>
          <w:tcPr>
            <w:tcW w:w="0" w:type="auto"/>
            <w:gridSpan w:val="3"/>
            <w:shd w:val="clear" w:color="auto" w:fill="CCEEFF"/>
            <w:tcMar>
              <w:top w:w="30" w:type="dxa"/>
              <w:left w:w="20" w:type="dxa"/>
              <w:bottom w:w="30" w:type="dxa"/>
              <w:right w:w="20" w:type="dxa"/>
            </w:tcMar>
            <w:vAlign w:val="bottom"/>
            <w:hideMark/>
          </w:tcPr>
          <w:p w14:paraId="78D569A7" w14:textId="77777777" w:rsidR="00000000" w:rsidRDefault="00C1661D">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14:paraId="2E4314DE"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E84636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7E5A588" w14:textId="77777777" w:rsidR="00000000" w:rsidRDefault="00C1661D">
            <w:pPr>
              <w:spacing w:after="100"/>
              <w:jc w:val="right"/>
              <w:rPr>
                <w:rFonts w:eastAsia="Times New Roman"/>
              </w:rPr>
            </w:pPr>
            <w:r>
              <w:rPr>
                <w:rFonts w:eastAsia="Times New Roman"/>
                <w:color w:val="000000"/>
                <w:sz w:val="20"/>
                <w:szCs w:val="20"/>
              </w:rPr>
              <w:t>254 </w:t>
            </w:r>
          </w:p>
        </w:tc>
        <w:tc>
          <w:tcPr>
            <w:tcW w:w="0" w:type="auto"/>
            <w:shd w:val="clear" w:color="auto" w:fill="CCEEFF"/>
            <w:tcMar>
              <w:top w:w="30" w:type="dxa"/>
              <w:left w:w="0" w:type="dxa"/>
              <w:bottom w:w="30" w:type="dxa"/>
              <w:right w:w="20" w:type="dxa"/>
            </w:tcMar>
            <w:vAlign w:val="bottom"/>
            <w:hideMark/>
          </w:tcPr>
          <w:p w14:paraId="600C20B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F9279"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B31A2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900119B" w14:textId="77777777" w:rsidR="00000000" w:rsidRDefault="00C1661D">
            <w:pPr>
              <w:spacing w:after="100"/>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14:paraId="02B0384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6CEFBD"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735F29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BA9506C" w14:textId="77777777" w:rsidR="00000000" w:rsidRDefault="00C1661D">
            <w:pPr>
              <w:spacing w:after="100"/>
              <w:jc w:val="right"/>
              <w:rPr>
                <w:rFonts w:eastAsia="Times New Roman"/>
              </w:rPr>
            </w:pPr>
            <w:r>
              <w:rPr>
                <w:rFonts w:eastAsia="Times New Roman"/>
                <w:color w:val="000000"/>
                <w:sz w:val="20"/>
                <w:szCs w:val="20"/>
              </w:rPr>
              <w:t>(63)</w:t>
            </w:r>
          </w:p>
        </w:tc>
        <w:tc>
          <w:tcPr>
            <w:tcW w:w="0" w:type="auto"/>
            <w:shd w:val="clear" w:color="auto" w:fill="CCEEFF"/>
            <w:tcMar>
              <w:top w:w="30" w:type="dxa"/>
              <w:left w:w="0" w:type="dxa"/>
              <w:bottom w:w="30" w:type="dxa"/>
              <w:right w:w="20" w:type="dxa"/>
            </w:tcMar>
            <w:vAlign w:val="bottom"/>
            <w:hideMark/>
          </w:tcPr>
          <w:p w14:paraId="797EFB7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8252A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A9E10D" w14:textId="77777777" w:rsidR="00000000" w:rsidRDefault="00C1661D">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14:paraId="792BB0BF" w14:textId="77777777" w:rsidR="00000000" w:rsidRDefault="00C1661D">
            <w:pPr>
              <w:spacing w:after="100"/>
              <w:jc w:val="right"/>
              <w:rPr>
                <w:rFonts w:eastAsia="Times New Roman"/>
              </w:rPr>
            </w:pPr>
            <w:r>
              <w:rPr>
                <w:rFonts w:eastAsia="Times New Roman"/>
                <w:color w:val="000000"/>
                <w:sz w:val="20"/>
                <w:szCs w:val="20"/>
              </w:rPr>
              <w:t>%</w:t>
            </w:r>
          </w:p>
        </w:tc>
      </w:tr>
      <w:tr w:rsidR="00000000" w14:paraId="5430A6A1" w14:textId="77777777">
        <w:tc>
          <w:tcPr>
            <w:tcW w:w="0" w:type="auto"/>
            <w:gridSpan w:val="3"/>
            <w:shd w:val="clear" w:color="auto" w:fill="FFFFFF"/>
            <w:tcMar>
              <w:top w:w="30" w:type="dxa"/>
              <w:left w:w="20" w:type="dxa"/>
              <w:bottom w:w="30" w:type="dxa"/>
              <w:right w:w="20" w:type="dxa"/>
            </w:tcMar>
            <w:vAlign w:val="bottom"/>
            <w:hideMark/>
          </w:tcPr>
          <w:p w14:paraId="59E2F391" w14:textId="77777777" w:rsidR="00000000" w:rsidRDefault="00C1661D">
            <w:pPr>
              <w:spacing w:after="100"/>
              <w:rPr>
                <w:rFonts w:eastAsia="Times New Roman"/>
              </w:rPr>
            </w:pPr>
            <w:r>
              <w:rPr>
                <w:rFonts w:eastAsia="Times New Roman"/>
                <w:color w:val="000000"/>
                <w:sz w:val="20"/>
                <w:szCs w:val="20"/>
              </w:rPr>
              <w:t>LPG retail gallons sold (millions)</w:t>
            </w:r>
          </w:p>
        </w:tc>
        <w:tc>
          <w:tcPr>
            <w:tcW w:w="0" w:type="auto"/>
            <w:gridSpan w:val="3"/>
            <w:shd w:val="clear" w:color="auto" w:fill="FFFFFF"/>
            <w:tcMar>
              <w:top w:w="0" w:type="dxa"/>
              <w:left w:w="20" w:type="dxa"/>
              <w:bottom w:w="0" w:type="dxa"/>
              <w:right w:w="20" w:type="dxa"/>
            </w:tcMar>
            <w:vAlign w:val="center"/>
            <w:hideMark/>
          </w:tcPr>
          <w:p w14:paraId="72A6F91C"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AF958B" w14:textId="77777777" w:rsidR="00000000" w:rsidRDefault="00C1661D">
            <w:pPr>
              <w:spacing w:after="100"/>
              <w:jc w:val="right"/>
              <w:rPr>
                <w:rFonts w:eastAsia="Times New Roman"/>
              </w:rPr>
            </w:pPr>
            <w:r>
              <w:rPr>
                <w:rFonts w:eastAsia="Times New Roman"/>
                <w:color w:val="000000"/>
                <w:sz w:val="20"/>
                <w:szCs w:val="20"/>
              </w:rPr>
              <w:t>799 </w:t>
            </w:r>
          </w:p>
        </w:tc>
        <w:tc>
          <w:tcPr>
            <w:tcW w:w="0" w:type="auto"/>
            <w:shd w:val="clear" w:color="auto" w:fill="FFFFFF"/>
            <w:tcMar>
              <w:top w:w="30" w:type="dxa"/>
              <w:left w:w="0" w:type="dxa"/>
              <w:bottom w:w="30" w:type="dxa"/>
              <w:right w:w="20" w:type="dxa"/>
            </w:tcMar>
            <w:vAlign w:val="bottom"/>
            <w:hideMark/>
          </w:tcPr>
          <w:p w14:paraId="0D08BE6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7D452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D25A1C" w14:textId="77777777" w:rsidR="00000000" w:rsidRDefault="00C1661D">
            <w:pPr>
              <w:spacing w:after="100"/>
              <w:jc w:val="right"/>
              <w:rPr>
                <w:rFonts w:eastAsia="Times New Roman"/>
              </w:rPr>
            </w:pPr>
            <w:r>
              <w:rPr>
                <w:rFonts w:eastAsia="Times New Roman"/>
                <w:color w:val="000000"/>
                <w:sz w:val="20"/>
                <w:szCs w:val="20"/>
              </w:rPr>
              <w:t>792 </w:t>
            </w:r>
          </w:p>
        </w:tc>
        <w:tc>
          <w:tcPr>
            <w:tcW w:w="0" w:type="auto"/>
            <w:shd w:val="clear" w:color="auto" w:fill="FFFFFF"/>
            <w:tcMar>
              <w:top w:w="30" w:type="dxa"/>
              <w:left w:w="0" w:type="dxa"/>
              <w:bottom w:w="30" w:type="dxa"/>
              <w:right w:w="20" w:type="dxa"/>
            </w:tcMar>
            <w:vAlign w:val="bottom"/>
            <w:hideMark/>
          </w:tcPr>
          <w:p w14:paraId="7BD7AA7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30C8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F3FED7" w14:textId="77777777" w:rsidR="00000000" w:rsidRDefault="00C1661D">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3184649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147AB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B52B68" w14:textId="77777777" w:rsidR="00000000" w:rsidRDefault="00C1661D">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344EF598" w14:textId="77777777" w:rsidR="00000000" w:rsidRDefault="00C1661D">
            <w:pPr>
              <w:spacing w:after="100"/>
              <w:jc w:val="right"/>
              <w:rPr>
                <w:rFonts w:eastAsia="Times New Roman"/>
              </w:rPr>
            </w:pPr>
            <w:r>
              <w:rPr>
                <w:rFonts w:eastAsia="Times New Roman"/>
                <w:color w:val="000000"/>
                <w:sz w:val="20"/>
                <w:szCs w:val="20"/>
              </w:rPr>
              <w:t>%</w:t>
            </w:r>
          </w:p>
        </w:tc>
      </w:tr>
      <w:tr w:rsidR="00000000" w14:paraId="2F75D6CF" w14:textId="77777777">
        <w:tc>
          <w:tcPr>
            <w:tcW w:w="0" w:type="auto"/>
            <w:gridSpan w:val="3"/>
            <w:shd w:val="clear" w:color="auto" w:fill="CCEEFF"/>
            <w:tcMar>
              <w:top w:w="30" w:type="dxa"/>
              <w:left w:w="20" w:type="dxa"/>
              <w:bottom w:w="30" w:type="dxa"/>
              <w:right w:w="20" w:type="dxa"/>
            </w:tcMar>
            <w:vAlign w:val="bottom"/>
            <w:hideMark/>
          </w:tcPr>
          <w:p w14:paraId="6975433B" w14:textId="77777777" w:rsidR="00000000" w:rsidRDefault="00C1661D">
            <w:pPr>
              <w:spacing w:after="100"/>
              <w:rPr>
                <w:rFonts w:eastAsia="Times New Roman"/>
              </w:rPr>
            </w:pPr>
            <w:r>
              <w:rPr>
                <w:rFonts w:eastAsia="Times New Roman"/>
                <w:color w:val="000000"/>
                <w:sz w:val="20"/>
                <w:szCs w:val="20"/>
              </w:rPr>
              <w:t>Degree days - % (warmer) colder than normal (b)</w:t>
            </w:r>
          </w:p>
        </w:tc>
        <w:tc>
          <w:tcPr>
            <w:tcW w:w="0" w:type="auto"/>
            <w:gridSpan w:val="3"/>
            <w:shd w:val="clear" w:color="auto" w:fill="CCEEFF"/>
            <w:tcMar>
              <w:top w:w="0" w:type="dxa"/>
              <w:left w:w="20" w:type="dxa"/>
              <w:bottom w:w="0" w:type="dxa"/>
              <w:right w:w="20" w:type="dxa"/>
            </w:tcMar>
            <w:vAlign w:val="center"/>
            <w:hideMark/>
          </w:tcPr>
          <w:p w14:paraId="52A118FB"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483A44" w14:textId="77777777" w:rsidR="00000000" w:rsidRDefault="00C1661D">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14:paraId="32EFF774"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AF4F22F" w14:textId="77777777" w:rsidR="00000000" w:rsidRDefault="00C166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FBD521" w14:textId="77777777" w:rsidR="00000000" w:rsidRDefault="00C1661D">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14:paraId="152C4DF3"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FB71986" w14:textId="77777777" w:rsidR="00000000" w:rsidRDefault="00C166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5B1701"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8E355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A20CE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D4A9EB"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876D38" w14:textId="77777777" w:rsidR="00000000" w:rsidRDefault="00C1661D">
            <w:pPr>
              <w:spacing w:after="100"/>
              <w:jc w:val="right"/>
              <w:rPr>
                <w:rFonts w:eastAsia="Times New Roman"/>
              </w:rPr>
            </w:pPr>
          </w:p>
        </w:tc>
      </w:tr>
    </w:tbl>
    <w:p w14:paraId="56BE9864" w14:textId="77777777" w:rsidR="00000000" w:rsidRDefault="00C1661D">
      <w:pPr>
        <w:ind w:hanging="360"/>
        <w:jc w:val="both"/>
        <w:rPr>
          <w:rFonts w:eastAsia="Times New Roman"/>
        </w:rPr>
      </w:pPr>
      <w:r>
        <w:rPr>
          <w:rFonts w:ascii="Calibri" w:eastAsia="Times New Roman" w:hAnsi="Calibri" w:cs="Calibri"/>
          <w:color w:val="000000"/>
          <w:sz w:val="20"/>
          <w:szCs w:val="20"/>
        </w:rPr>
        <w:t>(a</w:t>
      </w:r>
      <w:r>
        <w:rPr>
          <w:rFonts w:ascii="Calibri" w:eastAsia="Times New Roman" w:hAnsi="Calibri" w:cs="Calibri"/>
          <w:color w:val="000000"/>
          <w:sz w:val="20"/>
          <w:szCs w:val="20"/>
        </w:rPr>
        <w:t>)</w:t>
      </w:r>
      <w:r>
        <w:rPr>
          <w:rFonts w:eastAsia="Times New Roman"/>
          <w:color w:val="000000"/>
          <w:sz w:val="20"/>
          <w:szCs w:val="20"/>
        </w:rPr>
        <w:t xml:space="preserve">Total margin represents total revenues less total cost of sales. </w:t>
      </w:r>
    </w:p>
    <w:p w14:paraId="68E92252" w14:textId="77777777" w:rsidR="00000000" w:rsidRDefault="00C1661D">
      <w:pPr>
        <w:ind w:hanging="360"/>
        <w:jc w:val="both"/>
        <w:rPr>
          <w:rFonts w:eastAsia="Times New Roman"/>
        </w:rPr>
      </w:pPr>
      <w:r>
        <w:rPr>
          <w:rFonts w:ascii="Calibri" w:eastAsia="Times New Roman" w:hAnsi="Calibri" w:cs="Calibri"/>
          <w:color w:val="000000"/>
          <w:sz w:val="20"/>
          <w:szCs w:val="20"/>
        </w:rPr>
        <w:t>(b)</w:t>
      </w:r>
      <w:r>
        <w:rPr>
          <w:rFonts w:eastAsia="Times New Roman"/>
          <w:color w:val="000000"/>
          <w:sz w:val="20"/>
          <w:szCs w:val="20"/>
        </w:rPr>
        <w:t xml:space="preserve">Deviation from average heating degree days is determined on a rolling 10-year period utilizing volume-weighted weather data at locations in our UGI International service territories. </w:t>
      </w:r>
    </w:p>
    <w:p w14:paraId="52D69681" w14:textId="77777777" w:rsidR="00000000" w:rsidRDefault="00C1661D">
      <w:pPr>
        <w:jc w:val="both"/>
        <w:rPr>
          <w:rFonts w:eastAsia="Times New Roman"/>
        </w:rPr>
      </w:pPr>
    </w:p>
    <w:p w14:paraId="0D58B03A" w14:textId="77777777" w:rsidR="00000000" w:rsidRDefault="00C1661D">
      <w:pPr>
        <w:jc w:val="both"/>
        <w:rPr>
          <w:rFonts w:eastAsia="Times New Roman"/>
        </w:rPr>
      </w:pPr>
      <w:r>
        <w:rPr>
          <w:rFonts w:eastAsia="Times New Roman"/>
          <w:color w:val="000000"/>
          <w:sz w:val="20"/>
          <w:szCs w:val="20"/>
        </w:rPr>
        <w:t xml:space="preserve">Average temperatures during Fiscal 2022 were 2.6% warmer than normal and 5.0% warmer than Fiscal 2021. Total LPG retail gallons sold during Fiscal 2022 increased slightly compared to Fiscal 2021 largely attributable to the recovery of certain bulk volumes </w:t>
      </w:r>
      <w:r>
        <w:rPr>
          <w:rFonts w:eastAsia="Times New Roman"/>
          <w:color w:val="000000"/>
          <w:sz w:val="20"/>
          <w:szCs w:val="20"/>
        </w:rPr>
        <w:t>that were negatively impacted by COVID-19 in Fiscal 2021 and favorable crop drying campaigns, partially offset by warmer weather.</w:t>
      </w:r>
    </w:p>
    <w:p w14:paraId="1E6D60FD" w14:textId="77777777" w:rsidR="00000000" w:rsidRDefault="00C1661D">
      <w:pPr>
        <w:jc w:val="both"/>
        <w:rPr>
          <w:rFonts w:eastAsia="Times New Roman"/>
        </w:rPr>
      </w:pPr>
    </w:p>
    <w:p w14:paraId="652E7B10" w14:textId="77777777" w:rsidR="00000000" w:rsidRDefault="00C1661D">
      <w:pPr>
        <w:jc w:val="both"/>
        <w:rPr>
          <w:rFonts w:eastAsia="Times New Roman"/>
        </w:rPr>
      </w:pPr>
      <w:r>
        <w:rPr>
          <w:rFonts w:eastAsia="Times New Roman"/>
          <w:color w:val="000000"/>
          <w:sz w:val="20"/>
          <w:szCs w:val="20"/>
        </w:rPr>
        <w:t>UGI International base-currency results are translated into U.S. dollars based upon exchange rates experienced during the re</w:t>
      </w:r>
      <w:r>
        <w:rPr>
          <w:rFonts w:eastAsia="Times New Roman"/>
          <w:color w:val="000000"/>
          <w:sz w:val="20"/>
          <w:szCs w:val="20"/>
        </w:rPr>
        <w:t>porting periods. The functional currency of a significant portion of our UGI International results is the euro and, to a much lesser extent, the British pound sterling. During Fiscal 2022 and Fiscal 2021, the average unweighted euro-to-dollar translation r</w:t>
      </w:r>
      <w:r>
        <w:rPr>
          <w:rFonts w:eastAsia="Times New Roman"/>
          <w:color w:val="000000"/>
          <w:sz w:val="20"/>
          <w:szCs w:val="20"/>
        </w:rPr>
        <w:t>ates were approximately $1.08 and $1.20, respectively, and the average unweighted British pound sterling-to-dollar translation rates were approximately $1.28 and $1.37, respectively. Fluctuations in these foreign currency exchange rates can have a signific</w:t>
      </w:r>
      <w:r>
        <w:rPr>
          <w:rFonts w:eastAsia="Times New Roman"/>
          <w:color w:val="000000"/>
          <w:sz w:val="20"/>
          <w:szCs w:val="20"/>
        </w:rPr>
        <w:t>ant impact on the individual financial statement components discussed below. The impact of such changes on earnings, however, is mitigated by the effects of forward foreign currency exchange contracts entered into over a multi-year period intended to reduc</w:t>
      </w:r>
      <w:r>
        <w:rPr>
          <w:rFonts w:eastAsia="Times New Roman"/>
          <w:color w:val="000000"/>
          <w:sz w:val="20"/>
          <w:szCs w:val="20"/>
        </w:rPr>
        <w:t xml:space="preserve">e volatility in U.S. dollar amounts resulting from changes in exchange rates. These forward foreign currency exchange contracts resulted in realized net gains of $13 million and $1 million, respectively, in Fiscal 2022 and Fiscal 2021. </w:t>
      </w:r>
    </w:p>
    <w:p w14:paraId="4333F4A5" w14:textId="77777777" w:rsidR="00000000" w:rsidRDefault="00C1661D">
      <w:pPr>
        <w:jc w:val="both"/>
        <w:rPr>
          <w:rFonts w:eastAsia="Times New Roman"/>
        </w:rPr>
      </w:pPr>
    </w:p>
    <w:p w14:paraId="3B3D43FF" w14:textId="77777777" w:rsidR="00000000" w:rsidRDefault="00C1661D">
      <w:pPr>
        <w:jc w:val="both"/>
        <w:rPr>
          <w:rFonts w:eastAsia="Times New Roman"/>
        </w:rPr>
      </w:pPr>
      <w:r>
        <w:rPr>
          <w:rFonts w:eastAsia="Times New Roman"/>
          <w:color w:val="000000"/>
          <w:sz w:val="20"/>
          <w:szCs w:val="20"/>
        </w:rPr>
        <w:t>UGI International</w:t>
      </w:r>
      <w:r>
        <w:rPr>
          <w:rFonts w:eastAsia="Times New Roman"/>
          <w:color w:val="000000"/>
          <w:sz w:val="20"/>
          <w:szCs w:val="20"/>
        </w:rPr>
        <w:t xml:space="preserve"> revenues and cost of sales increased $1,035 million and $1,153 million, respectively, during Fiscal 2022. Average wholesale prices for propane and butane during Fiscal 2022 in northwest Europe were approximately 53% and 70% </w:t>
      </w:r>
    </w:p>
    <w:p w14:paraId="38665040" w14:textId="77777777" w:rsidR="00000000" w:rsidRDefault="00C1661D">
      <w:pPr>
        <w:jc w:val="center"/>
        <w:divId w:val="1731029175"/>
        <w:rPr>
          <w:rFonts w:eastAsia="Times New Roman"/>
        </w:rPr>
      </w:pPr>
      <w:r>
        <w:rPr>
          <w:rFonts w:eastAsia="Times New Roman"/>
          <w:color w:val="000000"/>
          <w:sz w:val="20"/>
          <w:szCs w:val="20"/>
        </w:rPr>
        <w:t>53</w:t>
      </w:r>
    </w:p>
    <w:p w14:paraId="48216D15" w14:textId="77777777" w:rsidR="00000000" w:rsidRDefault="00C1661D">
      <w:pPr>
        <w:rPr>
          <w:rFonts w:eastAsia="Times New Roman"/>
        </w:rPr>
      </w:pPr>
      <w:r>
        <w:rPr>
          <w:rFonts w:eastAsia="Times New Roman"/>
        </w:rPr>
        <w:pict w14:anchorId="12A7D17D">
          <v:rect id="_x0000_i1080" style="width:0;height:1.5pt" o:hralign="center" o:hrstd="t" o:hr="t" fillcolor="#a0a0a0" stroked="f"/>
        </w:pict>
      </w:r>
    </w:p>
    <w:p w14:paraId="4562A38F" w14:textId="77777777" w:rsidR="00000000" w:rsidRDefault="00C1661D">
      <w:pPr>
        <w:divId w:val="1691834370"/>
        <w:rPr>
          <w:rFonts w:eastAsia="Times New Roman"/>
        </w:rPr>
      </w:pPr>
      <w:hyperlink w:anchor="i3850c3c6c0104e42b9951aac2f16098a_7" w:history="1">
        <w:r>
          <w:rPr>
            <w:rStyle w:val="a3"/>
            <w:rFonts w:eastAsia="Times New Roman"/>
            <w:b/>
            <w:bCs/>
            <w:sz w:val="20"/>
            <w:szCs w:val="20"/>
          </w:rPr>
          <w:t>Table of Contents</w:t>
        </w:r>
      </w:hyperlink>
    </w:p>
    <w:p w14:paraId="7429721F" w14:textId="77777777" w:rsidR="00000000" w:rsidRDefault="00C1661D">
      <w:pPr>
        <w:jc w:val="both"/>
        <w:rPr>
          <w:rFonts w:eastAsia="Times New Roman"/>
        </w:rPr>
      </w:pPr>
      <w:r>
        <w:rPr>
          <w:rFonts w:eastAsia="Times New Roman"/>
          <w:color w:val="000000"/>
          <w:sz w:val="20"/>
          <w:szCs w:val="20"/>
        </w:rPr>
        <w:t>higher, respectively, compared to Fiscal 2021. The increase in revenues and cost of sales principally reflects the impact on our energy marketing business from significan</w:t>
      </w:r>
      <w:r>
        <w:rPr>
          <w:rFonts w:eastAsia="Times New Roman"/>
          <w:color w:val="000000"/>
          <w:sz w:val="20"/>
          <w:szCs w:val="20"/>
        </w:rPr>
        <w:t>t increases and volatility in natural gas and electricity prices and the effects of the previously mentioned higher average propane and butane selling prices and product costs on our LPG business compared to the prior year. These increases were partially o</w:t>
      </w:r>
      <w:r>
        <w:rPr>
          <w:rFonts w:eastAsia="Times New Roman"/>
          <w:color w:val="000000"/>
          <w:sz w:val="20"/>
          <w:szCs w:val="20"/>
        </w:rPr>
        <w:t xml:space="preserve">ffset by the translation effects of weaker foreign currencies as reflected in the previously mentioned average exchange rates. </w:t>
      </w:r>
    </w:p>
    <w:p w14:paraId="750C12E8" w14:textId="77777777" w:rsidR="00000000" w:rsidRDefault="00C1661D">
      <w:pPr>
        <w:jc w:val="both"/>
        <w:rPr>
          <w:rFonts w:eastAsia="Times New Roman"/>
        </w:rPr>
      </w:pPr>
    </w:p>
    <w:p w14:paraId="6B3E5407" w14:textId="77777777" w:rsidR="00000000" w:rsidRDefault="00C1661D">
      <w:pPr>
        <w:jc w:val="both"/>
        <w:rPr>
          <w:rFonts w:eastAsia="Times New Roman"/>
        </w:rPr>
      </w:pPr>
      <w:r>
        <w:rPr>
          <w:rFonts w:eastAsia="Times New Roman"/>
          <w:color w:val="000000"/>
          <w:sz w:val="20"/>
          <w:szCs w:val="20"/>
        </w:rPr>
        <w:t>UGI International total margin decreased $118 million during Fiscal 2022 primarily reflecting lower total margin from our ener</w:t>
      </w:r>
      <w:r>
        <w:rPr>
          <w:rFonts w:eastAsia="Times New Roman"/>
          <w:color w:val="000000"/>
          <w:sz w:val="20"/>
          <w:szCs w:val="20"/>
        </w:rPr>
        <w:t>gy marketing business (approximately $53 million) and the translation effects of the weaker foreign currencies. These factors were partially offset by higher total margin from our LPG business attributable to strong margin management efforts despite the ef</w:t>
      </w:r>
      <w:r>
        <w:rPr>
          <w:rFonts w:eastAsia="Times New Roman"/>
          <w:color w:val="000000"/>
          <w:sz w:val="20"/>
          <w:szCs w:val="20"/>
        </w:rPr>
        <w:t xml:space="preserve">fects of the previously mentioned higher product costs. The lower total margin from our energy marketing business is largely due to the impact of significant volatility in commodity costs and its effects on unit margins of certain customer contracts which </w:t>
      </w:r>
      <w:r>
        <w:rPr>
          <w:rFonts w:eastAsia="Times New Roman"/>
          <w:color w:val="000000"/>
          <w:sz w:val="20"/>
          <w:szCs w:val="20"/>
        </w:rPr>
        <w:t xml:space="preserve">were largely confined to the heating-season months of October through March during Fiscal 2022. </w:t>
      </w:r>
    </w:p>
    <w:p w14:paraId="512A7339" w14:textId="77777777" w:rsidR="00000000" w:rsidRDefault="00C1661D">
      <w:pPr>
        <w:jc w:val="both"/>
        <w:rPr>
          <w:rFonts w:eastAsia="Times New Roman"/>
        </w:rPr>
      </w:pPr>
    </w:p>
    <w:p w14:paraId="64933416" w14:textId="77777777" w:rsidR="00000000" w:rsidRDefault="00C1661D">
      <w:pPr>
        <w:jc w:val="both"/>
        <w:rPr>
          <w:rFonts w:eastAsia="Times New Roman"/>
        </w:rPr>
      </w:pPr>
      <w:r>
        <w:rPr>
          <w:rFonts w:eastAsia="Times New Roman"/>
          <w:color w:val="000000"/>
          <w:sz w:val="20"/>
          <w:szCs w:val="20"/>
        </w:rPr>
        <w:t>UGI International operating income and earnings before interest expense and income taxes decreased $77 million and $63 million, respectively, during Fiscal 2</w:t>
      </w:r>
      <w:r>
        <w:rPr>
          <w:rFonts w:eastAsia="Times New Roman"/>
          <w:color w:val="000000"/>
          <w:sz w:val="20"/>
          <w:szCs w:val="20"/>
        </w:rPr>
        <w:t>022. The decrease in operating income principally reflects the decrease in total margin partially offset by lower depreciation and amortization ($18 million), lower operating and administrative expenses ($11 million) and higher gains associated with the sa</w:t>
      </w:r>
      <w:r>
        <w:rPr>
          <w:rFonts w:eastAsia="Times New Roman"/>
          <w:color w:val="000000"/>
          <w:sz w:val="20"/>
          <w:szCs w:val="20"/>
        </w:rPr>
        <w:t>le of assets compared to Fiscal 2021. The decrease in depreciation and amortization principally reflects the effects of currency translation. The net decrease in operating and administrative expenses compared to the prior year was driven by the translation</w:t>
      </w:r>
      <w:r>
        <w:rPr>
          <w:rFonts w:eastAsia="Times New Roman"/>
          <w:color w:val="000000"/>
          <w:sz w:val="20"/>
          <w:szCs w:val="20"/>
        </w:rPr>
        <w:t xml:space="preserve"> effects of the weaker foreign currencies largely offset by the effects of inflation on the underlying distribution, personnel and maintenance costs. The decrease in earnings before interest expense and income taxes in Fiscal 2022 largely reflects the decr</w:t>
      </w:r>
      <w:r>
        <w:rPr>
          <w:rFonts w:eastAsia="Times New Roman"/>
          <w:color w:val="000000"/>
          <w:sz w:val="20"/>
          <w:szCs w:val="20"/>
        </w:rPr>
        <w:t>ease in operating income partially offset by higher realized gains on foreign currency exchange contracts ($12 million) entered into in order to reduce volatility in UGI International earnings resulting from the effects of changes in foreign currency excha</w:t>
      </w:r>
      <w:r>
        <w:rPr>
          <w:rFonts w:eastAsia="Times New Roman"/>
          <w:color w:val="000000"/>
          <w:sz w:val="20"/>
          <w:szCs w:val="20"/>
        </w:rPr>
        <w:t>nge rates.</w:t>
      </w:r>
    </w:p>
    <w:p w14:paraId="7E421CC9" w14:textId="77777777" w:rsidR="00000000" w:rsidRDefault="00C1661D">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983"/>
        <w:gridCol w:w="37"/>
        <w:gridCol w:w="36"/>
        <w:gridCol w:w="36"/>
        <w:gridCol w:w="36"/>
        <w:gridCol w:w="120"/>
        <w:gridCol w:w="774"/>
        <w:gridCol w:w="36"/>
        <w:gridCol w:w="36"/>
        <w:gridCol w:w="36"/>
        <w:gridCol w:w="36"/>
        <w:gridCol w:w="120"/>
        <w:gridCol w:w="774"/>
        <w:gridCol w:w="36"/>
        <w:gridCol w:w="36"/>
        <w:gridCol w:w="36"/>
        <w:gridCol w:w="36"/>
        <w:gridCol w:w="120"/>
        <w:gridCol w:w="774"/>
        <w:gridCol w:w="36"/>
        <w:gridCol w:w="36"/>
        <w:gridCol w:w="36"/>
        <w:gridCol w:w="36"/>
        <w:gridCol w:w="37"/>
        <w:gridCol w:w="765"/>
        <w:gridCol w:w="187"/>
      </w:tblGrid>
      <w:tr w:rsidR="00000000" w14:paraId="169A332D" w14:textId="77777777">
        <w:tc>
          <w:tcPr>
            <w:tcW w:w="50" w:type="pct"/>
            <w:vAlign w:val="center"/>
            <w:hideMark/>
          </w:tcPr>
          <w:p w14:paraId="49574155" w14:textId="77777777" w:rsidR="00000000" w:rsidRDefault="00C1661D">
            <w:pPr>
              <w:jc w:val="both"/>
              <w:rPr>
                <w:rFonts w:eastAsia="Times New Roman"/>
              </w:rPr>
            </w:pPr>
          </w:p>
        </w:tc>
        <w:tc>
          <w:tcPr>
            <w:tcW w:w="2448" w:type="pct"/>
            <w:vAlign w:val="center"/>
            <w:hideMark/>
          </w:tcPr>
          <w:p w14:paraId="33722C87" w14:textId="77777777" w:rsidR="00000000" w:rsidRDefault="00C1661D">
            <w:pPr>
              <w:spacing w:after="100"/>
              <w:rPr>
                <w:rFonts w:eastAsia="Times New Roman"/>
                <w:sz w:val="20"/>
                <w:szCs w:val="20"/>
              </w:rPr>
            </w:pPr>
          </w:p>
        </w:tc>
        <w:tc>
          <w:tcPr>
            <w:tcW w:w="5" w:type="pct"/>
            <w:vAlign w:val="center"/>
            <w:hideMark/>
          </w:tcPr>
          <w:p w14:paraId="3E22F7EE" w14:textId="77777777" w:rsidR="00000000" w:rsidRDefault="00C1661D">
            <w:pPr>
              <w:spacing w:after="100"/>
              <w:rPr>
                <w:rFonts w:eastAsia="Times New Roman"/>
                <w:sz w:val="20"/>
                <w:szCs w:val="20"/>
              </w:rPr>
            </w:pPr>
          </w:p>
        </w:tc>
        <w:tc>
          <w:tcPr>
            <w:tcW w:w="5" w:type="pct"/>
            <w:vAlign w:val="center"/>
            <w:hideMark/>
          </w:tcPr>
          <w:p w14:paraId="5E8E4AD6" w14:textId="77777777" w:rsidR="00000000" w:rsidRDefault="00C1661D">
            <w:pPr>
              <w:spacing w:after="100"/>
              <w:rPr>
                <w:rFonts w:eastAsia="Times New Roman"/>
                <w:sz w:val="20"/>
                <w:szCs w:val="20"/>
              </w:rPr>
            </w:pPr>
          </w:p>
        </w:tc>
        <w:tc>
          <w:tcPr>
            <w:tcW w:w="26" w:type="pct"/>
            <w:vAlign w:val="center"/>
            <w:hideMark/>
          </w:tcPr>
          <w:p w14:paraId="13D9EABB" w14:textId="77777777" w:rsidR="00000000" w:rsidRDefault="00C1661D">
            <w:pPr>
              <w:spacing w:after="100"/>
              <w:rPr>
                <w:rFonts w:eastAsia="Times New Roman"/>
                <w:sz w:val="20"/>
                <w:szCs w:val="20"/>
              </w:rPr>
            </w:pPr>
          </w:p>
        </w:tc>
        <w:tc>
          <w:tcPr>
            <w:tcW w:w="5" w:type="pct"/>
            <w:vAlign w:val="center"/>
            <w:hideMark/>
          </w:tcPr>
          <w:p w14:paraId="2A0ECC7F" w14:textId="77777777" w:rsidR="00000000" w:rsidRDefault="00C1661D">
            <w:pPr>
              <w:spacing w:after="100"/>
              <w:rPr>
                <w:rFonts w:eastAsia="Times New Roman"/>
                <w:sz w:val="20"/>
                <w:szCs w:val="20"/>
              </w:rPr>
            </w:pPr>
          </w:p>
        </w:tc>
        <w:tc>
          <w:tcPr>
            <w:tcW w:w="50" w:type="pct"/>
            <w:vAlign w:val="center"/>
            <w:hideMark/>
          </w:tcPr>
          <w:p w14:paraId="14C7DF55" w14:textId="77777777" w:rsidR="00000000" w:rsidRDefault="00C1661D">
            <w:pPr>
              <w:spacing w:after="100"/>
              <w:rPr>
                <w:rFonts w:eastAsia="Times New Roman"/>
                <w:sz w:val="20"/>
                <w:szCs w:val="20"/>
              </w:rPr>
            </w:pPr>
          </w:p>
        </w:tc>
        <w:tc>
          <w:tcPr>
            <w:tcW w:w="532" w:type="pct"/>
            <w:vAlign w:val="center"/>
            <w:hideMark/>
          </w:tcPr>
          <w:p w14:paraId="52CF8663" w14:textId="77777777" w:rsidR="00000000" w:rsidRDefault="00C1661D">
            <w:pPr>
              <w:spacing w:after="100"/>
              <w:rPr>
                <w:rFonts w:eastAsia="Times New Roman"/>
                <w:sz w:val="20"/>
                <w:szCs w:val="20"/>
              </w:rPr>
            </w:pPr>
          </w:p>
        </w:tc>
        <w:tc>
          <w:tcPr>
            <w:tcW w:w="5" w:type="pct"/>
            <w:vAlign w:val="center"/>
            <w:hideMark/>
          </w:tcPr>
          <w:p w14:paraId="7E635AE1" w14:textId="77777777" w:rsidR="00000000" w:rsidRDefault="00C1661D">
            <w:pPr>
              <w:spacing w:after="100"/>
              <w:rPr>
                <w:rFonts w:eastAsia="Times New Roman"/>
                <w:sz w:val="20"/>
                <w:szCs w:val="20"/>
              </w:rPr>
            </w:pPr>
          </w:p>
        </w:tc>
        <w:tc>
          <w:tcPr>
            <w:tcW w:w="5" w:type="pct"/>
            <w:vAlign w:val="center"/>
            <w:hideMark/>
          </w:tcPr>
          <w:p w14:paraId="44A25E8D" w14:textId="77777777" w:rsidR="00000000" w:rsidRDefault="00C1661D">
            <w:pPr>
              <w:spacing w:after="100"/>
              <w:rPr>
                <w:rFonts w:eastAsia="Times New Roman"/>
                <w:sz w:val="20"/>
                <w:szCs w:val="20"/>
              </w:rPr>
            </w:pPr>
          </w:p>
        </w:tc>
        <w:tc>
          <w:tcPr>
            <w:tcW w:w="26" w:type="pct"/>
            <w:vAlign w:val="center"/>
            <w:hideMark/>
          </w:tcPr>
          <w:p w14:paraId="241227F5" w14:textId="77777777" w:rsidR="00000000" w:rsidRDefault="00C1661D">
            <w:pPr>
              <w:spacing w:after="100"/>
              <w:rPr>
                <w:rFonts w:eastAsia="Times New Roman"/>
                <w:sz w:val="20"/>
                <w:szCs w:val="20"/>
              </w:rPr>
            </w:pPr>
          </w:p>
        </w:tc>
        <w:tc>
          <w:tcPr>
            <w:tcW w:w="5" w:type="pct"/>
            <w:vAlign w:val="center"/>
            <w:hideMark/>
          </w:tcPr>
          <w:p w14:paraId="6793A896" w14:textId="77777777" w:rsidR="00000000" w:rsidRDefault="00C1661D">
            <w:pPr>
              <w:spacing w:after="100"/>
              <w:rPr>
                <w:rFonts w:eastAsia="Times New Roman"/>
                <w:sz w:val="20"/>
                <w:szCs w:val="20"/>
              </w:rPr>
            </w:pPr>
          </w:p>
        </w:tc>
        <w:tc>
          <w:tcPr>
            <w:tcW w:w="50" w:type="pct"/>
            <w:vAlign w:val="center"/>
            <w:hideMark/>
          </w:tcPr>
          <w:p w14:paraId="26B76061" w14:textId="77777777" w:rsidR="00000000" w:rsidRDefault="00C1661D">
            <w:pPr>
              <w:spacing w:after="100"/>
              <w:rPr>
                <w:rFonts w:eastAsia="Times New Roman"/>
                <w:sz w:val="20"/>
                <w:szCs w:val="20"/>
              </w:rPr>
            </w:pPr>
          </w:p>
        </w:tc>
        <w:tc>
          <w:tcPr>
            <w:tcW w:w="532" w:type="pct"/>
            <w:vAlign w:val="center"/>
            <w:hideMark/>
          </w:tcPr>
          <w:p w14:paraId="63F93391" w14:textId="77777777" w:rsidR="00000000" w:rsidRDefault="00C1661D">
            <w:pPr>
              <w:spacing w:after="100"/>
              <w:rPr>
                <w:rFonts w:eastAsia="Times New Roman"/>
                <w:sz w:val="20"/>
                <w:szCs w:val="20"/>
              </w:rPr>
            </w:pPr>
          </w:p>
        </w:tc>
        <w:tc>
          <w:tcPr>
            <w:tcW w:w="5" w:type="pct"/>
            <w:vAlign w:val="center"/>
            <w:hideMark/>
          </w:tcPr>
          <w:p w14:paraId="6A3C22B5" w14:textId="77777777" w:rsidR="00000000" w:rsidRDefault="00C1661D">
            <w:pPr>
              <w:spacing w:after="100"/>
              <w:rPr>
                <w:rFonts w:eastAsia="Times New Roman"/>
                <w:sz w:val="20"/>
                <w:szCs w:val="20"/>
              </w:rPr>
            </w:pPr>
          </w:p>
        </w:tc>
        <w:tc>
          <w:tcPr>
            <w:tcW w:w="5" w:type="pct"/>
            <w:vAlign w:val="center"/>
            <w:hideMark/>
          </w:tcPr>
          <w:p w14:paraId="200C5C36" w14:textId="77777777" w:rsidR="00000000" w:rsidRDefault="00C1661D">
            <w:pPr>
              <w:spacing w:after="100"/>
              <w:rPr>
                <w:rFonts w:eastAsia="Times New Roman"/>
                <w:sz w:val="20"/>
                <w:szCs w:val="20"/>
              </w:rPr>
            </w:pPr>
          </w:p>
        </w:tc>
        <w:tc>
          <w:tcPr>
            <w:tcW w:w="26" w:type="pct"/>
            <w:vAlign w:val="center"/>
            <w:hideMark/>
          </w:tcPr>
          <w:p w14:paraId="153A5105" w14:textId="77777777" w:rsidR="00000000" w:rsidRDefault="00C1661D">
            <w:pPr>
              <w:spacing w:after="100"/>
              <w:rPr>
                <w:rFonts w:eastAsia="Times New Roman"/>
                <w:sz w:val="20"/>
                <w:szCs w:val="20"/>
              </w:rPr>
            </w:pPr>
          </w:p>
        </w:tc>
        <w:tc>
          <w:tcPr>
            <w:tcW w:w="5" w:type="pct"/>
            <w:vAlign w:val="center"/>
            <w:hideMark/>
          </w:tcPr>
          <w:p w14:paraId="7942F8A4" w14:textId="77777777" w:rsidR="00000000" w:rsidRDefault="00C1661D">
            <w:pPr>
              <w:spacing w:after="100"/>
              <w:rPr>
                <w:rFonts w:eastAsia="Times New Roman"/>
                <w:sz w:val="20"/>
                <w:szCs w:val="20"/>
              </w:rPr>
            </w:pPr>
          </w:p>
        </w:tc>
        <w:tc>
          <w:tcPr>
            <w:tcW w:w="50" w:type="pct"/>
            <w:vAlign w:val="center"/>
            <w:hideMark/>
          </w:tcPr>
          <w:p w14:paraId="1949A4E4" w14:textId="77777777" w:rsidR="00000000" w:rsidRDefault="00C1661D">
            <w:pPr>
              <w:spacing w:after="100"/>
              <w:rPr>
                <w:rFonts w:eastAsia="Times New Roman"/>
                <w:sz w:val="20"/>
                <w:szCs w:val="20"/>
              </w:rPr>
            </w:pPr>
          </w:p>
        </w:tc>
        <w:tc>
          <w:tcPr>
            <w:tcW w:w="532" w:type="pct"/>
            <w:vAlign w:val="center"/>
            <w:hideMark/>
          </w:tcPr>
          <w:p w14:paraId="3947754D" w14:textId="77777777" w:rsidR="00000000" w:rsidRDefault="00C1661D">
            <w:pPr>
              <w:spacing w:after="100"/>
              <w:rPr>
                <w:rFonts w:eastAsia="Times New Roman"/>
                <w:sz w:val="20"/>
                <w:szCs w:val="20"/>
              </w:rPr>
            </w:pPr>
          </w:p>
        </w:tc>
        <w:tc>
          <w:tcPr>
            <w:tcW w:w="5" w:type="pct"/>
            <w:vAlign w:val="center"/>
            <w:hideMark/>
          </w:tcPr>
          <w:p w14:paraId="056BE6D7" w14:textId="77777777" w:rsidR="00000000" w:rsidRDefault="00C1661D">
            <w:pPr>
              <w:spacing w:after="100"/>
              <w:rPr>
                <w:rFonts w:eastAsia="Times New Roman"/>
                <w:sz w:val="20"/>
                <w:szCs w:val="20"/>
              </w:rPr>
            </w:pPr>
          </w:p>
        </w:tc>
        <w:tc>
          <w:tcPr>
            <w:tcW w:w="5" w:type="pct"/>
            <w:vAlign w:val="center"/>
            <w:hideMark/>
          </w:tcPr>
          <w:p w14:paraId="17836DBF" w14:textId="77777777" w:rsidR="00000000" w:rsidRDefault="00C1661D">
            <w:pPr>
              <w:spacing w:after="100"/>
              <w:rPr>
                <w:rFonts w:eastAsia="Times New Roman"/>
                <w:sz w:val="20"/>
                <w:szCs w:val="20"/>
              </w:rPr>
            </w:pPr>
          </w:p>
        </w:tc>
        <w:tc>
          <w:tcPr>
            <w:tcW w:w="26" w:type="pct"/>
            <w:vAlign w:val="center"/>
            <w:hideMark/>
          </w:tcPr>
          <w:p w14:paraId="2815EF3C" w14:textId="77777777" w:rsidR="00000000" w:rsidRDefault="00C1661D">
            <w:pPr>
              <w:spacing w:after="100"/>
              <w:rPr>
                <w:rFonts w:eastAsia="Times New Roman"/>
                <w:sz w:val="20"/>
                <w:szCs w:val="20"/>
              </w:rPr>
            </w:pPr>
          </w:p>
        </w:tc>
        <w:tc>
          <w:tcPr>
            <w:tcW w:w="5" w:type="pct"/>
            <w:vAlign w:val="center"/>
            <w:hideMark/>
          </w:tcPr>
          <w:p w14:paraId="6C87A923" w14:textId="77777777" w:rsidR="00000000" w:rsidRDefault="00C1661D">
            <w:pPr>
              <w:spacing w:after="100"/>
              <w:rPr>
                <w:rFonts w:eastAsia="Times New Roman"/>
                <w:sz w:val="20"/>
                <w:szCs w:val="20"/>
              </w:rPr>
            </w:pPr>
          </w:p>
        </w:tc>
        <w:tc>
          <w:tcPr>
            <w:tcW w:w="50" w:type="pct"/>
            <w:vAlign w:val="center"/>
            <w:hideMark/>
          </w:tcPr>
          <w:p w14:paraId="2B70837A" w14:textId="77777777" w:rsidR="00000000" w:rsidRDefault="00C1661D">
            <w:pPr>
              <w:spacing w:after="100"/>
              <w:rPr>
                <w:rFonts w:eastAsia="Times New Roman"/>
                <w:sz w:val="20"/>
                <w:szCs w:val="20"/>
              </w:rPr>
            </w:pPr>
          </w:p>
        </w:tc>
        <w:tc>
          <w:tcPr>
            <w:tcW w:w="532" w:type="pct"/>
            <w:vAlign w:val="center"/>
            <w:hideMark/>
          </w:tcPr>
          <w:p w14:paraId="16709832" w14:textId="77777777" w:rsidR="00000000" w:rsidRDefault="00C1661D">
            <w:pPr>
              <w:spacing w:after="100"/>
              <w:rPr>
                <w:rFonts w:eastAsia="Times New Roman"/>
                <w:sz w:val="20"/>
                <w:szCs w:val="20"/>
              </w:rPr>
            </w:pPr>
          </w:p>
        </w:tc>
        <w:tc>
          <w:tcPr>
            <w:tcW w:w="5" w:type="pct"/>
            <w:vAlign w:val="center"/>
            <w:hideMark/>
          </w:tcPr>
          <w:p w14:paraId="788B6477" w14:textId="77777777" w:rsidR="00000000" w:rsidRDefault="00C1661D">
            <w:pPr>
              <w:spacing w:after="100"/>
              <w:rPr>
                <w:rFonts w:eastAsia="Times New Roman"/>
                <w:sz w:val="20"/>
                <w:szCs w:val="20"/>
              </w:rPr>
            </w:pPr>
          </w:p>
        </w:tc>
      </w:tr>
      <w:tr w:rsidR="00000000" w14:paraId="4168B13E" w14:textId="77777777">
        <w:tc>
          <w:tcPr>
            <w:tcW w:w="0" w:type="auto"/>
            <w:gridSpan w:val="3"/>
            <w:tcMar>
              <w:top w:w="30" w:type="dxa"/>
              <w:left w:w="20" w:type="dxa"/>
              <w:bottom w:w="30" w:type="dxa"/>
              <w:right w:w="20" w:type="dxa"/>
            </w:tcMar>
            <w:vAlign w:val="bottom"/>
            <w:hideMark/>
          </w:tcPr>
          <w:p w14:paraId="34AA0842" w14:textId="77777777" w:rsidR="00000000" w:rsidRDefault="00C1661D">
            <w:pPr>
              <w:spacing w:after="100"/>
              <w:rPr>
                <w:rFonts w:eastAsia="Times New Roman"/>
              </w:rPr>
            </w:pPr>
            <w:r>
              <w:rPr>
                <w:rFonts w:eastAsia="Times New Roman"/>
                <w:b/>
                <w:bCs/>
                <w:color w:val="000000"/>
                <w:sz w:val="20"/>
                <w:szCs w:val="20"/>
              </w:rPr>
              <w:t>Midstream &amp; Marketing</w:t>
            </w:r>
          </w:p>
        </w:tc>
        <w:tc>
          <w:tcPr>
            <w:tcW w:w="0" w:type="auto"/>
            <w:gridSpan w:val="3"/>
            <w:tcMar>
              <w:top w:w="0" w:type="dxa"/>
              <w:left w:w="20" w:type="dxa"/>
              <w:bottom w:w="0" w:type="dxa"/>
              <w:right w:w="20" w:type="dxa"/>
            </w:tcMar>
            <w:vAlign w:val="center"/>
            <w:hideMark/>
          </w:tcPr>
          <w:p w14:paraId="7A0BADAE"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2D12E705"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49357991"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38585D8"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546C84F6" w14:textId="77777777" w:rsidR="00000000" w:rsidRDefault="00C1661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235B4DF" w14:textId="77777777" w:rsidR="00000000" w:rsidRDefault="00C1661D">
            <w:pPr>
              <w:spacing w:after="100"/>
              <w:jc w:val="center"/>
              <w:rPr>
                <w:rFonts w:eastAsia="Times New Roman"/>
              </w:rPr>
            </w:pPr>
            <w:r>
              <w:rPr>
                <w:rFonts w:eastAsia="Times New Roman"/>
                <w:color w:val="000000"/>
                <w:sz w:val="20"/>
                <w:szCs w:val="20"/>
              </w:rPr>
              <w:t>Increase</w:t>
            </w:r>
          </w:p>
        </w:tc>
      </w:tr>
      <w:tr w:rsidR="00000000" w14:paraId="49DD4D1E" w14:textId="77777777">
        <w:tc>
          <w:tcPr>
            <w:tcW w:w="0" w:type="auto"/>
            <w:gridSpan w:val="3"/>
            <w:tcBorders>
              <w:top w:val="single" w:sz="8" w:space="0" w:color="000000"/>
            </w:tcBorders>
            <w:tcMar>
              <w:top w:w="30" w:type="dxa"/>
              <w:left w:w="20" w:type="dxa"/>
              <w:bottom w:w="30" w:type="dxa"/>
              <w:right w:w="20" w:type="dxa"/>
            </w:tcMar>
            <w:vAlign w:val="bottom"/>
            <w:hideMark/>
          </w:tcPr>
          <w:p w14:paraId="68647661" w14:textId="77777777" w:rsidR="00000000" w:rsidRDefault="00C1661D">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14:paraId="711E65CA"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33EE92"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1541802"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29A459"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6292B6D5"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7D002E"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14:paraId="237CAAFF"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B8BAA7" w14:textId="77777777" w:rsidR="00000000" w:rsidRDefault="00C1661D">
            <w:pPr>
              <w:spacing w:after="100"/>
              <w:rPr>
                <w:rFonts w:eastAsia="Times New Roman"/>
              </w:rPr>
            </w:pPr>
            <w:r>
              <w:rPr>
                <w:rFonts w:eastAsia="Times New Roman"/>
                <w:color w:val="000000"/>
                <w:sz w:val="20"/>
                <w:szCs w:val="20"/>
              </w:rPr>
              <w:t> </w:t>
            </w:r>
          </w:p>
        </w:tc>
      </w:tr>
      <w:tr w:rsidR="00000000" w14:paraId="4AF1D23B" w14:textId="77777777">
        <w:tc>
          <w:tcPr>
            <w:tcW w:w="0" w:type="auto"/>
            <w:gridSpan w:val="3"/>
            <w:shd w:val="clear" w:color="auto" w:fill="CCEEFF"/>
            <w:tcMar>
              <w:top w:w="30" w:type="dxa"/>
              <w:left w:w="20" w:type="dxa"/>
              <w:bottom w:w="30" w:type="dxa"/>
              <w:right w:w="20" w:type="dxa"/>
            </w:tcMar>
            <w:vAlign w:val="bottom"/>
            <w:hideMark/>
          </w:tcPr>
          <w:p w14:paraId="49E4576F" w14:textId="77777777" w:rsidR="00000000" w:rsidRDefault="00C1661D">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14:paraId="57FB12F7"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6137F2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0294F9" w14:textId="77777777" w:rsidR="00000000" w:rsidRDefault="00C1661D">
            <w:pPr>
              <w:spacing w:after="100"/>
              <w:jc w:val="right"/>
              <w:rPr>
                <w:rFonts w:eastAsia="Times New Roman"/>
              </w:rPr>
            </w:pPr>
            <w:r>
              <w:rPr>
                <w:rFonts w:eastAsia="Times New Roman"/>
                <w:color w:val="000000"/>
                <w:sz w:val="20"/>
                <w:szCs w:val="20"/>
              </w:rPr>
              <w:t>2,326 </w:t>
            </w:r>
          </w:p>
        </w:tc>
        <w:tc>
          <w:tcPr>
            <w:tcW w:w="0" w:type="auto"/>
            <w:shd w:val="clear" w:color="auto" w:fill="CCEEFF"/>
            <w:tcMar>
              <w:top w:w="30" w:type="dxa"/>
              <w:left w:w="0" w:type="dxa"/>
              <w:bottom w:w="30" w:type="dxa"/>
              <w:right w:w="20" w:type="dxa"/>
            </w:tcMar>
            <w:vAlign w:val="bottom"/>
            <w:hideMark/>
          </w:tcPr>
          <w:p w14:paraId="0F19F41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50152"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009C2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7262D9" w14:textId="77777777" w:rsidR="00000000" w:rsidRDefault="00C1661D">
            <w:pPr>
              <w:spacing w:after="100"/>
              <w:jc w:val="right"/>
              <w:rPr>
                <w:rFonts w:eastAsia="Times New Roman"/>
              </w:rPr>
            </w:pPr>
            <w:r>
              <w:rPr>
                <w:rFonts w:eastAsia="Times New Roman"/>
                <w:color w:val="000000"/>
                <w:sz w:val="20"/>
                <w:szCs w:val="20"/>
              </w:rPr>
              <w:t>1,406 </w:t>
            </w:r>
          </w:p>
        </w:tc>
        <w:tc>
          <w:tcPr>
            <w:tcW w:w="0" w:type="auto"/>
            <w:shd w:val="clear" w:color="auto" w:fill="CCEEFF"/>
            <w:tcMar>
              <w:top w:w="30" w:type="dxa"/>
              <w:left w:w="0" w:type="dxa"/>
              <w:bottom w:w="30" w:type="dxa"/>
              <w:right w:w="20" w:type="dxa"/>
            </w:tcMar>
            <w:vAlign w:val="bottom"/>
            <w:hideMark/>
          </w:tcPr>
          <w:p w14:paraId="7146F5E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454F1"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04B7A0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95BF55" w14:textId="77777777" w:rsidR="00000000" w:rsidRDefault="00C1661D">
            <w:pPr>
              <w:spacing w:after="100"/>
              <w:jc w:val="right"/>
              <w:rPr>
                <w:rFonts w:eastAsia="Times New Roman"/>
              </w:rPr>
            </w:pPr>
            <w:r>
              <w:rPr>
                <w:rFonts w:eastAsia="Times New Roman"/>
                <w:color w:val="000000"/>
                <w:sz w:val="20"/>
                <w:szCs w:val="20"/>
              </w:rPr>
              <w:t>920 </w:t>
            </w:r>
          </w:p>
        </w:tc>
        <w:tc>
          <w:tcPr>
            <w:tcW w:w="0" w:type="auto"/>
            <w:shd w:val="clear" w:color="auto" w:fill="CCEEFF"/>
            <w:tcMar>
              <w:top w:w="30" w:type="dxa"/>
              <w:left w:w="0" w:type="dxa"/>
              <w:bottom w:w="30" w:type="dxa"/>
              <w:right w:w="20" w:type="dxa"/>
            </w:tcMar>
            <w:vAlign w:val="bottom"/>
            <w:hideMark/>
          </w:tcPr>
          <w:p w14:paraId="2DD9D05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B20E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CA22B2" w14:textId="77777777" w:rsidR="00000000" w:rsidRDefault="00C1661D">
            <w:pPr>
              <w:spacing w:after="100"/>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14:paraId="5CA1EC44" w14:textId="77777777" w:rsidR="00000000" w:rsidRDefault="00C1661D">
            <w:pPr>
              <w:spacing w:after="100"/>
              <w:jc w:val="right"/>
              <w:rPr>
                <w:rFonts w:eastAsia="Times New Roman"/>
              </w:rPr>
            </w:pPr>
            <w:r>
              <w:rPr>
                <w:rFonts w:eastAsia="Times New Roman"/>
                <w:color w:val="000000"/>
                <w:sz w:val="20"/>
                <w:szCs w:val="20"/>
              </w:rPr>
              <w:t>%</w:t>
            </w:r>
          </w:p>
        </w:tc>
      </w:tr>
      <w:tr w:rsidR="00000000" w14:paraId="2BB175A9" w14:textId="77777777">
        <w:tc>
          <w:tcPr>
            <w:tcW w:w="0" w:type="auto"/>
            <w:gridSpan w:val="3"/>
            <w:shd w:val="clear" w:color="auto" w:fill="FFFFFF"/>
            <w:tcMar>
              <w:top w:w="30" w:type="dxa"/>
              <w:left w:w="20" w:type="dxa"/>
              <w:bottom w:w="30" w:type="dxa"/>
              <w:right w:w="20" w:type="dxa"/>
            </w:tcMar>
            <w:vAlign w:val="bottom"/>
            <w:hideMark/>
          </w:tcPr>
          <w:p w14:paraId="3A1AFFFE" w14:textId="77777777" w:rsidR="00000000" w:rsidRDefault="00C1661D">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14:paraId="38DB95F4"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B1493F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F7C90BE" w14:textId="77777777" w:rsidR="00000000" w:rsidRDefault="00C1661D">
            <w:pPr>
              <w:spacing w:after="100"/>
              <w:jc w:val="right"/>
              <w:rPr>
                <w:rFonts w:eastAsia="Times New Roman"/>
              </w:rPr>
            </w:pPr>
            <w:r>
              <w:rPr>
                <w:rFonts w:eastAsia="Times New Roman"/>
                <w:color w:val="000000"/>
                <w:sz w:val="20"/>
                <w:szCs w:val="20"/>
              </w:rPr>
              <w:t>450 </w:t>
            </w:r>
          </w:p>
        </w:tc>
        <w:tc>
          <w:tcPr>
            <w:tcW w:w="0" w:type="auto"/>
            <w:shd w:val="clear" w:color="auto" w:fill="FFFFFF"/>
            <w:tcMar>
              <w:top w:w="30" w:type="dxa"/>
              <w:left w:w="0" w:type="dxa"/>
              <w:bottom w:w="30" w:type="dxa"/>
              <w:right w:w="20" w:type="dxa"/>
            </w:tcMar>
            <w:vAlign w:val="bottom"/>
            <w:hideMark/>
          </w:tcPr>
          <w:p w14:paraId="28C99D1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9C73E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17BBC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38CF24E" w14:textId="77777777" w:rsidR="00000000" w:rsidRDefault="00C1661D">
            <w:pPr>
              <w:spacing w:after="100"/>
              <w:jc w:val="right"/>
              <w:rPr>
                <w:rFonts w:eastAsia="Times New Roman"/>
              </w:rPr>
            </w:pPr>
            <w:r>
              <w:rPr>
                <w:rFonts w:eastAsia="Times New Roman"/>
                <w:color w:val="000000"/>
                <w:sz w:val="20"/>
                <w:szCs w:val="20"/>
              </w:rPr>
              <w:t>373 </w:t>
            </w:r>
          </w:p>
        </w:tc>
        <w:tc>
          <w:tcPr>
            <w:tcW w:w="0" w:type="auto"/>
            <w:shd w:val="clear" w:color="auto" w:fill="FFFFFF"/>
            <w:tcMar>
              <w:top w:w="30" w:type="dxa"/>
              <w:left w:w="0" w:type="dxa"/>
              <w:bottom w:w="30" w:type="dxa"/>
              <w:right w:w="20" w:type="dxa"/>
            </w:tcMar>
            <w:vAlign w:val="bottom"/>
            <w:hideMark/>
          </w:tcPr>
          <w:p w14:paraId="113868B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15E7CF"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F6AB3F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B85B975" w14:textId="77777777" w:rsidR="00000000" w:rsidRDefault="00C1661D">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14:paraId="44288AF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891F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B51902" w14:textId="77777777" w:rsidR="00000000" w:rsidRDefault="00C1661D">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1E8D3EDD" w14:textId="77777777" w:rsidR="00000000" w:rsidRDefault="00C1661D">
            <w:pPr>
              <w:spacing w:after="100"/>
              <w:jc w:val="right"/>
              <w:rPr>
                <w:rFonts w:eastAsia="Times New Roman"/>
              </w:rPr>
            </w:pPr>
            <w:r>
              <w:rPr>
                <w:rFonts w:eastAsia="Times New Roman"/>
                <w:color w:val="000000"/>
                <w:sz w:val="20"/>
                <w:szCs w:val="20"/>
              </w:rPr>
              <w:t>%</w:t>
            </w:r>
          </w:p>
        </w:tc>
      </w:tr>
      <w:tr w:rsidR="00000000" w14:paraId="10F17247" w14:textId="77777777">
        <w:tc>
          <w:tcPr>
            <w:tcW w:w="0" w:type="auto"/>
            <w:gridSpan w:val="3"/>
            <w:shd w:val="clear" w:color="auto" w:fill="CCEEFF"/>
            <w:tcMar>
              <w:top w:w="30" w:type="dxa"/>
              <w:left w:w="20" w:type="dxa"/>
              <w:bottom w:w="30" w:type="dxa"/>
              <w:right w:w="20" w:type="dxa"/>
            </w:tcMar>
            <w:vAlign w:val="bottom"/>
            <w:hideMark/>
          </w:tcPr>
          <w:p w14:paraId="51FB91E9" w14:textId="77777777" w:rsidR="00000000" w:rsidRDefault="00C1661D">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14:paraId="3B19765B"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ADE4B5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CFC1621" w14:textId="77777777" w:rsidR="00000000" w:rsidRDefault="00C1661D">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14:paraId="0DE9B03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1987EA"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8011B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334A766" w14:textId="77777777" w:rsidR="00000000" w:rsidRDefault="00C1661D">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14:paraId="3606A89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E1C45"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90F492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A752419"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F693E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94969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6266B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D0A587B" w14:textId="77777777" w:rsidR="00000000" w:rsidRDefault="00C1661D">
            <w:pPr>
              <w:spacing w:after="100"/>
              <w:jc w:val="right"/>
              <w:rPr>
                <w:rFonts w:eastAsia="Times New Roman"/>
              </w:rPr>
            </w:pPr>
            <w:r>
              <w:rPr>
                <w:rFonts w:eastAsia="Times New Roman"/>
                <w:color w:val="000000"/>
                <w:sz w:val="20"/>
                <w:szCs w:val="20"/>
              </w:rPr>
              <w:t>%</w:t>
            </w:r>
          </w:p>
        </w:tc>
      </w:tr>
      <w:tr w:rsidR="00000000" w14:paraId="779D0AF5" w14:textId="77777777">
        <w:tc>
          <w:tcPr>
            <w:tcW w:w="0" w:type="auto"/>
            <w:gridSpan w:val="3"/>
            <w:shd w:val="clear" w:color="auto" w:fill="FFFFFF"/>
            <w:tcMar>
              <w:top w:w="30" w:type="dxa"/>
              <w:left w:w="20" w:type="dxa"/>
              <w:bottom w:w="30" w:type="dxa"/>
              <w:right w:w="20" w:type="dxa"/>
            </w:tcMar>
            <w:vAlign w:val="bottom"/>
            <w:hideMark/>
          </w:tcPr>
          <w:p w14:paraId="19B9D08F" w14:textId="77777777" w:rsidR="00000000" w:rsidRDefault="00C1661D">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14:paraId="0882AB5C"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7F49EB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E7AD351" w14:textId="77777777" w:rsidR="00000000" w:rsidRDefault="00C1661D">
            <w:pPr>
              <w:spacing w:after="100"/>
              <w:jc w:val="right"/>
              <w:rPr>
                <w:rFonts w:eastAsia="Times New Roman"/>
              </w:rPr>
            </w:pPr>
            <w:r>
              <w:rPr>
                <w:rFonts w:eastAsia="Times New Roman"/>
                <w:color w:val="000000"/>
                <w:sz w:val="20"/>
                <w:szCs w:val="20"/>
              </w:rPr>
              <w:t>246 </w:t>
            </w:r>
          </w:p>
        </w:tc>
        <w:tc>
          <w:tcPr>
            <w:tcW w:w="0" w:type="auto"/>
            <w:shd w:val="clear" w:color="auto" w:fill="FFFFFF"/>
            <w:tcMar>
              <w:top w:w="30" w:type="dxa"/>
              <w:left w:w="0" w:type="dxa"/>
              <w:bottom w:w="30" w:type="dxa"/>
              <w:right w:w="20" w:type="dxa"/>
            </w:tcMar>
            <w:vAlign w:val="bottom"/>
            <w:hideMark/>
          </w:tcPr>
          <w:p w14:paraId="69097A4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A5DECD"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61177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8CF1F61" w14:textId="77777777" w:rsidR="00000000" w:rsidRDefault="00C1661D">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14:paraId="4CF3A79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709C5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D2AFC6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215E0C" w14:textId="77777777" w:rsidR="00000000" w:rsidRDefault="00C1661D">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14:paraId="2C21C46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789FA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918349" w14:textId="77777777" w:rsidR="00000000" w:rsidRDefault="00C1661D">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14:paraId="75667B81" w14:textId="77777777" w:rsidR="00000000" w:rsidRDefault="00C1661D">
            <w:pPr>
              <w:spacing w:after="100"/>
              <w:jc w:val="right"/>
              <w:rPr>
                <w:rFonts w:eastAsia="Times New Roman"/>
              </w:rPr>
            </w:pPr>
            <w:r>
              <w:rPr>
                <w:rFonts w:eastAsia="Times New Roman"/>
                <w:color w:val="000000"/>
                <w:sz w:val="20"/>
                <w:szCs w:val="20"/>
              </w:rPr>
              <w:t>%</w:t>
            </w:r>
          </w:p>
        </w:tc>
      </w:tr>
      <w:tr w:rsidR="00000000" w14:paraId="48F584AD" w14:textId="77777777">
        <w:tc>
          <w:tcPr>
            <w:tcW w:w="0" w:type="auto"/>
            <w:gridSpan w:val="3"/>
            <w:shd w:val="clear" w:color="auto" w:fill="CCEEFF"/>
            <w:tcMar>
              <w:top w:w="30" w:type="dxa"/>
              <w:left w:w="20" w:type="dxa"/>
              <w:bottom w:w="30" w:type="dxa"/>
              <w:right w:w="20" w:type="dxa"/>
            </w:tcMar>
            <w:vAlign w:val="bottom"/>
            <w:hideMark/>
          </w:tcPr>
          <w:p w14:paraId="5EBA4606" w14:textId="77777777" w:rsidR="00000000" w:rsidRDefault="00C1661D">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14:paraId="2B1D391C"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B24B45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A27979E" w14:textId="77777777" w:rsidR="00000000" w:rsidRDefault="00C1661D">
            <w:pPr>
              <w:spacing w:after="100"/>
              <w:jc w:val="right"/>
              <w:rPr>
                <w:rFonts w:eastAsia="Times New Roman"/>
              </w:rPr>
            </w:pPr>
            <w:r>
              <w:rPr>
                <w:rFonts w:eastAsia="Times New Roman"/>
                <w:color w:val="000000"/>
                <w:sz w:val="20"/>
                <w:szCs w:val="20"/>
              </w:rPr>
              <w:t>269 </w:t>
            </w:r>
          </w:p>
        </w:tc>
        <w:tc>
          <w:tcPr>
            <w:tcW w:w="0" w:type="auto"/>
            <w:shd w:val="clear" w:color="auto" w:fill="CCEEFF"/>
            <w:tcMar>
              <w:top w:w="30" w:type="dxa"/>
              <w:left w:w="0" w:type="dxa"/>
              <w:bottom w:w="30" w:type="dxa"/>
              <w:right w:w="20" w:type="dxa"/>
            </w:tcMar>
            <w:vAlign w:val="bottom"/>
            <w:hideMark/>
          </w:tcPr>
          <w:p w14:paraId="0BF067B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C76665"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AFE9C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3A8AD98" w14:textId="77777777" w:rsidR="00000000" w:rsidRDefault="00C1661D">
            <w:pPr>
              <w:spacing w:after="100"/>
              <w:jc w:val="right"/>
              <w:rPr>
                <w:rFonts w:eastAsia="Times New Roman"/>
              </w:rPr>
            </w:pPr>
            <w:r>
              <w:rPr>
                <w:rFonts w:eastAsia="Times New Roman"/>
                <w:color w:val="000000"/>
                <w:sz w:val="20"/>
                <w:szCs w:val="20"/>
              </w:rPr>
              <w:t>190 </w:t>
            </w:r>
          </w:p>
        </w:tc>
        <w:tc>
          <w:tcPr>
            <w:tcW w:w="0" w:type="auto"/>
            <w:shd w:val="clear" w:color="auto" w:fill="CCEEFF"/>
            <w:tcMar>
              <w:top w:w="30" w:type="dxa"/>
              <w:left w:w="0" w:type="dxa"/>
              <w:bottom w:w="30" w:type="dxa"/>
              <w:right w:w="20" w:type="dxa"/>
            </w:tcMar>
            <w:vAlign w:val="bottom"/>
            <w:hideMark/>
          </w:tcPr>
          <w:p w14:paraId="1918777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AAC7A5"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B9FB7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DF15ECC" w14:textId="77777777" w:rsidR="00000000" w:rsidRDefault="00C1661D">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14:paraId="3FCE8C0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DED32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57DE4F" w14:textId="77777777" w:rsidR="00000000" w:rsidRDefault="00C1661D">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14:paraId="21F82D7B" w14:textId="77777777" w:rsidR="00000000" w:rsidRDefault="00C1661D">
            <w:pPr>
              <w:spacing w:after="100"/>
              <w:jc w:val="right"/>
              <w:rPr>
                <w:rFonts w:eastAsia="Times New Roman"/>
              </w:rPr>
            </w:pPr>
            <w:r>
              <w:rPr>
                <w:rFonts w:eastAsia="Times New Roman"/>
                <w:color w:val="000000"/>
                <w:sz w:val="20"/>
                <w:szCs w:val="20"/>
              </w:rPr>
              <w:t>%</w:t>
            </w:r>
          </w:p>
        </w:tc>
      </w:tr>
    </w:tbl>
    <w:p w14:paraId="0DEFB525" w14:textId="77777777" w:rsidR="00000000" w:rsidRDefault="00C1661D">
      <w:pPr>
        <w:ind w:hanging="360"/>
        <w:jc w:val="both"/>
        <w:rPr>
          <w:rFonts w:eastAsia="Times New Roman"/>
        </w:rPr>
      </w:pPr>
      <w:r>
        <w:rPr>
          <w:rFonts w:eastAsia="Times New Roman"/>
          <w:color w:val="000000"/>
          <w:sz w:val="20"/>
          <w:szCs w:val="20"/>
        </w:rPr>
        <w:t>(a)Total margin represents total revenues less total cost of sales.</w:t>
      </w:r>
    </w:p>
    <w:p w14:paraId="40050D2E" w14:textId="77777777" w:rsidR="00000000" w:rsidRDefault="00C1661D">
      <w:pPr>
        <w:jc w:val="both"/>
        <w:rPr>
          <w:rFonts w:eastAsia="Times New Roman"/>
        </w:rPr>
      </w:pPr>
    </w:p>
    <w:p w14:paraId="1CD77528" w14:textId="77777777" w:rsidR="00000000" w:rsidRDefault="00C1661D">
      <w:pPr>
        <w:jc w:val="both"/>
        <w:rPr>
          <w:rFonts w:eastAsia="Times New Roman"/>
        </w:rPr>
      </w:pPr>
      <w:r>
        <w:rPr>
          <w:rFonts w:eastAsia="Times New Roman"/>
          <w:color w:val="000000"/>
          <w:sz w:val="20"/>
          <w:szCs w:val="20"/>
        </w:rPr>
        <w:t>Average temperatures across Midstream &amp; Marketing’s energy marketing</w:t>
      </w:r>
      <w:r>
        <w:rPr>
          <w:rFonts w:eastAsia="Times New Roman"/>
          <w:color w:val="000000"/>
          <w:sz w:val="20"/>
          <w:szCs w:val="20"/>
        </w:rPr>
        <w:t xml:space="preserve"> territory during Fiscal 2022 were 8.1% warmer than normal and 4.3% warmer than the prior year. </w:t>
      </w:r>
    </w:p>
    <w:p w14:paraId="10B63209" w14:textId="77777777" w:rsidR="00000000" w:rsidRDefault="00C1661D">
      <w:pPr>
        <w:jc w:val="both"/>
        <w:rPr>
          <w:rFonts w:eastAsia="Times New Roman"/>
        </w:rPr>
      </w:pPr>
    </w:p>
    <w:p w14:paraId="38AA4715" w14:textId="77777777" w:rsidR="00000000" w:rsidRDefault="00C1661D">
      <w:pPr>
        <w:jc w:val="both"/>
        <w:rPr>
          <w:rFonts w:eastAsia="Times New Roman"/>
        </w:rPr>
      </w:pPr>
      <w:r>
        <w:rPr>
          <w:rFonts w:eastAsia="Times New Roman"/>
          <w:color w:val="000000"/>
          <w:sz w:val="20"/>
          <w:szCs w:val="20"/>
        </w:rPr>
        <w:t>Midstream &amp; Marketing’s revenues increased $920 million compared to the prior year principally reflecting increased revenues from natural gas marketing activ</w:t>
      </w:r>
      <w:r>
        <w:rPr>
          <w:rFonts w:eastAsia="Times New Roman"/>
          <w:color w:val="000000"/>
          <w:sz w:val="20"/>
          <w:szCs w:val="20"/>
        </w:rPr>
        <w:t>ities ($845 million), including the effects of peaking and capacity management activities, which were impacted by significantly higher average natural gas prices compared to the prior year. This increase in revenues was partially offset by lower volumes at</w:t>
      </w:r>
      <w:r>
        <w:rPr>
          <w:rFonts w:eastAsia="Times New Roman"/>
          <w:color w:val="000000"/>
          <w:sz w:val="20"/>
          <w:szCs w:val="20"/>
        </w:rPr>
        <w:t xml:space="preserve">tributable to the warmer weather. Higher revenues associated with retail power and generation ($45 million) and natural gas gathering activities ($27 million) also contributed to the increase. </w:t>
      </w:r>
    </w:p>
    <w:p w14:paraId="7775B2DD" w14:textId="77777777" w:rsidR="00000000" w:rsidRDefault="00C1661D">
      <w:pPr>
        <w:jc w:val="both"/>
        <w:rPr>
          <w:rFonts w:eastAsia="Times New Roman"/>
        </w:rPr>
      </w:pPr>
    </w:p>
    <w:p w14:paraId="795BB800" w14:textId="77777777" w:rsidR="00000000" w:rsidRDefault="00C1661D">
      <w:pPr>
        <w:jc w:val="both"/>
        <w:rPr>
          <w:rFonts w:eastAsia="Times New Roman"/>
        </w:rPr>
      </w:pPr>
      <w:r>
        <w:rPr>
          <w:rFonts w:eastAsia="Times New Roman"/>
          <w:color w:val="000000"/>
          <w:sz w:val="20"/>
          <w:szCs w:val="20"/>
        </w:rPr>
        <w:t>Midstream &amp; Marketing cost of sales was $1,876 million in Fi</w:t>
      </w:r>
      <w:r>
        <w:rPr>
          <w:rFonts w:eastAsia="Times New Roman"/>
          <w:color w:val="000000"/>
          <w:sz w:val="20"/>
          <w:szCs w:val="20"/>
        </w:rPr>
        <w:t>scal 2022 compared to $1,033 million in Fiscal 2021. The $843 million increase principally reflects higher cost of sales related to the previously mentioned natural gas marketing activities ($807 million) which include the effects of significantly higher p</w:t>
      </w:r>
      <w:r>
        <w:rPr>
          <w:rFonts w:eastAsia="Times New Roman"/>
          <w:color w:val="000000"/>
          <w:sz w:val="20"/>
          <w:szCs w:val="20"/>
        </w:rPr>
        <w:t xml:space="preserve">roduct costs in Fiscal 2022 partially offset by the lower volumes sold. Higher cost of sales associated with retail power and generation ($40 million) also contributed to the increase. </w:t>
      </w:r>
    </w:p>
    <w:p w14:paraId="4EAED19C" w14:textId="77777777" w:rsidR="00000000" w:rsidRDefault="00C1661D">
      <w:pPr>
        <w:jc w:val="both"/>
        <w:rPr>
          <w:rFonts w:eastAsia="Times New Roman"/>
        </w:rPr>
      </w:pPr>
    </w:p>
    <w:p w14:paraId="23AC2005" w14:textId="77777777" w:rsidR="00000000" w:rsidRDefault="00C1661D">
      <w:pPr>
        <w:jc w:val="both"/>
        <w:rPr>
          <w:rFonts w:eastAsia="Times New Roman"/>
        </w:rPr>
      </w:pPr>
      <w:r>
        <w:rPr>
          <w:rFonts w:eastAsia="Times New Roman"/>
          <w:color w:val="000000"/>
          <w:sz w:val="20"/>
          <w:szCs w:val="20"/>
        </w:rPr>
        <w:t>Midstream &amp; Marketing total margin increased $77 million in Fiscal 2</w:t>
      </w:r>
      <w:r>
        <w:rPr>
          <w:rFonts w:eastAsia="Times New Roman"/>
          <w:color w:val="000000"/>
          <w:sz w:val="20"/>
          <w:szCs w:val="20"/>
        </w:rPr>
        <w:t>022 largely reflecting improved margin from natural gas marketing activities ($38 million), including the effects of peaking and capacity management activities, and reflects the positive impact of settlement timing of certain multi-year commodity storage h</w:t>
      </w:r>
      <w:r>
        <w:rPr>
          <w:rFonts w:eastAsia="Times New Roman"/>
          <w:color w:val="000000"/>
          <w:sz w:val="20"/>
          <w:szCs w:val="20"/>
        </w:rPr>
        <w:t>edge contracts during Fiscal 2022. The increase in total margin also includes incremental margin attributable to UGI Moraine East ($15 million), higher total margin from renewable energy marketing activities ($9 million) including the impact of increased a</w:t>
      </w:r>
      <w:r>
        <w:rPr>
          <w:rFonts w:eastAsia="Times New Roman"/>
          <w:color w:val="000000"/>
          <w:sz w:val="20"/>
          <w:szCs w:val="20"/>
        </w:rPr>
        <w:t xml:space="preserve">verage pricing related to environmental credits compared to Fiscal 2021, and higher retail power and generation margin ($5 million). </w:t>
      </w:r>
    </w:p>
    <w:p w14:paraId="1D552B32" w14:textId="77777777" w:rsidR="00000000" w:rsidRDefault="00C1661D">
      <w:pPr>
        <w:jc w:val="both"/>
        <w:rPr>
          <w:rFonts w:eastAsia="Times New Roman"/>
        </w:rPr>
      </w:pPr>
    </w:p>
    <w:p w14:paraId="6766ECA9" w14:textId="77777777" w:rsidR="00000000" w:rsidRDefault="00C1661D">
      <w:pPr>
        <w:jc w:val="both"/>
        <w:rPr>
          <w:rFonts w:eastAsia="Times New Roman"/>
        </w:rPr>
      </w:pPr>
      <w:r>
        <w:rPr>
          <w:rFonts w:eastAsia="Times New Roman"/>
          <w:color w:val="000000"/>
          <w:sz w:val="20"/>
          <w:szCs w:val="20"/>
        </w:rPr>
        <w:t>Midstream &amp; Marketing operating income and earnings before interest expense and income taxes during Fiscal 2022 increase</w:t>
      </w:r>
      <w:r>
        <w:rPr>
          <w:rFonts w:eastAsia="Times New Roman"/>
          <w:color w:val="000000"/>
          <w:sz w:val="20"/>
          <w:szCs w:val="20"/>
        </w:rPr>
        <w:t xml:space="preserve">d $86 million and $79 million, respectively, compared to the prior year. The increase in operating income principally reflects the </w:t>
      </w:r>
    </w:p>
    <w:p w14:paraId="729204E1" w14:textId="77777777" w:rsidR="00000000" w:rsidRDefault="00C1661D">
      <w:pPr>
        <w:jc w:val="center"/>
        <w:divId w:val="153303359"/>
        <w:rPr>
          <w:rFonts w:eastAsia="Times New Roman"/>
        </w:rPr>
      </w:pPr>
      <w:r>
        <w:rPr>
          <w:rFonts w:eastAsia="Times New Roman"/>
          <w:color w:val="000000"/>
          <w:sz w:val="20"/>
          <w:szCs w:val="20"/>
        </w:rPr>
        <w:t>54</w:t>
      </w:r>
    </w:p>
    <w:p w14:paraId="66D224BF" w14:textId="77777777" w:rsidR="00000000" w:rsidRDefault="00C1661D">
      <w:pPr>
        <w:rPr>
          <w:rFonts w:eastAsia="Times New Roman"/>
        </w:rPr>
      </w:pPr>
      <w:r>
        <w:rPr>
          <w:rFonts w:eastAsia="Times New Roman"/>
        </w:rPr>
        <w:pict w14:anchorId="4B1C5AC3">
          <v:rect id="_x0000_i1081" style="width:0;height:1.5pt" o:hralign="center" o:hrstd="t" o:hr="t" fillcolor="#a0a0a0" stroked="f"/>
        </w:pict>
      </w:r>
    </w:p>
    <w:p w14:paraId="26D89AB7" w14:textId="77777777" w:rsidR="00000000" w:rsidRDefault="00C1661D">
      <w:pPr>
        <w:divId w:val="1779716804"/>
        <w:rPr>
          <w:rFonts w:eastAsia="Times New Roman"/>
        </w:rPr>
      </w:pPr>
      <w:hyperlink w:anchor="i3850c3c6c0104e42b9951aac2f16098a_7" w:history="1">
        <w:r>
          <w:rPr>
            <w:rStyle w:val="a3"/>
            <w:rFonts w:eastAsia="Times New Roman"/>
            <w:b/>
            <w:bCs/>
            <w:sz w:val="20"/>
            <w:szCs w:val="20"/>
          </w:rPr>
          <w:t>Table of Contents</w:t>
        </w:r>
      </w:hyperlink>
    </w:p>
    <w:p w14:paraId="5EB42476" w14:textId="77777777" w:rsidR="00000000" w:rsidRDefault="00C1661D">
      <w:pPr>
        <w:jc w:val="both"/>
        <w:rPr>
          <w:rFonts w:eastAsia="Times New Roman"/>
        </w:rPr>
      </w:pPr>
      <w:r>
        <w:rPr>
          <w:rFonts w:eastAsia="Times New Roman"/>
          <w:color w:val="000000"/>
          <w:sz w:val="20"/>
          <w:szCs w:val="20"/>
        </w:rPr>
        <w:t>increase</w:t>
      </w:r>
      <w:r>
        <w:rPr>
          <w:rFonts w:eastAsia="Times New Roman"/>
          <w:color w:val="000000"/>
          <w:sz w:val="20"/>
          <w:szCs w:val="20"/>
        </w:rPr>
        <w:t xml:space="preserve"> in total margin and the absence of a contingent consideration adjustment related to the GHI acquisition in the prior year partially offset by higher depreciation and amortization expense largely attributable to UGI Moraine East. The increase in earnings b</w:t>
      </w:r>
      <w:r>
        <w:rPr>
          <w:rFonts w:eastAsia="Times New Roman"/>
          <w:color w:val="000000"/>
          <w:sz w:val="20"/>
          <w:szCs w:val="20"/>
        </w:rPr>
        <w:t xml:space="preserve">efore interest expense and income taxes reflects the improvement in operating income partially offset by lower income from equity-method investments. </w:t>
      </w:r>
    </w:p>
    <w:tbl>
      <w:tblPr>
        <w:tblW w:w="4978" w:type="pct"/>
        <w:tblCellMar>
          <w:top w:w="15" w:type="dxa"/>
          <w:left w:w="15" w:type="dxa"/>
          <w:bottom w:w="15" w:type="dxa"/>
          <w:right w:w="15" w:type="dxa"/>
        </w:tblCellMar>
        <w:tblLook w:val="04A0" w:firstRow="1" w:lastRow="0" w:firstColumn="1" w:lastColumn="0" w:noHBand="0" w:noVBand="1"/>
      </w:tblPr>
      <w:tblGrid>
        <w:gridCol w:w="39"/>
        <w:gridCol w:w="3926"/>
        <w:gridCol w:w="38"/>
        <w:gridCol w:w="36"/>
        <w:gridCol w:w="36"/>
        <w:gridCol w:w="36"/>
        <w:gridCol w:w="120"/>
        <w:gridCol w:w="718"/>
        <w:gridCol w:w="187"/>
        <w:gridCol w:w="36"/>
        <w:gridCol w:w="36"/>
        <w:gridCol w:w="36"/>
        <w:gridCol w:w="120"/>
        <w:gridCol w:w="718"/>
        <w:gridCol w:w="187"/>
        <w:gridCol w:w="36"/>
        <w:gridCol w:w="36"/>
        <w:gridCol w:w="36"/>
        <w:gridCol w:w="121"/>
        <w:gridCol w:w="719"/>
        <w:gridCol w:w="37"/>
        <w:gridCol w:w="37"/>
        <w:gridCol w:w="37"/>
        <w:gridCol w:w="36"/>
        <w:gridCol w:w="37"/>
        <w:gridCol w:w="681"/>
        <w:gridCol w:w="187"/>
      </w:tblGrid>
      <w:tr w:rsidR="00000000" w14:paraId="4ABB4220" w14:textId="77777777">
        <w:trPr>
          <w:divId w:val="1607808855"/>
        </w:trPr>
        <w:tc>
          <w:tcPr>
            <w:tcW w:w="50" w:type="pct"/>
            <w:vAlign w:val="center"/>
            <w:hideMark/>
          </w:tcPr>
          <w:p w14:paraId="3FE7B5BC" w14:textId="77777777" w:rsidR="00000000" w:rsidRDefault="00C1661D">
            <w:pPr>
              <w:jc w:val="both"/>
              <w:rPr>
                <w:rFonts w:eastAsia="Times New Roman"/>
              </w:rPr>
            </w:pPr>
          </w:p>
        </w:tc>
        <w:tc>
          <w:tcPr>
            <w:tcW w:w="2448" w:type="pct"/>
            <w:vAlign w:val="center"/>
            <w:hideMark/>
          </w:tcPr>
          <w:p w14:paraId="3733B23B" w14:textId="77777777" w:rsidR="00000000" w:rsidRDefault="00C1661D">
            <w:pPr>
              <w:spacing w:after="100"/>
              <w:rPr>
                <w:rFonts w:eastAsia="Times New Roman"/>
                <w:sz w:val="20"/>
                <w:szCs w:val="20"/>
              </w:rPr>
            </w:pPr>
          </w:p>
        </w:tc>
        <w:tc>
          <w:tcPr>
            <w:tcW w:w="5" w:type="pct"/>
            <w:vAlign w:val="center"/>
            <w:hideMark/>
          </w:tcPr>
          <w:p w14:paraId="55495F78" w14:textId="77777777" w:rsidR="00000000" w:rsidRDefault="00C1661D">
            <w:pPr>
              <w:spacing w:after="100"/>
              <w:rPr>
                <w:rFonts w:eastAsia="Times New Roman"/>
                <w:sz w:val="20"/>
                <w:szCs w:val="20"/>
              </w:rPr>
            </w:pPr>
          </w:p>
        </w:tc>
        <w:tc>
          <w:tcPr>
            <w:tcW w:w="5" w:type="pct"/>
            <w:vAlign w:val="center"/>
            <w:hideMark/>
          </w:tcPr>
          <w:p w14:paraId="7AE056DB" w14:textId="77777777" w:rsidR="00000000" w:rsidRDefault="00C1661D">
            <w:pPr>
              <w:spacing w:after="100"/>
              <w:rPr>
                <w:rFonts w:eastAsia="Times New Roman"/>
                <w:sz w:val="20"/>
                <w:szCs w:val="20"/>
              </w:rPr>
            </w:pPr>
          </w:p>
        </w:tc>
        <w:tc>
          <w:tcPr>
            <w:tcW w:w="26" w:type="pct"/>
            <w:vAlign w:val="center"/>
            <w:hideMark/>
          </w:tcPr>
          <w:p w14:paraId="0B710EB7" w14:textId="77777777" w:rsidR="00000000" w:rsidRDefault="00C1661D">
            <w:pPr>
              <w:spacing w:after="100"/>
              <w:rPr>
                <w:rFonts w:eastAsia="Times New Roman"/>
                <w:sz w:val="20"/>
                <w:szCs w:val="20"/>
              </w:rPr>
            </w:pPr>
          </w:p>
        </w:tc>
        <w:tc>
          <w:tcPr>
            <w:tcW w:w="5" w:type="pct"/>
            <w:vAlign w:val="center"/>
            <w:hideMark/>
          </w:tcPr>
          <w:p w14:paraId="0B4E3F67" w14:textId="77777777" w:rsidR="00000000" w:rsidRDefault="00C1661D">
            <w:pPr>
              <w:spacing w:after="100"/>
              <w:rPr>
                <w:rFonts w:eastAsia="Times New Roman"/>
                <w:sz w:val="20"/>
                <w:szCs w:val="20"/>
              </w:rPr>
            </w:pPr>
          </w:p>
        </w:tc>
        <w:tc>
          <w:tcPr>
            <w:tcW w:w="50" w:type="pct"/>
            <w:vAlign w:val="center"/>
            <w:hideMark/>
          </w:tcPr>
          <w:p w14:paraId="53E2F961" w14:textId="77777777" w:rsidR="00000000" w:rsidRDefault="00C1661D">
            <w:pPr>
              <w:spacing w:after="100"/>
              <w:rPr>
                <w:rFonts w:eastAsia="Times New Roman"/>
                <w:sz w:val="20"/>
                <w:szCs w:val="20"/>
              </w:rPr>
            </w:pPr>
          </w:p>
        </w:tc>
        <w:tc>
          <w:tcPr>
            <w:tcW w:w="532" w:type="pct"/>
            <w:vAlign w:val="center"/>
            <w:hideMark/>
          </w:tcPr>
          <w:p w14:paraId="4585E976" w14:textId="77777777" w:rsidR="00000000" w:rsidRDefault="00C1661D">
            <w:pPr>
              <w:spacing w:after="100"/>
              <w:rPr>
                <w:rFonts w:eastAsia="Times New Roman"/>
                <w:sz w:val="20"/>
                <w:szCs w:val="20"/>
              </w:rPr>
            </w:pPr>
          </w:p>
        </w:tc>
        <w:tc>
          <w:tcPr>
            <w:tcW w:w="5" w:type="pct"/>
            <w:vAlign w:val="center"/>
            <w:hideMark/>
          </w:tcPr>
          <w:p w14:paraId="3D5A2AEF" w14:textId="77777777" w:rsidR="00000000" w:rsidRDefault="00C1661D">
            <w:pPr>
              <w:spacing w:after="100"/>
              <w:rPr>
                <w:rFonts w:eastAsia="Times New Roman"/>
                <w:sz w:val="20"/>
                <w:szCs w:val="20"/>
              </w:rPr>
            </w:pPr>
          </w:p>
        </w:tc>
        <w:tc>
          <w:tcPr>
            <w:tcW w:w="5" w:type="pct"/>
            <w:vAlign w:val="center"/>
            <w:hideMark/>
          </w:tcPr>
          <w:p w14:paraId="472DEF36" w14:textId="77777777" w:rsidR="00000000" w:rsidRDefault="00C1661D">
            <w:pPr>
              <w:spacing w:after="100"/>
              <w:rPr>
                <w:rFonts w:eastAsia="Times New Roman"/>
                <w:sz w:val="20"/>
                <w:szCs w:val="20"/>
              </w:rPr>
            </w:pPr>
          </w:p>
        </w:tc>
        <w:tc>
          <w:tcPr>
            <w:tcW w:w="26" w:type="pct"/>
            <w:vAlign w:val="center"/>
            <w:hideMark/>
          </w:tcPr>
          <w:p w14:paraId="483EC308" w14:textId="77777777" w:rsidR="00000000" w:rsidRDefault="00C1661D">
            <w:pPr>
              <w:spacing w:after="100"/>
              <w:rPr>
                <w:rFonts w:eastAsia="Times New Roman"/>
                <w:sz w:val="20"/>
                <w:szCs w:val="20"/>
              </w:rPr>
            </w:pPr>
          </w:p>
        </w:tc>
        <w:tc>
          <w:tcPr>
            <w:tcW w:w="5" w:type="pct"/>
            <w:vAlign w:val="center"/>
            <w:hideMark/>
          </w:tcPr>
          <w:p w14:paraId="2ACCF0A2" w14:textId="77777777" w:rsidR="00000000" w:rsidRDefault="00C1661D">
            <w:pPr>
              <w:spacing w:after="100"/>
              <w:rPr>
                <w:rFonts w:eastAsia="Times New Roman"/>
                <w:sz w:val="20"/>
                <w:szCs w:val="20"/>
              </w:rPr>
            </w:pPr>
          </w:p>
        </w:tc>
        <w:tc>
          <w:tcPr>
            <w:tcW w:w="50" w:type="pct"/>
            <w:vAlign w:val="center"/>
            <w:hideMark/>
          </w:tcPr>
          <w:p w14:paraId="133851D1" w14:textId="77777777" w:rsidR="00000000" w:rsidRDefault="00C1661D">
            <w:pPr>
              <w:spacing w:after="100"/>
              <w:rPr>
                <w:rFonts w:eastAsia="Times New Roman"/>
                <w:sz w:val="20"/>
                <w:szCs w:val="20"/>
              </w:rPr>
            </w:pPr>
          </w:p>
        </w:tc>
        <w:tc>
          <w:tcPr>
            <w:tcW w:w="532" w:type="pct"/>
            <w:vAlign w:val="center"/>
            <w:hideMark/>
          </w:tcPr>
          <w:p w14:paraId="72A78608" w14:textId="77777777" w:rsidR="00000000" w:rsidRDefault="00C1661D">
            <w:pPr>
              <w:spacing w:after="100"/>
              <w:rPr>
                <w:rFonts w:eastAsia="Times New Roman"/>
                <w:sz w:val="20"/>
                <w:szCs w:val="20"/>
              </w:rPr>
            </w:pPr>
          </w:p>
        </w:tc>
        <w:tc>
          <w:tcPr>
            <w:tcW w:w="5" w:type="pct"/>
            <w:vAlign w:val="center"/>
            <w:hideMark/>
          </w:tcPr>
          <w:p w14:paraId="1FCDC935" w14:textId="77777777" w:rsidR="00000000" w:rsidRDefault="00C1661D">
            <w:pPr>
              <w:spacing w:after="100"/>
              <w:rPr>
                <w:rFonts w:eastAsia="Times New Roman"/>
                <w:sz w:val="20"/>
                <w:szCs w:val="20"/>
              </w:rPr>
            </w:pPr>
          </w:p>
        </w:tc>
        <w:tc>
          <w:tcPr>
            <w:tcW w:w="5" w:type="pct"/>
            <w:vAlign w:val="center"/>
            <w:hideMark/>
          </w:tcPr>
          <w:p w14:paraId="34ACCA1A" w14:textId="77777777" w:rsidR="00000000" w:rsidRDefault="00C1661D">
            <w:pPr>
              <w:spacing w:after="100"/>
              <w:rPr>
                <w:rFonts w:eastAsia="Times New Roman"/>
                <w:sz w:val="20"/>
                <w:szCs w:val="20"/>
              </w:rPr>
            </w:pPr>
          </w:p>
        </w:tc>
        <w:tc>
          <w:tcPr>
            <w:tcW w:w="26" w:type="pct"/>
            <w:vAlign w:val="center"/>
            <w:hideMark/>
          </w:tcPr>
          <w:p w14:paraId="63D204BC" w14:textId="77777777" w:rsidR="00000000" w:rsidRDefault="00C1661D">
            <w:pPr>
              <w:spacing w:after="100"/>
              <w:rPr>
                <w:rFonts w:eastAsia="Times New Roman"/>
                <w:sz w:val="20"/>
                <w:szCs w:val="20"/>
              </w:rPr>
            </w:pPr>
          </w:p>
        </w:tc>
        <w:tc>
          <w:tcPr>
            <w:tcW w:w="5" w:type="pct"/>
            <w:vAlign w:val="center"/>
            <w:hideMark/>
          </w:tcPr>
          <w:p w14:paraId="0B0C9078" w14:textId="77777777" w:rsidR="00000000" w:rsidRDefault="00C1661D">
            <w:pPr>
              <w:spacing w:after="100"/>
              <w:rPr>
                <w:rFonts w:eastAsia="Times New Roman"/>
                <w:sz w:val="20"/>
                <w:szCs w:val="20"/>
              </w:rPr>
            </w:pPr>
          </w:p>
        </w:tc>
        <w:tc>
          <w:tcPr>
            <w:tcW w:w="50" w:type="pct"/>
            <w:vAlign w:val="center"/>
            <w:hideMark/>
          </w:tcPr>
          <w:p w14:paraId="7C0EFBD8" w14:textId="77777777" w:rsidR="00000000" w:rsidRDefault="00C1661D">
            <w:pPr>
              <w:spacing w:after="100"/>
              <w:rPr>
                <w:rFonts w:eastAsia="Times New Roman"/>
                <w:sz w:val="20"/>
                <w:szCs w:val="20"/>
              </w:rPr>
            </w:pPr>
          </w:p>
        </w:tc>
        <w:tc>
          <w:tcPr>
            <w:tcW w:w="532" w:type="pct"/>
            <w:vAlign w:val="center"/>
            <w:hideMark/>
          </w:tcPr>
          <w:p w14:paraId="65E08CC5" w14:textId="77777777" w:rsidR="00000000" w:rsidRDefault="00C1661D">
            <w:pPr>
              <w:spacing w:after="100"/>
              <w:rPr>
                <w:rFonts w:eastAsia="Times New Roman"/>
                <w:sz w:val="20"/>
                <w:szCs w:val="20"/>
              </w:rPr>
            </w:pPr>
          </w:p>
        </w:tc>
        <w:tc>
          <w:tcPr>
            <w:tcW w:w="5" w:type="pct"/>
            <w:vAlign w:val="center"/>
            <w:hideMark/>
          </w:tcPr>
          <w:p w14:paraId="728552C8" w14:textId="77777777" w:rsidR="00000000" w:rsidRDefault="00C1661D">
            <w:pPr>
              <w:spacing w:after="100"/>
              <w:rPr>
                <w:rFonts w:eastAsia="Times New Roman"/>
                <w:sz w:val="20"/>
                <w:szCs w:val="20"/>
              </w:rPr>
            </w:pPr>
          </w:p>
        </w:tc>
        <w:tc>
          <w:tcPr>
            <w:tcW w:w="5" w:type="pct"/>
            <w:vAlign w:val="center"/>
            <w:hideMark/>
          </w:tcPr>
          <w:p w14:paraId="7FC5AE1A" w14:textId="77777777" w:rsidR="00000000" w:rsidRDefault="00C1661D">
            <w:pPr>
              <w:spacing w:after="100"/>
              <w:rPr>
                <w:rFonts w:eastAsia="Times New Roman"/>
                <w:sz w:val="20"/>
                <w:szCs w:val="20"/>
              </w:rPr>
            </w:pPr>
          </w:p>
        </w:tc>
        <w:tc>
          <w:tcPr>
            <w:tcW w:w="26" w:type="pct"/>
            <w:vAlign w:val="center"/>
            <w:hideMark/>
          </w:tcPr>
          <w:p w14:paraId="5DB50791" w14:textId="77777777" w:rsidR="00000000" w:rsidRDefault="00C1661D">
            <w:pPr>
              <w:spacing w:after="100"/>
              <w:rPr>
                <w:rFonts w:eastAsia="Times New Roman"/>
                <w:sz w:val="20"/>
                <w:szCs w:val="20"/>
              </w:rPr>
            </w:pPr>
          </w:p>
        </w:tc>
        <w:tc>
          <w:tcPr>
            <w:tcW w:w="5" w:type="pct"/>
            <w:vAlign w:val="center"/>
            <w:hideMark/>
          </w:tcPr>
          <w:p w14:paraId="04F023B7" w14:textId="77777777" w:rsidR="00000000" w:rsidRDefault="00C1661D">
            <w:pPr>
              <w:spacing w:after="100"/>
              <w:rPr>
                <w:rFonts w:eastAsia="Times New Roman"/>
                <w:sz w:val="20"/>
                <w:szCs w:val="20"/>
              </w:rPr>
            </w:pPr>
          </w:p>
        </w:tc>
        <w:tc>
          <w:tcPr>
            <w:tcW w:w="50" w:type="pct"/>
            <w:vAlign w:val="center"/>
            <w:hideMark/>
          </w:tcPr>
          <w:p w14:paraId="0B96D563" w14:textId="77777777" w:rsidR="00000000" w:rsidRDefault="00C1661D">
            <w:pPr>
              <w:spacing w:after="100"/>
              <w:rPr>
                <w:rFonts w:eastAsia="Times New Roman"/>
                <w:sz w:val="20"/>
                <w:szCs w:val="20"/>
              </w:rPr>
            </w:pPr>
          </w:p>
        </w:tc>
        <w:tc>
          <w:tcPr>
            <w:tcW w:w="532" w:type="pct"/>
            <w:vAlign w:val="center"/>
            <w:hideMark/>
          </w:tcPr>
          <w:p w14:paraId="3484E965" w14:textId="77777777" w:rsidR="00000000" w:rsidRDefault="00C1661D">
            <w:pPr>
              <w:spacing w:after="100"/>
              <w:rPr>
                <w:rFonts w:eastAsia="Times New Roman"/>
                <w:sz w:val="20"/>
                <w:szCs w:val="20"/>
              </w:rPr>
            </w:pPr>
          </w:p>
        </w:tc>
        <w:tc>
          <w:tcPr>
            <w:tcW w:w="5" w:type="pct"/>
            <w:vAlign w:val="center"/>
            <w:hideMark/>
          </w:tcPr>
          <w:p w14:paraId="69FA8488" w14:textId="77777777" w:rsidR="00000000" w:rsidRDefault="00C1661D">
            <w:pPr>
              <w:spacing w:after="100"/>
              <w:rPr>
                <w:rFonts w:eastAsia="Times New Roman"/>
                <w:sz w:val="20"/>
                <w:szCs w:val="20"/>
              </w:rPr>
            </w:pPr>
          </w:p>
        </w:tc>
      </w:tr>
      <w:tr w:rsidR="00000000" w14:paraId="66F9D819" w14:textId="77777777">
        <w:trPr>
          <w:divId w:val="1607808855"/>
        </w:trPr>
        <w:tc>
          <w:tcPr>
            <w:tcW w:w="0" w:type="auto"/>
            <w:gridSpan w:val="3"/>
            <w:tcMar>
              <w:top w:w="30" w:type="dxa"/>
              <w:left w:w="20" w:type="dxa"/>
              <w:bottom w:w="30" w:type="dxa"/>
              <w:right w:w="20" w:type="dxa"/>
            </w:tcMar>
            <w:vAlign w:val="bottom"/>
            <w:hideMark/>
          </w:tcPr>
          <w:p w14:paraId="0CE4B4F9" w14:textId="77777777" w:rsidR="00000000" w:rsidRDefault="00C1661D">
            <w:pPr>
              <w:spacing w:after="100"/>
              <w:rPr>
                <w:rFonts w:eastAsia="Times New Roman"/>
              </w:rPr>
            </w:pPr>
            <w:r>
              <w:rPr>
                <w:rFonts w:eastAsia="Times New Roman"/>
                <w:b/>
                <w:bCs/>
                <w:color w:val="000000"/>
                <w:sz w:val="20"/>
                <w:szCs w:val="20"/>
              </w:rPr>
              <w:t>Utilities</w:t>
            </w:r>
          </w:p>
        </w:tc>
        <w:tc>
          <w:tcPr>
            <w:tcW w:w="0" w:type="auto"/>
            <w:gridSpan w:val="3"/>
            <w:tcMar>
              <w:top w:w="0" w:type="dxa"/>
              <w:left w:w="20" w:type="dxa"/>
              <w:bottom w:w="0" w:type="dxa"/>
              <w:right w:w="20" w:type="dxa"/>
            </w:tcMar>
            <w:vAlign w:val="center"/>
            <w:hideMark/>
          </w:tcPr>
          <w:p w14:paraId="3CFF64C9"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2CCA52EE"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68DC3B1E"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3D4D2C0"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76A5FC51" w14:textId="77777777" w:rsidR="00000000" w:rsidRDefault="00C1661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8CDB732" w14:textId="77777777" w:rsidR="00000000" w:rsidRDefault="00C1661D">
            <w:pPr>
              <w:spacing w:after="100"/>
              <w:jc w:val="center"/>
              <w:rPr>
                <w:rFonts w:eastAsia="Times New Roman"/>
              </w:rPr>
            </w:pPr>
            <w:r>
              <w:rPr>
                <w:rFonts w:eastAsia="Times New Roman"/>
                <w:color w:val="000000"/>
                <w:sz w:val="20"/>
                <w:szCs w:val="20"/>
              </w:rPr>
              <w:t>Increase (Decrease)</w:t>
            </w:r>
          </w:p>
        </w:tc>
      </w:tr>
      <w:tr w:rsidR="00000000" w14:paraId="32E4FC46" w14:textId="77777777">
        <w:trPr>
          <w:divId w:val="1607808855"/>
        </w:trPr>
        <w:tc>
          <w:tcPr>
            <w:tcW w:w="0" w:type="auto"/>
            <w:gridSpan w:val="3"/>
            <w:tcBorders>
              <w:top w:val="single" w:sz="8" w:space="0" w:color="000000"/>
            </w:tcBorders>
            <w:tcMar>
              <w:top w:w="30" w:type="dxa"/>
              <w:left w:w="20" w:type="dxa"/>
              <w:bottom w:w="30" w:type="dxa"/>
              <w:right w:w="20" w:type="dxa"/>
            </w:tcMar>
            <w:vAlign w:val="bottom"/>
            <w:hideMark/>
          </w:tcPr>
          <w:p w14:paraId="19E4163E" w14:textId="77777777" w:rsidR="00000000" w:rsidRDefault="00C1661D">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14:paraId="5E361639"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FF7068"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71882E9A"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70CE92"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2B17DFF"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3B79FF"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14:paraId="4AC42E16"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28E4F8" w14:textId="77777777" w:rsidR="00000000" w:rsidRDefault="00C1661D">
            <w:pPr>
              <w:spacing w:after="100"/>
              <w:rPr>
                <w:rFonts w:eastAsia="Times New Roman"/>
              </w:rPr>
            </w:pPr>
            <w:r>
              <w:rPr>
                <w:rFonts w:eastAsia="Times New Roman"/>
                <w:color w:val="000000"/>
                <w:sz w:val="20"/>
                <w:szCs w:val="20"/>
              </w:rPr>
              <w:t> </w:t>
            </w:r>
          </w:p>
        </w:tc>
      </w:tr>
      <w:tr w:rsidR="00000000" w14:paraId="55630F3B" w14:textId="77777777">
        <w:trPr>
          <w:divId w:val="1607808855"/>
        </w:trPr>
        <w:tc>
          <w:tcPr>
            <w:tcW w:w="0" w:type="auto"/>
            <w:gridSpan w:val="3"/>
            <w:shd w:val="clear" w:color="auto" w:fill="CCEEFF"/>
            <w:tcMar>
              <w:top w:w="30" w:type="dxa"/>
              <w:left w:w="20" w:type="dxa"/>
              <w:bottom w:w="30" w:type="dxa"/>
              <w:right w:w="20" w:type="dxa"/>
            </w:tcMar>
            <w:vAlign w:val="bottom"/>
            <w:hideMark/>
          </w:tcPr>
          <w:p w14:paraId="15AEDEC7" w14:textId="77777777" w:rsidR="00000000" w:rsidRDefault="00C1661D">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14:paraId="70A5277F"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AE91D9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C21C7DC" w14:textId="77777777" w:rsidR="00000000" w:rsidRDefault="00C1661D">
            <w:pPr>
              <w:spacing w:after="100"/>
              <w:jc w:val="right"/>
              <w:rPr>
                <w:rFonts w:eastAsia="Times New Roman"/>
              </w:rPr>
            </w:pPr>
            <w:r>
              <w:rPr>
                <w:rFonts w:eastAsia="Times New Roman"/>
                <w:color w:val="000000"/>
                <w:sz w:val="20"/>
                <w:szCs w:val="20"/>
              </w:rPr>
              <w:t>1,620 </w:t>
            </w:r>
          </w:p>
        </w:tc>
        <w:tc>
          <w:tcPr>
            <w:tcW w:w="0" w:type="auto"/>
            <w:shd w:val="clear" w:color="auto" w:fill="CCEEFF"/>
            <w:tcMar>
              <w:top w:w="30" w:type="dxa"/>
              <w:left w:w="0" w:type="dxa"/>
              <w:bottom w:w="30" w:type="dxa"/>
              <w:right w:w="20" w:type="dxa"/>
            </w:tcMar>
            <w:vAlign w:val="bottom"/>
            <w:hideMark/>
          </w:tcPr>
          <w:p w14:paraId="26FD02C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5FC363"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D790E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7DF6D0D" w14:textId="77777777" w:rsidR="00000000" w:rsidRDefault="00C1661D">
            <w:pPr>
              <w:spacing w:after="100"/>
              <w:jc w:val="right"/>
              <w:rPr>
                <w:rFonts w:eastAsia="Times New Roman"/>
              </w:rPr>
            </w:pPr>
            <w:r>
              <w:rPr>
                <w:rFonts w:eastAsia="Times New Roman"/>
                <w:color w:val="000000"/>
                <w:sz w:val="20"/>
                <w:szCs w:val="20"/>
              </w:rPr>
              <w:t>1,079 </w:t>
            </w:r>
          </w:p>
        </w:tc>
        <w:tc>
          <w:tcPr>
            <w:tcW w:w="0" w:type="auto"/>
            <w:shd w:val="clear" w:color="auto" w:fill="CCEEFF"/>
            <w:tcMar>
              <w:top w:w="30" w:type="dxa"/>
              <w:left w:w="0" w:type="dxa"/>
              <w:bottom w:w="30" w:type="dxa"/>
              <w:right w:w="20" w:type="dxa"/>
            </w:tcMar>
            <w:vAlign w:val="bottom"/>
            <w:hideMark/>
          </w:tcPr>
          <w:p w14:paraId="116751D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BC18FF"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217D1B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D45217" w14:textId="77777777" w:rsidR="00000000" w:rsidRDefault="00C1661D">
            <w:pPr>
              <w:spacing w:after="100"/>
              <w:jc w:val="right"/>
              <w:rPr>
                <w:rFonts w:eastAsia="Times New Roman"/>
              </w:rPr>
            </w:pPr>
            <w:r>
              <w:rPr>
                <w:rFonts w:eastAsia="Times New Roman"/>
                <w:color w:val="000000"/>
                <w:sz w:val="20"/>
                <w:szCs w:val="20"/>
              </w:rPr>
              <w:t>541 </w:t>
            </w:r>
          </w:p>
        </w:tc>
        <w:tc>
          <w:tcPr>
            <w:tcW w:w="0" w:type="auto"/>
            <w:shd w:val="clear" w:color="auto" w:fill="CCEEFF"/>
            <w:tcMar>
              <w:top w:w="30" w:type="dxa"/>
              <w:left w:w="0" w:type="dxa"/>
              <w:bottom w:w="30" w:type="dxa"/>
              <w:right w:w="20" w:type="dxa"/>
            </w:tcMar>
            <w:vAlign w:val="bottom"/>
            <w:hideMark/>
          </w:tcPr>
          <w:p w14:paraId="1A5DE73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BFEE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EF8AAF" w14:textId="77777777" w:rsidR="00000000" w:rsidRDefault="00C1661D">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14:paraId="6AA84B71" w14:textId="77777777" w:rsidR="00000000" w:rsidRDefault="00C1661D">
            <w:pPr>
              <w:spacing w:after="100"/>
              <w:jc w:val="right"/>
              <w:rPr>
                <w:rFonts w:eastAsia="Times New Roman"/>
              </w:rPr>
            </w:pPr>
            <w:r>
              <w:rPr>
                <w:rFonts w:eastAsia="Times New Roman"/>
                <w:color w:val="000000"/>
                <w:sz w:val="20"/>
                <w:szCs w:val="20"/>
              </w:rPr>
              <w:t>%</w:t>
            </w:r>
          </w:p>
        </w:tc>
      </w:tr>
      <w:tr w:rsidR="00000000" w14:paraId="37A9D9CB" w14:textId="77777777">
        <w:trPr>
          <w:divId w:val="1607808855"/>
        </w:trPr>
        <w:tc>
          <w:tcPr>
            <w:tcW w:w="0" w:type="auto"/>
            <w:gridSpan w:val="3"/>
            <w:shd w:val="clear" w:color="auto" w:fill="FFFFFF"/>
            <w:tcMar>
              <w:top w:w="30" w:type="dxa"/>
              <w:left w:w="20" w:type="dxa"/>
              <w:bottom w:w="30" w:type="dxa"/>
              <w:right w:w="20" w:type="dxa"/>
            </w:tcMar>
            <w:vAlign w:val="bottom"/>
            <w:hideMark/>
          </w:tcPr>
          <w:p w14:paraId="544C3AD3" w14:textId="77777777" w:rsidR="00000000" w:rsidRDefault="00C1661D">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14:paraId="0B799C2E"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36936E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66CEE01" w14:textId="77777777" w:rsidR="00000000" w:rsidRDefault="00C1661D">
            <w:pPr>
              <w:spacing w:after="100"/>
              <w:jc w:val="right"/>
              <w:rPr>
                <w:rFonts w:eastAsia="Times New Roman"/>
              </w:rPr>
            </w:pPr>
            <w:r>
              <w:rPr>
                <w:rFonts w:eastAsia="Times New Roman"/>
                <w:color w:val="000000"/>
                <w:sz w:val="20"/>
                <w:szCs w:val="20"/>
              </w:rPr>
              <w:t>801 </w:t>
            </w:r>
          </w:p>
        </w:tc>
        <w:tc>
          <w:tcPr>
            <w:tcW w:w="0" w:type="auto"/>
            <w:shd w:val="clear" w:color="auto" w:fill="FFFFFF"/>
            <w:tcMar>
              <w:top w:w="30" w:type="dxa"/>
              <w:left w:w="0" w:type="dxa"/>
              <w:bottom w:w="30" w:type="dxa"/>
              <w:right w:w="20" w:type="dxa"/>
            </w:tcMar>
            <w:vAlign w:val="bottom"/>
            <w:hideMark/>
          </w:tcPr>
          <w:p w14:paraId="1BF34FE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4D9CA5"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7F619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DCF1300" w14:textId="77777777" w:rsidR="00000000" w:rsidRDefault="00C1661D">
            <w:pPr>
              <w:spacing w:after="100"/>
              <w:jc w:val="right"/>
              <w:rPr>
                <w:rFonts w:eastAsia="Times New Roman"/>
              </w:rPr>
            </w:pPr>
            <w:r>
              <w:rPr>
                <w:rFonts w:eastAsia="Times New Roman"/>
                <w:color w:val="000000"/>
                <w:sz w:val="20"/>
                <w:szCs w:val="20"/>
              </w:rPr>
              <w:t>616 </w:t>
            </w:r>
          </w:p>
        </w:tc>
        <w:tc>
          <w:tcPr>
            <w:tcW w:w="0" w:type="auto"/>
            <w:shd w:val="clear" w:color="auto" w:fill="FFFFFF"/>
            <w:tcMar>
              <w:top w:w="30" w:type="dxa"/>
              <w:left w:w="0" w:type="dxa"/>
              <w:bottom w:w="30" w:type="dxa"/>
              <w:right w:w="20" w:type="dxa"/>
            </w:tcMar>
            <w:vAlign w:val="bottom"/>
            <w:hideMark/>
          </w:tcPr>
          <w:p w14:paraId="6C18D59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C705F5"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13C447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01B9FD6" w14:textId="77777777" w:rsidR="00000000" w:rsidRDefault="00C1661D">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14:paraId="1ECFB25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F9155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B44F66" w14:textId="77777777" w:rsidR="00000000" w:rsidRDefault="00C1661D">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3656B6A6" w14:textId="77777777" w:rsidR="00000000" w:rsidRDefault="00C1661D">
            <w:pPr>
              <w:spacing w:after="100"/>
              <w:jc w:val="right"/>
              <w:rPr>
                <w:rFonts w:eastAsia="Times New Roman"/>
              </w:rPr>
            </w:pPr>
            <w:r>
              <w:rPr>
                <w:rFonts w:eastAsia="Times New Roman"/>
                <w:color w:val="000000"/>
                <w:sz w:val="20"/>
                <w:szCs w:val="20"/>
              </w:rPr>
              <w:t>%</w:t>
            </w:r>
          </w:p>
        </w:tc>
      </w:tr>
      <w:tr w:rsidR="00000000" w14:paraId="2BB0DFAD" w14:textId="77777777">
        <w:trPr>
          <w:divId w:val="1607808855"/>
        </w:trPr>
        <w:tc>
          <w:tcPr>
            <w:tcW w:w="0" w:type="auto"/>
            <w:gridSpan w:val="3"/>
            <w:shd w:val="clear" w:color="auto" w:fill="CCEEFF"/>
            <w:tcMar>
              <w:top w:w="30" w:type="dxa"/>
              <w:left w:w="20" w:type="dxa"/>
              <w:bottom w:w="30" w:type="dxa"/>
              <w:right w:w="20" w:type="dxa"/>
            </w:tcMar>
            <w:vAlign w:val="bottom"/>
            <w:hideMark/>
          </w:tcPr>
          <w:p w14:paraId="0A151246" w14:textId="77777777" w:rsidR="00000000" w:rsidRDefault="00C1661D">
            <w:pPr>
              <w:spacing w:after="100"/>
              <w:rPr>
                <w:rFonts w:eastAsia="Times New Roman"/>
              </w:rPr>
            </w:pPr>
            <w:r>
              <w:rPr>
                <w:rFonts w:eastAsia="Times New Roman"/>
                <w:color w:val="000000"/>
                <w:sz w:val="20"/>
                <w:szCs w:val="20"/>
              </w:rPr>
              <w:t>Operating and administrative expenses (a)</w:t>
            </w:r>
          </w:p>
        </w:tc>
        <w:tc>
          <w:tcPr>
            <w:tcW w:w="0" w:type="auto"/>
            <w:gridSpan w:val="3"/>
            <w:shd w:val="clear" w:color="auto" w:fill="CCEEFF"/>
            <w:tcMar>
              <w:top w:w="0" w:type="dxa"/>
              <w:left w:w="20" w:type="dxa"/>
              <w:bottom w:w="0" w:type="dxa"/>
              <w:right w:w="20" w:type="dxa"/>
            </w:tcMar>
            <w:vAlign w:val="center"/>
            <w:hideMark/>
          </w:tcPr>
          <w:p w14:paraId="656AAC84"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86940C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8E72A07" w14:textId="77777777" w:rsidR="00000000" w:rsidRDefault="00C1661D">
            <w:pPr>
              <w:spacing w:after="100"/>
              <w:jc w:val="right"/>
              <w:rPr>
                <w:rFonts w:eastAsia="Times New Roman"/>
              </w:rPr>
            </w:pPr>
            <w:r>
              <w:rPr>
                <w:rFonts w:eastAsia="Times New Roman"/>
                <w:color w:val="000000"/>
                <w:sz w:val="20"/>
                <w:szCs w:val="20"/>
              </w:rPr>
              <w:t>332 </w:t>
            </w:r>
          </w:p>
        </w:tc>
        <w:tc>
          <w:tcPr>
            <w:tcW w:w="0" w:type="auto"/>
            <w:shd w:val="clear" w:color="auto" w:fill="CCEEFF"/>
            <w:tcMar>
              <w:top w:w="30" w:type="dxa"/>
              <w:left w:w="0" w:type="dxa"/>
              <w:bottom w:w="30" w:type="dxa"/>
              <w:right w:w="20" w:type="dxa"/>
            </w:tcMar>
            <w:vAlign w:val="bottom"/>
            <w:hideMark/>
          </w:tcPr>
          <w:p w14:paraId="2743FB3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08B741"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6B2FC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13AB65" w14:textId="77777777" w:rsidR="00000000" w:rsidRDefault="00C1661D">
            <w:pPr>
              <w:spacing w:after="100"/>
              <w:jc w:val="right"/>
              <w:rPr>
                <w:rFonts w:eastAsia="Times New Roman"/>
              </w:rPr>
            </w:pPr>
            <w:r>
              <w:rPr>
                <w:rFonts w:eastAsia="Times New Roman"/>
                <w:color w:val="000000"/>
                <w:sz w:val="20"/>
                <w:szCs w:val="20"/>
              </w:rPr>
              <w:t>254 </w:t>
            </w:r>
          </w:p>
        </w:tc>
        <w:tc>
          <w:tcPr>
            <w:tcW w:w="0" w:type="auto"/>
            <w:shd w:val="clear" w:color="auto" w:fill="CCEEFF"/>
            <w:tcMar>
              <w:top w:w="30" w:type="dxa"/>
              <w:left w:w="0" w:type="dxa"/>
              <w:bottom w:w="30" w:type="dxa"/>
              <w:right w:w="20" w:type="dxa"/>
            </w:tcMar>
            <w:vAlign w:val="bottom"/>
            <w:hideMark/>
          </w:tcPr>
          <w:p w14:paraId="6BA328F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668B14"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1F25CE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9E2CD48" w14:textId="77777777" w:rsidR="00000000" w:rsidRDefault="00C1661D">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14:paraId="2CEA01F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5982F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034190" w14:textId="77777777" w:rsidR="00000000" w:rsidRDefault="00C1661D">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14:paraId="50F6EB62" w14:textId="77777777" w:rsidR="00000000" w:rsidRDefault="00C1661D">
            <w:pPr>
              <w:spacing w:after="100"/>
              <w:jc w:val="right"/>
              <w:rPr>
                <w:rFonts w:eastAsia="Times New Roman"/>
              </w:rPr>
            </w:pPr>
            <w:r>
              <w:rPr>
                <w:rFonts w:eastAsia="Times New Roman"/>
                <w:color w:val="000000"/>
                <w:sz w:val="20"/>
                <w:szCs w:val="20"/>
              </w:rPr>
              <w:t>%</w:t>
            </w:r>
          </w:p>
        </w:tc>
      </w:tr>
      <w:tr w:rsidR="00000000" w14:paraId="43ED9575" w14:textId="77777777">
        <w:trPr>
          <w:divId w:val="1607808855"/>
        </w:trPr>
        <w:tc>
          <w:tcPr>
            <w:tcW w:w="0" w:type="auto"/>
            <w:gridSpan w:val="3"/>
            <w:shd w:val="clear" w:color="auto" w:fill="FFFFFF"/>
            <w:tcMar>
              <w:top w:w="30" w:type="dxa"/>
              <w:left w:w="20" w:type="dxa"/>
              <w:bottom w:w="30" w:type="dxa"/>
              <w:right w:w="20" w:type="dxa"/>
            </w:tcMar>
            <w:vAlign w:val="bottom"/>
            <w:hideMark/>
          </w:tcPr>
          <w:p w14:paraId="3B81B7DB" w14:textId="77777777" w:rsidR="00000000" w:rsidRDefault="00C1661D">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14:paraId="7A771563"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57C661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0651BDA" w14:textId="77777777" w:rsidR="00000000" w:rsidRDefault="00C1661D">
            <w:pPr>
              <w:spacing w:after="100"/>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14:paraId="51EA6D6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5231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DD065E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EE11C84" w14:textId="77777777" w:rsidR="00000000" w:rsidRDefault="00C1661D">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14:paraId="6D0FBB2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8AF6A0"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124018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5CB5F3" w14:textId="77777777" w:rsidR="00000000" w:rsidRDefault="00C1661D">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14:paraId="28BCED7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EDCA6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7C01FB" w14:textId="77777777" w:rsidR="00000000" w:rsidRDefault="00C1661D">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14:paraId="5B64C52F" w14:textId="77777777" w:rsidR="00000000" w:rsidRDefault="00C1661D">
            <w:pPr>
              <w:spacing w:after="100"/>
              <w:jc w:val="right"/>
              <w:rPr>
                <w:rFonts w:eastAsia="Times New Roman"/>
              </w:rPr>
            </w:pPr>
            <w:r>
              <w:rPr>
                <w:rFonts w:eastAsia="Times New Roman"/>
                <w:color w:val="000000"/>
                <w:sz w:val="20"/>
                <w:szCs w:val="20"/>
              </w:rPr>
              <w:t>%</w:t>
            </w:r>
          </w:p>
        </w:tc>
      </w:tr>
      <w:tr w:rsidR="00000000" w14:paraId="5B8B0F7A" w14:textId="77777777">
        <w:trPr>
          <w:divId w:val="1607808855"/>
        </w:trPr>
        <w:tc>
          <w:tcPr>
            <w:tcW w:w="0" w:type="auto"/>
            <w:gridSpan w:val="3"/>
            <w:shd w:val="clear" w:color="auto" w:fill="CCEEFF"/>
            <w:tcMar>
              <w:top w:w="30" w:type="dxa"/>
              <w:left w:w="20" w:type="dxa"/>
              <w:bottom w:w="30" w:type="dxa"/>
              <w:right w:w="20" w:type="dxa"/>
            </w:tcMar>
            <w:vAlign w:val="bottom"/>
            <w:hideMark/>
          </w:tcPr>
          <w:p w14:paraId="0C8B8D3D" w14:textId="77777777" w:rsidR="00000000" w:rsidRDefault="00C1661D">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14:paraId="60B60791"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24D3E8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864E716" w14:textId="77777777" w:rsidR="00000000" w:rsidRDefault="00C1661D">
            <w:pPr>
              <w:spacing w:after="100"/>
              <w:jc w:val="right"/>
              <w:rPr>
                <w:rFonts w:eastAsia="Times New Roman"/>
              </w:rPr>
            </w:pPr>
            <w:r>
              <w:rPr>
                <w:rFonts w:eastAsia="Times New Roman"/>
                <w:color w:val="000000"/>
                <w:sz w:val="20"/>
                <w:szCs w:val="20"/>
              </w:rPr>
              <w:t>336 </w:t>
            </w:r>
          </w:p>
        </w:tc>
        <w:tc>
          <w:tcPr>
            <w:tcW w:w="0" w:type="auto"/>
            <w:shd w:val="clear" w:color="auto" w:fill="CCEEFF"/>
            <w:tcMar>
              <w:top w:w="30" w:type="dxa"/>
              <w:left w:w="0" w:type="dxa"/>
              <w:bottom w:w="30" w:type="dxa"/>
              <w:right w:w="20" w:type="dxa"/>
            </w:tcMar>
            <w:vAlign w:val="bottom"/>
            <w:hideMark/>
          </w:tcPr>
          <w:p w14:paraId="4201FE4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83AD1F"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395703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6FF4579" w14:textId="77777777" w:rsidR="00000000" w:rsidRDefault="00C1661D">
            <w:pPr>
              <w:spacing w:after="100"/>
              <w:jc w:val="right"/>
              <w:rPr>
                <w:rFonts w:eastAsia="Times New Roman"/>
              </w:rPr>
            </w:pPr>
            <w:r>
              <w:rPr>
                <w:rFonts w:eastAsia="Times New Roman"/>
                <w:color w:val="000000"/>
                <w:sz w:val="20"/>
                <w:szCs w:val="20"/>
              </w:rPr>
              <w:t>242 </w:t>
            </w:r>
          </w:p>
        </w:tc>
        <w:tc>
          <w:tcPr>
            <w:tcW w:w="0" w:type="auto"/>
            <w:shd w:val="clear" w:color="auto" w:fill="CCEEFF"/>
            <w:tcMar>
              <w:top w:w="30" w:type="dxa"/>
              <w:left w:w="0" w:type="dxa"/>
              <w:bottom w:w="30" w:type="dxa"/>
              <w:right w:w="20" w:type="dxa"/>
            </w:tcMar>
            <w:vAlign w:val="bottom"/>
            <w:hideMark/>
          </w:tcPr>
          <w:p w14:paraId="6A191C1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572566"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4296B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79DC4F3" w14:textId="77777777" w:rsidR="00000000" w:rsidRDefault="00C1661D">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14:paraId="3A99748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17EEC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3027AE" w14:textId="77777777" w:rsidR="00000000" w:rsidRDefault="00C1661D">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14:paraId="2B6EFA74" w14:textId="77777777" w:rsidR="00000000" w:rsidRDefault="00C1661D">
            <w:pPr>
              <w:spacing w:after="100"/>
              <w:jc w:val="right"/>
              <w:rPr>
                <w:rFonts w:eastAsia="Times New Roman"/>
              </w:rPr>
            </w:pPr>
            <w:r>
              <w:rPr>
                <w:rFonts w:eastAsia="Times New Roman"/>
                <w:color w:val="000000"/>
                <w:sz w:val="20"/>
                <w:szCs w:val="20"/>
              </w:rPr>
              <w:t>%</w:t>
            </w:r>
          </w:p>
        </w:tc>
      </w:tr>
      <w:tr w:rsidR="00000000" w14:paraId="4063139E" w14:textId="77777777">
        <w:trPr>
          <w:divId w:val="1607808855"/>
        </w:trPr>
        <w:tc>
          <w:tcPr>
            <w:tcW w:w="0" w:type="auto"/>
            <w:gridSpan w:val="3"/>
            <w:shd w:val="clear" w:color="auto" w:fill="FFFFFF"/>
            <w:tcMar>
              <w:top w:w="30" w:type="dxa"/>
              <w:left w:w="20" w:type="dxa"/>
              <w:bottom w:w="30" w:type="dxa"/>
              <w:right w:w="20" w:type="dxa"/>
            </w:tcMar>
            <w:vAlign w:val="bottom"/>
            <w:hideMark/>
          </w:tcPr>
          <w:p w14:paraId="00DDA546" w14:textId="77777777" w:rsidR="00000000" w:rsidRDefault="00C1661D">
            <w:pPr>
              <w:spacing w:after="100"/>
              <w:rPr>
                <w:rFonts w:eastAsia="Times New Roman"/>
              </w:rPr>
            </w:pPr>
            <w:r>
              <w:rPr>
                <w:rFonts w:eastAsia="Times New Roman"/>
                <w:color w:val="000000"/>
                <w:sz w:val="20"/>
                <w:szCs w:val="20"/>
              </w:rPr>
              <w:t>Gas Utility system throughput – bcf</w:t>
            </w:r>
          </w:p>
        </w:tc>
        <w:tc>
          <w:tcPr>
            <w:tcW w:w="0" w:type="auto"/>
            <w:gridSpan w:val="3"/>
            <w:shd w:val="clear" w:color="auto" w:fill="FFFFFF"/>
            <w:tcMar>
              <w:top w:w="0" w:type="dxa"/>
              <w:left w:w="20" w:type="dxa"/>
              <w:bottom w:w="0" w:type="dxa"/>
              <w:right w:w="20" w:type="dxa"/>
            </w:tcMar>
            <w:vAlign w:val="center"/>
            <w:hideMark/>
          </w:tcPr>
          <w:p w14:paraId="521A1BC3"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A7DD8F"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EB9476"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AB40B8"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DEA21E"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FE397B"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F002B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A4266D" w14:textId="77777777" w:rsidR="00000000" w:rsidRDefault="00C1661D">
            <w:pPr>
              <w:spacing w:after="100"/>
              <w:rPr>
                <w:rFonts w:eastAsia="Times New Roman"/>
                <w:sz w:val="20"/>
                <w:szCs w:val="20"/>
              </w:rPr>
            </w:pPr>
          </w:p>
        </w:tc>
      </w:tr>
      <w:tr w:rsidR="00000000" w14:paraId="4175573A" w14:textId="77777777">
        <w:trPr>
          <w:divId w:val="1607808855"/>
        </w:trPr>
        <w:tc>
          <w:tcPr>
            <w:tcW w:w="0" w:type="auto"/>
            <w:gridSpan w:val="3"/>
            <w:shd w:val="clear" w:color="auto" w:fill="CCEEFF"/>
            <w:tcMar>
              <w:top w:w="30" w:type="dxa"/>
              <w:left w:w="20" w:type="dxa"/>
              <w:bottom w:w="30" w:type="dxa"/>
              <w:right w:w="20" w:type="dxa"/>
            </w:tcMar>
            <w:vAlign w:val="bottom"/>
            <w:hideMark/>
          </w:tcPr>
          <w:p w14:paraId="33F45D28" w14:textId="77777777" w:rsidR="00000000" w:rsidRDefault="00C1661D">
            <w:pPr>
              <w:spacing w:after="100"/>
              <w:rPr>
                <w:rFonts w:eastAsia="Times New Roman"/>
              </w:rPr>
            </w:pPr>
            <w:r>
              <w:rPr>
                <w:rFonts w:eastAsia="Times New Roman"/>
                <w:color w:val="000000"/>
                <w:sz w:val="20"/>
                <w:szCs w:val="20"/>
              </w:rPr>
              <w:t>     Core market</w:t>
            </w:r>
          </w:p>
        </w:tc>
        <w:tc>
          <w:tcPr>
            <w:tcW w:w="0" w:type="auto"/>
            <w:gridSpan w:val="3"/>
            <w:shd w:val="clear" w:color="auto" w:fill="CCEEFF"/>
            <w:tcMar>
              <w:top w:w="0" w:type="dxa"/>
              <w:left w:w="20" w:type="dxa"/>
              <w:bottom w:w="0" w:type="dxa"/>
              <w:right w:w="20" w:type="dxa"/>
            </w:tcMar>
            <w:vAlign w:val="center"/>
            <w:hideMark/>
          </w:tcPr>
          <w:p w14:paraId="40A68952"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EED4B2" w14:textId="77777777" w:rsidR="00000000" w:rsidRDefault="00C1661D">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18629C9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1D095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FD38CF" w14:textId="77777777" w:rsidR="00000000" w:rsidRDefault="00C1661D">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14:paraId="1B7938F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8C08F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3FE6E2" w14:textId="77777777" w:rsidR="00000000" w:rsidRDefault="00C1661D">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3D89441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5237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2E0CD5" w14:textId="77777777" w:rsidR="00000000" w:rsidRDefault="00C1661D">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14:paraId="67AF0C3C" w14:textId="77777777" w:rsidR="00000000" w:rsidRDefault="00C1661D">
            <w:pPr>
              <w:spacing w:after="100"/>
              <w:jc w:val="right"/>
              <w:rPr>
                <w:rFonts w:eastAsia="Times New Roman"/>
              </w:rPr>
            </w:pPr>
            <w:r>
              <w:rPr>
                <w:rFonts w:eastAsia="Times New Roman"/>
                <w:color w:val="000000"/>
                <w:sz w:val="20"/>
                <w:szCs w:val="20"/>
              </w:rPr>
              <w:t>%</w:t>
            </w:r>
          </w:p>
        </w:tc>
      </w:tr>
      <w:tr w:rsidR="00000000" w14:paraId="5DBDDF70" w14:textId="77777777">
        <w:trPr>
          <w:divId w:val="1607808855"/>
        </w:trPr>
        <w:tc>
          <w:tcPr>
            <w:tcW w:w="0" w:type="auto"/>
            <w:gridSpan w:val="3"/>
            <w:shd w:val="clear" w:color="auto" w:fill="FFFFFF"/>
            <w:tcMar>
              <w:top w:w="30" w:type="dxa"/>
              <w:left w:w="20" w:type="dxa"/>
              <w:bottom w:w="30" w:type="dxa"/>
              <w:right w:w="20" w:type="dxa"/>
            </w:tcMar>
            <w:vAlign w:val="bottom"/>
            <w:hideMark/>
          </w:tcPr>
          <w:p w14:paraId="4DA02875" w14:textId="77777777" w:rsidR="00000000" w:rsidRDefault="00C1661D">
            <w:pPr>
              <w:spacing w:after="100"/>
              <w:rPr>
                <w:rFonts w:eastAsia="Times New Roman"/>
              </w:rPr>
            </w:pPr>
            <w:r>
              <w:rPr>
                <w:rFonts w:eastAsia="Times New Roman"/>
                <w:color w:val="000000"/>
                <w:sz w:val="20"/>
                <w:szCs w:val="20"/>
              </w:rPr>
              <w:t>     Total</w:t>
            </w:r>
          </w:p>
        </w:tc>
        <w:tc>
          <w:tcPr>
            <w:tcW w:w="0" w:type="auto"/>
            <w:gridSpan w:val="3"/>
            <w:shd w:val="clear" w:color="auto" w:fill="FFFFFF"/>
            <w:tcMar>
              <w:top w:w="0" w:type="dxa"/>
              <w:left w:w="20" w:type="dxa"/>
              <w:bottom w:w="0" w:type="dxa"/>
              <w:right w:w="20" w:type="dxa"/>
            </w:tcMar>
            <w:vAlign w:val="center"/>
            <w:hideMark/>
          </w:tcPr>
          <w:p w14:paraId="143CE8EC"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C06618" w14:textId="77777777" w:rsidR="00000000" w:rsidRDefault="00C1661D">
            <w:pPr>
              <w:spacing w:after="100"/>
              <w:jc w:val="right"/>
              <w:rPr>
                <w:rFonts w:eastAsia="Times New Roman"/>
              </w:rPr>
            </w:pPr>
            <w:r>
              <w:rPr>
                <w:rFonts w:eastAsia="Times New Roman"/>
                <w:color w:val="000000"/>
                <w:sz w:val="20"/>
                <w:szCs w:val="20"/>
              </w:rPr>
              <w:t>363 </w:t>
            </w:r>
          </w:p>
        </w:tc>
        <w:tc>
          <w:tcPr>
            <w:tcW w:w="0" w:type="auto"/>
            <w:shd w:val="clear" w:color="auto" w:fill="FFFFFF"/>
            <w:tcMar>
              <w:top w:w="30" w:type="dxa"/>
              <w:left w:w="0" w:type="dxa"/>
              <w:bottom w:w="30" w:type="dxa"/>
              <w:right w:w="20" w:type="dxa"/>
            </w:tcMar>
            <w:vAlign w:val="bottom"/>
            <w:hideMark/>
          </w:tcPr>
          <w:p w14:paraId="1319A80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509B9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6ECC45" w14:textId="77777777" w:rsidR="00000000" w:rsidRDefault="00C1661D">
            <w:pPr>
              <w:spacing w:after="100"/>
              <w:jc w:val="right"/>
              <w:rPr>
                <w:rFonts w:eastAsia="Times New Roman"/>
              </w:rPr>
            </w:pPr>
            <w:r>
              <w:rPr>
                <w:rFonts w:eastAsia="Times New Roman"/>
                <w:color w:val="000000"/>
                <w:sz w:val="20"/>
                <w:szCs w:val="20"/>
              </w:rPr>
              <w:t>311 </w:t>
            </w:r>
          </w:p>
        </w:tc>
        <w:tc>
          <w:tcPr>
            <w:tcW w:w="0" w:type="auto"/>
            <w:shd w:val="clear" w:color="auto" w:fill="FFFFFF"/>
            <w:tcMar>
              <w:top w:w="30" w:type="dxa"/>
              <w:left w:w="0" w:type="dxa"/>
              <w:bottom w:w="30" w:type="dxa"/>
              <w:right w:w="20" w:type="dxa"/>
            </w:tcMar>
            <w:vAlign w:val="bottom"/>
            <w:hideMark/>
          </w:tcPr>
          <w:p w14:paraId="729F650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F3C84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5867D4" w14:textId="77777777" w:rsidR="00000000" w:rsidRDefault="00C1661D">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14:paraId="7093DD6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A254E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A0AFBC" w14:textId="77777777" w:rsidR="00000000" w:rsidRDefault="00C1661D">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70829C94" w14:textId="77777777" w:rsidR="00000000" w:rsidRDefault="00C1661D">
            <w:pPr>
              <w:spacing w:after="100"/>
              <w:jc w:val="right"/>
              <w:rPr>
                <w:rFonts w:eastAsia="Times New Roman"/>
              </w:rPr>
            </w:pPr>
            <w:r>
              <w:rPr>
                <w:rFonts w:eastAsia="Times New Roman"/>
                <w:color w:val="000000"/>
                <w:sz w:val="20"/>
                <w:szCs w:val="20"/>
              </w:rPr>
              <w:t>%</w:t>
            </w:r>
          </w:p>
        </w:tc>
      </w:tr>
      <w:tr w:rsidR="00000000" w14:paraId="53A50051" w14:textId="77777777">
        <w:trPr>
          <w:divId w:val="1607808855"/>
        </w:trPr>
        <w:tc>
          <w:tcPr>
            <w:tcW w:w="0" w:type="auto"/>
            <w:gridSpan w:val="3"/>
            <w:shd w:val="clear" w:color="auto" w:fill="CCEEFF"/>
            <w:tcMar>
              <w:top w:w="30" w:type="dxa"/>
              <w:left w:w="20" w:type="dxa"/>
              <w:bottom w:w="30" w:type="dxa"/>
              <w:right w:w="20" w:type="dxa"/>
            </w:tcMar>
            <w:vAlign w:val="bottom"/>
            <w:hideMark/>
          </w:tcPr>
          <w:p w14:paraId="5831A753" w14:textId="77777777" w:rsidR="00000000" w:rsidRDefault="00C1661D">
            <w:pPr>
              <w:spacing w:after="100"/>
              <w:rPr>
                <w:rFonts w:eastAsia="Times New Roman"/>
              </w:rPr>
            </w:pPr>
            <w:r>
              <w:rPr>
                <w:rFonts w:eastAsia="Times New Roman"/>
                <w:color w:val="000000"/>
                <w:sz w:val="20"/>
                <w:szCs w:val="20"/>
              </w:rPr>
              <w:t>Electric Utility distribution sales - gwh</w:t>
            </w:r>
          </w:p>
        </w:tc>
        <w:tc>
          <w:tcPr>
            <w:tcW w:w="0" w:type="auto"/>
            <w:gridSpan w:val="3"/>
            <w:shd w:val="clear" w:color="auto" w:fill="CCEEFF"/>
            <w:tcMar>
              <w:top w:w="0" w:type="dxa"/>
              <w:left w:w="20" w:type="dxa"/>
              <w:bottom w:w="0" w:type="dxa"/>
              <w:right w:w="20" w:type="dxa"/>
            </w:tcMar>
            <w:vAlign w:val="center"/>
            <w:hideMark/>
          </w:tcPr>
          <w:p w14:paraId="03ECFA9D"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571C3F" w14:textId="77777777" w:rsidR="00000000" w:rsidRDefault="00C1661D">
            <w:pPr>
              <w:spacing w:after="100"/>
              <w:jc w:val="right"/>
              <w:rPr>
                <w:rFonts w:eastAsia="Times New Roman"/>
              </w:rPr>
            </w:pPr>
            <w:r>
              <w:rPr>
                <w:rFonts w:eastAsia="Times New Roman"/>
                <w:color w:val="000000"/>
                <w:sz w:val="20"/>
                <w:szCs w:val="20"/>
              </w:rPr>
              <w:t>997 </w:t>
            </w:r>
          </w:p>
        </w:tc>
        <w:tc>
          <w:tcPr>
            <w:tcW w:w="0" w:type="auto"/>
            <w:shd w:val="clear" w:color="auto" w:fill="CCEEFF"/>
            <w:tcMar>
              <w:top w:w="30" w:type="dxa"/>
              <w:left w:w="0" w:type="dxa"/>
              <w:bottom w:w="30" w:type="dxa"/>
              <w:right w:w="20" w:type="dxa"/>
            </w:tcMar>
            <w:vAlign w:val="bottom"/>
            <w:hideMark/>
          </w:tcPr>
          <w:p w14:paraId="69E3741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E9F3C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399CBE" w14:textId="77777777" w:rsidR="00000000" w:rsidRDefault="00C1661D">
            <w:pPr>
              <w:spacing w:after="100"/>
              <w:jc w:val="right"/>
              <w:rPr>
                <w:rFonts w:eastAsia="Times New Roman"/>
              </w:rPr>
            </w:pPr>
            <w:r>
              <w:rPr>
                <w:rFonts w:eastAsia="Times New Roman"/>
                <w:color w:val="000000"/>
                <w:sz w:val="20"/>
                <w:szCs w:val="20"/>
              </w:rPr>
              <w:t>998 </w:t>
            </w:r>
          </w:p>
        </w:tc>
        <w:tc>
          <w:tcPr>
            <w:tcW w:w="0" w:type="auto"/>
            <w:shd w:val="clear" w:color="auto" w:fill="CCEEFF"/>
            <w:tcMar>
              <w:top w:w="30" w:type="dxa"/>
              <w:left w:w="0" w:type="dxa"/>
              <w:bottom w:w="30" w:type="dxa"/>
              <w:right w:w="20" w:type="dxa"/>
            </w:tcMar>
            <w:vAlign w:val="bottom"/>
            <w:hideMark/>
          </w:tcPr>
          <w:p w14:paraId="3C3EE62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0FA0A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925179" w14:textId="77777777" w:rsidR="00000000" w:rsidRDefault="00C1661D">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664C7B0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7AC8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41B437"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AB9CA3" w14:textId="77777777" w:rsidR="00000000" w:rsidRDefault="00C1661D">
            <w:pPr>
              <w:spacing w:after="100"/>
              <w:jc w:val="right"/>
              <w:rPr>
                <w:rFonts w:eastAsia="Times New Roman"/>
              </w:rPr>
            </w:pPr>
            <w:r>
              <w:rPr>
                <w:rFonts w:eastAsia="Times New Roman"/>
                <w:color w:val="000000"/>
                <w:sz w:val="20"/>
                <w:szCs w:val="20"/>
              </w:rPr>
              <w:t>%</w:t>
            </w:r>
          </w:p>
        </w:tc>
      </w:tr>
      <w:tr w:rsidR="00000000" w14:paraId="450A14CA" w14:textId="77777777">
        <w:trPr>
          <w:divId w:val="1607808855"/>
        </w:trPr>
        <w:tc>
          <w:tcPr>
            <w:tcW w:w="0" w:type="auto"/>
            <w:gridSpan w:val="3"/>
            <w:shd w:val="clear" w:color="auto" w:fill="FFFFFF"/>
            <w:tcMar>
              <w:top w:w="30" w:type="dxa"/>
              <w:left w:w="20" w:type="dxa"/>
              <w:bottom w:w="30" w:type="dxa"/>
              <w:right w:w="20" w:type="dxa"/>
            </w:tcMar>
            <w:vAlign w:val="bottom"/>
            <w:hideMark/>
          </w:tcPr>
          <w:p w14:paraId="7C09FADD" w14:textId="77777777" w:rsidR="00000000" w:rsidRDefault="00C1661D">
            <w:pPr>
              <w:spacing w:after="100"/>
              <w:rPr>
                <w:rFonts w:eastAsia="Times New Roman"/>
              </w:rPr>
            </w:pPr>
            <w:r>
              <w:rPr>
                <w:rFonts w:eastAsia="Times New Roman"/>
                <w:color w:val="000000"/>
                <w:sz w:val="20"/>
                <w:szCs w:val="20"/>
              </w:rPr>
              <w:t>Natural gas degree days – % warmer than normal (b)</w:t>
            </w:r>
          </w:p>
        </w:tc>
        <w:tc>
          <w:tcPr>
            <w:tcW w:w="0" w:type="auto"/>
            <w:gridSpan w:val="3"/>
            <w:shd w:val="clear" w:color="auto" w:fill="FFFFFF"/>
            <w:tcMar>
              <w:top w:w="0" w:type="dxa"/>
              <w:left w:w="20" w:type="dxa"/>
              <w:bottom w:w="0" w:type="dxa"/>
              <w:right w:w="20" w:type="dxa"/>
            </w:tcMar>
            <w:vAlign w:val="center"/>
            <w:hideMark/>
          </w:tcPr>
          <w:p w14:paraId="25E9EF84"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965EEA" w14:textId="77777777" w:rsidR="00000000" w:rsidRDefault="00C1661D">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14:paraId="15C4072F"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C545730" w14:textId="77777777" w:rsidR="00000000" w:rsidRDefault="00C166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A1A05B" w14:textId="77777777" w:rsidR="00000000" w:rsidRDefault="00C1661D">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14:paraId="5591ADAE"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0C0D842" w14:textId="77777777" w:rsidR="00000000" w:rsidRDefault="00C166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3532F9"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F1298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D2631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31A8FA"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2C5D74" w14:textId="77777777" w:rsidR="00000000" w:rsidRDefault="00C1661D">
            <w:pPr>
              <w:spacing w:after="100"/>
              <w:jc w:val="right"/>
              <w:rPr>
                <w:rFonts w:eastAsia="Times New Roman"/>
              </w:rPr>
            </w:pPr>
          </w:p>
        </w:tc>
      </w:tr>
    </w:tbl>
    <w:p w14:paraId="2ECC6792" w14:textId="77777777" w:rsidR="00000000" w:rsidRDefault="00C1661D">
      <w:pPr>
        <w:ind w:hanging="360"/>
        <w:jc w:val="both"/>
        <w:rPr>
          <w:rFonts w:eastAsia="Times New Roman"/>
        </w:rPr>
      </w:pPr>
      <w:r>
        <w:rPr>
          <w:rFonts w:eastAsia="Times New Roman"/>
          <w:color w:val="000000"/>
          <w:sz w:val="20"/>
          <w:szCs w:val="20"/>
          <w:shd w:val="clear" w:color="auto" w:fill="FFFFFF"/>
        </w:rPr>
        <w:t>(a)</w:t>
      </w:r>
      <w:r>
        <w:rPr>
          <w:rFonts w:eastAsia="Times New Roman"/>
          <w:color w:val="000000"/>
          <w:sz w:val="20"/>
          <w:szCs w:val="20"/>
        </w:rPr>
        <w:t>Total margin represents total revenues less total cost of sales and revenue-related taxes (i.e. Electric Utility gross</w:t>
      </w:r>
      <w:r>
        <w:rPr>
          <w:rFonts w:eastAsia="Times New Roman"/>
          <w:color w:val="000000"/>
          <w:sz w:val="20"/>
          <w:szCs w:val="20"/>
        </w:rPr>
        <w:t xml:space="preserve"> receipts and business and occupation taxes) of $21 million and $5 million, respectively, during Fiscal 2022 and Fiscal 2021. For financial statement purposes, revenue-related taxes are included in “Operating and administrative expenses” on the Consolidate</w:t>
      </w:r>
      <w:r>
        <w:rPr>
          <w:rFonts w:eastAsia="Times New Roman"/>
          <w:color w:val="000000"/>
          <w:sz w:val="20"/>
          <w:szCs w:val="20"/>
        </w:rPr>
        <w:t>d Statements of Income (but are excluded from operating expenses presented above).</w:t>
      </w:r>
    </w:p>
    <w:p w14:paraId="72AE0BE0" w14:textId="77777777" w:rsidR="00000000" w:rsidRDefault="00C1661D">
      <w:pPr>
        <w:ind w:hanging="360"/>
        <w:jc w:val="both"/>
        <w:rPr>
          <w:rFonts w:eastAsia="Times New Roman"/>
        </w:rPr>
      </w:pPr>
      <w:r>
        <w:rPr>
          <w:rFonts w:eastAsia="Times New Roman"/>
          <w:color w:val="000000"/>
          <w:sz w:val="20"/>
          <w:szCs w:val="20"/>
        </w:rPr>
        <w:t>(b)Deviation from average heating degree days is determined on a 10-year period utilizing volume-weighted weather data based on weather statistics provided by NOAA for airpo</w:t>
      </w:r>
      <w:r>
        <w:rPr>
          <w:rFonts w:eastAsia="Times New Roman"/>
          <w:color w:val="000000"/>
          <w:sz w:val="20"/>
          <w:szCs w:val="20"/>
        </w:rPr>
        <w:t xml:space="preserve">rts located within Utilities natural gas service territory. </w:t>
      </w:r>
    </w:p>
    <w:p w14:paraId="1A0A874A" w14:textId="77777777" w:rsidR="00000000" w:rsidRDefault="00C1661D">
      <w:pPr>
        <w:jc w:val="both"/>
        <w:rPr>
          <w:rFonts w:eastAsia="Times New Roman"/>
        </w:rPr>
      </w:pPr>
    </w:p>
    <w:p w14:paraId="20F4DF8D" w14:textId="77777777" w:rsidR="00000000" w:rsidRDefault="00C1661D">
      <w:pPr>
        <w:jc w:val="both"/>
        <w:divId w:val="337387512"/>
        <w:rPr>
          <w:rFonts w:eastAsia="Times New Roman"/>
        </w:rPr>
      </w:pPr>
      <w:r>
        <w:rPr>
          <w:rFonts w:eastAsia="Times New Roman"/>
          <w:color w:val="000000"/>
          <w:sz w:val="20"/>
          <w:szCs w:val="20"/>
        </w:rPr>
        <w:t xml:space="preserve">Temperatures in Utilities’ </w:t>
      </w:r>
      <w:r>
        <w:rPr>
          <w:rFonts w:eastAsia="Times New Roman"/>
          <w:color w:val="000000"/>
          <w:sz w:val="20"/>
          <w:szCs w:val="20"/>
        </w:rPr>
        <w:t>natural gas service territory during Fiscal 2022 were 7.5% warmer than normal and slightly warmer than the prior year. Utilities’ core market and total natural gas system volumes increased (23 bcf and 52 bcf, respectively) during Fiscal 2022 largely relate</w:t>
      </w:r>
      <w:r>
        <w:rPr>
          <w:rFonts w:eastAsia="Times New Roman"/>
          <w:color w:val="000000"/>
          <w:sz w:val="20"/>
          <w:szCs w:val="20"/>
        </w:rPr>
        <w:t xml:space="preserve">d to incremental volumes attributable to Mountaineer. </w:t>
      </w:r>
    </w:p>
    <w:p w14:paraId="6D30EA81" w14:textId="77777777" w:rsidR="00000000" w:rsidRDefault="00C1661D">
      <w:pPr>
        <w:jc w:val="both"/>
        <w:rPr>
          <w:rFonts w:eastAsia="Times New Roman"/>
        </w:rPr>
      </w:pPr>
      <w:r>
        <w:rPr>
          <w:rFonts w:eastAsia="Times New Roman"/>
          <w:color w:val="000000"/>
          <w:sz w:val="20"/>
          <w:szCs w:val="20"/>
        </w:rPr>
        <w:t xml:space="preserve">Utilities revenues increased $541 million in Fiscal 2022 reflecting a $505 million increase in natural gas revenues and a $36 million increase in Electric Utility revenues. The increase in natural gas </w:t>
      </w:r>
      <w:r>
        <w:rPr>
          <w:rFonts w:eastAsia="Times New Roman"/>
          <w:color w:val="000000"/>
          <w:sz w:val="20"/>
          <w:szCs w:val="20"/>
        </w:rPr>
        <w:t xml:space="preserve">revenues principally reflects incremental revenues attributable to Mountaineer ($249 million), higher PGC rates reflecting higher natural gas costs, higher pricing on off-system sales, increased DSIC rates, and the full-year impact of the increase in base </w:t>
      </w:r>
      <w:r>
        <w:rPr>
          <w:rFonts w:eastAsia="Times New Roman"/>
          <w:color w:val="000000"/>
          <w:sz w:val="20"/>
          <w:szCs w:val="20"/>
        </w:rPr>
        <w:t xml:space="preserve">rates that went into effect during Fiscal 2021. The increase in Electric Utility revenues during Fiscal 2022 reflects higher DS rates compared to the prior year and the increase in base rates that went into effect in November 2021. </w:t>
      </w:r>
    </w:p>
    <w:p w14:paraId="08A13F3E" w14:textId="77777777" w:rsidR="00000000" w:rsidRDefault="00C1661D">
      <w:pPr>
        <w:jc w:val="both"/>
        <w:rPr>
          <w:rFonts w:eastAsia="Times New Roman"/>
        </w:rPr>
      </w:pPr>
    </w:p>
    <w:p w14:paraId="2D03E20D" w14:textId="77777777" w:rsidR="00000000" w:rsidRDefault="00C1661D">
      <w:pPr>
        <w:jc w:val="both"/>
        <w:rPr>
          <w:rFonts w:eastAsia="Times New Roman"/>
        </w:rPr>
      </w:pPr>
      <w:r>
        <w:rPr>
          <w:rFonts w:eastAsia="Times New Roman"/>
          <w:color w:val="000000"/>
          <w:sz w:val="20"/>
          <w:szCs w:val="20"/>
        </w:rPr>
        <w:t>Utilities cost of sal</w:t>
      </w:r>
      <w:r>
        <w:rPr>
          <w:rFonts w:eastAsia="Times New Roman"/>
          <w:color w:val="000000"/>
          <w:sz w:val="20"/>
          <w:szCs w:val="20"/>
        </w:rPr>
        <w:t>es (including revenue-related taxes) was $819 million in Fiscal 2022 compared with $463 million in Fiscal 2021. Natural gas cost of sales increased during Fiscal 2022 ($326 million) largely attributable to incremental cost of sales attributable to Mountain</w:t>
      </w:r>
      <w:r>
        <w:rPr>
          <w:rFonts w:eastAsia="Times New Roman"/>
          <w:color w:val="000000"/>
          <w:sz w:val="20"/>
          <w:szCs w:val="20"/>
        </w:rPr>
        <w:t>eer ($126 million), higher PGC rates compared to the prior year, and increased cost of sales associated with off-system sales. Electric Utility cost of sales increased during Fiscal 2022 ($30 million) primarily related to the higher DS rates compared to th</w:t>
      </w:r>
      <w:r>
        <w:rPr>
          <w:rFonts w:eastAsia="Times New Roman"/>
          <w:color w:val="000000"/>
          <w:sz w:val="20"/>
          <w:szCs w:val="20"/>
        </w:rPr>
        <w:t>e prior year.</w:t>
      </w:r>
    </w:p>
    <w:p w14:paraId="0903CCDD" w14:textId="77777777" w:rsidR="00000000" w:rsidRDefault="00C1661D">
      <w:pPr>
        <w:jc w:val="both"/>
        <w:rPr>
          <w:rFonts w:eastAsia="Times New Roman"/>
        </w:rPr>
      </w:pPr>
    </w:p>
    <w:p w14:paraId="71D70057" w14:textId="77777777" w:rsidR="00000000" w:rsidRDefault="00C1661D">
      <w:pPr>
        <w:jc w:val="both"/>
        <w:rPr>
          <w:rFonts w:eastAsia="Times New Roman"/>
        </w:rPr>
      </w:pPr>
      <w:r>
        <w:rPr>
          <w:rFonts w:eastAsia="Times New Roman"/>
          <w:color w:val="000000"/>
          <w:sz w:val="20"/>
          <w:szCs w:val="20"/>
        </w:rPr>
        <w:t>Utilities total margin increased $185 million during Fiscal 2022 primarily related to higher natural gas margin ($179 million) compared to Fiscal 2021 largely reflecting incremental margin attributable to Mountaineer ($123 million). The inc</w:t>
      </w:r>
      <w:r>
        <w:rPr>
          <w:rFonts w:eastAsia="Times New Roman"/>
          <w:color w:val="000000"/>
          <w:sz w:val="20"/>
          <w:szCs w:val="20"/>
        </w:rPr>
        <w:t>rease in total natural gas margin also includes higher margin attributable to the increased DSIC rates, higher margin from large delivery service customers including the effects of customer growth compared to the prior year, and the previously mentioned fu</w:t>
      </w:r>
      <w:r>
        <w:rPr>
          <w:rFonts w:eastAsia="Times New Roman"/>
          <w:color w:val="000000"/>
          <w:sz w:val="20"/>
          <w:szCs w:val="20"/>
        </w:rPr>
        <w:t xml:space="preserve">ll-year impact of the increase in base rates. Electric Utility margin increased $6 million largely attributable to the increase in base rates compared to the prior year. </w:t>
      </w:r>
    </w:p>
    <w:p w14:paraId="60350370" w14:textId="77777777" w:rsidR="00000000" w:rsidRDefault="00C1661D">
      <w:pPr>
        <w:jc w:val="both"/>
        <w:rPr>
          <w:rFonts w:eastAsia="Times New Roman"/>
        </w:rPr>
      </w:pPr>
    </w:p>
    <w:p w14:paraId="6CD1C703" w14:textId="77777777" w:rsidR="00000000" w:rsidRDefault="00C1661D">
      <w:pPr>
        <w:jc w:val="both"/>
        <w:rPr>
          <w:rFonts w:eastAsia="Times New Roman"/>
        </w:rPr>
      </w:pPr>
      <w:r>
        <w:rPr>
          <w:rFonts w:eastAsia="Times New Roman"/>
          <w:color w:val="000000"/>
          <w:sz w:val="20"/>
          <w:szCs w:val="20"/>
        </w:rPr>
        <w:t>Utilities operating income and earnings before interest expense and income taxes du</w:t>
      </w:r>
      <w:r>
        <w:rPr>
          <w:rFonts w:eastAsia="Times New Roman"/>
          <w:color w:val="000000"/>
          <w:sz w:val="20"/>
          <w:szCs w:val="20"/>
        </w:rPr>
        <w:t>ring Fiscal 2022 increased $86 million and $94 million, respectively, compared to the prior year. The increase in operating income largely reflects the previously mentioned increase in total margin, partially offset by higher operating and administrative e</w:t>
      </w:r>
      <w:r>
        <w:rPr>
          <w:rFonts w:eastAsia="Times New Roman"/>
          <w:color w:val="000000"/>
          <w:sz w:val="20"/>
          <w:szCs w:val="20"/>
        </w:rPr>
        <w:t>xpenses ($78 million) and depreciation expense ($25 million) compared to the prior year, both principally related to incremental expenses attributable to Mountaineer. The higher depreciation expense compared to the prior year also includes the effects of c</w:t>
      </w:r>
      <w:r>
        <w:rPr>
          <w:rFonts w:eastAsia="Times New Roman"/>
          <w:color w:val="000000"/>
          <w:sz w:val="20"/>
          <w:szCs w:val="20"/>
        </w:rPr>
        <w:t xml:space="preserve">ontinued distribution system capital expenditure activity. The increase in earnings before interest expense and income taxes principally reflects the increase in operating income and higher pension non-service income compared to the prior year. </w:t>
      </w:r>
    </w:p>
    <w:p w14:paraId="46CCAA70" w14:textId="77777777" w:rsidR="00000000" w:rsidRDefault="00C1661D">
      <w:pPr>
        <w:jc w:val="center"/>
        <w:divId w:val="131216929"/>
        <w:rPr>
          <w:rFonts w:eastAsia="Times New Roman"/>
        </w:rPr>
      </w:pPr>
      <w:r>
        <w:rPr>
          <w:rFonts w:eastAsia="Times New Roman"/>
          <w:color w:val="000000"/>
          <w:sz w:val="20"/>
          <w:szCs w:val="20"/>
        </w:rPr>
        <w:t>55</w:t>
      </w:r>
    </w:p>
    <w:p w14:paraId="34B35757" w14:textId="77777777" w:rsidR="00000000" w:rsidRDefault="00C1661D">
      <w:pPr>
        <w:rPr>
          <w:rFonts w:eastAsia="Times New Roman"/>
        </w:rPr>
      </w:pPr>
      <w:r>
        <w:rPr>
          <w:rFonts w:eastAsia="Times New Roman"/>
        </w:rPr>
        <w:pict w14:anchorId="19D2C714">
          <v:rect id="_x0000_i1082" style="width:0;height:1.5pt" o:hralign="center" o:hrstd="t" o:hr="t" fillcolor="#a0a0a0" stroked="f"/>
        </w:pict>
      </w:r>
    </w:p>
    <w:p w14:paraId="5F2A7779" w14:textId="77777777" w:rsidR="00000000" w:rsidRDefault="00C1661D">
      <w:pPr>
        <w:divId w:val="526912191"/>
        <w:rPr>
          <w:rFonts w:eastAsia="Times New Roman"/>
        </w:rPr>
      </w:pPr>
      <w:hyperlink w:anchor="i3850c3c6c0104e42b9951aac2f16098a_7" w:history="1">
        <w:r>
          <w:rPr>
            <w:rStyle w:val="a3"/>
            <w:rFonts w:eastAsia="Times New Roman"/>
            <w:b/>
            <w:bCs/>
            <w:sz w:val="20"/>
            <w:szCs w:val="20"/>
          </w:rPr>
          <w:t>Table of Contents</w:t>
        </w:r>
      </w:hyperlink>
    </w:p>
    <w:p w14:paraId="7B36591C" w14:textId="77777777" w:rsidR="00000000" w:rsidRDefault="00C1661D">
      <w:pPr>
        <w:jc w:val="both"/>
        <w:rPr>
          <w:rFonts w:eastAsia="Times New Roman"/>
        </w:rPr>
      </w:pPr>
    </w:p>
    <w:p w14:paraId="6F05868C" w14:textId="77777777" w:rsidR="00000000" w:rsidRDefault="00C1661D">
      <w:pPr>
        <w:jc w:val="both"/>
        <w:rPr>
          <w:rFonts w:eastAsia="Times New Roman"/>
        </w:rPr>
      </w:pPr>
      <w:r>
        <w:rPr>
          <w:rFonts w:eastAsia="Times New Roman"/>
          <w:b/>
          <w:bCs/>
          <w:i/>
          <w:iCs/>
          <w:color w:val="000000"/>
          <w:sz w:val="20"/>
          <w:szCs w:val="20"/>
        </w:rPr>
        <w:t>Interest Expense and Income Taxes</w:t>
      </w:r>
    </w:p>
    <w:p w14:paraId="4207A0F8" w14:textId="77777777" w:rsidR="00000000" w:rsidRDefault="00C1661D">
      <w:pPr>
        <w:jc w:val="both"/>
        <w:rPr>
          <w:rFonts w:eastAsia="Times New Roman"/>
        </w:rPr>
      </w:pPr>
    </w:p>
    <w:p w14:paraId="39B72A87" w14:textId="77777777" w:rsidR="00000000" w:rsidRDefault="00C1661D">
      <w:pPr>
        <w:jc w:val="both"/>
        <w:rPr>
          <w:rFonts w:eastAsia="Times New Roman"/>
        </w:rPr>
      </w:pPr>
      <w:r>
        <w:rPr>
          <w:rFonts w:eastAsia="Times New Roman"/>
          <w:color w:val="000000"/>
          <w:sz w:val="20"/>
          <w:szCs w:val="20"/>
        </w:rPr>
        <w:t>Our consolidated interest expense during Fiscal 2022 was $329 million compared to $310 million during the prior year. The increase in interest expense principally reflects the effects of incremental long-term debt outstanding during the current period, net</w:t>
      </w:r>
      <w:r>
        <w:rPr>
          <w:rFonts w:eastAsia="Times New Roman"/>
          <w:color w:val="000000"/>
          <w:sz w:val="20"/>
          <w:szCs w:val="20"/>
        </w:rPr>
        <w:t xml:space="preserve"> of repayments, primarily related to the Mountaineer Acquisition and UGI Utilities’ issuance of senior notes during Fiscal 2022 and the second half of Fiscal 2021. Higher average short-term borrowings outstanding compared to the prior year also contributed</w:t>
      </w:r>
      <w:r>
        <w:rPr>
          <w:rFonts w:eastAsia="Times New Roman"/>
          <w:color w:val="000000"/>
          <w:sz w:val="20"/>
          <w:szCs w:val="20"/>
        </w:rPr>
        <w:t xml:space="preserve"> to the increase in interest expense. </w:t>
      </w:r>
    </w:p>
    <w:p w14:paraId="42E74E1E" w14:textId="77777777" w:rsidR="00000000" w:rsidRDefault="00C1661D">
      <w:pPr>
        <w:jc w:val="both"/>
        <w:rPr>
          <w:rFonts w:eastAsia="Times New Roman"/>
        </w:rPr>
      </w:pPr>
    </w:p>
    <w:p w14:paraId="3EAC9CE8" w14:textId="77777777" w:rsidR="00000000" w:rsidRDefault="00C1661D">
      <w:pPr>
        <w:jc w:val="both"/>
        <w:rPr>
          <w:rFonts w:eastAsia="Times New Roman"/>
        </w:rPr>
      </w:pPr>
      <w:r>
        <w:rPr>
          <w:rFonts w:eastAsia="Times New Roman"/>
          <w:color w:val="000000"/>
          <w:sz w:val="20"/>
          <w:szCs w:val="20"/>
        </w:rPr>
        <w:t xml:space="preserve">Our effective income tax rate decreased between Fiscal 2021 and Fiscal 2022 due primarily to the benefit of the impact on net deferred tax liabilities of the reduction in the Pennsylvania statutory income tax rate. </w:t>
      </w:r>
      <w:r>
        <w:rPr>
          <w:rFonts w:eastAsia="Times New Roman"/>
          <w:color w:val="000000"/>
          <w:sz w:val="20"/>
          <w:szCs w:val="20"/>
        </w:rPr>
        <w:t>This benefit exceeded the prior year net benefits attributable to the CARES Act and the election made under a tax law change in Italy which allowed us to step up its tax basis on certain assets in exchange for paying a three percent substitute tax, partial</w:t>
      </w:r>
      <w:r>
        <w:rPr>
          <w:rFonts w:eastAsia="Times New Roman"/>
          <w:color w:val="000000"/>
          <w:sz w:val="20"/>
          <w:szCs w:val="20"/>
        </w:rPr>
        <w:t xml:space="preserve">ly offset by the establishment of a valuation allowance on the PennEast impairment. For additional information on our income taxes, including tax law changes, see Note 7 to Consolidated Financial Statements. </w:t>
      </w:r>
    </w:p>
    <w:p w14:paraId="7F0C391C" w14:textId="77777777" w:rsidR="00000000" w:rsidRDefault="00C1661D">
      <w:pPr>
        <w:jc w:val="both"/>
        <w:rPr>
          <w:rFonts w:eastAsia="Times New Roman"/>
        </w:rPr>
      </w:pPr>
    </w:p>
    <w:p w14:paraId="12F7D64B" w14:textId="77777777" w:rsidR="00000000" w:rsidRDefault="00C1661D">
      <w:pPr>
        <w:jc w:val="both"/>
        <w:rPr>
          <w:rFonts w:eastAsia="Times New Roman"/>
        </w:rPr>
      </w:pPr>
      <w:r>
        <w:rPr>
          <w:rFonts w:eastAsia="Times New Roman"/>
          <w:b/>
          <w:bCs/>
          <w:color w:val="000000"/>
          <w:sz w:val="20"/>
          <w:szCs w:val="20"/>
          <w:u w:val="single"/>
        </w:rPr>
        <w:t>Financial Condition and Liquidity</w:t>
      </w:r>
    </w:p>
    <w:p w14:paraId="48E4BD1C" w14:textId="77777777" w:rsidR="00000000" w:rsidRDefault="00C1661D">
      <w:pPr>
        <w:jc w:val="both"/>
        <w:rPr>
          <w:rFonts w:eastAsia="Times New Roman"/>
        </w:rPr>
      </w:pPr>
    </w:p>
    <w:p w14:paraId="0A37A80D" w14:textId="77777777" w:rsidR="00000000" w:rsidRDefault="00C1661D">
      <w:pPr>
        <w:jc w:val="both"/>
        <w:rPr>
          <w:rFonts w:eastAsia="Times New Roman"/>
        </w:rPr>
      </w:pPr>
      <w:r>
        <w:rPr>
          <w:rFonts w:eastAsia="Times New Roman"/>
          <w:color w:val="000000"/>
          <w:sz w:val="20"/>
          <w:szCs w:val="20"/>
        </w:rPr>
        <w:t>The Compa</w:t>
      </w:r>
      <w:r>
        <w:rPr>
          <w:rFonts w:eastAsia="Times New Roman"/>
          <w:color w:val="000000"/>
          <w:sz w:val="20"/>
          <w:szCs w:val="20"/>
        </w:rPr>
        <w:t>ny expects to have sufficient liquidity including cash on hand and available borrowing capacity, to continue to support long-term commitments and ongoing operations despite uncertainties associated with ongoing global macroeconomic conditions including, am</w:t>
      </w:r>
      <w:r>
        <w:rPr>
          <w:rFonts w:eastAsia="Times New Roman"/>
          <w:color w:val="000000"/>
          <w:sz w:val="20"/>
          <w:szCs w:val="20"/>
        </w:rPr>
        <w:t>ong others, changes in consumer behavior resulting from the COVID-19 pandemic, the inflationary cost environment and ongoing energy commodity price volatility. Our total available liquidity balance, comprising cash and cash equivalents and available borrow</w:t>
      </w:r>
      <w:r>
        <w:rPr>
          <w:rFonts w:eastAsia="Times New Roman"/>
          <w:color w:val="000000"/>
          <w:sz w:val="20"/>
          <w:szCs w:val="20"/>
        </w:rPr>
        <w:t>ing capacity on our revolving credit facilities, totaled approximately $1.7 billion and $2.2 billion at September 30, 2022 and 2021, respectively. Our total available liquidity at September 30, 2022 was affected, in part, by $398 million of cash collateral</w:t>
      </w:r>
      <w:r>
        <w:rPr>
          <w:rFonts w:eastAsia="Times New Roman"/>
          <w:color w:val="000000"/>
          <w:sz w:val="20"/>
          <w:szCs w:val="20"/>
        </w:rPr>
        <w:t xml:space="preserve"> received from derivative counterparties resulting from the impact of rising commodity prices and an accumulation of derivative assets associated with our commodity derivative instruments. The Company does not have any near-term senior note or term loan ma</w:t>
      </w:r>
      <w:r>
        <w:rPr>
          <w:rFonts w:eastAsia="Times New Roman"/>
          <w:color w:val="000000"/>
          <w:sz w:val="20"/>
          <w:szCs w:val="20"/>
        </w:rPr>
        <w:t>turities. The Company cannot predict the duration or total magnitude of the uncertain economic factors mentioned above and the total effects they will have on its liquidity, debt covenants, financial condition or the timing of capital expenditures. UGI and</w:t>
      </w:r>
      <w:r>
        <w:rPr>
          <w:rFonts w:eastAsia="Times New Roman"/>
          <w:color w:val="000000"/>
          <w:sz w:val="20"/>
          <w:szCs w:val="20"/>
        </w:rPr>
        <w:t xml:space="preserve"> its subsidiaries were in compliance with all debt covenants as of September 30, 2022.</w:t>
      </w:r>
    </w:p>
    <w:p w14:paraId="1436BC23" w14:textId="77777777" w:rsidR="00000000" w:rsidRDefault="00C1661D">
      <w:pPr>
        <w:jc w:val="both"/>
        <w:rPr>
          <w:rFonts w:eastAsia="Times New Roman"/>
        </w:rPr>
      </w:pPr>
    </w:p>
    <w:p w14:paraId="12DC5426" w14:textId="77777777" w:rsidR="00000000" w:rsidRDefault="00C1661D">
      <w:pPr>
        <w:jc w:val="both"/>
        <w:rPr>
          <w:rFonts w:eastAsia="Times New Roman"/>
        </w:rPr>
      </w:pPr>
      <w:r>
        <w:rPr>
          <w:rFonts w:eastAsia="Times New Roman"/>
          <w:color w:val="000000"/>
          <w:sz w:val="20"/>
          <w:szCs w:val="20"/>
        </w:rPr>
        <w:t>We depend on both internal and external sources of liquidity to provide funds for working capital and to fund capital requirements. Our short-term cash requirements no</w:t>
      </w:r>
      <w:r>
        <w:rPr>
          <w:rFonts w:eastAsia="Times New Roman"/>
          <w:color w:val="000000"/>
          <w:sz w:val="20"/>
          <w:szCs w:val="20"/>
        </w:rPr>
        <w:t xml:space="preserve">t met by cash from operations are generally satisfied with borrowings under credit facilities and, in the case of Midstream &amp; Marketing, also from a Receivables Facility. Long-term cash requirements are generally met through the issuance of long-term debt </w:t>
      </w:r>
      <w:r>
        <w:rPr>
          <w:rFonts w:eastAsia="Times New Roman"/>
          <w:color w:val="000000"/>
          <w:sz w:val="20"/>
          <w:szCs w:val="20"/>
        </w:rPr>
        <w:t>or equity securities. We believe that each of our business units has sufficient liquidity in the forms of cash and cash equivalents on hand; cash expected to be generated from operations; credit facility and Receivables Facility borrowing capacity; and the</w:t>
      </w:r>
      <w:r>
        <w:rPr>
          <w:rFonts w:eastAsia="Times New Roman"/>
          <w:color w:val="000000"/>
          <w:sz w:val="20"/>
          <w:szCs w:val="20"/>
        </w:rPr>
        <w:t xml:space="preserve"> ability to obtain long-term financing to meet anticipated contractual and projected cash commitments. Issuances of debt and equity securities in the capital markets and additional credit facilities may not, however, be available to us on acceptable terms.</w:t>
      </w:r>
    </w:p>
    <w:p w14:paraId="2994E995" w14:textId="77777777" w:rsidR="00000000" w:rsidRDefault="00C1661D">
      <w:pPr>
        <w:jc w:val="both"/>
        <w:rPr>
          <w:rFonts w:eastAsia="Times New Roman"/>
        </w:rPr>
      </w:pPr>
    </w:p>
    <w:p w14:paraId="50D1C04F" w14:textId="77777777" w:rsidR="00000000" w:rsidRDefault="00C1661D">
      <w:pPr>
        <w:jc w:val="both"/>
        <w:rPr>
          <w:rFonts w:eastAsia="Times New Roman"/>
        </w:rPr>
      </w:pPr>
      <w:r>
        <w:rPr>
          <w:rFonts w:eastAsia="Times New Roman"/>
          <w:color w:val="000000"/>
          <w:sz w:val="20"/>
          <w:szCs w:val="20"/>
        </w:rPr>
        <w:t>The primary sources of UGI’s cash and cash equivalents are the dividends and other cash payments made to UGI or its corporate subsidiaries by its principal business units. Our cash and cash equivalents totaled $405 million at September 30, 2022, compare</w:t>
      </w:r>
      <w:r>
        <w:rPr>
          <w:rFonts w:eastAsia="Times New Roman"/>
          <w:color w:val="000000"/>
          <w:sz w:val="20"/>
          <w:szCs w:val="20"/>
        </w:rPr>
        <w:t>d with $855 million at September 30, 2021. Our cash and cash equivalents at September 30, 2022 reflects the previously mentioned cash collateral deposits received from our derivative instrument counterparties. This is attributable to significant mark-to-ma</w:t>
      </w:r>
      <w:r>
        <w:rPr>
          <w:rFonts w:eastAsia="Times New Roman"/>
          <w:color w:val="000000"/>
          <w:sz w:val="20"/>
          <w:szCs w:val="20"/>
        </w:rPr>
        <w:t>rket gains on our commodity derivative instruments resulting from the steep rise and volatility in commodity prices during Fiscal 2022 and 2021. This cash could be returned to such counterparties as commodity prices and their impact on our commodity deriva</w:t>
      </w:r>
      <w:r>
        <w:rPr>
          <w:rFonts w:eastAsia="Times New Roman"/>
          <w:color w:val="000000"/>
          <w:sz w:val="20"/>
          <w:szCs w:val="20"/>
        </w:rPr>
        <w:t>tive instruments stabilizes or reverses. Excluding these collateral deposits received and cash and cash equivalents that reside at UGI’s operating subsidiaries, at September 30, 2022 and 2021, our cash and cash equivalents totaled $140 million and $172 mil</w:t>
      </w:r>
      <w:r>
        <w:rPr>
          <w:rFonts w:eastAsia="Times New Roman"/>
          <w:color w:val="000000"/>
          <w:sz w:val="20"/>
          <w:szCs w:val="20"/>
        </w:rPr>
        <w:t xml:space="preserve">lion, respectively. Such cash is available to pay dividends on UGI Common Stock and for investment purposes. </w:t>
      </w:r>
    </w:p>
    <w:p w14:paraId="19CB85F8" w14:textId="77777777" w:rsidR="00000000" w:rsidRDefault="00C1661D">
      <w:pPr>
        <w:jc w:val="center"/>
        <w:divId w:val="439959404"/>
        <w:rPr>
          <w:rFonts w:eastAsia="Times New Roman"/>
        </w:rPr>
      </w:pPr>
      <w:r>
        <w:rPr>
          <w:rFonts w:eastAsia="Times New Roman"/>
          <w:color w:val="000000"/>
          <w:sz w:val="20"/>
          <w:szCs w:val="20"/>
        </w:rPr>
        <w:t>56</w:t>
      </w:r>
    </w:p>
    <w:p w14:paraId="2FDF4AD2" w14:textId="77777777" w:rsidR="00000000" w:rsidRDefault="00C1661D">
      <w:pPr>
        <w:rPr>
          <w:rFonts w:eastAsia="Times New Roman"/>
        </w:rPr>
      </w:pPr>
      <w:r>
        <w:rPr>
          <w:rFonts w:eastAsia="Times New Roman"/>
        </w:rPr>
        <w:pict w14:anchorId="462C14BF">
          <v:rect id="_x0000_i1083" style="width:0;height:1.5pt" o:hralign="center" o:hrstd="t" o:hr="t" fillcolor="#a0a0a0" stroked="f"/>
        </w:pict>
      </w:r>
    </w:p>
    <w:p w14:paraId="244617F5" w14:textId="77777777" w:rsidR="00000000" w:rsidRDefault="00C1661D">
      <w:pPr>
        <w:divId w:val="1598635549"/>
        <w:rPr>
          <w:rFonts w:eastAsia="Times New Roman"/>
        </w:rPr>
      </w:pPr>
      <w:hyperlink w:anchor="i3850c3c6c0104e42b9951aac2f16098a_7" w:history="1">
        <w:r>
          <w:rPr>
            <w:rStyle w:val="a3"/>
            <w:rFonts w:eastAsia="Times New Roman"/>
            <w:b/>
            <w:bCs/>
            <w:sz w:val="20"/>
            <w:szCs w:val="20"/>
          </w:rPr>
          <w:t>Table of Contents</w:t>
        </w:r>
      </w:hyperlink>
    </w:p>
    <w:p w14:paraId="3011D84A" w14:textId="77777777" w:rsidR="00000000" w:rsidRDefault="00C1661D">
      <w:pPr>
        <w:jc w:val="both"/>
        <w:divId w:val="83887846"/>
        <w:rPr>
          <w:rFonts w:eastAsia="Times New Roman"/>
        </w:rPr>
      </w:pPr>
      <w:r>
        <w:rPr>
          <w:rFonts w:eastAsia="Times New Roman"/>
          <w:color w:val="000000"/>
          <w:sz w:val="20"/>
          <w:szCs w:val="20"/>
        </w:rPr>
        <w:t>During Fiscal 2022 and Fiscal 2021, our principal business units paid cash dividends and made other cash payments to UGI and its subsidiaries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6107"/>
        <w:gridCol w:w="38"/>
        <w:gridCol w:w="36"/>
        <w:gridCol w:w="36"/>
        <w:gridCol w:w="36"/>
        <w:gridCol w:w="120"/>
        <w:gridCol w:w="796"/>
        <w:gridCol w:w="36"/>
        <w:gridCol w:w="36"/>
        <w:gridCol w:w="36"/>
        <w:gridCol w:w="36"/>
        <w:gridCol w:w="120"/>
        <w:gridCol w:w="798"/>
        <w:gridCol w:w="36"/>
      </w:tblGrid>
      <w:tr w:rsidR="00000000" w14:paraId="5908D2A5" w14:textId="77777777">
        <w:trPr>
          <w:divId w:val="2079328915"/>
        </w:trPr>
        <w:tc>
          <w:tcPr>
            <w:tcW w:w="50" w:type="pct"/>
            <w:vAlign w:val="center"/>
            <w:hideMark/>
          </w:tcPr>
          <w:p w14:paraId="37A350E5" w14:textId="77777777" w:rsidR="00000000" w:rsidRDefault="00C1661D">
            <w:pPr>
              <w:jc w:val="both"/>
              <w:rPr>
                <w:rFonts w:eastAsia="Times New Roman"/>
              </w:rPr>
            </w:pPr>
          </w:p>
        </w:tc>
        <w:tc>
          <w:tcPr>
            <w:tcW w:w="3702" w:type="pct"/>
            <w:vAlign w:val="center"/>
            <w:hideMark/>
          </w:tcPr>
          <w:p w14:paraId="0F633C02" w14:textId="77777777" w:rsidR="00000000" w:rsidRDefault="00C1661D">
            <w:pPr>
              <w:spacing w:after="100"/>
              <w:rPr>
                <w:rFonts w:eastAsia="Times New Roman"/>
                <w:sz w:val="20"/>
                <w:szCs w:val="20"/>
              </w:rPr>
            </w:pPr>
          </w:p>
        </w:tc>
        <w:tc>
          <w:tcPr>
            <w:tcW w:w="5" w:type="pct"/>
            <w:vAlign w:val="center"/>
            <w:hideMark/>
          </w:tcPr>
          <w:p w14:paraId="6D01D1E5" w14:textId="77777777" w:rsidR="00000000" w:rsidRDefault="00C1661D">
            <w:pPr>
              <w:spacing w:after="100"/>
              <w:rPr>
                <w:rFonts w:eastAsia="Times New Roman"/>
                <w:sz w:val="20"/>
                <w:szCs w:val="20"/>
              </w:rPr>
            </w:pPr>
          </w:p>
        </w:tc>
        <w:tc>
          <w:tcPr>
            <w:tcW w:w="5" w:type="pct"/>
            <w:vAlign w:val="center"/>
            <w:hideMark/>
          </w:tcPr>
          <w:p w14:paraId="79DE2EBB" w14:textId="77777777" w:rsidR="00000000" w:rsidRDefault="00C1661D">
            <w:pPr>
              <w:spacing w:after="100"/>
              <w:rPr>
                <w:rFonts w:eastAsia="Times New Roman"/>
                <w:sz w:val="20"/>
                <w:szCs w:val="20"/>
              </w:rPr>
            </w:pPr>
          </w:p>
        </w:tc>
        <w:tc>
          <w:tcPr>
            <w:tcW w:w="26" w:type="pct"/>
            <w:vAlign w:val="center"/>
            <w:hideMark/>
          </w:tcPr>
          <w:p w14:paraId="5BB3B58A" w14:textId="77777777" w:rsidR="00000000" w:rsidRDefault="00C1661D">
            <w:pPr>
              <w:spacing w:after="100"/>
              <w:rPr>
                <w:rFonts w:eastAsia="Times New Roman"/>
                <w:sz w:val="20"/>
                <w:szCs w:val="20"/>
              </w:rPr>
            </w:pPr>
          </w:p>
        </w:tc>
        <w:tc>
          <w:tcPr>
            <w:tcW w:w="5" w:type="pct"/>
            <w:vAlign w:val="center"/>
            <w:hideMark/>
          </w:tcPr>
          <w:p w14:paraId="184867D8" w14:textId="77777777" w:rsidR="00000000" w:rsidRDefault="00C1661D">
            <w:pPr>
              <w:spacing w:after="100"/>
              <w:rPr>
                <w:rFonts w:eastAsia="Times New Roman"/>
                <w:sz w:val="20"/>
                <w:szCs w:val="20"/>
              </w:rPr>
            </w:pPr>
          </w:p>
        </w:tc>
        <w:tc>
          <w:tcPr>
            <w:tcW w:w="50" w:type="pct"/>
            <w:vAlign w:val="center"/>
            <w:hideMark/>
          </w:tcPr>
          <w:p w14:paraId="2CC494D9" w14:textId="77777777" w:rsidR="00000000" w:rsidRDefault="00C1661D">
            <w:pPr>
              <w:spacing w:after="100"/>
              <w:rPr>
                <w:rFonts w:eastAsia="Times New Roman"/>
                <w:sz w:val="20"/>
                <w:szCs w:val="20"/>
              </w:rPr>
            </w:pPr>
          </w:p>
        </w:tc>
        <w:tc>
          <w:tcPr>
            <w:tcW w:w="529" w:type="pct"/>
            <w:vAlign w:val="center"/>
            <w:hideMark/>
          </w:tcPr>
          <w:p w14:paraId="0C8F1856" w14:textId="77777777" w:rsidR="00000000" w:rsidRDefault="00C1661D">
            <w:pPr>
              <w:spacing w:after="100"/>
              <w:rPr>
                <w:rFonts w:eastAsia="Times New Roman"/>
                <w:sz w:val="20"/>
                <w:szCs w:val="20"/>
              </w:rPr>
            </w:pPr>
          </w:p>
        </w:tc>
        <w:tc>
          <w:tcPr>
            <w:tcW w:w="5" w:type="pct"/>
            <w:vAlign w:val="center"/>
            <w:hideMark/>
          </w:tcPr>
          <w:p w14:paraId="68A54400" w14:textId="77777777" w:rsidR="00000000" w:rsidRDefault="00C1661D">
            <w:pPr>
              <w:spacing w:after="100"/>
              <w:rPr>
                <w:rFonts w:eastAsia="Times New Roman"/>
                <w:sz w:val="20"/>
                <w:szCs w:val="20"/>
              </w:rPr>
            </w:pPr>
          </w:p>
        </w:tc>
        <w:tc>
          <w:tcPr>
            <w:tcW w:w="5" w:type="pct"/>
            <w:vAlign w:val="center"/>
            <w:hideMark/>
          </w:tcPr>
          <w:p w14:paraId="272EAD03" w14:textId="77777777" w:rsidR="00000000" w:rsidRDefault="00C1661D">
            <w:pPr>
              <w:spacing w:after="100"/>
              <w:rPr>
                <w:rFonts w:eastAsia="Times New Roman"/>
                <w:sz w:val="20"/>
                <w:szCs w:val="20"/>
              </w:rPr>
            </w:pPr>
          </w:p>
        </w:tc>
        <w:tc>
          <w:tcPr>
            <w:tcW w:w="26" w:type="pct"/>
            <w:vAlign w:val="center"/>
            <w:hideMark/>
          </w:tcPr>
          <w:p w14:paraId="44B00CFA" w14:textId="77777777" w:rsidR="00000000" w:rsidRDefault="00C1661D">
            <w:pPr>
              <w:spacing w:after="100"/>
              <w:rPr>
                <w:rFonts w:eastAsia="Times New Roman"/>
                <w:sz w:val="20"/>
                <w:szCs w:val="20"/>
              </w:rPr>
            </w:pPr>
          </w:p>
        </w:tc>
        <w:tc>
          <w:tcPr>
            <w:tcW w:w="5" w:type="pct"/>
            <w:vAlign w:val="center"/>
            <w:hideMark/>
          </w:tcPr>
          <w:p w14:paraId="30EEB833" w14:textId="77777777" w:rsidR="00000000" w:rsidRDefault="00C1661D">
            <w:pPr>
              <w:spacing w:after="100"/>
              <w:rPr>
                <w:rFonts w:eastAsia="Times New Roman"/>
                <w:sz w:val="20"/>
                <w:szCs w:val="20"/>
              </w:rPr>
            </w:pPr>
          </w:p>
        </w:tc>
        <w:tc>
          <w:tcPr>
            <w:tcW w:w="50" w:type="pct"/>
            <w:vAlign w:val="center"/>
            <w:hideMark/>
          </w:tcPr>
          <w:p w14:paraId="511D4D26" w14:textId="77777777" w:rsidR="00000000" w:rsidRDefault="00C1661D">
            <w:pPr>
              <w:spacing w:after="100"/>
              <w:rPr>
                <w:rFonts w:eastAsia="Times New Roman"/>
                <w:sz w:val="20"/>
                <w:szCs w:val="20"/>
              </w:rPr>
            </w:pPr>
          </w:p>
        </w:tc>
        <w:tc>
          <w:tcPr>
            <w:tcW w:w="529" w:type="pct"/>
            <w:vAlign w:val="center"/>
            <w:hideMark/>
          </w:tcPr>
          <w:p w14:paraId="6C2595BA" w14:textId="77777777" w:rsidR="00000000" w:rsidRDefault="00C1661D">
            <w:pPr>
              <w:spacing w:after="100"/>
              <w:rPr>
                <w:rFonts w:eastAsia="Times New Roman"/>
                <w:sz w:val="20"/>
                <w:szCs w:val="20"/>
              </w:rPr>
            </w:pPr>
          </w:p>
        </w:tc>
        <w:tc>
          <w:tcPr>
            <w:tcW w:w="5" w:type="pct"/>
            <w:vAlign w:val="center"/>
            <w:hideMark/>
          </w:tcPr>
          <w:p w14:paraId="78EDE220" w14:textId="77777777" w:rsidR="00000000" w:rsidRDefault="00C1661D">
            <w:pPr>
              <w:spacing w:after="100"/>
              <w:rPr>
                <w:rFonts w:eastAsia="Times New Roman"/>
                <w:sz w:val="20"/>
                <w:szCs w:val="20"/>
              </w:rPr>
            </w:pPr>
          </w:p>
        </w:tc>
      </w:tr>
      <w:tr w:rsidR="00000000" w14:paraId="2337D551" w14:textId="77777777">
        <w:trPr>
          <w:divId w:val="2079328915"/>
        </w:trPr>
        <w:tc>
          <w:tcPr>
            <w:tcW w:w="0" w:type="auto"/>
            <w:gridSpan w:val="3"/>
            <w:tcMar>
              <w:top w:w="30" w:type="dxa"/>
              <w:left w:w="20" w:type="dxa"/>
              <w:bottom w:w="30" w:type="dxa"/>
              <w:right w:w="20" w:type="dxa"/>
            </w:tcMar>
            <w:vAlign w:val="bottom"/>
            <w:hideMark/>
          </w:tcPr>
          <w:p w14:paraId="4285E8DF" w14:textId="77777777" w:rsidR="00000000" w:rsidRDefault="00C1661D">
            <w:pPr>
              <w:spacing w:after="100"/>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14:paraId="26438031"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06998EBA"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4C052E84"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DD65996" w14:textId="77777777" w:rsidR="00000000" w:rsidRDefault="00C1661D">
            <w:pPr>
              <w:spacing w:after="100"/>
              <w:jc w:val="center"/>
              <w:rPr>
                <w:rFonts w:eastAsia="Times New Roman"/>
              </w:rPr>
            </w:pPr>
            <w:r>
              <w:rPr>
                <w:rFonts w:eastAsia="Times New Roman"/>
                <w:color w:val="000000"/>
                <w:sz w:val="20"/>
                <w:szCs w:val="20"/>
              </w:rPr>
              <w:t>2021</w:t>
            </w:r>
          </w:p>
        </w:tc>
      </w:tr>
      <w:tr w:rsidR="00000000" w14:paraId="42AB0BC9" w14:textId="77777777">
        <w:trPr>
          <w:divId w:val="2079328915"/>
        </w:trPr>
        <w:tc>
          <w:tcPr>
            <w:tcW w:w="0" w:type="auto"/>
            <w:gridSpan w:val="3"/>
            <w:vAlign w:val="center"/>
            <w:hideMark/>
          </w:tcPr>
          <w:p w14:paraId="2FFF47CA" w14:textId="77777777" w:rsidR="00000000" w:rsidRDefault="00C1661D">
            <w:pPr>
              <w:spacing w:after="100"/>
              <w:jc w:val="center"/>
              <w:rPr>
                <w:rFonts w:eastAsia="Times New Roman"/>
              </w:rPr>
            </w:pPr>
          </w:p>
        </w:tc>
        <w:tc>
          <w:tcPr>
            <w:tcW w:w="0" w:type="auto"/>
            <w:gridSpan w:val="3"/>
            <w:vAlign w:val="center"/>
            <w:hideMark/>
          </w:tcPr>
          <w:p w14:paraId="6F71CF2C" w14:textId="77777777" w:rsidR="00000000" w:rsidRDefault="00C1661D">
            <w:pPr>
              <w:spacing w:after="100"/>
              <w:rPr>
                <w:rFonts w:eastAsia="Times New Roman"/>
                <w:sz w:val="20"/>
                <w:szCs w:val="20"/>
              </w:rPr>
            </w:pPr>
          </w:p>
        </w:tc>
        <w:tc>
          <w:tcPr>
            <w:tcW w:w="0" w:type="auto"/>
            <w:gridSpan w:val="3"/>
            <w:vAlign w:val="center"/>
            <w:hideMark/>
          </w:tcPr>
          <w:p w14:paraId="7C25AD10" w14:textId="77777777" w:rsidR="00000000" w:rsidRDefault="00C1661D">
            <w:pPr>
              <w:spacing w:after="100"/>
              <w:rPr>
                <w:rFonts w:eastAsia="Times New Roman"/>
                <w:sz w:val="20"/>
                <w:szCs w:val="20"/>
              </w:rPr>
            </w:pPr>
          </w:p>
        </w:tc>
        <w:tc>
          <w:tcPr>
            <w:tcW w:w="0" w:type="auto"/>
            <w:gridSpan w:val="3"/>
            <w:vAlign w:val="center"/>
            <w:hideMark/>
          </w:tcPr>
          <w:p w14:paraId="4C6D362C" w14:textId="77777777" w:rsidR="00000000" w:rsidRDefault="00C1661D">
            <w:pPr>
              <w:spacing w:after="100"/>
              <w:rPr>
                <w:rFonts w:eastAsia="Times New Roman"/>
                <w:sz w:val="20"/>
                <w:szCs w:val="20"/>
              </w:rPr>
            </w:pPr>
          </w:p>
        </w:tc>
        <w:tc>
          <w:tcPr>
            <w:tcW w:w="0" w:type="auto"/>
            <w:gridSpan w:val="3"/>
            <w:vAlign w:val="center"/>
            <w:hideMark/>
          </w:tcPr>
          <w:p w14:paraId="14C41D77" w14:textId="77777777" w:rsidR="00000000" w:rsidRDefault="00C1661D">
            <w:pPr>
              <w:spacing w:after="100"/>
              <w:rPr>
                <w:rFonts w:eastAsia="Times New Roman"/>
                <w:sz w:val="20"/>
                <w:szCs w:val="20"/>
              </w:rPr>
            </w:pPr>
          </w:p>
        </w:tc>
      </w:tr>
      <w:tr w:rsidR="00000000" w14:paraId="643BE596" w14:textId="77777777">
        <w:trPr>
          <w:divId w:val="207932891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6F008A5" w14:textId="77777777" w:rsidR="00000000" w:rsidRDefault="00C1661D">
            <w:pPr>
              <w:spacing w:after="100"/>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14:paraId="318867A0" w14:textId="77777777" w:rsidR="00000000" w:rsidRDefault="00C166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FC3C1E"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9B2051" w14:textId="77777777" w:rsidR="00000000" w:rsidRDefault="00C1661D">
            <w:pPr>
              <w:spacing w:after="100"/>
              <w:jc w:val="right"/>
              <w:rPr>
                <w:rFonts w:eastAsia="Times New Roman"/>
              </w:rPr>
            </w:pPr>
            <w:r>
              <w:rPr>
                <w:rFonts w:eastAsia="Times New Roman"/>
                <w:color w:val="000000"/>
                <w:sz w:val="20"/>
                <w:szCs w:val="20"/>
              </w:rPr>
              <w:t>227 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339FF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8C86B9"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191F5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D3B53A" w14:textId="77777777" w:rsidR="00000000" w:rsidRDefault="00C1661D">
            <w:pPr>
              <w:spacing w:after="100"/>
              <w:jc w:val="right"/>
              <w:rPr>
                <w:rFonts w:eastAsia="Times New Roman"/>
              </w:rPr>
            </w:pPr>
            <w:r>
              <w:rPr>
                <w:rFonts w:eastAsia="Times New Roman"/>
                <w:color w:val="000000"/>
                <w:sz w:val="20"/>
                <w:szCs w:val="20"/>
              </w:rPr>
              <w:t>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DC5880" w14:textId="77777777" w:rsidR="00000000" w:rsidRDefault="00C1661D">
            <w:pPr>
              <w:spacing w:after="100"/>
              <w:jc w:val="right"/>
              <w:rPr>
                <w:rFonts w:eastAsia="Times New Roman"/>
              </w:rPr>
            </w:pPr>
          </w:p>
        </w:tc>
      </w:tr>
      <w:tr w:rsidR="00000000" w14:paraId="41AB2C8A" w14:textId="77777777">
        <w:trPr>
          <w:divId w:val="2079328915"/>
        </w:trPr>
        <w:tc>
          <w:tcPr>
            <w:tcW w:w="0" w:type="auto"/>
            <w:gridSpan w:val="3"/>
            <w:shd w:val="clear" w:color="auto" w:fill="FFFFFF"/>
            <w:tcMar>
              <w:top w:w="30" w:type="dxa"/>
              <w:left w:w="20" w:type="dxa"/>
              <w:bottom w:w="30" w:type="dxa"/>
              <w:right w:w="20" w:type="dxa"/>
            </w:tcMar>
            <w:vAlign w:val="bottom"/>
            <w:hideMark/>
          </w:tcPr>
          <w:p w14:paraId="68E3A972" w14:textId="77777777" w:rsidR="00000000" w:rsidRDefault="00C1661D">
            <w:pPr>
              <w:spacing w:after="100"/>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14:paraId="00E86138"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E65CE9" w14:textId="77777777" w:rsidR="00000000" w:rsidRDefault="00C1661D">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14:paraId="39873FF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AEE77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F375B0" w14:textId="77777777" w:rsidR="00000000" w:rsidRDefault="00C1661D">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bottom"/>
            <w:hideMark/>
          </w:tcPr>
          <w:p w14:paraId="5AF69B28" w14:textId="77777777" w:rsidR="00000000" w:rsidRDefault="00C1661D">
            <w:pPr>
              <w:spacing w:after="100"/>
              <w:jc w:val="right"/>
              <w:rPr>
                <w:rFonts w:eastAsia="Times New Roman"/>
              </w:rPr>
            </w:pPr>
          </w:p>
        </w:tc>
      </w:tr>
      <w:tr w:rsidR="00000000" w14:paraId="65F79F4B" w14:textId="77777777">
        <w:trPr>
          <w:divId w:val="2079328915"/>
        </w:trPr>
        <w:tc>
          <w:tcPr>
            <w:tcW w:w="0" w:type="auto"/>
            <w:gridSpan w:val="3"/>
            <w:shd w:val="clear" w:color="auto" w:fill="CCEEFF"/>
            <w:tcMar>
              <w:top w:w="30" w:type="dxa"/>
              <w:left w:w="20" w:type="dxa"/>
              <w:bottom w:w="30" w:type="dxa"/>
              <w:right w:w="20" w:type="dxa"/>
            </w:tcMar>
            <w:vAlign w:val="bottom"/>
            <w:hideMark/>
          </w:tcPr>
          <w:p w14:paraId="5ED89042" w14:textId="77777777" w:rsidR="00000000" w:rsidRDefault="00C1661D">
            <w:pPr>
              <w:spacing w:after="100"/>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14:paraId="352323EC"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25D673"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A0B8B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DB348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79DB2D" w14:textId="77777777" w:rsidR="00000000" w:rsidRDefault="00C1661D">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14:paraId="2FDA54E5" w14:textId="77777777" w:rsidR="00000000" w:rsidRDefault="00C1661D">
            <w:pPr>
              <w:spacing w:after="100"/>
              <w:jc w:val="right"/>
              <w:rPr>
                <w:rFonts w:eastAsia="Times New Roman"/>
              </w:rPr>
            </w:pPr>
          </w:p>
        </w:tc>
      </w:tr>
      <w:tr w:rsidR="00000000" w14:paraId="601216E9" w14:textId="77777777">
        <w:trPr>
          <w:divId w:val="2079328915"/>
        </w:trPr>
        <w:tc>
          <w:tcPr>
            <w:tcW w:w="0" w:type="auto"/>
            <w:gridSpan w:val="3"/>
            <w:shd w:val="clear" w:color="auto" w:fill="FFFFFF"/>
            <w:tcMar>
              <w:top w:w="30" w:type="dxa"/>
              <w:left w:w="20" w:type="dxa"/>
              <w:bottom w:w="30" w:type="dxa"/>
              <w:right w:w="20" w:type="dxa"/>
            </w:tcMar>
            <w:vAlign w:val="bottom"/>
            <w:hideMark/>
          </w:tcPr>
          <w:p w14:paraId="67A6F2BC" w14:textId="77777777" w:rsidR="00000000" w:rsidRDefault="00C1661D">
            <w:pPr>
              <w:spacing w:after="100"/>
              <w:rPr>
                <w:rFonts w:eastAsia="Times New Roman"/>
              </w:rPr>
            </w:pPr>
            <w:r>
              <w:rPr>
                <w:rFonts w:eastAsia="Times New Roman"/>
                <w:color w:val="000000"/>
                <w:sz w:val="20"/>
                <w:szCs w:val="20"/>
              </w:rPr>
              <w:t>Utilities</w:t>
            </w:r>
          </w:p>
        </w:tc>
        <w:tc>
          <w:tcPr>
            <w:tcW w:w="0" w:type="auto"/>
            <w:gridSpan w:val="3"/>
            <w:shd w:val="clear" w:color="auto" w:fill="FFFFFF"/>
            <w:tcMar>
              <w:top w:w="0" w:type="dxa"/>
              <w:left w:w="20" w:type="dxa"/>
              <w:bottom w:w="0" w:type="dxa"/>
              <w:right w:w="20" w:type="dxa"/>
            </w:tcMar>
            <w:vAlign w:val="center"/>
            <w:hideMark/>
          </w:tcPr>
          <w:p w14:paraId="0ABB051F"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C01C2D"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05C0B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BFFD0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5BFF97" w14:textId="77777777" w:rsidR="00000000" w:rsidRDefault="00C1661D">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14:paraId="5F692735" w14:textId="77777777" w:rsidR="00000000" w:rsidRDefault="00C1661D">
            <w:pPr>
              <w:spacing w:after="100"/>
              <w:jc w:val="right"/>
              <w:rPr>
                <w:rFonts w:eastAsia="Times New Roman"/>
              </w:rPr>
            </w:pPr>
          </w:p>
        </w:tc>
      </w:tr>
      <w:tr w:rsidR="00000000" w14:paraId="28B44B5F" w14:textId="77777777">
        <w:trPr>
          <w:divId w:val="2079328915"/>
        </w:trPr>
        <w:tc>
          <w:tcPr>
            <w:tcW w:w="0" w:type="auto"/>
            <w:gridSpan w:val="3"/>
            <w:shd w:val="clear" w:color="auto" w:fill="CCEEFF"/>
            <w:tcMar>
              <w:top w:w="30" w:type="dxa"/>
              <w:left w:w="20" w:type="dxa"/>
              <w:bottom w:w="30" w:type="dxa"/>
              <w:right w:w="20" w:type="dxa"/>
            </w:tcMar>
            <w:vAlign w:val="bottom"/>
            <w:hideMark/>
          </w:tcPr>
          <w:p w14:paraId="3105CFBF" w14:textId="77777777" w:rsidR="00000000" w:rsidRDefault="00C1661D">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46FFA9D4" w14:textId="77777777" w:rsidR="00000000" w:rsidRDefault="00C1661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2302E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F325BEA" w14:textId="77777777" w:rsidR="00000000" w:rsidRDefault="00C1661D">
            <w:pPr>
              <w:spacing w:after="100"/>
              <w:jc w:val="right"/>
              <w:rPr>
                <w:rFonts w:eastAsia="Times New Roman"/>
              </w:rPr>
            </w:pPr>
            <w:r>
              <w:rPr>
                <w:rFonts w:eastAsia="Times New Roman"/>
                <w:color w:val="000000"/>
                <w:sz w:val="20"/>
                <w:szCs w:val="20"/>
              </w:rPr>
              <w:t>343 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FCE23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80543E"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2CA1B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643F4F8" w14:textId="77777777" w:rsidR="00000000" w:rsidRDefault="00C1661D">
            <w:pPr>
              <w:spacing w:after="100"/>
              <w:jc w:val="right"/>
              <w:rPr>
                <w:rFonts w:eastAsia="Times New Roman"/>
              </w:rPr>
            </w:pPr>
            <w:r>
              <w:rPr>
                <w:rFonts w:eastAsia="Times New Roman"/>
                <w:color w:val="000000"/>
                <w:sz w:val="20"/>
                <w:szCs w:val="20"/>
              </w:rPr>
              <w:t>407 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81996A1" w14:textId="77777777" w:rsidR="00000000" w:rsidRDefault="00C1661D">
            <w:pPr>
              <w:spacing w:after="100"/>
              <w:jc w:val="right"/>
              <w:rPr>
                <w:rFonts w:eastAsia="Times New Roman"/>
              </w:rPr>
            </w:pPr>
          </w:p>
        </w:tc>
      </w:tr>
    </w:tbl>
    <w:p w14:paraId="27BC4DC9" w14:textId="77777777" w:rsidR="00000000" w:rsidRDefault="00C1661D">
      <w:pPr>
        <w:divId w:val="822083859"/>
        <w:rPr>
          <w:rFonts w:eastAsia="Times New Roman"/>
        </w:rPr>
      </w:pPr>
    </w:p>
    <w:p w14:paraId="7E00DC6D" w14:textId="77777777" w:rsidR="00000000" w:rsidRDefault="00C1661D">
      <w:pPr>
        <w:ind w:hanging="360"/>
        <w:jc w:val="both"/>
        <w:rPr>
          <w:rFonts w:eastAsia="Times New Roman"/>
        </w:rPr>
      </w:pPr>
      <w:r>
        <w:rPr>
          <w:rFonts w:eastAsia="Times New Roman"/>
          <w:b/>
          <w:bCs/>
          <w:color w:val="000000"/>
          <w:sz w:val="20"/>
          <w:szCs w:val="20"/>
        </w:rPr>
        <w:t>C</w:t>
      </w:r>
      <w:r>
        <w:rPr>
          <w:rFonts w:eastAsia="Times New Roman"/>
          <w:b/>
          <w:bCs/>
          <w:color w:val="000000"/>
          <w:sz w:val="20"/>
          <w:szCs w:val="20"/>
        </w:rPr>
        <w:t>ommon and Preferred Stock</w:t>
      </w:r>
    </w:p>
    <w:p w14:paraId="02153B96" w14:textId="77777777" w:rsidR="00000000" w:rsidRDefault="00C1661D">
      <w:pPr>
        <w:ind w:hanging="360"/>
        <w:jc w:val="both"/>
        <w:rPr>
          <w:rFonts w:eastAsia="Times New Roman"/>
        </w:rPr>
      </w:pPr>
    </w:p>
    <w:p w14:paraId="039B91E2" w14:textId="77777777" w:rsidR="00000000" w:rsidRDefault="00C1661D">
      <w:pPr>
        <w:jc w:val="both"/>
        <w:rPr>
          <w:rFonts w:eastAsia="Times New Roman"/>
        </w:rPr>
      </w:pPr>
      <w:r>
        <w:rPr>
          <w:rFonts w:eastAsia="Times New Roman"/>
          <w:b/>
          <w:bCs/>
          <w:i/>
          <w:iCs/>
          <w:color w:val="000000"/>
          <w:sz w:val="20"/>
          <w:szCs w:val="20"/>
        </w:rPr>
        <w:t xml:space="preserve">Issuance of Equity Units </w:t>
      </w:r>
    </w:p>
    <w:p w14:paraId="02383AEA" w14:textId="77777777" w:rsidR="00000000" w:rsidRDefault="00C1661D">
      <w:pPr>
        <w:jc w:val="both"/>
        <w:rPr>
          <w:rFonts w:eastAsia="Times New Roman"/>
        </w:rPr>
      </w:pPr>
    </w:p>
    <w:p w14:paraId="4238C2C5" w14:textId="77777777" w:rsidR="00000000" w:rsidRDefault="00C1661D">
      <w:pPr>
        <w:jc w:val="both"/>
        <w:rPr>
          <w:rFonts w:eastAsia="Times New Roman"/>
        </w:rPr>
      </w:pPr>
      <w:r>
        <w:rPr>
          <w:rFonts w:eastAsia="Times New Roman"/>
          <w:color w:val="000000"/>
          <w:sz w:val="20"/>
          <w:szCs w:val="20"/>
        </w:rPr>
        <w:t>On May 25, 2021, the Company issued 2.2 million Equity Units with a total notional value of $220 million. Each Equity Unit has a stated amount of $100 and consists of (1) a 10% undivided beneficial ownership interest in one share of Convertible Preferred S</w:t>
      </w:r>
      <w:r>
        <w:rPr>
          <w:rFonts w:eastAsia="Times New Roman"/>
          <w:color w:val="000000"/>
          <w:sz w:val="20"/>
          <w:szCs w:val="20"/>
        </w:rPr>
        <w:t>tock with a liquidation preference of $1,000 per share and (2) a 2024 Purchase Contract. The Company received approximately $213 million in proceeds from the issuance of the Equity Units, net of offering expenses and underwriting costs and commissions, and</w:t>
      </w:r>
      <w:r>
        <w:rPr>
          <w:rFonts w:eastAsia="Times New Roman"/>
          <w:color w:val="000000"/>
          <w:sz w:val="20"/>
          <w:szCs w:val="20"/>
        </w:rPr>
        <w:t xml:space="preserve"> issued 220,000 shares of Convertible Preferred Stock, recording $213 million in “Preferred stock” on the accompanying Consolidated Balance Sheet. The proceeds were used to pay a portion of the purchase price for the Mountaineer Acquisition and related fee</w:t>
      </w:r>
      <w:r>
        <w:rPr>
          <w:rFonts w:eastAsia="Times New Roman"/>
          <w:color w:val="000000"/>
          <w:sz w:val="20"/>
          <w:szCs w:val="20"/>
        </w:rPr>
        <w:t xml:space="preserve">s and expenses, and for general corporate purposes. For additional information on the Mountaineer Acquisition and the issuance of Equity Units, see Notes 5 and 13 to the Consolidated Financial Statements. </w:t>
      </w:r>
    </w:p>
    <w:p w14:paraId="1694CAC1" w14:textId="77777777" w:rsidR="00000000" w:rsidRDefault="00C1661D">
      <w:pPr>
        <w:jc w:val="both"/>
        <w:divId w:val="1000158814"/>
        <w:rPr>
          <w:rFonts w:eastAsia="Times New Roman"/>
        </w:rPr>
      </w:pPr>
      <w:r>
        <w:rPr>
          <w:rFonts w:eastAsia="Times New Roman"/>
          <w:b/>
          <w:bCs/>
          <w:i/>
          <w:iCs/>
          <w:color w:val="000000"/>
          <w:sz w:val="20"/>
          <w:szCs w:val="20"/>
        </w:rPr>
        <w:t>Dividends</w:t>
      </w:r>
    </w:p>
    <w:p w14:paraId="653300C3" w14:textId="77777777" w:rsidR="00000000" w:rsidRDefault="00C1661D">
      <w:pPr>
        <w:jc w:val="both"/>
        <w:divId w:val="1520464412"/>
        <w:rPr>
          <w:rFonts w:eastAsia="Times New Roman"/>
        </w:rPr>
      </w:pPr>
      <w:r>
        <w:rPr>
          <w:rFonts w:eastAsia="Times New Roman"/>
          <w:color w:val="000000"/>
          <w:sz w:val="20"/>
          <w:szCs w:val="20"/>
        </w:rPr>
        <w:t>Quarterly dividends per share of UGI Com</w:t>
      </w:r>
      <w:r>
        <w:rPr>
          <w:rFonts w:eastAsia="Times New Roman"/>
          <w:color w:val="000000"/>
          <w:sz w:val="20"/>
          <w:szCs w:val="20"/>
        </w:rPr>
        <w:t>mon Stock paid during Fiscal 2022 and Fiscal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549"/>
        <w:gridCol w:w="36"/>
        <w:gridCol w:w="36"/>
        <w:gridCol w:w="36"/>
        <w:gridCol w:w="36"/>
        <w:gridCol w:w="120"/>
        <w:gridCol w:w="1078"/>
        <w:gridCol w:w="36"/>
        <w:gridCol w:w="36"/>
        <w:gridCol w:w="36"/>
        <w:gridCol w:w="36"/>
        <w:gridCol w:w="120"/>
        <w:gridCol w:w="1078"/>
        <w:gridCol w:w="36"/>
      </w:tblGrid>
      <w:tr w:rsidR="00000000" w14:paraId="3CCF9C66" w14:textId="77777777">
        <w:trPr>
          <w:divId w:val="1804034768"/>
        </w:trPr>
        <w:tc>
          <w:tcPr>
            <w:tcW w:w="50" w:type="pct"/>
            <w:vAlign w:val="center"/>
            <w:hideMark/>
          </w:tcPr>
          <w:p w14:paraId="70B130F2" w14:textId="77777777" w:rsidR="00000000" w:rsidRDefault="00C1661D">
            <w:pPr>
              <w:jc w:val="both"/>
              <w:rPr>
                <w:rFonts w:eastAsia="Times New Roman"/>
              </w:rPr>
            </w:pPr>
          </w:p>
        </w:tc>
        <w:tc>
          <w:tcPr>
            <w:tcW w:w="3395" w:type="pct"/>
            <w:vAlign w:val="center"/>
            <w:hideMark/>
          </w:tcPr>
          <w:p w14:paraId="58AFBAA2" w14:textId="77777777" w:rsidR="00000000" w:rsidRDefault="00C1661D">
            <w:pPr>
              <w:spacing w:after="100"/>
              <w:rPr>
                <w:rFonts w:eastAsia="Times New Roman"/>
                <w:sz w:val="20"/>
                <w:szCs w:val="20"/>
              </w:rPr>
            </w:pPr>
          </w:p>
        </w:tc>
        <w:tc>
          <w:tcPr>
            <w:tcW w:w="5" w:type="pct"/>
            <w:vAlign w:val="center"/>
            <w:hideMark/>
          </w:tcPr>
          <w:p w14:paraId="6897C977" w14:textId="77777777" w:rsidR="00000000" w:rsidRDefault="00C1661D">
            <w:pPr>
              <w:spacing w:after="100"/>
              <w:rPr>
                <w:rFonts w:eastAsia="Times New Roman"/>
                <w:sz w:val="20"/>
                <w:szCs w:val="20"/>
              </w:rPr>
            </w:pPr>
          </w:p>
        </w:tc>
        <w:tc>
          <w:tcPr>
            <w:tcW w:w="5" w:type="pct"/>
            <w:vAlign w:val="center"/>
            <w:hideMark/>
          </w:tcPr>
          <w:p w14:paraId="2218DAA9" w14:textId="77777777" w:rsidR="00000000" w:rsidRDefault="00C1661D">
            <w:pPr>
              <w:spacing w:after="100"/>
              <w:rPr>
                <w:rFonts w:eastAsia="Times New Roman"/>
                <w:sz w:val="20"/>
                <w:szCs w:val="20"/>
              </w:rPr>
            </w:pPr>
          </w:p>
        </w:tc>
        <w:tc>
          <w:tcPr>
            <w:tcW w:w="19" w:type="pct"/>
            <w:vAlign w:val="center"/>
            <w:hideMark/>
          </w:tcPr>
          <w:p w14:paraId="2E89459C" w14:textId="77777777" w:rsidR="00000000" w:rsidRDefault="00C1661D">
            <w:pPr>
              <w:spacing w:after="100"/>
              <w:rPr>
                <w:rFonts w:eastAsia="Times New Roman"/>
                <w:sz w:val="20"/>
                <w:szCs w:val="20"/>
              </w:rPr>
            </w:pPr>
          </w:p>
        </w:tc>
        <w:tc>
          <w:tcPr>
            <w:tcW w:w="5" w:type="pct"/>
            <w:vAlign w:val="center"/>
            <w:hideMark/>
          </w:tcPr>
          <w:p w14:paraId="63403EB2" w14:textId="77777777" w:rsidR="00000000" w:rsidRDefault="00C1661D">
            <w:pPr>
              <w:spacing w:after="100"/>
              <w:rPr>
                <w:rFonts w:eastAsia="Times New Roman"/>
                <w:sz w:val="20"/>
                <w:szCs w:val="20"/>
              </w:rPr>
            </w:pPr>
          </w:p>
        </w:tc>
        <w:tc>
          <w:tcPr>
            <w:tcW w:w="50" w:type="pct"/>
            <w:vAlign w:val="center"/>
            <w:hideMark/>
          </w:tcPr>
          <w:p w14:paraId="32B22861" w14:textId="77777777" w:rsidR="00000000" w:rsidRDefault="00C1661D">
            <w:pPr>
              <w:spacing w:after="100"/>
              <w:rPr>
                <w:rFonts w:eastAsia="Times New Roman"/>
                <w:sz w:val="20"/>
                <w:szCs w:val="20"/>
              </w:rPr>
            </w:pPr>
          </w:p>
        </w:tc>
        <w:tc>
          <w:tcPr>
            <w:tcW w:w="690" w:type="pct"/>
            <w:vAlign w:val="center"/>
            <w:hideMark/>
          </w:tcPr>
          <w:p w14:paraId="77C3D26C" w14:textId="77777777" w:rsidR="00000000" w:rsidRDefault="00C1661D">
            <w:pPr>
              <w:spacing w:after="100"/>
              <w:rPr>
                <w:rFonts w:eastAsia="Times New Roman"/>
                <w:sz w:val="20"/>
                <w:szCs w:val="20"/>
              </w:rPr>
            </w:pPr>
          </w:p>
        </w:tc>
        <w:tc>
          <w:tcPr>
            <w:tcW w:w="5" w:type="pct"/>
            <w:vAlign w:val="center"/>
            <w:hideMark/>
          </w:tcPr>
          <w:p w14:paraId="2E6C7A7D" w14:textId="77777777" w:rsidR="00000000" w:rsidRDefault="00C1661D">
            <w:pPr>
              <w:spacing w:after="100"/>
              <w:rPr>
                <w:rFonts w:eastAsia="Times New Roman"/>
                <w:sz w:val="20"/>
                <w:szCs w:val="20"/>
              </w:rPr>
            </w:pPr>
          </w:p>
        </w:tc>
        <w:tc>
          <w:tcPr>
            <w:tcW w:w="5" w:type="pct"/>
            <w:vAlign w:val="center"/>
            <w:hideMark/>
          </w:tcPr>
          <w:p w14:paraId="12A3CDA0" w14:textId="77777777" w:rsidR="00000000" w:rsidRDefault="00C1661D">
            <w:pPr>
              <w:spacing w:after="100"/>
              <w:rPr>
                <w:rFonts w:eastAsia="Times New Roman"/>
                <w:sz w:val="20"/>
                <w:szCs w:val="20"/>
              </w:rPr>
            </w:pPr>
          </w:p>
        </w:tc>
        <w:tc>
          <w:tcPr>
            <w:tcW w:w="19" w:type="pct"/>
            <w:vAlign w:val="center"/>
            <w:hideMark/>
          </w:tcPr>
          <w:p w14:paraId="31144027" w14:textId="77777777" w:rsidR="00000000" w:rsidRDefault="00C1661D">
            <w:pPr>
              <w:spacing w:after="100"/>
              <w:rPr>
                <w:rFonts w:eastAsia="Times New Roman"/>
                <w:sz w:val="20"/>
                <w:szCs w:val="20"/>
              </w:rPr>
            </w:pPr>
          </w:p>
        </w:tc>
        <w:tc>
          <w:tcPr>
            <w:tcW w:w="5" w:type="pct"/>
            <w:vAlign w:val="center"/>
            <w:hideMark/>
          </w:tcPr>
          <w:p w14:paraId="70EDE784" w14:textId="77777777" w:rsidR="00000000" w:rsidRDefault="00C1661D">
            <w:pPr>
              <w:spacing w:after="100"/>
              <w:rPr>
                <w:rFonts w:eastAsia="Times New Roman"/>
                <w:sz w:val="20"/>
                <w:szCs w:val="20"/>
              </w:rPr>
            </w:pPr>
          </w:p>
        </w:tc>
        <w:tc>
          <w:tcPr>
            <w:tcW w:w="50" w:type="pct"/>
            <w:vAlign w:val="center"/>
            <w:hideMark/>
          </w:tcPr>
          <w:p w14:paraId="71D79A80" w14:textId="77777777" w:rsidR="00000000" w:rsidRDefault="00C1661D">
            <w:pPr>
              <w:spacing w:after="100"/>
              <w:rPr>
                <w:rFonts w:eastAsia="Times New Roman"/>
                <w:sz w:val="20"/>
                <w:szCs w:val="20"/>
              </w:rPr>
            </w:pPr>
          </w:p>
        </w:tc>
        <w:tc>
          <w:tcPr>
            <w:tcW w:w="690" w:type="pct"/>
            <w:vAlign w:val="center"/>
            <w:hideMark/>
          </w:tcPr>
          <w:p w14:paraId="774F21E6" w14:textId="77777777" w:rsidR="00000000" w:rsidRDefault="00C1661D">
            <w:pPr>
              <w:spacing w:after="100"/>
              <w:rPr>
                <w:rFonts w:eastAsia="Times New Roman"/>
                <w:sz w:val="20"/>
                <w:szCs w:val="20"/>
              </w:rPr>
            </w:pPr>
          </w:p>
        </w:tc>
        <w:tc>
          <w:tcPr>
            <w:tcW w:w="5" w:type="pct"/>
            <w:vAlign w:val="center"/>
            <w:hideMark/>
          </w:tcPr>
          <w:p w14:paraId="31D46912" w14:textId="77777777" w:rsidR="00000000" w:rsidRDefault="00C1661D">
            <w:pPr>
              <w:spacing w:after="100"/>
              <w:rPr>
                <w:rFonts w:eastAsia="Times New Roman"/>
                <w:sz w:val="20"/>
                <w:szCs w:val="20"/>
              </w:rPr>
            </w:pPr>
          </w:p>
        </w:tc>
      </w:tr>
      <w:tr w:rsidR="00000000" w14:paraId="30EFDF58" w14:textId="77777777">
        <w:trPr>
          <w:divId w:val="1804034768"/>
        </w:trPr>
        <w:tc>
          <w:tcPr>
            <w:tcW w:w="0" w:type="auto"/>
            <w:gridSpan w:val="3"/>
            <w:tcMar>
              <w:top w:w="0" w:type="dxa"/>
              <w:left w:w="20" w:type="dxa"/>
              <w:bottom w:w="0" w:type="dxa"/>
              <w:right w:w="20" w:type="dxa"/>
            </w:tcMar>
            <w:vAlign w:val="center"/>
            <w:hideMark/>
          </w:tcPr>
          <w:p w14:paraId="03AFCC20"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369DA7"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C4AC1B8" w14:textId="77777777" w:rsidR="00000000" w:rsidRDefault="00C1661D">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14:paraId="0AF69693"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0FB3A14" w14:textId="77777777" w:rsidR="00000000" w:rsidRDefault="00C1661D">
            <w:pPr>
              <w:spacing w:after="100"/>
              <w:jc w:val="center"/>
              <w:rPr>
                <w:rFonts w:eastAsia="Times New Roman"/>
              </w:rPr>
            </w:pPr>
            <w:r>
              <w:rPr>
                <w:rFonts w:eastAsia="Times New Roman"/>
                <w:b/>
                <w:bCs/>
                <w:color w:val="000000"/>
                <w:sz w:val="20"/>
                <w:szCs w:val="20"/>
              </w:rPr>
              <w:t>2021</w:t>
            </w:r>
          </w:p>
        </w:tc>
      </w:tr>
      <w:tr w:rsidR="00000000" w14:paraId="05BFC3F3" w14:textId="77777777">
        <w:trPr>
          <w:divId w:val="180403476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D57F0C8" w14:textId="77777777" w:rsidR="00000000" w:rsidRDefault="00C1661D">
            <w:pPr>
              <w:spacing w:after="100"/>
              <w:divId w:val="939263552"/>
              <w:rPr>
                <w:rFonts w:eastAsia="Times New Roman"/>
              </w:rPr>
            </w:pPr>
            <w:r>
              <w:rPr>
                <w:rFonts w:eastAsia="Times New Roman"/>
                <w:color w:val="000000"/>
                <w:sz w:val="20"/>
                <w:szCs w:val="20"/>
              </w:rPr>
              <w:t>1</w:t>
            </w:r>
            <w:r>
              <w:rPr>
                <w:rFonts w:eastAsia="Times New Roman"/>
                <w:color w:val="000000"/>
                <w:sz w:val="13"/>
                <w:szCs w:val="13"/>
              </w:rPr>
              <w:t>s</w:t>
            </w:r>
            <w:r>
              <w:rPr>
                <w:rFonts w:eastAsia="Times New Roman"/>
                <w:color w:val="000000"/>
                <w:sz w:val="13"/>
                <w:szCs w:val="13"/>
              </w:rPr>
              <w:t>t</w:t>
            </w:r>
            <w:r>
              <w:rPr>
                <w:rFonts w:eastAsia="Times New Roman"/>
                <w:color w:val="000000"/>
                <w:sz w:val="20"/>
                <w:szCs w:val="20"/>
              </w:rPr>
              <w:t xml:space="preserve"> Quarter</w:t>
            </w:r>
          </w:p>
        </w:tc>
        <w:tc>
          <w:tcPr>
            <w:tcW w:w="0" w:type="auto"/>
            <w:gridSpan w:val="3"/>
            <w:shd w:val="clear" w:color="auto" w:fill="CCEEFF"/>
            <w:tcMar>
              <w:top w:w="0" w:type="dxa"/>
              <w:left w:w="20" w:type="dxa"/>
              <w:bottom w:w="0" w:type="dxa"/>
              <w:right w:w="20" w:type="dxa"/>
            </w:tcMar>
            <w:vAlign w:val="center"/>
            <w:hideMark/>
          </w:tcPr>
          <w:p w14:paraId="31BD233D" w14:textId="77777777" w:rsidR="00000000" w:rsidRDefault="00C166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FDBB4B"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0707D0" w14:textId="77777777" w:rsidR="00000000" w:rsidRDefault="00C1661D">
            <w:pPr>
              <w:spacing w:after="100"/>
              <w:jc w:val="right"/>
              <w:rPr>
                <w:rFonts w:eastAsia="Times New Roman"/>
              </w:rPr>
            </w:pPr>
            <w:r>
              <w:rPr>
                <w:rFonts w:eastAsia="Times New Roman"/>
                <w:color w:val="000000"/>
                <w:sz w:val="20"/>
                <w:szCs w:val="20"/>
              </w:rPr>
              <w:t>0.345 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C368B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9415A3"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0EBEB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B67A26" w14:textId="77777777" w:rsidR="00000000" w:rsidRDefault="00C1661D">
            <w:pPr>
              <w:spacing w:after="100"/>
              <w:jc w:val="right"/>
              <w:rPr>
                <w:rFonts w:eastAsia="Times New Roman"/>
              </w:rPr>
            </w:pPr>
            <w:r>
              <w:rPr>
                <w:rFonts w:eastAsia="Times New Roman"/>
                <w:color w:val="000000"/>
                <w:sz w:val="20"/>
                <w:szCs w:val="20"/>
              </w:rPr>
              <w:t>0.330 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78C237" w14:textId="77777777" w:rsidR="00000000" w:rsidRDefault="00C1661D">
            <w:pPr>
              <w:spacing w:after="100"/>
              <w:jc w:val="right"/>
              <w:rPr>
                <w:rFonts w:eastAsia="Times New Roman"/>
              </w:rPr>
            </w:pPr>
          </w:p>
        </w:tc>
      </w:tr>
      <w:tr w:rsidR="00000000" w14:paraId="21570D16" w14:textId="77777777">
        <w:trPr>
          <w:divId w:val="1804034768"/>
        </w:trPr>
        <w:tc>
          <w:tcPr>
            <w:tcW w:w="0" w:type="auto"/>
            <w:gridSpan w:val="3"/>
            <w:shd w:val="clear" w:color="auto" w:fill="FFFFFF"/>
            <w:tcMar>
              <w:top w:w="30" w:type="dxa"/>
              <w:left w:w="20" w:type="dxa"/>
              <w:bottom w:w="30" w:type="dxa"/>
              <w:right w:w="20" w:type="dxa"/>
            </w:tcMar>
            <w:vAlign w:val="bottom"/>
            <w:hideMark/>
          </w:tcPr>
          <w:p w14:paraId="28CD0072" w14:textId="77777777" w:rsidR="00000000" w:rsidRDefault="00C1661D">
            <w:pPr>
              <w:spacing w:after="100"/>
              <w:divId w:val="1397121011"/>
              <w:rPr>
                <w:rFonts w:eastAsia="Times New Roman"/>
              </w:rPr>
            </w:pPr>
            <w:r>
              <w:rPr>
                <w:rFonts w:eastAsia="Times New Roman"/>
                <w:color w:val="000000"/>
                <w:sz w:val="20"/>
                <w:szCs w:val="20"/>
              </w:rPr>
              <w:t>2</w:t>
            </w:r>
            <w:r>
              <w:rPr>
                <w:rFonts w:eastAsia="Times New Roman"/>
                <w:color w:val="000000"/>
                <w:sz w:val="13"/>
                <w:szCs w:val="13"/>
              </w:rPr>
              <w:t>n</w:t>
            </w:r>
            <w:r>
              <w:rPr>
                <w:rFonts w:eastAsia="Times New Roman"/>
                <w:color w:val="000000"/>
                <w:sz w:val="13"/>
                <w:szCs w:val="13"/>
              </w:rPr>
              <w:t>d</w:t>
            </w:r>
            <w:r>
              <w:rPr>
                <w:rFonts w:eastAsia="Times New Roman"/>
                <w:color w:val="000000"/>
                <w:sz w:val="20"/>
                <w:szCs w:val="20"/>
              </w:rPr>
              <w:t xml:space="preserve"> Quarter</w:t>
            </w:r>
          </w:p>
        </w:tc>
        <w:tc>
          <w:tcPr>
            <w:tcW w:w="0" w:type="auto"/>
            <w:gridSpan w:val="3"/>
            <w:shd w:val="clear" w:color="auto" w:fill="FFFFFF"/>
            <w:tcMar>
              <w:top w:w="0" w:type="dxa"/>
              <w:left w:w="20" w:type="dxa"/>
              <w:bottom w:w="0" w:type="dxa"/>
              <w:right w:w="20" w:type="dxa"/>
            </w:tcMar>
            <w:vAlign w:val="center"/>
            <w:hideMark/>
          </w:tcPr>
          <w:p w14:paraId="5B96CD9C"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35ABC5A" w14:textId="77777777" w:rsidR="00000000" w:rsidRDefault="00C1661D">
            <w:pPr>
              <w:spacing w:after="100"/>
              <w:jc w:val="right"/>
              <w:rPr>
                <w:rFonts w:eastAsia="Times New Roman"/>
              </w:rPr>
            </w:pPr>
            <w:r>
              <w:rPr>
                <w:rFonts w:eastAsia="Times New Roman"/>
                <w:color w:val="000000"/>
                <w:sz w:val="20"/>
                <w:szCs w:val="20"/>
              </w:rPr>
              <w:t>0.345</w:t>
            </w:r>
          </w:p>
        </w:tc>
        <w:tc>
          <w:tcPr>
            <w:tcW w:w="0" w:type="auto"/>
            <w:gridSpan w:val="3"/>
            <w:shd w:val="clear" w:color="auto" w:fill="FFFFFF"/>
            <w:tcMar>
              <w:top w:w="0" w:type="dxa"/>
              <w:left w:w="20" w:type="dxa"/>
              <w:bottom w:w="0" w:type="dxa"/>
              <w:right w:w="20" w:type="dxa"/>
            </w:tcMar>
            <w:vAlign w:val="center"/>
            <w:hideMark/>
          </w:tcPr>
          <w:p w14:paraId="0AF8AB01"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0C504D5" w14:textId="77777777" w:rsidR="00000000" w:rsidRDefault="00C1661D">
            <w:pPr>
              <w:spacing w:after="100"/>
              <w:jc w:val="right"/>
              <w:rPr>
                <w:rFonts w:eastAsia="Times New Roman"/>
              </w:rPr>
            </w:pPr>
            <w:r>
              <w:rPr>
                <w:rFonts w:eastAsia="Times New Roman"/>
                <w:color w:val="000000"/>
                <w:sz w:val="20"/>
                <w:szCs w:val="20"/>
              </w:rPr>
              <w:t>0.330</w:t>
            </w:r>
          </w:p>
        </w:tc>
      </w:tr>
      <w:tr w:rsidR="00000000" w14:paraId="1609C5B8" w14:textId="77777777">
        <w:trPr>
          <w:divId w:val="1804034768"/>
        </w:trPr>
        <w:tc>
          <w:tcPr>
            <w:tcW w:w="0" w:type="auto"/>
            <w:gridSpan w:val="3"/>
            <w:shd w:val="clear" w:color="auto" w:fill="CCEEFF"/>
            <w:tcMar>
              <w:top w:w="30" w:type="dxa"/>
              <w:left w:w="20" w:type="dxa"/>
              <w:bottom w:w="30" w:type="dxa"/>
              <w:right w:w="20" w:type="dxa"/>
            </w:tcMar>
            <w:vAlign w:val="bottom"/>
            <w:hideMark/>
          </w:tcPr>
          <w:p w14:paraId="239DD731" w14:textId="77777777" w:rsidR="00000000" w:rsidRDefault="00C1661D">
            <w:pPr>
              <w:spacing w:after="100"/>
              <w:divId w:val="443113293"/>
              <w:rPr>
                <w:rFonts w:eastAsia="Times New Roman"/>
              </w:rPr>
            </w:pPr>
            <w:r>
              <w:rPr>
                <w:rFonts w:eastAsia="Times New Roman"/>
                <w:color w:val="000000"/>
                <w:sz w:val="20"/>
                <w:szCs w:val="20"/>
              </w:rPr>
              <w:t>3</w:t>
            </w:r>
            <w:r>
              <w:rPr>
                <w:rFonts w:eastAsia="Times New Roman"/>
                <w:color w:val="000000"/>
                <w:sz w:val="13"/>
                <w:szCs w:val="13"/>
              </w:rPr>
              <w:t>r</w:t>
            </w:r>
            <w:r>
              <w:rPr>
                <w:rFonts w:eastAsia="Times New Roman"/>
                <w:color w:val="000000"/>
                <w:sz w:val="13"/>
                <w:szCs w:val="13"/>
              </w:rPr>
              <w:t>d</w:t>
            </w:r>
            <w:r>
              <w:rPr>
                <w:rFonts w:eastAsia="Times New Roman"/>
                <w:color w:val="000000"/>
                <w:sz w:val="20"/>
                <w:szCs w:val="20"/>
              </w:rPr>
              <w:t xml:space="preserve"> Quarter</w:t>
            </w:r>
          </w:p>
        </w:tc>
        <w:tc>
          <w:tcPr>
            <w:tcW w:w="0" w:type="auto"/>
            <w:gridSpan w:val="3"/>
            <w:shd w:val="clear" w:color="auto" w:fill="CCEEFF"/>
            <w:tcMar>
              <w:top w:w="0" w:type="dxa"/>
              <w:left w:w="20" w:type="dxa"/>
              <w:bottom w:w="0" w:type="dxa"/>
              <w:right w:w="20" w:type="dxa"/>
            </w:tcMar>
            <w:vAlign w:val="center"/>
            <w:hideMark/>
          </w:tcPr>
          <w:p w14:paraId="79553BBE"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5E1CE69" w14:textId="77777777" w:rsidR="00000000" w:rsidRDefault="00C1661D">
            <w:pPr>
              <w:spacing w:after="100"/>
              <w:jc w:val="right"/>
              <w:rPr>
                <w:rFonts w:eastAsia="Times New Roman"/>
              </w:rPr>
            </w:pPr>
            <w:r>
              <w:rPr>
                <w:rFonts w:eastAsia="Times New Roman"/>
                <w:color w:val="000000"/>
                <w:sz w:val="20"/>
                <w:szCs w:val="20"/>
              </w:rPr>
              <w:t>0.360</w:t>
            </w:r>
          </w:p>
        </w:tc>
        <w:tc>
          <w:tcPr>
            <w:tcW w:w="0" w:type="auto"/>
            <w:gridSpan w:val="3"/>
            <w:shd w:val="clear" w:color="auto" w:fill="CCEEFF"/>
            <w:tcMar>
              <w:top w:w="0" w:type="dxa"/>
              <w:left w:w="20" w:type="dxa"/>
              <w:bottom w:w="0" w:type="dxa"/>
              <w:right w:w="20" w:type="dxa"/>
            </w:tcMar>
            <w:vAlign w:val="center"/>
            <w:hideMark/>
          </w:tcPr>
          <w:p w14:paraId="52B88768"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C2F84E4" w14:textId="77777777" w:rsidR="00000000" w:rsidRDefault="00C1661D">
            <w:pPr>
              <w:spacing w:after="100"/>
              <w:jc w:val="right"/>
              <w:rPr>
                <w:rFonts w:eastAsia="Times New Roman"/>
              </w:rPr>
            </w:pPr>
            <w:r>
              <w:rPr>
                <w:rFonts w:eastAsia="Times New Roman"/>
                <w:color w:val="000000"/>
                <w:sz w:val="20"/>
                <w:szCs w:val="20"/>
              </w:rPr>
              <w:t>0.345</w:t>
            </w:r>
          </w:p>
        </w:tc>
      </w:tr>
      <w:tr w:rsidR="00000000" w14:paraId="728FD810" w14:textId="77777777">
        <w:trPr>
          <w:divId w:val="1804034768"/>
        </w:trPr>
        <w:tc>
          <w:tcPr>
            <w:tcW w:w="0" w:type="auto"/>
            <w:gridSpan w:val="3"/>
            <w:shd w:val="clear" w:color="auto" w:fill="FFFFFF"/>
            <w:tcMar>
              <w:top w:w="30" w:type="dxa"/>
              <w:left w:w="20" w:type="dxa"/>
              <w:bottom w:w="30" w:type="dxa"/>
              <w:right w:w="20" w:type="dxa"/>
            </w:tcMar>
            <w:vAlign w:val="bottom"/>
            <w:hideMark/>
          </w:tcPr>
          <w:p w14:paraId="0FF2E1BD" w14:textId="77777777" w:rsidR="00000000" w:rsidRDefault="00C1661D">
            <w:pPr>
              <w:spacing w:after="100"/>
              <w:divId w:val="582028399"/>
              <w:rPr>
                <w:rFonts w:eastAsia="Times New Roman"/>
              </w:rPr>
            </w:pPr>
            <w:r>
              <w:rPr>
                <w:rFonts w:eastAsia="Times New Roman"/>
                <w:color w:val="000000"/>
                <w:sz w:val="20"/>
                <w:szCs w:val="20"/>
              </w:rPr>
              <w:t>4</w:t>
            </w:r>
            <w:r>
              <w:rPr>
                <w:rFonts w:eastAsia="Times New Roman"/>
                <w:color w:val="000000"/>
                <w:sz w:val="13"/>
                <w:szCs w:val="13"/>
              </w:rPr>
              <w:t>t</w:t>
            </w:r>
            <w:r>
              <w:rPr>
                <w:rFonts w:eastAsia="Times New Roman"/>
                <w:color w:val="000000"/>
                <w:sz w:val="13"/>
                <w:szCs w:val="13"/>
              </w:rPr>
              <w:t>h</w:t>
            </w:r>
            <w:r>
              <w:rPr>
                <w:rFonts w:eastAsia="Times New Roman"/>
                <w:color w:val="000000"/>
                <w:sz w:val="20"/>
                <w:szCs w:val="20"/>
              </w:rPr>
              <w:t xml:space="preserve"> Quarter</w:t>
            </w:r>
          </w:p>
        </w:tc>
        <w:tc>
          <w:tcPr>
            <w:tcW w:w="0" w:type="auto"/>
            <w:gridSpan w:val="3"/>
            <w:shd w:val="clear" w:color="auto" w:fill="FFFFFF"/>
            <w:tcMar>
              <w:top w:w="0" w:type="dxa"/>
              <w:left w:w="20" w:type="dxa"/>
              <w:bottom w:w="0" w:type="dxa"/>
              <w:right w:w="20" w:type="dxa"/>
            </w:tcMar>
            <w:vAlign w:val="center"/>
            <w:hideMark/>
          </w:tcPr>
          <w:p w14:paraId="73CAC47B"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4E0A50F" w14:textId="77777777" w:rsidR="00000000" w:rsidRDefault="00C1661D">
            <w:pPr>
              <w:spacing w:after="100"/>
              <w:jc w:val="right"/>
              <w:rPr>
                <w:rFonts w:eastAsia="Times New Roman"/>
              </w:rPr>
            </w:pPr>
            <w:r>
              <w:rPr>
                <w:rFonts w:eastAsia="Times New Roman"/>
                <w:color w:val="000000"/>
                <w:sz w:val="20"/>
                <w:szCs w:val="20"/>
              </w:rPr>
              <w:t>0.360</w:t>
            </w:r>
          </w:p>
        </w:tc>
        <w:tc>
          <w:tcPr>
            <w:tcW w:w="0" w:type="auto"/>
            <w:gridSpan w:val="3"/>
            <w:shd w:val="clear" w:color="auto" w:fill="FFFFFF"/>
            <w:tcMar>
              <w:top w:w="0" w:type="dxa"/>
              <w:left w:w="20" w:type="dxa"/>
              <w:bottom w:w="0" w:type="dxa"/>
              <w:right w:w="20" w:type="dxa"/>
            </w:tcMar>
            <w:vAlign w:val="center"/>
            <w:hideMark/>
          </w:tcPr>
          <w:p w14:paraId="79290C62"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6CD06EF" w14:textId="77777777" w:rsidR="00000000" w:rsidRDefault="00C1661D">
            <w:pPr>
              <w:spacing w:after="100"/>
              <w:jc w:val="right"/>
              <w:rPr>
                <w:rFonts w:eastAsia="Times New Roman"/>
              </w:rPr>
            </w:pPr>
            <w:r>
              <w:rPr>
                <w:rFonts w:eastAsia="Times New Roman"/>
                <w:color w:val="000000"/>
                <w:sz w:val="20"/>
                <w:szCs w:val="20"/>
              </w:rPr>
              <w:t>0.345</w:t>
            </w:r>
          </w:p>
        </w:tc>
      </w:tr>
      <w:tr w:rsidR="00000000" w14:paraId="47443047" w14:textId="77777777">
        <w:trPr>
          <w:divId w:val="1804034768"/>
        </w:trPr>
        <w:tc>
          <w:tcPr>
            <w:tcW w:w="0" w:type="auto"/>
            <w:gridSpan w:val="3"/>
            <w:shd w:val="clear" w:color="auto" w:fill="CCEEFF"/>
            <w:tcMar>
              <w:top w:w="30" w:type="dxa"/>
              <w:left w:w="20" w:type="dxa"/>
              <w:bottom w:w="30" w:type="dxa"/>
              <w:right w:w="20" w:type="dxa"/>
            </w:tcMar>
            <w:vAlign w:val="bottom"/>
            <w:hideMark/>
          </w:tcPr>
          <w:p w14:paraId="1360C478" w14:textId="77777777" w:rsidR="00000000" w:rsidRDefault="00C1661D">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025DDD61" w14:textId="77777777" w:rsidR="00000000" w:rsidRDefault="00C1661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02850A"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9B6B052" w14:textId="77777777" w:rsidR="00000000" w:rsidRDefault="00C1661D">
            <w:pPr>
              <w:spacing w:after="100"/>
              <w:jc w:val="right"/>
              <w:rPr>
                <w:rFonts w:eastAsia="Times New Roman"/>
              </w:rPr>
            </w:pPr>
            <w:r>
              <w:rPr>
                <w:rFonts w:eastAsia="Times New Roman"/>
                <w:color w:val="000000"/>
                <w:sz w:val="20"/>
                <w:szCs w:val="20"/>
              </w:rPr>
              <w:t>1.410 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97028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4976A5"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59843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31F796" w14:textId="77777777" w:rsidR="00000000" w:rsidRDefault="00C1661D">
            <w:pPr>
              <w:spacing w:after="100"/>
              <w:jc w:val="right"/>
              <w:rPr>
                <w:rFonts w:eastAsia="Times New Roman"/>
              </w:rPr>
            </w:pPr>
            <w:r>
              <w:rPr>
                <w:rFonts w:eastAsia="Times New Roman"/>
                <w:color w:val="000000"/>
                <w:sz w:val="20"/>
                <w:szCs w:val="20"/>
              </w:rPr>
              <w:t>1.350 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F42BE2" w14:textId="77777777" w:rsidR="00000000" w:rsidRDefault="00C1661D">
            <w:pPr>
              <w:spacing w:after="100"/>
              <w:jc w:val="right"/>
              <w:rPr>
                <w:rFonts w:eastAsia="Times New Roman"/>
              </w:rPr>
            </w:pPr>
          </w:p>
        </w:tc>
      </w:tr>
    </w:tbl>
    <w:p w14:paraId="1DFCEFF5" w14:textId="77777777" w:rsidR="00000000" w:rsidRDefault="00C1661D">
      <w:pPr>
        <w:jc w:val="both"/>
        <w:divId w:val="1715108159"/>
        <w:rPr>
          <w:rFonts w:eastAsia="Times New Roman"/>
        </w:rPr>
      </w:pPr>
      <w:r>
        <w:rPr>
          <w:rFonts w:eastAsia="Times New Roman"/>
          <w:color w:val="000000"/>
          <w:sz w:val="20"/>
          <w:szCs w:val="20"/>
        </w:rPr>
        <w:t xml:space="preserve">On </w:t>
      </w:r>
      <w:r>
        <w:rPr>
          <w:rFonts w:eastAsia="Times New Roman"/>
          <w:color w:val="000000"/>
          <w:sz w:val="20"/>
          <w:szCs w:val="20"/>
        </w:rPr>
        <w:t>November 17, 2022, UGI’s Board of Directors declared a cash dividend equal to $0.360 per common share. The dividend will be payable on January 1, 2023, to shareholders of record on December 15, 2022.</w:t>
      </w:r>
    </w:p>
    <w:p w14:paraId="0B8E4D85" w14:textId="77777777" w:rsidR="00000000" w:rsidRDefault="00C1661D">
      <w:pPr>
        <w:jc w:val="both"/>
        <w:rPr>
          <w:rFonts w:eastAsia="Times New Roman"/>
        </w:rPr>
      </w:pPr>
    </w:p>
    <w:p w14:paraId="6D408DAD" w14:textId="77777777" w:rsidR="00000000" w:rsidRDefault="00C1661D">
      <w:pPr>
        <w:divId w:val="2135635954"/>
        <w:rPr>
          <w:rFonts w:eastAsia="Times New Roman"/>
        </w:rPr>
      </w:pPr>
      <w:r>
        <w:rPr>
          <w:rFonts w:eastAsia="Times New Roman"/>
          <w:b/>
          <w:bCs/>
          <w:i/>
          <w:iCs/>
          <w:color w:val="000000"/>
          <w:sz w:val="20"/>
          <w:szCs w:val="20"/>
        </w:rPr>
        <w:t>Repurchases of Common Stock</w:t>
      </w:r>
    </w:p>
    <w:p w14:paraId="6088260C" w14:textId="77777777" w:rsidR="00000000" w:rsidRDefault="00C1661D">
      <w:pPr>
        <w:divId w:val="1688561042"/>
        <w:rPr>
          <w:rFonts w:eastAsia="Times New Roman"/>
        </w:rPr>
      </w:pPr>
    </w:p>
    <w:p w14:paraId="62289278" w14:textId="77777777" w:rsidR="00000000" w:rsidRDefault="00C1661D">
      <w:pPr>
        <w:jc w:val="both"/>
        <w:rPr>
          <w:rFonts w:eastAsia="Times New Roman"/>
        </w:rPr>
      </w:pPr>
      <w:r>
        <w:rPr>
          <w:rFonts w:eastAsia="Times New Roman"/>
          <w:color w:val="000000"/>
          <w:sz w:val="20"/>
          <w:szCs w:val="20"/>
        </w:rPr>
        <w:t xml:space="preserve">During Fiscal 2022, the </w:t>
      </w:r>
      <w:r>
        <w:rPr>
          <w:rFonts w:eastAsia="Times New Roman"/>
          <w:color w:val="000000"/>
          <w:sz w:val="20"/>
          <w:szCs w:val="20"/>
        </w:rPr>
        <w:t>Company repurchased 900,000 shares at a total purchase price of $38 million. There were no such repurchases during Fiscal 2021. For additional information on the authorization of these repurchases, see Note 13 to the Consolidated Financial Statements.</w:t>
      </w:r>
    </w:p>
    <w:p w14:paraId="4987E5F4" w14:textId="77777777" w:rsidR="00000000" w:rsidRDefault="00C1661D">
      <w:pPr>
        <w:jc w:val="center"/>
        <w:divId w:val="1249536271"/>
        <w:rPr>
          <w:rFonts w:eastAsia="Times New Roman"/>
        </w:rPr>
      </w:pPr>
      <w:r>
        <w:rPr>
          <w:rFonts w:eastAsia="Times New Roman"/>
          <w:color w:val="000000"/>
          <w:sz w:val="20"/>
          <w:szCs w:val="20"/>
        </w:rPr>
        <w:t>57</w:t>
      </w:r>
    </w:p>
    <w:p w14:paraId="7D8D8BBE" w14:textId="77777777" w:rsidR="00000000" w:rsidRDefault="00C1661D">
      <w:pPr>
        <w:rPr>
          <w:rFonts w:eastAsia="Times New Roman"/>
        </w:rPr>
      </w:pPr>
      <w:r>
        <w:rPr>
          <w:rFonts w:eastAsia="Times New Roman"/>
        </w:rPr>
        <w:pict w14:anchorId="2424ABFF">
          <v:rect id="_x0000_i1084" style="width:0;height:1.5pt" o:hralign="center" o:hrstd="t" o:hr="t" fillcolor="#a0a0a0" stroked="f"/>
        </w:pict>
      </w:r>
    </w:p>
    <w:p w14:paraId="3A36EA84" w14:textId="77777777" w:rsidR="00000000" w:rsidRDefault="00C1661D">
      <w:pPr>
        <w:divId w:val="333847789"/>
        <w:rPr>
          <w:rFonts w:eastAsia="Times New Roman"/>
        </w:rPr>
      </w:pPr>
      <w:hyperlink w:anchor="i3850c3c6c0104e42b9951aac2f16098a_7" w:history="1">
        <w:r>
          <w:rPr>
            <w:rStyle w:val="a3"/>
            <w:rFonts w:eastAsia="Times New Roman"/>
            <w:b/>
            <w:bCs/>
            <w:sz w:val="20"/>
            <w:szCs w:val="20"/>
          </w:rPr>
          <w:t>Table of Contents</w:t>
        </w:r>
      </w:hyperlink>
    </w:p>
    <w:p w14:paraId="67CF9268" w14:textId="77777777" w:rsidR="00000000" w:rsidRDefault="00C1661D">
      <w:pPr>
        <w:jc w:val="both"/>
        <w:rPr>
          <w:rFonts w:eastAsia="Times New Roman"/>
        </w:rPr>
      </w:pPr>
    </w:p>
    <w:p w14:paraId="2130926C" w14:textId="77777777" w:rsidR="00000000" w:rsidRDefault="00C1661D">
      <w:pPr>
        <w:jc w:val="both"/>
        <w:rPr>
          <w:rFonts w:eastAsia="Times New Roman"/>
        </w:rPr>
      </w:pPr>
      <w:r>
        <w:rPr>
          <w:rFonts w:eastAsia="Times New Roman"/>
          <w:b/>
          <w:bCs/>
          <w:color w:val="000000"/>
          <w:sz w:val="20"/>
          <w:szCs w:val="20"/>
        </w:rPr>
        <w:t>Long-term Debt and Credit Facilities</w:t>
      </w:r>
    </w:p>
    <w:p w14:paraId="5F6E0FA0" w14:textId="77777777" w:rsidR="00000000" w:rsidRDefault="00C1661D">
      <w:pPr>
        <w:jc w:val="both"/>
        <w:rPr>
          <w:rFonts w:eastAsia="Times New Roman"/>
        </w:rPr>
      </w:pPr>
    </w:p>
    <w:p w14:paraId="1C5A5787" w14:textId="77777777" w:rsidR="00000000" w:rsidRDefault="00C1661D">
      <w:pPr>
        <w:jc w:val="both"/>
        <w:rPr>
          <w:rFonts w:eastAsia="Times New Roman"/>
        </w:rPr>
      </w:pPr>
      <w:r>
        <w:rPr>
          <w:rFonts w:eastAsia="Times New Roman"/>
          <w:color w:val="000000"/>
          <w:sz w:val="20"/>
          <w:szCs w:val="20"/>
        </w:rPr>
        <w:t>The Company’s debt outstanding at September </w:t>
      </w:r>
      <w:r>
        <w:rPr>
          <w:rFonts w:eastAsia="Times New Roman"/>
          <w:color w:val="000000"/>
          <w:sz w:val="20"/>
          <w:szCs w:val="20"/>
        </w:rPr>
        <w:t>30, 2022 and 2021, comprised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842"/>
        <w:gridCol w:w="38"/>
        <w:gridCol w:w="121"/>
        <w:gridCol w:w="760"/>
        <w:gridCol w:w="36"/>
        <w:gridCol w:w="36"/>
        <w:gridCol w:w="36"/>
        <w:gridCol w:w="36"/>
        <w:gridCol w:w="121"/>
        <w:gridCol w:w="962"/>
        <w:gridCol w:w="36"/>
        <w:gridCol w:w="36"/>
        <w:gridCol w:w="36"/>
        <w:gridCol w:w="36"/>
        <w:gridCol w:w="121"/>
        <w:gridCol w:w="818"/>
        <w:gridCol w:w="36"/>
        <w:gridCol w:w="36"/>
        <w:gridCol w:w="36"/>
        <w:gridCol w:w="36"/>
        <w:gridCol w:w="121"/>
        <w:gridCol w:w="598"/>
        <w:gridCol w:w="36"/>
        <w:gridCol w:w="36"/>
        <w:gridCol w:w="36"/>
        <w:gridCol w:w="36"/>
        <w:gridCol w:w="120"/>
        <w:gridCol w:w="500"/>
        <w:gridCol w:w="36"/>
        <w:gridCol w:w="36"/>
        <w:gridCol w:w="36"/>
        <w:gridCol w:w="36"/>
        <w:gridCol w:w="120"/>
        <w:gridCol w:w="500"/>
        <w:gridCol w:w="36"/>
        <w:gridCol w:w="36"/>
        <w:gridCol w:w="36"/>
        <w:gridCol w:w="36"/>
        <w:gridCol w:w="120"/>
        <w:gridCol w:w="500"/>
        <w:gridCol w:w="36"/>
      </w:tblGrid>
      <w:tr w:rsidR="00000000" w14:paraId="3080997D" w14:textId="77777777">
        <w:trPr>
          <w:divId w:val="2052268110"/>
          <w:jc w:val="center"/>
        </w:trPr>
        <w:tc>
          <w:tcPr>
            <w:tcW w:w="50" w:type="pct"/>
            <w:vAlign w:val="center"/>
            <w:hideMark/>
          </w:tcPr>
          <w:p w14:paraId="50DC86D2" w14:textId="77777777" w:rsidR="00000000" w:rsidRDefault="00C1661D">
            <w:pPr>
              <w:jc w:val="both"/>
              <w:rPr>
                <w:rFonts w:eastAsia="Times New Roman"/>
              </w:rPr>
            </w:pPr>
          </w:p>
        </w:tc>
        <w:tc>
          <w:tcPr>
            <w:tcW w:w="1436" w:type="pct"/>
            <w:vAlign w:val="center"/>
            <w:hideMark/>
          </w:tcPr>
          <w:p w14:paraId="372D09A5" w14:textId="77777777" w:rsidR="00000000" w:rsidRDefault="00C1661D">
            <w:pPr>
              <w:spacing w:after="100"/>
              <w:rPr>
                <w:rFonts w:eastAsia="Times New Roman"/>
                <w:sz w:val="20"/>
                <w:szCs w:val="20"/>
              </w:rPr>
            </w:pPr>
          </w:p>
        </w:tc>
        <w:tc>
          <w:tcPr>
            <w:tcW w:w="5" w:type="pct"/>
            <w:vAlign w:val="center"/>
            <w:hideMark/>
          </w:tcPr>
          <w:p w14:paraId="55D7D33C" w14:textId="77777777" w:rsidR="00000000" w:rsidRDefault="00C1661D">
            <w:pPr>
              <w:spacing w:after="100"/>
              <w:rPr>
                <w:rFonts w:eastAsia="Times New Roman"/>
                <w:sz w:val="20"/>
                <w:szCs w:val="20"/>
              </w:rPr>
            </w:pPr>
          </w:p>
        </w:tc>
        <w:tc>
          <w:tcPr>
            <w:tcW w:w="50" w:type="pct"/>
            <w:vAlign w:val="center"/>
            <w:hideMark/>
          </w:tcPr>
          <w:p w14:paraId="53CF8BE6" w14:textId="77777777" w:rsidR="00000000" w:rsidRDefault="00C1661D">
            <w:pPr>
              <w:spacing w:after="100"/>
              <w:rPr>
                <w:rFonts w:eastAsia="Times New Roman"/>
                <w:sz w:val="20"/>
                <w:szCs w:val="20"/>
              </w:rPr>
            </w:pPr>
          </w:p>
        </w:tc>
        <w:tc>
          <w:tcPr>
            <w:tcW w:w="412" w:type="pct"/>
            <w:vAlign w:val="center"/>
            <w:hideMark/>
          </w:tcPr>
          <w:p w14:paraId="5C36CDFF" w14:textId="77777777" w:rsidR="00000000" w:rsidRDefault="00C1661D">
            <w:pPr>
              <w:spacing w:after="100"/>
              <w:rPr>
                <w:rFonts w:eastAsia="Times New Roman"/>
                <w:sz w:val="20"/>
                <w:szCs w:val="20"/>
              </w:rPr>
            </w:pPr>
          </w:p>
        </w:tc>
        <w:tc>
          <w:tcPr>
            <w:tcW w:w="5" w:type="pct"/>
            <w:vAlign w:val="center"/>
            <w:hideMark/>
          </w:tcPr>
          <w:p w14:paraId="3D898881" w14:textId="77777777" w:rsidR="00000000" w:rsidRDefault="00C1661D">
            <w:pPr>
              <w:spacing w:after="100"/>
              <w:rPr>
                <w:rFonts w:eastAsia="Times New Roman"/>
                <w:sz w:val="20"/>
                <w:szCs w:val="20"/>
              </w:rPr>
            </w:pPr>
          </w:p>
        </w:tc>
        <w:tc>
          <w:tcPr>
            <w:tcW w:w="5" w:type="pct"/>
            <w:vAlign w:val="center"/>
            <w:hideMark/>
          </w:tcPr>
          <w:p w14:paraId="604680AC" w14:textId="77777777" w:rsidR="00000000" w:rsidRDefault="00C1661D">
            <w:pPr>
              <w:spacing w:after="100"/>
              <w:rPr>
                <w:rFonts w:eastAsia="Times New Roman"/>
                <w:sz w:val="20"/>
                <w:szCs w:val="20"/>
              </w:rPr>
            </w:pPr>
          </w:p>
        </w:tc>
        <w:tc>
          <w:tcPr>
            <w:tcW w:w="26" w:type="pct"/>
            <w:vAlign w:val="center"/>
            <w:hideMark/>
          </w:tcPr>
          <w:p w14:paraId="0BC32F16" w14:textId="77777777" w:rsidR="00000000" w:rsidRDefault="00C1661D">
            <w:pPr>
              <w:spacing w:after="100"/>
              <w:rPr>
                <w:rFonts w:eastAsia="Times New Roman"/>
                <w:sz w:val="20"/>
                <w:szCs w:val="20"/>
              </w:rPr>
            </w:pPr>
          </w:p>
        </w:tc>
        <w:tc>
          <w:tcPr>
            <w:tcW w:w="5" w:type="pct"/>
            <w:vAlign w:val="center"/>
            <w:hideMark/>
          </w:tcPr>
          <w:p w14:paraId="59F22859" w14:textId="77777777" w:rsidR="00000000" w:rsidRDefault="00C1661D">
            <w:pPr>
              <w:spacing w:after="100"/>
              <w:rPr>
                <w:rFonts w:eastAsia="Times New Roman"/>
                <w:sz w:val="20"/>
                <w:szCs w:val="20"/>
              </w:rPr>
            </w:pPr>
          </w:p>
        </w:tc>
        <w:tc>
          <w:tcPr>
            <w:tcW w:w="50" w:type="pct"/>
            <w:vAlign w:val="center"/>
            <w:hideMark/>
          </w:tcPr>
          <w:p w14:paraId="3A02B181" w14:textId="77777777" w:rsidR="00000000" w:rsidRDefault="00C1661D">
            <w:pPr>
              <w:spacing w:after="100"/>
              <w:rPr>
                <w:rFonts w:eastAsia="Times New Roman"/>
                <w:sz w:val="20"/>
                <w:szCs w:val="20"/>
              </w:rPr>
            </w:pPr>
          </w:p>
        </w:tc>
        <w:tc>
          <w:tcPr>
            <w:tcW w:w="529" w:type="pct"/>
            <w:vAlign w:val="center"/>
            <w:hideMark/>
          </w:tcPr>
          <w:p w14:paraId="14606D2B" w14:textId="77777777" w:rsidR="00000000" w:rsidRDefault="00C1661D">
            <w:pPr>
              <w:spacing w:after="100"/>
              <w:rPr>
                <w:rFonts w:eastAsia="Times New Roman"/>
                <w:sz w:val="20"/>
                <w:szCs w:val="20"/>
              </w:rPr>
            </w:pPr>
          </w:p>
        </w:tc>
        <w:tc>
          <w:tcPr>
            <w:tcW w:w="5" w:type="pct"/>
            <w:vAlign w:val="center"/>
            <w:hideMark/>
          </w:tcPr>
          <w:p w14:paraId="5248D327" w14:textId="77777777" w:rsidR="00000000" w:rsidRDefault="00C1661D">
            <w:pPr>
              <w:spacing w:after="100"/>
              <w:rPr>
                <w:rFonts w:eastAsia="Times New Roman"/>
                <w:sz w:val="20"/>
                <w:szCs w:val="20"/>
              </w:rPr>
            </w:pPr>
          </w:p>
        </w:tc>
        <w:tc>
          <w:tcPr>
            <w:tcW w:w="5" w:type="pct"/>
            <w:vAlign w:val="center"/>
            <w:hideMark/>
          </w:tcPr>
          <w:p w14:paraId="4ED9526A" w14:textId="77777777" w:rsidR="00000000" w:rsidRDefault="00C1661D">
            <w:pPr>
              <w:spacing w:after="100"/>
              <w:rPr>
                <w:rFonts w:eastAsia="Times New Roman"/>
                <w:sz w:val="20"/>
                <w:szCs w:val="20"/>
              </w:rPr>
            </w:pPr>
          </w:p>
        </w:tc>
        <w:tc>
          <w:tcPr>
            <w:tcW w:w="26" w:type="pct"/>
            <w:vAlign w:val="center"/>
            <w:hideMark/>
          </w:tcPr>
          <w:p w14:paraId="023B7EC8" w14:textId="77777777" w:rsidR="00000000" w:rsidRDefault="00C1661D">
            <w:pPr>
              <w:spacing w:after="100"/>
              <w:rPr>
                <w:rFonts w:eastAsia="Times New Roman"/>
                <w:sz w:val="20"/>
                <w:szCs w:val="20"/>
              </w:rPr>
            </w:pPr>
          </w:p>
        </w:tc>
        <w:tc>
          <w:tcPr>
            <w:tcW w:w="5" w:type="pct"/>
            <w:vAlign w:val="center"/>
            <w:hideMark/>
          </w:tcPr>
          <w:p w14:paraId="3F7B8311" w14:textId="77777777" w:rsidR="00000000" w:rsidRDefault="00C1661D">
            <w:pPr>
              <w:spacing w:after="100"/>
              <w:rPr>
                <w:rFonts w:eastAsia="Times New Roman"/>
                <w:sz w:val="20"/>
                <w:szCs w:val="20"/>
              </w:rPr>
            </w:pPr>
          </w:p>
        </w:tc>
        <w:tc>
          <w:tcPr>
            <w:tcW w:w="50" w:type="pct"/>
            <w:vAlign w:val="center"/>
            <w:hideMark/>
          </w:tcPr>
          <w:p w14:paraId="005FF6CD" w14:textId="77777777" w:rsidR="00000000" w:rsidRDefault="00C1661D">
            <w:pPr>
              <w:spacing w:after="100"/>
              <w:rPr>
                <w:rFonts w:eastAsia="Times New Roman"/>
                <w:sz w:val="20"/>
                <w:szCs w:val="20"/>
              </w:rPr>
            </w:pPr>
          </w:p>
        </w:tc>
        <w:tc>
          <w:tcPr>
            <w:tcW w:w="507" w:type="pct"/>
            <w:vAlign w:val="center"/>
            <w:hideMark/>
          </w:tcPr>
          <w:p w14:paraId="7C8BD5DC" w14:textId="77777777" w:rsidR="00000000" w:rsidRDefault="00C1661D">
            <w:pPr>
              <w:spacing w:after="100"/>
              <w:rPr>
                <w:rFonts w:eastAsia="Times New Roman"/>
                <w:sz w:val="20"/>
                <w:szCs w:val="20"/>
              </w:rPr>
            </w:pPr>
          </w:p>
        </w:tc>
        <w:tc>
          <w:tcPr>
            <w:tcW w:w="5" w:type="pct"/>
            <w:vAlign w:val="center"/>
            <w:hideMark/>
          </w:tcPr>
          <w:p w14:paraId="1B984C64" w14:textId="77777777" w:rsidR="00000000" w:rsidRDefault="00C1661D">
            <w:pPr>
              <w:spacing w:after="100"/>
              <w:rPr>
                <w:rFonts w:eastAsia="Times New Roman"/>
                <w:sz w:val="20"/>
                <w:szCs w:val="20"/>
              </w:rPr>
            </w:pPr>
          </w:p>
        </w:tc>
        <w:tc>
          <w:tcPr>
            <w:tcW w:w="5" w:type="pct"/>
            <w:vAlign w:val="center"/>
            <w:hideMark/>
          </w:tcPr>
          <w:p w14:paraId="3CB756BE" w14:textId="77777777" w:rsidR="00000000" w:rsidRDefault="00C1661D">
            <w:pPr>
              <w:spacing w:after="100"/>
              <w:rPr>
                <w:rFonts w:eastAsia="Times New Roman"/>
                <w:sz w:val="20"/>
                <w:szCs w:val="20"/>
              </w:rPr>
            </w:pPr>
          </w:p>
        </w:tc>
        <w:tc>
          <w:tcPr>
            <w:tcW w:w="19" w:type="pct"/>
            <w:vAlign w:val="center"/>
            <w:hideMark/>
          </w:tcPr>
          <w:p w14:paraId="60879CA0" w14:textId="77777777" w:rsidR="00000000" w:rsidRDefault="00C1661D">
            <w:pPr>
              <w:spacing w:after="100"/>
              <w:rPr>
                <w:rFonts w:eastAsia="Times New Roman"/>
                <w:sz w:val="20"/>
                <w:szCs w:val="20"/>
              </w:rPr>
            </w:pPr>
          </w:p>
        </w:tc>
        <w:tc>
          <w:tcPr>
            <w:tcW w:w="5" w:type="pct"/>
            <w:vAlign w:val="center"/>
            <w:hideMark/>
          </w:tcPr>
          <w:p w14:paraId="4D908BA7" w14:textId="77777777" w:rsidR="00000000" w:rsidRDefault="00C1661D">
            <w:pPr>
              <w:spacing w:after="100"/>
              <w:rPr>
                <w:rFonts w:eastAsia="Times New Roman"/>
                <w:sz w:val="20"/>
                <w:szCs w:val="20"/>
              </w:rPr>
            </w:pPr>
          </w:p>
        </w:tc>
        <w:tc>
          <w:tcPr>
            <w:tcW w:w="50" w:type="pct"/>
            <w:vAlign w:val="center"/>
            <w:hideMark/>
          </w:tcPr>
          <w:p w14:paraId="3D4A643A" w14:textId="77777777" w:rsidR="00000000" w:rsidRDefault="00C1661D">
            <w:pPr>
              <w:spacing w:after="100"/>
              <w:rPr>
                <w:rFonts w:eastAsia="Times New Roman"/>
                <w:sz w:val="20"/>
                <w:szCs w:val="20"/>
              </w:rPr>
            </w:pPr>
          </w:p>
        </w:tc>
        <w:tc>
          <w:tcPr>
            <w:tcW w:w="376" w:type="pct"/>
            <w:vAlign w:val="center"/>
            <w:hideMark/>
          </w:tcPr>
          <w:p w14:paraId="69F3E7C0" w14:textId="77777777" w:rsidR="00000000" w:rsidRDefault="00C1661D">
            <w:pPr>
              <w:spacing w:after="100"/>
              <w:rPr>
                <w:rFonts w:eastAsia="Times New Roman"/>
                <w:sz w:val="20"/>
                <w:szCs w:val="20"/>
              </w:rPr>
            </w:pPr>
          </w:p>
        </w:tc>
        <w:tc>
          <w:tcPr>
            <w:tcW w:w="5" w:type="pct"/>
            <w:vAlign w:val="center"/>
            <w:hideMark/>
          </w:tcPr>
          <w:p w14:paraId="4D0E930E" w14:textId="77777777" w:rsidR="00000000" w:rsidRDefault="00C1661D">
            <w:pPr>
              <w:spacing w:after="100"/>
              <w:rPr>
                <w:rFonts w:eastAsia="Times New Roman"/>
                <w:sz w:val="20"/>
                <w:szCs w:val="20"/>
              </w:rPr>
            </w:pPr>
          </w:p>
        </w:tc>
        <w:tc>
          <w:tcPr>
            <w:tcW w:w="5" w:type="pct"/>
            <w:vAlign w:val="center"/>
            <w:hideMark/>
          </w:tcPr>
          <w:p w14:paraId="432C65EA" w14:textId="77777777" w:rsidR="00000000" w:rsidRDefault="00C1661D">
            <w:pPr>
              <w:spacing w:after="100"/>
              <w:rPr>
                <w:rFonts w:eastAsia="Times New Roman"/>
                <w:sz w:val="20"/>
                <w:szCs w:val="20"/>
              </w:rPr>
            </w:pPr>
          </w:p>
        </w:tc>
        <w:tc>
          <w:tcPr>
            <w:tcW w:w="26" w:type="pct"/>
            <w:vAlign w:val="center"/>
            <w:hideMark/>
          </w:tcPr>
          <w:p w14:paraId="194E9614" w14:textId="77777777" w:rsidR="00000000" w:rsidRDefault="00C1661D">
            <w:pPr>
              <w:spacing w:after="100"/>
              <w:rPr>
                <w:rFonts w:eastAsia="Times New Roman"/>
                <w:sz w:val="20"/>
                <w:szCs w:val="20"/>
              </w:rPr>
            </w:pPr>
          </w:p>
        </w:tc>
        <w:tc>
          <w:tcPr>
            <w:tcW w:w="5" w:type="pct"/>
            <w:vAlign w:val="center"/>
            <w:hideMark/>
          </w:tcPr>
          <w:p w14:paraId="76E04F75" w14:textId="77777777" w:rsidR="00000000" w:rsidRDefault="00C1661D">
            <w:pPr>
              <w:spacing w:after="100"/>
              <w:rPr>
                <w:rFonts w:eastAsia="Times New Roman"/>
                <w:sz w:val="20"/>
                <w:szCs w:val="20"/>
              </w:rPr>
            </w:pPr>
          </w:p>
        </w:tc>
        <w:tc>
          <w:tcPr>
            <w:tcW w:w="50" w:type="pct"/>
            <w:vAlign w:val="center"/>
            <w:hideMark/>
          </w:tcPr>
          <w:p w14:paraId="165545AD" w14:textId="77777777" w:rsidR="00000000" w:rsidRDefault="00C1661D">
            <w:pPr>
              <w:spacing w:after="100"/>
              <w:rPr>
                <w:rFonts w:eastAsia="Times New Roman"/>
                <w:sz w:val="20"/>
                <w:szCs w:val="20"/>
              </w:rPr>
            </w:pPr>
          </w:p>
        </w:tc>
        <w:tc>
          <w:tcPr>
            <w:tcW w:w="332" w:type="pct"/>
            <w:vAlign w:val="center"/>
            <w:hideMark/>
          </w:tcPr>
          <w:p w14:paraId="605EAF39" w14:textId="77777777" w:rsidR="00000000" w:rsidRDefault="00C1661D">
            <w:pPr>
              <w:spacing w:after="100"/>
              <w:rPr>
                <w:rFonts w:eastAsia="Times New Roman"/>
                <w:sz w:val="20"/>
                <w:szCs w:val="20"/>
              </w:rPr>
            </w:pPr>
          </w:p>
        </w:tc>
        <w:tc>
          <w:tcPr>
            <w:tcW w:w="5" w:type="pct"/>
            <w:vAlign w:val="center"/>
            <w:hideMark/>
          </w:tcPr>
          <w:p w14:paraId="2B751272" w14:textId="77777777" w:rsidR="00000000" w:rsidRDefault="00C1661D">
            <w:pPr>
              <w:spacing w:after="100"/>
              <w:rPr>
                <w:rFonts w:eastAsia="Times New Roman"/>
                <w:sz w:val="20"/>
                <w:szCs w:val="20"/>
              </w:rPr>
            </w:pPr>
          </w:p>
        </w:tc>
        <w:tc>
          <w:tcPr>
            <w:tcW w:w="5" w:type="pct"/>
            <w:vAlign w:val="center"/>
            <w:hideMark/>
          </w:tcPr>
          <w:p w14:paraId="4551791A" w14:textId="77777777" w:rsidR="00000000" w:rsidRDefault="00C1661D">
            <w:pPr>
              <w:spacing w:after="100"/>
              <w:rPr>
                <w:rFonts w:eastAsia="Times New Roman"/>
                <w:sz w:val="20"/>
                <w:szCs w:val="20"/>
              </w:rPr>
            </w:pPr>
          </w:p>
        </w:tc>
        <w:tc>
          <w:tcPr>
            <w:tcW w:w="26" w:type="pct"/>
            <w:vAlign w:val="center"/>
            <w:hideMark/>
          </w:tcPr>
          <w:p w14:paraId="619FC48B" w14:textId="77777777" w:rsidR="00000000" w:rsidRDefault="00C1661D">
            <w:pPr>
              <w:spacing w:after="100"/>
              <w:rPr>
                <w:rFonts w:eastAsia="Times New Roman"/>
                <w:sz w:val="20"/>
                <w:szCs w:val="20"/>
              </w:rPr>
            </w:pPr>
          </w:p>
        </w:tc>
        <w:tc>
          <w:tcPr>
            <w:tcW w:w="5" w:type="pct"/>
            <w:vAlign w:val="center"/>
            <w:hideMark/>
          </w:tcPr>
          <w:p w14:paraId="4943EA21" w14:textId="77777777" w:rsidR="00000000" w:rsidRDefault="00C1661D">
            <w:pPr>
              <w:spacing w:after="100"/>
              <w:rPr>
                <w:rFonts w:eastAsia="Times New Roman"/>
                <w:sz w:val="20"/>
                <w:szCs w:val="20"/>
              </w:rPr>
            </w:pPr>
          </w:p>
        </w:tc>
        <w:tc>
          <w:tcPr>
            <w:tcW w:w="50" w:type="pct"/>
            <w:vAlign w:val="center"/>
            <w:hideMark/>
          </w:tcPr>
          <w:p w14:paraId="4D79C177" w14:textId="77777777" w:rsidR="00000000" w:rsidRDefault="00C1661D">
            <w:pPr>
              <w:spacing w:after="100"/>
              <w:rPr>
                <w:rFonts w:eastAsia="Times New Roman"/>
                <w:sz w:val="20"/>
                <w:szCs w:val="20"/>
              </w:rPr>
            </w:pPr>
          </w:p>
        </w:tc>
        <w:tc>
          <w:tcPr>
            <w:tcW w:w="361" w:type="pct"/>
            <w:vAlign w:val="center"/>
            <w:hideMark/>
          </w:tcPr>
          <w:p w14:paraId="52FFC507" w14:textId="77777777" w:rsidR="00000000" w:rsidRDefault="00C1661D">
            <w:pPr>
              <w:spacing w:after="100"/>
              <w:rPr>
                <w:rFonts w:eastAsia="Times New Roman"/>
                <w:sz w:val="20"/>
                <w:szCs w:val="20"/>
              </w:rPr>
            </w:pPr>
          </w:p>
        </w:tc>
        <w:tc>
          <w:tcPr>
            <w:tcW w:w="5" w:type="pct"/>
            <w:vAlign w:val="center"/>
            <w:hideMark/>
          </w:tcPr>
          <w:p w14:paraId="39366C5E" w14:textId="77777777" w:rsidR="00000000" w:rsidRDefault="00C1661D">
            <w:pPr>
              <w:spacing w:after="100"/>
              <w:rPr>
                <w:rFonts w:eastAsia="Times New Roman"/>
                <w:sz w:val="20"/>
                <w:szCs w:val="20"/>
              </w:rPr>
            </w:pPr>
          </w:p>
        </w:tc>
        <w:tc>
          <w:tcPr>
            <w:tcW w:w="5" w:type="pct"/>
            <w:vAlign w:val="center"/>
            <w:hideMark/>
          </w:tcPr>
          <w:p w14:paraId="77E82F48" w14:textId="77777777" w:rsidR="00000000" w:rsidRDefault="00C1661D">
            <w:pPr>
              <w:spacing w:after="100"/>
              <w:rPr>
                <w:rFonts w:eastAsia="Times New Roman"/>
                <w:sz w:val="20"/>
                <w:szCs w:val="20"/>
              </w:rPr>
            </w:pPr>
          </w:p>
        </w:tc>
        <w:tc>
          <w:tcPr>
            <w:tcW w:w="41" w:type="pct"/>
            <w:vAlign w:val="center"/>
            <w:hideMark/>
          </w:tcPr>
          <w:p w14:paraId="216AD4E5" w14:textId="77777777" w:rsidR="00000000" w:rsidRDefault="00C1661D">
            <w:pPr>
              <w:spacing w:after="100"/>
              <w:rPr>
                <w:rFonts w:eastAsia="Times New Roman"/>
                <w:sz w:val="20"/>
                <w:szCs w:val="20"/>
              </w:rPr>
            </w:pPr>
          </w:p>
        </w:tc>
        <w:tc>
          <w:tcPr>
            <w:tcW w:w="5" w:type="pct"/>
            <w:vAlign w:val="center"/>
            <w:hideMark/>
          </w:tcPr>
          <w:p w14:paraId="1A7612DC" w14:textId="77777777" w:rsidR="00000000" w:rsidRDefault="00C1661D">
            <w:pPr>
              <w:spacing w:after="100"/>
              <w:rPr>
                <w:rFonts w:eastAsia="Times New Roman"/>
                <w:sz w:val="20"/>
                <w:szCs w:val="20"/>
              </w:rPr>
            </w:pPr>
          </w:p>
        </w:tc>
        <w:tc>
          <w:tcPr>
            <w:tcW w:w="50" w:type="pct"/>
            <w:vAlign w:val="center"/>
            <w:hideMark/>
          </w:tcPr>
          <w:p w14:paraId="3EBE4834" w14:textId="77777777" w:rsidR="00000000" w:rsidRDefault="00C1661D">
            <w:pPr>
              <w:spacing w:after="100"/>
              <w:rPr>
                <w:rFonts w:eastAsia="Times New Roman"/>
                <w:sz w:val="20"/>
                <w:szCs w:val="20"/>
              </w:rPr>
            </w:pPr>
          </w:p>
        </w:tc>
        <w:tc>
          <w:tcPr>
            <w:tcW w:w="376" w:type="pct"/>
            <w:vAlign w:val="center"/>
            <w:hideMark/>
          </w:tcPr>
          <w:p w14:paraId="24E4DB45" w14:textId="77777777" w:rsidR="00000000" w:rsidRDefault="00C1661D">
            <w:pPr>
              <w:spacing w:after="100"/>
              <w:rPr>
                <w:rFonts w:eastAsia="Times New Roman"/>
                <w:sz w:val="20"/>
                <w:szCs w:val="20"/>
              </w:rPr>
            </w:pPr>
          </w:p>
        </w:tc>
        <w:tc>
          <w:tcPr>
            <w:tcW w:w="5" w:type="pct"/>
            <w:vAlign w:val="center"/>
            <w:hideMark/>
          </w:tcPr>
          <w:p w14:paraId="7ABC9A83" w14:textId="77777777" w:rsidR="00000000" w:rsidRDefault="00C1661D">
            <w:pPr>
              <w:spacing w:after="100"/>
              <w:rPr>
                <w:rFonts w:eastAsia="Times New Roman"/>
                <w:sz w:val="20"/>
                <w:szCs w:val="20"/>
              </w:rPr>
            </w:pPr>
          </w:p>
        </w:tc>
      </w:tr>
      <w:tr w:rsidR="00000000" w14:paraId="34E49033" w14:textId="77777777">
        <w:trPr>
          <w:divId w:val="2052268110"/>
          <w:jc w:val="center"/>
        </w:trPr>
        <w:tc>
          <w:tcPr>
            <w:tcW w:w="0" w:type="auto"/>
            <w:gridSpan w:val="3"/>
            <w:tcMar>
              <w:top w:w="0" w:type="dxa"/>
              <w:left w:w="20" w:type="dxa"/>
              <w:bottom w:w="0" w:type="dxa"/>
              <w:right w:w="20" w:type="dxa"/>
            </w:tcMar>
            <w:vAlign w:val="center"/>
            <w:hideMark/>
          </w:tcPr>
          <w:p w14:paraId="508D1AAA" w14:textId="77777777" w:rsidR="00000000" w:rsidRDefault="00C1661D">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5044C5D2"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7965EFDD"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6AFE4AC" w14:textId="77777777" w:rsidR="00000000" w:rsidRDefault="00C1661D">
            <w:pPr>
              <w:spacing w:after="100"/>
              <w:jc w:val="center"/>
              <w:rPr>
                <w:rFonts w:eastAsia="Times New Roman"/>
              </w:rPr>
            </w:pPr>
            <w:r>
              <w:rPr>
                <w:rFonts w:eastAsia="Times New Roman"/>
                <w:color w:val="000000"/>
                <w:sz w:val="20"/>
                <w:szCs w:val="20"/>
              </w:rPr>
              <w:t>2021</w:t>
            </w:r>
          </w:p>
        </w:tc>
      </w:tr>
      <w:tr w:rsidR="00000000" w14:paraId="76C67A53" w14:textId="77777777">
        <w:trPr>
          <w:divId w:val="2052268110"/>
          <w:jc w:val="center"/>
        </w:trPr>
        <w:tc>
          <w:tcPr>
            <w:tcW w:w="0" w:type="auto"/>
            <w:gridSpan w:val="3"/>
            <w:tcMar>
              <w:top w:w="30" w:type="dxa"/>
              <w:left w:w="20" w:type="dxa"/>
              <w:bottom w:w="30" w:type="dxa"/>
              <w:right w:w="20" w:type="dxa"/>
            </w:tcMar>
            <w:vAlign w:val="bottom"/>
            <w:hideMark/>
          </w:tcPr>
          <w:p w14:paraId="3F7CB5B7" w14:textId="77777777" w:rsidR="00000000" w:rsidRDefault="00C1661D">
            <w:pPr>
              <w:spacing w:after="100"/>
              <w:rPr>
                <w:rFonts w:eastAsia="Times New Roman"/>
              </w:rPr>
            </w:pPr>
            <w:r>
              <w:rPr>
                <w:rFonts w:eastAsia="Times New Roman"/>
                <w:color w:val="000000"/>
                <w:sz w:val="20"/>
                <w:szCs w:val="20"/>
              </w:rPr>
              <w:t>(Millions of dollars)</w:t>
            </w:r>
          </w:p>
        </w:tc>
        <w:tc>
          <w:tcPr>
            <w:tcW w:w="0" w:type="auto"/>
            <w:gridSpan w:val="3"/>
            <w:tcBorders>
              <w:top w:val="single" w:sz="8" w:space="0" w:color="000000"/>
            </w:tcBorders>
            <w:tcMar>
              <w:top w:w="30" w:type="dxa"/>
              <w:left w:w="20" w:type="dxa"/>
              <w:bottom w:w="30" w:type="dxa"/>
              <w:right w:w="20" w:type="dxa"/>
            </w:tcMar>
            <w:vAlign w:val="bottom"/>
            <w:hideMark/>
          </w:tcPr>
          <w:p w14:paraId="2E54085F" w14:textId="77777777" w:rsidR="00000000" w:rsidRDefault="00C1661D">
            <w:pPr>
              <w:spacing w:after="100"/>
              <w:jc w:val="center"/>
              <w:rPr>
                <w:rFonts w:eastAsia="Times New Roman"/>
              </w:rPr>
            </w:pPr>
            <w:r>
              <w:rPr>
                <w:rFonts w:eastAsia="Times New Roman"/>
                <w:color w:val="000000"/>
                <w:sz w:val="20"/>
                <w:szCs w:val="20"/>
              </w:rPr>
              <w:t>AmeriGas Propane</w:t>
            </w:r>
          </w:p>
        </w:tc>
        <w:tc>
          <w:tcPr>
            <w:tcW w:w="0" w:type="auto"/>
            <w:gridSpan w:val="3"/>
            <w:tcBorders>
              <w:top w:val="single" w:sz="8" w:space="0" w:color="000000"/>
            </w:tcBorders>
            <w:tcMar>
              <w:top w:w="0" w:type="dxa"/>
              <w:left w:w="20" w:type="dxa"/>
              <w:bottom w:w="0" w:type="dxa"/>
              <w:right w:w="20" w:type="dxa"/>
            </w:tcMar>
            <w:vAlign w:val="center"/>
            <w:hideMark/>
          </w:tcPr>
          <w:p w14:paraId="68D1E4A6"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3DA0BA" w14:textId="77777777" w:rsidR="00000000" w:rsidRDefault="00C1661D">
            <w:pPr>
              <w:spacing w:after="100"/>
              <w:jc w:val="center"/>
              <w:rPr>
                <w:rFonts w:eastAsia="Times New Roman"/>
              </w:rPr>
            </w:pPr>
            <w:r>
              <w:rPr>
                <w:rFonts w:eastAsia="Times New Roman"/>
                <w:color w:val="000000"/>
                <w:sz w:val="20"/>
                <w:szCs w:val="20"/>
              </w:rPr>
              <w:t>UGI International</w:t>
            </w:r>
          </w:p>
        </w:tc>
        <w:tc>
          <w:tcPr>
            <w:tcW w:w="0" w:type="auto"/>
            <w:gridSpan w:val="3"/>
            <w:tcBorders>
              <w:top w:val="single" w:sz="8" w:space="0" w:color="000000"/>
            </w:tcBorders>
            <w:tcMar>
              <w:top w:w="0" w:type="dxa"/>
              <w:left w:w="20" w:type="dxa"/>
              <w:bottom w:w="0" w:type="dxa"/>
              <w:right w:w="20" w:type="dxa"/>
            </w:tcMar>
            <w:vAlign w:val="center"/>
            <w:hideMark/>
          </w:tcPr>
          <w:p w14:paraId="724BD30A"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EC0DCF" w14:textId="77777777" w:rsidR="00000000" w:rsidRDefault="00C1661D">
            <w:pPr>
              <w:spacing w:after="100"/>
              <w:jc w:val="center"/>
              <w:rPr>
                <w:rFonts w:eastAsia="Times New Roman"/>
              </w:rPr>
            </w:pPr>
            <w:r>
              <w:rPr>
                <w:rFonts w:eastAsia="Times New Roman"/>
                <w:color w:val="000000"/>
                <w:sz w:val="20"/>
                <w:szCs w:val="20"/>
              </w:rPr>
              <w:t>Midstream &amp; Marketing</w:t>
            </w:r>
          </w:p>
        </w:tc>
        <w:tc>
          <w:tcPr>
            <w:tcW w:w="0" w:type="auto"/>
            <w:gridSpan w:val="3"/>
            <w:tcBorders>
              <w:top w:val="single" w:sz="8" w:space="0" w:color="000000"/>
            </w:tcBorders>
            <w:tcMar>
              <w:top w:w="0" w:type="dxa"/>
              <w:left w:w="20" w:type="dxa"/>
              <w:bottom w:w="0" w:type="dxa"/>
              <w:right w:w="20" w:type="dxa"/>
            </w:tcMar>
            <w:vAlign w:val="center"/>
            <w:hideMark/>
          </w:tcPr>
          <w:p w14:paraId="37DA9CAF"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B9C149" w14:textId="77777777" w:rsidR="00000000" w:rsidRDefault="00C1661D">
            <w:pPr>
              <w:spacing w:after="100"/>
              <w:jc w:val="center"/>
              <w:rPr>
                <w:rFonts w:eastAsia="Times New Roman"/>
              </w:rPr>
            </w:pPr>
            <w:r>
              <w:rPr>
                <w:rFonts w:eastAsia="Times New Roman"/>
                <w:color w:val="000000"/>
                <w:sz w:val="20"/>
                <w:szCs w:val="20"/>
              </w:rPr>
              <w:t>Utilities</w:t>
            </w:r>
          </w:p>
        </w:tc>
        <w:tc>
          <w:tcPr>
            <w:tcW w:w="0" w:type="auto"/>
            <w:gridSpan w:val="3"/>
            <w:tcBorders>
              <w:top w:val="single" w:sz="8" w:space="0" w:color="000000"/>
            </w:tcBorders>
            <w:tcMar>
              <w:top w:w="0" w:type="dxa"/>
              <w:left w:w="20" w:type="dxa"/>
              <w:bottom w:w="0" w:type="dxa"/>
              <w:right w:w="20" w:type="dxa"/>
            </w:tcMar>
            <w:vAlign w:val="center"/>
            <w:hideMark/>
          </w:tcPr>
          <w:p w14:paraId="6938F3F2"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F3705E" w14:textId="77777777" w:rsidR="00000000" w:rsidRDefault="00C1661D">
            <w:pPr>
              <w:spacing w:after="100"/>
              <w:jc w:val="center"/>
              <w:rPr>
                <w:rFonts w:eastAsia="Times New Roman"/>
              </w:rPr>
            </w:pPr>
            <w:r>
              <w:rPr>
                <w:rFonts w:eastAsia="Times New Roman"/>
                <w:color w:val="000000"/>
                <w:sz w:val="20"/>
                <w:szCs w:val="20"/>
              </w:rPr>
              <w:t>Corp. &amp; Other</w:t>
            </w:r>
          </w:p>
        </w:tc>
        <w:tc>
          <w:tcPr>
            <w:tcW w:w="0" w:type="auto"/>
            <w:gridSpan w:val="3"/>
            <w:tcBorders>
              <w:top w:val="single" w:sz="8" w:space="0" w:color="000000"/>
            </w:tcBorders>
            <w:tcMar>
              <w:top w:w="0" w:type="dxa"/>
              <w:left w:w="20" w:type="dxa"/>
              <w:bottom w:w="0" w:type="dxa"/>
              <w:right w:w="20" w:type="dxa"/>
            </w:tcMar>
            <w:vAlign w:val="center"/>
            <w:hideMark/>
          </w:tcPr>
          <w:p w14:paraId="3E2A9DBD"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F24277" w14:textId="77777777" w:rsidR="00000000" w:rsidRDefault="00C1661D">
            <w:pPr>
              <w:spacing w:after="100"/>
              <w:jc w:val="center"/>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14:paraId="7FEC8ACB"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959D76" w14:textId="77777777" w:rsidR="00000000" w:rsidRDefault="00C1661D">
            <w:pPr>
              <w:spacing w:after="100"/>
              <w:jc w:val="center"/>
              <w:rPr>
                <w:rFonts w:eastAsia="Times New Roman"/>
              </w:rPr>
            </w:pPr>
            <w:r>
              <w:rPr>
                <w:rFonts w:eastAsia="Times New Roman"/>
                <w:color w:val="000000"/>
                <w:sz w:val="20"/>
                <w:szCs w:val="20"/>
              </w:rPr>
              <w:t>Total</w:t>
            </w:r>
          </w:p>
        </w:tc>
      </w:tr>
      <w:tr w:rsidR="00C1661D" w14:paraId="43C3D738" w14:textId="77777777">
        <w:trPr>
          <w:divId w:val="2052268110"/>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74FC6C7" w14:textId="77777777" w:rsidR="00000000" w:rsidRDefault="00C1661D">
            <w:pPr>
              <w:spacing w:after="100"/>
              <w:rPr>
                <w:rFonts w:eastAsia="Times New Roman"/>
              </w:rPr>
            </w:pPr>
            <w:r>
              <w:rPr>
                <w:rFonts w:eastAsia="Times New Roman"/>
                <w:color w:val="000000"/>
                <w:sz w:val="20"/>
                <w:szCs w:val="20"/>
              </w:rPr>
              <w:t>Short-term borrowings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89874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167C9D" w14:textId="77777777" w:rsidR="00000000" w:rsidRDefault="00C1661D">
            <w:pPr>
              <w:spacing w:after="100"/>
              <w:jc w:val="right"/>
              <w:rPr>
                <w:rFonts w:eastAsia="Times New Roman"/>
              </w:rPr>
            </w:pPr>
            <w:r>
              <w:rPr>
                <w:rFonts w:eastAsia="Times New Roman"/>
                <w:color w:val="000000"/>
                <w:sz w:val="20"/>
                <w:szCs w:val="20"/>
              </w:rPr>
              <w:t>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B76F1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2EDB2A"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9AD179"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62C222" w14:textId="77777777" w:rsidR="00000000" w:rsidRDefault="00C1661D">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BE6E8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A28177"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4D7EF5"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0C56D9" w14:textId="77777777" w:rsidR="00000000" w:rsidRDefault="00C1661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6C6E2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A3477"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4BADD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581D0A" w14:textId="77777777" w:rsidR="00000000" w:rsidRDefault="00C1661D">
            <w:pPr>
              <w:spacing w:after="100"/>
              <w:jc w:val="right"/>
              <w:rPr>
                <w:rFonts w:eastAsia="Times New Roman"/>
              </w:rPr>
            </w:pPr>
            <w:r>
              <w:rPr>
                <w:rFonts w:eastAsia="Times New Roman"/>
                <w:color w:val="000000"/>
                <w:sz w:val="20"/>
                <w:szCs w:val="20"/>
              </w:rPr>
              <w:t>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5EFAF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F037E"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C5B4F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BB55EC" w14:textId="77777777" w:rsidR="00000000" w:rsidRDefault="00C1661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DC067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EFF060"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E545C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B1BD67" w14:textId="77777777" w:rsidR="00000000" w:rsidRDefault="00C1661D">
            <w:pPr>
              <w:spacing w:after="100"/>
              <w:jc w:val="right"/>
              <w:rPr>
                <w:rFonts w:eastAsia="Times New Roman"/>
              </w:rPr>
            </w:pPr>
            <w:r>
              <w:rPr>
                <w:rFonts w:eastAsia="Times New Roman"/>
                <w:color w:val="000000"/>
                <w:sz w:val="20"/>
                <w:szCs w:val="20"/>
              </w:rPr>
              <w:t>368 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BBEC9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6F297B"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970D0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DAB77B" w14:textId="77777777" w:rsidR="00000000" w:rsidRDefault="00C1661D">
            <w:pPr>
              <w:spacing w:after="100"/>
              <w:jc w:val="right"/>
              <w:rPr>
                <w:rFonts w:eastAsia="Times New Roman"/>
              </w:rPr>
            </w:pPr>
            <w:r>
              <w:rPr>
                <w:rFonts w:eastAsia="Times New Roman"/>
                <w:color w:val="000000"/>
                <w:sz w:val="20"/>
                <w:szCs w:val="20"/>
              </w:rPr>
              <w:t>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BDB489" w14:textId="77777777" w:rsidR="00000000" w:rsidRDefault="00C1661D">
            <w:pPr>
              <w:spacing w:after="100"/>
              <w:jc w:val="right"/>
              <w:rPr>
                <w:rFonts w:eastAsia="Times New Roman"/>
              </w:rPr>
            </w:pPr>
          </w:p>
        </w:tc>
      </w:tr>
      <w:tr w:rsidR="00000000" w14:paraId="74F892E3" w14:textId="77777777">
        <w:trPr>
          <w:divId w:val="2052268110"/>
          <w:trHeight w:val="300"/>
          <w:jc w:val="center"/>
        </w:trPr>
        <w:tc>
          <w:tcPr>
            <w:tcW w:w="0" w:type="auto"/>
            <w:gridSpan w:val="3"/>
            <w:shd w:val="clear" w:color="auto" w:fill="FFFFFF"/>
            <w:tcMar>
              <w:top w:w="0" w:type="dxa"/>
              <w:left w:w="20" w:type="dxa"/>
              <w:bottom w:w="0" w:type="dxa"/>
              <w:right w:w="20" w:type="dxa"/>
            </w:tcMar>
            <w:vAlign w:val="center"/>
            <w:hideMark/>
          </w:tcPr>
          <w:p w14:paraId="4B24451A" w14:textId="77777777" w:rsidR="00000000" w:rsidRDefault="00C1661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97BD468"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906B14"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568BB2C"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E1902D"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164FEAA"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8AA44F"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3CE61C3"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894172"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FA07075"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06FB43"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E23379"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DD85A5"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05CD8DE" w14:textId="77777777" w:rsidR="00000000" w:rsidRDefault="00C1661D">
            <w:pPr>
              <w:spacing w:after="100"/>
              <w:rPr>
                <w:rFonts w:eastAsia="Times New Roman"/>
                <w:sz w:val="20"/>
                <w:szCs w:val="20"/>
              </w:rPr>
            </w:pPr>
          </w:p>
        </w:tc>
      </w:tr>
      <w:tr w:rsidR="00000000" w14:paraId="6C7040CF" w14:textId="77777777">
        <w:trPr>
          <w:divId w:val="2052268110"/>
          <w:jc w:val="center"/>
        </w:trPr>
        <w:tc>
          <w:tcPr>
            <w:tcW w:w="0" w:type="auto"/>
            <w:gridSpan w:val="3"/>
            <w:shd w:val="clear" w:color="auto" w:fill="CCEEFF"/>
            <w:tcMar>
              <w:top w:w="30" w:type="dxa"/>
              <w:left w:w="20" w:type="dxa"/>
              <w:bottom w:w="30" w:type="dxa"/>
              <w:right w:w="20" w:type="dxa"/>
            </w:tcMar>
            <w:vAlign w:val="bottom"/>
            <w:hideMark/>
          </w:tcPr>
          <w:p w14:paraId="7F281149" w14:textId="77777777" w:rsidR="00000000" w:rsidRDefault="00C1661D">
            <w:pPr>
              <w:spacing w:after="100"/>
              <w:rPr>
                <w:rFonts w:eastAsia="Times New Roman"/>
              </w:rPr>
            </w:pPr>
            <w:r>
              <w:rPr>
                <w:rFonts w:eastAsia="Times New Roman"/>
                <w:color w:val="000000"/>
                <w:sz w:val="20"/>
                <w:szCs w:val="20"/>
              </w:rPr>
              <w:t>Long-term debt (including current maturities):</w:t>
            </w:r>
          </w:p>
        </w:tc>
        <w:tc>
          <w:tcPr>
            <w:tcW w:w="0" w:type="auto"/>
            <w:gridSpan w:val="3"/>
            <w:shd w:val="clear" w:color="auto" w:fill="CCEEFF"/>
            <w:tcMar>
              <w:top w:w="0" w:type="dxa"/>
              <w:left w:w="20" w:type="dxa"/>
              <w:bottom w:w="0" w:type="dxa"/>
              <w:right w:w="20" w:type="dxa"/>
            </w:tcMar>
            <w:vAlign w:val="center"/>
            <w:hideMark/>
          </w:tcPr>
          <w:p w14:paraId="3F2C236B"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578A21"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5AC7B1"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AB9184"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FA41FA"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C2098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F48DF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F6CB0A"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D8331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2C1DB9"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7CF010"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1275F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43A079" w14:textId="77777777" w:rsidR="00000000" w:rsidRDefault="00C1661D">
            <w:pPr>
              <w:spacing w:after="100"/>
              <w:rPr>
                <w:rFonts w:eastAsia="Times New Roman"/>
                <w:sz w:val="20"/>
                <w:szCs w:val="20"/>
              </w:rPr>
            </w:pPr>
          </w:p>
        </w:tc>
      </w:tr>
      <w:tr w:rsidR="00C1661D" w14:paraId="659BA745" w14:textId="77777777">
        <w:trPr>
          <w:divId w:val="2052268110"/>
          <w:jc w:val="center"/>
        </w:trPr>
        <w:tc>
          <w:tcPr>
            <w:tcW w:w="0" w:type="auto"/>
            <w:gridSpan w:val="3"/>
            <w:shd w:val="clear" w:color="auto" w:fill="FFFFFF"/>
            <w:tcMar>
              <w:top w:w="30" w:type="dxa"/>
              <w:left w:w="245" w:type="dxa"/>
              <w:bottom w:w="30" w:type="dxa"/>
              <w:right w:w="20" w:type="dxa"/>
            </w:tcMar>
            <w:vAlign w:val="bottom"/>
            <w:hideMark/>
          </w:tcPr>
          <w:p w14:paraId="297332F9" w14:textId="77777777" w:rsidR="00000000" w:rsidRDefault="00C1661D">
            <w:pPr>
              <w:spacing w:after="100"/>
              <w:rPr>
                <w:rFonts w:eastAsia="Times New Roman"/>
              </w:rPr>
            </w:pPr>
            <w:r>
              <w:rPr>
                <w:rFonts w:eastAsia="Times New Roman"/>
                <w:color w:val="000000"/>
                <w:sz w:val="20"/>
                <w:szCs w:val="20"/>
              </w:rPr>
              <w:t>Senior notes</w:t>
            </w:r>
          </w:p>
        </w:tc>
        <w:tc>
          <w:tcPr>
            <w:tcW w:w="0" w:type="auto"/>
            <w:shd w:val="clear" w:color="auto" w:fill="FFFFFF"/>
            <w:tcMar>
              <w:top w:w="30" w:type="dxa"/>
              <w:left w:w="20" w:type="dxa"/>
              <w:bottom w:w="30" w:type="dxa"/>
              <w:right w:w="0" w:type="dxa"/>
            </w:tcMar>
            <w:vAlign w:val="bottom"/>
            <w:hideMark/>
          </w:tcPr>
          <w:p w14:paraId="437731F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C53483" w14:textId="77777777" w:rsidR="00000000" w:rsidRDefault="00C1661D">
            <w:pPr>
              <w:spacing w:after="100"/>
              <w:jc w:val="right"/>
              <w:rPr>
                <w:rFonts w:eastAsia="Times New Roman"/>
              </w:rPr>
            </w:pPr>
            <w:r>
              <w:rPr>
                <w:rFonts w:eastAsia="Times New Roman"/>
                <w:color w:val="000000"/>
                <w:sz w:val="20"/>
                <w:szCs w:val="20"/>
              </w:rPr>
              <w:t>2,575 </w:t>
            </w:r>
          </w:p>
        </w:tc>
        <w:tc>
          <w:tcPr>
            <w:tcW w:w="0" w:type="auto"/>
            <w:shd w:val="clear" w:color="auto" w:fill="FFFFFF"/>
            <w:tcMar>
              <w:top w:w="30" w:type="dxa"/>
              <w:left w:w="0" w:type="dxa"/>
              <w:bottom w:w="30" w:type="dxa"/>
              <w:right w:w="20" w:type="dxa"/>
            </w:tcMar>
            <w:vAlign w:val="bottom"/>
            <w:hideMark/>
          </w:tcPr>
          <w:p w14:paraId="7E7C669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79C43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B6965E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576DBF6" w14:textId="77777777" w:rsidR="00000000" w:rsidRDefault="00C1661D">
            <w:pPr>
              <w:spacing w:after="100"/>
              <w:jc w:val="right"/>
              <w:rPr>
                <w:rFonts w:eastAsia="Times New Roman"/>
              </w:rPr>
            </w:pPr>
            <w:r>
              <w:rPr>
                <w:rFonts w:eastAsia="Times New Roman"/>
                <w:color w:val="000000"/>
                <w:sz w:val="20"/>
                <w:szCs w:val="20"/>
              </w:rPr>
              <w:t>392 </w:t>
            </w:r>
          </w:p>
        </w:tc>
        <w:tc>
          <w:tcPr>
            <w:tcW w:w="0" w:type="auto"/>
            <w:shd w:val="clear" w:color="auto" w:fill="FFFFFF"/>
            <w:tcMar>
              <w:top w:w="30" w:type="dxa"/>
              <w:left w:w="0" w:type="dxa"/>
              <w:bottom w:w="30" w:type="dxa"/>
              <w:right w:w="20" w:type="dxa"/>
            </w:tcMar>
            <w:vAlign w:val="bottom"/>
            <w:hideMark/>
          </w:tcPr>
          <w:p w14:paraId="3BE110B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4ACD44"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B1778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74451DD"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05458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844DE"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B87052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5DD16AA" w14:textId="77777777" w:rsidR="00000000" w:rsidRDefault="00C1661D">
            <w:pPr>
              <w:spacing w:after="100"/>
              <w:jc w:val="right"/>
              <w:rPr>
                <w:rFonts w:eastAsia="Times New Roman"/>
              </w:rPr>
            </w:pPr>
            <w:r>
              <w:rPr>
                <w:rFonts w:eastAsia="Times New Roman"/>
                <w:color w:val="000000"/>
                <w:sz w:val="20"/>
                <w:szCs w:val="20"/>
              </w:rPr>
              <w:t>1,505 </w:t>
            </w:r>
          </w:p>
        </w:tc>
        <w:tc>
          <w:tcPr>
            <w:tcW w:w="0" w:type="auto"/>
            <w:shd w:val="clear" w:color="auto" w:fill="FFFFFF"/>
            <w:tcMar>
              <w:top w:w="30" w:type="dxa"/>
              <w:left w:w="0" w:type="dxa"/>
              <w:bottom w:w="30" w:type="dxa"/>
              <w:right w:w="20" w:type="dxa"/>
            </w:tcMar>
            <w:vAlign w:val="bottom"/>
            <w:hideMark/>
          </w:tcPr>
          <w:p w14:paraId="0DBB307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3FA56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1B9BF5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DEDE1F8"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02A28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15700"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138BE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EB8604" w14:textId="77777777" w:rsidR="00000000" w:rsidRDefault="00C1661D">
            <w:pPr>
              <w:spacing w:after="100"/>
              <w:jc w:val="right"/>
              <w:rPr>
                <w:rFonts w:eastAsia="Times New Roman"/>
              </w:rPr>
            </w:pPr>
            <w:r>
              <w:rPr>
                <w:rFonts w:eastAsia="Times New Roman"/>
                <w:color w:val="000000"/>
                <w:sz w:val="20"/>
                <w:szCs w:val="20"/>
              </w:rPr>
              <w:t>4,472 </w:t>
            </w:r>
          </w:p>
        </w:tc>
        <w:tc>
          <w:tcPr>
            <w:tcW w:w="0" w:type="auto"/>
            <w:shd w:val="clear" w:color="auto" w:fill="FFFFFF"/>
            <w:tcMar>
              <w:top w:w="30" w:type="dxa"/>
              <w:left w:w="0" w:type="dxa"/>
              <w:bottom w:w="30" w:type="dxa"/>
              <w:right w:w="20" w:type="dxa"/>
            </w:tcMar>
            <w:vAlign w:val="bottom"/>
            <w:hideMark/>
          </w:tcPr>
          <w:p w14:paraId="72814AE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2644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36E60E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C880E40" w14:textId="77777777" w:rsidR="00000000" w:rsidRDefault="00C1661D">
            <w:pPr>
              <w:spacing w:after="100"/>
              <w:jc w:val="right"/>
              <w:rPr>
                <w:rFonts w:eastAsia="Times New Roman"/>
              </w:rPr>
            </w:pPr>
            <w:r>
              <w:rPr>
                <w:rFonts w:eastAsia="Times New Roman"/>
                <w:color w:val="000000"/>
                <w:sz w:val="20"/>
                <w:szCs w:val="20"/>
              </w:rPr>
              <w:t>4,270 </w:t>
            </w:r>
          </w:p>
        </w:tc>
        <w:tc>
          <w:tcPr>
            <w:tcW w:w="0" w:type="auto"/>
            <w:shd w:val="clear" w:color="auto" w:fill="FFFFFF"/>
            <w:tcMar>
              <w:top w:w="30" w:type="dxa"/>
              <w:left w:w="0" w:type="dxa"/>
              <w:bottom w:w="30" w:type="dxa"/>
              <w:right w:w="20" w:type="dxa"/>
            </w:tcMar>
            <w:vAlign w:val="bottom"/>
            <w:hideMark/>
          </w:tcPr>
          <w:p w14:paraId="3A979E2B" w14:textId="77777777" w:rsidR="00000000" w:rsidRDefault="00C1661D">
            <w:pPr>
              <w:spacing w:after="100"/>
              <w:jc w:val="right"/>
              <w:rPr>
                <w:rFonts w:eastAsia="Times New Roman"/>
              </w:rPr>
            </w:pPr>
          </w:p>
        </w:tc>
      </w:tr>
      <w:tr w:rsidR="00000000" w14:paraId="41414B09" w14:textId="77777777">
        <w:trPr>
          <w:divId w:val="2052268110"/>
          <w:jc w:val="center"/>
        </w:trPr>
        <w:tc>
          <w:tcPr>
            <w:tcW w:w="0" w:type="auto"/>
            <w:gridSpan w:val="3"/>
            <w:shd w:val="clear" w:color="auto" w:fill="CCEEFF"/>
            <w:tcMar>
              <w:top w:w="30" w:type="dxa"/>
              <w:left w:w="245" w:type="dxa"/>
              <w:bottom w:w="30" w:type="dxa"/>
              <w:right w:w="20" w:type="dxa"/>
            </w:tcMar>
            <w:vAlign w:val="bottom"/>
            <w:hideMark/>
          </w:tcPr>
          <w:p w14:paraId="1F6CDF21" w14:textId="77777777" w:rsidR="00000000" w:rsidRDefault="00C1661D">
            <w:pPr>
              <w:spacing w:after="100"/>
              <w:rPr>
                <w:rFonts w:eastAsia="Times New Roman"/>
              </w:rPr>
            </w:pPr>
            <w:r>
              <w:rPr>
                <w:rFonts w:eastAsia="Times New Roman"/>
                <w:color w:val="000000"/>
                <w:sz w:val="20"/>
                <w:szCs w:val="20"/>
              </w:rPr>
              <w:t>Term loans</w:t>
            </w:r>
          </w:p>
        </w:tc>
        <w:tc>
          <w:tcPr>
            <w:tcW w:w="0" w:type="auto"/>
            <w:gridSpan w:val="2"/>
            <w:shd w:val="clear" w:color="auto" w:fill="CCEEFF"/>
            <w:tcMar>
              <w:top w:w="30" w:type="dxa"/>
              <w:left w:w="20" w:type="dxa"/>
              <w:bottom w:w="30" w:type="dxa"/>
              <w:right w:w="0" w:type="dxa"/>
            </w:tcMar>
            <w:vAlign w:val="bottom"/>
            <w:hideMark/>
          </w:tcPr>
          <w:p w14:paraId="2EB8BF65"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93475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243FD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B25BF8" w14:textId="77777777" w:rsidR="00000000" w:rsidRDefault="00C1661D">
            <w:pPr>
              <w:spacing w:after="100"/>
              <w:jc w:val="right"/>
              <w:rPr>
                <w:rFonts w:eastAsia="Times New Roman"/>
              </w:rPr>
            </w:pPr>
            <w:r>
              <w:rPr>
                <w:rFonts w:eastAsia="Times New Roman"/>
                <w:color w:val="000000"/>
                <w:sz w:val="20"/>
                <w:szCs w:val="20"/>
              </w:rPr>
              <w:t>294 </w:t>
            </w:r>
          </w:p>
        </w:tc>
        <w:tc>
          <w:tcPr>
            <w:tcW w:w="0" w:type="auto"/>
            <w:shd w:val="clear" w:color="auto" w:fill="CCEEFF"/>
            <w:tcMar>
              <w:top w:w="30" w:type="dxa"/>
              <w:left w:w="0" w:type="dxa"/>
              <w:bottom w:w="30" w:type="dxa"/>
              <w:right w:w="20" w:type="dxa"/>
            </w:tcMar>
            <w:vAlign w:val="bottom"/>
            <w:hideMark/>
          </w:tcPr>
          <w:p w14:paraId="6F7F334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DE84B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96C948" w14:textId="77777777" w:rsidR="00000000" w:rsidRDefault="00C1661D">
            <w:pPr>
              <w:spacing w:after="100"/>
              <w:jc w:val="right"/>
              <w:rPr>
                <w:rFonts w:eastAsia="Times New Roman"/>
              </w:rPr>
            </w:pPr>
            <w:r>
              <w:rPr>
                <w:rFonts w:eastAsia="Times New Roman"/>
                <w:color w:val="000000"/>
                <w:sz w:val="20"/>
                <w:szCs w:val="20"/>
              </w:rPr>
              <w:t>677 </w:t>
            </w:r>
          </w:p>
        </w:tc>
        <w:tc>
          <w:tcPr>
            <w:tcW w:w="0" w:type="auto"/>
            <w:shd w:val="clear" w:color="auto" w:fill="CCEEFF"/>
            <w:tcMar>
              <w:top w:w="30" w:type="dxa"/>
              <w:left w:w="0" w:type="dxa"/>
              <w:bottom w:w="30" w:type="dxa"/>
              <w:right w:w="20" w:type="dxa"/>
            </w:tcMar>
            <w:vAlign w:val="bottom"/>
            <w:hideMark/>
          </w:tcPr>
          <w:p w14:paraId="1FB4B6C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D4F88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4E9BF8" w14:textId="77777777" w:rsidR="00000000" w:rsidRDefault="00C1661D">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14:paraId="35C265F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CE8BB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D30D9F" w14:textId="77777777" w:rsidR="00000000" w:rsidRDefault="00C1661D">
            <w:pPr>
              <w:spacing w:after="100"/>
              <w:jc w:val="right"/>
              <w:rPr>
                <w:rFonts w:eastAsia="Times New Roman"/>
              </w:rPr>
            </w:pPr>
            <w:r>
              <w:rPr>
                <w:rFonts w:eastAsia="Times New Roman"/>
                <w:color w:val="000000"/>
                <w:sz w:val="20"/>
                <w:szCs w:val="20"/>
              </w:rPr>
              <w:t>765 </w:t>
            </w:r>
          </w:p>
        </w:tc>
        <w:tc>
          <w:tcPr>
            <w:tcW w:w="0" w:type="auto"/>
            <w:shd w:val="clear" w:color="auto" w:fill="CCEEFF"/>
            <w:tcMar>
              <w:top w:w="30" w:type="dxa"/>
              <w:left w:w="0" w:type="dxa"/>
              <w:bottom w:w="30" w:type="dxa"/>
              <w:right w:w="20" w:type="dxa"/>
            </w:tcMar>
            <w:vAlign w:val="bottom"/>
            <w:hideMark/>
          </w:tcPr>
          <w:p w14:paraId="76BE8FA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A2CD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B659D1" w14:textId="77777777" w:rsidR="00000000" w:rsidRDefault="00C1661D">
            <w:pPr>
              <w:spacing w:after="100"/>
              <w:jc w:val="right"/>
              <w:rPr>
                <w:rFonts w:eastAsia="Times New Roman"/>
              </w:rPr>
            </w:pPr>
            <w:r>
              <w:rPr>
                <w:rFonts w:eastAsia="Times New Roman"/>
                <w:color w:val="000000"/>
                <w:sz w:val="20"/>
                <w:szCs w:val="20"/>
              </w:rPr>
              <w:t>1,871 </w:t>
            </w:r>
          </w:p>
        </w:tc>
        <w:tc>
          <w:tcPr>
            <w:tcW w:w="0" w:type="auto"/>
            <w:shd w:val="clear" w:color="auto" w:fill="CCEEFF"/>
            <w:tcMar>
              <w:top w:w="30" w:type="dxa"/>
              <w:left w:w="0" w:type="dxa"/>
              <w:bottom w:w="30" w:type="dxa"/>
              <w:right w:w="20" w:type="dxa"/>
            </w:tcMar>
            <w:vAlign w:val="bottom"/>
            <w:hideMark/>
          </w:tcPr>
          <w:p w14:paraId="2EA0857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2DC8B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7A69DF" w14:textId="77777777" w:rsidR="00000000" w:rsidRDefault="00C1661D">
            <w:pPr>
              <w:spacing w:after="100"/>
              <w:jc w:val="right"/>
              <w:rPr>
                <w:rFonts w:eastAsia="Times New Roman"/>
              </w:rPr>
            </w:pPr>
            <w:r>
              <w:rPr>
                <w:rFonts w:eastAsia="Times New Roman"/>
                <w:color w:val="000000"/>
                <w:sz w:val="20"/>
                <w:szCs w:val="20"/>
              </w:rPr>
              <w:t>1,938 </w:t>
            </w:r>
          </w:p>
        </w:tc>
        <w:tc>
          <w:tcPr>
            <w:tcW w:w="0" w:type="auto"/>
            <w:shd w:val="clear" w:color="auto" w:fill="CCEEFF"/>
            <w:tcMar>
              <w:top w:w="30" w:type="dxa"/>
              <w:left w:w="0" w:type="dxa"/>
              <w:bottom w:w="30" w:type="dxa"/>
              <w:right w:w="20" w:type="dxa"/>
            </w:tcMar>
            <w:vAlign w:val="bottom"/>
            <w:hideMark/>
          </w:tcPr>
          <w:p w14:paraId="453C9C34" w14:textId="77777777" w:rsidR="00000000" w:rsidRDefault="00C1661D">
            <w:pPr>
              <w:spacing w:after="100"/>
              <w:jc w:val="right"/>
              <w:rPr>
                <w:rFonts w:eastAsia="Times New Roman"/>
              </w:rPr>
            </w:pPr>
          </w:p>
        </w:tc>
      </w:tr>
      <w:tr w:rsidR="00000000" w14:paraId="21088F2F" w14:textId="77777777">
        <w:trPr>
          <w:divId w:val="2052268110"/>
          <w:jc w:val="center"/>
        </w:trPr>
        <w:tc>
          <w:tcPr>
            <w:tcW w:w="0" w:type="auto"/>
            <w:gridSpan w:val="3"/>
            <w:shd w:val="clear" w:color="auto" w:fill="FFFFFF"/>
            <w:tcMar>
              <w:top w:w="30" w:type="dxa"/>
              <w:left w:w="245" w:type="dxa"/>
              <w:bottom w:w="30" w:type="dxa"/>
              <w:right w:w="20" w:type="dxa"/>
            </w:tcMar>
            <w:vAlign w:val="bottom"/>
            <w:hideMark/>
          </w:tcPr>
          <w:p w14:paraId="00E87170" w14:textId="77777777" w:rsidR="00000000" w:rsidRDefault="00C1661D">
            <w:pPr>
              <w:spacing w:after="100"/>
              <w:rPr>
                <w:rFonts w:eastAsia="Times New Roman"/>
              </w:rPr>
            </w:pPr>
            <w:r>
              <w:rPr>
                <w:rFonts w:eastAsia="Times New Roman"/>
                <w:color w:val="000000"/>
                <w:sz w:val="20"/>
                <w:szCs w:val="20"/>
              </w:rPr>
              <w:t>Other long-term debt</w:t>
            </w:r>
          </w:p>
        </w:tc>
        <w:tc>
          <w:tcPr>
            <w:tcW w:w="0" w:type="auto"/>
            <w:gridSpan w:val="2"/>
            <w:shd w:val="clear" w:color="auto" w:fill="FFFFFF"/>
            <w:tcMar>
              <w:top w:w="30" w:type="dxa"/>
              <w:left w:w="20" w:type="dxa"/>
              <w:bottom w:w="30" w:type="dxa"/>
              <w:right w:w="0" w:type="dxa"/>
            </w:tcMar>
            <w:vAlign w:val="bottom"/>
            <w:hideMark/>
          </w:tcPr>
          <w:p w14:paraId="70548F01"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FF17D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428FD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95D566"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5E2861C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3CD4B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B8F86D" w14:textId="77777777" w:rsidR="00000000" w:rsidRDefault="00C1661D">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14:paraId="691F2AD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BA56C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9F5193" w14:textId="77777777" w:rsidR="00000000" w:rsidRDefault="00C1661D">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14:paraId="0909736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9D320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95EB53" w14:textId="77777777" w:rsidR="00000000" w:rsidRDefault="00C1661D">
            <w:pPr>
              <w:spacing w:after="100"/>
              <w:jc w:val="right"/>
              <w:rPr>
                <w:rFonts w:eastAsia="Times New Roman"/>
              </w:rPr>
            </w:pPr>
            <w:r>
              <w:rPr>
                <w:rFonts w:eastAsia="Times New Roman"/>
                <w:color w:val="000000"/>
                <w:sz w:val="20"/>
                <w:szCs w:val="20"/>
              </w:rPr>
              <w:t>258 </w:t>
            </w:r>
          </w:p>
        </w:tc>
        <w:tc>
          <w:tcPr>
            <w:tcW w:w="0" w:type="auto"/>
            <w:shd w:val="clear" w:color="auto" w:fill="FFFFFF"/>
            <w:tcMar>
              <w:top w:w="30" w:type="dxa"/>
              <w:left w:w="0" w:type="dxa"/>
              <w:bottom w:w="30" w:type="dxa"/>
              <w:right w:w="20" w:type="dxa"/>
            </w:tcMar>
            <w:vAlign w:val="bottom"/>
            <w:hideMark/>
          </w:tcPr>
          <w:p w14:paraId="1171976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C9685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B48DFF" w14:textId="77777777" w:rsidR="00000000" w:rsidRDefault="00C1661D">
            <w:pPr>
              <w:spacing w:after="100"/>
              <w:jc w:val="right"/>
              <w:rPr>
                <w:rFonts w:eastAsia="Times New Roman"/>
              </w:rPr>
            </w:pPr>
            <w:r>
              <w:rPr>
                <w:rFonts w:eastAsia="Times New Roman"/>
                <w:color w:val="000000"/>
                <w:sz w:val="20"/>
                <w:szCs w:val="20"/>
              </w:rPr>
              <w:t>322 </w:t>
            </w:r>
          </w:p>
        </w:tc>
        <w:tc>
          <w:tcPr>
            <w:tcW w:w="0" w:type="auto"/>
            <w:shd w:val="clear" w:color="auto" w:fill="FFFFFF"/>
            <w:tcMar>
              <w:top w:w="30" w:type="dxa"/>
              <w:left w:w="0" w:type="dxa"/>
              <w:bottom w:w="30" w:type="dxa"/>
              <w:right w:w="20" w:type="dxa"/>
            </w:tcMar>
            <w:vAlign w:val="bottom"/>
            <w:hideMark/>
          </w:tcPr>
          <w:p w14:paraId="23B858E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37C45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748523" w14:textId="77777777" w:rsidR="00000000" w:rsidRDefault="00C1661D">
            <w:pPr>
              <w:spacing w:after="100"/>
              <w:jc w:val="right"/>
              <w:rPr>
                <w:rFonts w:eastAsia="Times New Roman"/>
              </w:rPr>
            </w:pPr>
            <w:r>
              <w:rPr>
                <w:rFonts w:eastAsia="Times New Roman"/>
                <w:color w:val="000000"/>
                <w:sz w:val="20"/>
                <w:szCs w:val="20"/>
              </w:rPr>
              <w:t>283 </w:t>
            </w:r>
          </w:p>
        </w:tc>
        <w:tc>
          <w:tcPr>
            <w:tcW w:w="0" w:type="auto"/>
            <w:shd w:val="clear" w:color="auto" w:fill="FFFFFF"/>
            <w:tcMar>
              <w:top w:w="30" w:type="dxa"/>
              <w:left w:w="0" w:type="dxa"/>
              <w:bottom w:w="30" w:type="dxa"/>
              <w:right w:w="20" w:type="dxa"/>
            </w:tcMar>
            <w:vAlign w:val="bottom"/>
            <w:hideMark/>
          </w:tcPr>
          <w:p w14:paraId="712484D3" w14:textId="77777777" w:rsidR="00000000" w:rsidRDefault="00C1661D">
            <w:pPr>
              <w:spacing w:after="100"/>
              <w:jc w:val="right"/>
              <w:rPr>
                <w:rFonts w:eastAsia="Times New Roman"/>
              </w:rPr>
            </w:pPr>
          </w:p>
        </w:tc>
      </w:tr>
      <w:tr w:rsidR="00000000" w14:paraId="6BFE6024" w14:textId="77777777">
        <w:trPr>
          <w:divId w:val="2052268110"/>
          <w:jc w:val="center"/>
        </w:trPr>
        <w:tc>
          <w:tcPr>
            <w:tcW w:w="0" w:type="auto"/>
            <w:gridSpan w:val="3"/>
            <w:shd w:val="clear" w:color="auto" w:fill="CCEEFF"/>
            <w:tcMar>
              <w:top w:w="30" w:type="dxa"/>
              <w:left w:w="245" w:type="dxa"/>
              <w:bottom w:w="30" w:type="dxa"/>
              <w:right w:w="20" w:type="dxa"/>
            </w:tcMar>
            <w:vAlign w:val="bottom"/>
            <w:hideMark/>
          </w:tcPr>
          <w:p w14:paraId="6069D3B7" w14:textId="77777777" w:rsidR="00000000" w:rsidRDefault="00C1661D">
            <w:pPr>
              <w:spacing w:after="100"/>
              <w:rPr>
                <w:rFonts w:eastAsia="Times New Roman"/>
              </w:rPr>
            </w:pPr>
            <w:r>
              <w:rPr>
                <w:rFonts w:eastAsia="Times New Roman"/>
                <w:color w:val="000000"/>
                <w:sz w:val="20"/>
                <w:szCs w:val="20"/>
              </w:rPr>
              <w:t>Unamortized debt issuance costs</w:t>
            </w:r>
          </w:p>
        </w:tc>
        <w:tc>
          <w:tcPr>
            <w:tcW w:w="0" w:type="auto"/>
            <w:gridSpan w:val="2"/>
            <w:shd w:val="clear" w:color="auto" w:fill="CCEEFF"/>
            <w:tcMar>
              <w:top w:w="30" w:type="dxa"/>
              <w:left w:w="20" w:type="dxa"/>
              <w:bottom w:w="30" w:type="dxa"/>
              <w:right w:w="0" w:type="dxa"/>
            </w:tcMar>
            <w:vAlign w:val="bottom"/>
            <w:hideMark/>
          </w:tcPr>
          <w:p w14:paraId="56EC04EC" w14:textId="77777777" w:rsidR="00000000" w:rsidRDefault="00C1661D">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3785ABB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19B7D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AD9E12" w14:textId="77777777" w:rsidR="00000000" w:rsidRDefault="00C1661D">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14:paraId="2E960DE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9F357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D245E8" w14:textId="77777777" w:rsidR="00000000" w:rsidRDefault="00C1661D">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70D0B9E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78F76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B75F6A" w14:textId="77777777" w:rsidR="00000000" w:rsidRDefault="00C1661D">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14:paraId="26D4462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949F3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ADA2CE" w14:textId="77777777" w:rsidR="00000000" w:rsidRDefault="00C1661D">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784B82C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563F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37BF0A" w14:textId="77777777" w:rsidR="00000000" w:rsidRDefault="00C1661D">
            <w:pPr>
              <w:spacing w:after="100"/>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14:paraId="7FA895B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5227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89037A" w14:textId="77777777" w:rsidR="00000000" w:rsidRDefault="00C1661D">
            <w:pPr>
              <w:spacing w:after="100"/>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14:paraId="02575902" w14:textId="77777777" w:rsidR="00000000" w:rsidRDefault="00C1661D">
            <w:pPr>
              <w:spacing w:after="100"/>
              <w:jc w:val="right"/>
              <w:rPr>
                <w:rFonts w:eastAsia="Times New Roman"/>
              </w:rPr>
            </w:pPr>
          </w:p>
        </w:tc>
      </w:tr>
      <w:tr w:rsidR="00C1661D" w14:paraId="38BFDCB3" w14:textId="77777777">
        <w:trPr>
          <w:divId w:val="2052268110"/>
          <w:jc w:val="center"/>
        </w:trPr>
        <w:tc>
          <w:tcPr>
            <w:tcW w:w="0" w:type="auto"/>
            <w:gridSpan w:val="3"/>
            <w:shd w:val="clear" w:color="auto" w:fill="FFFFFF"/>
            <w:tcMar>
              <w:top w:w="30" w:type="dxa"/>
              <w:left w:w="245" w:type="dxa"/>
              <w:bottom w:w="30" w:type="dxa"/>
              <w:right w:w="20" w:type="dxa"/>
            </w:tcMar>
            <w:vAlign w:val="bottom"/>
            <w:hideMark/>
          </w:tcPr>
          <w:p w14:paraId="18BB2AB0" w14:textId="77777777" w:rsidR="00000000" w:rsidRDefault="00C1661D">
            <w:pPr>
              <w:spacing w:after="100"/>
              <w:rPr>
                <w:rFonts w:eastAsia="Times New Roman"/>
              </w:rPr>
            </w:pPr>
            <w:r>
              <w:rPr>
                <w:rFonts w:eastAsia="Times New Roman"/>
                <w:color w:val="000000"/>
                <w:sz w:val="20"/>
                <w:szCs w:val="20"/>
              </w:rPr>
              <w:t>Total long-term debt</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6151D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8C9B63" w14:textId="77777777" w:rsidR="00000000" w:rsidRDefault="00C1661D">
            <w:pPr>
              <w:spacing w:after="100"/>
              <w:jc w:val="right"/>
              <w:rPr>
                <w:rFonts w:eastAsia="Times New Roman"/>
              </w:rPr>
            </w:pPr>
            <w:r>
              <w:rPr>
                <w:rFonts w:eastAsia="Times New Roman"/>
                <w:color w:val="000000"/>
                <w:sz w:val="20"/>
                <w:szCs w:val="20"/>
              </w:rPr>
              <w:t>2,563 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32045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DDACEF"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C404E8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1154B5" w14:textId="77777777" w:rsidR="00000000" w:rsidRDefault="00C1661D">
            <w:pPr>
              <w:spacing w:after="100"/>
              <w:jc w:val="right"/>
              <w:rPr>
                <w:rFonts w:eastAsia="Times New Roman"/>
              </w:rPr>
            </w:pPr>
            <w:r>
              <w:rPr>
                <w:rFonts w:eastAsia="Times New Roman"/>
                <w:color w:val="000000"/>
                <w:sz w:val="20"/>
                <w:szCs w:val="20"/>
              </w:rPr>
              <w:t>682 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EB580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9DE2AF"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40E260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DD479FC" w14:textId="77777777" w:rsidR="00000000" w:rsidRDefault="00C1661D">
            <w:pPr>
              <w:spacing w:after="100"/>
              <w:jc w:val="right"/>
              <w:rPr>
                <w:rFonts w:eastAsia="Times New Roman"/>
              </w:rPr>
            </w:pPr>
            <w:r>
              <w:rPr>
                <w:rFonts w:eastAsia="Times New Roman"/>
                <w:color w:val="000000"/>
                <w:sz w:val="20"/>
                <w:szCs w:val="20"/>
              </w:rPr>
              <w:t>710 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5883E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C9EA99"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639BEB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055F866" w14:textId="77777777" w:rsidR="00000000" w:rsidRDefault="00C1661D">
            <w:pPr>
              <w:spacing w:after="100"/>
              <w:jc w:val="right"/>
              <w:rPr>
                <w:rFonts w:eastAsia="Times New Roman"/>
              </w:rPr>
            </w:pPr>
            <w:r>
              <w:rPr>
                <w:rFonts w:eastAsia="Times New Roman"/>
                <w:color w:val="000000"/>
                <w:sz w:val="20"/>
                <w:szCs w:val="20"/>
              </w:rPr>
              <w:t>1,656 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27484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DBDB7"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33E61B"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0F5E5E" w14:textId="77777777" w:rsidR="00000000" w:rsidRDefault="00C1661D">
            <w:pPr>
              <w:spacing w:after="100"/>
              <w:jc w:val="right"/>
              <w:rPr>
                <w:rFonts w:eastAsia="Times New Roman"/>
              </w:rPr>
            </w:pPr>
            <w:r>
              <w:rPr>
                <w:rFonts w:eastAsia="Times New Roman"/>
                <w:color w:val="000000"/>
                <w:sz w:val="20"/>
                <w:szCs w:val="20"/>
              </w:rPr>
              <w:t>1,021 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A41DB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146F43"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8FD344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CA966E" w14:textId="77777777" w:rsidR="00000000" w:rsidRDefault="00C1661D">
            <w:pPr>
              <w:spacing w:after="100"/>
              <w:jc w:val="right"/>
              <w:rPr>
                <w:rFonts w:eastAsia="Times New Roman"/>
              </w:rPr>
            </w:pPr>
            <w:r>
              <w:rPr>
                <w:rFonts w:eastAsia="Times New Roman"/>
                <w:color w:val="000000"/>
                <w:sz w:val="20"/>
                <w:szCs w:val="20"/>
              </w:rPr>
              <w:t>6,632 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F9B45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7E777"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0C777C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49F170" w14:textId="77777777" w:rsidR="00000000" w:rsidRDefault="00C1661D">
            <w:pPr>
              <w:spacing w:after="100"/>
              <w:jc w:val="right"/>
              <w:rPr>
                <w:rFonts w:eastAsia="Times New Roman"/>
              </w:rPr>
            </w:pPr>
            <w:r>
              <w:rPr>
                <w:rFonts w:eastAsia="Times New Roman"/>
                <w:color w:val="000000"/>
                <w:sz w:val="20"/>
                <w:szCs w:val="20"/>
              </w:rPr>
              <w:t>6,449 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C05D15" w14:textId="77777777" w:rsidR="00000000" w:rsidRDefault="00C1661D">
            <w:pPr>
              <w:spacing w:after="100"/>
              <w:jc w:val="right"/>
              <w:rPr>
                <w:rFonts w:eastAsia="Times New Roman"/>
              </w:rPr>
            </w:pPr>
          </w:p>
        </w:tc>
      </w:tr>
      <w:tr w:rsidR="00C1661D" w14:paraId="2736DE80" w14:textId="77777777">
        <w:trPr>
          <w:divId w:val="2052268110"/>
          <w:jc w:val="center"/>
        </w:trPr>
        <w:tc>
          <w:tcPr>
            <w:tcW w:w="0" w:type="auto"/>
            <w:gridSpan w:val="3"/>
            <w:shd w:val="clear" w:color="auto" w:fill="CCEEFF"/>
            <w:tcMar>
              <w:top w:w="30" w:type="dxa"/>
              <w:left w:w="20" w:type="dxa"/>
              <w:bottom w:w="30" w:type="dxa"/>
              <w:right w:w="20" w:type="dxa"/>
            </w:tcMar>
            <w:vAlign w:val="bottom"/>
            <w:hideMark/>
          </w:tcPr>
          <w:p w14:paraId="33829259" w14:textId="77777777" w:rsidR="00000000" w:rsidRDefault="00C1661D">
            <w:pPr>
              <w:spacing w:after="100"/>
              <w:rPr>
                <w:rFonts w:eastAsia="Times New Roman"/>
              </w:rPr>
            </w:pPr>
            <w:r>
              <w:rPr>
                <w:rFonts w:eastAsia="Times New Roman"/>
                <w:color w:val="000000"/>
                <w:sz w:val="20"/>
                <w:szCs w:val="20"/>
              </w:rPr>
              <w:t>Total debt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353993"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EE7CB1" w14:textId="77777777" w:rsidR="00000000" w:rsidRDefault="00C1661D">
            <w:pPr>
              <w:spacing w:after="100"/>
              <w:jc w:val="right"/>
              <w:rPr>
                <w:rFonts w:eastAsia="Times New Roman"/>
              </w:rPr>
            </w:pPr>
            <w:r>
              <w:rPr>
                <w:rFonts w:eastAsia="Times New Roman"/>
                <w:color w:val="000000"/>
                <w:sz w:val="20"/>
                <w:szCs w:val="20"/>
              </w:rPr>
              <w:t>2,694 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32664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B3CD6"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A9C5AC"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11087D" w14:textId="77777777" w:rsidR="00000000" w:rsidRDefault="00C1661D">
            <w:pPr>
              <w:spacing w:after="100"/>
              <w:jc w:val="right"/>
              <w:rPr>
                <w:rFonts w:eastAsia="Times New Roman"/>
              </w:rPr>
            </w:pPr>
            <w:r>
              <w:rPr>
                <w:rFonts w:eastAsia="Times New Roman"/>
                <w:color w:val="000000"/>
                <w:sz w:val="20"/>
                <w:szCs w:val="20"/>
              </w:rPr>
              <w:t>683 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7F754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C41FA1"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FE4BB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AB785C" w14:textId="77777777" w:rsidR="00000000" w:rsidRDefault="00C1661D">
            <w:pPr>
              <w:spacing w:after="100"/>
              <w:jc w:val="right"/>
              <w:rPr>
                <w:rFonts w:eastAsia="Times New Roman"/>
              </w:rPr>
            </w:pPr>
            <w:r>
              <w:rPr>
                <w:rFonts w:eastAsia="Times New Roman"/>
                <w:color w:val="000000"/>
                <w:sz w:val="20"/>
                <w:szCs w:val="20"/>
              </w:rPr>
              <w:t>710 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3522D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86352D"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B2B31F"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E8E99CE" w14:textId="77777777" w:rsidR="00000000" w:rsidRDefault="00C1661D">
            <w:pPr>
              <w:spacing w:after="100"/>
              <w:jc w:val="right"/>
              <w:rPr>
                <w:rFonts w:eastAsia="Times New Roman"/>
              </w:rPr>
            </w:pPr>
            <w:r>
              <w:rPr>
                <w:rFonts w:eastAsia="Times New Roman"/>
                <w:color w:val="000000"/>
                <w:sz w:val="20"/>
                <w:szCs w:val="20"/>
              </w:rPr>
              <w:t>1,892 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AF631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79D29B"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916F4E"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867EBDC" w14:textId="77777777" w:rsidR="00000000" w:rsidRDefault="00C1661D">
            <w:pPr>
              <w:spacing w:after="100"/>
              <w:jc w:val="right"/>
              <w:rPr>
                <w:rFonts w:eastAsia="Times New Roman"/>
              </w:rPr>
            </w:pPr>
            <w:r>
              <w:rPr>
                <w:rFonts w:eastAsia="Times New Roman"/>
                <w:color w:val="000000"/>
                <w:sz w:val="20"/>
                <w:szCs w:val="20"/>
              </w:rPr>
              <w:t>1,021 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D03FA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2780C7"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841D3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61DFC3" w14:textId="77777777" w:rsidR="00000000" w:rsidRDefault="00C1661D">
            <w:pPr>
              <w:spacing w:after="100"/>
              <w:jc w:val="right"/>
              <w:rPr>
                <w:rFonts w:eastAsia="Times New Roman"/>
              </w:rPr>
            </w:pPr>
            <w:r>
              <w:rPr>
                <w:rFonts w:eastAsia="Times New Roman"/>
                <w:color w:val="000000"/>
                <w:sz w:val="20"/>
                <w:szCs w:val="20"/>
              </w:rPr>
              <w:t>7,000 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D1FD5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F04FEA"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369A0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8BFC61A" w14:textId="77777777" w:rsidR="00000000" w:rsidRDefault="00C1661D">
            <w:pPr>
              <w:spacing w:after="100"/>
              <w:jc w:val="right"/>
              <w:rPr>
                <w:rFonts w:eastAsia="Times New Roman"/>
              </w:rPr>
            </w:pPr>
            <w:r>
              <w:rPr>
                <w:rFonts w:eastAsia="Times New Roman"/>
                <w:color w:val="000000"/>
                <w:sz w:val="20"/>
                <w:szCs w:val="20"/>
              </w:rPr>
              <w:t>6,816 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01F98D5" w14:textId="77777777" w:rsidR="00000000" w:rsidRDefault="00C1661D">
            <w:pPr>
              <w:spacing w:after="100"/>
              <w:jc w:val="right"/>
              <w:rPr>
                <w:rFonts w:eastAsia="Times New Roman"/>
              </w:rPr>
            </w:pPr>
          </w:p>
        </w:tc>
      </w:tr>
    </w:tbl>
    <w:p w14:paraId="7F029409" w14:textId="77777777" w:rsidR="00000000" w:rsidRDefault="00C1661D">
      <w:pPr>
        <w:jc w:val="both"/>
        <w:divId w:val="1810784409"/>
        <w:rPr>
          <w:rFonts w:eastAsia="Times New Roman"/>
        </w:rPr>
      </w:pPr>
      <w:r>
        <w:rPr>
          <w:rFonts w:eastAsia="Times New Roman"/>
          <w:b/>
          <w:bCs/>
          <w:i/>
          <w:iCs/>
          <w:color w:val="000000"/>
          <w:sz w:val="20"/>
          <w:szCs w:val="20"/>
        </w:rPr>
        <w:t>Significant Financing Activities</w:t>
      </w:r>
    </w:p>
    <w:p w14:paraId="20F61EAC" w14:textId="77777777" w:rsidR="00000000" w:rsidRDefault="00C1661D">
      <w:pPr>
        <w:jc w:val="both"/>
        <w:divId w:val="1752964579"/>
        <w:rPr>
          <w:rFonts w:eastAsia="Times New Roman"/>
        </w:rPr>
      </w:pPr>
      <w:r>
        <w:rPr>
          <w:rFonts w:eastAsia="Times New Roman"/>
          <w:b/>
          <w:bCs/>
          <w:i/>
          <w:iCs/>
          <w:color w:val="000000"/>
          <w:sz w:val="20"/>
          <w:szCs w:val="20"/>
        </w:rPr>
        <w:t>Mountaineer Credit Agreement.</w:t>
      </w:r>
      <w:r>
        <w:rPr>
          <w:rFonts w:eastAsia="Times New Roman"/>
          <w:b/>
          <w:bCs/>
          <w:color w:val="000000"/>
          <w:sz w:val="20"/>
          <w:szCs w:val="20"/>
        </w:rPr>
        <w:t xml:space="preserve"> </w:t>
      </w:r>
      <w:r>
        <w:rPr>
          <w:rFonts w:eastAsia="Times New Roman"/>
          <w:color w:val="000000"/>
          <w:sz w:val="20"/>
          <w:szCs w:val="20"/>
        </w:rPr>
        <w:t>On October 20, 2022, Mountaineer entered into the Mountaineer 2023 Credit Agreement, as borrower, with a group of lenders. The Mountaineer 2023 Credit Agreement amends and restates a previous c</w:t>
      </w:r>
      <w:r>
        <w:rPr>
          <w:rFonts w:eastAsia="Times New Roman"/>
          <w:color w:val="000000"/>
          <w:sz w:val="20"/>
          <w:szCs w:val="20"/>
        </w:rPr>
        <w:t xml:space="preserve">redit agreement and provides for borrowings up to $150 million, including a $20 million sublimit for letters of credit. Mountaineer may request an increase in the amount of loan commitments to a maximum aggregate amount of $250 million, subject to certain </w:t>
      </w:r>
      <w:r>
        <w:rPr>
          <w:rFonts w:eastAsia="Times New Roman"/>
          <w:color w:val="000000"/>
          <w:sz w:val="20"/>
          <w:szCs w:val="20"/>
        </w:rPr>
        <w:t xml:space="preserve">terms and conditions. Borrowings under the Mountaineer 2023 Credit Agreement can be used to finance the working capital needs of Mountaineer and for general corporate purposes. The Mountaineer 2023 Credit Agreement is scheduled to expire in November 2024, </w:t>
      </w:r>
      <w:r>
        <w:rPr>
          <w:rFonts w:eastAsia="Times New Roman"/>
          <w:color w:val="000000"/>
          <w:sz w:val="20"/>
          <w:szCs w:val="20"/>
        </w:rPr>
        <w:t>with an option to extend the maturity date.</w:t>
      </w:r>
    </w:p>
    <w:p w14:paraId="1D037AA3" w14:textId="77777777" w:rsidR="00000000" w:rsidRDefault="00C1661D">
      <w:pPr>
        <w:jc w:val="both"/>
        <w:divId w:val="680082534"/>
        <w:rPr>
          <w:rFonts w:eastAsia="Times New Roman"/>
        </w:rPr>
      </w:pPr>
      <w:r>
        <w:rPr>
          <w:rFonts w:eastAsia="Times New Roman"/>
          <w:b/>
          <w:bCs/>
          <w:i/>
          <w:iCs/>
          <w:color w:val="000000"/>
          <w:sz w:val="20"/>
          <w:szCs w:val="20"/>
        </w:rPr>
        <w:t>AmeriGas Propane.</w:t>
      </w:r>
      <w:r>
        <w:rPr>
          <w:rFonts w:eastAsia="Times New Roman"/>
          <w:color w:val="000000"/>
          <w:sz w:val="20"/>
          <w:szCs w:val="20"/>
        </w:rPr>
        <w:t xml:space="preserve"> </w:t>
      </w:r>
      <w:r>
        <w:rPr>
          <w:rFonts w:eastAsia="Times New Roman"/>
          <w:color w:val="000000"/>
          <w:sz w:val="20"/>
          <w:szCs w:val="20"/>
        </w:rPr>
        <w:t xml:space="preserve">On September 28, 2022, AmeriGas Propane entered into the 2022 AmeriGas OLP Credit Agreement, as borrower, with a group of lenders. In connection with the entering into of the 2022 AmeriGas OLP Credit Agreement, the borrower paid off in full and terminated </w:t>
      </w:r>
      <w:r>
        <w:rPr>
          <w:rFonts w:eastAsia="Times New Roman"/>
          <w:color w:val="000000"/>
          <w:sz w:val="20"/>
          <w:szCs w:val="20"/>
        </w:rPr>
        <w:t>the existing AmeriGas OLP Credit Agreement. The 2022 AmeriGas OLP Credit Agreement provides for borrowings up to $600 million, including a $100 million sublimit for letters of credit. AmeriGas Propane may request an increase in the amount of loan commitmen</w:t>
      </w:r>
      <w:r>
        <w:rPr>
          <w:rFonts w:eastAsia="Times New Roman"/>
          <w:color w:val="000000"/>
          <w:sz w:val="20"/>
          <w:szCs w:val="20"/>
        </w:rPr>
        <w:t>ts under the 2022 AmeriGas OLP Credit Agreement to a maximum aggregate amount of $900 million, subject to certain terms and conditions. Borrowings under the 2022 AmeriGas OLP Credit Agreement can be used to fund acquisitions and investments and for general</w:t>
      </w:r>
      <w:r>
        <w:rPr>
          <w:rFonts w:eastAsia="Times New Roman"/>
          <w:color w:val="000000"/>
          <w:sz w:val="20"/>
          <w:szCs w:val="20"/>
        </w:rPr>
        <w:t xml:space="preserve"> corporate purposes. The 2022 AmeriGas OLP Credit Agreement is scheduled to expire in September 2026.</w:t>
      </w:r>
    </w:p>
    <w:p w14:paraId="29848400" w14:textId="77777777" w:rsidR="00000000" w:rsidRDefault="00C1661D">
      <w:pPr>
        <w:jc w:val="both"/>
        <w:rPr>
          <w:rFonts w:eastAsia="Times New Roman"/>
        </w:rPr>
      </w:pPr>
    </w:p>
    <w:p w14:paraId="5BC8C419" w14:textId="77777777" w:rsidR="00000000" w:rsidRDefault="00C1661D">
      <w:pPr>
        <w:jc w:val="both"/>
        <w:rPr>
          <w:rFonts w:eastAsia="Times New Roman"/>
        </w:rPr>
      </w:pPr>
      <w:r>
        <w:rPr>
          <w:rFonts w:eastAsia="Times New Roman"/>
          <w:b/>
          <w:bCs/>
          <w:i/>
          <w:iCs/>
          <w:color w:val="000000"/>
          <w:sz w:val="20"/>
          <w:szCs w:val="20"/>
        </w:rPr>
        <w:t xml:space="preserve">UGI Utilities. </w:t>
      </w:r>
      <w:r>
        <w:rPr>
          <w:rFonts w:eastAsia="Times New Roman"/>
          <w:color w:val="000000"/>
          <w:sz w:val="20"/>
          <w:szCs w:val="20"/>
        </w:rPr>
        <w:t>On July 12, 2022, UGI Utilities amended the Utilities Term Loan. The amendment extended the maturity date of the loan from October 2022 t</w:t>
      </w:r>
      <w:r>
        <w:rPr>
          <w:rFonts w:eastAsia="Times New Roman"/>
          <w:color w:val="000000"/>
          <w:sz w:val="20"/>
          <w:szCs w:val="20"/>
        </w:rPr>
        <w:t>o July 2027, among other things. The current amount outstanding under the Utilities Term Loan remains unchanged and is payable in quarterly installments of $2 million, with the balance of the principal being due and payable in full at maturity. We have ent</w:t>
      </w:r>
      <w:r>
        <w:rPr>
          <w:rFonts w:eastAsia="Times New Roman"/>
          <w:color w:val="000000"/>
          <w:sz w:val="20"/>
          <w:szCs w:val="20"/>
        </w:rPr>
        <w:t>ered into an interest rate swap that will generally fix the underlying market-based interest rate on this variable-rate loan through June 2026.</w:t>
      </w:r>
    </w:p>
    <w:p w14:paraId="4017D397" w14:textId="77777777" w:rsidR="00000000" w:rsidRDefault="00C1661D">
      <w:pPr>
        <w:jc w:val="both"/>
        <w:rPr>
          <w:rFonts w:eastAsia="Times New Roman"/>
        </w:rPr>
      </w:pPr>
    </w:p>
    <w:p w14:paraId="6D1D1FE5" w14:textId="77777777" w:rsidR="00000000" w:rsidRDefault="00C1661D">
      <w:pPr>
        <w:jc w:val="both"/>
        <w:rPr>
          <w:rFonts w:eastAsia="Times New Roman"/>
        </w:rPr>
      </w:pPr>
      <w:r>
        <w:rPr>
          <w:rFonts w:eastAsia="Times New Roman"/>
          <w:color w:val="000000"/>
          <w:sz w:val="20"/>
          <w:szCs w:val="20"/>
        </w:rPr>
        <w:t>On June 30, 2022, UGI Utilities entered into a note purchase agreement which provides for the private placemen</w:t>
      </w:r>
      <w:r>
        <w:rPr>
          <w:rFonts w:eastAsia="Times New Roman"/>
          <w:color w:val="000000"/>
          <w:sz w:val="20"/>
          <w:szCs w:val="20"/>
        </w:rPr>
        <w:t>t of (1) $90 million aggregate principal amount of 4.75% Senior Notes due July 15, 2032 and (2) $85 million aggregate principal amount of 4.99% Senior Notes due September 15, 2052. On July 15, 2022, UGI Utilities issued $90 million aggregate principal amou</w:t>
      </w:r>
      <w:r>
        <w:rPr>
          <w:rFonts w:eastAsia="Times New Roman"/>
          <w:color w:val="000000"/>
          <w:sz w:val="20"/>
          <w:szCs w:val="20"/>
        </w:rPr>
        <w:t>nt of 4.75% Senior Notes pursuant to the note purchase agreement. On September 15, 2022, UGI Utilities issued $85 million aggregate principal amount of 4.99% Senior Notes pursuant to the note purchase agreement. The net proceeds from the issuance of the 4.</w:t>
      </w:r>
      <w:r>
        <w:rPr>
          <w:rFonts w:eastAsia="Times New Roman"/>
          <w:color w:val="000000"/>
          <w:sz w:val="20"/>
          <w:szCs w:val="20"/>
        </w:rPr>
        <w:t xml:space="preserve">75% Senior Notes and 4.99% Senior Notes were used to reduce short-term borrowings and for general corporate purposes. </w:t>
      </w:r>
    </w:p>
    <w:p w14:paraId="115D7E71" w14:textId="77777777" w:rsidR="00000000" w:rsidRDefault="00C1661D">
      <w:pPr>
        <w:jc w:val="both"/>
        <w:rPr>
          <w:rFonts w:eastAsia="Times New Roman"/>
        </w:rPr>
      </w:pPr>
    </w:p>
    <w:p w14:paraId="4AC87E68" w14:textId="77777777" w:rsidR="00000000" w:rsidRDefault="00C1661D">
      <w:pPr>
        <w:jc w:val="both"/>
        <w:rPr>
          <w:rFonts w:eastAsia="Times New Roman"/>
        </w:rPr>
      </w:pPr>
      <w:r>
        <w:rPr>
          <w:rFonts w:eastAsia="Times New Roman"/>
          <w:b/>
          <w:bCs/>
          <w:i/>
          <w:iCs/>
          <w:color w:val="000000"/>
          <w:sz w:val="20"/>
          <w:szCs w:val="20"/>
        </w:rPr>
        <w:t>Mountaineer.</w:t>
      </w:r>
      <w:r>
        <w:rPr>
          <w:rFonts w:eastAsia="Times New Roman"/>
          <w:color w:val="000000"/>
          <w:sz w:val="20"/>
          <w:szCs w:val="20"/>
        </w:rPr>
        <w:t xml:space="preserve"> On June 30, 2022, Mountaineer entered into a note purchase agreement which provides for the private placement of $40 milli</w:t>
      </w:r>
      <w:r>
        <w:rPr>
          <w:rFonts w:eastAsia="Times New Roman"/>
          <w:color w:val="000000"/>
          <w:sz w:val="20"/>
          <w:szCs w:val="20"/>
        </w:rPr>
        <w:t xml:space="preserve">on aggregate principal amount of 4.49% Senior Notes due August 16, 2052. On August 16, 2022, Mountaineer issued $40 million aggregate principal amount of 4.49% Senior Notes pursuant to the note purchase agreement. The net proceeds from the issuance of the </w:t>
      </w:r>
      <w:r>
        <w:rPr>
          <w:rFonts w:eastAsia="Times New Roman"/>
          <w:color w:val="000000"/>
          <w:sz w:val="20"/>
          <w:szCs w:val="20"/>
        </w:rPr>
        <w:t>4.49% Senior Notes were used to reduce short-term borrowings and for general corporate purposes</w:t>
      </w:r>
      <w:r>
        <w:rPr>
          <w:rFonts w:ascii="Calibri" w:eastAsia="Times New Roman" w:hAnsi="Calibri" w:cs="Calibri"/>
          <w:color w:val="000000"/>
          <w:sz w:val="20"/>
          <w:szCs w:val="20"/>
        </w:rPr>
        <w:t xml:space="preserve">. </w:t>
      </w:r>
    </w:p>
    <w:p w14:paraId="08A62EF5" w14:textId="77777777" w:rsidR="00000000" w:rsidRDefault="00C1661D">
      <w:pPr>
        <w:jc w:val="both"/>
        <w:rPr>
          <w:rFonts w:eastAsia="Times New Roman"/>
        </w:rPr>
      </w:pPr>
    </w:p>
    <w:p w14:paraId="6A6411F1" w14:textId="77777777" w:rsidR="00000000" w:rsidRDefault="00C1661D">
      <w:pPr>
        <w:jc w:val="center"/>
        <w:divId w:val="1091507232"/>
        <w:rPr>
          <w:rFonts w:eastAsia="Times New Roman"/>
        </w:rPr>
      </w:pPr>
      <w:r>
        <w:rPr>
          <w:rFonts w:eastAsia="Times New Roman"/>
          <w:color w:val="000000"/>
          <w:sz w:val="20"/>
          <w:szCs w:val="20"/>
        </w:rPr>
        <w:t>58</w:t>
      </w:r>
    </w:p>
    <w:p w14:paraId="1C113972" w14:textId="77777777" w:rsidR="00000000" w:rsidRDefault="00C1661D">
      <w:pPr>
        <w:rPr>
          <w:rFonts w:eastAsia="Times New Roman"/>
        </w:rPr>
      </w:pPr>
      <w:r>
        <w:rPr>
          <w:rFonts w:eastAsia="Times New Roman"/>
        </w:rPr>
        <w:pict w14:anchorId="2DE7097D">
          <v:rect id="_x0000_i1085" style="width:0;height:1.5pt" o:hralign="center" o:hrstd="t" o:hr="t" fillcolor="#a0a0a0" stroked="f"/>
        </w:pict>
      </w:r>
    </w:p>
    <w:p w14:paraId="5BD59DA8" w14:textId="77777777" w:rsidR="00000000" w:rsidRDefault="00C1661D">
      <w:pPr>
        <w:divId w:val="625507985"/>
        <w:rPr>
          <w:rFonts w:eastAsia="Times New Roman"/>
        </w:rPr>
      </w:pPr>
      <w:hyperlink w:anchor="i3850c3c6c0104e42b9951aac2f16098a_7" w:history="1">
        <w:r>
          <w:rPr>
            <w:rStyle w:val="a3"/>
            <w:rFonts w:eastAsia="Times New Roman"/>
            <w:b/>
            <w:bCs/>
            <w:sz w:val="20"/>
            <w:szCs w:val="20"/>
          </w:rPr>
          <w:t>Table of Contents</w:t>
        </w:r>
      </w:hyperlink>
    </w:p>
    <w:p w14:paraId="2D0E2EAB" w14:textId="77777777" w:rsidR="00000000" w:rsidRDefault="00C1661D">
      <w:pPr>
        <w:jc w:val="both"/>
        <w:rPr>
          <w:rFonts w:eastAsia="Times New Roman"/>
        </w:rPr>
      </w:pPr>
      <w:r>
        <w:rPr>
          <w:rFonts w:eastAsia="Times New Roman"/>
          <w:b/>
          <w:bCs/>
          <w:i/>
          <w:iCs/>
          <w:color w:val="000000"/>
          <w:sz w:val="20"/>
          <w:szCs w:val="20"/>
        </w:rPr>
        <w:t xml:space="preserve">UGI International. </w:t>
      </w:r>
      <w:r>
        <w:rPr>
          <w:rFonts w:eastAsia="Times New Roman"/>
          <w:color w:val="000000"/>
          <w:sz w:val="20"/>
          <w:szCs w:val="20"/>
        </w:rPr>
        <w:t xml:space="preserve">On December 7, 2021, </w:t>
      </w:r>
      <w:r>
        <w:rPr>
          <w:rFonts w:eastAsia="Times New Roman"/>
          <w:color w:val="000000"/>
          <w:sz w:val="20"/>
          <w:szCs w:val="20"/>
        </w:rPr>
        <w:t>UGI International, LLC issued, in an underwritten private placement, €400 million principal amount of the UGI International 2.50% Senior Notes due December 1, 2029. The UGI International 2.50% Senior Notes rank equal in right of payment with indebtedness i</w:t>
      </w:r>
      <w:r>
        <w:rPr>
          <w:rFonts w:eastAsia="Times New Roman"/>
          <w:color w:val="000000"/>
          <w:sz w:val="20"/>
          <w:szCs w:val="20"/>
        </w:rPr>
        <w:t>ssued under the UGI International Credit Facilities Agreement. The net proceeds from the UGI International 2.50% Senior Notes were used (1) to repay all of the UGI International 3.25% Senior Notes due November 1, 2025 and associated fees and expenses and (</w:t>
      </w:r>
      <w:r>
        <w:rPr>
          <w:rFonts w:eastAsia="Times New Roman"/>
          <w:color w:val="000000"/>
          <w:sz w:val="20"/>
          <w:szCs w:val="20"/>
        </w:rPr>
        <w:t>2) for general corporate purposes.</w:t>
      </w:r>
    </w:p>
    <w:p w14:paraId="14211A89" w14:textId="77777777" w:rsidR="00000000" w:rsidRDefault="00C1661D">
      <w:pPr>
        <w:jc w:val="both"/>
        <w:rPr>
          <w:rFonts w:eastAsia="Times New Roman"/>
        </w:rPr>
      </w:pPr>
    </w:p>
    <w:p w14:paraId="5503A706" w14:textId="77777777" w:rsidR="00000000" w:rsidRDefault="00C1661D">
      <w:pPr>
        <w:jc w:val="both"/>
        <w:rPr>
          <w:rFonts w:eastAsia="Times New Roman"/>
        </w:rPr>
      </w:pPr>
      <w:r>
        <w:rPr>
          <w:rFonts w:eastAsia="Times New Roman"/>
          <w:b/>
          <w:bCs/>
          <w:color w:val="000000"/>
          <w:sz w:val="20"/>
          <w:szCs w:val="20"/>
        </w:rPr>
        <w:t>Credit Facilities</w:t>
      </w:r>
    </w:p>
    <w:p w14:paraId="082B864C" w14:textId="77777777" w:rsidR="00000000" w:rsidRDefault="00C1661D">
      <w:pPr>
        <w:jc w:val="both"/>
        <w:rPr>
          <w:rFonts w:eastAsia="Times New Roman"/>
        </w:rPr>
      </w:pPr>
    </w:p>
    <w:p w14:paraId="08CBC16B" w14:textId="77777777" w:rsidR="00000000" w:rsidRDefault="00C1661D">
      <w:pPr>
        <w:jc w:val="both"/>
        <w:rPr>
          <w:rFonts w:eastAsia="Times New Roman"/>
        </w:rPr>
      </w:pPr>
      <w:r>
        <w:rPr>
          <w:rFonts w:eastAsia="Times New Roman"/>
          <w:color w:val="000000"/>
          <w:sz w:val="20"/>
          <w:szCs w:val="20"/>
        </w:rPr>
        <w:t>Information about the Company’s principal credit agreements (excluding Energy Services’ Receivables Facility, which is discussed below) as of September 30, 2022 and 2021, is presented in the tables b</w:t>
      </w:r>
      <w:r>
        <w:rPr>
          <w:rFonts w:eastAsia="Times New Roman"/>
          <w:color w:val="000000"/>
          <w:sz w:val="20"/>
          <w:szCs w:val="20"/>
        </w:rPr>
        <w:t xml:space="preserve">elow. </w:t>
      </w:r>
    </w:p>
    <w:tbl>
      <w:tblPr>
        <w:tblW w:w="4970" w:type="pct"/>
        <w:jc w:val="center"/>
        <w:tblCellMar>
          <w:top w:w="15" w:type="dxa"/>
          <w:left w:w="15" w:type="dxa"/>
          <w:bottom w:w="15" w:type="dxa"/>
          <w:right w:w="15" w:type="dxa"/>
        </w:tblCellMar>
        <w:tblLook w:val="04A0" w:firstRow="1" w:lastRow="0" w:firstColumn="1" w:lastColumn="0" w:noHBand="0" w:noVBand="1"/>
      </w:tblPr>
      <w:tblGrid>
        <w:gridCol w:w="51"/>
        <w:gridCol w:w="1646"/>
        <w:gridCol w:w="39"/>
        <w:gridCol w:w="36"/>
        <w:gridCol w:w="36"/>
        <w:gridCol w:w="36"/>
        <w:gridCol w:w="63"/>
        <w:gridCol w:w="816"/>
        <w:gridCol w:w="36"/>
        <w:gridCol w:w="36"/>
        <w:gridCol w:w="36"/>
        <w:gridCol w:w="36"/>
        <w:gridCol w:w="121"/>
        <w:gridCol w:w="678"/>
        <w:gridCol w:w="36"/>
        <w:gridCol w:w="36"/>
        <w:gridCol w:w="36"/>
        <w:gridCol w:w="36"/>
        <w:gridCol w:w="121"/>
        <w:gridCol w:w="916"/>
        <w:gridCol w:w="36"/>
        <w:gridCol w:w="36"/>
        <w:gridCol w:w="36"/>
        <w:gridCol w:w="36"/>
        <w:gridCol w:w="121"/>
        <w:gridCol w:w="914"/>
        <w:gridCol w:w="36"/>
        <w:gridCol w:w="36"/>
        <w:gridCol w:w="36"/>
        <w:gridCol w:w="36"/>
        <w:gridCol w:w="121"/>
        <w:gridCol w:w="822"/>
        <w:gridCol w:w="36"/>
        <w:gridCol w:w="36"/>
        <w:gridCol w:w="36"/>
        <w:gridCol w:w="36"/>
        <w:gridCol w:w="70"/>
        <w:gridCol w:w="742"/>
        <w:gridCol w:w="187"/>
      </w:tblGrid>
      <w:tr w:rsidR="00000000" w14:paraId="6BB20B4C" w14:textId="77777777">
        <w:trPr>
          <w:divId w:val="2080007935"/>
          <w:jc w:val="center"/>
        </w:trPr>
        <w:tc>
          <w:tcPr>
            <w:tcW w:w="50" w:type="pct"/>
            <w:vAlign w:val="center"/>
            <w:hideMark/>
          </w:tcPr>
          <w:p w14:paraId="0BC7D501" w14:textId="77777777" w:rsidR="00000000" w:rsidRDefault="00C1661D">
            <w:pPr>
              <w:jc w:val="both"/>
              <w:rPr>
                <w:rFonts w:eastAsia="Times New Roman"/>
              </w:rPr>
            </w:pPr>
          </w:p>
        </w:tc>
        <w:tc>
          <w:tcPr>
            <w:tcW w:w="1187" w:type="pct"/>
            <w:vAlign w:val="center"/>
            <w:hideMark/>
          </w:tcPr>
          <w:p w14:paraId="0C434482" w14:textId="77777777" w:rsidR="00000000" w:rsidRDefault="00C1661D">
            <w:pPr>
              <w:spacing w:after="100"/>
              <w:rPr>
                <w:rFonts w:eastAsia="Times New Roman"/>
                <w:sz w:val="20"/>
                <w:szCs w:val="20"/>
              </w:rPr>
            </w:pPr>
          </w:p>
        </w:tc>
        <w:tc>
          <w:tcPr>
            <w:tcW w:w="5" w:type="pct"/>
            <w:vAlign w:val="center"/>
            <w:hideMark/>
          </w:tcPr>
          <w:p w14:paraId="0BA7EB19" w14:textId="77777777" w:rsidR="00000000" w:rsidRDefault="00C1661D">
            <w:pPr>
              <w:spacing w:after="100"/>
              <w:rPr>
                <w:rFonts w:eastAsia="Times New Roman"/>
                <w:sz w:val="20"/>
                <w:szCs w:val="20"/>
              </w:rPr>
            </w:pPr>
          </w:p>
        </w:tc>
        <w:tc>
          <w:tcPr>
            <w:tcW w:w="5" w:type="pct"/>
            <w:vAlign w:val="center"/>
            <w:hideMark/>
          </w:tcPr>
          <w:p w14:paraId="43F2D694" w14:textId="77777777" w:rsidR="00000000" w:rsidRDefault="00C1661D">
            <w:pPr>
              <w:spacing w:after="100"/>
              <w:rPr>
                <w:rFonts w:eastAsia="Times New Roman"/>
                <w:sz w:val="20"/>
                <w:szCs w:val="20"/>
              </w:rPr>
            </w:pPr>
          </w:p>
        </w:tc>
        <w:tc>
          <w:tcPr>
            <w:tcW w:w="26" w:type="pct"/>
            <w:vAlign w:val="center"/>
            <w:hideMark/>
          </w:tcPr>
          <w:p w14:paraId="561EC3F5" w14:textId="77777777" w:rsidR="00000000" w:rsidRDefault="00C1661D">
            <w:pPr>
              <w:spacing w:after="100"/>
              <w:rPr>
                <w:rFonts w:eastAsia="Times New Roman"/>
                <w:sz w:val="20"/>
                <w:szCs w:val="20"/>
              </w:rPr>
            </w:pPr>
          </w:p>
        </w:tc>
        <w:tc>
          <w:tcPr>
            <w:tcW w:w="5" w:type="pct"/>
            <w:vAlign w:val="center"/>
            <w:hideMark/>
          </w:tcPr>
          <w:p w14:paraId="75505FD3" w14:textId="77777777" w:rsidR="00000000" w:rsidRDefault="00C1661D">
            <w:pPr>
              <w:spacing w:after="100"/>
              <w:rPr>
                <w:rFonts w:eastAsia="Times New Roman"/>
                <w:sz w:val="20"/>
                <w:szCs w:val="20"/>
              </w:rPr>
            </w:pPr>
          </w:p>
        </w:tc>
        <w:tc>
          <w:tcPr>
            <w:tcW w:w="50" w:type="pct"/>
            <w:vAlign w:val="center"/>
            <w:hideMark/>
          </w:tcPr>
          <w:p w14:paraId="277908FB" w14:textId="77777777" w:rsidR="00000000" w:rsidRDefault="00C1661D">
            <w:pPr>
              <w:spacing w:after="100"/>
              <w:rPr>
                <w:rFonts w:eastAsia="Times New Roman"/>
                <w:sz w:val="20"/>
                <w:szCs w:val="20"/>
              </w:rPr>
            </w:pPr>
          </w:p>
        </w:tc>
        <w:tc>
          <w:tcPr>
            <w:tcW w:w="650" w:type="pct"/>
            <w:vAlign w:val="center"/>
            <w:hideMark/>
          </w:tcPr>
          <w:p w14:paraId="695A4B3D" w14:textId="77777777" w:rsidR="00000000" w:rsidRDefault="00C1661D">
            <w:pPr>
              <w:spacing w:after="100"/>
              <w:rPr>
                <w:rFonts w:eastAsia="Times New Roman"/>
                <w:sz w:val="20"/>
                <w:szCs w:val="20"/>
              </w:rPr>
            </w:pPr>
          </w:p>
        </w:tc>
        <w:tc>
          <w:tcPr>
            <w:tcW w:w="5" w:type="pct"/>
            <w:vAlign w:val="center"/>
            <w:hideMark/>
          </w:tcPr>
          <w:p w14:paraId="48055CFE" w14:textId="77777777" w:rsidR="00000000" w:rsidRDefault="00C1661D">
            <w:pPr>
              <w:spacing w:after="100"/>
              <w:rPr>
                <w:rFonts w:eastAsia="Times New Roman"/>
                <w:sz w:val="20"/>
                <w:szCs w:val="20"/>
              </w:rPr>
            </w:pPr>
          </w:p>
        </w:tc>
        <w:tc>
          <w:tcPr>
            <w:tcW w:w="5" w:type="pct"/>
            <w:vAlign w:val="center"/>
            <w:hideMark/>
          </w:tcPr>
          <w:p w14:paraId="10CD6374" w14:textId="77777777" w:rsidR="00000000" w:rsidRDefault="00C1661D">
            <w:pPr>
              <w:spacing w:after="100"/>
              <w:rPr>
                <w:rFonts w:eastAsia="Times New Roman"/>
                <w:sz w:val="20"/>
                <w:szCs w:val="20"/>
              </w:rPr>
            </w:pPr>
          </w:p>
        </w:tc>
        <w:tc>
          <w:tcPr>
            <w:tcW w:w="26" w:type="pct"/>
            <w:vAlign w:val="center"/>
            <w:hideMark/>
          </w:tcPr>
          <w:p w14:paraId="326D1130" w14:textId="77777777" w:rsidR="00000000" w:rsidRDefault="00C1661D">
            <w:pPr>
              <w:spacing w:after="100"/>
              <w:rPr>
                <w:rFonts w:eastAsia="Times New Roman"/>
                <w:sz w:val="20"/>
                <w:szCs w:val="20"/>
              </w:rPr>
            </w:pPr>
          </w:p>
        </w:tc>
        <w:tc>
          <w:tcPr>
            <w:tcW w:w="5" w:type="pct"/>
            <w:vAlign w:val="center"/>
            <w:hideMark/>
          </w:tcPr>
          <w:p w14:paraId="1D39332F" w14:textId="77777777" w:rsidR="00000000" w:rsidRDefault="00C1661D">
            <w:pPr>
              <w:spacing w:after="100"/>
              <w:rPr>
                <w:rFonts w:eastAsia="Times New Roman"/>
                <w:sz w:val="20"/>
                <w:szCs w:val="20"/>
              </w:rPr>
            </w:pPr>
          </w:p>
        </w:tc>
        <w:tc>
          <w:tcPr>
            <w:tcW w:w="50" w:type="pct"/>
            <w:vAlign w:val="center"/>
            <w:hideMark/>
          </w:tcPr>
          <w:p w14:paraId="366D5643" w14:textId="77777777" w:rsidR="00000000" w:rsidRDefault="00C1661D">
            <w:pPr>
              <w:spacing w:after="100"/>
              <w:rPr>
                <w:rFonts w:eastAsia="Times New Roman"/>
                <w:sz w:val="20"/>
                <w:szCs w:val="20"/>
              </w:rPr>
            </w:pPr>
          </w:p>
        </w:tc>
        <w:tc>
          <w:tcPr>
            <w:tcW w:w="511" w:type="pct"/>
            <w:vAlign w:val="center"/>
            <w:hideMark/>
          </w:tcPr>
          <w:p w14:paraId="1B93070F" w14:textId="77777777" w:rsidR="00000000" w:rsidRDefault="00C1661D">
            <w:pPr>
              <w:spacing w:after="100"/>
              <w:rPr>
                <w:rFonts w:eastAsia="Times New Roman"/>
                <w:sz w:val="20"/>
                <w:szCs w:val="20"/>
              </w:rPr>
            </w:pPr>
          </w:p>
        </w:tc>
        <w:tc>
          <w:tcPr>
            <w:tcW w:w="5" w:type="pct"/>
            <w:vAlign w:val="center"/>
            <w:hideMark/>
          </w:tcPr>
          <w:p w14:paraId="72827F32" w14:textId="77777777" w:rsidR="00000000" w:rsidRDefault="00C1661D">
            <w:pPr>
              <w:spacing w:after="100"/>
              <w:rPr>
                <w:rFonts w:eastAsia="Times New Roman"/>
                <w:sz w:val="20"/>
                <w:szCs w:val="20"/>
              </w:rPr>
            </w:pPr>
          </w:p>
        </w:tc>
        <w:tc>
          <w:tcPr>
            <w:tcW w:w="5" w:type="pct"/>
            <w:vAlign w:val="center"/>
            <w:hideMark/>
          </w:tcPr>
          <w:p w14:paraId="13569C93" w14:textId="77777777" w:rsidR="00000000" w:rsidRDefault="00C1661D">
            <w:pPr>
              <w:spacing w:after="100"/>
              <w:rPr>
                <w:rFonts w:eastAsia="Times New Roman"/>
                <w:sz w:val="20"/>
                <w:szCs w:val="20"/>
              </w:rPr>
            </w:pPr>
          </w:p>
        </w:tc>
        <w:tc>
          <w:tcPr>
            <w:tcW w:w="26" w:type="pct"/>
            <w:vAlign w:val="center"/>
            <w:hideMark/>
          </w:tcPr>
          <w:p w14:paraId="7CC16D2B" w14:textId="77777777" w:rsidR="00000000" w:rsidRDefault="00C1661D">
            <w:pPr>
              <w:spacing w:after="100"/>
              <w:rPr>
                <w:rFonts w:eastAsia="Times New Roman"/>
                <w:sz w:val="20"/>
                <w:szCs w:val="20"/>
              </w:rPr>
            </w:pPr>
          </w:p>
        </w:tc>
        <w:tc>
          <w:tcPr>
            <w:tcW w:w="5" w:type="pct"/>
            <w:vAlign w:val="center"/>
            <w:hideMark/>
          </w:tcPr>
          <w:p w14:paraId="23860C8C" w14:textId="77777777" w:rsidR="00000000" w:rsidRDefault="00C1661D">
            <w:pPr>
              <w:spacing w:after="100"/>
              <w:rPr>
                <w:rFonts w:eastAsia="Times New Roman"/>
                <w:sz w:val="20"/>
                <w:szCs w:val="20"/>
              </w:rPr>
            </w:pPr>
          </w:p>
        </w:tc>
        <w:tc>
          <w:tcPr>
            <w:tcW w:w="50" w:type="pct"/>
            <w:vAlign w:val="center"/>
            <w:hideMark/>
          </w:tcPr>
          <w:p w14:paraId="689C2F7F" w14:textId="77777777" w:rsidR="00000000" w:rsidRDefault="00C1661D">
            <w:pPr>
              <w:spacing w:after="100"/>
              <w:rPr>
                <w:rFonts w:eastAsia="Times New Roman"/>
                <w:sz w:val="20"/>
                <w:szCs w:val="20"/>
              </w:rPr>
            </w:pPr>
          </w:p>
        </w:tc>
        <w:tc>
          <w:tcPr>
            <w:tcW w:w="496" w:type="pct"/>
            <w:vAlign w:val="center"/>
            <w:hideMark/>
          </w:tcPr>
          <w:p w14:paraId="4AD716C5" w14:textId="77777777" w:rsidR="00000000" w:rsidRDefault="00C1661D">
            <w:pPr>
              <w:spacing w:after="100"/>
              <w:rPr>
                <w:rFonts w:eastAsia="Times New Roman"/>
                <w:sz w:val="20"/>
                <w:szCs w:val="20"/>
              </w:rPr>
            </w:pPr>
          </w:p>
        </w:tc>
        <w:tc>
          <w:tcPr>
            <w:tcW w:w="5" w:type="pct"/>
            <w:vAlign w:val="center"/>
            <w:hideMark/>
          </w:tcPr>
          <w:p w14:paraId="3891522B" w14:textId="77777777" w:rsidR="00000000" w:rsidRDefault="00C1661D">
            <w:pPr>
              <w:spacing w:after="100"/>
              <w:rPr>
                <w:rFonts w:eastAsia="Times New Roman"/>
                <w:sz w:val="20"/>
                <w:szCs w:val="20"/>
              </w:rPr>
            </w:pPr>
          </w:p>
        </w:tc>
        <w:tc>
          <w:tcPr>
            <w:tcW w:w="5" w:type="pct"/>
            <w:vAlign w:val="center"/>
            <w:hideMark/>
          </w:tcPr>
          <w:p w14:paraId="3A0A03DA" w14:textId="77777777" w:rsidR="00000000" w:rsidRDefault="00C1661D">
            <w:pPr>
              <w:spacing w:after="100"/>
              <w:rPr>
                <w:rFonts w:eastAsia="Times New Roman"/>
                <w:sz w:val="20"/>
                <w:szCs w:val="20"/>
              </w:rPr>
            </w:pPr>
          </w:p>
        </w:tc>
        <w:tc>
          <w:tcPr>
            <w:tcW w:w="26" w:type="pct"/>
            <w:vAlign w:val="center"/>
            <w:hideMark/>
          </w:tcPr>
          <w:p w14:paraId="2D429FEF" w14:textId="77777777" w:rsidR="00000000" w:rsidRDefault="00C1661D">
            <w:pPr>
              <w:spacing w:after="100"/>
              <w:rPr>
                <w:rFonts w:eastAsia="Times New Roman"/>
                <w:sz w:val="20"/>
                <w:szCs w:val="20"/>
              </w:rPr>
            </w:pPr>
          </w:p>
        </w:tc>
        <w:tc>
          <w:tcPr>
            <w:tcW w:w="5" w:type="pct"/>
            <w:vAlign w:val="center"/>
            <w:hideMark/>
          </w:tcPr>
          <w:p w14:paraId="6FFE5037" w14:textId="77777777" w:rsidR="00000000" w:rsidRDefault="00C1661D">
            <w:pPr>
              <w:spacing w:after="100"/>
              <w:rPr>
                <w:rFonts w:eastAsia="Times New Roman"/>
                <w:sz w:val="20"/>
                <w:szCs w:val="20"/>
              </w:rPr>
            </w:pPr>
          </w:p>
        </w:tc>
        <w:tc>
          <w:tcPr>
            <w:tcW w:w="50" w:type="pct"/>
            <w:vAlign w:val="center"/>
            <w:hideMark/>
          </w:tcPr>
          <w:p w14:paraId="0A583742" w14:textId="77777777" w:rsidR="00000000" w:rsidRDefault="00C1661D">
            <w:pPr>
              <w:spacing w:after="100"/>
              <w:rPr>
                <w:rFonts w:eastAsia="Times New Roman"/>
                <w:sz w:val="20"/>
                <w:szCs w:val="20"/>
              </w:rPr>
            </w:pPr>
          </w:p>
        </w:tc>
        <w:tc>
          <w:tcPr>
            <w:tcW w:w="481" w:type="pct"/>
            <w:vAlign w:val="center"/>
            <w:hideMark/>
          </w:tcPr>
          <w:p w14:paraId="754C9A64" w14:textId="77777777" w:rsidR="00000000" w:rsidRDefault="00C1661D">
            <w:pPr>
              <w:spacing w:after="100"/>
              <w:rPr>
                <w:rFonts w:eastAsia="Times New Roman"/>
                <w:sz w:val="20"/>
                <w:szCs w:val="20"/>
              </w:rPr>
            </w:pPr>
          </w:p>
        </w:tc>
        <w:tc>
          <w:tcPr>
            <w:tcW w:w="5" w:type="pct"/>
            <w:vAlign w:val="center"/>
            <w:hideMark/>
          </w:tcPr>
          <w:p w14:paraId="16CBF01B" w14:textId="77777777" w:rsidR="00000000" w:rsidRDefault="00C1661D">
            <w:pPr>
              <w:spacing w:after="100"/>
              <w:rPr>
                <w:rFonts w:eastAsia="Times New Roman"/>
                <w:sz w:val="20"/>
                <w:szCs w:val="20"/>
              </w:rPr>
            </w:pPr>
          </w:p>
        </w:tc>
        <w:tc>
          <w:tcPr>
            <w:tcW w:w="5" w:type="pct"/>
            <w:vAlign w:val="center"/>
            <w:hideMark/>
          </w:tcPr>
          <w:p w14:paraId="28C7065D" w14:textId="77777777" w:rsidR="00000000" w:rsidRDefault="00C1661D">
            <w:pPr>
              <w:spacing w:after="100"/>
              <w:rPr>
                <w:rFonts w:eastAsia="Times New Roman"/>
                <w:sz w:val="20"/>
                <w:szCs w:val="20"/>
              </w:rPr>
            </w:pPr>
          </w:p>
        </w:tc>
        <w:tc>
          <w:tcPr>
            <w:tcW w:w="26" w:type="pct"/>
            <w:vAlign w:val="center"/>
            <w:hideMark/>
          </w:tcPr>
          <w:p w14:paraId="764BED5B" w14:textId="77777777" w:rsidR="00000000" w:rsidRDefault="00C1661D">
            <w:pPr>
              <w:spacing w:after="100"/>
              <w:rPr>
                <w:rFonts w:eastAsia="Times New Roman"/>
                <w:sz w:val="20"/>
                <w:szCs w:val="20"/>
              </w:rPr>
            </w:pPr>
          </w:p>
        </w:tc>
        <w:tc>
          <w:tcPr>
            <w:tcW w:w="5" w:type="pct"/>
            <w:vAlign w:val="center"/>
            <w:hideMark/>
          </w:tcPr>
          <w:p w14:paraId="59DDB883" w14:textId="77777777" w:rsidR="00000000" w:rsidRDefault="00C1661D">
            <w:pPr>
              <w:spacing w:after="100"/>
              <w:rPr>
                <w:rFonts w:eastAsia="Times New Roman"/>
                <w:sz w:val="20"/>
                <w:szCs w:val="20"/>
              </w:rPr>
            </w:pPr>
          </w:p>
        </w:tc>
        <w:tc>
          <w:tcPr>
            <w:tcW w:w="50" w:type="pct"/>
            <w:vAlign w:val="center"/>
            <w:hideMark/>
          </w:tcPr>
          <w:p w14:paraId="29FC6E8E" w14:textId="77777777" w:rsidR="00000000" w:rsidRDefault="00C1661D">
            <w:pPr>
              <w:spacing w:after="100"/>
              <w:rPr>
                <w:rFonts w:eastAsia="Times New Roman"/>
                <w:sz w:val="20"/>
                <w:szCs w:val="20"/>
              </w:rPr>
            </w:pPr>
          </w:p>
        </w:tc>
        <w:tc>
          <w:tcPr>
            <w:tcW w:w="533" w:type="pct"/>
            <w:vAlign w:val="center"/>
            <w:hideMark/>
          </w:tcPr>
          <w:p w14:paraId="542A05D1" w14:textId="77777777" w:rsidR="00000000" w:rsidRDefault="00C1661D">
            <w:pPr>
              <w:spacing w:after="100"/>
              <w:rPr>
                <w:rFonts w:eastAsia="Times New Roman"/>
                <w:sz w:val="20"/>
                <w:szCs w:val="20"/>
              </w:rPr>
            </w:pPr>
          </w:p>
        </w:tc>
        <w:tc>
          <w:tcPr>
            <w:tcW w:w="5" w:type="pct"/>
            <w:vAlign w:val="center"/>
            <w:hideMark/>
          </w:tcPr>
          <w:p w14:paraId="6B2E00A9" w14:textId="77777777" w:rsidR="00000000" w:rsidRDefault="00C1661D">
            <w:pPr>
              <w:spacing w:after="100"/>
              <w:rPr>
                <w:rFonts w:eastAsia="Times New Roman"/>
                <w:sz w:val="20"/>
                <w:szCs w:val="20"/>
              </w:rPr>
            </w:pPr>
          </w:p>
        </w:tc>
        <w:tc>
          <w:tcPr>
            <w:tcW w:w="5" w:type="pct"/>
            <w:vAlign w:val="center"/>
            <w:hideMark/>
          </w:tcPr>
          <w:p w14:paraId="5EDC3626" w14:textId="77777777" w:rsidR="00000000" w:rsidRDefault="00C1661D">
            <w:pPr>
              <w:spacing w:after="100"/>
              <w:rPr>
                <w:rFonts w:eastAsia="Times New Roman"/>
                <w:sz w:val="20"/>
                <w:szCs w:val="20"/>
              </w:rPr>
            </w:pPr>
          </w:p>
        </w:tc>
        <w:tc>
          <w:tcPr>
            <w:tcW w:w="26" w:type="pct"/>
            <w:vAlign w:val="center"/>
            <w:hideMark/>
          </w:tcPr>
          <w:p w14:paraId="4116393B" w14:textId="77777777" w:rsidR="00000000" w:rsidRDefault="00C1661D">
            <w:pPr>
              <w:spacing w:after="100"/>
              <w:rPr>
                <w:rFonts w:eastAsia="Times New Roman"/>
                <w:sz w:val="20"/>
                <w:szCs w:val="20"/>
              </w:rPr>
            </w:pPr>
          </w:p>
        </w:tc>
        <w:tc>
          <w:tcPr>
            <w:tcW w:w="5" w:type="pct"/>
            <w:vAlign w:val="center"/>
            <w:hideMark/>
          </w:tcPr>
          <w:p w14:paraId="0C9E55B8" w14:textId="77777777" w:rsidR="00000000" w:rsidRDefault="00C1661D">
            <w:pPr>
              <w:spacing w:after="100"/>
              <w:rPr>
                <w:rFonts w:eastAsia="Times New Roman"/>
                <w:sz w:val="20"/>
                <w:szCs w:val="20"/>
              </w:rPr>
            </w:pPr>
          </w:p>
        </w:tc>
        <w:tc>
          <w:tcPr>
            <w:tcW w:w="50" w:type="pct"/>
            <w:vAlign w:val="center"/>
            <w:hideMark/>
          </w:tcPr>
          <w:p w14:paraId="314B19AF" w14:textId="77777777" w:rsidR="00000000" w:rsidRDefault="00C1661D">
            <w:pPr>
              <w:spacing w:after="100"/>
              <w:rPr>
                <w:rFonts w:eastAsia="Times New Roman"/>
                <w:sz w:val="20"/>
                <w:szCs w:val="20"/>
              </w:rPr>
            </w:pPr>
          </w:p>
        </w:tc>
        <w:tc>
          <w:tcPr>
            <w:tcW w:w="533" w:type="pct"/>
            <w:vAlign w:val="center"/>
            <w:hideMark/>
          </w:tcPr>
          <w:p w14:paraId="29251E00" w14:textId="77777777" w:rsidR="00000000" w:rsidRDefault="00C1661D">
            <w:pPr>
              <w:spacing w:after="100"/>
              <w:rPr>
                <w:rFonts w:eastAsia="Times New Roman"/>
                <w:sz w:val="20"/>
                <w:szCs w:val="20"/>
              </w:rPr>
            </w:pPr>
          </w:p>
        </w:tc>
        <w:tc>
          <w:tcPr>
            <w:tcW w:w="5" w:type="pct"/>
            <w:vAlign w:val="center"/>
            <w:hideMark/>
          </w:tcPr>
          <w:p w14:paraId="0FFCAE29" w14:textId="77777777" w:rsidR="00000000" w:rsidRDefault="00C1661D">
            <w:pPr>
              <w:spacing w:after="100"/>
              <w:rPr>
                <w:rFonts w:eastAsia="Times New Roman"/>
                <w:sz w:val="20"/>
                <w:szCs w:val="20"/>
              </w:rPr>
            </w:pPr>
          </w:p>
        </w:tc>
      </w:tr>
      <w:tr w:rsidR="00000000" w14:paraId="731431F5" w14:textId="77777777">
        <w:trPr>
          <w:divId w:val="2080007935"/>
          <w:jc w:val="center"/>
        </w:trPr>
        <w:tc>
          <w:tcPr>
            <w:tcW w:w="0" w:type="auto"/>
            <w:gridSpan w:val="3"/>
            <w:tcBorders>
              <w:bottom w:val="single" w:sz="8" w:space="0" w:color="000000"/>
            </w:tcBorders>
            <w:tcMar>
              <w:top w:w="30" w:type="dxa"/>
              <w:left w:w="20" w:type="dxa"/>
              <w:bottom w:w="30" w:type="dxa"/>
              <w:right w:w="20" w:type="dxa"/>
            </w:tcMar>
            <w:vAlign w:val="bottom"/>
            <w:hideMark/>
          </w:tcPr>
          <w:p w14:paraId="2868497D" w14:textId="77777777" w:rsidR="00000000" w:rsidRDefault="00C1661D">
            <w:pPr>
              <w:spacing w:after="100"/>
              <w:rPr>
                <w:rFonts w:eastAsia="Times New Roman"/>
              </w:rPr>
            </w:pPr>
            <w:r>
              <w:rPr>
                <w:rFonts w:eastAsia="Times New Roman"/>
                <w:color w:val="000000"/>
                <w:sz w:val="20"/>
                <w:szCs w:val="20"/>
              </w:rPr>
              <w:t>(Currency in millions)</w:t>
            </w:r>
          </w:p>
        </w:tc>
        <w:tc>
          <w:tcPr>
            <w:tcW w:w="0" w:type="auto"/>
            <w:gridSpan w:val="3"/>
            <w:tcBorders>
              <w:bottom w:val="single" w:sz="8" w:space="0" w:color="000000"/>
            </w:tcBorders>
            <w:tcMar>
              <w:top w:w="0" w:type="dxa"/>
              <w:left w:w="20" w:type="dxa"/>
              <w:bottom w:w="0" w:type="dxa"/>
              <w:right w:w="20" w:type="dxa"/>
            </w:tcMar>
            <w:vAlign w:val="center"/>
            <w:hideMark/>
          </w:tcPr>
          <w:p w14:paraId="43D80306" w14:textId="77777777" w:rsidR="00000000" w:rsidRDefault="00C1661D">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0F8C303" w14:textId="77777777" w:rsidR="00000000" w:rsidRDefault="00C1661D">
            <w:pPr>
              <w:spacing w:after="100"/>
              <w:jc w:val="center"/>
              <w:rPr>
                <w:rFonts w:eastAsia="Times New Roman"/>
              </w:rPr>
            </w:pPr>
            <w:r>
              <w:rPr>
                <w:rFonts w:eastAsia="Times New Roman"/>
                <w:color w:val="000000"/>
                <w:sz w:val="20"/>
                <w:szCs w:val="20"/>
              </w:rPr>
              <w:t>Expiration Date</w:t>
            </w:r>
          </w:p>
        </w:tc>
        <w:tc>
          <w:tcPr>
            <w:tcW w:w="0" w:type="auto"/>
            <w:gridSpan w:val="3"/>
            <w:tcBorders>
              <w:bottom w:val="single" w:sz="8" w:space="0" w:color="000000"/>
            </w:tcBorders>
            <w:tcMar>
              <w:top w:w="0" w:type="dxa"/>
              <w:left w:w="20" w:type="dxa"/>
              <w:bottom w:w="0" w:type="dxa"/>
              <w:right w:w="20" w:type="dxa"/>
            </w:tcMar>
            <w:vAlign w:val="center"/>
            <w:hideMark/>
          </w:tcPr>
          <w:p w14:paraId="725E2F04"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23E9FFF" w14:textId="77777777" w:rsidR="00000000" w:rsidRDefault="00C1661D">
            <w:pPr>
              <w:spacing w:after="100"/>
              <w:jc w:val="center"/>
              <w:rPr>
                <w:rFonts w:eastAsia="Times New Roman"/>
              </w:rPr>
            </w:pPr>
            <w:r>
              <w:rPr>
                <w:rFonts w:eastAsia="Times New Roman"/>
                <w:color w:val="000000"/>
                <w:sz w:val="20"/>
                <w:szCs w:val="20"/>
              </w:rPr>
              <w:t>Total Capacity</w:t>
            </w:r>
          </w:p>
        </w:tc>
        <w:tc>
          <w:tcPr>
            <w:tcW w:w="0" w:type="auto"/>
            <w:gridSpan w:val="3"/>
            <w:tcBorders>
              <w:bottom w:val="single" w:sz="8" w:space="0" w:color="000000"/>
            </w:tcBorders>
            <w:tcMar>
              <w:top w:w="0" w:type="dxa"/>
              <w:left w:w="20" w:type="dxa"/>
              <w:bottom w:w="0" w:type="dxa"/>
              <w:right w:w="20" w:type="dxa"/>
            </w:tcMar>
            <w:vAlign w:val="center"/>
            <w:hideMark/>
          </w:tcPr>
          <w:p w14:paraId="578CB0B5"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B63FD00" w14:textId="77777777" w:rsidR="00000000" w:rsidRDefault="00C1661D">
            <w:pPr>
              <w:spacing w:after="100"/>
              <w:jc w:val="center"/>
              <w:rPr>
                <w:rFonts w:eastAsia="Times New Roman"/>
              </w:rPr>
            </w:pPr>
            <w:r>
              <w:rPr>
                <w:rFonts w:eastAsia="Times New Roman"/>
                <w:color w:val="000000"/>
                <w:sz w:val="20"/>
                <w:szCs w:val="20"/>
              </w:rPr>
              <w:t>Borrowings Outstanding</w:t>
            </w:r>
          </w:p>
        </w:tc>
        <w:tc>
          <w:tcPr>
            <w:tcW w:w="0" w:type="auto"/>
            <w:gridSpan w:val="3"/>
            <w:tcBorders>
              <w:bottom w:val="single" w:sz="8" w:space="0" w:color="000000"/>
            </w:tcBorders>
            <w:tcMar>
              <w:top w:w="0" w:type="dxa"/>
              <w:left w:w="20" w:type="dxa"/>
              <w:bottom w:w="0" w:type="dxa"/>
              <w:right w:w="20" w:type="dxa"/>
            </w:tcMar>
            <w:vAlign w:val="center"/>
            <w:hideMark/>
          </w:tcPr>
          <w:p w14:paraId="55EDBC65"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C614EE7" w14:textId="77777777" w:rsidR="00000000" w:rsidRDefault="00C1661D">
            <w:pPr>
              <w:spacing w:after="100"/>
              <w:jc w:val="center"/>
              <w:rPr>
                <w:rFonts w:eastAsia="Times New Roman"/>
              </w:rPr>
            </w:pPr>
            <w:r>
              <w:rPr>
                <w:rFonts w:eastAsia="Times New Roman"/>
                <w:color w:val="000000"/>
                <w:sz w:val="20"/>
                <w:szCs w:val="20"/>
              </w:rPr>
              <w:t>Letters of Credit and Guarantees Outstanding</w:t>
            </w:r>
          </w:p>
        </w:tc>
        <w:tc>
          <w:tcPr>
            <w:tcW w:w="0" w:type="auto"/>
            <w:gridSpan w:val="3"/>
            <w:tcBorders>
              <w:bottom w:val="single" w:sz="8" w:space="0" w:color="000000"/>
            </w:tcBorders>
            <w:tcMar>
              <w:top w:w="0" w:type="dxa"/>
              <w:left w:w="20" w:type="dxa"/>
              <w:bottom w:w="0" w:type="dxa"/>
              <w:right w:w="20" w:type="dxa"/>
            </w:tcMar>
            <w:vAlign w:val="center"/>
            <w:hideMark/>
          </w:tcPr>
          <w:p w14:paraId="5C1CB016"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39C105C" w14:textId="77777777" w:rsidR="00000000" w:rsidRDefault="00C1661D">
            <w:pPr>
              <w:spacing w:after="100"/>
              <w:jc w:val="center"/>
              <w:rPr>
                <w:rFonts w:eastAsia="Times New Roman"/>
              </w:rPr>
            </w:pPr>
            <w:r>
              <w:rPr>
                <w:rFonts w:eastAsia="Times New Roman"/>
                <w:color w:val="000000"/>
                <w:sz w:val="20"/>
                <w:szCs w:val="20"/>
              </w:rPr>
              <w:t>Available Borrowing Capacity</w:t>
            </w:r>
          </w:p>
        </w:tc>
        <w:tc>
          <w:tcPr>
            <w:tcW w:w="0" w:type="auto"/>
            <w:gridSpan w:val="3"/>
            <w:tcBorders>
              <w:bottom w:val="single" w:sz="8" w:space="0" w:color="000000"/>
            </w:tcBorders>
            <w:tcMar>
              <w:top w:w="0" w:type="dxa"/>
              <w:left w:w="20" w:type="dxa"/>
              <w:bottom w:w="0" w:type="dxa"/>
              <w:right w:w="20" w:type="dxa"/>
            </w:tcMar>
            <w:vAlign w:val="center"/>
            <w:hideMark/>
          </w:tcPr>
          <w:p w14:paraId="252C877E"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856C018" w14:textId="77777777" w:rsidR="00000000" w:rsidRDefault="00C1661D">
            <w:pPr>
              <w:spacing w:after="100"/>
              <w:jc w:val="center"/>
              <w:rPr>
                <w:rFonts w:eastAsia="Times New Roman"/>
              </w:rPr>
            </w:pPr>
            <w:r>
              <w:rPr>
                <w:rFonts w:eastAsia="Times New Roman"/>
                <w:color w:val="000000"/>
                <w:sz w:val="20"/>
                <w:szCs w:val="20"/>
              </w:rPr>
              <w:t>Weighted Average Interest Rate - End of Year</w:t>
            </w:r>
          </w:p>
        </w:tc>
      </w:tr>
      <w:tr w:rsidR="00000000" w14:paraId="2FC633B6" w14:textId="77777777">
        <w:trPr>
          <w:divId w:val="2080007935"/>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8CD6AA7" w14:textId="77777777" w:rsidR="00000000" w:rsidRDefault="00C1661D">
            <w:pPr>
              <w:spacing w:after="100"/>
              <w:rPr>
                <w:rFonts w:eastAsia="Times New Roman"/>
              </w:rPr>
            </w:pPr>
            <w:r>
              <w:rPr>
                <w:rFonts w:eastAsia="Times New Roman"/>
                <w:b/>
                <w:bCs/>
                <w:color w:val="000000"/>
                <w:sz w:val="20"/>
                <w:szCs w:val="20"/>
              </w:rPr>
              <w:t>September 30, 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81832D"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2922E84"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D0F3746"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C8508C"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C6D5B7"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D019290"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0608A48"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2A5E29E"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0F3A7FA"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E802731"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6C68EE"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023C0A" w14:textId="77777777" w:rsidR="00000000" w:rsidRDefault="00C1661D">
            <w:pPr>
              <w:spacing w:after="100"/>
              <w:rPr>
                <w:rFonts w:eastAsia="Times New Roman"/>
                <w:sz w:val="20"/>
                <w:szCs w:val="20"/>
              </w:rPr>
            </w:pPr>
          </w:p>
        </w:tc>
      </w:tr>
      <w:tr w:rsidR="00000000" w14:paraId="29BE65CE" w14:textId="77777777">
        <w:trPr>
          <w:divId w:val="2080007935"/>
          <w:jc w:val="center"/>
        </w:trPr>
        <w:tc>
          <w:tcPr>
            <w:tcW w:w="0" w:type="auto"/>
            <w:gridSpan w:val="3"/>
            <w:shd w:val="clear" w:color="auto" w:fill="CCEEFF"/>
            <w:tcMar>
              <w:top w:w="30" w:type="dxa"/>
              <w:left w:w="155" w:type="dxa"/>
              <w:bottom w:w="30" w:type="dxa"/>
              <w:right w:w="20" w:type="dxa"/>
            </w:tcMar>
            <w:vAlign w:val="bottom"/>
            <w:hideMark/>
          </w:tcPr>
          <w:p w14:paraId="61BA8C0E" w14:textId="77777777" w:rsidR="00000000" w:rsidRDefault="00C1661D">
            <w:pPr>
              <w:spacing w:after="100"/>
              <w:rPr>
                <w:rFonts w:eastAsia="Times New Roman"/>
              </w:rPr>
            </w:pPr>
            <w:r>
              <w:rPr>
                <w:rFonts w:eastAsia="Times New Roman"/>
                <w:color w:val="000000"/>
                <w:sz w:val="20"/>
                <w:szCs w:val="20"/>
              </w:rPr>
              <w:t>AmeriGas OLP</w:t>
            </w:r>
          </w:p>
        </w:tc>
        <w:tc>
          <w:tcPr>
            <w:tcW w:w="0" w:type="auto"/>
            <w:gridSpan w:val="3"/>
            <w:shd w:val="clear" w:color="auto" w:fill="CCEEFF"/>
            <w:tcMar>
              <w:top w:w="0" w:type="dxa"/>
              <w:left w:w="20" w:type="dxa"/>
              <w:bottom w:w="0" w:type="dxa"/>
              <w:right w:w="20" w:type="dxa"/>
            </w:tcMar>
            <w:vAlign w:val="center"/>
            <w:hideMark/>
          </w:tcPr>
          <w:p w14:paraId="4C9BE51A"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3B1057E" w14:textId="77777777" w:rsidR="00000000" w:rsidRDefault="00C1661D">
            <w:pPr>
              <w:spacing w:after="100"/>
              <w:jc w:val="center"/>
              <w:rPr>
                <w:rFonts w:eastAsia="Times New Roman"/>
              </w:rPr>
            </w:pPr>
            <w:r>
              <w:rPr>
                <w:rFonts w:eastAsia="Times New Roman"/>
                <w:color w:val="000000"/>
                <w:sz w:val="20"/>
                <w:szCs w:val="20"/>
              </w:rPr>
              <w:t>September 2026</w:t>
            </w:r>
          </w:p>
        </w:tc>
        <w:tc>
          <w:tcPr>
            <w:tcW w:w="0" w:type="auto"/>
            <w:gridSpan w:val="3"/>
            <w:shd w:val="clear" w:color="auto" w:fill="CCEEFF"/>
            <w:tcMar>
              <w:top w:w="0" w:type="dxa"/>
              <w:left w:w="20" w:type="dxa"/>
              <w:bottom w:w="0" w:type="dxa"/>
              <w:right w:w="20" w:type="dxa"/>
            </w:tcMar>
            <w:vAlign w:val="center"/>
            <w:hideMark/>
          </w:tcPr>
          <w:p w14:paraId="092C6D99" w14:textId="77777777" w:rsidR="00000000" w:rsidRDefault="00C1661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08752A4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E29E69" w14:textId="77777777" w:rsidR="00000000" w:rsidRDefault="00C1661D">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14:paraId="3DE3EEB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9FB1B"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333B1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16E93A1" w14:textId="77777777" w:rsidR="00000000" w:rsidRDefault="00C1661D">
            <w:pPr>
              <w:spacing w:after="100"/>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14:paraId="6A22833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0FEABB"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ACF26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FDC5DE4"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040AD31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4FF87C"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CFC878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E962FA" w14:textId="77777777" w:rsidR="00000000" w:rsidRDefault="00C1661D">
            <w:pPr>
              <w:spacing w:after="100"/>
              <w:jc w:val="right"/>
              <w:rPr>
                <w:rFonts w:eastAsia="Times New Roman"/>
              </w:rPr>
            </w:pPr>
            <w:r>
              <w:rPr>
                <w:rFonts w:eastAsia="Times New Roman"/>
                <w:color w:val="000000"/>
                <w:sz w:val="20"/>
                <w:szCs w:val="20"/>
              </w:rPr>
              <w:t>467 </w:t>
            </w:r>
          </w:p>
        </w:tc>
        <w:tc>
          <w:tcPr>
            <w:tcW w:w="0" w:type="auto"/>
            <w:shd w:val="clear" w:color="auto" w:fill="CCEEFF"/>
            <w:tcMar>
              <w:top w:w="30" w:type="dxa"/>
              <w:left w:w="0" w:type="dxa"/>
              <w:bottom w:w="30" w:type="dxa"/>
              <w:right w:w="20" w:type="dxa"/>
            </w:tcMar>
            <w:vAlign w:val="bottom"/>
            <w:hideMark/>
          </w:tcPr>
          <w:p w14:paraId="2A86C51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507D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4B5557" w14:textId="77777777" w:rsidR="00000000" w:rsidRDefault="00C1661D">
            <w:pPr>
              <w:spacing w:after="100"/>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14:paraId="7315E350" w14:textId="77777777" w:rsidR="00000000" w:rsidRDefault="00C1661D">
            <w:pPr>
              <w:spacing w:after="100"/>
              <w:jc w:val="right"/>
              <w:rPr>
                <w:rFonts w:eastAsia="Times New Roman"/>
              </w:rPr>
            </w:pPr>
            <w:r>
              <w:rPr>
                <w:rFonts w:eastAsia="Times New Roman"/>
                <w:color w:val="000000"/>
                <w:sz w:val="20"/>
                <w:szCs w:val="20"/>
              </w:rPr>
              <w:t>%</w:t>
            </w:r>
          </w:p>
        </w:tc>
      </w:tr>
      <w:tr w:rsidR="00000000" w14:paraId="09225357" w14:textId="77777777">
        <w:trPr>
          <w:divId w:val="2080007935"/>
          <w:jc w:val="center"/>
        </w:trPr>
        <w:tc>
          <w:tcPr>
            <w:tcW w:w="0" w:type="auto"/>
            <w:gridSpan w:val="3"/>
            <w:shd w:val="clear" w:color="auto" w:fill="FFFFFF"/>
            <w:tcMar>
              <w:top w:w="30" w:type="dxa"/>
              <w:left w:w="155" w:type="dxa"/>
              <w:bottom w:w="30" w:type="dxa"/>
              <w:right w:w="20" w:type="dxa"/>
            </w:tcMar>
            <w:vAlign w:val="bottom"/>
            <w:hideMark/>
          </w:tcPr>
          <w:p w14:paraId="08545F7D" w14:textId="77777777" w:rsidR="00000000" w:rsidRDefault="00C1661D">
            <w:pPr>
              <w:spacing w:after="100"/>
              <w:rPr>
                <w:rFonts w:eastAsia="Times New Roman"/>
              </w:rPr>
            </w:pPr>
            <w:r>
              <w:rPr>
                <w:rFonts w:eastAsia="Times New Roman"/>
                <w:color w:val="000000"/>
                <w:sz w:val="20"/>
                <w:szCs w:val="20"/>
              </w:rPr>
              <w:t>UGI International, LLC (a)</w:t>
            </w:r>
          </w:p>
        </w:tc>
        <w:tc>
          <w:tcPr>
            <w:tcW w:w="0" w:type="auto"/>
            <w:gridSpan w:val="3"/>
            <w:shd w:val="clear" w:color="auto" w:fill="FFFFFF"/>
            <w:tcMar>
              <w:top w:w="0" w:type="dxa"/>
              <w:left w:w="20" w:type="dxa"/>
              <w:bottom w:w="0" w:type="dxa"/>
              <w:right w:w="20" w:type="dxa"/>
            </w:tcMar>
            <w:vAlign w:val="center"/>
            <w:hideMark/>
          </w:tcPr>
          <w:p w14:paraId="27DFF51C"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5CAFD93" w14:textId="77777777" w:rsidR="00000000" w:rsidRDefault="00C1661D">
            <w:pPr>
              <w:spacing w:after="100"/>
              <w:jc w:val="center"/>
              <w:rPr>
                <w:rFonts w:eastAsia="Times New Roman"/>
              </w:rPr>
            </w:pPr>
            <w:r>
              <w:rPr>
                <w:rFonts w:eastAsia="Times New Roman"/>
                <w:color w:val="000000"/>
                <w:sz w:val="20"/>
                <w:szCs w:val="20"/>
              </w:rPr>
              <w:t>October 2023</w:t>
            </w:r>
          </w:p>
        </w:tc>
        <w:tc>
          <w:tcPr>
            <w:tcW w:w="0" w:type="auto"/>
            <w:gridSpan w:val="3"/>
            <w:shd w:val="clear" w:color="auto" w:fill="FFFFFF"/>
            <w:tcMar>
              <w:top w:w="0" w:type="dxa"/>
              <w:left w:w="20" w:type="dxa"/>
              <w:bottom w:w="0" w:type="dxa"/>
              <w:right w:w="20" w:type="dxa"/>
            </w:tcMar>
            <w:vAlign w:val="center"/>
            <w:hideMark/>
          </w:tcPr>
          <w:p w14:paraId="676ED867" w14:textId="77777777" w:rsidR="00000000" w:rsidRDefault="00C1661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2270C5C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B5F4AE3" w14:textId="77777777" w:rsidR="00000000" w:rsidRDefault="00C1661D">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14:paraId="71C8D52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A55E0E"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161DB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7F057F"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0290F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7FED35"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DBBDAC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AC5CE6D"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18D114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DC96ED"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96DC8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9756D2" w14:textId="77777777" w:rsidR="00000000" w:rsidRDefault="00C1661D">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14:paraId="3EEABB7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2588FC" w14:textId="77777777" w:rsidR="00000000" w:rsidRDefault="00C1661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1050876" w14:textId="77777777" w:rsidR="00000000" w:rsidRDefault="00C1661D">
            <w:pPr>
              <w:spacing w:after="100"/>
              <w:jc w:val="right"/>
              <w:rPr>
                <w:rFonts w:eastAsia="Times New Roman"/>
              </w:rPr>
            </w:pPr>
            <w:r>
              <w:rPr>
                <w:rFonts w:eastAsia="Times New Roman"/>
                <w:color w:val="000000"/>
                <w:sz w:val="20"/>
                <w:szCs w:val="20"/>
              </w:rPr>
              <w:t>N.A.</w:t>
            </w:r>
          </w:p>
        </w:tc>
      </w:tr>
      <w:tr w:rsidR="00000000" w14:paraId="290C30AA" w14:textId="77777777">
        <w:trPr>
          <w:divId w:val="2080007935"/>
          <w:jc w:val="center"/>
        </w:trPr>
        <w:tc>
          <w:tcPr>
            <w:tcW w:w="0" w:type="auto"/>
            <w:gridSpan w:val="3"/>
            <w:shd w:val="clear" w:color="auto" w:fill="CCEEFF"/>
            <w:tcMar>
              <w:top w:w="30" w:type="dxa"/>
              <w:left w:w="155" w:type="dxa"/>
              <w:bottom w:w="30" w:type="dxa"/>
              <w:right w:w="20" w:type="dxa"/>
            </w:tcMar>
            <w:vAlign w:val="bottom"/>
            <w:hideMark/>
          </w:tcPr>
          <w:p w14:paraId="04E3D420" w14:textId="77777777" w:rsidR="00000000" w:rsidRDefault="00C1661D">
            <w:pPr>
              <w:spacing w:after="100"/>
              <w:rPr>
                <w:rFonts w:eastAsia="Times New Roman"/>
              </w:rPr>
            </w:pPr>
            <w:r>
              <w:rPr>
                <w:rFonts w:eastAsia="Times New Roman"/>
                <w:color w:val="000000"/>
                <w:sz w:val="20"/>
                <w:szCs w:val="20"/>
              </w:rPr>
              <w:t>Energy Services</w:t>
            </w:r>
          </w:p>
        </w:tc>
        <w:tc>
          <w:tcPr>
            <w:tcW w:w="0" w:type="auto"/>
            <w:gridSpan w:val="3"/>
            <w:shd w:val="clear" w:color="auto" w:fill="CCEEFF"/>
            <w:tcMar>
              <w:top w:w="0" w:type="dxa"/>
              <w:left w:w="20" w:type="dxa"/>
              <w:bottom w:w="0" w:type="dxa"/>
              <w:right w:w="20" w:type="dxa"/>
            </w:tcMar>
            <w:vAlign w:val="center"/>
            <w:hideMark/>
          </w:tcPr>
          <w:p w14:paraId="334D86D9"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03B07A7" w14:textId="77777777" w:rsidR="00000000" w:rsidRDefault="00C1661D">
            <w:pPr>
              <w:spacing w:after="100"/>
              <w:jc w:val="center"/>
              <w:rPr>
                <w:rFonts w:eastAsia="Times New Roman"/>
              </w:rPr>
            </w:pPr>
            <w:r>
              <w:rPr>
                <w:rFonts w:eastAsia="Times New Roman"/>
                <w:color w:val="000000"/>
                <w:sz w:val="20"/>
                <w:szCs w:val="20"/>
              </w:rPr>
              <w:t>March 2025</w:t>
            </w:r>
          </w:p>
        </w:tc>
        <w:tc>
          <w:tcPr>
            <w:tcW w:w="0" w:type="auto"/>
            <w:gridSpan w:val="3"/>
            <w:shd w:val="clear" w:color="auto" w:fill="CCEEFF"/>
            <w:tcMar>
              <w:top w:w="0" w:type="dxa"/>
              <w:left w:w="20" w:type="dxa"/>
              <w:bottom w:w="0" w:type="dxa"/>
              <w:right w:w="20" w:type="dxa"/>
            </w:tcMar>
            <w:vAlign w:val="center"/>
            <w:hideMark/>
          </w:tcPr>
          <w:p w14:paraId="33A15CD2" w14:textId="77777777" w:rsidR="00000000" w:rsidRDefault="00C1661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5072C53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E05DD5F" w14:textId="77777777" w:rsidR="00000000" w:rsidRDefault="00C1661D">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14:paraId="220A7D6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797D83"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AD0BAB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49709A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5AB82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5720D0"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99275F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C4AF75"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8BDD3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B26C49"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5F10D2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B935D53" w14:textId="77777777" w:rsidR="00000000" w:rsidRDefault="00C1661D">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14:paraId="0F701B2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EBDD9" w14:textId="77777777" w:rsidR="00000000" w:rsidRDefault="00C1661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8561263" w14:textId="77777777" w:rsidR="00000000" w:rsidRDefault="00C1661D">
            <w:pPr>
              <w:spacing w:after="100"/>
              <w:jc w:val="right"/>
              <w:rPr>
                <w:rFonts w:eastAsia="Times New Roman"/>
              </w:rPr>
            </w:pPr>
            <w:r>
              <w:rPr>
                <w:rFonts w:eastAsia="Times New Roman"/>
                <w:color w:val="000000"/>
                <w:sz w:val="20"/>
                <w:szCs w:val="20"/>
              </w:rPr>
              <w:t>N.A.</w:t>
            </w:r>
          </w:p>
        </w:tc>
      </w:tr>
      <w:tr w:rsidR="00000000" w14:paraId="0D1E3D2B" w14:textId="77777777">
        <w:trPr>
          <w:divId w:val="2080007935"/>
          <w:jc w:val="center"/>
        </w:trPr>
        <w:tc>
          <w:tcPr>
            <w:tcW w:w="0" w:type="auto"/>
            <w:gridSpan w:val="3"/>
            <w:shd w:val="clear" w:color="auto" w:fill="FFFFFF"/>
            <w:tcMar>
              <w:top w:w="30" w:type="dxa"/>
              <w:left w:w="155" w:type="dxa"/>
              <w:bottom w:w="30" w:type="dxa"/>
              <w:right w:w="20" w:type="dxa"/>
            </w:tcMar>
            <w:vAlign w:val="bottom"/>
            <w:hideMark/>
          </w:tcPr>
          <w:p w14:paraId="53B3B549" w14:textId="77777777" w:rsidR="00000000" w:rsidRDefault="00C1661D">
            <w:pPr>
              <w:spacing w:after="100"/>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14:paraId="303E8EF5"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AFF13E2" w14:textId="77777777" w:rsidR="00000000" w:rsidRDefault="00C1661D">
            <w:pPr>
              <w:spacing w:after="100"/>
              <w:jc w:val="center"/>
              <w:rPr>
                <w:rFonts w:eastAsia="Times New Roman"/>
              </w:rPr>
            </w:pPr>
            <w:r>
              <w:rPr>
                <w:rFonts w:eastAsia="Times New Roman"/>
                <w:color w:val="000000"/>
                <w:sz w:val="20"/>
                <w:szCs w:val="20"/>
              </w:rPr>
              <w:t>June 2024</w:t>
            </w:r>
          </w:p>
        </w:tc>
        <w:tc>
          <w:tcPr>
            <w:tcW w:w="0" w:type="auto"/>
            <w:gridSpan w:val="3"/>
            <w:shd w:val="clear" w:color="auto" w:fill="FFFFFF"/>
            <w:tcMar>
              <w:top w:w="0" w:type="dxa"/>
              <w:left w:w="20" w:type="dxa"/>
              <w:bottom w:w="0" w:type="dxa"/>
              <w:right w:w="20" w:type="dxa"/>
            </w:tcMar>
            <w:vAlign w:val="center"/>
            <w:hideMark/>
          </w:tcPr>
          <w:p w14:paraId="56AABEDC" w14:textId="77777777" w:rsidR="00000000" w:rsidRDefault="00C1661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6F68DE3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5215A64" w14:textId="77777777" w:rsidR="00000000" w:rsidRDefault="00C1661D">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14:paraId="0B957E9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25BBD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A443A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BC3627C" w14:textId="77777777" w:rsidR="00000000" w:rsidRDefault="00C1661D">
            <w:pPr>
              <w:spacing w:after="100"/>
              <w:jc w:val="right"/>
              <w:rPr>
                <w:rFonts w:eastAsia="Times New Roman"/>
              </w:rPr>
            </w:pPr>
            <w:r>
              <w:rPr>
                <w:rFonts w:eastAsia="Times New Roman"/>
                <w:color w:val="000000"/>
                <w:sz w:val="20"/>
                <w:szCs w:val="20"/>
              </w:rPr>
              <w:t>151 </w:t>
            </w:r>
          </w:p>
        </w:tc>
        <w:tc>
          <w:tcPr>
            <w:tcW w:w="0" w:type="auto"/>
            <w:shd w:val="clear" w:color="auto" w:fill="FFFFFF"/>
            <w:tcMar>
              <w:top w:w="30" w:type="dxa"/>
              <w:left w:w="0" w:type="dxa"/>
              <w:bottom w:w="30" w:type="dxa"/>
              <w:right w:w="20" w:type="dxa"/>
            </w:tcMar>
            <w:vAlign w:val="bottom"/>
            <w:hideMark/>
          </w:tcPr>
          <w:p w14:paraId="11A6231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9C610D"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343FEB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28EDDBD"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DD64C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707E03"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9F10D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85589C1" w14:textId="77777777" w:rsidR="00000000" w:rsidRDefault="00C1661D">
            <w:pPr>
              <w:spacing w:after="100"/>
              <w:jc w:val="right"/>
              <w:rPr>
                <w:rFonts w:eastAsia="Times New Roman"/>
              </w:rPr>
            </w:pPr>
            <w:r>
              <w:rPr>
                <w:rFonts w:eastAsia="Times New Roman"/>
                <w:color w:val="000000"/>
                <w:sz w:val="20"/>
                <w:szCs w:val="20"/>
              </w:rPr>
              <w:t>199 </w:t>
            </w:r>
          </w:p>
        </w:tc>
        <w:tc>
          <w:tcPr>
            <w:tcW w:w="0" w:type="auto"/>
            <w:shd w:val="clear" w:color="auto" w:fill="FFFFFF"/>
            <w:tcMar>
              <w:top w:w="30" w:type="dxa"/>
              <w:left w:w="0" w:type="dxa"/>
              <w:bottom w:w="30" w:type="dxa"/>
              <w:right w:w="20" w:type="dxa"/>
            </w:tcMar>
            <w:vAlign w:val="bottom"/>
            <w:hideMark/>
          </w:tcPr>
          <w:p w14:paraId="14928AC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3C49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F8F6AC" w14:textId="77777777" w:rsidR="00000000" w:rsidRDefault="00C1661D">
            <w:pPr>
              <w:spacing w:after="100"/>
              <w:jc w:val="right"/>
              <w:rPr>
                <w:rFonts w:eastAsia="Times New Roman"/>
              </w:rPr>
            </w:pPr>
            <w:r>
              <w:rPr>
                <w:rFonts w:eastAsia="Times New Roman"/>
                <w:color w:val="000000"/>
                <w:sz w:val="20"/>
                <w:szCs w:val="20"/>
              </w:rPr>
              <w:t>4.37 </w:t>
            </w:r>
          </w:p>
        </w:tc>
        <w:tc>
          <w:tcPr>
            <w:tcW w:w="0" w:type="auto"/>
            <w:shd w:val="clear" w:color="auto" w:fill="FFFFFF"/>
            <w:tcMar>
              <w:top w:w="30" w:type="dxa"/>
              <w:left w:w="0" w:type="dxa"/>
              <w:bottom w:w="30" w:type="dxa"/>
              <w:right w:w="20" w:type="dxa"/>
            </w:tcMar>
            <w:vAlign w:val="bottom"/>
            <w:hideMark/>
          </w:tcPr>
          <w:p w14:paraId="2A1BF1F6" w14:textId="77777777" w:rsidR="00000000" w:rsidRDefault="00C1661D">
            <w:pPr>
              <w:spacing w:after="100"/>
              <w:jc w:val="right"/>
              <w:rPr>
                <w:rFonts w:eastAsia="Times New Roman"/>
              </w:rPr>
            </w:pPr>
            <w:r>
              <w:rPr>
                <w:rFonts w:eastAsia="Times New Roman"/>
                <w:color w:val="000000"/>
                <w:sz w:val="20"/>
                <w:szCs w:val="20"/>
              </w:rPr>
              <w:t>%</w:t>
            </w:r>
          </w:p>
        </w:tc>
      </w:tr>
      <w:tr w:rsidR="00000000" w14:paraId="03A3B40F" w14:textId="77777777">
        <w:trPr>
          <w:divId w:val="2080007935"/>
          <w:jc w:val="center"/>
        </w:trPr>
        <w:tc>
          <w:tcPr>
            <w:tcW w:w="0" w:type="auto"/>
            <w:gridSpan w:val="3"/>
            <w:shd w:val="clear" w:color="auto" w:fill="CCEEFF"/>
            <w:tcMar>
              <w:top w:w="30" w:type="dxa"/>
              <w:left w:w="155" w:type="dxa"/>
              <w:bottom w:w="30" w:type="dxa"/>
              <w:right w:w="20" w:type="dxa"/>
            </w:tcMar>
            <w:vAlign w:val="bottom"/>
            <w:hideMark/>
          </w:tcPr>
          <w:p w14:paraId="5C1D4315" w14:textId="77777777" w:rsidR="00000000" w:rsidRDefault="00C1661D">
            <w:pPr>
              <w:spacing w:after="100"/>
              <w:rPr>
                <w:rFonts w:eastAsia="Times New Roman"/>
              </w:rPr>
            </w:pPr>
            <w:r>
              <w:rPr>
                <w:rFonts w:eastAsia="Times New Roman"/>
                <w:color w:val="000000"/>
                <w:sz w:val="20"/>
                <w:szCs w:val="20"/>
              </w:rPr>
              <w:t>Mountaineer</w:t>
            </w:r>
          </w:p>
        </w:tc>
        <w:tc>
          <w:tcPr>
            <w:tcW w:w="0" w:type="auto"/>
            <w:gridSpan w:val="3"/>
            <w:shd w:val="clear" w:color="auto" w:fill="CCEEFF"/>
            <w:tcMar>
              <w:top w:w="0" w:type="dxa"/>
              <w:left w:w="20" w:type="dxa"/>
              <w:bottom w:w="0" w:type="dxa"/>
              <w:right w:w="20" w:type="dxa"/>
            </w:tcMar>
            <w:vAlign w:val="center"/>
            <w:hideMark/>
          </w:tcPr>
          <w:p w14:paraId="69A359C3"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AB78593" w14:textId="77777777" w:rsidR="00000000" w:rsidRDefault="00C1661D">
            <w:pPr>
              <w:spacing w:after="100"/>
              <w:jc w:val="center"/>
              <w:rPr>
                <w:rFonts w:eastAsia="Times New Roman"/>
              </w:rPr>
            </w:pPr>
            <w:r>
              <w:rPr>
                <w:rFonts w:eastAsia="Times New Roman"/>
                <w:color w:val="000000"/>
                <w:sz w:val="20"/>
                <w:szCs w:val="20"/>
              </w:rPr>
              <w:t>November 2024</w:t>
            </w:r>
          </w:p>
        </w:tc>
        <w:tc>
          <w:tcPr>
            <w:tcW w:w="0" w:type="auto"/>
            <w:gridSpan w:val="3"/>
            <w:shd w:val="clear" w:color="auto" w:fill="CCEEFF"/>
            <w:tcMar>
              <w:top w:w="0" w:type="dxa"/>
              <w:left w:w="20" w:type="dxa"/>
              <w:bottom w:w="0" w:type="dxa"/>
              <w:right w:w="20" w:type="dxa"/>
            </w:tcMar>
            <w:vAlign w:val="center"/>
            <w:hideMark/>
          </w:tcPr>
          <w:p w14:paraId="2D8C3C49" w14:textId="77777777" w:rsidR="00000000" w:rsidRDefault="00C1661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77F174D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51D32E8" w14:textId="77777777" w:rsidR="00000000" w:rsidRDefault="00C1661D">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4C36A20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3E0A1"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FD6FC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9B53532" w14:textId="77777777" w:rsidR="00000000" w:rsidRDefault="00C1661D">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14:paraId="37C6C98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2F394E"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B654A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DB6DE8"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1416D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BC89AC"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FA705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B47FD0" w14:textId="77777777" w:rsidR="00000000" w:rsidRDefault="00C1661D">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59982FF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751C0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C117B4" w14:textId="77777777" w:rsidR="00000000" w:rsidRDefault="00C1661D">
            <w:pPr>
              <w:spacing w:after="100"/>
              <w:jc w:val="right"/>
              <w:rPr>
                <w:rFonts w:eastAsia="Times New Roman"/>
              </w:rPr>
            </w:pPr>
            <w:r>
              <w:rPr>
                <w:rFonts w:eastAsia="Times New Roman"/>
                <w:color w:val="000000"/>
                <w:sz w:val="20"/>
                <w:szCs w:val="20"/>
              </w:rPr>
              <w:t>3.82 </w:t>
            </w:r>
          </w:p>
        </w:tc>
        <w:tc>
          <w:tcPr>
            <w:tcW w:w="0" w:type="auto"/>
            <w:shd w:val="clear" w:color="auto" w:fill="CCEEFF"/>
            <w:tcMar>
              <w:top w:w="30" w:type="dxa"/>
              <w:left w:w="0" w:type="dxa"/>
              <w:bottom w:w="30" w:type="dxa"/>
              <w:right w:w="20" w:type="dxa"/>
            </w:tcMar>
            <w:vAlign w:val="bottom"/>
            <w:hideMark/>
          </w:tcPr>
          <w:p w14:paraId="63B72217" w14:textId="77777777" w:rsidR="00000000" w:rsidRDefault="00C1661D">
            <w:pPr>
              <w:spacing w:after="100"/>
              <w:jc w:val="right"/>
              <w:rPr>
                <w:rFonts w:eastAsia="Times New Roman"/>
              </w:rPr>
            </w:pPr>
            <w:r>
              <w:rPr>
                <w:rFonts w:eastAsia="Times New Roman"/>
                <w:color w:val="000000"/>
                <w:sz w:val="20"/>
                <w:szCs w:val="20"/>
              </w:rPr>
              <w:t>%</w:t>
            </w:r>
          </w:p>
        </w:tc>
      </w:tr>
      <w:tr w:rsidR="00000000" w14:paraId="796BAC89" w14:textId="77777777">
        <w:trPr>
          <w:divId w:val="2080007935"/>
          <w:jc w:val="center"/>
        </w:trPr>
        <w:tc>
          <w:tcPr>
            <w:tcW w:w="0" w:type="auto"/>
            <w:gridSpan w:val="3"/>
            <w:shd w:val="clear" w:color="auto" w:fill="FFFFFF"/>
            <w:tcMar>
              <w:top w:w="30" w:type="dxa"/>
              <w:left w:w="155" w:type="dxa"/>
              <w:bottom w:w="30" w:type="dxa"/>
              <w:right w:w="20" w:type="dxa"/>
            </w:tcMar>
            <w:vAlign w:val="bottom"/>
            <w:hideMark/>
          </w:tcPr>
          <w:p w14:paraId="3A3F65E9" w14:textId="77777777" w:rsidR="00000000" w:rsidRDefault="00C1661D">
            <w:pPr>
              <w:spacing w:after="100"/>
              <w:rPr>
                <w:rFonts w:eastAsia="Times New Roman"/>
              </w:rPr>
            </w:pPr>
            <w:r>
              <w:rPr>
                <w:rFonts w:eastAsia="Times New Roman"/>
                <w:color w:val="000000"/>
                <w:sz w:val="20"/>
                <w:szCs w:val="20"/>
              </w:rPr>
              <w:t>UGI Corporation (b)</w:t>
            </w:r>
          </w:p>
        </w:tc>
        <w:tc>
          <w:tcPr>
            <w:tcW w:w="0" w:type="auto"/>
            <w:gridSpan w:val="3"/>
            <w:shd w:val="clear" w:color="auto" w:fill="FFFFFF"/>
            <w:tcMar>
              <w:top w:w="0" w:type="dxa"/>
              <w:left w:w="20" w:type="dxa"/>
              <w:bottom w:w="0" w:type="dxa"/>
              <w:right w:w="20" w:type="dxa"/>
            </w:tcMar>
            <w:vAlign w:val="center"/>
            <w:hideMark/>
          </w:tcPr>
          <w:p w14:paraId="2D3579E8"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7928016" w14:textId="77777777" w:rsidR="00000000" w:rsidRDefault="00C1661D">
            <w:pPr>
              <w:spacing w:after="100"/>
              <w:jc w:val="center"/>
              <w:rPr>
                <w:rFonts w:eastAsia="Times New Roman"/>
              </w:rPr>
            </w:pPr>
            <w:r>
              <w:rPr>
                <w:rFonts w:eastAsia="Times New Roman"/>
                <w:color w:val="000000"/>
                <w:sz w:val="20"/>
                <w:szCs w:val="20"/>
              </w:rPr>
              <w:t>August 2024</w:t>
            </w:r>
          </w:p>
        </w:tc>
        <w:tc>
          <w:tcPr>
            <w:tcW w:w="0" w:type="auto"/>
            <w:gridSpan w:val="3"/>
            <w:shd w:val="clear" w:color="auto" w:fill="FFFFFF"/>
            <w:tcMar>
              <w:top w:w="0" w:type="dxa"/>
              <w:left w:w="20" w:type="dxa"/>
              <w:bottom w:w="0" w:type="dxa"/>
              <w:right w:w="20" w:type="dxa"/>
            </w:tcMar>
            <w:vAlign w:val="center"/>
            <w:hideMark/>
          </w:tcPr>
          <w:p w14:paraId="4A48BEC8" w14:textId="77777777" w:rsidR="00000000" w:rsidRDefault="00C1661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63CBE2F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FCFBFB5" w14:textId="77777777" w:rsidR="00000000" w:rsidRDefault="00C1661D">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14:paraId="7FFA344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48A7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30EF0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14F3D7A" w14:textId="77777777" w:rsidR="00000000" w:rsidRDefault="00C1661D">
            <w:pPr>
              <w:spacing w:after="100"/>
              <w:jc w:val="right"/>
              <w:rPr>
                <w:rFonts w:eastAsia="Times New Roman"/>
              </w:rPr>
            </w:pPr>
            <w:r>
              <w:rPr>
                <w:rFonts w:eastAsia="Times New Roman"/>
                <w:color w:val="000000"/>
                <w:sz w:val="20"/>
                <w:szCs w:val="20"/>
              </w:rPr>
              <w:t>252 </w:t>
            </w:r>
          </w:p>
        </w:tc>
        <w:tc>
          <w:tcPr>
            <w:tcW w:w="0" w:type="auto"/>
            <w:shd w:val="clear" w:color="auto" w:fill="FFFFFF"/>
            <w:tcMar>
              <w:top w:w="30" w:type="dxa"/>
              <w:left w:w="0" w:type="dxa"/>
              <w:bottom w:w="30" w:type="dxa"/>
              <w:right w:w="20" w:type="dxa"/>
            </w:tcMar>
            <w:vAlign w:val="bottom"/>
            <w:hideMark/>
          </w:tcPr>
          <w:p w14:paraId="07F6726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9071E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6D73A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FA4F8A"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CA4FB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61704E"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F1E431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00B2A1" w14:textId="77777777" w:rsidR="00000000" w:rsidRDefault="00C1661D">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14:paraId="00D1AC4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CAAE7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946F3D" w14:textId="77777777" w:rsidR="00000000" w:rsidRDefault="00C1661D">
            <w:pPr>
              <w:spacing w:after="100"/>
              <w:jc w:val="right"/>
              <w:rPr>
                <w:rFonts w:eastAsia="Times New Roman"/>
              </w:rPr>
            </w:pPr>
            <w:r>
              <w:rPr>
                <w:rFonts w:eastAsia="Times New Roman"/>
                <w:color w:val="000000"/>
                <w:sz w:val="20"/>
                <w:szCs w:val="20"/>
              </w:rPr>
              <w:t>5.62 </w:t>
            </w:r>
          </w:p>
        </w:tc>
        <w:tc>
          <w:tcPr>
            <w:tcW w:w="0" w:type="auto"/>
            <w:shd w:val="clear" w:color="auto" w:fill="FFFFFF"/>
            <w:tcMar>
              <w:top w:w="30" w:type="dxa"/>
              <w:left w:w="0" w:type="dxa"/>
              <w:bottom w:w="30" w:type="dxa"/>
              <w:right w:w="20" w:type="dxa"/>
            </w:tcMar>
            <w:vAlign w:val="bottom"/>
            <w:hideMark/>
          </w:tcPr>
          <w:p w14:paraId="617C523C" w14:textId="77777777" w:rsidR="00000000" w:rsidRDefault="00C1661D">
            <w:pPr>
              <w:spacing w:after="100"/>
              <w:jc w:val="right"/>
              <w:rPr>
                <w:rFonts w:eastAsia="Times New Roman"/>
              </w:rPr>
            </w:pPr>
            <w:r>
              <w:rPr>
                <w:rFonts w:eastAsia="Times New Roman"/>
                <w:color w:val="000000"/>
                <w:sz w:val="20"/>
                <w:szCs w:val="20"/>
              </w:rPr>
              <w:t>%</w:t>
            </w:r>
          </w:p>
        </w:tc>
      </w:tr>
      <w:tr w:rsidR="00000000" w14:paraId="2FC81FD9" w14:textId="77777777">
        <w:trPr>
          <w:divId w:val="2080007935"/>
          <w:jc w:val="center"/>
        </w:trPr>
        <w:tc>
          <w:tcPr>
            <w:tcW w:w="0" w:type="auto"/>
            <w:gridSpan w:val="3"/>
            <w:shd w:val="clear" w:color="auto" w:fill="CCEEFF"/>
            <w:tcMar>
              <w:top w:w="30" w:type="dxa"/>
              <w:left w:w="20" w:type="dxa"/>
              <w:bottom w:w="30" w:type="dxa"/>
              <w:right w:w="20" w:type="dxa"/>
            </w:tcMar>
            <w:vAlign w:val="bottom"/>
            <w:hideMark/>
          </w:tcPr>
          <w:p w14:paraId="32C6F91C" w14:textId="77777777" w:rsidR="00000000" w:rsidRDefault="00C1661D">
            <w:pPr>
              <w:spacing w:after="100"/>
              <w:rPr>
                <w:rFonts w:eastAsia="Times New Roman"/>
              </w:rPr>
            </w:pPr>
            <w:r>
              <w:rPr>
                <w:rFonts w:eastAsia="Times New Roman"/>
                <w:b/>
                <w:bCs/>
                <w:color w:val="000000"/>
                <w:sz w:val="20"/>
                <w:szCs w:val="20"/>
              </w:rPr>
              <w:t>September 30, 2021</w:t>
            </w:r>
          </w:p>
        </w:tc>
        <w:tc>
          <w:tcPr>
            <w:tcW w:w="0" w:type="auto"/>
            <w:gridSpan w:val="3"/>
            <w:shd w:val="clear" w:color="auto" w:fill="CCEEFF"/>
            <w:tcMar>
              <w:top w:w="0" w:type="dxa"/>
              <w:left w:w="20" w:type="dxa"/>
              <w:bottom w:w="0" w:type="dxa"/>
              <w:right w:w="20" w:type="dxa"/>
            </w:tcMar>
            <w:vAlign w:val="center"/>
            <w:hideMark/>
          </w:tcPr>
          <w:p w14:paraId="164F6C09"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F045F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B93DD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865FF6"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1C27B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2BD4DF"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92369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44446D"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01C4B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E4866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0438A4"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FDB9A7" w14:textId="77777777" w:rsidR="00000000" w:rsidRDefault="00C1661D">
            <w:pPr>
              <w:spacing w:after="100"/>
              <w:rPr>
                <w:rFonts w:eastAsia="Times New Roman"/>
                <w:sz w:val="20"/>
                <w:szCs w:val="20"/>
              </w:rPr>
            </w:pPr>
          </w:p>
        </w:tc>
      </w:tr>
      <w:tr w:rsidR="00000000" w14:paraId="4DBE23ED" w14:textId="77777777">
        <w:trPr>
          <w:divId w:val="2080007935"/>
          <w:jc w:val="center"/>
        </w:trPr>
        <w:tc>
          <w:tcPr>
            <w:tcW w:w="0" w:type="auto"/>
            <w:gridSpan w:val="3"/>
            <w:shd w:val="clear" w:color="auto" w:fill="FFFFFF"/>
            <w:tcMar>
              <w:top w:w="30" w:type="dxa"/>
              <w:left w:w="155" w:type="dxa"/>
              <w:bottom w:w="30" w:type="dxa"/>
              <w:right w:w="20" w:type="dxa"/>
            </w:tcMar>
            <w:vAlign w:val="bottom"/>
            <w:hideMark/>
          </w:tcPr>
          <w:p w14:paraId="2B7A9C0E" w14:textId="77777777" w:rsidR="00000000" w:rsidRDefault="00C1661D">
            <w:pPr>
              <w:spacing w:after="100"/>
              <w:rPr>
                <w:rFonts w:eastAsia="Times New Roman"/>
              </w:rPr>
            </w:pPr>
            <w:r>
              <w:rPr>
                <w:rFonts w:eastAsia="Times New Roman"/>
                <w:color w:val="000000"/>
                <w:sz w:val="20"/>
                <w:szCs w:val="20"/>
              </w:rPr>
              <w:t>AmeriGas OLP</w:t>
            </w:r>
          </w:p>
        </w:tc>
        <w:tc>
          <w:tcPr>
            <w:tcW w:w="0" w:type="auto"/>
            <w:gridSpan w:val="3"/>
            <w:shd w:val="clear" w:color="auto" w:fill="FFFFFF"/>
            <w:tcMar>
              <w:top w:w="0" w:type="dxa"/>
              <w:left w:w="20" w:type="dxa"/>
              <w:bottom w:w="0" w:type="dxa"/>
              <w:right w:w="20" w:type="dxa"/>
            </w:tcMar>
            <w:vAlign w:val="center"/>
            <w:hideMark/>
          </w:tcPr>
          <w:p w14:paraId="19C17EDC"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F2C731F" w14:textId="77777777" w:rsidR="00000000" w:rsidRDefault="00C1661D">
            <w:pPr>
              <w:spacing w:after="100"/>
              <w:jc w:val="center"/>
              <w:rPr>
                <w:rFonts w:eastAsia="Times New Roman"/>
              </w:rPr>
            </w:pPr>
            <w:r>
              <w:rPr>
                <w:rFonts w:eastAsia="Times New Roman"/>
                <w:color w:val="000000"/>
                <w:sz w:val="20"/>
                <w:szCs w:val="20"/>
              </w:rPr>
              <w:t>December 2022</w:t>
            </w:r>
          </w:p>
        </w:tc>
        <w:tc>
          <w:tcPr>
            <w:tcW w:w="0" w:type="auto"/>
            <w:gridSpan w:val="3"/>
            <w:shd w:val="clear" w:color="auto" w:fill="FFFFFF"/>
            <w:tcMar>
              <w:top w:w="0" w:type="dxa"/>
              <w:left w:w="20" w:type="dxa"/>
              <w:bottom w:w="0" w:type="dxa"/>
              <w:right w:w="20" w:type="dxa"/>
            </w:tcMar>
            <w:vAlign w:val="center"/>
            <w:hideMark/>
          </w:tcPr>
          <w:p w14:paraId="574944C0" w14:textId="77777777" w:rsidR="00000000" w:rsidRDefault="00C1661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30DF677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5905743" w14:textId="77777777" w:rsidR="00000000" w:rsidRDefault="00C1661D">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14:paraId="0D70467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4BDB4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283EC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FC7E01" w14:textId="77777777" w:rsidR="00000000" w:rsidRDefault="00C1661D">
            <w:pPr>
              <w:spacing w:after="100"/>
              <w:jc w:val="right"/>
              <w:rPr>
                <w:rFonts w:eastAsia="Times New Roman"/>
              </w:rPr>
            </w:pPr>
            <w:r>
              <w:rPr>
                <w:rFonts w:eastAsia="Times New Roman"/>
                <w:color w:val="000000"/>
                <w:sz w:val="20"/>
                <w:szCs w:val="20"/>
              </w:rPr>
              <w:t>170 </w:t>
            </w:r>
          </w:p>
        </w:tc>
        <w:tc>
          <w:tcPr>
            <w:tcW w:w="0" w:type="auto"/>
            <w:shd w:val="clear" w:color="auto" w:fill="FFFFFF"/>
            <w:tcMar>
              <w:top w:w="30" w:type="dxa"/>
              <w:left w:w="0" w:type="dxa"/>
              <w:bottom w:w="30" w:type="dxa"/>
              <w:right w:w="20" w:type="dxa"/>
            </w:tcMar>
            <w:vAlign w:val="bottom"/>
            <w:hideMark/>
          </w:tcPr>
          <w:p w14:paraId="0F7ACAE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C7A26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AE9ED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B0F7764" w14:textId="77777777" w:rsidR="00000000" w:rsidRDefault="00C1661D">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14:paraId="0B640B6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161A4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2F9ED0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0809D3" w14:textId="77777777" w:rsidR="00000000" w:rsidRDefault="00C1661D">
            <w:pPr>
              <w:spacing w:after="100"/>
              <w:jc w:val="right"/>
              <w:rPr>
                <w:rFonts w:eastAsia="Times New Roman"/>
              </w:rPr>
            </w:pPr>
            <w:r>
              <w:rPr>
                <w:rFonts w:eastAsia="Times New Roman"/>
                <w:color w:val="000000"/>
                <w:sz w:val="20"/>
                <w:szCs w:val="20"/>
              </w:rPr>
              <w:t>370 </w:t>
            </w:r>
          </w:p>
        </w:tc>
        <w:tc>
          <w:tcPr>
            <w:tcW w:w="0" w:type="auto"/>
            <w:shd w:val="clear" w:color="auto" w:fill="FFFFFF"/>
            <w:tcMar>
              <w:top w:w="30" w:type="dxa"/>
              <w:left w:w="0" w:type="dxa"/>
              <w:bottom w:w="30" w:type="dxa"/>
              <w:right w:w="20" w:type="dxa"/>
            </w:tcMar>
            <w:vAlign w:val="bottom"/>
            <w:hideMark/>
          </w:tcPr>
          <w:p w14:paraId="746DD86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34E0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A4D9A0" w14:textId="77777777" w:rsidR="00000000" w:rsidRDefault="00C1661D">
            <w:pPr>
              <w:spacing w:after="100"/>
              <w:jc w:val="right"/>
              <w:rPr>
                <w:rFonts w:eastAsia="Times New Roman"/>
              </w:rPr>
            </w:pPr>
            <w:r>
              <w:rPr>
                <w:rFonts w:eastAsia="Times New Roman"/>
                <w:color w:val="000000"/>
                <w:sz w:val="20"/>
                <w:szCs w:val="20"/>
              </w:rPr>
              <w:t>2.58 </w:t>
            </w:r>
          </w:p>
        </w:tc>
        <w:tc>
          <w:tcPr>
            <w:tcW w:w="0" w:type="auto"/>
            <w:shd w:val="clear" w:color="auto" w:fill="FFFFFF"/>
            <w:tcMar>
              <w:top w:w="30" w:type="dxa"/>
              <w:left w:w="0" w:type="dxa"/>
              <w:bottom w:w="30" w:type="dxa"/>
              <w:right w:w="20" w:type="dxa"/>
            </w:tcMar>
            <w:vAlign w:val="bottom"/>
            <w:hideMark/>
          </w:tcPr>
          <w:p w14:paraId="0F3DB7BA" w14:textId="77777777" w:rsidR="00000000" w:rsidRDefault="00C1661D">
            <w:pPr>
              <w:spacing w:after="100"/>
              <w:jc w:val="right"/>
              <w:rPr>
                <w:rFonts w:eastAsia="Times New Roman"/>
              </w:rPr>
            </w:pPr>
            <w:r>
              <w:rPr>
                <w:rFonts w:eastAsia="Times New Roman"/>
                <w:color w:val="000000"/>
                <w:sz w:val="20"/>
                <w:szCs w:val="20"/>
              </w:rPr>
              <w:t>%</w:t>
            </w:r>
          </w:p>
        </w:tc>
      </w:tr>
      <w:tr w:rsidR="00000000" w14:paraId="6A06E477" w14:textId="77777777">
        <w:trPr>
          <w:divId w:val="2080007935"/>
          <w:jc w:val="center"/>
        </w:trPr>
        <w:tc>
          <w:tcPr>
            <w:tcW w:w="0" w:type="auto"/>
            <w:gridSpan w:val="3"/>
            <w:shd w:val="clear" w:color="auto" w:fill="CCEEFF"/>
            <w:tcMar>
              <w:top w:w="30" w:type="dxa"/>
              <w:left w:w="155" w:type="dxa"/>
              <w:bottom w:w="30" w:type="dxa"/>
              <w:right w:w="20" w:type="dxa"/>
            </w:tcMar>
            <w:vAlign w:val="bottom"/>
            <w:hideMark/>
          </w:tcPr>
          <w:p w14:paraId="12750E45" w14:textId="77777777" w:rsidR="00000000" w:rsidRDefault="00C1661D">
            <w:pPr>
              <w:spacing w:after="100"/>
              <w:rPr>
                <w:rFonts w:eastAsia="Times New Roman"/>
              </w:rPr>
            </w:pPr>
            <w:r>
              <w:rPr>
                <w:rFonts w:eastAsia="Times New Roman"/>
                <w:color w:val="000000"/>
                <w:sz w:val="20"/>
                <w:szCs w:val="20"/>
              </w:rPr>
              <w:t>UGI International, LLC (a)</w:t>
            </w:r>
          </w:p>
        </w:tc>
        <w:tc>
          <w:tcPr>
            <w:tcW w:w="0" w:type="auto"/>
            <w:gridSpan w:val="3"/>
            <w:shd w:val="clear" w:color="auto" w:fill="CCEEFF"/>
            <w:tcMar>
              <w:top w:w="0" w:type="dxa"/>
              <w:left w:w="20" w:type="dxa"/>
              <w:bottom w:w="0" w:type="dxa"/>
              <w:right w:w="20" w:type="dxa"/>
            </w:tcMar>
            <w:vAlign w:val="center"/>
            <w:hideMark/>
          </w:tcPr>
          <w:p w14:paraId="2FB1385F"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CCC5D0B" w14:textId="77777777" w:rsidR="00000000" w:rsidRDefault="00C1661D">
            <w:pPr>
              <w:spacing w:after="100"/>
              <w:jc w:val="center"/>
              <w:rPr>
                <w:rFonts w:eastAsia="Times New Roman"/>
              </w:rPr>
            </w:pPr>
            <w:r>
              <w:rPr>
                <w:rFonts w:eastAsia="Times New Roman"/>
                <w:color w:val="000000"/>
                <w:sz w:val="20"/>
                <w:szCs w:val="20"/>
              </w:rPr>
              <w:t>October 2023</w:t>
            </w:r>
          </w:p>
        </w:tc>
        <w:tc>
          <w:tcPr>
            <w:tcW w:w="0" w:type="auto"/>
            <w:gridSpan w:val="3"/>
            <w:shd w:val="clear" w:color="auto" w:fill="CCEEFF"/>
            <w:tcMar>
              <w:top w:w="0" w:type="dxa"/>
              <w:left w:w="20" w:type="dxa"/>
              <w:bottom w:w="0" w:type="dxa"/>
              <w:right w:w="20" w:type="dxa"/>
            </w:tcMar>
            <w:vAlign w:val="center"/>
            <w:hideMark/>
          </w:tcPr>
          <w:p w14:paraId="071A423F" w14:textId="77777777" w:rsidR="00000000" w:rsidRDefault="00C1661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156C16C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EB35484" w14:textId="77777777" w:rsidR="00000000" w:rsidRDefault="00C1661D">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70BE45E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DD6F0"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7B8B6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8A0D76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75299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CA7500"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BF782B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5DF70D"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DB886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0C0F90"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2BDD9B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56D3A4" w14:textId="77777777" w:rsidR="00000000" w:rsidRDefault="00C1661D">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36022C6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6DF53D" w14:textId="77777777" w:rsidR="00000000" w:rsidRDefault="00C1661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165D0C4" w14:textId="77777777" w:rsidR="00000000" w:rsidRDefault="00C1661D">
            <w:pPr>
              <w:spacing w:after="100"/>
              <w:jc w:val="right"/>
              <w:rPr>
                <w:rFonts w:eastAsia="Times New Roman"/>
              </w:rPr>
            </w:pPr>
            <w:r>
              <w:rPr>
                <w:rFonts w:eastAsia="Times New Roman"/>
                <w:color w:val="000000"/>
                <w:sz w:val="20"/>
                <w:szCs w:val="20"/>
              </w:rPr>
              <w:t>N.A.</w:t>
            </w:r>
          </w:p>
        </w:tc>
      </w:tr>
      <w:tr w:rsidR="00000000" w14:paraId="3BE632D3" w14:textId="77777777">
        <w:trPr>
          <w:divId w:val="2080007935"/>
          <w:jc w:val="center"/>
        </w:trPr>
        <w:tc>
          <w:tcPr>
            <w:tcW w:w="0" w:type="auto"/>
            <w:gridSpan w:val="3"/>
            <w:shd w:val="clear" w:color="auto" w:fill="FFFFFF"/>
            <w:tcMar>
              <w:top w:w="30" w:type="dxa"/>
              <w:left w:w="155" w:type="dxa"/>
              <w:bottom w:w="30" w:type="dxa"/>
              <w:right w:w="20" w:type="dxa"/>
            </w:tcMar>
            <w:vAlign w:val="bottom"/>
            <w:hideMark/>
          </w:tcPr>
          <w:p w14:paraId="25778D69" w14:textId="77777777" w:rsidR="00000000" w:rsidRDefault="00C1661D">
            <w:pPr>
              <w:spacing w:after="100"/>
              <w:rPr>
                <w:rFonts w:eastAsia="Times New Roman"/>
              </w:rPr>
            </w:pPr>
            <w:r>
              <w:rPr>
                <w:rFonts w:eastAsia="Times New Roman"/>
                <w:color w:val="000000"/>
                <w:sz w:val="20"/>
                <w:szCs w:val="20"/>
              </w:rPr>
              <w:t xml:space="preserve">Energy Services </w:t>
            </w:r>
          </w:p>
        </w:tc>
        <w:tc>
          <w:tcPr>
            <w:tcW w:w="0" w:type="auto"/>
            <w:gridSpan w:val="3"/>
            <w:shd w:val="clear" w:color="auto" w:fill="FFFFFF"/>
            <w:tcMar>
              <w:top w:w="0" w:type="dxa"/>
              <w:left w:w="20" w:type="dxa"/>
              <w:bottom w:w="0" w:type="dxa"/>
              <w:right w:w="20" w:type="dxa"/>
            </w:tcMar>
            <w:vAlign w:val="center"/>
            <w:hideMark/>
          </w:tcPr>
          <w:p w14:paraId="7678C95C"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2D1D4EC" w14:textId="77777777" w:rsidR="00000000" w:rsidRDefault="00C1661D">
            <w:pPr>
              <w:spacing w:after="100"/>
              <w:jc w:val="center"/>
              <w:rPr>
                <w:rFonts w:eastAsia="Times New Roman"/>
              </w:rPr>
            </w:pPr>
            <w:r>
              <w:rPr>
                <w:rFonts w:eastAsia="Times New Roman"/>
                <w:color w:val="000000"/>
                <w:sz w:val="20"/>
                <w:szCs w:val="20"/>
              </w:rPr>
              <w:t>March 2025</w:t>
            </w:r>
          </w:p>
        </w:tc>
        <w:tc>
          <w:tcPr>
            <w:tcW w:w="0" w:type="auto"/>
            <w:gridSpan w:val="3"/>
            <w:shd w:val="clear" w:color="auto" w:fill="FFFFFF"/>
            <w:tcMar>
              <w:top w:w="0" w:type="dxa"/>
              <w:left w:w="20" w:type="dxa"/>
              <w:bottom w:w="0" w:type="dxa"/>
              <w:right w:w="20" w:type="dxa"/>
            </w:tcMar>
            <w:vAlign w:val="center"/>
            <w:hideMark/>
          </w:tcPr>
          <w:p w14:paraId="16E21703" w14:textId="77777777" w:rsidR="00000000" w:rsidRDefault="00C1661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7A99872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E3FFA5" w14:textId="77777777" w:rsidR="00000000" w:rsidRDefault="00C1661D">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14:paraId="3BD35A9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476A96"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CD0CF8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1B5B852"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6CF2A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A530AF"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49586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1D1556B"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C68FD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89C84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D56F7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120EA23" w14:textId="77777777" w:rsidR="00000000" w:rsidRDefault="00C1661D">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14:paraId="26C3216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E41F7E" w14:textId="77777777" w:rsidR="00000000" w:rsidRDefault="00C1661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898E06B" w14:textId="77777777" w:rsidR="00000000" w:rsidRDefault="00C1661D">
            <w:pPr>
              <w:spacing w:after="100"/>
              <w:jc w:val="right"/>
              <w:rPr>
                <w:rFonts w:eastAsia="Times New Roman"/>
              </w:rPr>
            </w:pPr>
            <w:r>
              <w:rPr>
                <w:rFonts w:eastAsia="Times New Roman"/>
                <w:color w:val="000000"/>
                <w:sz w:val="20"/>
                <w:szCs w:val="20"/>
              </w:rPr>
              <w:t>N.A.</w:t>
            </w:r>
          </w:p>
        </w:tc>
      </w:tr>
      <w:tr w:rsidR="00000000" w14:paraId="436E35A0" w14:textId="77777777">
        <w:trPr>
          <w:divId w:val="2080007935"/>
          <w:jc w:val="center"/>
        </w:trPr>
        <w:tc>
          <w:tcPr>
            <w:tcW w:w="0" w:type="auto"/>
            <w:gridSpan w:val="3"/>
            <w:shd w:val="clear" w:color="auto" w:fill="CCEEFF"/>
            <w:tcMar>
              <w:top w:w="30" w:type="dxa"/>
              <w:left w:w="155" w:type="dxa"/>
              <w:bottom w:w="30" w:type="dxa"/>
              <w:right w:w="20" w:type="dxa"/>
            </w:tcMar>
            <w:vAlign w:val="bottom"/>
            <w:hideMark/>
          </w:tcPr>
          <w:p w14:paraId="0938AD36" w14:textId="77777777" w:rsidR="00000000" w:rsidRDefault="00C1661D">
            <w:pPr>
              <w:spacing w:after="100"/>
              <w:rPr>
                <w:rFonts w:eastAsia="Times New Roman"/>
              </w:rPr>
            </w:pPr>
            <w:r>
              <w:rPr>
                <w:rFonts w:eastAsia="Times New Roman"/>
                <w:color w:val="000000"/>
                <w:sz w:val="20"/>
                <w:szCs w:val="20"/>
              </w:rPr>
              <w:t>UGI Utilities</w:t>
            </w:r>
          </w:p>
        </w:tc>
        <w:tc>
          <w:tcPr>
            <w:tcW w:w="0" w:type="auto"/>
            <w:gridSpan w:val="3"/>
            <w:shd w:val="clear" w:color="auto" w:fill="CCEEFF"/>
            <w:tcMar>
              <w:top w:w="0" w:type="dxa"/>
              <w:left w:w="20" w:type="dxa"/>
              <w:bottom w:w="0" w:type="dxa"/>
              <w:right w:w="20" w:type="dxa"/>
            </w:tcMar>
            <w:vAlign w:val="center"/>
            <w:hideMark/>
          </w:tcPr>
          <w:p w14:paraId="5E599AF3"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E9A4E2B" w14:textId="77777777" w:rsidR="00000000" w:rsidRDefault="00C1661D">
            <w:pPr>
              <w:spacing w:after="100"/>
              <w:jc w:val="center"/>
              <w:rPr>
                <w:rFonts w:eastAsia="Times New Roman"/>
              </w:rPr>
            </w:pPr>
            <w:r>
              <w:rPr>
                <w:rFonts w:eastAsia="Times New Roman"/>
                <w:color w:val="000000"/>
                <w:sz w:val="20"/>
                <w:szCs w:val="20"/>
              </w:rPr>
              <w:t>June 2024</w:t>
            </w:r>
          </w:p>
        </w:tc>
        <w:tc>
          <w:tcPr>
            <w:tcW w:w="0" w:type="auto"/>
            <w:gridSpan w:val="3"/>
            <w:shd w:val="clear" w:color="auto" w:fill="CCEEFF"/>
            <w:tcMar>
              <w:top w:w="0" w:type="dxa"/>
              <w:left w:w="20" w:type="dxa"/>
              <w:bottom w:w="0" w:type="dxa"/>
              <w:right w:w="20" w:type="dxa"/>
            </w:tcMar>
            <w:vAlign w:val="center"/>
            <w:hideMark/>
          </w:tcPr>
          <w:p w14:paraId="70B5A50E" w14:textId="77777777" w:rsidR="00000000" w:rsidRDefault="00C1661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0389F75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EE24B6C" w14:textId="77777777" w:rsidR="00000000" w:rsidRDefault="00C1661D">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14:paraId="2A745C6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8CF87"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0E432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C3362EC" w14:textId="77777777" w:rsidR="00000000" w:rsidRDefault="00C1661D">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14:paraId="6A66C83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1B763E"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C93EBF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D0022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EE639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6F42CA"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621C4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CE44C13" w14:textId="77777777" w:rsidR="00000000" w:rsidRDefault="00C1661D">
            <w:pPr>
              <w:spacing w:after="100"/>
              <w:jc w:val="right"/>
              <w:rPr>
                <w:rFonts w:eastAsia="Times New Roman"/>
              </w:rPr>
            </w:pPr>
            <w:r>
              <w:rPr>
                <w:rFonts w:eastAsia="Times New Roman"/>
                <w:color w:val="000000"/>
                <w:sz w:val="20"/>
                <w:szCs w:val="20"/>
              </w:rPr>
              <w:t>220 </w:t>
            </w:r>
          </w:p>
        </w:tc>
        <w:tc>
          <w:tcPr>
            <w:tcW w:w="0" w:type="auto"/>
            <w:shd w:val="clear" w:color="auto" w:fill="CCEEFF"/>
            <w:tcMar>
              <w:top w:w="30" w:type="dxa"/>
              <w:left w:w="0" w:type="dxa"/>
              <w:bottom w:w="30" w:type="dxa"/>
              <w:right w:w="20" w:type="dxa"/>
            </w:tcMar>
            <w:vAlign w:val="bottom"/>
            <w:hideMark/>
          </w:tcPr>
          <w:p w14:paraId="5D47652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01A2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F9131A" w14:textId="77777777" w:rsidR="00000000" w:rsidRDefault="00C1661D">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14:paraId="635EB5B8" w14:textId="77777777" w:rsidR="00000000" w:rsidRDefault="00C1661D">
            <w:pPr>
              <w:spacing w:after="100"/>
              <w:jc w:val="right"/>
              <w:rPr>
                <w:rFonts w:eastAsia="Times New Roman"/>
              </w:rPr>
            </w:pPr>
            <w:r>
              <w:rPr>
                <w:rFonts w:eastAsia="Times New Roman"/>
                <w:color w:val="000000"/>
                <w:sz w:val="20"/>
                <w:szCs w:val="20"/>
              </w:rPr>
              <w:t>%</w:t>
            </w:r>
          </w:p>
        </w:tc>
      </w:tr>
      <w:tr w:rsidR="00000000" w14:paraId="4A3178D2" w14:textId="77777777">
        <w:trPr>
          <w:divId w:val="2080007935"/>
          <w:jc w:val="center"/>
        </w:trPr>
        <w:tc>
          <w:tcPr>
            <w:tcW w:w="0" w:type="auto"/>
            <w:gridSpan w:val="3"/>
            <w:shd w:val="clear" w:color="auto" w:fill="FFFFFF"/>
            <w:tcMar>
              <w:top w:w="30" w:type="dxa"/>
              <w:left w:w="155" w:type="dxa"/>
              <w:bottom w:w="30" w:type="dxa"/>
              <w:right w:w="20" w:type="dxa"/>
            </w:tcMar>
            <w:vAlign w:val="bottom"/>
            <w:hideMark/>
          </w:tcPr>
          <w:p w14:paraId="760C1689" w14:textId="77777777" w:rsidR="00000000" w:rsidRDefault="00C1661D">
            <w:pPr>
              <w:spacing w:after="100"/>
              <w:rPr>
                <w:rFonts w:eastAsia="Times New Roman"/>
              </w:rPr>
            </w:pPr>
            <w:r>
              <w:rPr>
                <w:rFonts w:eastAsia="Times New Roman"/>
                <w:color w:val="000000"/>
                <w:sz w:val="20"/>
                <w:szCs w:val="20"/>
              </w:rPr>
              <w:t>Mountaineer</w:t>
            </w:r>
          </w:p>
        </w:tc>
        <w:tc>
          <w:tcPr>
            <w:tcW w:w="0" w:type="auto"/>
            <w:gridSpan w:val="3"/>
            <w:shd w:val="clear" w:color="auto" w:fill="FFFFFF"/>
            <w:tcMar>
              <w:top w:w="0" w:type="dxa"/>
              <w:left w:w="20" w:type="dxa"/>
              <w:bottom w:w="0" w:type="dxa"/>
              <w:right w:w="20" w:type="dxa"/>
            </w:tcMar>
            <w:vAlign w:val="center"/>
            <w:hideMark/>
          </w:tcPr>
          <w:p w14:paraId="48C976B0"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3DB0D95" w14:textId="77777777" w:rsidR="00000000" w:rsidRDefault="00C1661D">
            <w:pPr>
              <w:spacing w:after="100"/>
              <w:jc w:val="center"/>
              <w:rPr>
                <w:rFonts w:eastAsia="Times New Roman"/>
              </w:rPr>
            </w:pPr>
            <w:r>
              <w:rPr>
                <w:rFonts w:eastAsia="Times New Roman"/>
                <w:color w:val="000000"/>
                <w:sz w:val="20"/>
                <w:szCs w:val="20"/>
              </w:rPr>
              <w:t>November 2024</w:t>
            </w:r>
          </w:p>
        </w:tc>
        <w:tc>
          <w:tcPr>
            <w:tcW w:w="0" w:type="auto"/>
            <w:gridSpan w:val="3"/>
            <w:shd w:val="clear" w:color="auto" w:fill="FFFFFF"/>
            <w:tcMar>
              <w:top w:w="0" w:type="dxa"/>
              <w:left w:w="20" w:type="dxa"/>
              <w:bottom w:w="0" w:type="dxa"/>
              <w:right w:w="20" w:type="dxa"/>
            </w:tcMar>
            <w:vAlign w:val="center"/>
            <w:hideMark/>
          </w:tcPr>
          <w:p w14:paraId="35A5108E" w14:textId="77777777" w:rsidR="00000000" w:rsidRDefault="00C1661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1878E22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0884EA6" w14:textId="77777777" w:rsidR="00000000" w:rsidRDefault="00C1661D">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383E32C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2E317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2B844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87E9BE4" w14:textId="77777777" w:rsidR="00000000" w:rsidRDefault="00C1661D">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14:paraId="0C2F5C9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FFA96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E12B61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EE1BE13"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45873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61182E"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2E9765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16D3149" w14:textId="77777777" w:rsidR="00000000" w:rsidRDefault="00C1661D">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25087CE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ACC3BF" w14:textId="77777777" w:rsidR="00000000" w:rsidRDefault="00C1661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BDE4CB4" w14:textId="77777777" w:rsidR="00000000" w:rsidRDefault="00C1661D">
            <w:pPr>
              <w:spacing w:after="100"/>
              <w:jc w:val="right"/>
              <w:rPr>
                <w:rFonts w:eastAsia="Times New Roman"/>
              </w:rPr>
            </w:pPr>
            <w:r>
              <w:rPr>
                <w:rFonts w:eastAsia="Times New Roman"/>
                <w:color w:val="000000"/>
                <w:sz w:val="20"/>
                <w:szCs w:val="20"/>
              </w:rPr>
              <w:t>N.M.</w:t>
            </w:r>
          </w:p>
        </w:tc>
      </w:tr>
      <w:tr w:rsidR="00000000" w14:paraId="6CE9FC25" w14:textId="77777777">
        <w:trPr>
          <w:divId w:val="2080007935"/>
          <w:jc w:val="center"/>
        </w:trPr>
        <w:tc>
          <w:tcPr>
            <w:tcW w:w="0" w:type="auto"/>
            <w:gridSpan w:val="3"/>
            <w:shd w:val="clear" w:color="auto" w:fill="CCEEFF"/>
            <w:tcMar>
              <w:top w:w="30" w:type="dxa"/>
              <w:left w:w="155" w:type="dxa"/>
              <w:bottom w:w="30" w:type="dxa"/>
              <w:right w:w="20" w:type="dxa"/>
            </w:tcMar>
            <w:vAlign w:val="bottom"/>
            <w:hideMark/>
          </w:tcPr>
          <w:p w14:paraId="66F4EBA0" w14:textId="77777777" w:rsidR="00000000" w:rsidRDefault="00C1661D">
            <w:pPr>
              <w:spacing w:after="100"/>
              <w:rPr>
                <w:rFonts w:eastAsia="Times New Roman"/>
              </w:rPr>
            </w:pPr>
            <w:r>
              <w:rPr>
                <w:rFonts w:eastAsia="Times New Roman"/>
                <w:color w:val="000000"/>
                <w:sz w:val="20"/>
                <w:szCs w:val="20"/>
              </w:rPr>
              <w:t>UGI Corporation (b)</w:t>
            </w:r>
          </w:p>
        </w:tc>
        <w:tc>
          <w:tcPr>
            <w:tcW w:w="0" w:type="auto"/>
            <w:gridSpan w:val="3"/>
            <w:shd w:val="clear" w:color="auto" w:fill="CCEEFF"/>
            <w:tcMar>
              <w:top w:w="0" w:type="dxa"/>
              <w:left w:w="20" w:type="dxa"/>
              <w:bottom w:w="0" w:type="dxa"/>
              <w:right w:w="20" w:type="dxa"/>
            </w:tcMar>
            <w:vAlign w:val="center"/>
            <w:hideMark/>
          </w:tcPr>
          <w:p w14:paraId="5D004312"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E1A0398" w14:textId="77777777" w:rsidR="00000000" w:rsidRDefault="00C1661D">
            <w:pPr>
              <w:spacing w:after="100"/>
              <w:jc w:val="center"/>
              <w:rPr>
                <w:rFonts w:eastAsia="Times New Roman"/>
              </w:rPr>
            </w:pPr>
            <w:r>
              <w:rPr>
                <w:rFonts w:eastAsia="Times New Roman"/>
                <w:color w:val="000000"/>
                <w:sz w:val="20"/>
                <w:szCs w:val="20"/>
              </w:rPr>
              <w:t>August 2024</w:t>
            </w:r>
          </w:p>
        </w:tc>
        <w:tc>
          <w:tcPr>
            <w:tcW w:w="0" w:type="auto"/>
            <w:gridSpan w:val="3"/>
            <w:shd w:val="clear" w:color="auto" w:fill="CCEEFF"/>
            <w:tcMar>
              <w:top w:w="0" w:type="dxa"/>
              <w:left w:w="20" w:type="dxa"/>
              <w:bottom w:w="0" w:type="dxa"/>
              <w:right w:w="20" w:type="dxa"/>
            </w:tcMar>
            <w:vAlign w:val="center"/>
            <w:hideMark/>
          </w:tcPr>
          <w:p w14:paraId="7708DA4C" w14:textId="77777777" w:rsidR="00000000" w:rsidRDefault="00C1661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29AB8E0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5742BC3" w14:textId="77777777" w:rsidR="00000000" w:rsidRDefault="00C1661D">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44BF986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477D7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2A51F5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3B00FAB" w14:textId="77777777" w:rsidR="00000000" w:rsidRDefault="00C1661D">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14:paraId="0455DC6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F5279E"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3FDCE3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DBCF99"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B7D0F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93A6B"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A32A2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D943F94" w14:textId="77777777" w:rsidR="00000000" w:rsidRDefault="00C1661D">
            <w:pPr>
              <w:spacing w:after="100"/>
              <w:jc w:val="right"/>
              <w:rPr>
                <w:rFonts w:eastAsia="Times New Roman"/>
              </w:rPr>
            </w:pPr>
            <w:r>
              <w:rPr>
                <w:rFonts w:eastAsia="Times New Roman"/>
                <w:color w:val="000000"/>
                <w:sz w:val="20"/>
                <w:szCs w:val="20"/>
              </w:rPr>
              <w:t>115 </w:t>
            </w:r>
          </w:p>
        </w:tc>
        <w:tc>
          <w:tcPr>
            <w:tcW w:w="0" w:type="auto"/>
            <w:shd w:val="clear" w:color="auto" w:fill="CCEEFF"/>
            <w:tcMar>
              <w:top w:w="30" w:type="dxa"/>
              <w:left w:w="0" w:type="dxa"/>
              <w:bottom w:w="30" w:type="dxa"/>
              <w:right w:w="20" w:type="dxa"/>
            </w:tcMar>
            <w:vAlign w:val="bottom"/>
            <w:hideMark/>
          </w:tcPr>
          <w:p w14:paraId="4B57F9D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1793B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8B2760" w14:textId="77777777" w:rsidR="00000000" w:rsidRDefault="00C1661D">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14:paraId="3D7281CA" w14:textId="77777777" w:rsidR="00000000" w:rsidRDefault="00C1661D">
            <w:pPr>
              <w:spacing w:after="100"/>
              <w:jc w:val="right"/>
              <w:rPr>
                <w:rFonts w:eastAsia="Times New Roman"/>
              </w:rPr>
            </w:pPr>
            <w:r>
              <w:rPr>
                <w:rFonts w:eastAsia="Times New Roman"/>
                <w:color w:val="000000"/>
                <w:sz w:val="20"/>
                <w:szCs w:val="20"/>
              </w:rPr>
              <w:t>%</w:t>
            </w:r>
          </w:p>
        </w:tc>
      </w:tr>
    </w:tbl>
    <w:p w14:paraId="677B0882" w14:textId="77777777" w:rsidR="00000000" w:rsidRDefault="00C1661D">
      <w:pPr>
        <w:ind w:hanging="360"/>
        <w:jc w:val="both"/>
        <w:rPr>
          <w:rFonts w:eastAsia="Times New Roman"/>
        </w:rPr>
      </w:pPr>
      <w:r>
        <w:rPr>
          <w:rFonts w:eastAsia="Times New Roman"/>
          <w:color w:val="000000"/>
          <w:sz w:val="20"/>
          <w:szCs w:val="20"/>
        </w:rPr>
        <w:t>(a)Permit</w:t>
      </w:r>
      <w:r>
        <w:rPr>
          <w:rFonts w:eastAsia="Times New Roman"/>
          <w:color w:val="000000"/>
          <w:sz w:val="20"/>
          <w:szCs w:val="20"/>
        </w:rPr>
        <w:t xml:space="preserve">s UGI International, LLC to borrow in euros or USD. </w:t>
      </w:r>
    </w:p>
    <w:p w14:paraId="760240CF" w14:textId="77777777" w:rsidR="00000000" w:rsidRDefault="00C1661D">
      <w:pPr>
        <w:ind w:hanging="360"/>
        <w:jc w:val="both"/>
        <w:rPr>
          <w:rFonts w:eastAsia="Times New Roman"/>
        </w:rPr>
      </w:pPr>
      <w:r>
        <w:rPr>
          <w:rFonts w:eastAsia="Times New Roman"/>
          <w:color w:val="000000"/>
          <w:sz w:val="20"/>
          <w:szCs w:val="20"/>
        </w:rPr>
        <w:t>(b)Borrowings outstanding have been classified as “Long-term debt” on the Consolidated Balance Sheets. Subsequent to September 30, 2022 and 2021, the Company repaid $87 million and $70 million, respectiv</w:t>
      </w:r>
      <w:r>
        <w:rPr>
          <w:rFonts w:eastAsia="Times New Roman"/>
          <w:color w:val="000000"/>
          <w:sz w:val="20"/>
          <w:szCs w:val="20"/>
        </w:rPr>
        <w:t>ely, of such borrowings and classified these repayments as “Current maturities of long-term debt” on the Consolidated Balance Sheets.</w:t>
      </w:r>
    </w:p>
    <w:p w14:paraId="4F7D4061" w14:textId="77777777" w:rsidR="00000000" w:rsidRDefault="00C1661D">
      <w:pPr>
        <w:jc w:val="both"/>
        <w:rPr>
          <w:rFonts w:eastAsia="Times New Roman"/>
        </w:rPr>
      </w:pPr>
      <w:r>
        <w:rPr>
          <w:rFonts w:eastAsia="Times New Roman"/>
          <w:color w:val="000000"/>
          <w:sz w:val="20"/>
          <w:szCs w:val="20"/>
        </w:rPr>
        <w:t>N.A. - Not applicable</w:t>
      </w:r>
    </w:p>
    <w:p w14:paraId="131BBAC2" w14:textId="77777777" w:rsidR="00000000" w:rsidRDefault="00C1661D">
      <w:pPr>
        <w:divId w:val="1890024775"/>
        <w:rPr>
          <w:rFonts w:eastAsia="Times New Roman"/>
        </w:rPr>
      </w:pPr>
      <w:r>
        <w:rPr>
          <w:rFonts w:eastAsia="Times New Roman"/>
          <w:color w:val="000000"/>
          <w:sz w:val="20"/>
          <w:szCs w:val="20"/>
        </w:rPr>
        <w:t>N.M. - Not meaningful</w:t>
      </w:r>
    </w:p>
    <w:p w14:paraId="29D85F12" w14:textId="77777777" w:rsidR="00000000" w:rsidRDefault="00C1661D">
      <w:pPr>
        <w:divId w:val="768505158"/>
        <w:rPr>
          <w:rFonts w:eastAsia="Times New Roman"/>
        </w:rPr>
      </w:pPr>
    </w:p>
    <w:p w14:paraId="6CC41106" w14:textId="77777777" w:rsidR="00000000" w:rsidRDefault="00C1661D">
      <w:pPr>
        <w:jc w:val="both"/>
        <w:rPr>
          <w:rFonts w:eastAsia="Times New Roman"/>
        </w:rPr>
      </w:pPr>
      <w:r>
        <w:rPr>
          <w:rFonts w:eastAsia="Times New Roman"/>
          <w:color w:val="000000"/>
          <w:sz w:val="20"/>
          <w:szCs w:val="20"/>
        </w:rPr>
        <w:t>The average daily and peak short-term borrowings under the Company’s princip</w:t>
      </w:r>
      <w:r>
        <w:rPr>
          <w:rFonts w:eastAsia="Times New Roman"/>
          <w:color w:val="000000"/>
          <w:sz w:val="20"/>
          <w:szCs w:val="20"/>
        </w:rPr>
        <w:t>al credit agreements are as follows:</w:t>
      </w:r>
    </w:p>
    <w:tbl>
      <w:tblPr>
        <w:tblW w:w="4978" w:type="pct"/>
        <w:tblCellMar>
          <w:top w:w="15" w:type="dxa"/>
          <w:left w:w="15" w:type="dxa"/>
          <w:bottom w:w="15" w:type="dxa"/>
          <w:right w:w="15" w:type="dxa"/>
        </w:tblCellMar>
        <w:tblLook w:val="04A0" w:firstRow="1" w:lastRow="0" w:firstColumn="1" w:lastColumn="0" w:noHBand="0" w:noVBand="1"/>
      </w:tblPr>
      <w:tblGrid>
        <w:gridCol w:w="38"/>
        <w:gridCol w:w="3993"/>
        <w:gridCol w:w="37"/>
        <w:gridCol w:w="36"/>
        <w:gridCol w:w="36"/>
        <w:gridCol w:w="36"/>
        <w:gridCol w:w="121"/>
        <w:gridCol w:w="785"/>
        <w:gridCol w:w="36"/>
        <w:gridCol w:w="36"/>
        <w:gridCol w:w="36"/>
        <w:gridCol w:w="36"/>
        <w:gridCol w:w="120"/>
        <w:gridCol w:w="786"/>
        <w:gridCol w:w="36"/>
        <w:gridCol w:w="36"/>
        <w:gridCol w:w="36"/>
        <w:gridCol w:w="36"/>
        <w:gridCol w:w="121"/>
        <w:gridCol w:w="786"/>
        <w:gridCol w:w="36"/>
        <w:gridCol w:w="36"/>
        <w:gridCol w:w="36"/>
        <w:gridCol w:w="36"/>
        <w:gridCol w:w="120"/>
        <w:gridCol w:w="786"/>
        <w:gridCol w:w="36"/>
      </w:tblGrid>
      <w:tr w:rsidR="00000000" w14:paraId="4DB68889" w14:textId="77777777">
        <w:trPr>
          <w:divId w:val="1718050032"/>
        </w:trPr>
        <w:tc>
          <w:tcPr>
            <w:tcW w:w="50" w:type="pct"/>
            <w:vAlign w:val="center"/>
            <w:hideMark/>
          </w:tcPr>
          <w:p w14:paraId="38CE0B11" w14:textId="77777777" w:rsidR="00000000" w:rsidRDefault="00C1661D">
            <w:pPr>
              <w:jc w:val="both"/>
              <w:rPr>
                <w:rFonts w:eastAsia="Times New Roman"/>
              </w:rPr>
            </w:pPr>
          </w:p>
        </w:tc>
        <w:tc>
          <w:tcPr>
            <w:tcW w:w="2448" w:type="pct"/>
            <w:vAlign w:val="center"/>
            <w:hideMark/>
          </w:tcPr>
          <w:p w14:paraId="538B56A1" w14:textId="77777777" w:rsidR="00000000" w:rsidRDefault="00C1661D">
            <w:pPr>
              <w:spacing w:after="100"/>
              <w:rPr>
                <w:rFonts w:eastAsia="Times New Roman"/>
                <w:sz w:val="20"/>
                <w:szCs w:val="20"/>
              </w:rPr>
            </w:pPr>
          </w:p>
        </w:tc>
        <w:tc>
          <w:tcPr>
            <w:tcW w:w="5" w:type="pct"/>
            <w:vAlign w:val="center"/>
            <w:hideMark/>
          </w:tcPr>
          <w:p w14:paraId="238734F5" w14:textId="77777777" w:rsidR="00000000" w:rsidRDefault="00C1661D">
            <w:pPr>
              <w:spacing w:after="100"/>
              <w:rPr>
                <w:rFonts w:eastAsia="Times New Roman"/>
                <w:sz w:val="20"/>
                <w:szCs w:val="20"/>
              </w:rPr>
            </w:pPr>
          </w:p>
        </w:tc>
        <w:tc>
          <w:tcPr>
            <w:tcW w:w="5" w:type="pct"/>
            <w:vAlign w:val="center"/>
            <w:hideMark/>
          </w:tcPr>
          <w:p w14:paraId="15076603" w14:textId="77777777" w:rsidR="00000000" w:rsidRDefault="00C1661D">
            <w:pPr>
              <w:spacing w:after="100"/>
              <w:rPr>
                <w:rFonts w:eastAsia="Times New Roman"/>
                <w:sz w:val="20"/>
                <w:szCs w:val="20"/>
              </w:rPr>
            </w:pPr>
          </w:p>
        </w:tc>
        <w:tc>
          <w:tcPr>
            <w:tcW w:w="26" w:type="pct"/>
            <w:vAlign w:val="center"/>
            <w:hideMark/>
          </w:tcPr>
          <w:p w14:paraId="57E12DBF" w14:textId="77777777" w:rsidR="00000000" w:rsidRDefault="00C1661D">
            <w:pPr>
              <w:spacing w:after="100"/>
              <w:rPr>
                <w:rFonts w:eastAsia="Times New Roman"/>
                <w:sz w:val="20"/>
                <w:szCs w:val="20"/>
              </w:rPr>
            </w:pPr>
          </w:p>
        </w:tc>
        <w:tc>
          <w:tcPr>
            <w:tcW w:w="5" w:type="pct"/>
            <w:vAlign w:val="center"/>
            <w:hideMark/>
          </w:tcPr>
          <w:p w14:paraId="74A4DC1D" w14:textId="77777777" w:rsidR="00000000" w:rsidRDefault="00C1661D">
            <w:pPr>
              <w:spacing w:after="100"/>
              <w:rPr>
                <w:rFonts w:eastAsia="Times New Roman"/>
                <w:sz w:val="20"/>
                <w:szCs w:val="20"/>
              </w:rPr>
            </w:pPr>
          </w:p>
        </w:tc>
        <w:tc>
          <w:tcPr>
            <w:tcW w:w="50" w:type="pct"/>
            <w:vAlign w:val="center"/>
            <w:hideMark/>
          </w:tcPr>
          <w:p w14:paraId="739D3BAB" w14:textId="77777777" w:rsidR="00000000" w:rsidRDefault="00C1661D">
            <w:pPr>
              <w:spacing w:after="100"/>
              <w:rPr>
                <w:rFonts w:eastAsia="Times New Roman"/>
                <w:sz w:val="20"/>
                <w:szCs w:val="20"/>
              </w:rPr>
            </w:pPr>
          </w:p>
        </w:tc>
        <w:tc>
          <w:tcPr>
            <w:tcW w:w="532" w:type="pct"/>
            <w:vAlign w:val="center"/>
            <w:hideMark/>
          </w:tcPr>
          <w:p w14:paraId="72070821" w14:textId="77777777" w:rsidR="00000000" w:rsidRDefault="00C1661D">
            <w:pPr>
              <w:spacing w:after="100"/>
              <w:rPr>
                <w:rFonts w:eastAsia="Times New Roman"/>
                <w:sz w:val="20"/>
                <w:szCs w:val="20"/>
              </w:rPr>
            </w:pPr>
          </w:p>
        </w:tc>
        <w:tc>
          <w:tcPr>
            <w:tcW w:w="5" w:type="pct"/>
            <w:vAlign w:val="center"/>
            <w:hideMark/>
          </w:tcPr>
          <w:p w14:paraId="12CFC151" w14:textId="77777777" w:rsidR="00000000" w:rsidRDefault="00C1661D">
            <w:pPr>
              <w:spacing w:after="100"/>
              <w:rPr>
                <w:rFonts w:eastAsia="Times New Roman"/>
                <w:sz w:val="20"/>
                <w:szCs w:val="20"/>
              </w:rPr>
            </w:pPr>
          </w:p>
        </w:tc>
        <w:tc>
          <w:tcPr>
            <w:tcW w:w="5" w:type="pct"/>
            <w:vAlign w:val="center"/>
            <w:hideMark/>
          </w:tcPr>
          <w:p w14:paraId="4738067C" w14:textId="77777777" w:rsidR="00000000" w:rsidRDefault="00C1661D">
            <w:pPr>
              <w:spacing w:after="100"/>
              <w:rPr>
                <w:rFonts w:eastAsia="Times New Roman"/>
                <w:sz w:val="20"/>
                <w:szCs w:val="20"/>
              </w:rPr>
            </w:pPr>
          </w:p>
        </w:tc>
        <w:tc>
          <w:tcPr>
            <w:tcW w:w="26" w:type="pct"/>
            <w:vAlign w:val="center"/>
            <w:hideMark/>
          </w:tcPr>
          <w:p w14:paraId="4B5D9684" w14:textId="77777777" w:rsidR="00000000" w:rsidRDefault="00C1661D">
            <w:pPr>
              <w:spacing w:after="100"/>
              <w:rPr>
                <w:rFonts w:eastAsia="Times New Roman"/>
                <w:sz w:val="20"/>
                <w:szCs w:val="20"/>
              </w:rPr>
            </w:pPr>
          </w:p>
        </w:tc>
        <w:tc>
          <w:tcPr>
            <w:tcW w:w="5" w:type="pct"/>
            <w:vAlign w:val="center"/>
            <w:hideMark/>
          </w:tcPr>
          <w:p w14:paraId="60642D21" w14:textId="77777777" w:rsidR="00000000" w:rsidRDefault="00C1661D">
            <w:pPr>
              <w:spacing w:after="100"/>
              <w:rPr>
                <w:rFonts w:eastAsia="Times New Roman"/>
                <w:sz w:val="20"/>
                <w:szCs w:val="20"/>
              </w:rPr>
            </w:pPr>
          </w:p>
        </w:tc>
        <w:tc>
          <w:tcPr>
            <w:tcW w:w="50" w:type="pct"/>
            <w:vAlign w:val="center"/>
            <w:hideMark/>
          </w:tcPr>
          <w:p w14:paraId="7E242965" w14:textId="77777777" w:rsidR="00000000" w:rsidRDefault="00C1661D">
            <w:pPr>
              <w:spacing w:after="100"/>
              <w:rPr>
                <w:rFonts w:eastAsia="Times New Roman"/>
                <w:sz w:val="20"/>
                <w:szCs w:val="20"/>
              </w:rPr>
            </w:pPr>
          </w:p>
        </w:tc>
        <w:tc>
          <w:tcPr>
            <w:tcW w:w="532" w:type="pct"/>
            <w:vAlign w:val="center"/>
            <w:hideMark/>
          </w:tcPr>
          <w:p w14:paraId="4C5502CC" w14:textId="77777777" w:rsidR="00000000" w:rsidRDefault="00C1661D">
            <w:pPr>
              <w:spacing w:after="100"/>
              <w:rPr>
                <w:rFonts w:eastAsia="Times New Roman"/>
                <w:sz w:val="20"/>
                <w:szCs w:val="20"/>
              </w:rPr>
            </w:pPr>
          </w:p>
        </w:tc>
        <w:tc>
          <w:tcPr>
            <w:tcW w:w="5" w:type="pct"/>
            <w:vAlign w:val="center"/>
            <w:hideMark/>
          </w:tcPr>
          <w:p w14:paraId="745936BB" w14:textId="77777777" w:rsidR="00000000" w:rsidRDefault="00C1661D">
            <w:pPr>
              <w:spacing w:after="100"/>
              <w:rPr>
                <w:rFonts w:eastAsia="Times New Roman"/>
                <w:sz w:val="20"/>
                <w:szCs w:val="20"/>
              </w:rPr>
            </w:pPr>
          </w:p>
        </w:tc>
        <w:tc>
          <w:tcPr>
            <w:tcW w:w="5" w:type="pct"/>
            <w:vAlign w:val="center"/>
            <w:hideMark/>
          </w:tcPr>
          <w:p w14:paraId="1D958FFC" w14:textId="77777777" w:rsidR="00000000" w:rsidRDefault="00C1661D">
            <w:pPr>
              <w:spacing w:after="100"/>
              <w:rPr>
                <w:rFonts w:eastAsia="Times New Roman"/>
                <w:sz w:val="20"/>
                <w:szCs w:val="20"/>
              </w:rPr>
            </w:pPr>
          </w:p>
        </w:tc>
        <w:tc>
          <w:tcPr>
            <w:tcW w:w="26" w:type="pct"/>
            <w:vAlign w:val="center"/>
            <w:hideMark/>
          </w:tcPr>
          <w:p w14:paraId="0DC16754" w14:textId="77777777" w:rsidR="00000000" w:rsidRDefault="00C1661D">
            <w:pPr>
              <w:spacing w:after="100"/>
              <w:rPr>
                <w:rFonts w:eastAsia="Times New Roman"/>
                <w:sz w:val="20"/>
                <w:szCs w:val="20"/>
              </w:rPr>
            </w:pPr>
          </w:p>
        </w:tc>
        <w:tc>
          <w:tcPr>
            <w:tcW w:w="5" w:type="pct"/>
            <w:vAlign w:val="center"/>
            <w:hideMark/>
          </w:tcPr>
          <w:p w14:paraId="4FA5BE82" w14:textId="77777777" w:rsidR="00000000" w:rsidRDefault="00C1661D">
            <w:pPr>
              <w:spacing w:after="100"/>
              <w:rPr>
                <w:rFonts w:eastAsia="Times New Roman"/>
                <w:sz w:val="20"/>
                <w:szCs w:val="20"/>
              </w:rPr>
            </w:pPr>
          </w:p>
        </w:tc>
        <w:tc>
          <w:tcPr>
            <w:tcW w:w="50" w:type="pct"/>
            <w:vAlign w:val="center"/>
            <w:hideMark/>
          </w:tcPr>
          <w:p w14:paraId="248A5586" w14:textId="77777777" w:rsidR="00000000" w:rsidRDefault="00C1661D">
            <w:pPr>
              <w:spacing w:after="100"/>
              <w:rPr>
                <w:rFonts w:eastAsia="Times New Roman"/>
                <w:sz w:val="20"/>
                <w:szCs w:val="20"/>
              </w:rPr>
            </w:pPr>
          </w:p>
        </w:tc>
        <w:tc>
          <w:tcPr>
            <w:tcW w:w="532" w:type="pct"/>
            <w:vAlign w:val="center"/>
            <w:hideMark/>
          </w:tcPr>
          <w:p w14:paraId="69FFB66A" w14:textId="77777777" w:rsidR="00000000" w:rsidRDefault="00C1661D">
            <w:pPr>
              <w:spacing w:after="100"/>
              <w:rPr>
                <w:rFonts w:eastAsia="Times New Roman"/>
                <w:sz w:val="20"/>
                <w:szCs w:val="20"/>
              </w:rPr>
            </w:pPr>
          </w:p>
        </w:tc>
        <w:tc>
          <w:tcPr>
            <w:tcW w:w="5" w:type="pct"/>
            <w:vAlign w:val="center"/>
            <w:hideMark/>
          </w:tcPr>
          <w:p w14:paraId="1205FE51" w14:textId="77777777" w:rsidR="00000000" w:rsidRDefault="00C1661D">
            <w:pPr>
              <w:spacing w:after="100"/>
              <w:rPr>
                <w:rFonts w:eastAsia="Times New Roman"/>
                <w:sz w:val="20"/>
                <w:szCs w:val="20"/>
              </w:rPr>
            </w:pPr>
          </w:p>
        </w:tc>
        <w:tc>
          <w:tcPr>
            <w:tcW w:w="5" w:type="pct"/>
            <w:vAlign w:val="center"/>
            <w:hideMark/>
          </w:tcPr>
          <w:p w14:paraId="0AFA1BEE" w14:textId="77777777" w:rsidR="00000000" w:rsidRDefault="00C1661D">
            <w:pPr>
              <w:spacing w:after="100"/>
              <w:rPr>
                <w:rFonts w:eastAsia="Times New Roman"/>
                <w:sz w:val="20"/>
                <w:szCs w:val="20"/>
              </w:rPr>
            </w:pPr>
          </w:p>
        </w:tc>
        <w:tc>
          <w:tcPr>
            <w:tcW w:w="26" w:type="pct"/>
            <w:vAlign w:val="center"/>
            <w:hideMark/>
          </w:tcPr>
          <w:p w14:paraId="380E3D46" w14:textId="77777777" w:rsidR="00000000" w:rsidRDefault="00C1661D">
            <w:pPr>
              <w:spacing w:after="100"/>
              <w:rPr>
                <w:rFonts w:eastAsia="Times New Roman"/>
                <w:sz w:val="20"/>
                <w:szCs w:val="20"/>
              </w:rPr>
            </w:pPr>
          </w:p>
        </w:tc>
        <w:tc>
          <w:tcPr>
            <w:tcW w:w="5" w:type="pct"/>
            <w:vAlign w:val="center"/>
            <w:hideMark/>
          </w:tcPr>
          <w:p w14:paraId="155168AB" w14:textId="77777777" w:rsidR="00000000" w:rsidRDefault="00C1661D">
            <w:pPr>
              <w:spacing w:after="100"/>
              <w:rPr>
                <w:rFonts w:eastAsia="Times New Roman"/>
                <w:sz w:val="20"/>
                <w:szCs w:val="20"/>
              </w:rPr>
            </w:pPr>
          </w:p>
        </w:tc>
        <w:tc>
          <w:tcPr>
            <w:tcW w:w="50" w:type="pct"/>
            <w:vAlign w:val="center"/>
            <w:hideMark/>
          </w:tcPr>
          <w:p w14:paraId="6F293179" w14:textId="77777777" w:rsidR="00000000" w:rsidRDefault="00C1661D">
            <w:pPr>
              <w:spacing w:after="100"/>
              <w:rPr>
                <w:rFonts w:eastAsia="Times New Roman"/>
                <w:sz w:val="20"/>
                <w:szCs w:val="20"/>
              </w:rPr>
            </w:pPr>
          </w:p>
        </w:tc>
        <w:tc>
          <w:tcPr>
            <w:tcW w:w="532" w:type="pct"/>
            <w:vAlign w:val="center"/>
            <w:hideMark/>
          </w:tcPr>
          <w:p w14:paraId="1A5BE87E" w14:textId="77777777" w:rsidR="00000000" w:rsidRDefault="00C1661D">
            <w:pPr>
              <w:spacing w:after="100"/>
              <w:rPr>
                <w:rFonts w:eastAsia="Times New Roman"/>
                <w:sz w:val="20"/>
                <w:szCs w:val="20"/>
              </w:rPr>
            </w:pPr>
          </w:p>
        </w:tc>
        <w:tc>
          <w:tcPr>
            <w:tcW w:w="5" w:type="pct"/>
            <w:vAlign w:val="center"/>
            <w:hideMark/>
          </w:tcPr>
          <w:p w14:paraId="52F2F53A" w14:textId="77777777" w:rsidR="00000000" w:rsidRDefault="00C1661D">
            <w:pPr>
              <w:spacing w:after="100"/>
              <w:rPr>
                <w:rFonts w:eastAsia="Times New Roman"/>
                <w:sz w:val="20"/>
                <w:szCs w:val="20"/>
              </w:rPr>
            </w:pPr>
          </w:p>
        </w:tc>
      </w:tr>
      <w:tr w:rsidR="00000000" w14:paraId="4DBB3B0C" w14:textId="77777777">
        <w:trPr>
          <w:divId w:val="1718050032"/>
        </w:trPr>
        <w:tc>
          <w:tcPr>
            <w:tcW w:w="0" w:type="auto"/>
            <w:gridSpan w:val="3"/>
            <w:tcMar>
              <w:top w:w="0" w:type="dxa"/>
              <w:left w:w="20" w:type="dxa"/>
              <w:bottom w:w="0" w:type="dxa"/>
              <w:right w:w="20" w:type="dxa"/>
            </w:tcMar>
            <w:vAlign w:val="center"/>
            <w:hideMark/>
          </w:tcPr>
          <w:p w14:paraId="6EA0E122"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E9CEBD" w14:textId="77777777" w:rsidR="00000000" w:rsidRDefault="00C1661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0ACE607"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24016B51" w14:textId="77777777" w:rsidR="00000000" w:rsidRDefault="00C1661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57ED4EB" w14:textId="77777777" w:rsidR="00000000" w:rsidRDefault="00C1661D">
            <w:pPr>
              <w:spacing w:after="100"/>
              <w:jc w:val="center"/>
              <w:rPr>
                <w:rFonts w:eastAsia="Times New Roman"/>
              </w:rPr>
            </w:pPr>
            <w:r>
              <w:rPr>
                <w:rFonts w:eastAsia="Times New Roman"/>
                <w:color w:val="000000"/>
                <w:sz w:val="20"/>
                <w:szCs w:val="20"/>
              </w:rPr>
              <w:t>2021</w:t>
            </w:r>
          </w:p>
        </w:tc>
      </w:tr>
      <w:tr w:rsidR="00000000" w14:paraId="59DBD416" w14:textId="77777777">
        <w:trPr>
          <w:divId w:val="1718050032"/>
        </w:trPr>
        <w:tc>
          <w:tcPr>
            <w:tcW w:w="0" w:type="auto"/>
            <w:gridSpan w:val="3"/>
            <w:tcMar>
              <w:top w:w="30" w:type="dxa"/>
              <w:left w:w="20" w:type="dxa"/>
              <w:bottom w:w="30" w:type="dxa"/>
              <w:right w:w="20" w:type="dxa"/>
            </w:tcMar>
            <w:vAlign w:val="bottom"/>
            <w:hideMark/>
          </w:tcPr>
          <w:p w14:paraId="22D528FB" w14:textId="77777777" w:rsidR="00000000" w:rsidRDefault="00C1661D">
            <w:pPr>
              <w:spacing w:after="100"/>
              <w:rPr>
                <w:rFonts w:eastAsia="Times New Roman"/>
              </w:rPr>
            </w:pPr>
            <w:r>
              <w:rPr>
                <w:rFonts w:eastAsia="Times New Roman"/>
                <w:color w:val="000000"/>
                <w:sz w:val="20"/>
                <w:szCs w:val="20"/>
              </w:rPr>
              <w:t>(Currency in millions)</w:t>
            </w:r>
          </w:p>
        </w:tc>
        <w:tc>
          <w:tcPr>
            <w:tcW w:w="0" w:type="auto"/>
            <w:gridSpan w:val="3"/>
            <w:tcMar>
              <w:top w:w="0" w:type="dxa"/>
              <w:left w:w="20" w:type="dxa"/>
              <w:bottom w:w="0" w:type="dxa"/>
              <w:right w:w="20" w:type="dxa"/>
            </w:tcMar>
            <w:vAlign w:val="center"/>
            <w:hideMark/>
          </w:tcPr>
          <w:p w14:paraId="6691F50E"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730C0E" w14:textId="77777777" w:rsidR="00000000" w:rsidRDefault="00C1661D">
            <w:pPr>
              <w:spacing w:after="100"/>
              <w:jc w:val="center"/>
              <w:rPr>
                <w:rFonts w:eastAsia="Times New Roman"/>
              </w:rPr>
            </w:pPr>
            <w:r>
              <w:rPr>
                <w:rFonts w:eastAsia="Times New Roman"/>
                <w:color w:val="000000"/>
                <w:sz w:val="20"/>
                <w:szCs w:val="20"/>
              </w:rPr>
              <w:t>Average</w:t>
            </w:r>
          </w:p>
        </w:tc>
        <w:tc>
          <w:tcPr>
            <w:tcW w:w="0" w:type="auto"/>
            <w:gridSpan w:val="3"/>
            <w:tcBorders>
              <w:top w:val="single" w:sz="8" w:space="0" w:color="000000"/>
            </w:tcBorders>
            <w:tcMar>
              <w:top w:w="0" w:type="dxa"/>
              <w:left w:w="20" w:type="dxa"/>
              <w:bottom w:w="0" w:type="dxa"/>
              <w:right w:w="20" w:type="dxa"/>
            </w:tcMar>
            <w:vAlign w:val="center"/>
            <w:hideMark/>
          </w:tcPr>
          <w:p w14:paraId="40A23320"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903BC0" w14:textId="77777777" w:rsidR="00000000" w:rsidRDefault="00C1661D">
            <w:pPr>
              <w:spacing w:after="100"/>
              <w:jc w:val="center"/>
              <w:rPr>
                <w:rFonts w:eastAsia="Times New Roman"/>
              </w:rPr>
            </w:pPr>
            <w:r>
              <w:rPr>
                <w:rFonts w:eastAsia="Times New Roman"/>
                <w:color w:val="000000"/>
                <w:sz w:val="20"/>
                <w:szCs w:val="20"/>
              </w:rPr>
              <w:t>Peak</w:t>
            </w:r>
          </w:p>
        </w:tc>
        <w:tc>
          <w:tcPr>
            <w:tcW w:w="0" w:type="auto"/>
            <w:gridSpan w:val="3"/>
            <w:tcMar>
              <w:top w:w="0" w:type="dxa"/>
              <w:left w:w="20" w:type="dxa"/>
              <w:bottom w:w="0" w:type="dxa"/>
              <w:right w:w="20" w:type="dxa"/>
            </w:tcMar>
            <w:vAlign w:val="center"/>
            <w:hideMark/>
          </w:tcPr>
          <w:p w14:paraId="1D510886"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C0B301" w14:textId="77777777" w:rsidR="00000000" w:rsidRDefault="00C1661D">
            <w:pPr>
              <w:spacing w:after="100"/>
              <w:jc w:val="center"/>
              <w:rPr>
                <w:rFonts w:eastAsia="Times New Roman"/>
              </w:rPr>
            </w:pPr>
            <w:r>
              <w:rPr>
                <w:rFonts w:eastAsia="Times New Roman"/>
                <w:color w:val="000000"/>
                <w:sz w:val="20"/>
                <w:szCs w:val="20"/>
              </w:rPr>
              <w:t>Average</w:t>
            </w:r>
          </w:p>
        </w:tc>
        <w:tc>
          <w:tcPr>
            <w:tcW w:w="0" w:type="auto"/>
            <w:gridSpan w:val="3"/>
            <w:tcBorders>
              <w:top w:val="single" w:sz="8" w:space="0" w:color="000000"/>
            </w:tcBorders>
            <w:tcMar>
              <w:top w:w="0" w:type="dxa"/>
              <w:left w:w="20" w:type="dxa"/>
              <w:bottom w:w="0" w:type="dxa"/>
              <w:right w:w="20" w:type="dxa"/>
            </w:tcMar>
            <w:vAlign w:val="center"/>
            <w:hideMark/>
          </w:tcPr>
          <w:p w14:paraId="239FFB4A"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781C20" w14:textId="77777777" w:rsidR="00000000" w:rsidRDefault="00C1661D">
            <w:pPr>
              <w:spacing w:after="100"/>
              <w:jc w:val="center"/>
              <w:rPr>
                <w:rFonts w:eastAsia="Times New Roman"/>
              </w:rPr>
            </w:pPr>
            <w:r>
              <w:rPr>
                <w:rFonts w:eastAsia="Times New Roman"/>
                <w:color w:val="000000"/>
                <w:sz w:val="20"/>
                <w:szCs w:val="20"/>
              </w:rPr>
              <w:t>Peak</w:t>
            </w:r>
          </w:p>
        </w:tc>
      </w:tr>
      <w:tr w:rsidR="00000000" w14:paraId="25DF77C8" w14:textId="77777777">
        <w:trPr>
          <w:divId w:val="171805003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1642F60" w14:textId="77777777" w:rsidR="00000000" w:rsidRDefault="00C1661D">
            <w:pPr>
              <w:spacing w:after="100"/>
              <w:rPr>
                <w:rFonts w:eastAsia="Times New Roman"/>
              </w:rPr>
            </w:pPr>
            <w:r>
              <w:rPr>
                <w:rFonts w:eastAsia="Times New Roman"/>
                <w:color w:val="000000"/>
                <w:sz w:val="20"/>
                <w:szCs w:val="20"/>
              </w:rPr>
              <w:t>AmeriGas OLP</w:t>
            </w:r>
          </w:p>
        </w:tc>
        <w:tc>
          <w:tcPr>
            <w:tcW w:w="0" w:type="auto"/>
            <w:gridSpan w:val="3"/>
            <w:shd w:val="clear" w:color="auto" w:fill="CCEEFF"/>
            <w:tcMar>
              <w:top w:w="0" w:type="dxa"/>
              <w:left w:w="20" w:type="dxa"/>
              <w:bottom w:w="0" w:type="dxa"/>
              <w:right w:w="20" w:type="dxa"/>
            </w:tcMar>
            <w:vAlign w:val="center"/>
            <w:hideMark/>
          </w:tcPr>
          <w:p w14:paraId="5B7A587B" w14:textId="77777777" w:rsidR="00000000" w:rsidRDefault="00C166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A14205"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6EA3C3" w14:textId="77777777" w:rsidR="00000000" w:rsidRDefault="00C1661D">
            <w:pPr>
              <w:spacing w:after="100"/>
              <w:jc w:val="right"/>
              <w:rPr>
                <w:rFonts w:eastAsia="Times New Roman"/>
              </w:rPr>
            </w:pPr>
            <w:r>
              <w:rPr>
                <w:rFonts w:eastAsia="Times New Roman"/>
                <w:color w:val="000000"/>
                <w:sz w:val="20"/>
                <w:szCs w:val="20"/>
              </w:rPr>
              <w:t>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8D6A0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A3205"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CD8D6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B6B357" w14:textId="77777777" w:rsidR="00000000" w:rsidRDefault="00C1661D">
            <w:pPr>
              <w:spacing w:after="100"/>
              <w:jc w:val="right"/>
              <w:rPr>
                <w:rFonts w:eastAsia="Times New Roman"/>
              </w:rPr>
            </w:pPr>
            <w:r>
              <w:rPr>
                <w:rFonts w:eastAsia="Times New Roman"/>
                <w:color w:val="000000"/>
                <w:sz w:val="20"/>
                <w:szCs w:val="20"/>
              </w:rPr>
              <w:t>388 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0ABB1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B83AD2"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B56B0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D78BC3" w14:textId="77777777" w:rsidR="00000000" w:rsidRDefault="00C1661D">
            <w:pPr>
              <w:spacing w:after="100"/>
              <w:jc w:val="right"/>
              <w:rPr>
                <w:rFonts w:eastAsia="Times New Roman"/>
              </w:rPr>
            </w:pPr>
            <w:r>
              <w:rPr>
                <w:rFonts w:eastAsia="Times New Roman"/>
                <w:color w:val="000000"/>
                <w:sz w:val="20"/>
                <w:szCs w:val="20"/>
              </w:rPr>
              <w:t>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1995B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91CAE6"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21BA9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FFEEF3" w14:textId="77777777" w:rsidR="00000000" w:rsidRDefault="00C1661D">
            <w:pPr>
              <w:spacing w:after="100"/>
              <w:jc w:val="right"/>
              <w:rPr>
                <w:rFonts w:eastAsia="Times New Roman"/>
              </w:rPr>
            </w:pPr>
            <w:r>
              <w:rPr>
                <w:rFonts w:eastAsia="Times New Roman"/>
                <w:color w:val="000000"/>
                <w:sz w:val="20"/>
                <w:szCs w:val="20"/>
              </w:rPr>
              <w:t>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7EADD4" w14:textId="77777777" w:rsidR="00000000" w:rsidRDefault="00C1661D">
            <w:pPr>
              <w:spacing w:after="100"/>
              <w:jc w:val="right"/>
              <w:rPr>
                <w:rFonts w:eastAsia="Times New Roman"/>
              </w:rPr>
            </w:pPr>
          </w:p>
        </w:tc>
      </w:tr>
      <w:tr w:rsidR="00000000" w14:paraId="1B3D8250" w14:textId="77777777">
        <w:trPr>
          <w:divId w:val="1718050032"/>
        </w:trPr>
        <w:tc>
          <w:tcPr>
            <w:tcW w:w="0" w:type="auto"/>
            <w:gridSpan w:val="3"/>
            <w:shd w:val="clear" w:color="auto" w:fill="FFFFFF"/>
            <w:tcMar>
              <w:top w:w="30" w:type="dxa"/>
              <w:left w:w="20" w:type="dxa"/>
              <w:bottom w:w="30" w:type="dxa"/>
              <w:right w:w="20" w:type="dxa"/>
            </w:tcMar>
            <w:vAlign w:val="bottom"/>
            <w:hideMark/>
          </w:tcPr>
          <w:p w14:paraId="0902FE5D" w14:textId="77777777" w:rsidR="00000000" w:rsidRDefault="00C1661D">
            <w:pPr>
              <w:spacing w:after="100"/>
              <w:rPr>
                <w:rFonts w:eastAsia="Times New Roman"/>
              </w:rPr>
            </w:pPr>
            <w:r>
              <w:rPr>
                <w:rFonts w:eastAsia="Times New Roman"/>
                <w:color w:val="000000"/>
                <w:sz w:val="20"/>
                <w:szCs w:val="20"/>
              </w:rPr>
              <w:t>UGI International, LLC</w:t>
            </w:r>
          </w:p>
        </w:tc>
        <w:tc>
          <w:tcPr>
            <w:tcW w:w="0" w:type="auto"/>
            <w:gridSpan w:val="3"/>
            <w:shd w:val="clear" w:color="auto" w:fill="FFFFFF"/>
            <w:tcMar>
              <w:top w:w="0" w:type="dxa"/>
              <w:left w:w="20" w:type="dxa"/>
              <w:bottom w:w="0" w:type="dxa"/>
              <w:right w:w="20" w:type="dxa"/>
            </w:tcMar>
            <w:vAlign w:val="center"/>
            <w:hideMark/>
          </w:tcPr>
          <w:p w14:paraId="52E4ECEE"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3625AA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F3D6E1F" w14:textId="77777777" w:rsidR="00000000" w:rsidRDefault="00C1661D">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14:paraId="52B67BD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B9EC7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B1EA7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47C075B" w14:textId="77777777" w:rsidR="00000000" w:rsidRDefault="00C1661D">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14:paraId="0533162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E4FBA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9725A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B8D999F"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24B239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A0D52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01E4B0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53224AB"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B559A8" w14:textId="77777777" w:rsidR="00000000" w:rsidRDefault="00C1661D">
            <w:pPr>
              <w:spacing w:after="100"/>
              <w:jc w:val="right"/>
              <w:rPr>
                <w:rFonts w:eastAsia="Times New Roman"/>
              </w:rPr>
            </w:pPr>
          </w:p>
        </w:tc>
      </w:tr>
      <w:tr w:rsidR="00000000" w14:paraId="54034ECE" w14:textId="77777777">
        <w:trPr>
          <w:divId w:val="1718050032"/>
        </w:trPr>
        <w:tc>
          <w:tcPr>
            <w:tcW w:w="0" w:type="auto"/>
            <w:gridSpan w:val="3"/>
            <w:shd w:val="clear" w:color="auto" w:fill="CCEEFF"/>
            <w:tcMar>
              <w:top w:w="30" w:type="dxa"/>
              <w:left w:w="20" w:type="dxa"/>
              <w:bottom w:w="30" w:type="dxa"/>
              <w:right w:w="20" w:type="dxa"/>
            </w:tcMar>
            <w:vAlign w:val="bottom"/>
            <w:hideMark/>
          </w:tcPr>
          <w:p w14:paraId="21BCE957" w14:textId="77777777" w:rsidR="00000000" w:rsidRDefault="00C1661D">
            <w:pPr>
              <w:spacing w:after="100"/>
              <w:rPr>
                <w:rFonts w:eastAsia="Times New Roman"/>
              </w:rPr>
            </w:pPr>
            <w:r>
              <w:rPr>
                <w:rFonts w:eastAsia="Times New Roman"/>
                <w:color w:val="000000"/>
                <w:sz w:val="20"/>
                <w:szCs w:val="20"/>
              </w:rPr>
              <w:t>Energy Services</w:t>
            </w:r>
          </w:p>
        </w:tc>
        <w:tc>
          <w:tcPr>
            <w:tcW w:w="0" w:type="auto"/>
            <w:gridSpan w:val="3"/>
            <w:shd w:val="clear" w:color="auto" w:fill="CCEEFF"/>
            <w:tcMar>
              <w:top w:w="0" w:type="dxa"/>
              <w:left w:w="20" w:type="dxa"/>
              <w:bottom w:w="0" w:type="dxa"/>
              <w:right w:w="20" w:type="dxa"/>
            </w:tcMar>
            <w:vAlign w:val="center"/>
            <w:hideMark/>
          </w:tcPr>
          <w:p w14:paraId="675083DF"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6DFF6F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9129D0E"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A1FD97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E64042"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3C0D4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8D531F6"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EA587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00274"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7AEB5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A34238"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0A30417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CA4B5"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F57A73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0B6E5BC" w14:textId="77777777" w:rsidR="00000000" w:rsidRDefault="00C1661D">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14:paraId="139847B3" w14:textId="77777777" w:rsidR="00000000" w:rsidRDefault="00C1661D">
            <w:pPr>
              <w:spacing w:after="100"/>
              <w:jc w:val="right"/>
              <w:rPr>
                <w:rFonts w:eastAsia="Times New Roman"/>
              </w:rPr>
            </w:pPr>
          </w:p>
        </w:tc>
      </w:tr>
      <w:tr w:rsidR="00000000" w14:paraId="2CD6B686" w14:textId="77777777">
        <w:trPr>
          <w:divId w:val="1718050032"/>
        </w:trPr>
        <w:tc>
          <w:tcPr>
            <w:tcW w:w="0" w:type="auto"/>
            <w:gridSpan w:val="3"/>
            <w:shd w:val="clear" w:color="auto" w:fill="FFFFFF"/>
            <w:tcMar>
              <w:top w:w="30" w:type="dxa"/>
              <w:left w:w="20" w:type="dxa"/>
              <w:bottom w:w="30" w:type="dxa"/>
              <w:right w:w="20" w:type="dxa"/>
            </w:tcMar>
            <w:vAlign w:val="bottom"/>
            <w:hideMark/>
          </w:tcPr>
          <w:p w14:paraId="1DF31831" w14:textId="77777777" w:rsidR="00000000" w:rsidRDefault="00C1661D">
            <w:pPr>
              <w:spacing w:after="100"/>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14:paraId="11F3E419"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48253D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6D676BB" w14:textId="77777777" w:rsidR="00000000" w:rsidRDefault="00C1661D">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14:paraId="0C95BCC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78C84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A85AC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8AE8DD6" w14:textId="77777777" w:rsidR="00000000" w:rsidRDefault="00C1661D">
            <w:pPr>
              <w:spacing w:after="100"/>
              <w:jc w:val="right"/>
              <w:rPr>
                <w:rFonts w:eastAsia="Times New Roman"/>
              </w:rPr>
            </w:pPr>
            <w:r>
              <w:rPr>
                <w:rFonts w:eastAsia="Times New Roman"/>
                <w:color w:val="000000"/>
                <w:sz w:val="20"/>
                <w:szCs w:val="20"/>
              </w:rPr>
              <w:t>270 </w:t>
            </w:r>
          </w:p>
        </w:tc>
        <w:tc>
          <w:tcPr>
            <w:tcW w:w="0" w:type="auto"/>
            <w:shd w:val="clear" w:color="auto" w:fill="FFFFFF"/>
            <w:tcMar>
              <w:top w:w="30" w:type="dxa"/>
              <w:left w:w="0" w:type="dxa"/>
              <w:bottom w:w="30" w:type="dxa"/>
              <w:right w:w="20" w:type="dxa"/>
            </w:tcMar>
            <w:vAlign w:val="bottom"/>
            <w:hideMark/>
          </w:tcPr>
          <w:p w14:paraId="7B83F78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BCA787"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073AEA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0FFF084" w14:textId="77777777" w:rsidR="00000000" w:rsidRDefault="00C1661D">
            <w:pPr>
              <w:spacing w:after="100"/>
              <w:jc w:val="right"/>
              <w:rPr>
                <w:rFonts w:eastAsia="Times New Roman"/>
              </w:rPr>
            </w:pPr>
            <w:r>
              <w:rPr>
                <w:rFonts w:eastAsia="Times New Roman"/>
                <w:color w:val="000000"/>
                <w:sz w:val="20"/>
                <w:szCs w:val="20"/>
              </w:rPr>
              <w:t>186 </w:t>
            </w:r>
          </w:p>
        </w:tc>
        <w:tc>
          <w:tcPr>
            <w:tcW w:w="0" w:type="auto"/>
            <w:shd w:val="clear" w:color="auto" w:fill="FFFFFF"/>
            <w:tcMar>
              <w:top w:w="30" w:type="dxa"/>
              <w:left w:w="0" w:type="dxa"/>
              <w:bottom w:w="30" w:type="dxa"/>
              <w:right w:w="20" w:type="dxa"/>
            </w:tcMar>
            <w:vAlign w:val="bottom"/>
            <w:hideMark/>
          </w:tcPr>
          <w:p w14:paraId="55BAEC7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E7C60"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9C6655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B2A74D2" w14:textId="77777777" w:rsidR="00000000" w:rsidRDefault="00C1661D">
            <w:pPr>
              <w:spacing w:after="100"/>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14:paraId="26D0A1AA" w14:textId="77777777" w:rsidR="00000000" w:rsidRDefault="00C1661D">
            <w:pPr>
              <w:spacing w:after="100"/>
              <w:jc w:val="right"/>
              <w:rPr>
                <w:rFonts w:eastAsia="Times New Roman"/>
              </w:rPr>
            </w:pPr>
          </w:p>
        </w:tc>
      </w:tr>
      <w:tr w:rsidR="00000000" w14:paraId="7BC610EA" w14:textId="77777777">
        <w:trPr>
          <w:divId w:val="1718050032"/>
        </w:trPr>
        <w:tc>
          <w:tcPr>
            <w:tcW w:w="0" w:type="auto"/>
            <w:gridSpan w:val="3"/>
            <w:shd w:val="clear" w:color="auto" w:fill="CCEEFF"/>
            <w:tcMar>
              <w:top w:w="30" w:type="dxa"/>
              <w:left w:w="20" w:type="dxa"/>
              <w:bottom w:w="30" w:type="dxa"/>
              <w:right w:w="20" w:type="dxa"/>
            </w:tcMar>
            <w:vAlign w:val="bottom"/>
            <w:hideMark/>
          </w:tcPr>
          <w:p w14:paraId="4424FC42" w14:textId="77777777" w:rsidR="00000000" w:rsidRDefault="00C1661D">
            <w:pPr>
              <w:spacing w:after="100"/>
              <w:rPr>
                <w:rFonts w:eastAsia="Times New Roman"/>
              </w:rPr>
            </w:pPr>
            <w:r>
              <w:rPr>
                <w:rFonts w:eastAsia="Times New Roman"/>
                <w:color w:val="000000"/>
                <w:sz w:val="20"/>
                <w:szCs w:val="20"/>
              </w:rPr>
              <w:t>Mountaineer</w:t>
            </w:r>
          </w:p>
        </w:tc>
        <w:tc>
          <w:tcPr>
            <w:tcW w:w="0" w:type="auto"/>
            <w:gridSpan w:val="3"/>
            <w:shd w:val="clear" w:color="auto" w:fill="CCEEFF"/>
            <w:tcMar>
              <w:top w:w="0" w:type="dxa"/>
              <w:left w:w="20" w:type="dxa"/>
              <w:bottom w:w="0" w:type="dxa"/>
              <w:right w:w="20" w:type="dxa"/>
            </w:tcMar>
            <w:vAlign w:val="center"/>
            <w:hideMark/>
          </w:tcPr>
          <w:p w14:paraId="59EE580D"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7B4D00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E9D6632" w14:textId="77777777" w:rsidR="00000000" w:rsidRDefault="00C1661D">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14:paraId="57667B3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918170"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1F6FB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F0DAB01" w14:textId="77777777" w:rsidR="00000000" w:rsidRDefault="00C1661D">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14:paraId="5A6611F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CB1675"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293A0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A503BA" w14:textId="77777777" w:rsidR="00000000" w:rsidRDefault="00C1661D">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14:paraId="4F8CCBD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74C5B4"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5D178F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01B3948" w14:textId="77777777" w:rsidR="00000000" w:rsidRDefault="00C1661D">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14:paraId="3F7161E9" w14:textId="77777777" w:rsidR="00000000" w:rsidRDefault="00C1661D">
            <w:pPr>
              <w:spacing w:after="100"/>
              <w:jc w:val="right"/>
              <w:rPr>
                <w:rFonts w:eastAsia="Times New Roman"/>
              </w:rPr>
            </w:pPr>
          </w:p>
        </w:tc>
      </w:tr>
      <w:tr w:rsidR="00000000" w14:paraId="5B84BB8F" w14:textId="77777777">
        <w:trPr>
          <w:divId w:val="1718050032"/>
        </w:trPr>
        <w:tc>
          <w:tcPr>
            <w:tcW w:w="0" w:type="auto"/>
            <w:gridSpan w:val="3"/>
            <w:shd w:val="clear" w:color="auto" w:fill="FFFFFF"/>
            <w:tcMar>
              <w:top w:w="30" w:type="dxa"/>
              <w:left w:w="20" w:type="dxa"/>
              <w:bottom w:w="30" w:type="dxa"/>
              <w:right w:w="20" w:type="dxa"/>
            </w:tcMar>
            <w:vAlign w:val="bottom"/>
            <w:hideMark/>
          </w:tcPr>
          <w:p w14:paraId="7883E913" w14:textId="77777777" w:rsidR="00000000" w:rsidRDefault="00C1661D">
            <w:pPr>
              <w:spacing w:after="100"/>
              <w:rPr>
                <w:rFonts w:eastAsia="Times New Roman"/>
              </w:rPr>
            </w:pPr>
            <w:r>
              <w:rPr>
                <w:rFonts w:eastAsia="Times New Roman"/>
                <w:color w:val="000000"/>
                <w:sz w:val="20"/>
                <w:szCs w:val="20"/>
              </w:rPr>
              <w:t>UGI Corporation</w:t>
            </w:r>
          </w:p>
        </w:tc>
        <w:tc>
          <w:tcPr>
            <w:tcW w:w="0" w:type="auto"/>
            <w:gridSpan w:val="3"/>
            <w:shd w:val="clear" w:color="auto" w:fill="FFFFFF"/>
            <w:tcMar>
              <w:top w:w="0" w:type="dxa"/>
              <w:left w:w="20" w:type="dxa"/>
              <w:bottom w:w="0" w:type="dxa"/>
              <w:right w:w="20" w:type="dxa"/>
            </w:tcMar>
            <w:vAlign w:val="center"/>
            <w:hideMark/>
          </w:tcPr>
          <w:p w14:paraId="779178B5"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2D0ACD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A8496E4" w14:textId="77777777" w:rsidR="00000000" w:rsidRDefault="00C1661D">
            <w:pPr>
              <w:spacing w:after="100"/>
              <w:jc w:val="right"/>
              <w:rPr>
                <w:rFonts w:eastAsia="Times New Roman"/>
              </w:rPr>
            </w:pPr>
            <w:r>
              <w:rPr>
                <w:rFonts w:eastAsia="Times New Roman"/>
                <w:color w:val="000000"/>
                <w:sz w:val="20"/>
                <w:szCs w:val="20"/>
              </w:rPr>
              <w:t>191 </w:t>
            </w:r>
          </w:p>
        </w:tc>
        <w:tc>
          <w:tcPr>
            <w:tcW w:w="0" w:type="auto"/>
            <w:shd w:val="clear" w:color="auto" w:fill="FFFFFF"/>
            <w:tcMar>
              <w:top w:w="30" w:type="dxa"/>
              <w:left w:w="0" w:type="dxa"/>
              <w:bottom w:w="30" w:type="dxa"/>
              <w:right w:w="20" w:type="dxa"/>
            </w:tcMar>
            <w:vAlign w:val="bottom"/>
            <w:hideMark/>
          </w:tcPr>
          <w:p w14:paraId="0B9D854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0F4744"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2DDE5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8B65809" w14:textId="77777777" w:rsidR="00000000" w:rsidRDefault="00C1661D">
            <w:pPr>
              <w:spacing w:after="100"/>
              <w:jc w:val="right"/>
              <w:rPr>
                <w:rFonts w:eastAsia="Times New Roman"/>
              </w:rPr>
            </w:pPr>
            <w:r>
              <w:rPr>
                <w:rFonts w:eastAsia="Times New Roman"/>
                <w:color w:val="000000"/>
                <w:sz w:val="20"/>
                <w:szCs w:val="20"/>
              </w:rPr>
              <w:t>288 </w:t>
            </w:r>
          </w:p>
        </w:tc>
        <w:tc>
          <w:tcPr>
            <w:tcW w:w="0" w:type="auto"/>
            <w:shd w:val="clear" w:color="auto" w:fill="FFFFFF"/>
            <w:tcMar>
              <w:top w:w="30" w:type="dxa"/>
              <w:left w:w="0" w:type="dxa"/>
              <w:bottom w:w="30" w:type="dxa"/>
              <w:right w:w="20" w:type="dxa"/>
            </w:tcMar>
            <w:vAlign w:val="bottom"/>
            <w:hideMark/>
          </w:tcPr>
          <w:p w14:paraId="165C3B3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58A70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0D005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4D34EBD" w14:textId="77777777" w:rsidR="00000000" w:rsidRDefault="00C1661D">
            <w:pPr>
              <w:spacing w:after="100"/>
              <w:jc w:val="right"/>
              <w:rPr>
                <w:rFonts w:eastAsia="Times New Roman"/>
              </w:rPr>
            </w:pPr>
            <w:r>
              <w:rPr>
                <w:rFonts w:eastAsia="Times New Roman"/>
                <w:color w:val="000000"/>
                <w:sz w:val="20"/>
                <w:szCs w:val="20"/>
              </w:rPr>
              <w:t>191 </w:t>
            </w:r>
          </w:p>
        </w:tc>
        <w:tc>
          <w:tcPr>
            <w:tcW w:w="0" w:type="auto"/>
            <w:shd w:val="clear" w:color="auto" w:fill="FFFFFF"/>
            <w:tcMar>
              <w:top w:w="30" w:type="dxa"/>
              <w:left w:w="0" w:type="dxa"/>
              <w:bottom w:w="30" w:type="dxa"/>
              <w:right w:w="20" w:type="dxa"/>
            </w:tcMar>
            <w:vAlign w:val="bottom"/>
            <w:hideMark/>
          </w:tcPr>
          <w:p w14:paraId="1980A4E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29ECF"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D35F3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4F7952C" w14:textId="77777777" w:rsidR="00000000" w:rsidRDefault="00C1661D">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14:paraId="19227F92" w14:textId="77777777" w:rsidR="00000000" w:rsidRDefault="00C1661D">
            <w:pPr>
              <w:spacing w:after="100"/>
              <w:jc w:val="right"/>
              <w:rPr>
                <w:rFonts w:eastAsia="Times New Roman"/>
              </w:rPr>
            </w:pPr>
          </w:p>
        </w:tc>
      </w:tr>
    </w:tbl>
    <w:p w14:paraId="0E1C4DA5" w14:textId="77777777" w:rsidR="00000000" w:rsidRDefault="00C1661D">
      <w:pPr>
        <w:jc w:val="both"/>
        <w:divId w:val="326790485"/>
        <w:rPr>
          <w:rFonts w:eastAsia="Times New Roman"/>
        </w:rPr>
      </w:pPr>
      <w:r>
        <w:rPr>
          <w:rFonts w:eastAsia="Times New Roman"/>
          <w:b/>
          <w:bCs/>
          <w:i/>
          <w:iCs/>
          <w:color w:val="000000"/>
          <w:sz w:val="20"/>
          <w:szCs w:val="20"/>
        </w:rPr>
        <w:t>Receivables Facility.</w:t>
      </w:r>
      <w:r>
        <w:rPr>
          <w:rFonts w:eastAsia="Times New Roman"/>
          <w:color w:val="000000"/>
          <w:sz w:val="20"/>
          <w:szCs w:val="20"/>
        </w:rPr>
        <w:t xml:space="preserve"> </w:t>
      </w:r>
      <w:r>
        <w:rPr>
          <w:rFonts w:eastAsia="Times New Roman"/>
          <w:color w:val="000000"/>
          <w:sz w:val="20"/>
          <w:szCs w:val="20"/>
        </w:rPr>
        <w:t xml:space="preserve">Energy Services also has a Receivables Facility with an issuer of receivables-backed commercial paper. On October 21, 2022, the expiration date of the Receivables Facility was extended to October 20, 2023. The Receivables Facility provides Energy Services </w:t>
      </w:r>
      <w:r>
        <w:rPr>
          <w:rFonts w:eastAsia="Times New Roman"/>
          <w:color w:val="000000"/>
          <w:sz w:val="20"/>
          <w:szCs w:val="20"/>
        </w:rPr>
        <w:t xml:space="preserve">with the ability to borrow up to $150 million of eligible receivables during the period October 21, 2022 through April 30, 2023, and up to $75 million of eligible receivables during the period May 1, 2023 through October 20, 2023. Energy Services uses the </w:t>
      </w:r>
      <w:r>
        <w:rPr>
          <w:rFonts w:eastAsia="Times New Roman"/>
          <w:color w:val="000000"/>
          <w:sz w:val="20"/>
          <w:szCs w:val="20"/>
        </w:rPr>
        <w:t xml:space="preserve">Receivables Facility to fund working capital, margin calls under commodity futures contracts, capital expenditures, dividends and for general corporate purposes. </w:t>
      </w:r>
    </w:p>
    <w:p w14:paraId="6EDB6D9C" w14:textId="77777777" w:rsidR="00000000" w:rsidRDefault="00C1661D">
      <w:pPr>
        <w:jc w:val="center"/>
        <w:divId w:val="1848518840"/>
        <w:rPr>
          <w:rFonts w:eastAsia="Times New Roman"/>
        </w:rPr>
      </w:pPr>
      <w:r>
        <w:rPr>
          <w:rFonts w:eastAsia="Times New Roman"/>
          <w:color w:val="000000"/>
          <w:sz w:val="20"/>
          <w:szCs w:val="20"/>
        </w:rPr>
        <w:t>59</w:t>
      </w:r>
    </w:p>
    <w:p w14:paraId="7308DC20" w14:textId="77777777" w:rsidR="00000000" w:rsidRDefault="00C1661D">
      <w:pPr>
        <w:rPr>
          <w:rFonts w:eastAsia="Times New Roman"/>
        </w:rPr>
      </w:pPr>
      <w:r>
        <w:rPr>
          <w:rFonts w:eastAsia="Times New Roman"/>
        </w:rPr>
        <w:pict w14:anchorId="1363CE90">
          <v:rect id="_x0000_i1086" style="width:0;height:1.5pt" o:hralign="center" o:hrstd="t" o:hr="t" fillcolor="#a0a0a0" stroked="f"/>
        </w:pict>
      </w:r>
    </w:p>
    <w:p w14:paraId="35F1AB8A" w14:textId="77777777" w:rsidR="00000000" w:rsidRDefault="00C1661D">
      <w:pPr>
        <w:divId w:val="1654144079"/>
        <w:rPr>
          <w:rFonts w:eastAsia="Times New Roman"/>
        </w:rPr>
      </w:pPr>
      <w:hyperlink w:anchor="i3850c3c6c0104e42b9951aac2f16098a_7" w:history="1">
        <w:r>
          <w:rPr>
            <w:rStyle w:val="a3"/>
            <w:rFonts w:eastAsia="Times New Roman"/>
            <w:b/>
            <w:bCs/>
            <w:sz w:val="20"/>
            <w:szCs w:val="20"/>
          </w:rPr>
          <w:t>Table of Contents</w:t>
        </w:r>
      </w:hyperlink>
    </w:p>
    <w:p w14:paraId="134EA6FA" w14:textId="77777777" w:rsidR="00000000" w:rsidRDefault="00C1661D">
      <w:pPr>
        <w:jc w:val="both"/>
        <w:divId w:val="554972117"/>
        <w:rPr>
          <w:rFonts w:eastAsia="Times New Roman"/>
        </w:rPr>
      </w:pPr>
      <w:r>
        <w:rPr>
          <w:rFonts w:eastAsia="Times New Roman"/>
          <w:color w:val="000000"/>
          <w:sz w:val="20"/>
          <w:szCs w:val="20"/>
        </w:rPr>
        <w:t>At September 30, 2022 and 2021, the outstanding balance of trade receivables was $101 million and $61 million, respectively, none of which was sold to the bank. During Fiscal 2022 and Fiscal 2021, peak sales of receivables were $98 mi</w:t>
      </w:r>
      <w:r>
        <w:rPr>
          <w:rFonts w:eastAsia="Times New Roman"/>
          <w:color w:val="000000"/>
          <w:sz w:val="20"/>
          <w:szCs w:val="20"/>
        </w:rPr>
        <w:t>llion and $87 million, respectively. During Fiscal 2022 and Fiscal 2021, average daily amounts sold were $2 million and $21 million, respectively.</w:t>
      </w:r>
    </w:p>
    <w:p w14:paraId="4B687021" w14:textId="77777777" w:rsidR="00000000" w:rsidRDefault="00C1661D">
      <w:pPr>
        <w:jc w:val="both"/>
        <w:divId w:val="327950651"/>
        <w:rPr>
          <w:rFonts w:eastAsia="Times New Roman"/>
        </w:rPr>
      </w:pPr>
      <w:r>
        <w:rPr>
          <w:rFonts w:eastAsia="Times New Roman"/>
          <w:color w:val="000000"/>
          <w:sz w:val="20"/>
          <w:szCs w:val="20"/>
        </w:rPr>
        <w:t>For further information on the Company’s long-term debt and credit facilities, see Note 6 to Consolidated Fin</w:t>
      </w:r>
      <w:r>
        <w:rPr>
          <w:rFonts w:eastAsia="Times New Roman"/>
          <w:color w:val="000000"/>
          <w:sz w:val="20"/>
          <w:szCs w:val="20"/>
        </w:rPr>
        <w:t>ancial Statements.</w:t>
      </w:r>
    </w:p>
    <w:p w14:paraId="00A27B62" w14:textId="77777777" w:rsidR="00000000" w:rsidRDefault="00C1661D">
      <w:pPr>
        <w:jc w:val="both"/>
        <w:divId w:val="1593736808"/>
        <w:rPr>
          <w:rFonts w:eastAsia="Times New Roman"/>
        </w:rPr>
      </w:pPr>
      <w:r>
        <w:rPr>
          <w:rFonts w:eastAsia="Times New Roman"/>
          <w:b/>
          <w:bCs/>
          <w:color w:val="000000"/>
          <w:sz w:val="20"/>
          <w:szCs w:val="20"/>
        </w:rPr>
        <w:t>Cash Flows</w:t>
      </w:r>
    </w:p>
    <w:p w14:paraId="74640676" w14:textId="77777777" w:rsidR="00000000" w:rsidRDefault="00C1661D">
      <w:pPr>
        <w:jc w:val="both"/>
        <w:divId w:val="481166189"/>
        <w:rPr>
          <w:rFonts w:eastAsia="Times New Roman"/>
        </w:rPr>
      </w:pPr>
      <w:r>
        <w:rPr>
          <w:rFonts w:eastAsia="Times New Roman"/>
          <w:color w:val="000000"/>
          <w:sz w:val="20"/>
          <w:szCs w:val="20"/>
        </w:rPr>
        <w:t>Due to the seasonal nature of the Company’s businesses, cash flows from operating activities are generally strongest during the second and third fiscal quarters when customers pay for natural gas, LPG, electricity and other en</w:t>
      </w:r>
      <w:r>
        <w:rPr>
          <w:rFonts w:eastAsia="Times New Roman"/>
          <w:color w:val="000000"/>
          <w:sz w:val="20"/>
          <w:szCs w:val="20"/>
        </w:rPr>
        <w:t>ergy products and services consumed during the peak heating season months. Conversely, operating cash flows are generally at their lowest levels during the fourth and first fiscal quarters when the Company’s investment in working capital, principally inven</w:t>
      </w:r>
      <w:r>
        <w:rPr>
          <w:rFonts w:eastAsia="Times New Roman"/>
          <w:color w:val="000000"/>
          <w:sz w:val="20"/>
          <w:szCs w:val="20"/>
        </w:rPr>
        <w:t>tories and accounts receivable, is generally greatest.</w:t>
      </w:r>
    </w:p>
    <w:p w14:paraId="3C58CEFC" w14:textId="77777777" w:rsidR="00000000" w:rsidRDefault="00C1661D">
      <w:pPr>
        <w:jc w:val="both"/>
        <w:divId w:val="2013560193"/>
        <w:rPr>
          <w:rFonts w:eastAsia="Times New Roman"/>
        </w:rPr>
      </w:pPr>
      <w:r>
        <w:rPr>
          <w:rFonts w:eastAsia="Times New Roman"/>
          <w:b/>
          <w:bCs/>
          <w:color w:val="000000"/>
          <w:sz w:val="20"/>
          <w:szCs w:val="20"/>
        </w:rPr>
        <w:t>Operating Activities:</w:t>
      </w:r>
    </w:p>
    <w:p w14:paraId="36097124" w14:textId="77777777" w:rsidR="00000000" w:rsidRDefault="00C1661D">
      <w:pPr>
        <w:jc w:val="both"/>
        <w:divId w:val="2113698265"/>
        <w:rPr>
          <w:rFonts w:eastAsia="Times New Roman"/>
        </w:rPr>
      </w:pPr>
      <w:r>
        <w:rPr>
          <w:rFonts w:eastAsia="Times New Roman"/>
          <w:color w:val="000000"/>
          <w:sz w:val="20"/>
          <w:szCs w:val="20"/>
        </w:rPr>
        <w:t>Year-to-year variations in our cash flows from operating activities can be significantly affected by changes in operating working capital, especially during periods with significa</w:t>
      </w:r>
      <w:r>
        <w:rPr>
          <w:rFonts w:eastAsia="Times New Roman"/>
          <w:color w:val="000000"/>
          <w:sz w:val="20"/>
          <w:szCs w:val="20"/>
        </w:rPr>
        <w:t>nt changes in energy commodity prices. Cash flows from operating activities in Fiscal 2022 and Fiscal 2021 were $716 million and $1,481 million, respectively. Cash flows from operating activities before changes in operating working capital were $1,269 mill</w:t>
      </w:r>
      <w:r>
        <w:rPr>
          <w:rFonts w:eastAsia="Times New Roman"/>
          <w:color w:val="000000"/>
          <w:sz w:val="20"/>
          <w:szCs w:val="20"/>
        </w:rPr>
        <w:t>ion in Fiscal 2022 and $1,200 million in Fiscal 2021. Changes in operating working capital provided (used) operating cash flow of $(553) million in Fiscal 2022 and $281 million in Fiscal 2021. The significant increase in cash used from changes in operating</w:t>
      </w:r>
      <w:r>
        <w:rPr>
          <w:rFonts w:eastAsia="Times New Roman"/>
          <w:color w:val="000000"/>
          <w:sz w:val="20"/>
          <w:szCs w:val="20"/>
        </w:rPr>
        <w:t xml:space="preserve"> working capital principally reflects derivative instruments collateral repayments of $9 million in Fiscal 2022 compared to collateral received of $472 million in Fiscal 2021 reflecting the volatility in energy commodity prices and the timing of associated</w:t>
      </w:r>
      <w:r>
        <w:rPr>
          <w:rFonts w:eastAsia="Times New Roman"/>
          <w:color w:val="000000"/>
          <w:sz w:val="20"/>
          <w:szCs w:val="20"/>
        </w:rPr>
        <w:t xml:space="preserve"> collateral receipts and payments; lower cash generated from changes in accounts payable due in part to the timing of payments and the impacts of changes in commodity energy prices; and an increase in accounts receivable principally reflecting the effects </w:t>
      </w:r>
      <w:r>
        <w:rPr>
          <w:rFonts w:eastAsia="Times New Roman"/>
          <w:color w:val="000000"/>
          <w:sz w:val="20"/>
          <w:szCs w:val="20"/>
        </w:rPr>
        <w:t>of higher energy prices on receivable balances.</w:t>
      </w:r>
    </w:p>
    <w:p w14:paraId="23463285" w14:textId="77777777" w:rsidR="00000000" w:rsidRDefault="00C1661D">
      <w:pPr>
        <w:jc w:val="both"/>
        <w:divId w:val="612133075"/>
        <w:rPr>
          <w:rFonts w:eastAsia="Times New Roman"/>
        </w:rPr>
      </w:pPr>
      <w:r>
        <w:rPr>
          <w:rFonts w:eastAsia="Times New Roman"/>
          <w:b/>
          <w:bCs/>
          <w:color w:val="000000"/>
          <w:sz w:val="20"/>
          <w:szCs w:val="20"/>
        </w:rPr>
        <w:t>Investing Activities:</w:t>
      </w:r>
    </w:p>
    <w:p w14:paraId="570CD3E2" w14:textId="77777777" w:rsidR="00000000" w:rsidRDefault="00C1661D">
      <w:pPr>
        <w:jc w:val="both"/>
        <w:divId w:val="83578635"/>
        <w:rPr>
          <w:rFonts w:eastAsia="Times New Roman"/>
        </w:rPr>
      </w:pPr>
      <w:r>
        <w:rPr>
          <w:rFonts w:eastAsia="Times New Roman"/>
          <w:color w:val="000000"/>
          <w:sz w:val="20"/>
          <w:szCs w:val="20"/>
        </w:rPr>
        <w:t>Investing activity cash flow is principally affected by cash expenditures for property, plant and equipment; cash paid for acquisitions of businesses and assets; investments in equity me</w:t>
      </w:r>
      <w:r>
        <w:rPr>
          <w:rFonts w:eastAsia="Times New Roman"/>
          <w:color w:val="000000"/>
          <w:sz w:val="20"/>
          <w:szCs w:val="20"/>
        </w:rPr>
        <w:t>thod investees; and cash proceeds from sales and retirements of property, plant and equipment. Cash expenditures for property, plant and equipment totaled $804 million in Fiscal 2022 and $690 million in Fiscal 2021. Cash payments for property, plant and eq</w:t>
      </w:r>
      <w:r>
        <w:rPr>
          <w:rFonts w:eastAsia="Times New Roman"/>
          <w:color w:val="000000"/>
          <w:sz w:val="20"/>
          <w:szCs w:val="20"/>
        </w:rPr>
        <w:t>uipment were higher in Fiscal 2022 compared with Fiscal 2021 reflecting, in part, higher capital expenditures at Utilities including the full-year impact of Mountaineer. Cash used for acquisitions of businesses and assets in Fiscal 2022 includes the Stoneh</w:t>
      </w:r>
      <w:r>
        <w:rPr>
          <w:rFonts w:eastAsia="Times New Roman"/>
          <w:color w:val="000000"/>
          <w:sz w:val="20"/>
          <w:szCs w:val="20"/>
        </w:rPr>
        <w:t>enge Acquisition and the Pennant Acquisition in which the Company acquired the 53% interest in Pennant it did not already own. Cash used for acquisitions of businesses and assets in Fiscal 2021 reflects UGI’s acquisition of Mountaineer. Cash used for inves</w:t>
      </w:r>
      <w:r>
        <w:rPr>
          <w:rFonts w:eastAsia="Times New Roman"/>
          <w:color w:val="000000"/>
          <w:sz w:val="20"/>
          <w:szCs w:val="20"/>
        </w:rPr>
        <w:t>tments in equity method investees was $47 million in Fiscal 2022 including investments in biomass and renewable energy projects at our Midstream &amp; Marketing reportable segment and an investment in a renewable energy joint venture at UGI International. Cash</w:t>
      </w:r>
      <w:r>
        <w:rPr>
          <w:rFonts w:eastAsia="Times New Roman"/>
          <w:color w:val="000000"/>
          <w:sz w:val="20"/>
          <w:szCs w:val="20"/>
        </w:rPr>
        <w:t xml:space="preserve"> inflows associated with investing activities during Fiscal 2022 includes cash received from the settlement of certain forward foreign currency contracts previously designated as net investment hedges. Fiscal 2021 includes cash contributions to Pine Run to</w:t>
      </w:r>
      <w:r>
        <w:rPr>
          <w:rFonts w:eastAsia="Times New Roman"/>
          <w:color w:val="000000"/>
          <w:sz w:val="20"/>
          <w:szCs w:val="20"/>
        </w:rPr>
        <w:t xml:space="preserve"> fund the acquisition of Pine Run Midstream, LLC. </w:t>
      </w:r>
    </w:p>
    <w:p w14:paraId="22296E74" w14:textId="77777777" w:rsidR="00000000" w:rsidRDefault="00C1661D">
      <w:pPr>
        <w:jc w:val="both"/>
        <w:divId w:val="1825705081"/>
        <w:rPr>
          <w:rFonts w:eastAsia="Times New Roman"/>
        </w:rPr>
      </w:pPr>
      <w:r>
        <w:rPr>
          <w:rFonts w:eastAsia="Times New Roman"/>
          <w:b/>
          <w:bCs/>
          <w:color w:val="000000"/>
          <w:sz w:val="20"/>
          <w:szCs w:val="20"/>
        </w:rPr>
        <w:t>Financing Activities:</w:t>
      </w:r>
    </w:p>
    <w:p w14:paraId="2A7F1A74" w14:textId="77777777" w:rsidR="00000000" w:rsidRDefault="00C1661D">
      <w:pPr>
        <w:jc w:val="both"/>
        <w:divId w:val="148519001"/>
        <w:rPr>
          <w:rFonts w:eastAsia="Times New Roman"/>
        </w:rPr>
      </w:pPr>
      <w:r>
        <w:rPr>
          <w:rFonts w:eastAsia="Times New Roman"/>
          <w:color w:val="000000"/>
          <w:sz w:val="20"/>
          <w:szCs w:val="20"/>
        </w:rPr>
        <w:t xml:space="preserve">Changes in cash flow from financing activities are primarily due to issuances and repayments of long-term debt; short-term borrowings; dividends on UGI Common Stock; and issuances or </w:t>
      </w:r>
      <w:r>
        <w:rPr>
          <w:rFonts w:eastAsia="Times New Roman"/>
          <w:color w:val="000000"/>
          <w:sz w:val="20"/>
          <w:szCs w:val="20"/>
        </w:rPr>
        <w:t>repurchases of equity instruments.</w:t>
      </w:r>
    </w:p>
    <w:p w14:paraId="6926A476" w14:textId="77777777" w:rsidR="00000000" w:rsidRDefault="00C1661D">
      <w:pPr>
        <w:jc w:val="both"/>
        <w:divId w:val="1311592432"/>
        <w:rPr>
          <w:rFonts w:eastAsia="Times New Roman"/>
        </w:rPr>
      </w:pPr>
      <w:r>
        <w:rPr>
          <w:rFonts w:eastAsia="Times New Roman"/>
          <w:color w:val="000000"/>
          <w:sz w:val="20"/>
          <w:szCs w:val="20"/>
        </w:rPr>
        <w:t>Cash flow used by financing activities was $51 million in Fiscal 2022 compared to cash flow provided by financing activities of $166 million in Fiscal 2021. During Fiscal 2022, UGI International issued €400 million princi</w:t>
      </w:r>
      <w:r>
        <w:rPr>
          <w:rFonts w:eastAsia="Times New Roman"/>
          <w:color w:val="000000"/>
          <w:sz w:val="20"/>
          <w:szCs w:val="20"/>
        </w:rPr>
        <w:t xml:space="preserve">pal amount of senior notes and Utilities issued a combined $215 million principal amount of senior notes. Proceeds from the UGI International senior notes were principally used to reduce existing long-term debt while proceeds from the Utilities borrowings </w:t>
      </w:r>
      <w:r>
        <w:rPr>
          <w:rFonts w:eastAsia="Times New Roman"/>
          <w:color w:val="000000"/>
          <w:sz w:val="20"/>
          <w:szCs w:val="20"/>
        </w:rPr>
        <w:t>were used to reduce short-term borrowings and for general corporate purposes. During Fiscal 2021, the Company received $213 million in net cash proceeds from the issuance of Equity Units and $215 million from the issuance of a new variable rate term loan d</w:t>
      </w:r>
      <w:r>
        <w:rPr>
          <w:rFonts w:eastAsia="Times New Roman"/>
          <w:color w:val="000000"/>
          <w:sz w:val="20"/>
          <w:szCs w:val="20"/>
        </w:rPr>
        <w:t>ue in May 2025. These funds were used partially to fund the Mountaineer Acquisition. During Fiscal 2021, Utilities issued $175 million of senior notes. In Fiscal 2022 and Fiscal 2021, the Company had net borrowings and (repayments) on credit facilities and</w:t>
      </w:r>
      <w:r>
        <w:rPr>
          <w:rFonts w:eastAsia="Times New Roman"/>
          <w:color w:val="000000"/>
          <w:sz w:val="20"/>
          <w:szCs w:val="20"/>
        </w:rPr>
        <w:t xml:space="preserve"> the Receivables Facility of $1 million and $(35) million, respectively. Fiscal 2022 cash flow used by financing activities also includes $38 million of cash paid to repurchase Common Stock.</w:t>
      </w:r>
    </w:p>
    <w:p w14:paraId="0A803849" w14:textId="77777777" w:rsidR="00000000" w:rsidRDefault="00C1661D">
      <w:pPr>
        <w:jc w:val="center"/>
        <w:divId w:val="1388529572"/>
        <w:rPr>
          <w:rFonts w:eastAsia="Times New Roman"/>
        </w:rPr>
      </w:pPr>
      <w:r>
        <w:rPr>
          <w:rFonts w:eastAsia="Times New Roman"/>
          <w:color w:val="000000"/>
          <w:sz w:val="20"/>
          <w:szCs w:val="20"/>
        </w:rPr>
        <w:t>60</w:t>
      </w:r>
    </w:p>
    <w:p w14:paraId="73FBEDD5" w14:textId="77777777" w:rsidR="00000000" w:rsidRDefault="00C1661D">
      <w:pPr>
        <w:rPr>
          <w:rFonts w:eastAsia="Times New Roman"/>
        </w:rPr>
      </w:pPr>
      <w:r>
        <w:rPr>
          <w:rFonts w:eastAsia="Times New Roman"/>
        </w:rPr>
        <w:pict w14:anchorId="76F82F18">
          <v:rect id="_x0000_i1087" style="width:0;height:1.5pt" o:hralign="center" o:hrstd="t" o:hr="t" fillcolor="#a0a0a0" stroked="f"/>
        </w:pict>
      </w:r>
    </w:p>
    <w:p w14:paraId="22DFEFC1" w14:textId="77777777" w:rsidR="00000000" w:rsidRDefault="00C1661D">
      <w:pPr>
        <w:divId w:val="1896815790"/>
        <w:rPr>
          <w:rFonts w:eastAsia="Times New Roman"/>
        </w:rPr>
      </w:pPr>
      <w:hyperlink w:anchor="i3850c3c6c0104e42b9951aac2f16098a_7" w:history="1">
        <w:r>
          <w:rPr>
            <w:rStyle w:val="a3"/>
            <w:rFonts w:eastAsia="Times New Roman"/>
            <w:b/>
            <w:bCs/>
            <w:sz w:val="20"/>
            <w:szCs w:val="20"/>
          </w:rPr>
          <w:t>Table of Contents</w:t>
        </w:r>
      </w:hyperlink>
    </w:p>
    <w:p w14:paraId="03FD7DD5" w14:textId="77777777" w:rsidR="00000000" w:rsidRDefault="00C1661D">
      <w:pPr>
        <w:jc w:val="both"/>
        <w:divId w:val="1367947848"/>
        <w:rPr>
          <w:rFonts w:eastAsia="Times New Roman"/>
        </w:rPr>
      </w:pPr>
      <w:r>
        <w:rPr>
          <w:rFonts w:eastAsia="Times New Roman"/>
          <w:b/>
          <w:bCs/>
          <w:color w:val="000000"/>
          <w:sz w:val="20"/>
          <w:szCs w:val="20"/>
        </w:rPr>
        <w:t>Capital Expenditures</w:t>
      </w:r>
    </w:p>
    <w:p w14:paraId="2ED10921" w14:textId="77777777" w:rsidR="00000000" w:rsidRDefault="00C1661D">
      <w:pPr>
        <w:jc w:val="both"/>
        <w:divId w:val="2095934177"/>
        <w:rPr>
          <w:rFonts w:eastAsia="Times New Roman"/>
        </w:rPr>
      </w:pPr>
      <w:r>
        <w:rPr>
          <w:rFonts w:eastAsia="Times New Roman"/>
          <w:color w:val="000000"/>
          <w:sz w:val="20"/>
          <w:szCs w:val="20"/>
        </w:rPr>
        <w:t>In the following table, we present capital expenditures (which exclude acquisitions of businesses and assets) for Fiscal 2022 and Fiscal 2021. We also provide amounts we expect to spend</w:t>
      </w:r>
      <w:r>
        <w:rPr>
          <w:rFonts w:eastAsia="Times New Roman"/>
          <w:color w:val="000000"/>
          <w:sz w:val="20"/>
          <w:szCs w:val="20"/>
        </w:rPr>
        <w:t xml:space="preserve"> in Fiscal 2023. We expect to finance a substantial portion of our Fiscal 2023 capital expenditures from cash generated by operations and cash on hand.</w:t>
      </w:r>
    </w:p>
    <w:tbl>
      <w:tblPr>
        <w:tblW w:w="5000" w:type="pct"/>
        <w:tblCellMar>
          <w:top w:w="15" w:type="dxa"/>
          <w:left w:w="15" w:type="dxa"/>
          <w:bottom w:w="15" w:type="dxa"/>
          <w:right w:w="15" w:type="dxa"/>
        </w:tblCellMar>
        <w:tblLook w:val="04A0" w:firstRow="1" w:lastRow="0" w:firstColumn="1" w:lastColumn="0" w:noHBand="0" w:noVBand="1"/>
      </w:tblPr>
      <w:tblGrid>
        <w:gridCol w:w="39"/>
        <w:gridCol w:w="5066"/>
        <w:gridCol w:w="38"/>
        <w:gridCol w:w="36"/>
        <w:gridCol w:w="36"/>
        <w:gridCol w:w="36"/>
        <w:gridCol w:w="121"/>
        <w:gridCol w:w="789"/>
        <w:gridCol w:w="36"/>
        <w:gridCol w:w="36"/>
        <w:gridCol w:w="36"/>
        <w:gridCol w:w="36"/>
        <w:gridCol w:w="120"/>
        <w:gridCol w:w="790"/>
        <w:gridCol w:w="36"/>
        <w:gridCol w:w="36"/>
        <w:gridCol w:w="36"/>
        <w:gridCol w:w="36"/>
        <w:gridCol w:w="120"/>
        <w:gridCol w:w="791"/>
        <w:gridCol w:w="36"/>
      </w:tblGrid>
      <w:tr w:rsidR="00000000" w14:paraId="5EF80081" w14:textId="77777777">
        <w:trPr>
          <w:divId w:val="1583643951"/>
        </w:trPr>
        <w:tc>
          <w:tcPr>
            <w:tcW w:w="50" w:type="pct"/>
            <w:vAlign w:val="center"/>
            <w:hideMark/>
          </w:tcPr>
          <w:p w14:paraId="24580C09" w14:textId="77777777" w:rsidR="00000000" w:rsidRDefault="00C1661D">
            <w:pPr>
              <w:jc w:val="both"/>
              <w:rPr>
                <w:rFonts w:eastAsia="Times New Roman"/>
              </w:rPr>
            </w:pPr>
          </w:p>
        </w:tc>
        <w:tc>
          <w:tcPr>
            <w:tcW w:w="3080" w:type="pct"/>
            <w:vAlign w:val="center"/>
            <w:hideMark/>
          </w:tcPr>
          <w:p w14:paraId="60D26EF6" w14:textId="77777777" w:rsidR="00000000" w:rsidRDefault="00C1661D">
            <w:pPr>
              <w:spacing w:after="100"/>
              <w:rPr>
                <w:rFonts w:eastAsia="Times New Roman"/>
                <w:sz w:val="20"/>
                <w:szCs w:val="20"/>
              </w:rPr>
            </w:pPr>
          </w:p>
        </w:tc>
        <w:tc>
          <w:tcPr>
            <w:tcW w:w="5" w:type="pct"/>
            <w:vAlign w:val="center"/>
            <w:hideMark/>
          </w:tcPr>
          <w:p w14:paraId="03F7CE54" w14:textId="77777777" w:rsidR="00000000" w:rsidRDefault="00C1661D">
            <w:pPr>
              <w:spacing w:after="100"/>
              <w:rPr>
                <w:rFonts w:eastAsia="Times New Roman"/>
                <w:sz w:val="20"/>
                <w:szCs w:val="20"/>
              </w:rPr>
            </w:pPr>
          </w:p>
        </w:tc>
        <w:tc>
          <w:tcPr>
            <w:tcW w:w="5" w:type="pct"/>
            <w:vAlign w:val="center"/>
            <w:hideMark/>
          </w:tcPr>
          <w:p w14:paraId="54B322C3" w14:textId="77777777" w:rsidR="00000000" w:rsidRDefault="00C1661D">
            <w:pPr>
              <w:spacing w:after="100"/>
              <w:rPr>
                <w:rFonts w:eastAsia="Times New Roman"/>
                <w:sz w:val="20"/>
                <w:szCs w:val="20"/>
              </w:rPr>
            </w:pPr>
          </w:p>
        </w:tc>
        <w:tc>
          <w:tcPr>
            <w:tcW w:w="26" w:type="pct"/>
            <w:vAlign w:val="center"/>
            <w:hideMark/>
          </w:tcPr>
          <w:p w14:paraId="77498028" w14:textId="77777777" w:rsidR="00000000" w:rsidRDefault="00C1661D">
            <w:pPr>
              <w:spacing w:after="100"/>
              <w:rPr>
                <w:rFonts w:eastAsia="Times New Roman"/>
                <w:sz w:val="20"/>
                <w:szCs w:val="20"/>
              </w:rPr>
            </w:pPr>
          </w:p>
        </w:tc>
        <w:tc>
          <w:tcPr>
            <w:tcW w:w="5" w:type="pct"/>
            <w:vAlign w:val="center"/>
            <w:hideMark/>
          </w:tcPr>
          <w:p w14:paraId="59C67F42" w14:textId="77777777" w:rsidR="00000000" w:rsidRDefault="00C1661D">
            <w:pPr>
              <w:spacing w:after="100"/>
              <w:rPr>
                <w:rFonts w:eastAsia="Times New Roman"/>
                <w:sz w:val="20"/>
                <w:szCs w:val="20"/>
              </w:rPr>
            </w:pPr>
          </w:p>
        </w:tc>
        <w:tc>
          <w:tcPr>
            <w:tcW w:w="50" w:type="pct"/>
            <w:vAlign w:val="center"/>
            <w:hideMark/>
          </w:tcPr>
          <w:p w14:paraId="2F0CE337" w14:textId="77777777" w:rsidR="00000000" w:rsidRDefault="00C1661D">
            <w:pPr>
              <w:spacing w:after="100"/>
              <w:rPr>
                <w:rFonts w:eastAsia="Times New Roman"/>
                <w:sz w:val="20"/>
                <w:szCs w:val="20"/>
              </w:rPr>
            </w:pPr>
          </w:p>
        </w:tc>
        <w:tc>
          <w:tcPr>
            <w:tcW w:w="529" w:type="pct"/>
            <w:vAlign w:val="center"/>
            <w:hideMark/>
          </w:tcPr>
          <w:p w14:paraId="1C757F76" w14:textId="77777777" w:rsidR="00000000" w:rsidRDefault="00C1661D">
            <w:pPr>
              <w:spacing w:after="100"/>
              <w:rPr>
                <w:rFonts w:eastAsia="Times New Roman"/>
                <w:sz w:val="20"/>
                <w:szCs w:val="20"/>
              </w:rPr>
            </w:pPr>
          </w:p>
        </w:tc>
        <w:tc>
          <w:tcPr>
            <w:tcW w:w="5" w:type="pct"/>
            <w:vAlign w:val="center"/>
            <w:hideMark/>
          </w:tcPr>
          <w:p w14:paraId="62A79A79" w14:textId="77777777" w:rsidR="00000000" w:rsidRDefault="00C1661D">
            <w:pPr>
              <w:spacing w:after="100"/>
              <w:rPr>
                <w:rFonts w:eastAsia="Times New Roman"/>
                <w:sz w:val="20"/>
                <w:szCs w:val="20"/>
              </w:rPr>
            </w:pPr>
          </w:p>
        </w:tc>
        <w:tc>
          <w:tcPr>
            <w:tcW w:w="5" w:type="pct"/>
            <w:vAlign w:val="center"/>
            <w:hideMark/>
          </w:tcPr>
          <w:p w14:paraId="52DDEE2B" w14:textId="77777777" w:rsidR="00000000" w:rsidRDefault="00C1661D">
            <w:pPr>
              <w:spacing w:after="100"/>
              <w:rPr>
                <w:rFonts w:eastAsia="Times New Roman"/>
                <w:sz w:val="20"/>
                <w:szCs w:val="20"/>
              </w:rPr>
            </w:pPr>
          </w:p>
        </w:tc>
        <w:tc>
          <w:tcPr>
            <w:tcW w:w="26" w:type="pct"/>
            <w:vAlign w:val="center"/>
            <w:hideMark/>
          </w:tcPr>
          <w:p w14:paraId="2706DC23" w14:textId="77777777" w:rsidR="00000000" w:rsidRDefault="00C1661D">
            <w:pPr>
              <w:spacing w:after="100"/>
              <w:rPr>
                <w:rFonts w:eastAsia="Times New Roman"/>
                <w:sz w:val="20"/>
                <w:szCs w:val="20"/>
              </w:rPr>
            </w:pPr>
          </w:p>
        </w:tc>
        <w:tc>
          <w:tcPr>
            <w:tcW w:w="5" w:type="pct"/>
            <w:vAlign w:val="center"/>
            <w:hideMark/>
          </w:tcPr>
          <w:p w14:paraId="4D37EF80" w14:textId="77777777" w:rsidR="00000000" w:rsidRDefault="00C1661D">
            <w:pPr>
              <w:spacing w:after="100"/>
              <w:rPr>
                <w:rFonts w:eastAsia="Times New Roman"/>
                <w:sz w:val="20"/>
                <w:szCs w:val="20"/>
              </w:rPr>
            </w:pPr>
          </w:p>
        </w:tc>
        <w:tc>
          <w:tcPr>
            <w:tcW w:w="50" w:type="pct"/>
            <w:vAlign w:val="center"/>
            <w:hideMark/>
          </w:tcPr>
          <w:p w14:paraId="75EBD198" w14:textId="77777777" w:rsidR="00000000" w:rsidRDefault="00C1661D">
            <w:pPr>
              <w:spacing w:after="100"/>
              <w:rPr>
                <w:rFonts w:eastAsia="Times New Roman"/>
                <w:sz w:val="20"/>
                <w:szCs w:val="20"/>
              </w:rPr>
            </w:pPr>
          </w:p>
        </w:tc>
        <w:tc>
          <w:tcPr>
            <w:tcW w:w="529" w:type="pct"/>
            <w:vAlign w:val="center"/>
            <w:hideMark/>
          </w:tcPr>
          <w:p w14:paraId="72D4BB16" w14:textId="77777777" w:rsidR="00000000" w:rsidRDefault="00C1661D">
            <w:pPr>
              <w:spacing w:after="100"/>
              <w:rPr>
                <w:rFonts w:eastAsia="Times New Roman"/>
                <w:sz w:val="20"/>
                <w:szCs w:val="20"/>
              </w:rPr>
            </w:pPr>
          </w:p>
        </w:tc>
        <w:tc>
          <w:tcPr>
            <w:tcW w:w="5" w:type="pct"/>
            <w:vAlign w:val="center"/>
            <w:hideMark/>
          </w:tcPr>
          <w:p w14:paraId="661A3965" w14:textId="77777777" w:rsidR="00000000" w:rsidRDefault="00C1661D">
            <w:pPr>
              <w:spacing w:after="100"/>
              <w:rPr>
                <w:rFonts w:eastAsia="Times New Roman"/>
                <w:sz w:val="20"/>
                <w:szCs w:val="20"/>
              </w:rPr>
            </w:pPr>
          </w:p>
        </w:tc>
        <w:tc>
          <w:tcPr>
            <w:tcW w:w="5" w:type="pct"/>
            <w:vAlign w:val="center"/>
            <w:hideMark/>
          </w:tcPr>
          <w:p w14:paraId="1718C204" w14:textId="77777777" w:rsidR="00000000" w:rsidRDefault="00C1661D">
            <w:pPr>
              <w:spacing w:after="100"/>
              <w:rPr>
                <w:rFonts w:eastAsia="Times New Roman"/>
                <w:sz w:val="20"/>
                <w:szCs w:val="20"/>
              </w:rPr>
            </w:pPr>
          </w:p>
        </w:tc>
        <w:tc>
          <w:tcPr>
            <w:tcW w:w="26" w:type="pct"/>
            <w:vAlign w:val="center"/>
            <w:hideMark/>
          </w:tcPr>
          <w:p w14:paraId="2BD7E3A1" w14:textId="77777777" w:rsidR="00000000" w:rsidRDefault="00C1661D">
            <w:pPr>
              <w:spacing w:after="100"/>
              <w:rPr>
                <w:rFonts w:eastAsia="Times New Roman"/>
                <w:sz w:val="20"/>
                <w:szCs w:val="20"/>
              </w:rPr>
            </w:pPr>
          </w:p>
        </w:tc>
        <w:tc>
          <w:tcPr>
            <w:tcW w:w="5" w:type="pct"/>
            <w:vAlign w:val="center"/>
            <w:hideMark/>
          </w:tcPr>
          <w:p w14:paraId="1444589B" w14:textId="77777777" w:rsidR="00000000" w:rsidRDefault="00C1661D">
            <w:pPr>
              <w:spacing w:after="100"/>
              <w:rPr>
                <w:rFonts w:eastAsia="Times New Roman"/>
                <w:sz w:val="20"/>
                <w:szCs w:val="20"/>
              </w:rPr>
            </w:pPr>
          </w:p>
        </w:tc>
        <w:tc>
          <w:tcPr>
            <w:tcW w:w="50" w:type="pct"/>
            <w:vAlign w:val="center"/>
            <w:hideMark/>
          </w:tcPr>
          <w:p w14:paraId="1D07DFDE" w14:textId="77777777" w:rsidR="00000000" w:rsidRDefault="00C1661D">
            <w:pPr>
              <w:spacing w:after="100"/>
              <w:rPr>
                <w:rFonts w:eastAsia="Times New Roman"/>
                <w:sz w:val="20"/>
                <w:szCs w:val="20"/>
              </w:rPr>
            </w:pPr>
          </w:p>
        </w:tc>
        <w:tc>
          <w:tcPr>
            <w:tcW w:w="530" w:type="pct"/>
            <w:vAlign w:val="center"/>
            <w:hideMark/>
          </w:tcPr>
          <w:p w14:paraId="52240BE8" w14:textId="77777777" w:rsidR="00000000" w:rsidRDefault="00C1661D">
            <w:pPr>
              <w:spacing w:after="100"/>
              <w:rPr>
                <w:rFonts w:eastAsia="Times New Roman"/>
                <w:sz w:val="20"/>
                <w:szCs w:val="20"/>
              </w:rPr>
            </w:pPr>
          </w:p>
        </w:tc>
        <w:tc>
          <w:tcPr>
            <w:tcW w:w="5" w:type="pct"/>
            <w:vAlign w:val="center"/>
            <w:hideMark/>
          </w:tcPr>
          <w:p w14:paraId="4BE9AF54" w14:textId="77777777" w:rsidR="00000000" w:rsidRDefault="00C1661D">
            <w:pPr>
              <w:spacing w:after="100"/>
              <w:rPr>
                <w:rFonts w:eastAsia="Times New Roman"/>
                <w:sz w:val="20"/>
                <w:szCs w:val="20"/>
              </w:rPr>
            </w:pPr>
          </w:p>
        </w:tc>
      </w:tr>
      <w:tr w:rsidR="00000000" w14:paraId="4BB72F77" w14:textId="77777777">
        <w:trPr>
          <w:divId w:val="1583643951"/>
        </w:trPr>
        <w:tc>
          <w:tcPr>
            <w:tcW w:w="0" w:type="auto"/>
            <w:gridSpan w:val="3"/>
            <w:tcMar>
              <w:top w:w="30" w:type="dxa"/>
              <w:left w:w="20" w:type="dxa"/>
              <w:bottom w:w="30" w:type="dxa"/>
              <w:right w:w="20" w:type="dxa"/>
            </w:tcMar>
            <w:vAlign w:val="bottom"/>
            <w:hideMark/>
          </w:tcPr>
          <w:p w14:paraId="6B3850A4" w14:textId="77777777" w:rsidR="00000000" w:rsidRDefault="00C1661D">
            <w:pPr>
              <w:spacing w:after="100"/>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14:paraId="6A7AA67A"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7E517CBE" w14:textId="77777777" w:rsidR="00000000" w:rsidRDefault="00C1661D">
            <w:pPr>
              <w:spacing w:after="100"/>
              <w:jc w:val="center"/>
              <w:rPr>
                <w:rFonts w:eastAsia="Times New Roman"/>
              </w:rPr>
            </w:pPr>
            <w:r>
              <w:rPr>
                <w:rFonts w:eastAsia="Times New Roman"/>
                <w:color w:val="000000"/>
                <w:sz w:val="20"/>
                <w:szCs w:val="20"/>
              </w:rPr>
              <w:t>2023</w:t>
            </w:r>
            <w:r>
              <w:rPr>
                <w:rFonts w:eastAsia="Times New Roman"/>
                <w:color w:val="000000"/>
                <w:sz w:val="20"/>
                <w:szCs w:val="20"/>
              </w:rPr>
              <w:br/>
              <w:t>(estimate)</w:t>
            </w:r>
          </w:p>
        </w:tc>
        <w:tc>
          <w:tcPr>
            <w:tcW w:w="0" w:type="auto"/>
            <w:gridSpan w:val="3"/>
            <w:tcMar>
              <w:top w:w="0" w:type="dxa"/>
              <w:left w:w="20" w:type="dxa"/>
              <w:bottom w:w="0" w:type="dxa"/>
              <w:right w:w="20" w:type="dxa"/>
            </w:tcMar>
            <w:vAlign w:val="center"/>
            <w:hideMark/>
          </w:tcPr>
          <w:p w14:paraId="172B90D8"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D605FD8"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7549D634"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CAB8918" w14:textId="77777777" w:rsidR="00000000" w:rsidRDefault="00C1661D">
            <w:pPr>
              <w:spacing w:after="100"/>
              <w:jc w:val="center"/>
              <w:rPr>
                <w:rFonts w:eastAsia="Times New Roman"/>
              </w:rPr>
            </w:pPr>
            <w:r>
              <w:rPr>
                <w:rFonts w:eastAsia="Times New Roman"/>
                <w:color w:val="000000"/>
                <w:sz w:val="20"/>
                <w:szCs w:val="20"/>
              </w:rPr>
              <w:t>2021</w:t>
            </w:r>
          </w:p>
        </w:tc>
      </w:tr>
      <w:tr w:rsidR="00000000" w14:paraId="5A383EF9" w14:textId="77777777">
        <w:trPr>
          <w:divId w:val="1583643951"/>
        </w:trPr>
        <w:tc>
          <w:tcPr>
            <w:tcW w:w="0" w:type="auto"/>
            <w:gridSpan w:val="3"/>
            <w:vAlign w:val="center"/>
            <w:hideMark/>
          </w:tcPr>
          <w:p w14:paraId="4DA4C896" w14:textId="77777777" w:rsidR="00000000" w:rsidRDefault="00C1661D">
            <w:pPr>
              <w:spacing w:after="100"/>
              <w:jc w:val="center"/>
              <w:rPr>
                <w:rFonts w:eastAsia="Times New Roman"/>
              </w:rPr>
            </w:pPr>
          </w:p>
        </w:tc>
        <w:tc>
          <w:tcPr>
            <w:tcW w:w="0" w:type="auto"/>
            <w:gridSpan w:val="3"/>
            <w:vAlign w:val="center"/>
            <w:hideMark/>
          </w:tcPr>
          <w:p w14:paraId="45B012F6" w14:textId="77777777" w:rsidR="00000000" w:rsidRDefault="00C1661D">
            <w:pPr>
              <w:spacing w:after="100"/>
              <w:rPr>
                <w:rFonts w:eastAsia="Times New Roman"/>
                <w:sz w:val="20"/>
                <w:szCs w:val="20"/>
              </w:rPr>
            </w:pPr>
          </w:p>
        </w:tc>
        <w:tc>
          <w:tcPr>
            <w:tcW w:w="0" w:type="auto"/>
            <w:gridSpan w:val="3"/>
            <w:vAlign w:val="center"/>
            <w:hideMark/>
          </w:tcPr>
          <w:p w14:paraId="0ED4337F" w14:textId="77777777" w:rsidR="00000000" w:rsidRDefault="00C1661D">
            <w:pPr>
              <w:spacing w:after="100"/>
              <w:rPr>
                <w:rFonts w:eastAsia="Times New Roman"/>
                <w:sz w:val="20"/>
                <w:szCs w:val="20"/>
              </w:rPr>
            </w:pPr>
          </w:p>
        </w:tc>
        <w:tc>
          <w:tcPr>
            <w:tcW w:w="0" w:type="auto"/>
            <w:gridSpan w:val="3"/>
            <w:vAlign w:val="center"/>
            <w:hideMark/>
          </w:tcPr>
          <w:p w14:paraId="7DC85797" w14:textId="77777777" w:rsidR="00000000" w:rsidRDefault="00C1661D">
            <w:pPr>
              <w:spacing w:after="100"/>
              <w:rPr>
                <w:rFonts w:eastAsia="Times New Roman"/>
                <w:sz w:val="20"/>
                <w:szCs w:val="20"/>
              </w:rPr>
            </w:pPr>
          </w:p>
        </w:tc>
        <w:tc>
          <w:tcPr>
            <w:tcW w:w="0" w:type="auto"/>
            <w:gridSpan w:val="3"/>
            <w:vAlign w:val="center"/>
            <w:hideMark/>
          </w:tcPr>
          <w:p w14:paraId="09D52E80" w14:textId="77777777" w:rsidR="00000000" w:rsidRDefault="00C1661D">
            <w:pPr>
              <w:spacing w:after="100"/>
              <w:rPr>
                <w:rFonts w:eastAsia="Times New Roman"/>
                <w:sz w:val="20"/>
                <w:szCs w:val="20"/>
              </w:rPr>
            </w:pPr>
          </w:p>
        </w:tc>
        <w:tc>
          <w:tcPr>
            <w:tcW w:w="0" w:type="auto"/>
            <w:gridSpan w:val="3"/>
            <w:vAlign w:val="center"/>
            <w:hideMark/>
          </w:tcPr>
          <w:p w14:paraId="526594AE" w14:textId="77777777" w:rsidR="00000000" w:rsidRDefault="00C1661D">
            <w:pPr>
              <w:spacing w:after="100"/>
              <w:rPr>
                <w:rFonts w:eastAsia="Times New Roman"/>
                <w:sz w:val="20"/>
                <w:szCs w:val="20"/>
              </w:rPr>
            </w:pPr>
          </w:p>
        </w:tc>
        <w:tc>
          <w:tcPr>
            <w:tcW w:w="0" w:type="auto"/>
            <w:gridSpan w:val="3"/>
            <w:vAlign w:val="center"/>
            <w:hideMark/>
          </w:tcPr>
          <w:p w14:paraId="1E05A92F" w14:textId="77777777" w:rsidR="00000000" w:rsidRDefault="00C1661D">
            <w:pPr>
              <w:spacing w:after="100"/>
              <w:rPr>
                <w:rFonts w:eastAsia="Times New Roman"/>
                <w:sz w:val="20"/>
                <w:szCs w:val="20"/>
              </w:rPr>
            </w:pPr>
          </w:p>
        </w:tc>
      </w:tr>
      <w:tr w:rsidR="00000000" w14:paraId="1A915E17" w14:textId="77777777">
        <w:trPr>
          <w:divId w:val="158364395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AD4BA90" w14:textId="77777777" w:rsidR="00000000" w:rsidRDefault="00C1661D">
            <w:pPr>
              <w:spacing w:after="100"/>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14:paraId="0E05F391" w14:textId="77777777" w:rsidR="00000000" w:rsidRDefault="00C166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5DBF9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8AF8DD" w14:textId="77777777" w:rsidR="00000000" w:rsidRDefault="00C1661D">
            <w:pPr>
              <w:spacing w:after="100"/>
              <w:jc w:val="right"/>
              <w:rPr>
                <w:rFonts w:eastAsia="Times New Roman"/>
              </w:rPr>
            </w:pPr>
            <w:r>
              <w:rPr>
                <w:rFonts w:eastAsia="Times New Roman"/>
                <w:color w:val="000000"/>
                <w:sz w:val="20"/>
                <w:szCs w:val="20"/>
              </w:rPr>
              <w:t>130 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7A124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1CC98B"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6CD4D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2DA21B" w14:textId="77777777" w:rsidR="00000000" w:rsidRDefault="00C1661D">
            <w:pPr>
              <w:spacing w:after="100"/>
              <w:jc w:val="right"/>
              <w:rPr>
                <w:rFonts w:eastAsia="Times New Roman"/>
              </w:rPr>
            </w:pPr>
            <w:r>
              <w:rPr>
                <w:rFonts w:eastAsia="Times New Roman"/>
                <w:color w:val="000000"/>
                <w:sz w:val="20"/>
                <w:szCs w:val="20"/>
              </w:rPr>
              <w:t>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B0BE8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89F6EB"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D25FD9"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B3F6CE" w14:textId="77777777" w:rsidR="00000000" w:rsidRDefault="00C1661D">
            <w:pPr>
              <w:spacing w:after="100"/>
              <w:jc w:val="right"/>
              <w:rPr>
                <w:rFonts w:eastAsia="Times New Roman"/>
              </w:rPr>
            </w:pPr>
            <w:r>
              <w:rPr>
                <w:rFonts w:eastAsia="Times New Roman"/>
                <w:color w:val="000000"/>
                <w:sz w:val="20"/>
                <w:szCs w:val="20"/>
              </w:rPr>
              <w:t>130 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0FF0B0" w14:textId="77777777" w:rsidR="00000000" w:rsidRDefault="00C1661D">
            <w:pPr>
              <w:spacing w:after="100"/>
              <w:jc w:val="right"/>
              <w:rPr>
                <w:rFonts w:eastAsia="Times New Roman"/>
              </w:rPr>
            </w:pPr>
          </w:p>
        </w:tc>
      </w:tr>
      <w:tr w:rsidR="00000000" w14:paraId="4876F4FA" w14:textId="77777777">
        <w:trPr>
          <w:divId w:val="1583643951"/>
        </w:trPr>
        <w:tc>
          <w:tcPr>
            <w:tcW w:w="0" w:type="auto"/>
            <w:gridSpan w:val="3"/>
            <w:shd w:val="clear" w:color="auto" w:fill="FFFFFF"/>
            <w:tcMar>
              <w:top w:w="30" w:type="dxa"/>
              <w:left w:w="20" w:type="dxa"/>
              <w:bottom w:w="30" w:type="dxa"/>
              <w:right w:w="20" w:type="dxa"/>
            </w:tcMar>
            <w:vAlign w:val="bottom"/>
            <w:hideMark/>
          </w:tcPr>
          <w:p w14:paraId="55D35D23" w14:textId="77777777" w:rsidR="00000000" w:rsidRDefault="00C1661D">
            <w:pPr>
              <w:spacing w:after="100"/>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14:paraId="28A8FE2E"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2BE4DA" w14:textId="77777777" w:rsidR="00000000" w:rsidRDefault="00C1661D">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14:paraId="0CF77D9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9A40E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B8D474" w14:textId="77777777" w:rsidR="00000000" w:rsidRDefault="00C1661D">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14:paraId="5ABB4D9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9D7A6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6D3FEB" w14:textId="77777777" w:rsidR="00000000" w:rsidRDefault="00C1661D">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14:paraId="2C3A024C" w14:textId="77777777" w:rsidR="00000000" w:rsidRDefault="00C1661D">
            <w:pPr>
              <w:spacing w:after="100"/>
              <w:jc w:val="right"/>
              <w:rPr>
                <w:rFonts w:eastAsia="Times New Roman"/>
              </w:rPr>
            </w:pPr>
          </w:p>
        </w:tc>
      </w:tr>
      <w:tr w:rsidR="00000000" w14:paraId="21860849" w14:textId="77777777">
        <w:trPr>
          <w:divId w:val="1583643951"/>
        </w:trPr>
        <w:tc>
          <w:tcPr>
            <w:tcW w:w="0" w:type="auto"/>
            <w:gridSpan w:val="3"/>
            <w:shd w:val="clear" w:color="auto" w:fill="CCEEFF"/>
            <w:tcMar>
              <w:top w:w="30" w:type="dxa"/>
              <w:left w:w="20" w:type="dxa"/>
              <w:bottom w:w="30" w:type="dxa"/>
              <w:right w:w="20" w:type="dxa"/>
            </w:tcMar>
            <w:vAlign w:val="bottom"/>
            <w:hideMark/>
          </w:tcPr>
          <w:p w14:paraId="16A0ECB8" w14:textId="77777777" w:rsidR="00000000" w:rsidRDefault="00C1661D">
            <w:pPr>
              <w:spacing w:after="100"/>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14:paraId="36A616C7"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C49228" w14:textId="77777777" w:rsidR="00000000" w:rsidRDefault="00C1661D">
            <w:pPr>
              <w:spacing w:after="100"/>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14:paraId="3C27D56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32DE8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90DD61" w14:textId="77777777" w:rsidR="00000000" w:rsidRDefault="00C1661D">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14:paraId="7989AC6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6CC6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FD144A" w14:textId="77777777" w:rsidR="00000000" w:rsidRDefault="00C1661D">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14:paraId="1600388C" w14:textId="77777777" w:rsidR="00000000" w:rsidRDefault="00C1661D">
            <w:pPr>
              <w:spacing w:after="100"/>
              <w:jc w:val="right"/>
              <w:rPr>
                <w:rFonts w:eastAsia="Times New Roman"/>
              </w:rPr>
            </w:pPr>
          </w:p>
        </w:tc>
      </w:tr>
      <w:tr w:rsidR="00000000" w14:paraId="0439821C" w14:textId="77777777">
        <w:trPr>
          <w:divId w:val="1583643951"/>
        </w:trPr>
        <w:tc>
          <w:tcPr>
            <w:tcW w:w="0" w:type="auto"/>
            <w:gridSpan w:val="3"/>
            <w:shd w:val="clear" w:color="auto" w:fill="FFFFFF"/>
            <w:tcMar>
              <w:top w:w="30" w:type="dxa"/>
              <w:left w:w="20" w:type="dxa"/>
              <w:bottom w:w="30" w:type="dxa"/>
              <w:right w:w="20" w:type="dxa"/>
            </w:tcMar>
            <w:vAlign w:val="bottom"/>
            <w:hideMark/>
          </w:tcPr>
          <w:p w14:paraId="2DF89F8E" w14:textId="77777777" w:rsidR="00000000" w:rsidRDefault="00C1661D">
            <w:pPr>
              <w:spacing w:after="100"/>
              <w:rPr>
                <w:rFonts w:eastAsia="Times New Roman"/>
              </w:rPr>
            </w:pPr>
            <w:r>
              <w:rPr>
                <w:rFonts w:eastAsia="Times New Roman"/>
                <w:color w:val="000000"/>
                <w:sz w:val="20"/>
                <w:szCs w:val="20"/>
              </w:rPr>
              <w:t>Utilities</w:t>
            </w:r>
          </w:p>
        </w:tc>
        <w:tc>
          <w:tcPr>
            <w:tcW w:w="0" w:type="auto"/>
            <w:gridSpan w:val="3"/>
            <w:shd w:val="clear" w:color="auto" w:fill="FFFFFF"/>
            <w:tcMar>
              <w:top w:w="0" w:type="dxa"/>
              <w:left w:w="20" w:type="dxa"/>
              <w:bottom w:w="0" w:type="dxa"/>
              <w:right w:w="20" w:type="dxa"/>
            </w:tcMar>
            <w:vAlign w:val="center"/>
            <w:hideMark/>
          </w:tcPr>
          <w:p w14:paraId="360DC58E"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60B08D" w14:textId="77777777" w:rsidR="00000000" w:rsidRDefault="00C1661D">
            <w:pPr>
              <w:spacing w:after="100"/>
              <w:jc w:val="right"/>
              <w:rPr>
                <w:rFonts w:eastAsia="Times New Roman"/>
              </w:rPr>
            </w:pPr>
            <w:r>
              <w:rPr>
                <w:rFonts w:eastAsia="Times New Roman"/>
                <w:color w:val="000000"/>
                <w:sz w:val="20"/>
                <w:szCs w:val="20"/>
              </w:rPr>
              <w:t>580 </w:t>
            </w:r>
          </w:p>
        </w:tc>
        <w:tc>
          <w:tcPr>
            <w:tcW w:w="0" w:type="auto"/>
            <w:shd w:val="clear" w:color="auto" w:fill="FFFFFF"/>
            <w:tcMar>
              <w:top w:w="30" w:type="dxa"/>
              <w:left w:w="0" w:type="dxa"/>
              <w:bottom w:w="30" w:type="dxa"/>
              <w:right w:w="20" w:type="dxa"/>
            </w:tcMar>
            <w:vAlign w:val="bottom"/>
            <w:hideMark/>
          </w:tcPr>
          <w:p w14:paraId="1D61F48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DC63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D90AA9" w14:textId="77777777" w:rsidR="00000000" w:rsidRDefault="00C1661D">
            <w:pPr>
              <w:spacing w:after="100"/>
              <w:jc w:val="right"/>
              <w:rPr>
                <w:rFonts w:eastAsia="Times New Roman"/>
              </w:rPr>
            </w:pPr>
            <w:r>
              <w:rPr>
                <w:rFonts w:eastAsia="Times New Roman"/>
                <w:color w:val="000000"/>
                <w:sz w:val="20"/>
                <w:szCs w:val="20"/>
              </w:rPr>
              <w:t>562 </w:t>
            </w:r>
          </w:p>
        </w:tc>
        <w:tc>
          <w:tcPr>
            <w:tcW w:w="0" w:type="auto"/>
            <w:shd w:val="clear" w:color="auto" w:fill="FFFFFF"/>
            <w:tcMar>
              <w:top w:w="30" w:type="dxa"/>
              <w:left w:w="0" w:type="dxa"/>
              <w:bottom w:w="30" w:type="dxa"/>
              <w:right w:w="20" w:type="dxa"/>
            </w:tcMar>
            <w:vAlign w:val="bottom"/>
            <w:hideMark/>
          </w:tcPr>
          <w:p w14:paraId="067ACC7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2A74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D74107" w14:textId="77777777" w:rsidR="00000000" w:rsidRDefault="00C1661D">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14:paraId="0CE69046" w14:textId="77777777" w:rsidR="00000000" w:rsidRDefault="00C1661D">
            <w:pPr>
              <w:spacing w:after="100"/>
              <w:jc w:val="right"/>
              <w:rPr>
                <w:rFonts w:eastAsia="Times New Roman"/>
              </w:rPr>
            </w:pPr>
          </w:p>
        </w:tc>
      </w:tr>
      <w:tr w:rsidR="00000000" w14:paraId="3842C7C6" w14:textId="77777777">
        <w:trPr>
          <w:divId w:val="1583643951"/>
        </w:trPr>
        <w:tc>
          <w:tcPr>
            <w:tcW w:w="0" w:type="auto"/>
            <w:gridSpan w:val="3"/>
            <w:shd w:val="clear" w:color="auto" w:fill="CCEEFF"/>
            <w:tcMar>
              <w:top w:w="30" w:type="dxa"/>
              <w:left w:w="20" w:type="dxa"/>
              <w:bottom w:w="30" w:type="dxa"/>
              <w:right w:w="20" w:type="dxa"/>
            </w:tcMar>
            <w:vAlign w:val="bottom"/>
            <w:hideMark/>
          </w:tcPr>
          <w:p w14:paraId="2D4113E3" w14:textId="77777777" w:rsidR="00000000" w:rsidRDefault="00C1661D">
            <w:pPr>
              <w:spacing w:after="100"/>
              <w:rPr>
                <w:rFonts w:eastAsia="Times New Roman"/>
              </w:rPr>
            </w:pPr>
            <w:r>
              <w:rPr>
                <w:rFonts w:eastAsia="Times New Roman"/>
                <w:color w:val="000000"/>
                <w:sz w:val="20"/>
                <w:szCs w:val="20"/>
              </w:rPr>
              <w:t>Corporate &amp; Other</w:t>
            </w:r>
          </w:p>
        </w:tc>
        <w:tc>
          <w:tcPr>
            <w:tcW w:w="0" w:type="auto"/>
            <w:gridSpan w:val="3"/>
            <w:shd w:val="clear" w:color="auto" w:fill="CCEEFF"/>
            <w:tcMar>
              <w:top w:w="0" w:type="dxa"/>
              <w:left w:w="20" w:type="dxa"/>
              <w:bottom w:w="0" w:type="dxa"/>
              <w:right w:w="20" w:type="dxa"/>
            </w:tcMar>
            <w:vAlign w:val="center"/>
            <w:hideMark/>
          </w:tcPr>
          <w:p w14:paraId="34A4A948"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FF0361" w14:textId="77777777" w:rsidR="00000000" w:rsidRDefault="00C1661D">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71315A0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56DA4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012186"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E6FE6F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FBC6E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096DF9"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CCA0D5" w14:textId="77777777" w:rsidR="00000000" w:rsidRDefault="00C1661D">
            <w:pPr>
              <w:spacing w:after="100"/>
              <w:jc w:val="right"/>
              <w:rPr>
                <w:rFonts w:eastAsia="Times New Roman"/>
              </w:rPr>
            </w:pPr>
          </w:p>
        </w:tc>
      </w:tr>
      <w:tr w:rsidR="00000000" w14:paraId="1A83E549" w14:textId="77777777">
        <w:trPr>
          <w:divId w:val="1583643951"/>
        </w:trPr>
        <w:tc>
          <w:tcPr>
            <w:tcW w:w="0" w:type="auto"/>
            <w:gridSpan w:val="3"/>
            <w:shd w:val="clear" w:color="auto" w:fill="FFFFFF"/>
            <w:tcMar>
              <w:top w:w="30" w:type="dxa"/>
              <w:left w:w="20" w:type="dxa"/>
              <w:bottom w:w="30" w:type="dxa"/>
              <w:right w:w="20" w:type="dxa"/>
            </w:tcMar>
            <w:vAlign w:val="bottom"/>
            <w:hideMark/>
          </w:tcPr>
          <w:p w14:paraId="74F6B9D6" w14:textId="77777777" w:rsidR="00000000" w:rsidRDefault="00C1661D">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38444ED0" w14:textId="77777777" w:rsidR="00000000" w:rsidRDefault="00C1661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90560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405967" w14:textId="77777777" w:rsidR="00000000" w:rsidRDefault="00C1661D">
            <w:pPr>
              <w:spacing w:after="100"/>
              <w:jc w:val="right"/>
              <w:rPr>
                <w:rFonts w:eastAsia="Times New Roman"/>
              </w:rPr>
            </w:pPr>
            <w:r>
              <w:rPr>
                <w:rFonts w:eastAsia="Times New Roman"/>
                <w:color w:val="000000"/>
                <w:sz w:val="20"/>
                <w:szCs w:val="20"/>
              </w:rPr>
              <w:t>1,040 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B2939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D5EE03"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518CC3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5F6618" w14:textId="77777777" w:rsidR="00000000" w:rsidRDefault="00C1661D">
            <w:pPr>
              <w:spacing w:after="100"/>
              <w:jc w:val="right"/>
              <w:rPr>
                <w:rFonts w:eastAsia="Times New Roman"/>
              </w:rPr>
            </w:pPr>
            <w:r>
              <w:rPr>
                <w:rFonts w:eastAsia="Times New Roman"/>
                <w:color w:val="000000"/>
                <w:sz w:val="20"/>
                <w:szCs w:val="20"/>
              </w:rPr>
              <w:t>835 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DC9A5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199322"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2E5A8A"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543C24" w14:textId="77777777" w:rsidR="00000000" w:rsidRDefault="00C1661D">
            <w:pPr>
              <w:spacing w:after="100"/>
              <w:jc w:val="right"/>
              <w:rPr>
                <w:rFonts w:eastAsia="Times New Roman"/>
              </w:rPr>
            </w:pPr>
            <w:r>
              <w:rPr>
                <w:rFonts w:eastAsia="Times New Roman"/>
                <w:color w:val="000000"/>
                <w:sz w:val="20"/>
                <w:szCs w:val="20"/>
              </w:rPr>
              <w:t>674 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943361" w14:textId="77777777" w:rsidR="00000000" w:rsidRDefault="00C1661D">
            <w:pPr>
              <w:spacing w:after="100"/>
              <w:jc w:val="right"/>
              <w:rPr>
                <w:rFonts w:eastAsia="Times New Roman"/>
              </w:rPr>
            </w:pPr>
          </w:p>
        </w:tc>
      </w:tr>
    </w:tbl>
    <w:p w14:paraId="50FFDB37" w14:textId="77777777" w:rsidR="00000000" w:rsidRDefault="00C1661D">
      <w:pPr>
        <w:divId w:val="562058515"/>
        <w:rPr>
          <w:rFonts w:eastAsia="Times New Roman"/>
        </w:rPr>
      </w:pPr>
    </w:p>
    <w:p w14:paraId="0289A194" w14:textId="77777777" w:rsidR="00000000" w:rsidRDefault="00C1661D">
      <w:pPr>
        <w:jc w:val="both"/>
        <w:rPr>
          <w:rFonts w:eastAsia="Times New Roman"/>
        </w:rPr>
      </w:pPr>
      <w:r>
        <w:rPr>
          <w:rFonts w:eastAsia="Times New Roman"/>
          <w:color w:val="000000"/>
          <w:sz w:val="20"/>
          <w:szCs w:val="20"/>
        </w:rPr>
        <w:t>The increase in capital expenditures at Utilities during Fiscal 2022 re</w:t>
      </w:r>
      <w:r>
        <w:rPr>
          <w:rFonts w:eastAsia="Times New Roman"/>
          <w:color w:val="000000"/>
          <w:sz w:val="20"/>
          <w:szCs w:val="20"/>
        </w:rPr>
        <w:t>flects the continued execution on its infrastructure replacement and system betterment program as well as the full year impact of Mountaineer. Increased levels of capital expenditures estimated in Fiscal 2023 reflect natural gas infrastructure expansion an</w:t>
      </w:r>
      <w:r>
        <w:rPr>
          <w:rFonts w:eastAsia="Times New Roman"/>
          <w:color w:val="000000"/>
          <w:sz w:val="20"/>
          <w:szCs w:val="20"/>
        </w:rPr>
        <w:t>d investments in renewable energy projects at Midstream &amp; Marketing and UGI International; replacement and betterment projects at UGI Utilities; and expansion of Mountaineer’s capital expenditure programs.</w:t>
      </w:r>
    </w:p>
    <w:p w14:paraId="75086103" w14:textId="77777777" w:rsidR="00000000" w:rsidRDefault="00C1661D">
      <w:pPr>
        <w:jc w:val="both"/>
        <w:rPr>
          <w:rFonts w:eastAsia="Times New Roman"/>
        </w:rPr>
      </w:pPr>
    </w:p>
    <w:p w14:paraId="5D7E9D69" w14:textId="77777777" w:rsidR="00000000" w:rsidRDefault="00C1661D">
      <w:pPr>
        <w:jc w:val="both"/>
        <w:rPr>
          <w:rFonts w:eastAsia="Times New Roman"/>
        </w:rPr>
      </w:pPr>
      <w:r>
        <w:rPr>
          <w:rFonts w:eastAsia="Times New Roman"/>
          <w:b/>
          <w:bCs/>
          <w:color w:val="000000"/>
          <w:sz w:val="20"/>
          <w:szCs w:val="20"/>
        </w:rPr>
        <w:t>Contractual Cash Obligations and Commitments</w:t>
      </w:r>
    </w:p>
    <w:p w14:paraId="5D69B682" w14:textId="77777777" w:rsidR="00000000" w:rsidRDefault="00C1661D">
      <w:pPr>
        <w:jc w:val="both"/>
        <w:divId w:val="1748990483"/>
        <w:rPr>
          <w:rFonts w:eastAsia="Times New Roman"/>
        </w:rPr>
      </w:pPr>
      <w:r>
        <w:rPr>
          <w:rFonts w:eastAsia="Times New Roman"/>
          <w:color w:val="000000"/>
          <w:sz w:val="20"/>
          <w:szCs w:val="20"/>
        </w:rPr>
        <w:t>The Company has contractual cash obligations that extend beyond Fiscal 2022. The following table presents contractual cash obligations with non-affiliates under agreements existing as of September 30, 2022:</w:t>
      </w:r>
    </w:p>
    <w:tbl>
      <w:tblPr>
        <w:tblW w:w="4978" w:type="pct"/>
        <w:tblCellMar>
          <w:top w:w="15" w:type="dxa"/>
          <w:left w:w="15" w:type="dxa"/>
          <w:bottom w:w="15" w:type="dxa"/>
          <w:right w:w="15" w:type="dxa"/>
        </w:tblCellMar>
        <w:tblLook w:val="04A0" w:firstRow="1" w:lastRow="0" w:firstColumn="1" w:lastColumn="0" w:noHBand="0" w:noVBand="1"/>
      </w:tblPr>
      <w:tblGrid>
        <w:gridCol w:w="40"/>
        <w:gridCol w:w="2879"/>
        <w:gridCol w:w="39"/>
        <w:gridCol w:w="36"/>
        <w:gridCol w:w="36"/>
        <w:gridCol w:w="36"/>
        <w:gridCol w:w="120"/>
        <w:gridCol w:w="706"/>
        <w:gridCol w:w="36"/>
        <w:gridCol w:w="36"/>
        <w:gridCol w:w="36"/>
        <w:gridCol w:w="36"/>
        <w:gridCol w:w="120"/>
        <w:gridCol w:w="706"/>
        <w:gridCol w:w="36"/>
        <w:gridCol w:w="60"/>
        <w:gridCol w:w="310"/>
        <w:gridCol w:w="36"/>
        <w:gridCol w:w="120"/>
        <w:gridCol w:w="783"/>
        <w:gridCol w:w="36"/>
        <w:gridCol w:w="36"/>
        <w:gridCol w:w="36"/>
        <w:gridCol w:w="36"/>
        <w:gridCol w:w="120"/>
        <w:gridCol w:w="706"/>
        <w:gridCol w:w="36"/>
        <w:gridCol w:w="36"/>
        <w:gridCol w:w="36"/>
        <w:gridCol w:w="36"/>
        <w:gridCol w:w="121"/>
        <w:gridCol w:w="791"/>
        <w:gridCol w:w="36"/>
      </w:tblGrid>
      <w:tr w:rsidR="00000000" w14:paraId="17AC46C6" w14:textId="77777777">
        <w:trPr>
          <w:divId w:val="1273048552"/>
        </w:trPr>
        <w:tc>
          <w:tcPr>
            <w:tcW w:w="50" w:type="pct"/>
            <w:vAlign w:val="center"/>
            <w:hideMark/>
          </w:tcPr>
          <w:p w14:paraId="3B8B929C" w14:textId="77777777" w:rsidR="00000000" w:rsidRDefault="00C1661D">
            <w:pPr>
              <w:jc w:val="both"/>
              <w:rPr>
                <w:rFonts w:eastAsia="Times New Roman"/>
              </w:rPr>
            </w:pPr>
          </w:p>
        </w:tc>
        <w:tc>
          <w:tcPr>
            <w:tcW w:w="1824" w:type="pct"/>
            <w:vAlign w:val="center"/>
            <w:hideMark/>
          </w:tcPr>
          <w:p w14:paraId="74844E66" w14:textId="77777777" w:rsidR="00000000" w:rsidRDefault="00C1661D">
            <w:pPr>
              <w:spacing w:after="100"/>
              <w:rPr>
                <w:rFonts w:eastAsia="Times New Roman"/>
                <w:sz w:val="20"/>
                <w:szCs w:val="20"/>
              </w:rPr>
            </w:pPr>
          </w:p>
        </w:tc>
        <w:tc>
          <w:tcPr>
            <w:tcW w:w="5" w:type="pct"/>
            <w:vAlign w:val="center"/>
            <w:hideMark/>
          </w:tcPr>
          <w:p w14:paraId="12C09632" w14:textId="77777777" w:rsidR="00000000" w:rsidRDefault="00C1661D">
            <w:pPr>
              <w:spacing w:after="100"/>
              <w:rPr>
                <w:rFonts w:eastAsia="Times New Roman"/>
                <w:sz w:val="20"/>
                <w:szCs w:val="20"/>
              </w:rPr>
            </w:pPr>
          </w:p>
        </w:tc>
        <w:tc>
          <w:tcPr>
            <w:tcW w:w="5" w:type="pct"/>
            <w:vAlign w:val="center"/>
            <w:hideMark/>
          </w:tcPr>
          <w:p w14:paraId="014EA873" w14:textId="77777777" w:rsidR="00000000" w:rsidRDefault="00C1661D">
            <w:pPr>
              <w:spacing w:after="100"/>
              <w:rPr>
                <w:rFonts w:eastAsia="Times New Roman"/>
                <w:sz w:val="20"/>
                <w:szCs w:val="20"/>
              </w:rPr>
            </w:pPr>
          </w:p>
        </w:tc>
        <w:tc>
          <w:tcPr>
            <w:tcW w:w="26" w:type="pct"/>
            <w:vAlign w:val="center"/>
            <w:hideMark/>
          </w:tcPr>
          <w:p w14:paraId="41A104AA" w14:textId="77777777" w:rsidR="00000000" w:rsidRDefault="00C1661D">
            <w:pPr>
              <w:spacing w:after="100"/>
              <w:rPr>
                <w:rFonts w:eastAsia="Times New Roman"/>
                <w:sz w:val="20"/>
                <w:szCs w:val="20"/>
              </w:rPr>
            </w:pPr>
          </w:p>
        </w:tc>
        <w:tc>
          <w:tcPr>
            <w:tcW w:w="5" w:type="pct"/>
            <w:vAlign w:val="center"/>
            <w:hideMark/>
          </w:tcPr>
          <w:p w14:paraId="593CD323" w14:textId="77777777" w:rsidR="00000000" w:rsidRDefault="00C1661D">
            <w:pPr>
              <w:spacing w:after="100"/>
              <w:rPr>
                <w:rFonts w:eastAsia="Times New Roman"/>
                <w:sz w:val="20"/>
                <w:szCs w:val="20"/>
              </w:rPr>
            </w:pPr>
          </w:p>
        </w:tc>
        <w:tc>
          <w:tcPr>
            <w:tcW w:w="50" w:type="pct"/>
            <w:vAlign w:val="center"/>
            <w:hideMark/>
          </w:tcPr>
          <w:p w14:paraId="0D7CC1CE" w14:textId="77777777" w:rsidR="00000000" w:rsidRDefault="00C1661D">
            <w:pPr>
              <w:spacing w:after="100"/>
              <w:rPr>
                <w:rFonts w:eastAsia="Times New Roman"/>
                <w:sz w:val="20"/>
                <w:szCs w:val="20"/>
              </w:rPr>
            </w:pPr>
          </w:p>
        </w:tc>
        <w:tc>
          <w:tcPr>
            <w:tcW w:w="532" w:type="pct"/>
            <w:vAlign w:val="center"/>
            <w:hideMark/>
          </w:tcPr>
          <w:p w14:paraId="0623B862" w14:textId="77777777" w:rsidR="00000000" w:rsidRDefault="00C1661D">
            <w:pPr>
              <w:spacing w:after="100"/>
              <w:rPr>
                <w:rFonts w:eastAsia="Times New Roman"/>
                <w:sz w:val="20"/>
                <w:szCs w:val="20"/>
              </w:rPr>
            </w:pPr>
          </w:p>
        </w:tc>
        <w:tc>
          <w:tcPr>
            <w:tcW w:w="5" w:type="pct"/>
            <w:vAlign w:val="center"/>
            <w:hideMark/>
          </w:tcPr>
          <w:p w14:paraId="23653217" w14:textId="77777777" w:rsidR="00000000" w:rsidRDefault="00C1661D">
            <w:pPr>
              <w:spacing w:after="100"/>
              <w:rPr>
                <w:rFonts w:eastAsia="Times New Roman"/>
                <w:sz w:val="20"/>
                <w:szCs w:val="20"/>
              </w:rPr>
            </w:pPr>
          </w:p>
        </w:tc>
        <w:tc>
          <w:tcPr>
            <w:tcW w:w="5" w:type="pct"/>
            <w:vAlign w:val="center"/>
            <w:hideMark/>
          </w:tcPr>
          <w:p w14:paraId="7C3F4F74" w14:textId="77777777" w:rsidR="00000000" w:rsidRDefault="00C1661D">
            <w:pPr>
              <w:spacing w:after="100"/>
              <w:rPr>
                <w:rFonts w:eastAsia="Times New Roman"/>
                <w:sz w:val="20"/>
                <w:szCs w:val="20"/>
              </w:rPr>
            </w:pPr>
          </w:p>
        </w:tc>
        <w:tc>
          <w:tcPr>
            <w:tcW w:w="26" w:type="pct"/>
            <w:vAlign w:val="center"/>
            <w:hideMark/>
          </w:tcPr>
          <w:p w14:paraId="23D810B3" w14:textId="77777777" w:rsidR="00000000" w:rsidRDefault="00C1661D">
            <w:pPr>
              <w:spacing w:after="100"/>
              <w:rPr>
                <w:rFonts w:eastAsia="Times New Roman"/>
                <w:sz w:val="20"/>
                <w:szCs w:val="20"/>
              </w:rPr>
            </w:pPr>
          </w:p>
        </w:tc>
        <w:tc>
          <w:tcPr>
            <w:tcW w:w="5" w:type="pct"/>
            <w:vAlign w:val="center"/>
            <w:hideMark/>
          </w:tcPr>
          <w:p w14:paraId="33056ABC" w14:textId="77777777" w:rsidR="00000000" w:rsidRDefault="00C1661D">
            <w:pPr>
              <w:spacing w:after="100"/>
              <w:rPr>
                <w:rFonts w:eastAsia="Times New Roman"/>
                <w:sz w:val="20"/>
                <w:szCs w:val="20"/>
              </w:rPr>
            </w:pPr>
          </w:p>
        </w:tc>
        <w:tc>
          <w:tcPr>
            <w:tcW w:w="50" w:type="pct"/>
            <w:vAlign w:val="center"/>
            <w:hideMark/>
          </w:tcPr>
          <w:p w14:paraId="71DC819D" w14:textId="77777777" w:rsidR="00000000" w:rsidRDefault="00C1661D">
            <w:pPr>
              <w:spacing w:after="100"/>
              <w:rPr>
                <w:rFonts w:eastAsia="Times New Roman"/>
                <w:sz w:val="20"/>
                <w:szCs w:val="20"/>
              </w:rPr>
            </w:pPr>
          </w:p>
        </w:tc>
        <w:tc>
          <w:tcPr>
            <w:tcW w:w="532" w:type="pct"/>
            <w:vAlign w:val="center"/>
            <w:hideMark/>
          </w:tcPr>
          <w:p w14:paraId="336563A4" w14:textId="77777777" w:rsidR="00000000" w:rsidRDefault="00C1661D">
            <w:pPr>
              <w:spacing w:after="100"/>
              <w:rPr>
                <w:rFonts w:eastAsia="Times New Roman"/>
                <w:sz w:val="20"/>
                <w:szCs w:val="20"/>
              </w:rPr>
            </w:pPr>
          </w:p>
        </w:tc>
        <w:tc>
          <w:tcPr>
            <w:tcW w:w="5" w:type="pct"/>
            <w:vAlign w:val="center"/>
            <w:hideMark/>
          </w:tcPr>
          <w:p w14:paraId="53AC4AF1" w14:textId="77777777" w:rsidR="00000000" w:rsidRDefault="00C1661D">
            <w:pPr>
              <w:spacing w:after="100"/>
              <w:rPr>
                <w:rFonts w:eastAsia="Times New Roman"/>
                <w:sz w:val="20"/>
                <w:szCs w:val="20"/>
              </w:rPr>
            </w:pPr>
          </w:p>
        </w:tc>
        <w:tc>
          <w:tcPr>
            <w:tcW w:w="5" w:type="pct"/>
            <w:vAlign w:val="center"/>
            <w:hideMark/>
          </w:tcPr>
          <w:p w14:paraId="13C3DA84" w14:textId="77777777" w:rsidR="00000000" w:rsidRDefault="00C1661D">
            <w:pPr>
              <w:spacing w:after="100"/>
              <w:rPr>
                <w:rFonts w:eastAsia="Times New Roman"/>
                <w:sz w:val="20"/>
                <w:szCs w:val="20"/>
              </w:rPr>
            </w:pPr>
          </w:p>
        </w:tc>
        <w:tc>
          <w:tcPr>
            <w:tcW w:w="26" w:type="pct"/>
            <w:vAlign w:val="center"/>
            <w:hideMark/>
          </w:tcPr>
          <w:p w14:paraId="5BA2C10F" w14:textId="77777777" w:rsidR="00000000" w:rsidRDefault="00C1661D">
            <w:pPr>
              <w:spacing w:after="100"/>
              <w:rPr>
                <w:rFonts w:eastAsia="Times New Roman"/>
                <w:sz w:val="20"/>
                <w:szCs w:val="20"/>
              </w:rPr>
            </w:pPr>
          </w:p>
        </w:tc>
        <w:tc>
          <w:tcPr>
            <w:tcW w:w="5" w:type="pct"/>
            <w:vAlign w:val="center"/>
            <w:hideMark/>
          </w:tcPr>
          <w:p w14:paraId="0DD544C1" w14:textId="77777777" w:rsidR="00000000" w:rsidRDefault="00C1661D">
            <w:pPr>
              <w:spacing w:after="100"/>
              <w:rPr>
                <w:rFonts w:eastAsia="Times New Roman"/>
                <w:sz w:val="20"/>
                <w:szCs w:val="20"/>
              </w:rPr>
            </w:pPr>
          </w:p>
        </w:tc>
        <w:tc>
          <w:tcPr>
            <w:tcW w:w="50" w:type="pct"/>
            <w:vAlign w:val="center"/>
            <w:hideMark/>
          </w:tcPr>
          <w:p w14:paraId="49BB4D98" w14:textId="77777777" w:rsidR="00000000" w:rsidRDefault="00C1661D">
            <w:pPr>
              <w:spacing w:after="100"/>
              <w:rPr>
                <w:rFonts w:eastAsia="Times New Roman"/>
                <w:sz w:val="20"/>
                <w:szCs w:val="20"/>
              </w:rPr>
            </w:pPr>
          </w:p>
        </w:tc>
        <w:tc>
          <w:tcPr>
            <w:tcW w:w="532" w:type="pct"/>
            <w:vAlign w:val="center"/>
            <w:hideMark/>
          </w:tcPr>
          <w:p w14:paraId="319CA3E0" w14:textId="77777777" w:rsidR="00000000" w:rsidRDefault="00C1661D">
            <w:pPr>
              <w:spacing w:after="100"/>
              <w:rPr>
                <w:rFonts w:eastAsia="Times New Roman"/>
                <w:sz w:val="20"/>
                <w:szCs w:val="20"/>
              </w:rPr>
            </w:pPr>
          </w:p>
        </w:tc>
        <w:tc>
          <w:tcPr>
            <w:tcW w:w="5" w:type="pct"/>
            <w:vAlign w:val="center"/>
            <w:hideMark/>
          </w:tcPr>
          <w:p w14:paraId="6147922D" w14:textId="77777777" w:rsidR="00000000" w:rsidRDefault="00C1661D">
            <w:pPr>
              <w:spacing w:after="100"/>
              <w:rPr>
                <w:rFonts w:eastAsia="Times New Roman"/>
                <w:sz w:val="20"/>
                <w:szCs w:val="20"/>
              </w:rPr>
            </w:pPr>
          </w:p>
        </w:tc>
        <w:tc>
          <w:tcPr>
            <w:tcW w:w="5" w:type="pct"/>
            <w:vAlign w:val="center"/>
            <w:hideMark/>
          </w:tcPr>
          <w:p w14:paraId="11BFC555" w14:textId="77777777" w:rsidR="00000000" w:rsidRDefault="00C1661D">
            <w:pPr>
              <w:spacing w:after="100"/>
              <w:rPr>
                <w:rFonts w:eastAsia="Times New Roman"/>
                <w:sz w:val="20"/>
                <w:szCs w:val="20"/>
              </w:rPr>
            </w:pPr>
          </w:p>
        </w:tc>
        <w:tc>
          <w:tcPr>
            <w:tcW w:w="26" w:type="pct"/>
            <w:vAlign w:val="center"/>
            <w:hideMark/>
          </w:tcPr>
          <w:p w14:paraId="05020076" w14:textId="77777777" w:rsidR="00000000" w:rsidRDefault="00C1661D">
            <w:pPr>
              <w:spacing w:after="100"/>
              <w:rPr>
                <w:rFonts w:eastAsia="Times New Roman"/>
                <w:sz w:val="20"/>
                <w:szCs w:val="20"/>
              </w:rPr>
            </w:pPr>
          </w:p>
        </w:tc>
        <w:tc>
          <w:tcPr>
            <w:tcW w:w="5" w:type="pct"/>
            <w:vAlign w:val="center"/>
            <w:hideMark/>
          </w:tcPr>
          <w:p w14:paraId="38D85348" w14:textId="77777777" w:rsidR="00000000" w:rsidRDefault="00C1661D">
            <w:pPr>
              <w:spacing w:after="100"/>
              <w:rPr>
                <w:rFonts w:eastAsia="Times New Roman"/>
                <w:sz w:val="20"/>
                <w:szCs w:val="20"/>
              </w:rPr>
            </w:pPr>
          </w:p>
        </w:tc>
        <w:tc>
          <w:tcPr>
            <w:tcW w:w="50" w:type="pct"/>
            <w:vAlign w:val="center"/>
            <w:hideMark/>
          </w:tcPr>
          <w:p w14:paraId="5DFFD5A2" w14:textId="77777777" w:rsidR="00000000" w:rsidRDefault="00C1661D">
            <w:pPr>
              <w:spacing w:after="100"/>
              <w:rPr>
                <w:rFonts w:eastAsia="Times New Roman"/>
                <w:sz w:val="20"/>
                <w:szCs w:val="20"/>
              </w:rPr>
            </w:pPr>
          </w:p>
        </w:tc>
        <w:tc>
          <w:tcPr>
            <w:tcW w:w="532" w:type="pct"/>
            <w:vAlign w:val="center"/>
            <w:hideMark/>
          </w:tcPr>
          <w:p w14:paraId="3AB397F2" w14:textId="77777777" w:rsidR="00000000" w:rsidRDefault="00C1661D">
            <w:pPr>
              <w:spacing w:after="100"/>
              <w:rPr>
                <w:rFonts w:eastAsia="Times New Roman"/>
                <w:sz w:val="20"/>
                <w:szCs w:val="20"/>
              </w:rPr>
            </w:pPr>
          </w:p>
        </w:tc>
        <w:tc>
          <w:tcPr>
            <w:tcW w:w="5" w:type="pct"/>
            <w:vAlign w:val="center"/>
            <w:hideMark/>
          </w:tcPr>
          <w:p w14:paraId="16D8EE91" w14:textId="77777777" w:rsidR="00000000" w:rsidRDefault="00C1661D">
            <w:pPr>
              <w:spacing w:after="100"/>
              <w:rPr>
                <w:rFonts w:eastAsia="Times New Roman"/>
                <w:sz w:val="20"/>
                <w:szCs w:val="20"/>
              </w:rPr>
            </w:pPr>
          </w:p>
        </w:tc>
        <w:tc>
          <w:tcPr>
            <w:tcW w:w="5" w:type="pct"/>
            <w:vAlign w:val="center"/>
            <w:hideMark/>
          </w:tcPr>
          <w:p w14:paraId="1B44E760" w14:textId="77777777" w:rsidR="00000000" w:rsidRDefault="00C1661D">
            <w:pPr>
              <w:spacing w:after="100"/>
              <w:rPr>
                <w:rFonts w:eastAsia="Times New Roman"/>
                <w:sz w:val="20"/>
                <w:szCs w:val="20"/>
              </w:rPr>
            </w:pPr>
          </w:p>
        </w:tc>
        <w:tc>
          <w:tcPr>
            <w:tcW w:w="26" w:type="pct"/>
            <w:vAlign w:val="center"/>
            <w:hideMark/>
          </w:tcPr>
          <w:p w14:paraId="3D6D1847" w14:textId="77777777" w:rsidR="00000000" w:rsidRDefault="00C1661D">
            <w:pPr>
              <w:spacing w:after="100"/>
              <w:rPr>
                <w:rFonts w:eastAsia="Times New Roman"/>
                <w:sz w:val="20"/>
                <w:szCs w:val="20"/>
              </w:rPr>
            </w:pPr>
          </w:p>
        </w:tc>
        <w:tc>
          <w:tcPr>
            <w:tcW w:w="5" w:type="pct"/>
            <w:vAlign w:val="center"/>
            <w:hideMark/>
          </w:tcPr>
          <w:p w14:paraId="1D4943CC" w14:textId="77777777" w:rsidR="00000000" w:rsidRDefault="00C1661D">
            <w:pPr>
              <w:spacing w:after="100"/>
              <w:rPr>
                <w:rFonts w:eastAsia="Times New Roman"/>
                <w:sz w:val="20"/>
                <w:szCs w:val="20"/>
              </w:rPr>
            </w:pPr>
          </w:p>
        </w:tc>
        <w:tc>
          <w:tcPr>
            <w:tcW w:w="50" w:type="pct"/>
            <w:vAlign w:val="center"/>
            <w:hideMark/>
          </w:tcPr>
          <w:p w14:paraId="1EBAA115" w14:textId="77777777" w:rsidR="00000000" w:rsidRDefault="00C1661D">
            <w:pPr>
              <w:spacing w:after="100"/>
              <w:rPr>
                <w:rFonts w:eastAsia="Times New Roman"/>
                <w:sz w:val="20"/>
                <w:szCs w:val="20"/>
              </w:rPr>
            </w:pPr>
          </w:p>
        </w:tc>
        <w:tc>
          <w:tcPr>
            <w:tcW w:w="532" w:type="pct"/>
            <w:vAlign w:val="center"/>
            <w:hideMark/>
          </w:tcPr>
          <w:p w14:paraId="78C27067" w14:textId="77777777" w:rsidR="00000000" w:rsidRDefault="00C1661D">
            <w:pPr>
              <w:spacing w:after="100"/>
              <w:rPr>
                <w:rFonts w:eastAsia="Times New Roman"/>
                <w:sz w:val="20"/>
                <w:szCs w:val="20"/>
              </w:rPr>
            </w:pPr>
          </w:p>
        </w:tc>
        <w:tc>
          <w:tcPr>
            <w:tcW w:w="5" w:type="pct"/>
            <w:vAlign w:val="center"/>
            <w:hideMark/>
          </w:tcPr>
          <w:p w14:paraId="565F0E16" w14:textId="77777777" w:rsidR="00000000" w:rsidRDefault="00C1661D">
            <w:pPr>
              <w:spacing w:after="100"/>
              <w:rPr>
                <w:rFonts w:eastAsia="Times New Roman"/>
                <w:sz w:val="20"/>
                <w:szCs w:val="20"/>
              </w:rPr>
            </w:pPr>
          </w:p>
        </w:tc>
      </w:tr>
      <w:tr w:rsidR="00000000" w14:paraId="64DEAE77" w14:textId="77777777">
        <w:trPr>
          <w:divId w:val="1273048552"/>
        </w:trPr>
        <w:tc>
          <w:tcPr>
            <w:tcW w:w="0" w:type="auto"/>
            <w:gridSpan w:val="3"/>
            <w:tcMar>
              <w:top w:w="30" w:type="dxa"/>
              <w:left w:w="20" w:type="dxa"/>
              <w:bottom w:w="30" w:type="dxa"/>
              <w:right w:w="20" w:type="dxa"/>
            </w:tcMar>
            <w:vAlign w:val="bottom"/>
            <w:hideMark/>
          </w:tcPr>
          <w:p w14:paraId="4723D92B"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54F2C26" w14:textId="77777777" w:rsidR="00000000" w:rsidRDefault="00C1661D">
            <w:pPr>
              <w:spacing w:after="100"/>
              <w:rPr>
                <w:rFonts w:eastAsia="Times New Roman"/>
              </w:rPr>
            </w:pPr>
          </w:p>
        </w:tc>
        <w:tc>
          <w:tcPr>
            <w:tcW w:w="0" w:type="auto"/>
            <w:gridSpan w:val="27"/>
            <w:tcMar>
              <w:top w:w="30" w:type="dxa"/>
              <w:left w:w="20" w:type="dxa"/>
              <w:bottom w:w="30" w:type="dxa"/>
              <w:right w:w="20" w:type="dxa"/>
            </w:tcMar>
            <w:vAlign w:val="bottom"/>
            <w:hideMark/>
          </w:tcPr>
          <w:p w14:paraId="095D8C5E" w14:textId="77777777" w:rsidR="00000000" w:rsidRDefault="00C1661D">
            <w:pPr>
              <w:spacing w:after="100"/>
              <w:jc w:val="center"/>
              <w:rPr>
                <w:rFonts w:eastAsia="Times New Roman"/>
              </w:rPr>
            </w:pPr>
            <w:r>
              <w:rPr>
                <w:rFonts w:eastAsia="Times New Roman"/>
                <w:color w:val="000000"/>
                <w:sz w:val="20"/>
                <w:szCs w:val="20"/>
              </w:rPr>
              <w:t>Payments Due by Period</w:t>
            </w:r>
          </w:p>
        </w:tc>
      </w:tr>
      <w:tr w:rsidR="00000000" w14:paraId="44F5E92E" w14:textId="77777777">
        <w:trPr>
          <w:divId w:val="1273048552"/>
        </w:trPr>
        <w:tc>
          <w:tcPr>
            <w:tcW w:w="0" w:type="auto"/>
            <w:gridSpan w:val="3"/>
            <w:tcMar>
              <w:top w:w="30" w:type="dxa"/>
              <w:left w:w="20" w:type="dxa"/>
              <w:bottom w:w="30" w:type="dxa"/>
              <w:right w:w="20" w:type="dxa"/>
            </w:tcMar>
            <w:vAlign w:val="bottom"/>
            <w:hideMark/>
          </w:tcPr>
          <w:p w14:paraId="4DD7ED89" w14:textId="77777777" w:rsidR="00000000" w:rsidRDefault="00C1661D">
            <w:pPr>
              <w:spacing w:after="100"/>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14:paraId="6FC08698"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F86FA7" w14:textId="77777777" w:rsidR="00000000" w:rsidRDefault="00C1661D">
            <w:pPr>
              <w:spacing w:after="100"/>
              <w:jc w:val="center"/>
              <w:rPr>
                <w:rFonts w:eastAsia="Times New Roman"/>
              </w:rPr>
            </w:pPr>
            <w:r>
              <w:rPr>
                <w:rFonts w:eastAsia="Times New Roman"/>
                <w:color w:val="000000"/>
                <w:sz w:val="20"/>
                <w:szCs w:val="20"/>
              </w:rPr>
              <w:t>Total</w:t>
            </w:r>
          </w:p>
        </w:tc>
        <w:tc>
          <w:tcPr>
            <w:tcW w:w="0" w:type="auto"/>
            <w:gridSpan w:val="3"/>
            <w:tcBorders>
              <w:top w:val="single" w:sz="8" w:space="0" w:color="000000"/>
            </w:tcBorders>
            <w:tcMar>
              <w:top w:w="0" w:type="dxa"/>
              <w:left w:w="20" w:type="dxa"/>
              <w:bottom w:w="0" w:type="dxa"/>
              <w:right w:w="20" w:type="dxa"/>
            </w:tcMar>
            <w:vAlign w:val="center"/>
            <w:hideMark/>
          </w:tcPr>
          <w:p w14:paraId="20E02C04"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0560D5" w14:textId="77777777" w:rsidR="00000000" w:rsidRDefault="00C1661D">
            <w:pPr>
              <w:spacing w:after="100"/>
              <w:jc w:val="center"/>
              <w:rPr>
                <w:rFonts w:eastAsia="Times New Roman"/>
              </w:rPr>
            </w:pPr>
            <w:r>
              <w:rPr>
                <w:rFonts w:eastAsia="Times New Roman"/>
                <w:color w:val="000000"/>
                <w:sz w:val="20"/>
                <w:szCs w:val="20"/>
              </w:rPr>
              <w:t>Fiscal</w:t>
            </w:r>
            <w:r>
              <w:rPr>
                <w:rFonts w:eastAsia="Times New Roman"/>
                <w:color w:val="000000"/>
                <w:sz w:val="20"/>
                <w:szCs w:val="20"/>
              </w:rPr>
              <w:br/>
              <w:t>2023</w:t>
            </w:r>
          </w:p>
        </w:tc>
        <w:tc>
          <w:tcPr>
            <w:tcW w:w="0" w:type="auto"/>
            <w:gridSpan w:val="3"/>
            <w:tcBorders>
              <w:top w:val="single" w:sz="8" w:space="0" w:color="000000"/>
            </w:tcBorders>
            <w:tcMar>
              <w:top w:w="0" w:type="dxa"/>
              <w:left w:w="20" w:type="dxa"/>
              <w:bottom w:w="0" w:type="dxa"/>
              <w:right w:w="20" w:type="dxa"/>
            </w:tcMar>
            <w:vAlign w:val="center"/>
            <w:hideMark/>
          </w:tcPr>
          <w:p w14:paraId="10609AE2"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2278DC" w14:textId="77777777" w:rsidR="00000000" w:rsidRDefault="00C1661D">
            <w:pPr>
              <w:spacing w:after="100"/>
              <w:jc w:val="center"/>
              <w:rPr>
                <w:rFonts w:eastAsia="Times New Roman"/>
              </w:rPr>
            </w:pPr>
            <w:r>
              <w:rPr>
                <w:rFonts w:eastAsia="Times New Roman"/>
                <w:color w:val="000000"/>
                <w:sz w:val="20"/>
                <w:szCs w:val="20"/>
              </w:rPr>
              <w:t>Fiscal</w:t>
            </w:r>
            <w:r>
              <w:rPr>
                <w:rFonts w:eastAsia="Times New Roman"/>
                <w:color w:val="000000"/>
                <w:sz w:val="20"/>
                <w:szCs w:val="20"/>
              </w:rPr>
              <w:br/>
              <w:t>2024 - 2025</w:t>
            </w:r>
          </w:p>
        </w:tc>
        <w:tc>
          <w:tcPr>
            <w:tcW w:w="0" w:type="auto"/>
            <w:gridSpan w:val="3"/>
            <w:tcBorders>
              <w:top w:val="single" w:sz="8" w:space="0" w:color="000000"/>
            </w:tcBorders>
            <w:tcMar>
              <w:top w:w="0" w:type="dxa"/>
              <w:left w:w="20" w:type="dxa"/>
              <w:bottom w:w="0" w:type="dxa"/>
              <w:right w:w="20" w:type="dxa"/>
            </w:tcMar>
            <w:vAlign w:val="center"/>
            <w:hideMark/>
          </w:tcPr>
          <w:p w14:paraId="768388EE"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28F9B7" w14:textId="77777777" w:rsidR="00000000" w:rsidRDefault="00C1661D">
            <w:pPr>
              <w:spacing w:after="100"/>
              <w:jc w:val="center"/>
              <w:rPr>
                <w:rFonts w:eastAsia="Times New Roman"/>
              </w:rPr>
            </w:pPr>
            <w:r>
              <w:rPr>
                <w:rFonts w:eastAsia="Times New Roman"/>
                <w:color w:val="000000"/>
                <w:sz w:val="20"/>
                <w:szCs w:val="20"/>
              </w:rPr>
              <w:t>Fiscal</w:t>
            </w:r>
            <w:r>
              <w:rPr>
                <w:rFonts w:eastAsia="Times New Roman"/>
                <w:color w:val="000000"/>
                <w:sz w:val="20"/>
                <w:szCs w:val="20"/>
              </w:rPr>
              <w:br/>
              <w:t>2026 - 2027</w:t>
            </w:r>
          </w:p>
        </w:tc>
        <w:tc>
          <w:tcPr>
            <w:tcW w:w="0" w:type="auto"/>
            <w:gridSpan w:val="3"/>
            <w:tcBorders>
              <w:top w:val="single" w:sz="8" w:space="0" w:color="000000"/>
            </w:tcBorders>
            <w:tcMar>
              <w:top w:w="0" w:type="dxa"/>
              <w:left w:w="20" w:type="dxa"/>
              <w:bottom w:w="0" w:type="dxa"/>
              <w:right w:w="20" w:type="dxa"/>
            </w:tcMar>
            <w:vAlign w:val="center"/>
            <w:hideMark/>
          </w:tcPr>
          <w:p w14:paraId="5200A0A5"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1FB87F" w14:textId="77777777" w:rsidR="00000000" w:rsidRDefault="00C1661D">
            <w:pPr>
              <w:spacing w:after="100"/>
              <w:jc w:val="center"/>
              <w:rPr>
                <w:rFonts w:eastAsia="Times New Roman"/>
              </w:rPr>
            </w:pPr>
            <w:r>
              <w:rPr>
                <w:rFonts w:eastAsia="Times New Roman"/>
                <w:color w:val="000000"/>
                <w:sz w:val="20"/>
                <w:szCs w:val="20"/>
              </w:rPr>
              <w:t>Thereafter</w:t>
            </w:r>
          </w:p>
        </w:tc>
      </w:tr>
      <w:tr w:rsidR="00000000" w14:paraId="4B03672F" w14:textId="77777777">
        <w:trPr>
          <w:divId w:val="12730485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8FF6C18" w14:textId="77777777" w:rsidR="00000000" w:rsidRDefault="00C1661D">
            <w:pPr>
              <w:spacing w:after="100"/>
              <w:rPr>
                <w:rFonts w:eastAsia="Times New Roman"/>
              </w:rPr>
            </w:pPr>
            <w:r>
              <w:rPr>
                <w:rFonts w:eastAsia="Times New Roman"/>
                <w:color w:val="000000"/>
                <w:sz w:val="20"/>
                <w:szCs w:val="20"/>
              </w:rPr>
              <w:t>Short-term borrowings (a)</w:t>
            </w:r>
          </w:p>
        </w:tc>
        <w:tc>
          <w:tcPr>
            <w:tcW w:w="0" w:type="auto"/>
            <w:gridSpan w:val="3"/>
            <w:shd w:val="clear" w:color="auto" w:fill="CCEEFF"/>
            <w:tcMar>
              <w:top w:w="0" w:type="dxa"/>
              <w:left w:w="20" w:type="dxa"/>
              <w:bottom w:w="0" w:type="dxa"/>
              <w:right w:w="20" w:type="dxa"/>
            </w:tcMar>
            <w:vAlign w:val="center"/>
            <w:hideMark/>
          </w:tcPr>
          <w:p w14:paraId="69E29B26" w14:textId="77777777" w:rsidR="00000000" w:rsidRDefault="00C166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66F71E"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230C78" w14:textId="77777777" w:rsidR="00000000" w:rsidRDefault="00C1661D">
            <w:pPr>
              <w:spacing w:after="100"/>
              <w:jc w:val="right"/>
              <w:rPr>
                <w:rFonts w:eastAsia="Times New Roman"/>
              </w:rPr>
            </w:pPr>
            <w:r>
              <w:rPr>
                <w:rFonts w:eastAsia="Times New Roman"/>
                <w:color w:val="000000"/>
                <w:sz w:val="20"/>
                <w:szCs w:val="20"/>
              </w:rPr>
              <w:t>368 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A237E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4675E1"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24E2A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16DC35" w14:textId="77777777" w:rsidR="00000000" w:rsidRDefault="00C1661D">
            <w:pPr>
              <w:spacing w:after="100"/>
              <w:jc w:val="right"/>
              <w:rPr>
                <w:rFonts w:eastAsia="Times New Roman"/>
              </w:rPr>
            </w:pPr>
            <w:r>
              <w:rPr>
                <w:rFonts w:eastAsia="Times New Roman"/>
                <w:color w:val="000000"/>
                <w:sz w:val="20"/>
                <w:szCs w:val="20"/>
              </w:rPr>
              <w:t>368 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0AAD0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DB6B9"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77995E"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4393E6" w14:textId="77777777" w:rsidR="00000000" w:rsidRDefault="00C1661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8DB5F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8BD081"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CAA8AC"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B5B716" w14:textId="77777777" w:rsidR="00000000" w:rsidRDefault="00C1661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3D905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D77981"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5D155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079AE6" w14:textId="77777777" w:rsidR="00000000" w:rsidRDefault="00C1661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CE0E32" w14:textId="77777777" w:rsidR="00000000" w:rsidRDefault="00C1661D">
            <w:pPr>
              <w:spacing w:after="100"/>
              <w:jc w:val="right"/>
              <w:rPr>
                <w:rFonts w:eastAsia="Times New Roman"/>
              </w:rPr>
            </w:pPr>
          </w:p>
        </w:tc>
      </w:tr>
      <w:tr w:rsidR="00000000" w14:paraId="2C50C930" w14:textId="77777777">
        <w:trPr>
          <w:divId w:val="1273048552"/>
        </w:trPr>
        <w:tc>
          <w:tcPr>
            <w:tcW w:w="0" w:type="auto"/>
            <w:gridSpan w:val="3"/>
            <w:shd w:val="clear" w:color="auto" w:fill="FFFFFF"/>
            <w:tcMar>
              <w:top w:w="30" w:type="dxa"/>
              <w:left w:w="20" w:type="dxa"/>
              <w:bottom w:w="30" w:type="dxa"/>
              <w:right w:w="20" w:type="dxa"/>
            </w:tcMar>
            <w:vAlign w:val="bottom"/>
            <w:hideMark/>
          </w:tcPr>
          <w:p w14:paraId="5C9A654E" w14:textId="77777777" w:rsidR="00000000" w:rsidRDefault="00C1661D">
            <w:pPr>
              <w:spacing w:after="100"/>
              <w:rPr>
                <w:rFonts w:eastAsia="Times New Roman"/>
              </w:rPr>
            </w:pPr>
            <w:r>
              <w:rPr>
                <w:rFonts w:eastAsia="Times New Roman"/>
                <w:color w:val="000000"/>
                <w:sz w:val="20"/>
                <w:szCs w:val="20"/>
              </w:rPr>
              <w:t>Long-term debt (a)</w:t>
            </w:r>
          </w:p>
        </w:tc>
        <w:tc>
          <w:tcPr>
            <w:tcW w:w="0" w:type="auto"/>
            <w:gridSpan w:val="3"/>
            <w:shd w:val="clear" w:color="auto" w:fill="FFFFFF"/>
            <w:tcMar>
              <w:top w:w="0" w:type="dxa"/>
              <w:left w:w="20" w:type="dxa"/>
              <w:bottom w:w="0" w:type="dxa"/>
              <w:right w:w="20" w:type="dxa"/>
            </w:tcMar>
            <w:vAlign w:val="center"/>
            <w:hideMark/>
          </w:tcPr>
          <w:p w14:paraId="2A2D40CC"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1B9552" w14:textId="77777777" w:rsidR="00000000" w:rsidRDefault="00C1661D">
            <w:pPr>
              <w:spacing w:after="100"/>
              <w:jc w:val="right"/>
              <w:rPr>
                <w:rFonts w:eastAsia="Times New Roman"/>
              </w:rPr>
            </w:pPr>
            <w:r>
              <w:rPr>
                <w:rFonts w:eastAsia="Times New Roman"/>
                <w:color w:val="000000"/>
                <w:sz w:val="20"/>
                <w:szCs w:val="20"/>
              </w:rPr>
              <w:t>6,665 </w:t>
            </w:r>
          </w:p>
        </w:tc>
        <w:tc>
          <w:tcPr>
            <w:tcW w:w="0" w:type="auto"/>
            <w:shd w:val="clear" w:color="auto" w:fill="FFFFFF"/>
            <w:tcMar>
              <w:top w:w="30" w:type="dxa"/>
              <w:left w:w="0" w:type="dxa"/>
              <w:bottom w:w="30" w:type="dxa"/>
              <w:right w:w="20" w:type="dxa"/>
            </w:tcMar>
            <w:vAlign w:val="bottom"/>
            <w:hideMark/>
          </w:tcPr>
          <w:p w14:paraId="2E3C420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BD0AA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4FD21C" w14:textId="77777777" w:rsidR="00000000" w:rsidRDefault="00C1661D">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bottom"/>
            <w:hideMark/>
          </w:tcPr>
          <w:p w14:paraId="7C3C63A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C7AB3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009455" w14:textId="77777777" w:rsidR="00000000" w:rsidRDefault="00C1661D">
            <w:pPr>
              <w:spacing w:after="100"/>
              <w:jc w:val="right"/>
              <w:rPr>
                <w:rFonts w:eastAsia="Times New Roman"/>
              </w:rPr>
            </w:pPr>
            <w:r>
              <w:rPr>
                <w:rFonts w:eastAsia="Times New Roman"/>
                <w:color w:val="000000"/>
                <w:sz w:val="20"/>
                <w:szCs w:val="20"/>
              </w:rPr>
              <w:t>2,587 </w:t>
            </w:r>
          </w:p>
        </w:tc>
        <w:tc>
          <w:tcPr>
            <w:tcW w:w="0" w:type="auto"/>
            <w:shd w:val="clear" w:color="auto" w:fill="FFFFFF"/>
            <w:tcMar>
              <w:top w:w="30" w:type="dxa"/>
              <w:left w:w="0" w:type="dxa"/>
              <w:bottom w:w="30" w:type="dxa"/>
              <w:right w:w="20" w:type="dxa"/>
            </w:tcMar>
            <w:vAlign w:val="bottom"/>
            <w:hideMark/>
          </w:tcPr>
          <w:p w14:paraId="4747469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6AD94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1F5AC1" w14:textId="77777777" w:rsidR="00000000" w:rsidRDefault="00C1661D">
            <w:pPr>
              <w:spacing w:after="100"/>
              <w:jc w:val="right"/>
              <w:rPr>
                <w:rFonts w:eastAsia="Times New Roman"/>
              </w:rPr>
            </w:pPr>
            <w:r>
              <w:rPr>
                <w:rFonts w:eastAsia="Times New Roman"/>
                <w:color w:val="000000"/>
                <w:sz w:val="20"/>
                <w:szCs w:val="20"/>
              </w:rPr>
              <w:t>2,207 </w:t>
            </w:r>
          </w:p>
        </w:tc>
        <w:tc>
          <w:tcPr>
            <w:tcW w:w="0" w:type="auto"/>
            <w:shd w:val="clear" w:color="auto" w:fill="FFFFFF"/>
            <w:tcMar>
              <w:top w:w="30" w:type="dxa"/>
              <w:left w:w="0" w:type="dxa"/>
              <w:bottom w:w="30" w:type="dxa"/>
              <w:right w:w="20" w:type="dxa"/>
            </w:tcMar>
            <w:vAlign w:val="bottom"/>
            <w:hideMark/>
          </w:tcPr>
          <w:p w14:paraId="67E97AA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1318A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A5C385" w14:textId="77777777" w:rsidR="00000000" w:rsidRDefault="00C1661D">
            <w:pPr>
              <w:spacing w:after="100"/>
              <w:jc w:val="right"/>
              <w:rPr>
                <w:rFonts w:eastAsia="Times New Roman"/>
              </w:rPr>
            </w:pPr>
            <w:r>
              <w:rPr>
                <w:rFonts w:eastAsia="Times New Roman"/>
                <w:color w:val="000000"/>
                <w:sz w:val="20"/>
                <w:szCs w:val="20"/>
              </w:rPr>
              <w:t>1,722 </w:t>
            </w:r>
          </w:p>
        </w:tc>
        <w:tc>
          <w:tcPr>
            <w:tcW w:w="0" w:type="auto"/>
            <w:shd w:val="clear" w:color="auto" w:fill="FFFFFF"/>
            <w:tcMar>
              <w:top w:w="30" w:type="dxa"/>
              <w:left w:w="0" w:type="dxa"/>
              <w:bottom w:w="30" w:type="dxa"/>
              <w:right w:w="20" w:type="dxa"/>
            </w:tcMar>
            <w:vAlign w:val="bottom"/>
            <w:hideMark/>
          </w:tcPr>
          <w:p w14:paraId="084A7AAC" w14:textId="77777777" w:rsidR="00000000" w:rsidRDefault="00C1661D">
            <w:pPr>
              <w:spacing w:after="100"/>
              <w:jc w:val="right"/>
              <w:rPr>
                <w:rFonts w:eastAsia="Times New Roman"/>
              </w:rPr>
            </w:pPr>
          </w:p>
        </w:tc>
      </w:tr>
      <w:tr w:rsidR="00000000" w14:paraId="732339D6" w14:textId="77777777">
        <w:trPr>
          <w:divId w:val="1273048552"/>
        </w:trPr>
        <w:tc>
          <w:tcPr>
            <w:tcW w:w="0" w:type="auto"/>
            <w:gridSpan w:val="3"/>
            <w:shd w:val="clear" w:color="auto" w:fill="CCEEFF"/>
            <w:tcMar>
              <w:top w:w="30" w:type="dxa"/>
              <w:left w:w="20" w:type="dxa"/>
              <w:bottom w:w="30" w:type="dxa"/>
              <w:right w:w="20" w:type="dxa"/>
            </w:tcMar>
            <w:vAlign w:val="bottom"/>
            <w:hideMark/>
          </w:tcPr>
          <w:p w14:paraId="324312D3" w14:textId="77777777" w:rsidR="00000000" w:rsidRDefault="00C1661D">
            <w:pPr>
              <w:spacing w:after="100"/>
              <w:rPr>
                <w:rFonts w:eastAsia="Times New Roman"/>
              </w:rPr>
            </w:pPr>
            <w:r>
              <w:rPr>
                <w:rFonts w:eastAsia="Times New Roman"/>
                <w:color w:val="000000"/>
                <w:sz w:val="20"/>
                <w:szCs w:val="20"/>
              </w:rPr>
              <w:t>Interest on long-term fixed-rate debt (a)(b)(c)</w:t>
            </w:r>
          </w:p>
        </w:tc>
        <w:tc>
          <w:tcPr>
            <w:tcW w:w="0" w:type="auto"/>
            <w:gridSpan w:val="3"/>
            <w:shd w:val="clear" w:color="auto" w:fill="CCEEFF"/>
            <w:tcMar>
              <w:top w:w="0" w:type="dxa"/>
              <w:left w:w="20" w:type="dxa"/>
              <w:bottom w:w="0" w:type="dxa"/>
              <w:right w:w="20" w:type="dxa"/>
            </w:tcMar>
            <w:vAlign w:val="center"/>
            <w:hideMark/>
          </w:tcPr>
          <w:p w14:paraId="52360111"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D3CFE6" w14:textId="77777777" w:rsidR="00000000" w:rsidRDefault="00C1661D">
            <w:pPr>
              <w:spacing w:after="100"/>
              <w:jc w:val="right"/>
              <w:rPr>
                <w:rFonts w:eastAsia="Times New Roman"/>
              </w:rPr>
            </w:pPr>
            <w:r>
              <w:rPr>
                <w:rFonts w:eastAsia="Times New Roman"/>
                <w:color w:val="000000"/>
                <w:sz w:val="20"/>
                <w:szCs w:val="20"/>
              </w:rPr>
              <w:t>1,971 </w:t>
            </w:r>
          </w:p>
        </w:tc>
        <w:tc>
          <w:tcPr>
            <w:tcW w:w="0" w:type="auto"/>
            <w:shd w:val="clear" w:color="auto" w:fill="CCEEFF"/>
            <w:tcMar>
              <w:top w:w="30" w:type="dxa"/>
              <w:left w:w="0" w:type="dxa"/>
              <w:bottom w:w="30" w:type="dxa"/>
              <w:right w:w="20" w:type="dxa"/>
            </w:tcMar>
            <w:vAlign w:val="bottom"/>
            <w:hideMark/>
          </w:tcPr>
          <w:p w14:paraId="64DBABE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DC45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42CD4B" w14:textId="77777777" w:rsidR="00000000" w:rsidRDefault="00C1661D">
            <w:pPr>
              <w:spacing w:after="100"/>
              <w:jc w:val="right"/>
              <w:rPr>
                <w:rFonts w:eastAsia="Times New Roman"/>
              </w:rPr>
            </w:pPr>
            <w:r>
              <w:rPr>
                <w:rFonts w:eastAsia="Times New Roman"/>
                <w:color w:val="000000"/>
                <w:sz w:val="20"/>
                <w:szCs w:val="20"/>
              </w:rPr>
              <w:t>302 </w:t>
            </w:r>
          </w:p>
        </w:tc>
        <w:tc>
          <w:tcPr>
            <w:tcW w:w="0" w:type="auto"/>
            <w:shd w:val="clear" w:color="auto" w:fill="CCEEFF"/>
            <w:tcMar>
              <w:top w:w="30" w:type="dxa"/>
              <w:left w:w="0" w:type="dxa"/>
              <w:bottom w:w="30" w:type="dxa"/>
              <w:right w:w="20" w:type="dxa"/>
            </w:tcMar>
            <w:vAlign w:val="bottom"/>
            <w:hideMark/>
          </w:tcPr>
          <w:p w14:paraId="4FCAA83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A4040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3B1CF1" w14:textId="77777777" w:rsidR="00000000" w:rsidRDefault="00C1661D">
            <w:pPr>
              <w:spacing w:after="100"/>
              <w:jc w:val="right"/>
              <w:rPr>
                <w:rFonts w:eastAsia="Times New Roman"/>
              </w:rPr>
            </w:pPr>
            <w:r>
              <w:rPr>
                <w:rFonts w:eastAsia="Times New Roman"/>
                <w:color w:val="000000"/>
                <w:sz w:val="20"/>
                <w:szCs w:val="20"/>
              </w:rPr>
              <w:t>489 </w:t>
            </w:r>
          </w:p>
        </w:tc>
        <w:tc>
          <w:tcPr>
            <w:tcW w:w="0" w:type="auto"/>
            <w:shd w:val="clear" w:color="auto" w:fill="CCEEFF"/>
            <w:tcMar>
              <w:top w:w="30" w:type="dxa"/>
              <w:left w:w="0" w:type="dxa"/>
              <w:bottom w:w="30" w:type="dxa"/>
              <w:right w:w="20" w:type="dxa"/>
            </w:tcMar>
            <w:vAlign w:val="bottom"/>
            <w:hideMark/>
          </w:tcPr>
          <w:p w14:paraId="15D21D5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BBAF7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47A940" w14:textId="77777777" w:rsidR="00000000" w:rsidRDefault="00C1661D">
            <w:pPr>
              <w:spacing w:after="100"/>
              <w:jc w:val="right"/>
              <w:rPr>
                <w:rFonts w:eastAsia="Times New Roman"/>
              </w:rPr>
            </w:pPr>
            <w:r>
              <w:rPr>
                <w:rFonts w:eastAsia="Times New Roman"/>
                <w:color w:val="000000"/>
                <w:sz w:val="20"/>
                <w:szCs w:val="20"/>
              </w:rPr>
              <w:t>258 </w:t>
            </w:r>
          </w:p>
        </w:tc>
        <w:tc>
          <w:tcPr>
            <w:tcW w:w="0" w:type="auto"/>
            <w:shd w:val="clear" w:color="auto" w:fill="CCEEFF"/>
            <w:tcMar>
              <w:top w:w="30" w:type="dxa"/>
              <w:left w:w="0" w:type="dxa"/>
              <w:bottom w:w="30" w:type="dxa"/>
              <w:right w:w="20" w:type="dxa"/>
            </w:tcMar>
            <w:vAlign w:val="bottom"/>
            <w:hideMark/>
          </w:tcPr>
          <w:p w14:paraId="3F34AC2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BC4A7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80FD29" w14:textId="77777777" w:rsidR="00000000" w:rsidRDefault="00C1661D">
            <w:pPr>
              <w:spacing w:after="100"/>
              <w:jc w:val="right"/>
              <w:rPr>
                <w:rFonts w:eastAsia="Times New Roman"/>
              </w:rPr>
            </w:pPr>
            <w:r>
              <w:rPr>
                <w:rFonts w:eastAsia="Times New Roman"/>
                <w:color w:val="000000"/>
                <w:sz w:val="20"/>
                <w:szCs w:val="20"/>
              </w:rPr>
              <w:t>922 </w:t>
            </w:r>
          </w:p>
        </w:tc>
        <w:tc>
          <w:tcPr>
            <w:tcW w:w="0" w:type="auto"/>
            <w:shd w:val="clear" w:color="auto" w:fill="CCEEFF"/>
            <w:tcMar>
              <w:top w:w="30" w:type="dxa"/>
              <w:left w:w="0" w:type="dxa"/>
              <w:bottom w:w="30" w:type="dxa"/>
              <w:right w:w="20" w:type="dxa"/>
            </w:tcMar>
            <w:vAlign w:val="bottom"/>
            <w:hideMark/>
          </w:tcPr>
          <w:p w14:paraId="2B7CF080" w14:textId="77777777" w:rsidR="00000000" w:rsidRDefault="00C1661D">
            <w:pPr>
              <w:spacing w:after="100"/>
              <w:jc w:val="right"/>
              <w:rPr>
                <w:rFonts w:eastAsia="Times New Roman"/>
              </w:rPr>
            </w:pPr>
          </w:p>
        </w:tc>
      </w:tr>
      <w:tr w:rsidR="00000000" w14:paraId="0F3E4B42" w14:textId="77777777">
        <w:trPr>
          <w:divId w:val="1273048552"/>
        </w:trPr>
        <w:tc>
          <w:tcPr>
            <w:tcW w:w="0" w:type="auto"/>
            <w:gridSpan w:val="3"/>
            <w:shd w:val="clear" w:color="auto" w:fill="FFFFFF"/>
            <w:tcMar>
              <w:top w:w="30" w:type="dxa"/>
              <w:left w:w="20" w:type="dxa"/>
              <w:bottom w:w="30" w:type="dxa"/>
              <w:right w:w="20" w:type="dxa"/>
            </w:tcMar>
            <w:vAlign w:val="bottom"/>
            <w:hideMark/>
          </w:tcPr>
          <w:p w14:paraId="296EB0B1" w14:textId="77777777" w:rsidR="00000000" w:rsidRDefault="00C1661D">
            <w:pPr>
              <w:spacing w:after="100"/>
              <w:rPr>
                <w:rFonts w:eastAsia="Times New Roman"/>
              </w:rPr>
            </w:pPr>
            <w:r>
              <w:rPr>
                <w:rFonts w:eastAsia="Times New Roman"/>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14:paraId="167D4A26"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925118" w14:textId="77777777" w:rsidR="00000000" w:rsidRDefault="00C1661D">
            <w:pPr>
              <w:spacing w:after="100"/>
              <w:jc w:val="right"/>
              <w:rPr>
                <w:rFonts w:eastAsia="Times New Roman"/>
              </w:rPr>
            </w:pPr>
            <w:r>
              <w:rPr>
                <w:rFonts w:eastAsia="Times New Roman"/>
                <w:color w:val="000000"/>
                <w:sz w:val="20"/>
                <w:szCs w:val="20"/>
              </w:rPr>
              <w:t>417 </w:t>
            </w:r>
          </w:p>
        </w:tc>
        <w:tc>
          <w:tcPr>
            <w:tcW w:w="0" w:type="auto"/>
            <w:shd w:val="clear" w:color="auto" w:fill="FFFFFF"/>
            <w:tcMar>
              <w:top w:w="30" w:type="dxa"/>
              <w:left w:w="0" w:type="dxa"/>
              <w:bottom w:w="30" w:type="dxa"/>
              <w:right w:w="20" w:type="dxa"/>
            </w:tcMar>
            <w:vAlign w:val="bottom"/>
            <w:hideMark/>
          </w:tcPr>
          <w:p w14:paraId="0B3DF5E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EDC1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1DEA92" w14:textId="77777777" w:rsidR="00000000" w:rsidRDefault="00C1661D">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14:paraId="32BCADD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650F6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0CD283" w14:textId="77777777" w:rsidR="00000000" w:rsidRDefault="00C1661D">
            <w:pPr>
              <w:spacing w:after="100"/>
              <w:jc w:val="right"/>
              <w:rPr>
                <w:rFonts w:eastAsia="Times New Roman"/>
              </w:rPr>
            </w:pPr>
            <w:r>
              <w:rPr>
                <w:rFonts w:eastAsia="Times New Roman"/>
                <w:color w:val="000000"/>
                <w:sz w:val="20"/>
                <w:szCs w:val="20"/>
              </w:rPr>
              <w:t>145 </w:t>
            </w:r>
          </w:p>
        </w:tc>
        <w:tc>
          <w:tcPr>
            <w:tcW w:w="0" w:type="auto"/>
            <w:shd w:val="clear" w:color="auto" w:fill="FFFFFF"/>
            <w:tcMar>
              <w:top w:w="30" w:type="dxa"/>
              <w:left w:w="0" w:type="dxa"/>
              <w:bottom w:w="30" w:type="dxa"/>
              <w:right w:w="20" w:type="dxa"/>
            </w:tcMar>
            <w:vAlign w:val="bottom"/>
            <w:hideMark/>
          </w:tcPr>
          <w:p w14:paraId="69F4BB3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BFF03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6F851D" w14:textId="77777777" w:rsidR="00000000" w:rsidRDefault="00C1661D">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14:paraId="43526B3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E9353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AA6274" w14:textId="77777777" w:rsidR="00000000" w:rsidRDefault="00C1661D">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14:paraId="3F8FEB2F" w14:textId="77777777" w:rsidR="00000000" w:rsidRDefault="00C1661D">
            <w:pPr>
              <w:spacing w:after="100"/>
              <w:jc w:val="right"/>
              <w:rPr>
                <w:rFonts w:eastAsia="Times New Roman"/>
              </w:rPr>
            </w:pPr>
          </w:p>
        </w:tc>
      </w:tr>
      <w:tr w:rsidR="00000000" w14:paraId="325AA4F3" w14:textId="77777777">
        <w:trPr>
          <w:divId w:val="1273048552"/>
        </w:trPr>
        <w:tc>
          <w:tcPr>
            <w:tcW w:w="0" w:type="auto"/>
            <w:gridSpan w:val="3"/>
            <w:shd w:val="clear" w:color="auto" w:fill="CCEEFF"/>
            <w:tcMar>
              <w:top w:w="30" w:type="dxa"/>
              <w:left w:w="20" w:type="dxa"/>
              <w:bottom w:w="30" w:type="dxa"/>
              <w:right w:w="20" w:type="dxa"/>
            </w:tcMar>
            <w:vAlign w:val="bottom"/>
            <w:hideMark/>
          </w:tcPr>
          <w:p w14:paraId="63D9ED01" w14:textId="77777777" w:rsidR="00000000" w:rsidRDefault="00C1661D">
            <w:pPr>
              <w:spacing w:after="100"/>
              <w:rPr>
                <w:rFonts w:eastAsia="Times New Roman"/>
              </w:rPr>
            </w:pPr>
            <w:r>
              <w:rPr>
                <w:rFonts w:eastAsia="Times New Roman"/>
                <w:color w:val="000000"/>
                <w:sz w:val="20"/>
                <w:szCs w:val="20"/>
              </w:rPr>
              <w:t>AmeriGas Propane supply contracts</w:t>
            </w:r>
          </w:p>
        </w:tc>
        <w:tc>
          <w:tcPr>
            <w:tcW w:w="0" w:type="auto"/>
            <w:gridSpan w:val="3"/>
            <w:shd w:val="clear" w:color="auto" w:fill="CCEEFF"/>
            <w:tcMar>
              <w:top w:w="0" w:type="dxa"/>
              <w:left w:w="20" w:type="dxa"/>
              <w:bottom w:w="0" w:type="dxa"/>
              <w:right w:w="20" w:type="dxa"/>
            </w:tcMar>
            <w:vAlign w:val="center"/>
            <w:hideMark/>
          </w:tcPr>
          <w:p w14:paraId="3A662AE3"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88130A" w14:textId="77777777" w:rsidR="00000000" w:rsidRDefault="00C1661D">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0B4F58E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12498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9C391B" w14:textId="77777777" w:rsidR="00000000" w:rsidRDefault="00C1661D">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6A4791F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B732F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2B8BE4"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A2995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0C36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B5B789"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4EF0B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747BB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B9CA0E"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8960FC" w14:textId="77777777" w:rsidR="00000000" w:rsidRDefault="00C1661D">
            <w:pPr>
              <w:spacing w:after="100"/>
              <w:jc w:val="right"/>
              <w:rPr>
                <w:rFonts w:eastAsia="Times New Roman"/>
              </w:rPr>
            </w:pPr>
          </w:p>
        </w:tc>
      </w:tr>
      <w:tr w:rsidR="00000000" w14:paraId="541CD988" w14:textId="77777777">
        <w:trPr>
          <w:divId w:val="1273048552"/>
        </w:trPr>
        <w:tc>
          <w:tcPr>
            <w:tcW w:w="0" w:type="auto"/>
            <w:gridSpan w:val="3"/>
            <w:shd w:val="clear" w:color="auto" w:fill="FFFFFF"/>
            <w:tcMar>
              <w:top w:w="30" w:type="dxa"/>
              <w:left w:w="20" w:type="dxa"/>
              <w:bottom w:w="30" w:type="dxa"/>
              <w:right w:w="20" w:type="dxa"/>
            </w:tcMar>
            <w:vAlign w:val="bottom"/>
            <w:hideMark/>
          </w:tcPr>
          <w:p w14:paraId="5A76CC6D" w14:textId="77777777" w:rsidR="00000000" w:rsidRDefault="00C1661D">
            <w:pPr>
              <w:spacing w:after="100"/>
              <w:rPr>
                <w:rFonts w:eastAsia="Times New Roman"/>
              </w:rPr>
            </w:pPr>
            <w:r>
              <w:rPr>
                <w:rFonts w:eastAsia="Times New Roman"/>
                <w:color w:val="000000"/>
                <w:sz w:val="20"/>
                <w:szCs w:val="20"/>
              </w:rPr>
              <w:t>UGI International supply contracts</w:t>
            </w:r>
          </w:p>
        </w:tc>
        <w:tc>
          <w:tcPr>
            <w:tcW w:w="0" w:type="auto"/>
            <w:gridSpan w:val="3"/>
            <w:shd w:val="clear" w:color="auto" w:fill="FFFFFF"/>
            <w:tcMar>
              <w:top w:w="0" w:type="dxa"/>
              <w:left w:w="20" w:type="dxa"/>
              <w:bottom w:w="0" w:type="dxa"/>
              <w:right w:w="20" w:type="dxa"/>
            </w:tcMar>
            <w:vAlign w:val="center"/>
            <w:hideMark/>
          </w:tcPr>
          <w:p w14:paraId="1A8D5CBF"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2BDB7C" w14:textId="77777777" w:rsidR="00000000" w:rsidRDefault="00C1661D">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14:paraId="7990048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0B93A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2B4B73" w14:textId="77777777" w:rsidR="00000000" w:rsidRDefault="00C1661D">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14:paraId="3FFA4AF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1A33C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404709"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F1E88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727D7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44278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ADD18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4C975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57AAC5"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3F1532" w14:textId="77777777" w:rsidR="00000000" w:rsidRDefault="00C1661D">
            <w:pPr>
              <w:spacing w:after="100"/>
              <w:jc w:val="right"/>
              <w:rPr>
                <w:rFonts w:eastAsia="Times New Roman"/>
              </w:rPr>
            </w:pPr>
          </w:p>
        </w:tc>
      </w:tr>
      <w:tr w:rsidR="00000000" w14:paraId="422CA588" w14:textId="77777777">
        <w:trPr>
          <w:divId w:val="1273048552"/>
        </w:trPr>
        <w:tc>
          <w:tcPr>
            <w:tcW w:w="0" w:type="auto"/>
            <w:gridSpan w:val="3"/>
            <w:shd w:val="clear" w:color="auto" w:fill="CCEEFF"/>
            <w:tcMar>
              <w:top w:w="30" w:type="dxa"/>
              <w:left w:w="20" w:type="dxa"/>
              <w:bottom w:w="30" w:type="dxa"/>
              <w:right w:w="20" w:type="dxa"/>
            </w:tcMar>
            <w:vAlign w:val="bottom"/>
            <w:hideMark/>
          </w:tcPr>
          <w:p w14:paraId="71D22359" w14:textId="77777777" w:rsidR="00000000" w:rsidRDefault="00C1661D">
            <w:pPr>
              <w:spacing w:after="100"/>
              <w:rPr>
                <w:rFonts w:eastAsia="Times New Roman"/>
              </w:rPr>
            </w:pPr>
            <w:r>
              <w:rPr>
                <w:rFonts w:eastAsia="Times New Roman"/>
                <w:color w:val="000000"/>
                <w:sz w:val="20"/>
                <w:szCs w:val="20"/>
              </w:rPr>
              <w:t>Midstream &amp; Marketing supply contracts</w:t>
            </w:r>
          </w:p>
        </w:tc>
        <w:tc>
          <w:tcPr>
            <w:tcW w:w="0" w:type="auto"/>
            <w:gridSpan w:val="3"/>
            <w:shd w:val="clear" w:color="auto" w:fill="CCEEFF"/>
            <w:tcMar>
              <w:top w:w="0" w:type="dxa"/>
              <w:left w:w="20" w:type="dxa"/>
              <w:bottom w:w="0" w:type="dxa"/>
              <w:right w:w="20" w:type="dxa"/>
            </w:tcMar>
            <w:vAlign w:val="center"/>
            <w:hideMark/>
          </w:tcPr>
          <w:p w14:paraId="25A31195"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E64B88" w14:textId="77777777" w:rsidR="00000000" w:rsidRDefault="00C1661D">
            <w:pPr>
              <w:spacing w:after="100"/>
              <w:jc w:val="right"/>
              <w:rPr>
                <w:rFonts w:eastAsia="Times New Roman"/>
              </w:rPr>
            </w:pPr>
            <w:r>
              <w:rPr>
                <w:rFonts w:eastAsia="Times New Roman"/>
                <w:color w:val="000000"/>
                <w:sz w:val="20"/>
                <w:szCs w:val="20"/>
              </w:rPr>
              <w:t>1,670 </w:t>
            </w:r>
          </w:p>
        </w:tc>
        <w:tc>
          <w:tcPr>
            <w:tcW w:w="0" w:type="auto"/>
            <w:shd w:val="clear" w:color="auto" w:fill="CCEEFF"/>
            <w:tcMar>
              <w:top w:w="30" w:type="dxa"/>
              <w:left w:w="0" w:type="dxa"/>
              <w:bottom w:w="30" w:type="dxa"/>
              <w:right w:w="20" w:type="dxa"/>
            </w:tcMar>
            <w:vAlign w:val="bottom"/>
            <w:hideMark/>
          </w:tcPr>
          <w:p w14:paraId="4CEC886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39DC1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BE38AD" w14:textId="77777777" w:rsidR="00000000" w:rsidRDefault="00C1661D">
            <w:pPr>
              <w:spacing w:after="100"/>
              <w:jc w:val="right"/>
              <w:rPr>
                <w:rFonts w:eastAsia="Times New Roman"/>
              </w:rPr>
            </w:pPr>
            <w:r>
              <w:rPr>
                <w:rFonts w:eastAsia="Times New Roman"/>
                <w:color w:val="000000"/>
                <w:sz w:val="20"/>
                <w:szCs w:val="20"/>
              </w:rPr>
              <w:t>576 </w:t>
            </w:r>
          </w:p>
        </w:tc>
        <w:tc>
          <w:tcPr>
            <w:tcW w:w="0" w:type="auto"/>
            <w:shd w:val="clear" w:color="auto" w:fill="CCEEFF"/>
            <w:tcMar>
              <w:top w:w="30" w:type="dxa"/>
              <w:left w:w="0" w:type="dxa"/>
              <w:bottom w:w="30" w:type="dxa"/>
              <w:right w:w="20" w:type="dxa"/>
            </w:tcMar>
            <w:vAlign w:val="bottom"/>
            <w:hideMark/>
          </w:tcPr>
          <w:p w14:paraId="3B910D2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275D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60CAA5" w14:textId="77777777" w:rsidR="00000000" w:rsidRDefault="00C1661D">
            <w:pPr>
              <w:spacing w:after="100"/>
              <w:jc w:val="right"/>
              <w:rPr>
                <w:rFonts w:eastAsia="Times New Roman"/>
              </w:rPr>
            </w:pPr>
            <w:r>
              <w:rPr>
                <w:rFonts w:eastAsia="Times New Roman"/>
                <w:color w:val="000000"/>
                <w:sz w:val="20"/>
                <w:szCs w:val="20"/>
              </w:rPr>
              <w:t>391 </w:t>
            </w:r>
          </w:p>
        </w:tc>
        <w:tc>
          <w:tcPr>
            <w:tcW w:w="0" w:type="auto"/>
            <w:shd w:val="clear" w:color="auto" w:fill="CCEEFF"/>
            <w:tcMar>
              <w:top w:w="30" w:type="dxa"/>
              <w:left w:w="0" w:type="dxa"/>
              <w:bottom w:w="30" w:type="dxa"/>
              <w:right w:w="20" w:type="dxa"/>
            </w:tcMar>
            <w:vAlign w:val="bottom"/>
            <w:hideMark/>
          </w:tcPr>
          <w:p w14:paraId="674B059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22500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6575D5" w14:textId="77777777" w:rsidR="00000000" w:rsidRDefault="00C1661D">
            <w:pPr>
              <w:spacing w:after="100"/>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14:paraId="1666634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FBF1E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7C644B" w14:textId="77777777" w:rsidR="00000000" w:rsidRDefault="00C1661D">
            <w:pPr>
              <w:spacing w:after="100"/>
              <w:jc w:val="right"/>
              <w:rPr>
                <w:rFonts w:eastAsia="Times New Roman"/>
              </w:rPr>
            </w:pPr>
            <w:r>
              <w:rPr>
                <w:rFonts w:eastAsia="Times New Roman"/>
                <w:color w:val="000000"/>
                <w:sz w:val="20"/>
                <w:szCs w:val="20"/>
              </w:rPr>
              <w:t>548 </w:t>
            </w:r>
          </w:p>
        </w:tc>
        <w:tc>
          <w:tcPr>
            <w:tcW w:w="0" w:type="auto"/>
            <w:shd w:val="clear" w:color="auto" w:fill="CCEEFF"/>
            <w:tcMar>
              <w:top w:w="30" w:type="dxa"/>
              <w:left w:w="0" w:type="dxa"/>
              <w:bottom w:w="30" w:type="dxa"/>
              <w:right w:w="20" w:type="dxa"/>
            </w:tcMar>
            <w:vAlign w:val="bottom"/>
            <w:hideMark/>
          </w:tcPr>
          <w:p w14:paraId="1B205369" w14:textId="77777777" w:rsidR="00000000" w:rsidRDefault="00C1661D">
            <w:pPr>
              <w:spacing w:after="100"/>
              <w:jc w:val="right"/>
              <w:rPr>
                <w:rFonts w:eastAsia="Times New Roman"/>
              </w:rPr>
            </w:pPr>
          </w:p>
        </w:tc>
      </w:tr>
      <w:tr w:rsidR="00000000" w14:paraId="7F2047ED" w14:textId="77777777">
        <w:trPr>
          <w:divId w:val="1273048552"/>
        </w:trPr>
        <w:tc>
          <w:tcPr>
            <w:tcW w:w="0" w:type="auto"/>
            <w:gridSpan w:val="3"/>
            <w:shd w:val="clear" w:color="auto" w:fill="FFFFFF"/>
            <w:tcMar>
              <w:top w:w="30" w:type="dxa"/>
              <w:left w:w="20" w:type="dxa"/>
              <w:bottom w:w="30" w:type="dxa"/>
              <w:right w:w="20" w:type="dxa"/>
            </w:tcMar>
            <w:vAlign w:val="bottom"/>
            <w:hideMark/>
          </w:tcPr>
          <w:p w14:paraId="45D729B3" w14:textId="77777777" w:rsidR="00000000" w:rsidRDefault="00C1661D">
            <w:pPr>
              <w:spacing w:after="100"/>
              <w:rPr>
                <w:rFonts w:eastAsia="Times New Roman"/>
              </w:rPr>
            </w:pPr>
            <w:r>
              <w:rPr>
                <w:rFonts w:eastAsia="Times New Roman"/>
                <w:color w:val="000000"/>
                <w:sz w:val="20"/>
                <w:szCs w:val="20"/>
              </w:rPr>
              <w:t>Utilities construction, supply, storage and transportation contracts</w:t>
            </w:r>
          </w:p>
        </w:tc>
        <w:tc>
          <w:tcPr>
            <w:tcW w:w="0" w:type="auto"/>
            <w:gridSpan w:val="3"/>
            <w:shd w:val="clear" w:color="auto" w:fill="FFFFFF"/>
            <w:tcMar>
              <w:top w:w="0" w:type="dxa"/>
              <w:left w:w="20" w:type="dxa"/>
              <w:bottom w:w="0" w:type="dxa"/>
              <w:right w:w="20" w:type="dxa"/>
            </w:tcMar>
            <w:vAlign w:val="center"/>
            <w:hideMark/>
          </w:tcPr>
          <w:p w14:paraId="6A6782F4"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17BD0F" w14:textId="77777777" w:rsidR="00000000" w:rsidRDefault="00C1661D">
            <w:pPr>
              <w:spacing w:after="100"/>
              <w:jc w:val="right"/>
              <w:rPr>
                <w:rFonts w:eastAsia="Times New Roman"/>
              </w:rPr>
            </w:pPr>
            <w:r>
              <w:rPr>
                <w:rFonts w:eastAsia="Times New Roman"/>
                <w:color w:val="000000"/>
                <w:sz w:val="20"/>
                <w:szCs w:val="20"/>
              </w:rPr>
              <w:t>683 </w:t>
            </w:r>
          </w:p>
        </w:tc>
        <w:tc>
          <w:tcPr>
            <w:tcW w:w="0" w:type="auto"/>
            <w:shd w:val="clear" w:color="auto" w:fill="FFFFFF"/>
            <w:tcMar>
              <w:top w:w="30" w:type="dxa"/>
              <w:left w:w="0" w:type="dxa"/>
              <w:bottom w:w="30" w:type="dxa"/>
              <w:right w:w="20" w:type="dxa"/>
            </w:tcMar>
            <w:vAlign w:val="bottom"/>
            <w:hideMark/>
          </w:tcPr>
          <w:p w14:paraId="49BCA9F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D02C9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4B4C82" w14:textId="77777777" w:rsidR="00000000" w:rsidRDefault="00C1661D">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14:paraId="29C3052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A9484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461ACB" w14:textId="77777777" w:rsidR="00000000" w:rsidRDefault="00C1661D">
            <w:pPr>
              <w:spacing w:after="100"/>
              <w:jc w:val="right"/>
              <w:rPr>
                <w:rFonts w:eastAsia="Times New Roman"/>
              </w:rPr>
            </w:pPr>
            <w:r>
              <w:rPr>
                <w:rFonts w:eastAsia="Times New Roman"/>
                <w:color w:val="000000"/>
                <w:sz w:val="20"/>
                <w:szCs w:val="20"/>
              </w:rPr>
              <w:t>231 </w:t>
            </w:r>
          </w:p>
        </w:tc>
        <w:tc>
          <w:tcPr>
            <w:tcW w:w="0" w:type="auto"/>
            <w:shd w:val="clear" w:color="auto" w:fill="FFFFFF"/>
            <w:tcMar>
              <w:top w:w="30" w:type="dxa"/>
              <w:left w:w="0" w:type="dxa"/>
              <w:bottom w:w="30" w:type="dxa"/>
              <w:right w:w="20" w:type="dxa"/>
            </w:tcMar>
            <w:vAlign w:val="bottom"/>
            <w:hideMark/>
          </w:tcPr>
          <w:p w14:paraId="527E992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C6BBA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1A800A" w14:textId="77777777" w:rsidR="00000000" w:rsidRDefault="00C1661D">
            <w:pPr>
              <w:spacing w:after="100"/>
              <w:jc w:val="right"/>
              <w:rPr>
                <w:rFonts w:eastAsia="Times New Roman"/>
              </w:rPr>
            </w:pPr>
            <w:r>
              <w:rPr>
                <w:rFonts w:eastAsia="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14:paraId="0FAECF3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4FFA5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43F6DB" w14:textId="77777777" w:rsidR="00000000" w:rsidRDefault="00C1661D">
            <w:pPr>
              <w:spacing w:after="100"/>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14:paraId="6562172F" w14:textId="77777777" w:rsidR="00000000" w:rsidRDefault="00C1661D">
            <w:pPr>
              <w:spacing w:after="100"/>
              <w:jc w:val="right"/>
              <w:rPr>
                <w:rFonts w:eastAsia="Times New Roman"/>
              </w:rPr>
            </w:pPr>
          </w:p>
        </w:tc>
      </w:tr>
      <w:tr w:rsidR="00000000" w14:paraId="058A2DED" w14:textId="77777777">
        <w:trPr>
          <w:divId w:val="1273048552"/>
        </w:trPr>
        <w:tc>
          <w:tcPr>
            <w:tcW w:w="0" w:type="auto"/>
            <w:gridSpan w:val="3"/>
            <w:shd w:val="clear" w:color="auto" w:fill="CCEEFF"/>
            <w:tcMar>
              <w:top w:w="30" w:type="dxa"/>
              <w:left w:w="20" w:type="dxa"/>
              <w:bottom w:w="30" w:type="dxa"/>
              <w:right w:w="20" w:type="dxa"/>
            </w:tcMar>
            <w:vAlign w:val="bottom"/>
            <w:hideMark/>
          </w:tcPr>
          <w:p w14:paraId="147457D8" w14:textId="77777777" w:rsidR="00000000" w:rsidRDefault="00C1661D">
            <w:pPr>
              <w:spacing w:after="100"/>
              <w:rPr>
                <w:rFonts w:eastAsia="Times New Roman"/>
              </w:rPr>
            </w:pPr>
            <w:r>
              <w:rPr>
                <w:rFonts w:eastAsia="Times New Roman"/>
                <w:color w:val="000000"/>
                <w:sz w:val="20"/>
                <w:szCs w:val="20"/>
              </w:rPr>
              <w:t>Derivative instruments (d)</w:t>
            </w:r>
          </w:p>
        </w:tc>
        <w:tc>
          <w:tcPr>
            <w:tcW w:w="0" w:type="auto"/>
            <w:gridSpan w:val="3"/>
            <w:shd w:val="clear" w:color="auto" w:fill="CCEEFF"/>
            <w:tcMar>
              <w:top w:w="0" w:type="dxa"/>
              <w:left w:w="20" w:type="dxa"/>
              <w:bottom w:w="0" w:type="dxa"/>
              <w:right w:w="20" w:type="dxa"/>
            </w:tcMar>
            <w:vAlign w:val="center"/>
            <w:hideMark/>
          </w:tcPr>
          <w:p w14:paraId="4E5ABFFA"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83B0BE" w14:textId="77777777" w:rsidR="00000000" w:rsidRDefault="00C1661D">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14:paraId="7920111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3D3FD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C68E24" w14:textId="77777777" w:rsidR="00000000" w:rsidRDefault="00C1661D">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14:paraId="5247EB05" w14:textId="77777777" w:rsidR="00000000" w:rsidRDefault="00C166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10070B" w14:textId="77777777" w:rsidR="00000000" w:rsidRDefault="00C1661D">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14:paraId="7DEAFDDE" w14:textId="77777777" w:rsidR="00000000" w:rsidRDefault="00C166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1A3BCA" w14:textId="77777777" w:rsidR="00000000" w:rsidRDefault="00C1661D">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14:paraId="78747DE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0E4E9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E92077" w14:textId="77777777" w:rsidR="00000000" w:rsidRDefault="00C1661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558F3E8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5DF3C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5E822B"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B49A24" w14:textId="77777777" w:rsidR="00000000" w:rsidRDefault="00C1661D">
            <w:pPr>
              <w:spacing w:after="100"/>
              <w:jc w:val="right"/>
              <w:rPr>
                <w:rFonts w:eastAsia="Times New Roman"/>
              </w:rPr>
            </w:pPr>
          </w:p>
        </w:tc>
      </w:tr>
      <w:tr w:rsidR="00000000" w14:paraId="6D705A4A" w14:textId="77777777">
        <w:trPr>
          <w:divId w:val="1273048552"/>
        </w:trPr>
        <w:tc>
          <w:tcPr>
            <w:tcW w:w="0" w:type="auto"/>
            <w:gridSpan w:val="3"/>
            <w:shd w:val="clear" w:color="auto" w:fill="FFFFFF"/>
            <w:tcMar>
              <w:top w:w="30" w:type="dxa"/>
              <w:left w:w="20" w:type="dxa"/>
              <w:bottom w:w="30" w:type="dxa"/>
              <w:right w:w="20" w:type="dxa"/>
            </w:tcMar>
            <w:vAlign w:val="bottom"/>
            <w:hideMark/>
          </w:tcPr>
          <w:p w14:paraId="21107E38" w14:textId="77777777" w:rsidR="00000000" w:rsidRDefault="00C1661D">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10C6E8C3" w14:textId="77777777" w:rsidR="00000000" w:rsidRDefault="00C1661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DC401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9324CB" w14:textId="77777777" w:rsidR="00000000" w:rsidRDefault="00C1661D">
            <w:pPr>
              <w:spacing w:after="100"/>
              <w:jc w:val="right"/>
              <w:rPr>
                <w:rFonts w:eastAsia="Times New Roman"/>
              </w:rPr>
            </w:pPr>
            <w:r>
              <w:rPr>
                <w:rFonts w:eastAsia="Times New Roman"/>
                <w:color w:val="000000"/>
                <w:sz w:val="20"/>
                <w:szCs w:val="20"/>
              </w:rPr>
              <w:t>12,238 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F75E4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E9B904"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6BB0C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B68E84E" w14:textId="77777777" w:rsidR="00000000" w:rsidRDefault="00C1661D">
            <w:pPr>
              <w:spacing w:after="100"/>
              <w:jc w:val="right"/>
              <w:rPr>
                <w:rFonts w:eastAsia="Times New Roman"/>
              </w:rPr>
            </w:pPr>
            <w:r>
              <w:rPr>
                <w:rFonts w:eastAsia="Times New Roman"/>
                <w:color w:val="000000"/>
                <w:sz w:val="20"/>
                <w:szCs w:val="20"/>
              </w:rPr>
              <w:t>2,086 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A4CC6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4283FA"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CDF1B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BE3EBD" w14:textId="77777777" w:rsidR="00000000" w:rsidRDefault="00C1661D">
            <w:pPr>
              <w:spacing w:after="100"/>
              <w:jc w:val="right"/>
              <w:rPr>
                <w:rFonts w:eastAsia="Times New Roman"/>
              </w:rPr>
            </w:pPr>
            <w:r>
              <w:rPr>
                <w:rFonts w:eastAsia="Times New Roman"/>
                <w:color w:val="000000"/>
                <w:sz w:val="20"/>
                <w:szCs w:val="20"/>
              </w:rPr>
              <w:t>3,905 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79A2E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BC513"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742A1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E808DED" w14:textId="77777777" w:rsidR="00000000" w:rsidRDefault="00C1661D">
            <w:pPr>
              <w:spacing w:after="100"/>
              <w:jc w:val="right"/>
              <w:rPr>
                <w:rFonts w:eastAsia="Times New Roman"/>
              </w:rPr>
            </w:pPr>
            <w:r>
              <w:rPr>
                <w:rFonts w:eastAsia="Times New Roman"/>
                <w:color w:val="000000"/>
                <w:sz w:val="20"/>
                <w:szCs w:val="20"/>
              </w:rPr>
              <w:t>2,866 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D18C7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5D8F7"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961569F"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44D1E6" w14:textId="77777777" w:rsidR="00000000" w:rsidRDefault="00C1661D">
            <w:pPr>
              <w:spacing w:after="100"/>
              <w:jc w:val="right"/>
              <w:rPr>
                <w:rFonts w:eastAsia="Times New Roman"/>
              </w:rPr>
            </w:pPr>
            <w:r>
              <w:rPr>
                <w:rFonts w:eastAsia="Times New Roman"/>
                <w:color w:val="000000"/>
                <w:sz w:val="20"/>
                <w:szCs w:val="20"/>
              </w:rPr>
              <w:t>3,381 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93550FA" w14:textId="77777777" w:rsidR="00000000" w:rsidRDefault="00C1661D">
            <w:pPr>
              <w:spacing w:after="100"/>
              <w:jc w:val="right"/>
              <w:rPr>
                <w:rFonts w:eastAsia="Times New Roman"/>
              </w:rPr>
            </w:pPr>
          </w:p>
        </w:tc>
      </w:tr>
    </w:tbl>
    <w:p w14:paraId="0A44B010" w14:textId="77777777" w:rsidR="00000000" w:rsidRDefault="00C1661D">
      <w:pPr>
        <w:ind w:hanging="360"/>
        <w:jc w:val="both"/>
        <w:rPr>
          <w:rFonts w:eastAsia="Times New Roman"/>
        </w:rPr>
      </w:pPr>
      <w:r>
        <w:rPr>
          <w:rFonts w:eastAsia="Times New Roman"/>
          <w:color w:val="000000"/>
          <w:sz w:val="20"/>
          <w:szCs w:val="20"/>
        </w:rPr>
        <w:t>(a)Based upon stated maturity dates for debt outstanding at September 30, 2022.</w:t>
      </w:r>
    </w:p>
    <w:p w14:paraId="08230DF0" w14:textId="77777777" w:rsidR="00000000" w:rsidRDefault="00C1661D">
      <w:pPr>
        <w:ind w:hanging="360"/>
        <w:jc w:val="both"/>
        <w:divId w:val="830950530"/>
        <w:rPr>
          <w:rFonts w:eastAsia="Times New Roman"/>
        </w:rPr>
      </w:pPr>
      <w:r>
        <w:rPr>
          <w:rFonts w:eastAsia="Times New Roman"/>
          <w:color w:val="000000"/>
          <w:sz w:val="20"/>
          <w:szCs w:val="20"/>
        </w:rPr>
        <w:t>(b)Based upon stated interest rates adjusted for the effects of interest rate swaps.</w:t>
      </w:r>
    </w:p>
    <w:p w14:paraId="43DA6589" w14:textId="77777777" w:rsidR="00000000" w:rsidRDefault="00C1661D">
      <w:pPr>
        <w:ind w:hanging="360"/>
        <w:jc w:val="both"/>
        <w:divId w:val="1122387372"/>
        <w:rPr>
          <w:rFonts w:eastAsia="Times New Roman"/>
        </w:rPr>
      </w:pPr>
      <w:r>
        <w:rPr>
          <w:rFonts w:eastAsia="Times New Roman"/>
          <w:color w:val="000000"/>
          <w:sz w:val="20"/>
          <w:szCs w:val="20"/>
        </w:rPr>
        <w:t>(c)</w:t>
      </w:r>
      <w:r>
        <w:rPr>
          <w:rFonts w:eastAsia="Times New Roman"/>
          <w:color w:val="000000"/>
          <w:sz w:val="20"/>
          <w:szCs w:val="20"/>
        </w:rPr>
        <w:t>Calculated using applicable interest rates or forward interest rate curves, and UGI’s and its subsidiaries’ leverage ratios, as of September 30, 2022.</w:t>
      </w:r>
    </w:p>
    <w:p w14:paraId="2C761F33" w14:textId="77777777" w:rsidR="00000000" w:rsidRDefault="00C1661D">
      <w:pPr>
        <w:ind w:hanging="360"/>
        <w:jc w:val="both"/>
        <w:divId w:val="1719013410"/>
        <w:rPr>
          <w:rFonts w:eastAsia="Times New Roman"/>
        </w:rPr>
      </w:pPr>
      <w:r>
        <w:rPr>
          <w:rFonts w:eastAsia="Times New Roman"/>
          <w:color w:val="000000"/>
          <w:sz w:val="20"/>
          <w:szCs w:val="20"/>
        </w:rPr>
        <w:t>(d)Represents the sum of amounts due if derivative instrument liabilities were settled at the September 3</w:t>
      </w:r>
      <w:r>
        <w:rPr>
          <w:rFonts w:eastAsia="Times New Roman"/>
          <w:color w:val="000000"/>
          <w:sz w:val="20"/>
          <w:szCs w:val="20"/>
        </w:rPr>
        <w:t>0, 2022 amounts reflected in the Consolidated Balance Sheet (but excluding amounts associated with interest rate contracts).</w:t>
      </w:r>
    </w:p>
    <w:p w14:paraId="4A97A69E" w14:textId="77777777" w:rsidR="00000000" w:rsidRDefault="00C1661D">
      <w:pPr>
        <w:jc w:val="both"/>
        <w:divId w:val="1969778179"/>
        <w:rPr>
          <w:rFonts w:eastAsia="Times New Roman"/>
        </w:rPr>
      </w:pPr>
      <w:r>
        <w:rPr>
          <w:rFonts w:eastAsia="Times New Roman"/>
          <w:color w:val="000000"/>
          <w:sz w:val="20"/>
          <w:szCs w:val="20"/>
        </w:rPr>
        <w:t>“Other noncurrent liabilities” included in our Consolidated Balance Sheet at September 30, 2022, principally comprise operating lea</w:t>
      </w:r>
      <w:r>
        <w:rPr>
          <w:rFonts w:eastAsia="Times New Roman"/>
          <w:color w:val="000000"/>
          <w:sz w:val="20"/>
          <w:szCs w:val="20"/>
        </w:rPr>
        <w:t>se liabilities (see Note 16 to Consolidated Financial Statements); regulatory liabilities (see Note 9 to Consolidated Financial Statements); refundable tank and cylinder deposits (as further described in Note 2 to Consolidated Financial Statements under th</w:t>
      </w:r>
      <w:r>
        <w:rPr>
          <w:rFonts w:eastAsia="Times New Roman"/>
          <w:color w:val="000000"/>
          <w:sz w:val="20"/>
          <w:szCs w:val="20"/>
        </w:rPr>
        <w:t>e caption “Refundable Tank and Cylinder Deposits”); litigation, property and casualty liabilities and obligations under environmental remediation agreements (see Note 17 to Consolidated Financial Statements); pension and other postretirement benefit liabil</w:t>
      </w:r>
      <w:r>
        <w:rPr>
          <w:rFonts w:eastAsia="Times New Roman"/>
          <w:color w:val="000000"/>
          <w:sz w:val="20"/>
          <w:szCs w:val="20"/>
        </w:rPr>
        <w:t xml:space="preserve">ities recorded in accordance with accounting guidance relating to employee retirement plans (see Note 8 to Consolidated Financial Statements); and liabilities associated with executive compensation plans (see Note 14 to Consolidated Financial Statements). </w:t>
      </w:r>
      <w:r>
        <w:rPr>
          <w:rFonts w:eastAsia="Times New Roman"/>
          <w:color w:val="000000"/>
          <w:sz w:val="20"/>
          <w:szCs w:val="20"/>
        </w:rPr>
        <w:t xml:space="preserve">These liabilities, with the exception of operating lease liabilities, are not included in the </w:t>
      </w:r>
    </w:p>
    <w:p w14:paraId="36DFD2FE" w14:textId="77777777" w:rsidR="00000000" w:rsidRDefault="00C1661D">
      <w:pPr>
        <w:jc w:val="center"/>
        <w:divId w:val="324600663"/>
        <w:rPr>
          <w:rFonts w:eastAsia="Times New Roman"/>
        </w:rPr>
      </w:pPr>
      <w:r>
        <w:rPr>
          <w:rFonts w:eastAsia="Times New Roman"/>
          <w:color w:val="000000"/>
          <w:sz w:val="20"/>
          <w:szCs w:val="20"/>
        </w:rPr>
        <w:t>61</w:t>
      </w:r>
    </w:p>
    <w:p w14:paraId="43AE1AB6" w14:textId="77777777" w:rsidR="00000000" w:rsidRDefault="00C1661D">
      <w:pPr>
        <w:rPr>
          <w:rFonts w:eastAsia="Times New Roman"/>
        </w:rPr>
      </w:pPr>
      <w:r>
        <w:rPr>
          <w:rFonts w:eastAsia="Times New Roman"/>
        </w:rPr>
        <w:pict w14:anchorId="2A33A22F">
          <v:rect id="_x0000_i1088" style="width:0;height:1.5pt" o:hralign="center" o:hrstd="t" o:hr="t" fillcolor="#a0a0a0" stroked="f"/>
        </w:pict>
      </w:r>
    </w:p>
    <w:p w14:paraId="09439A0D" w14:textId="77777777" w:rsidR="00000000" w:rsidRDefault="00C1661D">
      <w:pPr>
        <w:divId w:val="155459165"/>
        <w:rPr>
          <w:rFonts w:eastAsia="Times New Roman"/>
        </w:rPr>
      </w:pPr>
      <w:hyperlink w:anchor="i3850c3c6c0104e42b9951aac2f16098a_7" w:history="1">
        <w:r>
          <w:rPr>
            <w:rStyle w:val="a3"/>
            <w:rFonts w:eastAsia="Times New Roman"/>
            <w:b/>
            <w:bCs/>
            <w:sz w:val="20"/>
            <w:szCs w:val="20"/>
          </w:rPr>
          <w:t>Table of Contents</w:t>
        </w:r>
      </w:hyperlink>
    </w:p>
    <w:p w14:paraId="0179A7B6" w14:textId="77777777" w:rsidR="00000000" w:rsidRDefault="00C1661D">
      <w:pPr>
        <w:jc w:val="both"/>
        <w:divId w:val="1002780451"/>
        <w:rPr>
          <w:rFonts w:eastAsia="Times New Roman"/>
        </w:rPr>
      </w:pPr>
      <w:r>
        <w:rPr>
          <w:rFonts w:eastAsia="Times New Roman"/>
          <w:color w:val="000000"/>
          <w:sz w:val="20"/>
          <w:szCs w:val="20"/>
        </w:rPr>
        <w:t>table of Contractual Cash Obligations and Commitments because they are estimates of future payments and not contractually fixed as to timing or amount. Required minimum contributions to the U.S. Pension Plans (as further described below under “U.S. Pension</w:t>
      </w:r>
      <w:r>
        <w:rPr>
          <w:rFonts w:eastAsia="Times New Roman"/>
          <w:color w:val="000000"/>
          <w:sz w:val="20"/>
          <w:szCs w:val="20"/>
        </w:rPr>
        <w:t xml:space="preserve"> Plans”) in Fiscal 2023 are not expected to be material. Required minimum contributions to the U.S. Pension Plans in years beyond Fiscal 2023 will depend, in large part, on the impacts of future returns on pension plan assets and interest rates on pension </w:t>
      </w:r>
      <w:r>
        <w:rPr>
          <w:rFonts w:eastAsia="Times New Roman"/>
          <w:color w:val="000000"/>
          <w:sz w:val="20"/>
          <w:szCs w:val="20"/>
        </w:rPr>
        <w:t xml:space="preserve">plan liabilities. </w:t>
      </w:r>
    </w:p>
    <w:p w14:paraId="3323B36E" w14:textId="77777777" w:rsidR="00000000" w:rsidRDefault="00C1661D">
      <w:pPr>
        <w:jc w:val="both"/>
        <w:divId w:val="1594849911"/>
        <w:rPr>
          <w:rFonts w:eastAsia="Times New Roman"/>
        </w:rPr>
      </w:pPr>
      <w:r>
        <w:rPr>
          <w:rFonts w:eastAsia="Times New Roman"/>
          <w:b/>
          <w:bCs/>
          <w:color w:val="000000"/>
          <w:sz w:val="20"/>
          <w:szCs w:val="20"/>
        </w:rPr>
        <w:t>U.S. Pension Plans</w:t>
      </w:r>
    </w:p>
    <w:p w14:paraId="7BA75348" w14:textId="77777777" w:rsidR="00000000" w:rsidRDefault="00C1661D">
      <w:pPr>
        <w:jc w:val="both"/>
        <w:divId w:val="1393232073"/>
        <w:rPr>
          <w:rFonts w:eastAsia="Times New Roman"/>
        </w:rPr>
      </w:pPr>
      <w:r>
        <w:rPr>
          <w:rFonts w:eastAsia="Times New Roman"/>
          <w:color w:val="000000"/>
          <w:sz w:val="20"/>
          <w:szCs w:val="20"/>
        </w:rPr>
        <w:t>The U.S. Pension Plans consist of (1) a defined benefit pension plan for employees hired prior to January 1, 2009, of UGI, UGI Utilities, and certain of UGI’s other domestic wholly owned subsidiaries, and (2) a defined</w:t>
      </w:r>
      <w:r>
        <w:rPr>
          <w:rFonts w:eastAsia="Times New Roman"/>
          <w:color w:val="000000"/>
          <w:sz w:val="20"/>
          <w:szCs w:val="20"/>
        </w:rPr>
        <w:t xml:space="preserve"> benefit pension plan for substantially all Mountaineer employees. The fair values of the U.S. Pension Plans’ assets totaled $525 million and $717 million at September 30, 2022 and 2021, respectively. At September 30, 2022 and 2021, the underfunded positio</w:t>
      </w:r>
      <w:r>
        <w:rPr>
          <w:rFonts w:eastAsia="Times New Roman"/>
          <w:color w:val="000000"/>
          <w:sz w:val="20"/>
          <w:szCs w:val="20"/>
        </w:rPr>
        <w:t>ns of the U.S. Pension Plans, defined as the excess of the PBO over the U.S. Pension Plans’ assets, were $82 million and $109 million, respectively.</w:t>
      </w:r>
    </w:p>
    <w:p w14:paraId="5D32F212" w14:textId="77777777" w:rsidR="00000000" w:rsidRDefault="00C1661D">
      <w:pPr>
        <w:jc w:val="both"/>
        <w:divId w:val="422992058"/>
        <w:rPr>
          <w:rFonts w:eastAsia="Times New Roman"/>
        </w:rPr>
      </w:pPr>
      <w:r>
        <w:rPr>
          <w:rFonts w:eastAsia="Times New Roman"/>
          <w:color w:val="000000"/>
          <w:sz w:val="20"/>
          <w:szCs w:val="20"/>
        </w:rPr>
        <w:t>We believe we are in compliance with regulations governing defined benefit pension plans, including the ERI</w:t>
      </w:r>
      <w:r>
        <w:rPr>
          <w:rFonts w:eastAsia="Times New Roman"/>
          <w:color w:val="000000"/>
          <w:sz w:val="20"/>
          <w:szCs w:val="20"/>
        </w:rPr>
        <w:t xml:space="preserve">SA rules and regulations. Required minimum contributions to the U.S. Pension Plans in Fiscal 2023 are not expected to be material. Pre-tax pension cost associated with the U.S. Pension Plans in Fiscal 2022 was not material. Pre-tax pension cost associated </w:t>
      </w:r>
      <w:r>
        <w:rPr>
          <w:rFonts w:eastAsia="Times New Roman"/>
          <w:color w:val="000000"/>
          <w:sz w:val="20"/>
          <w:szCs w:val="20"/>
        </w:rPr>
        <w:t>with the U.S. Pension Plans in Fiscal 2023 is not expected to be material.</w:t>
      </w:r>
    </w:p>
    <w:p w14:paraId="067D76FB" w14:textId="77777777" w:rsidR="00000000" w:rsidRDefault="00C1661D">
      <w:pPr>
        <w:jc w:val="both"/>
        <w:divId w:val="1940798950"/>
        <w:rPr>
          <w:rFonts w:eastAsia="Times New Roman"/>
        </w:rPr>
      </w:pPr>
      <w:r>
        <w:rPr>
          <w:rFonts w:eastAsia="Times New Roman"/>
          <w:color w:val="000000"/>
          <w:sz w:val="20"/>
          <w:szCs w:val="20"/>
        </w:rPr>
        <w:t>GAAP guidance associated with pension and other postretirement plans generally requires recognition of an asset or liability in the statement of financial position reflecting the fu</w:t>
      </w:r>
      <w:r>
        <w:rPr>
          <w:rFonts w:eastAsia="Times New Roman"/>
          <w:color w:val="000000"/>
          <w:sz w:val="20"/>
          <w:szCs w:val="20"/>
        </w:rPr>
        <w:t>nded status of pension and other postretirement benefit plans with current year changes recognized in shareholders’ equity unless such amounts are subject to regulatory recovery. At September 30, 2022, we have recorded after-tax charges to UGI Corporation’</w:t>
      </w:r>
      <w:r>
        <w:rPr>
          <w:rFonts w:eastAsia="Times New Roman"/>
          <w:color w:val="000000"/>
          <w:sz w:val="20"/>
          <w:szCs w:val="20"/>
        </w:rPr>
        <w:t>s stockholders’ equity of $14 million and recorded regulatory assets totaling $114 million in order to reflect the funded status of the U.S. Pension Plans. For a more detailed discussion of the U.S. Pension Plans and our other postretirement benefit plans,</w:t>
      </w:r>
      <w:r>
        <w:rPr>
          <w:rFonts w:eastAsia="Times New Roman"/>
          <w:color w:val="000000"/>
          <w:sz w:val="20"/>
          <w:szCs w:val="20"/>
        </w:rPr>
        <w:t xml:space="preserve"> see Note 8 to Consolidated Financial Statements.</w:t>
      </w:r>
    </w:p>
    <w:p w14:paraId="164A37E1" w14:textId="77777777" w:rsidR="00000000" w:rsidRDefault="00C1661D">
      <w:pPr>
        <w:jc w:val="both"/>
        <w:rPr>
          <w:rFonts w:eastAsia="Times New Roman"/>
        </w:rPr>
      </w:pPr>
    </w:p>
    <w:p w14:paraId="384E6B29" w14:textId="77777777" w:rsidR="00000000" w:rsidRDefault="00C1661D">
      <w:pPr>
        <w:jc w:val="both"/>
        <w:rPr>
          <w:rFonts w:eastAsia="Times New Roman"/>
        </w:rPr>
      </w:pPr>
      <w:r>
        <w:rPr>
          <w:rFonts w:eastAsia="Times New Roman"/>
          <w:b/>
          <w:bCs/>
          <w:color w:val="000000"/>
          <w:sz w:val="20"/>
          <w:szCs w:val="20"/>
          <w:u w:val="single"/>
        </w:rPr>
        <w:t>Related Party Transactions</w:t>
      </w:r>
    </w:p>
    <w:p w14:paraId="3371D51E" w14:textId="77777777" w:rsidR="00000000" w:rsidRDefault="00C1661D">
      <w:pPr>
        <w:jc w:val="both"/>
        <w:divId w:val="983973426"/>
        <w:rPr>
          <w:rFonts w:eastAsia="Times New Roman"/>
        </w:rPr>
      </w:pPr>
      <w:r>
        <w:rPr>
          <w:rFonts w:eastAsia="Times New Roman"/>
          <w:color w:val="000000"/>
          <w:sz w:val="20"/>
          <w:szCs w:val="20"/>
        </w:rPr>
        <w:t>During Fiscal 2022 and Fiscal 2021, we did not enter into any related-party transactions that had a material effect on our financial condition, results of operations or cash flows.</w:t>
      </w:r>
    </w:p>
    <w:p w14:paraId="3109B5D8" w14:textId="77777777" w:rsidR="00000000" w:rsidRDefault="00C1661D">
      <w:pPr>
        <w:divId w:val="706681445"/>
        <w:rPr>
          <w:rFonts w:eastAsia="Times New Roman"/>
        </w:rPr>
      </w:pPr>
    </w:p>
    <w:p w14:paraId="5C91E00E" w14:textId="77777777" w:rsidR="00000000" w:rsidRDefault="00C1661D">
      <w:pPr>
        <w:jc w:val="both"/>
        <w:rPr>
          <w:rFonts w:eastAsia="Times New Roman"/>
        </w:rPr>
      </w:pPr>
      <w:r>
        <w:rPr>
          <w:rFonts w:eastAsia="Times New Roman"/>
          <w:b/>
          <w:bCs/>
          <w:color w:val="000000"/>
          <w:sz w:val="20"/>
          <w:szCs w:val="20"/>
          <w:u w:val="single"/>
        </w:rPr>
        <w:t>Off-Balance-Sheet Arrangements</w:t>
      </w:r>
    </w:p>
    <w:p w14:paraId="634D68F4" w14:textId="77777777" w:rsidR="00000000" w:rsidRDefault="00C1661D">
      <w:pPr>
        <w:jc w:val="both"/>
        <w:divId w:val="350837335"/>
        <w:rPr>
          <w:rFonts w:eastAsia="Times New Roman"/>
        </w:rPr>
      </w:pPr>
      <w:r>
        <w:rPr>
          <w:rFonts w:eastAsia="Times New Roman"/>
          <w:color w:val="000000"/>
          <w:sz w:val="20"/>
          <w:szCs w:val="20"/>
        </w:rPr>
        <w:t>UGI primarily enters into guarantee arrang</w:t>
      </w:r>
      <w:r>
        <w:rPr>
          <w:rFonts w:eastAsia="Times New Roman"/>
          <w:color w:val="000000"/>
          <w:sz w:val="20"/>
          <w:szCs w:val="20"/>
        </w:rPr>
        <w:t>ements on behalf of its consolidated subsidiaries. These arrangements are not subject to the recognition and measurement guidance relating to guarantees under GAAP.</w:t>
      </w:r>
    </w:p>
    <w:p w14:paraId="2BC039C0" w14:textId="77777777" w:rsidR="00000000" w:rsidRDefault="00C1661D">
      <w:pPr>
        <w:jc w:val="both"/>
        <w:divId w:val="1599169361"/>
        <w:rPr>
          <w:rFonts w:eastAsia="Times New Roman"/>
        </w:rPr>
      </w:pPr>
      <w:r>
        <w:rPr>
          <w:rFonts w:eastAsia="Times New Roman"/>
          <w:color w:val="000000"/>
          <w:sz w:val="20"/>
          <w:szCs w:val="20"/>
        </w:rPr>
        <w:t>We do not have any off-balance-sheet arrangements that are expected to have a material effe</w:t>
      </w:r>
      <w:r>
        <w:rPr>
          <w:rFonts w:eastAsia="Times New Roman"/>
          <w:color w:val="000000"/>
          <w:sz w:val="20"/>
          <w:szCs w:val="20"/>
        </w:rPr>
        <w:t>ct on our financial condition, change in financial condition, revenues or expenses, results of operations, liquidity, capital expenditures or capital resources.</w:t>
      </w:r>
    </w:p>
    <w:p w14:paraId="08743DD1" w14:textId="77777777" w:rsidR="00000000" w:rsidRDefault="00C1661D">
      <w:pPr>
        <w:divId w:val="774130200"/>
        <w:rPr>
          <w:rFonts w:eastAsia="Times New Roman"/>
        </w:rPr>
      </w:pPr>
    </w:p>
    <w:p w14:paraId="6E741DD7" w14:textId="77777777" w:rsidR="00000000" w:rsidRDefault="00C1661D">
      <w:pPr>
        <w:jc w:val="both"/>
        <w:rPr>
          <w:rFonts w:eastAsia="Times New Roman"/>
        </w:rPr>
      </w:pPr>
      <w:r>
        <w:rPr>
          <w:rFonts w:eastAsia="Times New Roman"/>
          <w:b/>
          <w:bCs/>
          <w:color w:val="000000"/>
          <w:sz w:val="20"/>
          <w:szCs w:val="20"/>
          <w:u w:val="single"/>
        </w:rPr>
        <w:t>Utility Regulatory Matters</w:t>
      </w:r>
    </w:p>
    <w:p w14:paraId="77A9B3AB" w14:textId="77777777" w:rsidR="00000000" w:rsidRDefault="00C1661D">
      <w:pPr>
        <w:jc w:val="both"/>
        <w:rPr>
          <w:rFonts w:eastAsia="Times New Roman"/>
        </w:rPr>
      </w:pPr>
    </w:p>
    <w:p w14:paraId="445E9CFC" w14:textId="77777777" w:rsidR="00000000" w:rsidRDefault="00C1661D">
      <w:pPr>
        <w:jc w:val="both"/>
        <w:rPr>
          <w:rFonts w:eastAsia="Times New Roman"/>
        </w:rPr>
      </w:pPr>
      <w:r>
        <w:rPr>
          <w:rFonts w:eastAsia="Times New Roman"/>
          <w:b/>
          <w:bCs/>
          <w:i/>
          <w:iCs/>
          <w:color w:val="000000"/>
          <w:sz w:val="20"/>
          <w:szCs w:val="20"/>
        </w:rPr>
        <w:t>Base Rate Filings. </w:t>
      </w:r>
      <w:r>
        <w:rPr>
          <w:rFonts w:eastAsia="Times New Roman"/>
          <w:color w:val="000000"/>
          <w:sz w:val="20"/>
          <w:szCs w:val="20"/>
        </w:rPr>
        <w:t>On January 28, 2022, PA Gas Utility filed a r</w:t>
      </w:r>
      <w:r>
        <w:rPr>
          <w:rFonts w:eastAsia="Times New Roman"/>
          <w:color w:val="000000"/>
          <w:sz w:val="20"/>
          <w:szCs w:val="20"/>
        </w:rPr>
        <w:t>equest with the PAPUC to increase its base operating revenues for residential, commercial and industrial customers by $83 million annually. On September 15, 2022, the PAPUC issued a final order approving a settlement providing for a $49 million annual base</w:t>
      </w:r>
      <w:r>
        <w:rPr>
          <w:rFonts w:eastAsia="Times New Roman"/>
          <w:color w:val="000000"/>
          <w:sz w:val="20"/>
          <w:szCs w:val="20"/>
        </w:rPr>
        <w:t xml:space="preserve"> distribution rate increase for PA Gas Utility, through a phased approach, with $38 million beginning October 29, 2022 and an additional $11 million beginning October 1, 2023. In accordance with the terms of the final order, PA Gas Utility will not be perm</w:t>
      </w:r>
      <w:r>
        <w:rPr>
          <w:rFonts w:eastAsia="Times New Roman"/>
          <w:color w:val="000000"/>
          <w:sz w:val="20"/>
          <w:szCs w:val="20"/>
        </w:rPr>
        <w:t>itted to file a rate case prior to January 1, 2024. Also in accordance with the terms of the final order, PA Gas Utility is authorized to implement a weather normalization adjustment rider as a 5-year pilot program beginning on the effective date of the ne</w:t>
      </w:r>
      <w:r>
        <w:rPr>
          <w:rFonts w:eastAsia="Times New Roman"/>
          <w:color w:val="000000"/>
          <w:sz w:val="20"/>
          <w:szCs w:val="20"/>
        </w:rPr>
        <w:t>w rates. Under this rider, customer billings for distribution services will be adjusted monthly to reflect normal weather conditions if weather deviates more than 3% from normal. Additionally, under the terms of the final order, PA Gas Utility will be auth</w:t>
      </w:r>
      <w:r>
        <w:rPr>
          <w:rFonts w:eastAsia="Times New Roman"/>
          <w:color w:val="000000"/>
          <w:sz w:val="20"/>
          <w:szCs w:val="20"/>
        </w:rPr>
        <w:t>orized to implement a DSIC once its total property, plant and equipment less accumulated depreciation reaches $3,368 million (which threshold was achieved in September 2022).</w:t>
      </w:r>
    </w:p>
    <w:p w14:paraId="7CB93EBE" w14:textId="77777777" w:rsidR="00000000" w:rsidRDefault="00C1661D">
      <w:pPr>
        <w:divId w:val="451361801"/>
        <w:rPr>
          <w:rFonts w:eastAsia="Times New Roman"/>
        </w:rPr>
      </w:pPr>
    </w:p>
    <w:p w14:paraId="69A8FF00" w14:textId="77777777" w:rsidR="00000000" w:rsidRDefault="00C1661D">
      <w:pPr>
        <w:jc w:val="both"/>
        <w:rPr>
          <w:rFonts w:eastAsia="Times New Roman"/>
        </w:rPr>
      </w:pPr>
      <w:r>
        <w:rPr>
          <w:rFonts w:eastAsia="Times New Roman"/>
          <w:color w:val="000000"/>
          <w:sz w:val="20"/>
          <w:szCs w:val="20"/>
        </w:rPr>
        <w:t>On February 8, 2021, Electric Utility filed a rate request with the PAPUC to in</w:t>
      </w:r>
      <w:r>
        <w:rPr>
          <w:rFonts w:eastAsia="Times New Roman"/>
          <w:color w:val="000000"/>
          <w:sz w:val="20"/>
          <w:szCs w:val="20"/>
        </w:rPr>
        <w:t>crease its annual base distribution revenues by $9 million. On October 28, 2021, the PAPUC issued a final order approving a settlement that permitted Electric Utility, effective November 9, 2021, to increase its base distribution revenues by $6 million.</w:t>
      </w:r>
    </w:p>
    <w:p w14:paraId="134B8622" w14:textId="77777777" w:rsidR="00000000" w:rsidRDefault="00C1661D">
      <w:pPr>
        <w:jc w:val="both"/>
        <w:rPr>
          <w:rFonts w:eastAsia="Times New Roman"/>
        </w:rPr>
      </w:pPr>
    </w:p>
    <w:p w14:paraId="536585BD" w14:textId="77777777" w:rsidR="00000000" w:rsidRDefault="00C1661D">
      <w:pPr>
        <w:jc w:val="both"/>
        <w:rPr>
          <w:rFonts w:eastAsia="Times New Roman"/>
        </w:rPr>
      </w:pPr>
      <w:r>
        <w:rPr>
          <w:rFonts w:eastAsia="Times New Roman"/>
          <w:color w:val="000000"/>
          <w:sz w:val="20"/>
          <w:szCs w:val="20"/>
        </w:rPr>
        <w:t xml:space="preserve">On January 28, 2020, PA Gas Utility filed a request with the PAPUC to increase its annual base distribution operating revenues by $75 million annually. On October 8, 2020, the PAPUC issued a final Order approving a settlement that permitted PA Gas </w:t>
      </w:r>
    </w:p>
    <w:p w14:paraId="78C8971F" w14:textId="77777777" w:rsidR="00000000" w:rsidRDefault="00C1661D">
      <w:pPr>
        <w:jc w:val="center"/>
        <w:divId w:val="845631711"/>
        <w:rPr>
          <w:rFonts w:eastAsia="Times New Roman"/>
        </w:rPr>
      </w:pPr>
      <w:r>
        <w:rPr>
          <w:rFonts w:eastAsia="Times New Roman"/>
          <w:color w:val="000000"/>
          <w:sz w:val="20"/>
          <w:szCs w:val="20"/>
        </w:rPr>
        <w:t>62</w:t>
      </w:r>
    </w:p>
    <w:p w14:paraId="425A7CF1" w14:textId="77777777" w:rsidR="00000000" w:rsidRDefault="00C1661D">
      <w:pPr>
        <w:rPr>
          <w:rFonts w:eastAsia="Times New Roman"/>
        </w:rPr>
      </w:pPr>
      <w:r>
        <w:rPr>
          <w:rFonts w:eastAsia="Times New Roman"/>
        </w:rPr>
        <w:pict w14:anchorId="19E19F4C">
          <v:rect id="_x0000_i1089" style="width:0;height:1.5pt" o:hralign="center" o:hrstd="t" o:hr="t" fillcolor="#a0a0a0" stroked="f"/>
        </w:pict>
      </w:r>
    </w:p>
    <w:p w14:paraId="24780CFC" w14:textId="77777777" w:rsidR="00000000" w:rsidRDefault="00C1661D">
      <w:pPr>
        <w:divId w:val="1656762457"/>
        <w:rPr>
          <w:rFonts w:eastAsia="Times New Roman"/>
        </w:rPr>
      </w:pPr>
      <w:hyperlink w:anchor="i3850c3c6c0104e42b9951aac2f16098a_7" w:history="1">
        <w:r>
          <w:rPr>
            <w:rStyle w:val="a3"/>
            <w:rFonts w:eastAsia="Times New Roman"/>
            <w:b/>
            <w:bCs/>
            <w:sz w:val="20"/>
            <w:szCs w:val="20"/>
          </w:rPr>
          <w:t>Table of Contents</w:t>
        </w:r>
      </w:hyperlink>
    </w:p>
    <w:p w14:paraId="2C96D473" w14:textId="77777777" w:rsidR="00000000" w:rsidRDefault="00C1661D">
      <w:pPr>
        <w:jc w:val="both"/>
        <w:rPr>
          <w:rFonts w:eastAsia="Times New Roman"/>
        </w:rPr>
      </w:pPr>
      <w:r>
        <w:rPr>
          <w:rFonts w:eastAsia="Times New Roman"/>
          <w:color w:val="000000"/>
          <w:sz w:val="20"/>
          <w:szCs w:val="20"/>
        </w:rPr>
        <w:t xml:space="preserve">Utility to increase its annual base distribution rates by $20 million, through a phased approach, with $10 million beginning January 1, 2021 and an </w:t>
      </w:r>
      <w:r>
        <w:rPr>
          <w:rFonts w:eastAsia="Times New Roman"/>
          <w:color w:val="000000"/>
          <w:sz w:val="20"/>
          <w:szCs w:val="20"/>
        </w:rPr>
        <w:t>additional $10 million beginning July 1, 2021. Additionally, PA Gas Utility was authorized to implement a DSIC once PA Gas Utility total property, plant and equipment less accumulated depreciation reached $2,875 million. This threshold was achieved in Dece</w:t>
      </w:r>
      <w:r>
        <w:rPr>
          <w:rFonts w:eastAsia="Times New Roman"/>
          <w:color w:val="000000"/>
          <w:sz w:val="20"/>
          <w:szCs w:val="20"/>
        </w:rPr>
        <w:t>mber 2020, and PA Gas Utility implemented a DSIC effective April 1, 2021. The PAPUC’s final order also included enhanced COVID-19 customer assistance measures, including the establishment of an Emergency Relief Program for a defined set of payment troubled</w:t>
      </w:r>
      <w:r>
        <w:rPr>
          <w:rFonts w:eastAsia="Times New Roman"/>
          <w:color w:val="000000"/>
          <w:sz w:val="20"/>
          <w:szCs w:val="20"/>
        </w:rPr>
        <w:t xml:space="preserve"> customers (“ERP”). Additionally, the PAPUC’s final order permitted PA Gas Utility to establish a regulatory asset for certain incremental expenses attributable to the ongoing COVID-19 pandemic, most notably expenses related to the ERP and uncollectible ac</w:t>
      </w:r>
      <w:r>
        <w:rPr>
          <w:rFonts w:eastAsia="Times New Roman"/>
          <w:color w:val="000000"/>
          <w:sz w:val="20"/>
          <w:szCs w:val="20"/>
        </w:rPr>
        <w:t xml:space="preserve">counts expense, through the effective date of rates in the next PA Gas Utility base rate case, to be recovered and amortized over a 10-year period. In accordance with the terms of the final order, PA Gas Utility was not permitted to file a rate case prior </w:t>
      </w:r>
      <w:r>
        <w:rPr>
          <w:rFonts w:eastAsia="Times New Roman"/>
          <w:color w:val="000000"/>
          <w:sz w:val="20"/>
          <w:szCs w:val="20"/>
        </w:rPr>
        <w:t>to January 1, 2022.</w:t>
      </w:r>
    </w:p>
    <w:p w14:paraId="3160FC65" w14:textId="77777777" w:rsidR="00000000" w:rsidRDefault="00C1661D">
      <w:pPr>
        <w:jc w:val="both"/>
        <w:rPr>
          <w:rFonts w:eastAsia="Times New Roman"/>
        </w:rPr>
      </w:pPr>
    </w:p>
    <w:p w14:paraId="70BF8681" w14:textId="77777777" w:rsidR="00000000" w:rsidRDefault="00C1661D">
      <w:pPr>
        <w:jc w:val="both"/>
        <w:rPr>
          <w:rFonts w:eastAsia="Times New Roman"/>
        </w:rPr>
      </w:pPr>
      <w:r>
        <w:rPr>
          <w:rFonts w:eastAsia="Times New Roman"/>
          <w:b/>
          <w:bCs/>
          <w:color w:val="000000"/>
          <w:sz w:val="20"/>
          <w:szCs w:val="20"/>
          <w:u w:val="single"/>
        </w:rPr>
        <w:t>Market Risk Disclosures</w:t>
      </w:r>
    </w:p>
    <w:p w14:paraId="7E97FE91" w14:textId="77777777" w:rsidR="00000000" w:rsidRDefault="00C1661D">
      <w:pPr>
        <w:jc w:val="both"/>
        <w:rPr>
          <w:rFonts w:eastAsia="Times New Roman"/>
        </w:rPr>
      </w:pPr>
    </w:p>
    <w:p w14:paraId="280DFCAF" w14:textId="77777777" w:rsidR="00000000" w:rsidRDefault="00C1661D">
      <w:pPr>
        <w:jc w:val="both"/>
        <w:divId w:val="1530295759"/>
        <w:rPr>
          <w:rFonts w:eastAsia="Times New Roman"/>
        </w:rPr>
      </w:pPr>
      <w:r>
        <w:rPr>
          <w:rFonts w:eastAsia="Times New Roman"/>
          <w:color w:val="000000"/>
          <w:sz w:val="20"/>
          <w:szCs w:val="20"/>
        </w:rPr>
        <w:t>Our primary market risk exposures are (1) commodity price risk; (2) interest rate risk; and (3) foreign currency exchange rate risk. Although we use derivative financial and commodity instruments to reduce ma</w:t>
      </w:r>
      <w:r>
        <w:rPr>
          <w:rFonts w:eastAsia="Times New Roman"/>
          <w:color w:val="000000"/>
          <w:sz w:val="20"/>
          <w:szCs w:val="20"/>
        </w:rPr>
        <w:t>rket price risk associated with forecasted transactions, we do not use derivative financial and commodity instruments for speculative or trading purposes.</w:t>
      </w:r>
    </w:p>
    <w:p w14:paraId="3BA390BA" w14:textId="77777777" w:rsidR="00000000" w:rsidRDefault="00C1661D">
      <w:pPr>
        <w:jc w:val="both"/>
        <w:divId w:val="575170977"/>
        <w:rPr>
          <w:rFonts w:eastAsia="Times New Roman"/>
        </w:rPr>
      </w:pPr>
      <w:r>
        <w:rPr>
          <w:rFonts w:eastAsia="Times New Roman"/>
          <w:b/>
          <w:bCs/>
          <w:color w:val="000000"/>
          <w:sz w:val="20"/>
          <w:szCs w:val="20"/>
        </w:rPr>
        <w:t>Commodity Price Risk</w:t>
      </w:r>
    </w:p>
    <w:p w14:paraId="0CF41088" w14:textId="77777777" w:rsidR="00000000" w:rsidRDefault="00C1661D">
      <w:pPr>
        <w:jc w:val="both"/>
        <w:rPr>
          <w:rFonts w:eastAsia="Times New Roman"/>
        </w:rPr>
      </w:pPr>
      <w:r>
        <w:rPr>
          <w:rFonts w:eastAsia="Times New Roman"/>
          <w:color w:val="000000"/>
          <w:sz w:val="20"/>
          <w:szCs w:val="20"/>
        </w:rPr>
        <w:t xml:space="preserve">The risk associated with fluctuations in the prices the Partnership and our UGI </w:t>
      </w:r>
      <w:r>
        <w:rPr>
          <w:rFonts w:eastAsia="Times New Roman"/>
          <w:color w:val="000000"/>
          <w:sz w:val="20"/>
          <w:szCs w:val="20"/>
        </w:rPr>
        <w:t>International operations pay for LPG is principally a result of market forces reflecting changes in supply and demand for LPG and other energy commodities. Their profitability is sensitive to changes in LPG supply costs. Increases in supply costs are gener</w:t>
      </w:r>
      <w:r>
        <w:rPr>
          <w:rFonts w:eastAsia="Times New Roman"/>
          <w:color w:val="000000"/>
          <w:sz w:val="20"/>
          <w:szCs w:val="20"/>
        </w:rPr>
        <w:t>ally passed on to customers. The Partnership and UGI International may not, however, always be able to pass through product cost increases fully or on a timely basis, particularly when product costs rise rapidly. In order to reduce the volatility of LPG ma</w:t>
      </w:r>
      <w:r>
        <w:rPr>
          <w:rFonts w:eastAsia="Times New Roman"/>
          <w:color w:val="000000"/>
          <w:sz w:val="20"/>
          <w:szCs w:val="20"/>
        </w:rPr>
        <w:t>rket price risk, the Partnership uses contracts for the forward purchase or sale of propane, propane fixed-price supply agreements and over-the-counter derivative commodity instruments including price swap and option contracts. Our UGI International operat</w:t>
      </w:r>
      <w:r>
        <w:rPr>
          <w:rFonts w:eastAsia="Times New Roman"/>
          <w:color w:val="000000"/>
          <w:sz w:val="20"/>
          <w:szCs w:val="20"/>
        </w:rPr>
        <w:t>ions use over-the-counter derivative commodity instruments and may from time to time enter into other derivative contracts, similar to those used by the Partnership, to reduce market risk associated with a portion of their LPG purchases. Over-the-counter d</w:t>
      </w:r>
      <w:r>
        <w:rPr>
          <w:rFonts w:eastAsia="Times New Roman"/>
          <w:color w:val="000000"/>
          <w:sz w:val="20"/>
          <w:szCs w:val="20"/>
        </w:rPr>
        <w:t xml:space="preserve">erivative commodity instruments used to economically hedge forecasted purchases of LPG are generally settled at expiration of the contract. </w:t>
      </w:r>
    </w:p>
    <w:p w14:paraId="0A2AE689" w14:textId="77777777" w:rsidR="00000000" w:rsidRDefault="00C1661D">
      <w:pPr>
        <w:jc w:val="both"/>
        <w:rPr>
          <w:rFonts w:eastAsia="Times New Roman"/>
        </w:rPr>
      </w:pPr>
    </w:p>
    <w:p w14:paraId="2ADAC0EE" w14:textId="77777777" w:rsidR="00000000" w:rsidRDefault="00C1661D">
      <w:pPr>
        <w:jc w:val="both"/>
        <w:rPr>
          <w:rFonts w:eastAsia="Times New Roman"/>
        </w:rPr>
      </w:pPr>
      <w:r>
        <w:rPr>
          <w:rFonts w:eastAsia="Times New Roman"/>
          <w:color w:val="000000"/>
          <w:sz w:val="20"/>
          <w:szCs w:val="20"/>
        </w:rPr>
        <w:t>Utilities’ tariffs contain clauses that permit recovery of all prudently incurred costs of natural gas it sells t</w:t>
      </w:r>
      <w:r>
        <w:rPr>
          <w:rFonts w:eastAsia="Times New Roman"/>
          <w:color w:val="000000"/>
          <w:sz w:val="20"/>
          <w:szCs w:val="20"/>
        </w:rPr>
        <w:t>o its retail core-market customers, including the cost of financial instruments used to hedge purchased gas costs. The recovery clauses provide for periodic adjustments for the difference between the total amounts actually billed to customers through PGC a</w:t>
      </w:r>
      <w:r>
        <w:rPr>
          <w:rFonts w:eastAsia="Times New Roman"/>
          <w:color w:val="000000"/>
          <w:sz w:val="20"/>
          <w:szCs w:val="20"/>
        </w:rPr>
        <w:t>nd PGA rates and the recoverable costs incurred. Because of this ratemaking mechanism, there is limited commodity price risk associated with our Utilities operations. PA Gas Utility uses derivative financial instruments, including natural gas futures and o</w:t>
      </w:r>
      <w:r>
        <w:rPr>
          <w:rFonts w:eastAsia="Times New Roman"/>
          <w:color w:val="000000"/>
          <w:sz w:val="20"/>
          <w:szCs w:val="20"/>
        </w:rPr>
        <w:t>ption contracts traded on the NYMEX, to reduce volatility in the cost of gas it purchases for its retail core-market customers. The cost of these derivative financial instruments, net of any associated gains or losses, is included in PA Gas Utility's PGC r</w:t>
      </w:r>
      <w:r>
        <w:rPr>
          <w:rFonts w:eastAsia="Times New Roman"/>
          <w:color w:val="000000"/>
          <w:sz w:val="20"/>
          <w:szCs w:val="20"/>
        </w:rPr>
        <w:t xml:space="preserve">ecovery mechanism. </w:t>
      </w:r>
    </w:p>
    <w:p w14:paraId="252835EA" w14:textId="77777777" w:rsidR="00000000" w:rsidRDefault="00C1661D">
      <w:pPr>
        <w:jc w:val="both"/>
        <w:rPr>
          <w:rFonts w:eastAsia="Times New Roman"/>
        </w:rPr>
      </w:pPr>
    </w:p>
    <w:p w14:paraId="12A9287A" w14:textId="77777777" w:rsidR="00000000" w:rsidRDefault="00C1661D">
      <w:pPr>
        <w:jc w:val="both"/>
        <w:rPr>
          <w:rFonts w:eastAsia="Times New Roman"/>
        </w:rPr>
      </w:pPr>
      <w:r>
        <w:rPr>
          <w:rFonts w:eastAsia="Times New Roman"/>
          <w:color w:val="000000"/>
          <w:sz w:val="20"/>
          <w:szCs w:val="20"/>
        </w:rPr>
        <w:t>In order to manage market price risk relating to substantially all of Midstream &amp; Marketing’s fixed-price sale contracts for physical natural gas and electricity, Midstream &amp; Marketing enters into NYMEX, ICE and over-the-counter natur</w:t>
      </w:r>
      <w:r>
        <w:rPr>
          <w:rFonts w:eastAsia="Times New Roman"/>
          <w:color w:val="000000"/>
          <w:sz w:val="20"/>
          <w:szCs w:val="20"/>
        </w:rPr>
        <w:t>al gas and electricity futures and option contracts, and natural gas basis swap contracts or enters into fixed-price supply arrangements. Midstream &amp; Marketing also uses NYMEX and over-the-counter electricity futures contracts to economically hedge a porti</w:t>
      </w:r>
      <w:r>
        <w:rPr>
          <w:rFonts w:eastAsia="Times New Roman"/>
          <w:color w:val="000000"/>
          <w:sz w:val="20"/>
          <w:szCs w:val="20"/>
        </w:rPr>
        <w:t>on of its anticipated sales of electricity from its electricity generation facilities. Although Midstream &amp; Marketing’s fixed-price supply arrangements mitigate most risks associated with its fixed-price sales contracts, should any of the suppliers under t</w:t>
      </w:r>
      <w:r>
        <w:rPr>
          <w:rFonts w:eastAsia="Times New Roman"/>
          <w:color w:val="000000"/>
          <w:sz w:val="20"/>
          <w:szCs w:val="20"/>
        </w:rPr>
        <w:t>hese arrangements fail to perform, increases, if any, in the cost of replacement natural gas or electricity would adversely impact Midstream &amp; Marketing’s results. In order to reduce this risk of supplier nonperformance, Midstream &amp; Marketing has diversifi</w:t>
      </w:r>
      <w:r>
        <w:rPr>
          <w:rFonts w:eastAsia="Times New Roman"/>
          <w:color w:val="000000"/>
          <w:sz w:val="20"/>
          <w:szCs w:val="20"/>
        </w:rPr>
        <w:t>ed its purchases across a number of suppliers. UGI International’s natural gas and electricity marketing businesses also use natural gas and electricity futures and forward contracts to economically hedge market risk associated with a substantial portion o</w:t>
      </w:r>
      <w:r>
        <w:rPr>
          <w:rFonts w:eastAsia="Times New Roman"/>
          <w:color w:val="000000"/>
          <w:sz w:val="20"/>
          <w:szCs w:val="20"/>
        </w:rPr>
        <w:t>f anticipated volumes under fixed-price sales and purchase contracts.</w:t>
      </w:r>
    </w:p>
    <w:p w14:paraId="7E829B52" w14:textId="77777777" w:rsidR="00000000" w:rsidRDefault="00C1661D">
      <w:pPr>
        <w:jc w:val="both"/>
        <w:rPr>
          <w:rFonts w:eastAsia="Times New Roman"/>
        </w:rPr>
      </w:pPr>
    </w:p>
    <w:p w14:paraId="738D922C" w14:textId="77777777" w:rsidR="00000000" w:rsidRDefault="00C1661D">
      <w:pPr>
        <w:jc w:val="both"/>
        <w:rPr>
          <w:rFonts w:eastAsia="Times New Roman"/>
        </w:rPr>
      </w:pPr>
      <w:r>
        <w:rPr>
          <w:rFonts w:eastAsia="Times New Roman"/>
          <w:color w:val="000000"/>
          <w:sz w:val="20"/>
          <w:szCs w:val="20"/>
        </w:rPr>
        <w:t xml:space="preserve">Midstream &amp; </w:t>
      </w:r>
      <w:r>
        <w:rPr>
          <w:rFonts w:eastAsia="Times New Roman"/>
          <w:color w:val="000000"/>
          <w:sz w:val="20"/>
          <w:szCs w:val="20"/>
        </w:rPr>
        <w:t>Marketing has entered into fixed-price sales agreements for a portion of the electricity expected to be generated by its electric generation assets. In the event that these generation assets would not be able to produce all of the electricity needed to sup</w:t>
      </w:r>
      <w:r>
        <w:rPr>
          <w:rFonts w:eastAsia="Times New Roman"/>
          <w:color w:val="000000"/>
          <w:sz w:val="20"/>
          <w:szCs w:val="20"/>
        </w:rPr>
        <w:t>ply electricity under these agreements, Midstream &amp; Marketing would be required to purchase electricity on the spot market or under contract with other electricity suppliers. Accordingly, increases in the cost of replacement power could negatively impact M</w:t>
      </w:r>
      <w:r>
        <w:rPr>
          <w:rFonts w:eastAsia="Times New Roman"/>
          <w:color w:val="000000"/>
          <w:sz w:val="20"/>
          <w:szCs w:val="20"/>
        </w:rPr>
        <w:t>idstream &amp; Marketing’s results.</w:t>
      </w:r>
    </w:p>
    <w:p w14:paraId="192D85B7" w14:textId="77777777" w:rsidR="00000000" w:rsidRDefault="00C1661D">
      <w:pPr>
        <w:jc w:val="both"/>
        <w:rPr>
          <w:rFonts w:eastAsia="Times New Roman"/>
        </w:rPr>
      </w:pPr>
    </w:p>
    <w:p w14:paraId="026F8E55" w14:textId="77777777" w:rsidR="00000000" w:rsidRDefault="00C1661D">
      <w:pPr>
        <w:jc w:val="center"/>
        <w:divId w:val="1807357207"/>
        <w:rPr>
          <w:rFonts w:eastAsia="Times New Roman"/>
        </w:rPr>
      </w:pPr>
      <w:r>
        <w:rPr>
          <w:rFonts w:eastAsia="Times New Roman"/>
          <w:color w:val="000000"/>
          <w:sz w:val="20"/>
          <w:szCs w:val="20"/>
        </w:rPr>
        <w:t>63</w:t>
      </w:r>
    </w:p>
    <w:p w14:paraId="0CB405FC" w14:textId="77777777" w:rsidR="00000000" w:rsidRDefault="00C1661D">
      <w:pPr>
        <w:rPr>
          <w:rFonts w:eastAsia="Times New Roman"/>
        </w:rPr>
      </w:pPr>
      <w:r>
        <w:rPr>
          <w:rFonts w:eastAsia="Times New Roman"/>
        </w:rPr>
        <w:pict w14:anchorId="7FA8DF40">
          <v:rect id="_x0000_i1090" style="width:0;height:1.5pt" o:hralign="center" o:hrstd="t" o:hr="t" fillcolor="#a0a0a0" stroked="f"/>
        </w:pict>
      </w:r>
    </w:p>
    <w:p w14:paraId="71564360" w14:textId="77777777" w:rsidR="00000000" w:rsidRDefault="00C1661D">
      <w:pPr>
        <w:divId w:val="1627271250"/>
        <w:rPr>
          <w:rFonts w:eastAsia="Times New Roman"/>
        </w:rPr>
      </w:pPr>
      <w:hyperlink w:anchor="i3850c3c6c0104e42b9951aac2f16098a_7" w:history="1">
        <w:r>
          <w:rPr>
            <w:rStyle w:val="a3"/>
            <w:rFonts w:eastAsia="Times New Roman"/>
            <w:b/>
            <w:bCs/>
            <w:sz w:val="20"/>
            <w:szCs w:val="20"/>
          </w:rPr>
          <w:t>Table of Contents</w:t>
        </w:r>
      </w:hyperlink>
    </w:p>
    <w:p w14:paraId="1563BEDE" w14:textId="77777777" w:rsidR="00000000" w:rsidRDefault="00C1661D">
      <w:pPr>
        <w:jc w:val="both"/>
        <w:divId w:val="1711300722"/>
        <w:rPr>
          <w:rFonts w:eastAsia="Times New Roman"/>
        </w:rPr>
      </w:pPr>
      <w:r>
        <w:rPr>
          <w:rFonts w:eastAsia="Times New Roman"/>
          <w:b/>
          <w:bCs/>
          <w:color w:val="000000"/>
          <w:sz w:val="20"/>
          <w:szCs w:val="20"/>
        </w:rPr>
        <w:t>Interest Rate Risk</w:t>
      </w:r>
    </w:p>
    <w:p w14:paraId="2E9DFEBA" w14:textId="77777777" w:rsidR="00000000" w:rsidRDefault="00C1661D">
      <w:pPr>
        <w:jc w:val="both"/>
        <w:rPr>
          <w:rFonts w:eastAsia="Times New Roman"/>
        </w:rPr>
      </w:pPr>
      <w:r>
        <w:rPr>
          <w:rFonts w:eastAsia="Times New Roman"/>
          <w:color w:val="000000"/>
          <w:sz w:val="20"/>
          <w:szCs w:val="20"/>
        </w:rPr>
        <w:t>We have both fixed-rate and variable-rate debt. Changes in interest rates impact the cash flows of variable-rate debt but gen</w:t>
      </w:r>
      <w:r>
        <w:rPr>
          <w:rFonts w:eastAsia="Times New Roman"/>
          <w:color w:val="000000"/>
          <w:sz w:val="20"/>
          <w:szCs w:val="20"/>
        </w:rPr>
        <w:t>erally do not impact their fair value. Conversely, changes in interest rates impact the fair value of fixed-rate debt but do not impact their cash flows.</w:t>
      </w:r>
    </w:p>
    <w:p w14:paraId="7E41E242" w14:textId="77777777" w:rsidR="00000000" w:rsidRDefault="00C1661D">
      <w:pPr>
        <w:jc w:val="both"/>
        <w:rPr>
          <w:rFonts w:eastAsia="Times New Roman"/>
        </w:rPr>
      </w:pPr>
    </w:p>
    <w:p w14:paraId="40920320" w14:textId="77777777" w:rsidR="00000000" w:rsidRDefault="00C1661D">
      <w:pPr>
        <w:jc w:val="both"/>
        <w:rPr>
          <w:rFonts w:eastAsia="Times New Roman"/>
        </w:rPr>
      </w:pPr>
      <w:r>
        <w:rPr>
          <w:rFonts w:eastAsia="Times New Roman"/>
          <w:color w:val="000000"/>
          <w:sz w:val="20"/>
          <w:szCs w:val="20"/>
        </w:rPr>
        <w:t>Our variable-rate debt at September 30, 2022, includes revolving credit facility borrowings and vari</w:t>
      </w:r>
      <w:r>
        <w:rPr>
          <w:rFonts w:eastAsia="Times New Roman"/>
          <w:color w:val="000000"/>
          <w:sz w:val="20"/>
          <w:szCs w:val="20"/>
        </w:rPr>
        <w:t>able-rate term loans at UGI International, Utilities, Energy Services and UGI Corporation. These debt agreements have interest rates that are generally indexed to short-term market interest rates. We have entered into pay-fixed, receive-variable interest r</w:t>
      </w:r>
      <w:r>
        <w:rPr>
          <w:rFonts w:eastAsia="Times New Roman"/>
          <w:color w:val="000000"/>
          <w:sz w:val="20"/>
          <w:szCs w:val="20"/>
        </w:rPr>
        <w:t>ate swap agreements on all or a significant portion of the term loans’ principal balances and all or a significant portion of the term loans’ tenor. We have designated these interest rate swaps as cash flow hedges. At September 30, 2022, combined borrowing</w:t>
      </w:r>
      <w:r>
        <w:rPr>
          <w:rFonts w:eastAsia="Times New Roman"/>
          <w:color w:val="000000"/>
          <w:sz w:val="20"/>
          <w:szCs w:val="20"/>
        </w:rPr>
        <w:t>s outstanding under variable-rate debt agreements, excluding the previously mentioned effectively fixed-rate debt, totaled $800 million. Based upon average borrowings outstanding under variable-rate borrowings (excluding effectively fixed-rate term loan de</w:t>
      </w:r>
      <w:r>
        <w:rPr>
          <w:rFonts w:eastAsia="Times New Roman"/>
          <w:color w:val="000000"/>
          <w:sz w:val="20"/>
          <w:szCs w:val="20"/>
        </w:rPr>
        <w:t>bt), an increase in short-term interest rates of 100 basis points (1%) would have increased our Fiscal 2022 interest expense by approximately $8 million. The remainder of our debt outstanding is subject to fixed rates of interest. A 100 basis point increas</w:t>
      </w:r>
      <w:r>
        <w:rPr>
          <w:rFonts w:eastAsia="Times New Roman"/>
          <w:color w:val="000000"/>
          <w:sz w:val="20"/>
          <w:szCs w:val="20"/>
        </w:rPr>
        <w:t>e in market interest rates would result in decreases in the fair value of this fixed-rate debt of approximately $165 million at September 30, 2022. A 100 basis point decrease in market interest rates would result in increases in the fair value of this fixe</w:t>
      </w:r>
      <w:r>
        <w:rPr>
          <w:rFonts w:eastAsia="Times New Roman"/>
          <w:color w:val="000000"/>
          <w:sz w:val="20"/>
          <w:szCs w:val="20"/>
        </w:rPr>
        <w:t>d-rate debt of approximately $265 million at September 30, 2022.</w:t>
      </w:r>
    </w:p>
    <w:p w14:paraId="3C8EB3EC" w14:textId="77777777" w:rsidR="00000000" w:rsidRDefault="00C1661D">
      <w:pPr>
        <w:jc w:val="both"/>
        <w:rPr>
          <w:rFonts w:eastAsia="Times New Roman"/>
        </w:rPr>
      </w:pPr>
    </w:p>
    <w:p w14:paraId="499941A5" w14:textId="77777777" w:rsidR="00000000" w:rsidRDefault="00C1661D">
      <w:pPr>
        <w:jc w:val="both"/>
        <w:rPr>
          <w:rFonts w:eastAsia="Times New Roman"/>
        </w:rPr>
      </w:pPr>
      <w:r>
        <w:rPr>
          <w:rFonts w:eastAsia="Times New Roman"/>
          <w:color w:val="000000"/>
          <w:sz w:val="20"/>
          <w:szCs w:val="20"/>
        </w:rPr>
        <w:t>Long-term debt associated with our domestic businesses is typically issued at fixed rates of interest based upon market rates for debt with similar terms and credit ratings. As these long-t</w:t>
      </w:r>
      <w:r>
        <w:rPr>
          <w:rFonts w:eastAsia="Times New Roman"/>
          <w:color w:val="000000"/>
          <w:sz w:val="20"/>
          <w:szCs w:val="20"/>
        </w:rPr>
        <w:t xml:space="preserve">erm debt issues mature, we may refinance such debt with new debt having interest rates reflecting then-current market conditions. In order to reduce interest rate risk associated with near- to medium-term forecasted issuances of fixed rate debt, from time </w:t>
      </w:r>
      <w:r>
        <w:rPr>
          <w:rFonts w:eastAsia="Times New Roman"/>
          <w:color w:val="000000"/>
          <w:sz w:val="20"/>
          <w:szCs w:val="20"/>
        </w:rPr>
        <w:t>to time we enter into IRPAs.</w:t>
      </w:r>
    </w:p>
    <w:p w14:paraId="177839C6" w14:textId="77777777" w:rsidR="00000000" w:rsidRDefault="00C1661D">
      <w:pPr>
        <w:jc w:val="both"/>
        <w:rPr>
          <w:rFonts w:eastAsia="Times New Roman"/>
        </w:rPr>
      </w:pPr>
    </w:p>
    <w:p w14:paraId="7A4D2ACE" w14:textId="77777777" w:rsidR="00000000" w:rsidRDefault="00C1661D">
      <w:pPr>
        <w:jc w:val="both"/>
        <w:rPr>
          <w:rFonts w:eastAsia="Times New Roman"/>
        </w:rPr>
      </w:pPr>
      <w:r>
        <w:rPr>
          <w:rFonts w:eastAsia="Times New Roman"/>
          <w:b/>
          <w:bCs/>
          <w:color w:val="000000"/>
          <w:sz w:val="20"/>
          <w:szCs w:val="20"/>
        </w:rPr>
        <w:t>Foreign Currency Exchange Rate Risk</w:t>
      </w:r>
    </w:p>
    <w:p w14:paraId="7D7024C8" w14:textId="77777777" w:rsidR="00000000" w:rsidRDefault="00C1661D">
      <w:pPr>
        <w:jc w:val="both"/>
        <w:divId w:val="284317027"/>
        <w:rPr>
          <w:rFonts w:eastAsia="Times New Roman"/>
        </w:rPr>
      </w:pPr>
      <w:r>
        <w:rPr>
          <w:rFonts w:eastAsia="Times New Roman"/>
          <w:color w:val="000000"/>
          <w:sz w:val="20"/>
          <w:szCs w:val="20"/>
        </w:rPr>
        <w:t xml:space="preserve">Our primary currency exchange rate risk is associated with the USD versus the euro and, to a lesser extent, the USD versus the British pound sterling. The USD value of our foreign currency </w:t>
      </w:r>
      <w:r>
        <w:rPr>
          <w:rFonts w:eastAsia="Times New Roman"/>
          <w:color w:val="000000"/>
          <w:sz w:val="20"/>
          <w:szCs w:val="20"/>
        </w:rPr>
        <w:t>denominated assets and liabilities will fluctuate with changes in the associated foreign currency exchange rates. From time to time, we use derivative instruments to hedge portions of our net investments in foreign subsidiaries, including anticipated forei</w:t>
      </w:r>
      <w:r>
        <w:rPr>
          <w:rFonts w:eastAsia="Times New Roman"/>
          <w:color w:val="000000"/>
          <w:sz w:val="20"/>
          <w:szCs w:val="20"/>
        </w:rPr>
        <w:t>gn currency denominated dividends. Gains or losses on these net investment hedges remain in AOCI until such foreign operations are sold or liquidated. With respect to our net investments in our UGI International operations, a 10% decline in the value of th</w:t>
      </w:r>
      <w:r>
        <w:rPr>
          <w:rFonts w:eastAsia="Times New Roman"/>
          <w:color w:val="000000"/>
          <w:sz w:val="20"/>
          <w:szCs w:val="20"/>
        </w:rPr>
        <w:t>e associated foreign currencies versus the USD would reduce their aggregate net book value at September 30, 2022, by approximately $180 million, which amount would be reflected in other comprehensive income. We have designated certain euro-denominated borr</w:t>
      </w:r>
      <w:r>
        <w:rPr>
          <w:rFonts w:eastAsia="Times New Roman"/>
          <w:color w:val="000000"/>
          <w:sz w:val="20"/>
          <w:szCs w:val="20"/>
        </w:rPr>
        <w:t xml:space="preserve">owings as net investment hedges. </w:t>
      </w:r>
    </w:p>
    <w:p w14:paraId="524007EA" w14:textId="77777777" w:rsidR="00000000" w:rsidRDefault="00C1661D">
      <w:pPr>
        <w:jc w:val="both"/>
        <w:divId w:val="1351374682"/>
        <w:rPr>
          <w:rFonts w:eastAsia="Times New Roman"/>
        </w:rPr>
      </w:pPr>
      <w:r>
        <w:rPr>
          <w:rFonts w:eastAsia="Times New Roman"/>
          <w:color w:val="000000"/>
          <w:sz w:val="20"/>
          <w:szCs w:val="20"/>
        </w:rPr>
        <w:t>In order to reduce the volatility in net income associated with our foreign operations, principally as a result of changes in the USD exchange rate between the euro and British pound sterling, we enter into forward foreign</w:t>
      </w:r>
      <w:r>
        <w:rPr>
          <w:rFonts w:eastAsia="Times New Roman"/>
          <w:color w:val="000000"/>
          <w:sz w:val="20"/>
          <w:szCs w:val="20"/>
        </w:rPr>
        <w:t xml:space="preserve"> currency exchange contracts. We layer in these foreign currency exchange contracts over a multi-year period to eventually equal approximately 90% of anticipated UGI International foreign currency earnings before income taxes.</w:t>
      </w:r>
    </w:p>
    <w:p w14:paraId="7D7C6E33" w14:textId="77777777" w:rsidR="00000000" w:rsidRDefault="00C1661D">
      <w:pPr>
        <w:jc w:val="both"/>
        <w:rPr>
          <w:rFonts w:eastAsia="Times New Roman"/>
        </w:rPr>
      </w:pPr>
    </w:p>
    <w:p w14:paraId="299CA4B2" w14:textId="77777777" w:rsidR="00000000" w:rsidRDefault="00C1661D">
      <w:pPr>
        <w:jc w:val="both"/>
        <w:rPr>
          <w:rFonts w:eastAsia="Times New Roman"/>
        </w:rPr>
      </w:pPr>
      <w:r>
        <w:rPr>
          <w:rFonts w:eastAsia="Times New Roman"/>
          <w:b/>
          <w:bCs/>
          <w:color w:val="000000"/>
          <w:sz w:val="20"/>
          <w:szCs w:val="20"/>
        </w:rPr>
        <w:t>Derivative Instrument Credi</w:t>
      </w:r>
      <w:r>
        <w:rPr>
          <w:rFonts w:eastAsia="Times New Roman"/>
          <w:b/>
          <w:bCs/>
          <w:color w:val="000000"/>
          <w:sz w:val="20"/>
          <w:szCs w:val="20"/>
        </w:rPr>
        <w:t>t Risk</w:t>
      </w:r>
    </w:p>
    <w:p w14:paraId="79671867" w14:textId="77777777" w:rsidR="00000000" w:rsidRDefault="00C1661D">
      <w:pPr>
        <w:jc w:val="both"/>
        <w:divId w:val="1165169145"/>
        <w:rPr>
          <w:rFonts w:eastAsia="Times New Roman"/>
        </w:rPr>
      </w:pPr>
      <w:r>
        <w:rPr>
          <w:rFonts w:eastAsia="Times New Roman"/>
          <w:color w:val="000000"/>
          <w:sz w:val="20"/>
          <w:szCs w:val="20"/>
        </w:rPr>
        <w:t xml:space="preserve">We are exposed to risk of loss in the event of nonperformance by our derivative instrument counterparties. Our derivative instrument counterparties principally comprise large energy companies and major U.S. and international financial institutions. </w:t>
      </w:r>
      <w:r>
        <w:rPr>
          <w:rFonts w:eastAsia="Times New Roman"/>
          <w:color w:val="000000"/>
          <w:sz w:val="20"/>
          <w:szCs w:val="20"/>
        </w:rPr>
        <w:t>We maintain credit policies with regard to our counterparties that we believe reduce overall credit risk. These policies include evaluating and monitoring our counterparties’ financial condition, including their credit ratings, and entering into agreements</w:t>
      </w:r>
      <w:r>
        <w:rPr>
          <w:rFonts w:eastAsia="Times New Roman"/>
          <w:color w:val="000000"/>
          <w:sz w:val="20"/>
          <w:szCs w:val="20"/>
        </w:rPr>
        <w:t xml:space="preserve"> with counterparties that govern credit limits or entering into netting agreements that allow for offsetting counterparty receivable and payable balances for certain financial transactions, as deemed appropriate. </w:t>
      </w:r>
    </w:p>
    <w:p w14:paraId="03201C29" w14:textId="77777777" w:rsidR="00000000" w:rsidRDefault="00C1661D">
      <w:pPr>
        <w:jc w:val="both"/>
        <w:divId w:val="106241925"/>
        <w:rPr>
          <w:rFonts w:eastAsia="Times New Roman"/>
        </w:rPr>
      </w:pPr>
      <w:r>
        <w:rPr>
          <w:rFonts w:eastAsia="Times New Roman"/>
          <w:color w:val="000000"/>
          <w:sz w:val="20"/>
          <w:szCs w:val="20"/>
        </w:rPr>
        <w:t>We have concentrations of credit risk asso</w:t>
      </w:r>
      <w:r>
        <w:rPr>
          <w:rFonts w:eastAsia="Times New Roman"/>
          <w:color w:val="000000"/>
          <w:sz w:val="20"/>
          <w:szCs w:val="20"/>
        </w:rPr>
        <w:t>ciated with derivative instruments and we evaluate the creditworthiness of our derivative counterparties on an ongoing basis. As of September 30, 2022, the maximum amount of loss, based upon the gross fair values of the derivative instruments, we would inc</w:t>
      </w:r>
      <w:r>
        <w:rPr>
          <w:rFonts w:eastAsia="Times New Roman"/>
          <w:color w:val="000000"/>
          <w:sz w:val="20"/>
          <w:szCs w:val="20"/>
        </w:rPr>
        <w:t xml:space="preserve">ur if these counterparties failed to perform according to the terms of their contracts was $2,418 million. In general, many of our over-the-counter derivative instruments and all exchange contracts call for the posting of collateral by the counterparty or </w:t>
      </w:r>
      <w:r>
        <w:rPr>
          <w:rFonts w:eastAsia="Times New Roman"/>
          <w:color w:val="000000"/>
          <w:sz w:val="20"/>
          <w:szCs w:val="20"/>
        </w:rPr>
        <w:t>by the Company in the forms of letters of credit, parental guarantees or cash. At September 30, 2022, we had received cash collateral from derivative instrument counterparties totaling $398 million. In addition, we may have offsetting derivative liabilitie</w:t>
      </w:r>
      <w:r>
        <w:rPr>
          <w:rFonts w:eastAsia="Times New Roman"/>
          <w:color w:val="000000"/>
          <w:sz w:val="20"/>
          <w:szCs w:val="20"/>
        </w:rPr>
        <w:t>s and certain accounts payable balances with certain of these counterparties, which further mitigates the previously mentioned maximum amount of losses. Certain of the Partnership’s derivative contracts have credit-risk-related contingent features that may</w:t>
      </w:r>
      <w:r>
        <w:rPr>
          <w:rFonts w:eastAsia="Times New Roman"/>
          <w:color w:val="000000"/>
          <w:sz w:val="20"/>
          <w:szCs w:val="20"/>
        </w:rPr>
        <w:t xml:space="preserve"> require the posting of additional collateral in the event </w:t>
      </w:r>
    </w:p>
    <w:p w14:paraId="01E50460" w14:textId="77777777" w:rsidR="00000000" w:rsidRDefault="00C1661D">
      <w:pPr>
        <w:jc w:val="center"/>
        <w:divId w:val="1373072171"/>
        <w:rPr>
          <w:rFonts w:eastAsia="Times New Roman"/>
        </w:rPr>
      </w:pPr>
      <w:r>
        <w:rPr>
          <w:rFonts w:eastAsia="Times New Roman"/>
          <w:color w:val="000000"/>
          <w:sz w:val="20"/>
          <w:szCs w:val="20"/>
        </w:rPr>
        <w:t>64</w:t>
      </w:r>
    </w:p>
    <w:p w14:paraId="49E58230" w14:textId="77777777" w:rsidR="00000000" w:rsidRDefault="00C1661D">
      <w:pPr>
        <w:rPr>
          <w:rFonts w:eastAsia="Times New Roman"/>
        </w:rPr>
      </w:pPr>
      <w:r>
        <w:rPr>
          <w:rFonts w:eastAsia="Times New Roman"/>
        </w:rPr>
        <w:pict w14:anchorId="0C89A6BE">
          <v:rect id="_x0000_i1091" style="width:0;height:1.5pt" o:hralign="center" o:hrstd="t" o:hr="t" fillcolor="#a0a0a0" stroked="f"/>
        </w:pict>
      </w:r>
    </w:p>
    <w:p w14:paraId="04C03577" w14:textId="77777777" w:rsidR="00000000" w:rsidRDefault="00C1661D">
      <w:pPr>
        <w:divId w:val="1302344692"/>
        <w:rPr>
          <w:rFonts w:eastAsia="Times New Roman"/>
        </w:rPr>
      </w:pPr>
      <w:hyperlink w:anchor="i3850c3c6c0104e42b9951aac2f16098a_7" w:history="1">
        <w:r>
          <w:rPr>
            <w:rStyle w:val="a3"/>
            <w:rFonts w:eastAsia="Times New Roman"/>
            <w:b/>
            <w:bCs/>
            <w:sz w:val="20"/>
            <w:szCs w:val="20"/>
          </w:rPr>
          <w:t>Table of Contents</w:t>
        </w:r>
      </w:hyperlink>
    </w:p>
    <w:p w14:paraId="5CCFD3BF" w14:textId="77777777" w:rsidR="00000000" w:rsidRDefault="00C1661D">
      <w:pPr>
        <w:jc w:val="both"/>
        <w:divId w:val="910768970"/>
        <w:rPr>
          <w:rFonts w:eastAsia="Times New Roman"/>
        </w:rPr>
      </w:pPr>
      <w:r>
        <w:rPr>
          <w:rFonts w:eastAsia="Times New Roman"/>
          <w:color w:val="000000"/>
          <w:sz w:val="20"/>
          <w:szCs w:val="20"/>
        </w:rPr>
        <w:t>of a downgrade of the Partnership’s debt rating. At September 30, 2022, if the c</w:t>
      </w:r>
      <w:r>
        <w:rPr>
          <w:rFonts w:eastAsia="Times New Roman"/>
          <w:color w:val="000000"/>
          <w:sz w:val="20"/>
          <w:szCs w:val="20"/>
        </w:rPr>
        <w:t>redit-risk-related contingent features were triggered, the amount of collateral required to be posted would not be material.</w:t>
      </w:r>
    </w:p>
    <w:p w14:paraId="2BFB2519" w14:textId="77777777" w:rsidR="00000000" w:rsidRDefault="00C1661D">
      <w:pPr>
        <w:jc w:val="both"/>
        <w:divId w:val="434448918"/>
        <w:rPr>
          <w:rFonts w:eastAsia="Times New Roman"/>
        </w:rPr>
      </w:pPr>
      <w:r>
        <w:rPr>
          <w:rFonts w:eastAsia="Times New Roman"/>
          <w:color w:val="000000"/>
          <w:sz w:val="20"/>
          <w:szCs w:val="20"/>
        </w:rPr>
        <w:t>The following table summarizes the fair values of unsettled market risk sensitive derivative instrument assets (liabilities) held a</w:t>
      </w:r>
      <w:r>
        <w:rPr>
          <w:rFonts w:eastAsia="Times New Roman"/>
          <w:color w:val="000000"/>
          <w:sz w:val="20"/>
          <w:szCs w:val="20"/>
        </w:rPr>
        <w:t>t September 30, 2022 and changes in their fair values due to market risks. Certain of UGI Utilities’ commodity derivative instruments are excluded from the table below because any associated net gains or losses are refundable to or recoverable from custome</w:t>
      </w:r>
      <w:r>
        <w:rPr>
          <w:rFonts w:eastAsia="Times New Roman"/>
          <w:color w:val="000000"/>
          <w:sz w:val="20"/>
          <w:szCs w:val="20"/>
        </w:rPr>
        <w:t>rs in accordance with UGI Utilities ratemaking.</w:t>
      </w:r>
    </w:p>
    <w:tbl>
      <w:tblPr>
        <w:tblW w:w="4985" w:type="pct"/>
        <w:tblCellMar>
          <w:top w:w="15" w:type="dxa"/>
          <w:left w:w="15" w:type="dxa"/>
          <w:bottom w:w="15" w:type="dxa"/>
          <w:right w:w="15" w:type="dxa"/>
        </w:tblCellMar>
        <w:tblLook w:val="04A0" w:firstRow="1" w:lastRow="0" w:firstColumn="1" w:lastColumn="0" w:noHBand="0" w:noVBand="1"/>
      </w:tblPr>
      <w:tblGrid>
        <w:gridCol w:w="39"/>
        <w:gridCol w:w="6082"/>
        <w:gridCol w:w="38"/>
        <w:gridCol w:w="36"/>
        <w:gridCol w:w="36"/>
        <w:gridCol w:w="36"/>
        <w:gridCol w:w="120"/>
        <w:gridCol w:w="796"/>
        <w:gridCol w:w="36"/>
        <w:gridCol w:w="36"/>
        <w:gridCol w:w="36"/>
        <w:gridCol w:w="36"/>
        <w:gridCol w:w="121"/>
        <w:gridCol w:w="797"/>
        <w:gridCol w:w="36"/>
      </w:tblGrid>
      <w:tr w:rsidR="00000000" w14:paraId="7B78D3B2" w14:textId="77777777">
        <w:tc>
          <w:tcPr>
            <w:tcW w:w="50" w:type="pct"/>
            <w:vAlign w:val="center"/>
            <w:hideMark/>
          </w:tcPr>
          <w:p w14:paraId="5CCAFA56" w14:textId="77777777" w:rsidR="00000000" w:rsidRDefault="00C1661D">
            <w:pPr>
              <w:jc w:val="both"/>
              <w:rPr>
                <w:rFonts w:eastAsia="Times New Roman"/>
              </w:rPr>
            </w:pPr>
          </w:p>
        </w:tc>
        <w:tc>
          <w:tcPr>
            <w:tcW w:w="3698" w:type="pct"/>
            <w:vAlign w:val="center"/>
            <w:hideMark/>
          </w:tcPr>
          <w:p w14:paraId="71F28F4E" w14:textId="77777777" w:rsidR="00000000" w:rsidRDefault="00C1661D">
            <w:pPr>
              <w:spacing w:after="100"/>
              <w:rPr>
                <w:rFonts w:eastAsia="Times New Roman"/>
                <w:sz w:val="20"/>
                <w:szCs w:val="20"/>
              </w:rPr>
            </w:pPr>
          </w:p>
        </w:tc>
        <w:tc>
          <w:tcPr>
            <w:tcW w:w="5" w:type="pct"/>
            <w:vAlign w:val="center"/>
            <w:hideMark/>
          </w:tcPr>
          <w:p w14:paraId="017089EB" w14:textId="77777777" w:rsidR="00000000" w:rsidRDefault="00C1661D">
            <w:pPr>
              <w:spacing w:after="100"/>
              <w:rPr>
                <w:rFonts w:eastAsia="Times New Roman"/>
                <w:sz w:val="20"/>
                <w:szCs w:val="20"/>
              </w:rPr>
            </w:pPr>
          </w:p>
        </w:tc>
        <w:tc>
          <w:tcPr>
            <w:tcW w:w="5" w:type="pct"/>
            <w:vAlign w:val="center"/>
            <w:hideMark/>
          </w:tcPr>
          <w:p w14:paraId="5567A31C" w14:textId="77777777" w:rsidR="00000000" w:rsidRDefault="00C1661D">
            <w:pPr>
              <w:spacing w:after="100"/>
              <w:rPr>
                <w:rFonts w:eastAsia="Times New Roman"/>
                <w:sz w:val="20"/>
                <w:szCs w:val="20"/>
              </w:rPr>
            </w:pPr>
          </w:p>
        </w:tc>
        <w:tc>
          <w:tcPr>
            <w:tcW w:w="26" w:type="pct"/>
            <w:vAlign w:val="center"/>
            <w:hideMark/>
          </w:tcPr>
          <w:p w14:paraId="03E93F7F" w14:textId="77777777" w:rsidR="00000000" w:rsidRDefault="00C1661D">
            <w:pPr>
              <w:spacing w:after="100"/>
              <w:rPr>
                <w:rFonts w:eastAsia="Times New Roman"/>
                <w:sz w:val="20"/>
                <w:szCs w:val="20"/>
              </w:rPr>
            </w:pPr>
          </w:p>
        </w:tc>
        <w:tc>
          <w:tcPr>
            <w:tcW w:w="5" w:type="pct"/>
            <w:vAlign w:val="center"/>
            <w:hideMark/>
          </w:tcPr>
          <w:p w14:paraId="26358D4E" w14:textId="77777777" w:rsidR="00000000" w:rsidRDefault="00C1661D">
            <w:pPr>
              <w:spacing w:after="100"/>
              <w:rPr>
                <w:rFonts w:eastAsia="Times New Roman"/>
                <w:sz w:val="20"/>
                <w:szCs w:val="20"/>
              </w:rPr>
            </w:pPr>
          </w:p>
        </w:tc>
        <w:tc>
          <w:tcPr>
            <w:tcW w:w="50" w:type="pct"/>
            <w:vAlign w:val="center"/>
            <w:hideMark/>
          </w:tcPr>
          <w:p w14:paraId="6F7ABC94" w14:textId="77777777" w:rsidR="00000000" w:rsidRDefault="00C1661D">
            <w:pPr>
              <w:spacing w:after="100"/>
              <w:rPr>
                <w:rFonts w:eastAsia="Times New Roman"/>
                <w:sz w:val="20"/>
                <w:szCs w:val="20"/>
              </w:rPr>
            </w:pPr>
          </w:p>
        </w:tc>
        <w:tc>
          <w:tcPr>
            <w:tcW w:w="531" w:type="pct"/>
            <w:vAlign w:val="center"/>
            <w:hideMark/>
          </w:tcPr>
          <w:p w14:paraId="52A17266" w14:textId="77777777" w:rsidR="00000000" w:rsidRDefault="00C1661D">
            <w:pPr>
              <w:spacing w:after="100"/>
              <w:rPr>
                <w:rFonts w:eastAsia="Times New Roman"/>
                <w:sz w:val="20"/>
                <w:szCs w:val="20"/>
              </w:rPr>
            </w:pPr>
          </w:p>
        </w:tc>
        <w:tc>
          <w:tcPr>
            <w:tcW w:w="5" w:type="pct"/>
            <w:vAlign w:val="center"/>
            <w:hideMark/>
          </w:tcPr>
          <w:p w14:paraId="16AE9DFB" w14:textId="77777777" w:rsidR="00000000" w:rsidRDefault="00C1661D">
            <w:pPr>
              <w:spacing w:after="100"/>
              <w:rPr>
                <w:rFonts w:eastAsia="Times New Roman"/>
                <w:sz w:val="20"/>
                <w:szCs w:val="20"/>
              </w:rPr>
            </w:pPr>
          </w:p>
        </w:tc>
        <w:tc>
          <w:tcPr>
            <w:tcW w:w="5" w:type="pct"/>
            <w:vAlign w:val="center"/>
            <w:hideMark/>
          </w:tcPr>
          <w:p w14:paraId="43EF6161" w14:textId="77777777" w:rsidR="00000000" w:rsidRDefault="00C1661D">
            <w:pPr>
              <w:spacing w:after="100"/>
              <w:rPr>
                <w:rFonts w:eastAsia="Times New Roman"/>
                <w:sz w:val="20"/>
                <w:szCs w:val="20"/>
              </w:rPr>
            </w:pPr>
          </w:p>
        </w:tc>
        <w:tc>
          <w:tcPr>
            <w:tcW w:w="26" w:type="pct"/>
            <w:vAlign w:val="center"/>
            <w:hideMark/>
          </w:tcPr>
          <w:p w14:paraId="51778CBF" w14:textId="77777777" w:rsidR="00000000" w:rsidRDefault="00C1661D">
            <w:pPr>
              <w:spacing w:after="100"/>
              <w:rPr>
                <w:rFonts w:eastAsia="Times New Roman"/>
                <w:sz w:val="20"/>
                <w:szCs w:val="20"/>
              </w:rPr>
            </w:pPr>
          </w:p>
        </w:tc>
        <w:tc>
          <w:tcPr>
            <w:tcW w:w="5" w:type="pct"/>
            <w:vAlign w:val="center"/>
            <w:hideMark/>
          </w:tcPr>
          <w:p w14:paraId="725F524D" w14:textId="77777777" w:rsidR="00000000" w:rsidRDefault="00C1661D">
            <w:pPr>
              <w:spacing w:after="100"/>
              <w:rPr>
                <w:rFonts w:eastAsia="Times New Roman"/>
                <w:sz w:val="20"/>
                <w:szCs w:val="20"/>
              </w:rPr>
            </w:pPr>
          </w:p>
        </w:tc>
        <w:tc>
          <w:tcPr>
            <w:tcW w:w="50" w:type="pct"/>
            <w:vAlign w:val="center"/>
            <w:hideMark/>
          </w:tcPr>
          <w:p w14:paraId="4DE548C9" w14:textId="77777777" w:rsidR="00000000" w:rsidRDefault="00C1661D">
            <w:pPr>
              <w:spacing w:after="100"/>
              <w:rPr>
                <w:rFonts w:eastAsia="Times New Roman"/>
                <w:sz w:val="20"/>
                <w:szCs w:val="20"/>
              </w:rPr>
            </w:pPr>
          </w:p>
        </w:tc>
        <w:tc>
          <w:tcPr>
            <w:tcW w:w="531" w:type="pct"/>
            <w:vAlign w:val="center"/>
            <w:hideMark/>
          </w:tcPr>
          <w:p w14:paraId="702627C0" w14:textId="77777777" w:rsidR="00000000" w:rsidRDefault="00C1661D">
            <w:pPr>
              <w:spacing w:after="100"/>
              <w:rPr>
                <w:rFonts w:eastAsia="Times New Roman"/>
                <w:sz w:val="20"/>
                <w:szCs w:val="20"/>
              </w:rPr>
            </w:pPr>
          </w:p>
        </w:tc>
        <w:tc>
          <w:tcPr>
            <w:tcW w:w="5" w:type="pct"/>
            <w:vAlign w:val="center"/>
            <w:hideMark/>
          </w:tcPr>
          <w:p w14:paraId="02CFDDB3" w14:textId="77777777" w:rsidR="00000000" w:rsidRDefault="00C1661D">
            <w:pPr>
              <w:spacing w:after="100"/>
              <w:rPr>
                <w:rFonts w:eastAsia="Times New Roman"/>
                <w:sz w:val="20"/>
                <w:szCs w:val="20"/>
              </w:rPr>
            </w:pPr>
          </w:p>
        </w:tc>
      </w:tr>
      <w:tr w:rsidR="00000000" w14:paraId="71F92100" w14:textId="77777777">
        <w:tc>
          <w:tcPr>
            <w:tcW w:w="0" w:type="auto"/>
            <w:gridSpan w:val="3"/>
            <w:tcMar>
              <w:top w:w="0" w:type="dxa"/>
              <w:left w:w="20" w:type="dxa"/>
              <w:bottom w:w="0" w:type="dxa"/>
              <w:right w:w="20" w:type="dxa"/>
            </w:tcMar>
            <w:vAlign w:val="center"/>
            <w:hideMark/>
          </w:tcPr>
          <w:p w14:paraId="655E524B"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87F71D" w14:textId="77777777" w:rsidR="00000000" w:rsidRDefault="00C1661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11FF4A4" w14:textId="77777777" w:rsidR="00000000" w:rsidRDefault="00C1661D">
            <w:pPr>
              <w:spacing w:after="100"/>
              <w:jc w:val="center"/>
              <w:rPr>
                <w:rFonts w:eastAsia="Times New Roman"/>
              </w:rPr>
            </w:pPr>
            <w:r>
              <w:rPr>
                <w:rFonts w:eastAsia="Times New Roman"/>
                <w:color w:val="000000"/>
                <w:sz w:val="20"/>
                <w:szCs w:val="20"/>
              </w:rPr>
              <w:t>Asset (Liability)</w:t>
            </w:r>
          </w:p>
        </w:tc>
      </w:tr>
      <w:tr w:rsidR="00000000" w14:paraId="4F13364D" w14:textId="77777777">
        <w:tc>
          <w:tcPr>
            <w:tcW w:w="0" w:type="auto"/>
            <w:gridSpan w:val="3"/>
            <w:tcMar>
              <w:top w:w="30" w:type="dxa"/>
              <w:left w:w="20" w:type="dxa"/>
              <w:bottom w:w="30" w:type="dxa"/>
              <w:right w:w="20" w:type="dxa"/>
            </w:tcMar>
            <w:vAlign w:val="bottom"/>
            <w:hideMark/>
          </w:tcPr>
          <w:p w14:paraId="7D73ECB7" w14:textId="77777777" w:rsidR="00000000" w:rsidRDefault="00C1661D">
            <w:pPr>
              <w:spacing w:after="100"/>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14:paraId="634D2216" w14:textId="77777777" w:rsidR="00000000" w:rsidRDefault="00C1661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219EB4" w14:textId="77777777" w:rsidR="00000000" w:rsidRDefault="00C1661D">
            <w:pPr>
              <w:spacing w:after="100"/>
              <w:jc w:val="center"/>
              <w:rPr>
                <w:rFonts w:eastAsia="Times New Roman"/>
              </w:rPr>
            </w:pPr>
            <w:r>
              <w:rPr>
                <w:rFonts w:eastAsia="Times New Roman"/>
                <w:color w:val="000000"/>
                <w:sz w:val="20"/>
                <w:szCs w:val="20"/>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21D22AC5"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BF9711" w14:textId="77777777" w:rsidR="00000000" w:rsidRDefault="00C1661D">
            <w:pPr>
              <w:spacing w:after="100"/>
              <w:jc w:val="center"/>
              <w:rPr>
                <w:rFonts w:eastAsia="Times New Roman"/>
              </w:rPr>
            </w:pPr>
            <w:r>
              <w:rPr>
                <w:rFonts w:eastAsia="Times New Roman"/>
                <w:color w:val="000000"/>
                <w:sz w:val="20"/>
                <w:szCs w:val="20"/>
              </w:rPr>
              <w:t>Change in</w:t>
            </w:r>
            <w:r>
              <w:rPr>
                <w:rFonts w:eastAsia="Times New Roman"/>
                <w:color w:val="000000"/>
                <w:sz w:val="20"/>
                <w:szCs w:val="20"/>
              </w:rPr>
              <w:br/>
              <w:t>Fair Value</w:t>
            </w:r>
          </w:p>
        </w:tc>
      </w:tr>
      <w:tr w:rsidR="00000000" w14:paraId="40044B8D" w14:textId="77777777">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F16FA9F" w14:textId="77777777" w:rsidR="00000000" w:rsidRDefault="00C1661D">
            <w:pPr>
              <w:spacing w:after="100"/>
              <w:rPr>
                <w:rFonts w:eastAsia="Times New Roman"/>
              </w:rPr>
            </w:pPr>
            <w:r>
              <w:rPr>
                <w:rFonts w:eastAsia="Times New Roman"/>
                <w:b/>
                <w:bCs/>
                <w:color w:val="000000"/>
                <w:sz w:val="20"/>
                <w:szCs w:val="20"/>
              </w:rPr>
              <w:t>September 30, 2022</w:t>
            </w:r>
          </w:p>
        </w:tc>
        <w:tc>
          <w:tcPr>
            <w:tcW w:w="0" w:type="auto"/>
            <w:gridSpan w:val="3"/>
            <w:shd w:val="clear" w:color="auto" w:fill="CCEEFF"/>
            <w:tcMar>
              <w:top w:w="0" w:type="dxa"/>
              <w:left w:w="20" w:type="dxa"/>
              <w:bottom w:w="0" w:type="dxa"/>
              <w:right w:w="20" w:type="dxa"/>
            </w:tcMar>
            <w:vAlign w:val="center"/>
            <w:hideMark/>
          </w:tcPr>
          <w:p w14:paraId="1F9966A7"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B03D3AE"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CDCB133"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986B615" w14:textId="77777777" w:rsidR="00000000" w:rsidRDefault="00C1661D">
            <w:pPr>
              <w:spacing w:after="100"/>
              <w:rPr>
                <w:rFonts w:eastAsia="Times New Roman"/>
              </w:rPr>
            </w:pPr>
            <w:r>
              <w:rPr>
                <w:rFonts w:eastAsia="Times New Roman"/>
                <w:color w:val="000000"/>
                <w:sz w:val="20"/>
                <w:szCs w:val="20"/>
              </w:rPr>
              <w:t> </w:t>
            </w:r>
          </w:p>
        </w:tc>
      </w:tr>
      <w:tr w:rsidR="00000000" w14:paraId="02F63616" w14:textId="77777777">
        <w:tc>
          <w:tcPr>
            <w:tcW w:w="0" w:type="auto"/>
            <w:gridSpan w:val="3"/>
            <w:shd w:val="clear" w:color="auto" w:fill="FFFFFF"/>
            <w:tcMar>
              <w:top w:w="30" w:type="dxa"/>
              <w:left w:w="155" w:type="dxa"/>
              <w:bottom w:w="30" w:type="dxa"/>
              <w:right w:w="20" w:type="dxa"/>
            </w:tcMar>
            <w:vAlign w:val="bottom"/>
            <w:hideMark/>
          </w:tcPr>
          <w:p w14:paraId="7FD326E0" w14:textId="77777777" w:rsidR="00000000" w:rsidRDefault="00C1661D">
            <w:pPr>
              <w:spacing w:after="100"/>
              <w:rPr>
                <w:rFonts w:eastAsia="Times New Roman"/>
              </w:rPr>
            </w:pPr>
            <w:r>
              <w:rPr>
                <w:rFonts w:eastAsia="Times New Roman"/>
                <w:color w:val="000000"/>
                <w:sz w:val="20"/>
                <w:szCs w:val="20"/>
              </w:rPr>
              <w:t>Commodity price risk (1)</w:t>
            </w:r>
          </w:p>
        </w:tc>
        <w:tc>
          <w:tcPr>
            <w:tcW w:w="0" w:type="auto"/>
            <w:gridSpan w:val="3"/>
            <w:shd w:val="clear" w:color="auto" w:fill="FFFFFF"/>
            <w:tcMar>
              <w:top w:w="0" w:type="dxa"/>
              <w:left w:w="20" w:type="dxa"/>
              <w:bottom w:w="0" w:type="dxa"/>
              <w:right w:w="20" w:type="dxa"/>
            </w:tcMar>
            <w:vAlign w:val="center"/>
            <w:hideMark/>
          </w:tcPr>
          <w:p w14:paraId="62876A97"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0110F9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98F69BF" w14:textId="77777777" w:rsidR="00000000" w:rsidRDefault="00C1661D">
            <w:pPr>
              <w:spacing w:after="100"/>
              <w:jc w:val="right"/>
              <w:rPr>
                <w:rFonts w:eastAsia="Times New Roman"/>
              </w:rPr>
            </w:pPr>
            <w:r>
              <w:rPr>
                <w:rFonts w:eastAsia="Times New Roman"/>
                <w:color w:val="000000"/>
                <w:sz w:val="20"/>
                <w:szCs w:val="20"/>
              </w:rPr>
              <w:t>1,715 </w:t>
            </w:r>
          </w:p>
        </w:tc>
        <w:tc>
          <w:tcPr>
            <w:tcW w:w="0" w:type="auto"/>
            <w:shd w:val="clear" w:color="auto" w:fill="FFFFFF"/>
            <w:tcMar>
              <w:top w:w="30" w:type="dxa"/>
              <w:left w:w="0" w:type="dxa"/>
              <w:bottom w:w="30" w:type="dxa"/>
              <w:right w:w="20" w:type="dxa"/>
            </w:tcMar>
            <w:vAlign w:val="bottom"/>
            <w:hideMark/>
          </w:tcPr>
          <w:p w14:paraId="7DD89B1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C23BCF"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B7D639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638223" w14:textId="77777777" w:rsidR="00000000" w:rsidRDefault="00C1661D">
            <w:pPr>
              <w:spacing w:after="100"/>
              <w:jc w:val="right"/>
              <w:rPr>
                <w:rFonts w:eastAsia="Times New Roman"/>
              </w:rPr>
            </w:pPr>
            <w:r>
              <w:rPr>
                <w:rFonts w:eastAsia="Times New Roman"/>
                <w:color w:val="000000"/>
                <w:sz w:val="20"/>
                <w:szCs w:val="20"/>
              </w:rPr>
              <w:t>(353)</w:t>
            </w:r>
          </w:p>
        </w:tc>
        <w:tc>
          <w:tcPr>
            <w:tcW w:w="0" w:type="auto"/>
            <w:shd w:val="clear" w:color="auto" w:fill="FFFFFF"/>
            <w:tcMar>
              <w:top w:w="30" w:type="dxa"/>
              <w:left w:w="0" w:type="dxa"/>
              <w:bottom w:w="30" w:type="dxa"/>
              <w:right w:w="20" w:type="dxa"/>
            </w:tcMar>
            <w:vAlign w:val="bottom"/>
            <w:hideMark/>
          </w:tcPr>
          <w:p w14:paraId="7884351B" w14:textId="77777777" w:rsidR="00000000" w:rsidRDefault="00C1661D">
            <w:pPr>
              <w:spacing w:after="100"/>
              <w:jc w:val="right"/>
              <w:rPr>
                <w:rFonts w:eastAsia="Times New Roman"/>
              </w:rPr>
            </w:pPr>
          </w:p>
        </w:tc>
      </w:tr>
      <w:tr w:rsidR="00000000" w14:paraId="5238C4F6" w14:textId="77777777">
        <w:tc>
          <w:tcPr>
            <w:tcW w:w="0" w:type="auto"/>
            <w:gridSpan w:val="3"/>
            <w:shd w:val="clear" w:color="auto" w:fill="CCEEFF"/>
            <w:tcMar>
              <w:top w:w="30" w:type="dxa"/>
              <w:left w:w="155" w:type="dxa"/>
              <w:bottom w:w="30" w:type="dxa"/>
              <w:right w:w="20" w:type="dxa"/>
            </w:tcMar>
            <w:vAlign w:val="bottom"/>
            <w:hideMark/>
          </w:tcPr>
          <w:p w14:paraId="3A85A569" w14:textId="77777777" w:rsidR="00000000" w:rsidRDefault="00C1661D">
            <w:pPr>
              <w:spacing w:after="100"/>
              <w:rPr>
                <w:rFonts w:eastAsia="Times New Roman"/>
              </w:rPr>
            </w:pPr>
            <w:r>
              <w:rPr>
                <w:rFonts w:eastAsia="Times New Roman"/>
                <w:color w:val="000000"/>
                <w:sz w:val="20"/>
                <w:szCs w:val="20"/>
              </w:rPr>
              <w:t>Interest rate risk (2)</w:t>
            </w:r>
          </w:p>
        </w:tc>
        <w:tc>
          <w:tcPr>
            <w:tcW w:w="0" w:type="auto"/>
            <w:gridSpan w:val="3"/>
            <w:shd w:val="clear" w:color="auto" w:fill="CCEEFF"/>
            <w:tcMar>
              <w:top w:w="0" w:type="dxa"/>
              <w:left w:w="20" w:type="dxa"/>
              <w:bottom w:w="0" w:type="dxa"/>
              <w:right w:w="20" w:type="dxa"/>
            </w:tcMar>
            <w:vAlign w:val="center"/>
            <w:hideMark/>
          </w:tcPr>
          <w:p w14:paraId="3427888F"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BAEB78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8C2BCBC" w14:textId="77777777" w:rsidR="00000000" w:rsidRDefault="00C1661D">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14:paraId="51CF4F4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219F4E"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E9298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0EA4694" w14:textId="77777777" w:rsidR="00000000" w:rsidRDefault="00C1661D">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14:paraId="76A27A3F" w14:textId="77777777" w:rsidR="00000000" w:rsidRDefault="00C1661D">
            <w:pPr>
              <w:spacing w:after="100"/>
              <w:jc w:val="right"/>
              <w:rPr>
                <w:rFonts w:eastAsia="Times New Roman"/>
              </w:rPr>
            </w:pPr>
          </w:p>
        </w:tc>
      </w:tr>
      <w:tr w:rsidR="00000000" w14:paraId="11C5D56D" w14:textId="77777777">
        <w:tc>
          <w:tcPr>
            <w:tcW w:w="0" w:type="auto"/>
            <w:gridSpan w:val="3"/>
            <w:shd w:val="clear" w:color="auto" w:fill="FFFFFF"/>
            <w:tcMar>
              <w:top w:w="30" w:type="dxa"/>
              <w:left w:w="155" w:type="dxa"/>
              <w:bottom w:w="30" w:type="dxa"/>
              <w:right w:w="20" w:type="dxa"/>
            </w:tcMar>
            <w:vAlign w:val="bottom"/>
            <w:hideMark/>
          </w:tcPr>
          <w:p w14:paraId="66E8F7CB" w14:textId="77777777" w:rsidR="00000000" w:rsidRDefault="00C1661D">
            <w:pPr>
              <w:spacing w:after="100"/>
              <w:rPr>
                <w:rFonts w:eastAsia="Times New Roman"/>
              </w:rPr>
            </w:pPr>
            <w:r>
              <w:rPr>
                <w:rFonts w:eastAsia="Times New Roman"/>
                <w:color w:val="000000"/>
                <w:sz w:val="20"/>
                <w:szCs w:val="20"/>
              </w:rPr>
              <w:t>Foreign currency exchange rate risk (3)</w:t>
            </w:r>
          </w:p>
        </w:tc>
        <w:tc>
          <w:tcPr>
            <w:tcW w:w="0" w:type="auto"/>
            <w:gridSpan w:val="3"/>
            <w:shd w:val="clear" w:color="auto" w:fill="FFFFFF"/>
            <w:tcMar>
              <w:top w:w="0" w:type="dxa"/>
              <w:left w:w="20" w:type="dxa"/>
              <w:bottom w:w="0" w:type="dxa"/>
              <w:right w:w="20" w:type="dxa"/>
            </w:tcMar>
            <w:vAlign w:val="center"/>
            <w:hideMark/>
          </w:tcPr>
          <w:p w14:paraId="12770C34"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C1BD81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33EDDB3" w14:textId="77777777" w:rsidR="00000000" w:rsidRDefault="00C1661D">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2DCBFDF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DA895B"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BD42A5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56A4ED7" w14:textId="77777777" w:rsidR="00000000" w:rsidRDefault="00C1661D">
            <w:pPr>
              <w:spacing w:after="100"/>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14:paraId="5A5F36CA" w14:textId="77777777" w:rsidR="00000000" w:rsidRDefault="00C1661D">
            <w:pPr>
              <w:spacing w:after="100"/>
              <w:jc w:val="right"/>
              <w:rPr>
                <w:rFonts w:eastAsia="Times New Roman"/>
              </w:rPr>
            </w:pPr>
          </w:p>
        </w:tc>
      </w:tr>
    </w:tbl>
    <w:p w14:paraId="6D997B9B" w14:textId="77777777" w:rsidR="00000000" w:rsidRDefault="00C1661D">
      <w:pPr>
        <w:ind w:hanging="360"/>
        <w:jc w:val="both"/>
        <w:rPr>
          <w:rFonts w:eastAsia="Times New Roman"/>
        </w:rPr>
      </w:pPr>
      <w:r>
        <w:rPr>
          <w:rFonts w:eastAsia="Times New Roman"/>
          <w:color w:val="000000"/>
          <w:sz w:val="20"/>
          <w:szCs w:val="20"/>
        </w:rPr>
        <w:t>(1)</w:t>
      </w:r>
      <w:r>
        <w:rPr>
          <w:rFonts w:eastAsia="Times New Roman"/>
          <w:color w:val="000000"/>
          <w:sz w:val="20"/>
          <w:szCs w:val="20"/>
        </w:rPr>
        <w:t>Change in fair value represents a 10% adverse change in the market prices of certain commodities</w:t>
      </w:r>
    </w:p>
    <w:p w14:paraId="3427CE50" w14:textId="77777777" w:rsidR="00000000" w:rsidRDefault="00C1661D">
      <w:pPr>
        <w:ind w:hanging="360"/>
        <w:jc w:val="both"/>
        <w:rPr>
          <w:rFonts w:eastAsia="Times New Roman"/>
        </w:rPr>
      </w:pPr>
      <w:r>
        <w:rPr>
          <w:rFonts w:eastAsia="Times New Roman"/>
          <w:color w:val="000000"/>
          <w:sz w:val="20"/>
          <w:szCs w:val="20"/>
        </w:rPr>
        <w:t>(2)</w:t>
      </w:r>
      <w:r>
        <w:rPr>
          <w:rFonts w:eastAsia="Times New Roman"/>
          <w:color w:val="000000"/>
          <w:sz w:val="20"/>
          <w:szCs w:val="20"/>
        </w:rPr>
        <w:t>Change in fair value represents a 50 basis point adverse change in prevailing market interest rates</w:t>
      </w:r>
    </w:p>
    <w:p w14:paraId="7622A734" w14:textId="77777777" w:rsidR="00000000" w:rsidRDefault="00C1661D">
      <w:pPr>
        <w:ind w:hanging="360"/>
        <w:jc w:val="both"/>
        <w:rPr>
          <w:rFonts w:eastAsia="Times New Roman"/>
        </w:rPr>
      </w:pPr>
      <w:r>
        <w:rPr>
          <w:rFonts w:eastAsia="Times New Roman"/>
          <w:color w:val="000000"/>
          <w:sz w:val="20"/>
          <w:szCs w:val="20"/>
        </w:rPr>
        <w:t>(3)Change in fair value represents a 10% adverse change in the value of the Euro and the British pound sterling versus the USD.</w:t>
      </w:r>
    </w:p>
    <w:p w14:paraId="2A75756C" w14:textId="77777777" w:rsidR="00000000" w:rsidRDefault="00C1661D">
      <w:pPr>
        <w:divId w:val="1946882752"/>
        <w:rPr>
          <w:rFonts w:eastAsia="Times New Roman"/>
        </w:rPr>
      </w:pPr>
    </w:p>
    <w:p w14:paraId="772669B4" w14:textId="77777777" w:rsidR="00000000" w:rsidRDefault="00C1661D">
      <w:pPr>
        <w:jc w:val="both"/>
        <w:rPr>
          <w:rFonts w:eastAsia="Times New Roman"/>
        </w:rPr>
      </w:pPr>
      <w:r>
        <w:rPr>
          <w:rFonts w:eastAsia="Times New Roman"/>
          <w:b/>
          <w:bCs/>
          <w:color w:val="000000"/>
          <w:sz w:val="20"/>
          <w:szCs w:val="20"/>
          <w:u w:val="single"/>
        </w:rPr>
        <w:t>Critical Accounting Polici</w:t>
      </w:r>
      <w:r>
        <w:rPr>
          <w:rFonts w:eastAsia="Times New Roman"/>
          <w:b/>
          <w:bCs/>
          <w:color w:val="000000"/>
          <w:sz w:val="20"/>
          <w:szCs w:val="20"/>
          <w:u w:val="single"/>
        </w:rPr>
        <w:t>es and Estimates</w:t>
      </w:r>
    </w:p>
    <w:p w14:paraId="17B20472" w14:textId="77777777" w:rsidR="00000000" w:rsidRDefault="00C1661D">
      <w:pPr>
        <w:jc w:val="both"/>
        <w:divId w:val="1348024165"/>
        <w:rPr>
          <w:rFonts w:eastAsia="Times New Roman"/>
        </w:rPr>
      </w:pPr>
      <w:r>
        <w:rPr>
          <w:rFonts w:eastAsia="Times New Roman"/>
          <w:color w:val="000000"/>
          <w:sz w:val="20"/>
          <w:szCs w:val="20"/>
        </w:rPr>
        <w:t>The accounting policies and estimates discussed in this section are those that we consider to be the most critical to an understanding of our financial statements because they involve significant judgments and uncertainties. The applicatio</w:t>
      </w:r>
      <w:r>
        <w:rPr>
          <w:rFonts w:eastAsia="Times New Roman"/>
          <w:color w:val="000000"/>
          <w:sz w:val="20"/>
          <w:szCs w:val="20"/>
        </w:rPr>
        <w:t>n of these accounting policies and estimates necessarily requires management’s most subjective or complex judgments regarding estimates and projected outcomes of future events. Changes in these policies and estimates could have a material effect on our fin</w:t>
      </w:r>
      <w:r>
        <w:rPr>
          <w:rFonts w:eastAsia="Times New Roman"/>
          <w:color w:val="000000"/>
          <w:sz w:val="20"/>
          <w:szCs w:val="20"/>
        </w:rPr>
        <w:t>ancial statements. Management has reviewed these critical accounting policies, and the estimates and assumptions associated with them, with the Company’s Audit Committee. Also, see Note 2 to Consolidated Financial Statements which discusses our significant</w:t>
      </w:r>
      <w:r>
        <w:rPr>
          <w:rFonts w:eastAsia="Times New Roman"/>
          <w:color w:val="000000"/>
          <w:sz w:val="20"/>
          <w:szCs w:val="20"/>
        </w:rPr>
        <w:t xml:space="preserve"> accounting policies.</w:t>
      </w:r>
    </w:p>
    <w:p w14:paraId="23614C2D" w14:textId="77777777" w:rsidR="00000000" w:rsidRDefault="00C1661D">
      <w:pPr>
        <w:jc w:val="both"/>
        <w:divId w:val="870269339"/>
        <w:rPr>
          <w:rFonts w:eastAsia="Times New Roman"/>
        </w:rPr>
      </w:pPr>
      <w:r>
        <w:rPr>
          <w:rFonts w:eastAsia="Times New Roman"/>
          <w:b/>
          <w:bCs/>
          <w:color w:val="000000"/>
          <w:sz w:val="20"/>
          <w:szCs w:val="20"/>
        </w:rPr>
        <w:t>Goodwill Impairment Evaluation.</w:t>
      </w:r>
      <w:r>
        <w:rPr>
          <w:rFonts w:eastAsia="Times New Roman"/>
          <w:color w:val="000000"/>
          <w:sz w:val="20"/>
          <w:szCs w:val="20"/>
        </w:rPr>
        <w:t xml:space="preserve"> Our goodwill is the result of business acquisitions. We do not amortize goodwill, but test it at least annually for impairment at the reporting unit level. A reporting unit is an operating segment, or o</w:t>
      </w:r>
      <w:r>
        <w:rPr>
          <w:rFonts w:eastAsia="Times New Roman"/>
          <w:color w:val="000000"/>
          <w:sz w:val="20"/>
          <w:szCs w:val="20"/>
        </w:rPr>
        <w:t xml:space="preserve">ne level below an operating segment (a component), if it constitutes a business for which discrete financial information is available and regularly reviewed by segment management. Components are aggregated into a single reporting unit if they have similar </w:t>
      </w:r>
      <w:r>
        <w:rPr>
          <w:rFonts w:eastAsia="Times New Roman"/>
          <w:color w:val="000000"/>
          <w:sz w:val="20"/>
          <w:szCs w:val="20"/>
        </w:rPr>
        <w:t>economic characteristics. A reporting unit with goodwill is required to perform an impairment test annually or whenever events or circumstances indicate that the value of goodwill may be impaired.</w:t>
      </w:r>
    </w:p>
    <w:p w14:paraId="66B42E1E" w14:textId="77777777" w:rsidR="00000000" w:rsidRDefault="00C1661D">
      <w:pPr>
        <w:jc w:val="both"/>
        <w:divId w:val="1638685924"/>
        <w:rPr>
          <w:rFonts w:eastAsia="Times New Roman"/>
        </w:rPr>
      </w:pPr>
      <w:r>
        <w:rPr>
          <w:rFonts w:eastAsia="Times New Roman"/>
          <w:color w:val="000000"/>
          <w:sz w:val="20"/>
          <w:szCs w:val="20"/>
        </w:rPr>
        <w:t>For certain of our reporting units with goodwill, we assess</w:t>
      </w:r>
      <w:r>
        <w:rPr>
          <w:rFonts w:eastAsia="Times New Roman"/>
          <w:color w:val="000000"/>
          <w:sz w:val="20"/>
          <w:szCs w:val="20"/>
        </w:rPr>
        <w:t xml:space="preserve"> qualitative factors to determine whether it is more likely than not that the fair value of such reporting unit is less than its carrying amount. For our other reporting units with goodwill, we bypass the qualitative assessment and perform the quantitative</w:t>
      </w:r>
      <w:r>
        <w:rPr>
          <w:rFonts w:eastAsia="Times New Roman"/>
          <w:color w:val="000000"/>
          <w:sz w:val="20"/>
          <w:szCs w:val="20"/>
        </w:rPr>
        <w:t xml:space="preserve"> assessment by comparing the fair values of the reporting units with their carrying amounts, including goodwill. We determine fair values generally based on a weighting of income and market approaches. For purposes of the income approach, fair values are d</w:t>
      </w:r>
      <w:r>
        <w:rPr>
          <w:rFonts w:eastAsia="Times New Roman"/>
          <w:color w:val="000000"/>
          <w:sz w:val="20"/>
          <w:szCs w:val="20"/>
        </w:rPr>
        <w:t>etermined based upon the present value of the reporting unit’s estimated future cash flows, including an estimate of the reporting unit’s terminal value based upon these cash flows, discounted at appropriate risk-adjusted rates. We use our internal forecas</w:t>
      </w:r>
      <w:r>
        <w:rPr>
          <w:rFonts w:eastAsia="Times New Roman"/>
          <w:color w:val="000000"/>
          <w:sz w:val="20"/>
          <w:szCs w:val="20"/>
        </w:rPr>
        <w:t xml:space="preserve">ts to estimate future cash flows, which may include estimates of long-term future growth rates based upon our most recent reviews of the long-term outlook for each reporting unit. Cash flow estimates used to establish fair values under our income approach </w:t>
      </w:r>
      <w:r>
        <w:rPr>
          <w:rFonts w:eastAsia="Times New Roman"/>
          <w:color w:val="000000"/>
          <w:sz w:val="20"/>
          <w:szCs w:val="20"/>
        </w:rPr>
        <w:t>involve management judgments based on a broad range of information and historical results. In addition, external economic and competitive conditions can influence future performance. For purposes of the market approach, we use valuation multiples for compa</w:t>
      </w:r>
      <w:r>
        <w:rPr>
          <w:rFonts w:eastAsia="Times New Roman"/>
          <w:color w:val="000000"/>
          <w:sz w:val="20"/>
          <w:szCs w:val="20"/>
        </w:rPr>
        <w:t>nies comparable to our reporting units. The market approach requires judgment to determine the appropriate valuation multiples. If the carrying amount of a reporting unit exceeds its fair value, an impairment loss is recognized in an amount equal to such e</w:t>
      </w:r>
      <w:r>
        <w:rPr>
          <w:rFonts w:eastAsia="Times New Roman"/>
          <w:color w:val="000000"/>
          <w:sz w:val="20"/>
          <w:szCs w:val="20"/>
        </w:rPr>
        <w:t xml:space="preserve">xcess but not to exceed the total amount of the goodwill of the reporting unit. As of September 30, 2022, our goodwill totaled $3,612 million. No impairments of goodwill were recorded during any of the periods presented. </w:t>
      </w:r>
    </w:p>
    <w:p w14:paraId="295A1196" w14:textId="77777777" w:rsidR="00000000" w:rsidRDefault="00C1661D">
      <w:pPr>
        <w:jc w:val="both"/>
        <w:divId w:val="842861583"/>
        <w:rPr>
          <w:rFonts w:eastAsia="Times New Roman"/>
        </w:rPr>
      </w:pPr>
      <w:r>
        <w:rPr>
          <w:rFonts w:eastAsia="Times New Roman"/>
          <w:color w:val="000000"/>
          <w:sz w:val="20"/>
          <w:szCs w:val="20"/>
        </w:rPr>
        <w:t>With respect to the AmeriGas Propa</w:t>
      </w:r>
      <w:r>
        <w:rPr>
          <w:rFonts w:eastAsia="Times New Roman"/>
          <w:color w:val="000000"/>
          <w:sz w:val="20"/>
          <w:szCs w:val="20"/>
        </w:rPr>
        <w:t>ne reporting unit’s Fiscal 2022 impairment test, we determined that AmeriGas Propane’s fair value exceeded its carrying value by approximately 30%. While the Company believes that its judgments used in the quantitative assessment of AmeriGas Propane’s fair</w:t>
      </w:r>
      <w:r>
        <w:rPr>
          <w:rFonts w:eastAsia="Times New Roman"/>
          <w:color w:val="000000"/>
          <w:sz w:val="20"/>
          <w:szCs w:val="20"/>
        </w:rPr>
        <w:t xml:space="preserve"> value are reasonable based upon currently available facts and circumstances, if AmeriGas Propane were not able to achieve its anticipated results and/or if its weighted average cost of capital were to increase, its fair value would be adversely affected, </w:t>
      </w:r>
      <w:r>
        <w:rPr>
          <w:rFonts w:eastAsia="Times New Roman"/>
          <w:color w:val="000000"/>
          <w:sz w:val="20"/>
          <w:szCs w:val="20"/>
        </w:rPr>
        <w:t xml:space="preserve">which may result in an impairment. There is approximately $2 </w:t>
      </w:r>
    </w:p>
    <w:p w14:paraId="7F61756A" w14:textId="77777777" w:rsidR="00000000" w:rsidRDefault="00C1661D">
      <w:pPr>
        <w:jc w:val="center"/>
        <w:divId w:val="755707775"/>
        <w:rPr>
          <w:rFonts w:eastAsia="Times New Roman"/>
        </w:rPr>
      </w:pPr>
      <w:r>
        <w:rPr>
          <w:rFonts w:eastAsia="Times New Roman"/>
          <w:color w:val="000000"/>
          <w:sz w:val="20"/>
          <w:szCs w:val="20"/>
        </w:rPr>
        <w:t>65</w:t>
      </w:r>
    </w:p>
    <w:p w14:paraId="58E2601D" w14:textId="77777777" w:rsidR="00000000" w:rsidRDefault="00C1661D">
      <w:pPr>
        <w:rPr>
          <w:rFonts w:eastAsia="Times New Roman"/>
        </w:rPr>
      </w:pPr>
      <w:r>
        <w:rPr>
          <w:rFonts w:eastAsia="Times New Roman"/>
        </w:rPr>
        <w:pict w14:anchorId="17CE90AE">
          <v:rect id="_x0000_i1092" style="width:0;height:1.5pt" o:hralign="center" o:hrstd="t" o:hr="t" fillcolor="#a0a0a0" stroked="f"/>
        </w:pict>
      </w:r>
    </w:p>
    <w:p w14:paraId="7F8E1511" w14:textId="77777777" w:rsidR="00000000" w:rsidRDefault="00C1661D">
      <w:pPr>
        <w:divId w:val="599799634"/>
        <w:rPr>
          <w:rFonts w:eastAsia="Times New Roman"/>
        </w:rPr>
      </w:pPr>
      <w:hyperlink w:anchor="i3850c3c6c0104e42b9951aac2f16098a_7" w:history="1">
        <w:r>
          <w:rPr>
            <w:rStyle w:val="a3"/>
            <w:rFonts w:eastAsia="Times New Roman"/>
            <w:b/>
            <w:bCs/>
            <w:sz w:val="20"/>
            <w:szCs w:val="20"/>
          </w:rPr>
          <w:t>Table of Contents</w:t>
        </w:r>
      </w:hyperlink>
    </w:p>
    <w:p w14:paraId="08CB39E5" w14:textId="77777777" w:rsidR="00000000" w:rsidRDefault="00C1661D">
      <w:pPr>
        <w:jc w:val="both"/>
        <w:divId w:val="280301991"/>
        <w:rPr>
          <w:rFonts w:eastAsia="Times New Roman"/>
        </w:rPr>
      </w:pPr>
      <w:r>
        <w:rPr>
          <w:rFonts w:eastAsia="Times New Roman"/>
          <w:color w:val="000000"/>
          <w:sz w:val="20"/>
          <w:szCs w:val="20"/>
        </w:rPr>
        <w:t>billion of goodwill in this reporting unit as of September 30, 2022. The Company will continue to monitor its reporting units and related goodwill for any possible future non-cash impairment charges.</w:t>
      </w:r>
    </w:p>
    <w:p w14:paraId="7778BE76" w14:textId="77777777" w:rsidR="00000000" w:rsidRDefault="00C1661D">
      <w:pPr>
        <w:jc w:val="both"/>
        <w:divId w:val="1362701777"/>
        <w:rPr>
          <w:rFonts w:eastAsia="Times New Roman"/>
        </w:rPr>
      </w:pPr>
      <w:r>
        <w:rPr>
          <w:rFonts w:eastAsia="Times New Roman"/>
          <w:b/>
          <w:bCs/>
          <w:color w:val="000000"/>
          <w:sz w:val="20"/>
          <w:szCs w:val="20"/>
        </w:rPr>
        <w:t>Impairment of Long-Lived Assets.</w:t>
      </w:r>
      <w:r>
        <w:rPr>
          <w:rFonts w:eastAsia="Times New Roman"/>
          <w:color w:val="000000"/>
          <w:sz w:val="20"/>
          <w:szCs w:val="20"/>
        </w:rPr>
        <w:t xml:space="preserve"> An impairment test for </w:t>
      </w:r>
      <w:r>
        <w:rPr>
          <w:rFonts w:eastAsia="Times New Roman"/>
          <w:color w:val="000000"/>
          <w:sz w:val="20"/>
          <w:szCs w:val="20"/>
        </w:rPr>
        <w:t>long-lived assets (or an asset group) is required when circumstances indicate that such assets may be impaired. If it is determined that a triggering event has occurred, we perform a recoverability test based upon estimated undiscounted cash flow projectio</w:t>
      </w:r>
      <w:r>
        <w:rPr>
          <w:rFonts w:eastAsia="Times New Roman"/>
          <w:color w:val="000000"/>
          <w:sz w:val="20"/>
          <w:szCs w:val="20"/>
        </w:rPr>
        <w:t>ns expected to be realized over the remaining useful life of the long-lived asset. If the undiscounted cash flows used in the recoverability test are less than the long-lived asset's carrying amount, we determine its fair value. If the fair value is determ</w:t>
      </w:r>
      <w:r>
        <w:rPr>
          <w:rFonts w:eastAsia="Times New Roman"/>
          <w:color w:val="000000"/>
          <w:sz w:val="20"/>
          <w:szCs w:val="20"/>
        </w:rPr>
        <w:t>ined to be less than its carrying amount, the long-lived asset is reduced to its estimated fair value and an impairment loss is recognized in an amount equal to such shortfall. When determining whether a long-lived asset has been impaired, management group</w:t>
      </w:r>
      <w:r>
        <w:rPr>
          <w:rFonts w:eastAsia="Times New Roman"/>
          <w:color w:val="000000"/>
          <w:sz w:val="20"/>
          <w:szCs w:val="20"/>
        </w:rPr>
        <w:t>s assets at the lowest level that has identifiable cash flows. Performing an impairment test on long-lived assets involves judgment in areas such as identifying when a triggering event requiring evaluation occurs; identifying and grouping assets; and, if t</w:t>
      </w:r>
      <w:r>
        <w:rPr>
          <w:rFonts w:eastAsia="Times New Roman"/>
          <w:color w:val="000000"/>
          <w:sz w:val="20"/>
          <w:szCs w:val="20"/>
        </w:rPr>
        <w:t xml:space="preserve">he undiscounted cash flows used in the recoverability test are less than the long-lived asset's carrying amount, determining the fair value of the long-lived asset. Although cash flow estimates are based upon relevant information at the time the estimates </w:t>
      </w:r>
      <w:r>
        <w:rPr>
          <w:rFonts w:eastAsia="Times New Roman"/>
          <w:color w:val="000000"/>
          <w:sz w:val="20"/>
          <w:szCs w:val="20"/>
        </w:rPr>
        <w:t>are made, estimates of future cash flows are by nature highly uncertain and contemplate factors that change over time such as the expected use of the asset including future production and sales volumes, expected fluctuations in prices of commodities and ex</w:t>
      </w:r>
      <w:r>
        <w:rPr>
          <w:rFonts w:eastAsia="Times New Roman"/>
          <w:color w:val="000000"/>
          <w:sz w:val="20"/>
          <w:szCs w:val="20"/>
        </w:rPr>
        <w:t>pected proceeds from disposition. See Note 5 to Consolidated Financial Statements for information on the impairment loss associated with the disposal of Conemaugh during the third quarter of Fiscal 2020. No other material provisions for impairments of long</w:t>
      </w:r>
      <w:r>
        <w:rPr>
          <w:rFonts w:eastAsia="Times New Roman"/>
          <w:color w:val="000000"/>
          <w:sz w:val="20"/>
          <w:szCs w:val="20"/>
        </w:rPr>
        <w:t>-lived assets were recorded during Fiscal 2022 or Fiscal 2021.</w:t>
      </w:r>
    </w:p>
    <w:p w14:paraId="6E2F9E83" w14:textId="77777777" w:rsidR="00000000" w:rsidRDefault="00C1661D">
      <w:pPr>
        <w:jc w:val="both"/>
        <w:divId w:val="1194883302"/>
        <w:rPr>
          <w:rFonts w:eastAsia="Times New Roman"/>
        </w:rPr>
      </w:pPr>
      <w:r>
        <w:rPr>
          <w:rFonts w:eastAsia="Times New Roman"/>
          <w:b/>
          <w:bCs/>
          <w:color w:val="000000"/>
          <w:sz w:val="20"/>
          <w:szCs w:val="20"/>
        </w:rPr>
        <w:t>Loss Contingencies and Environmental Remediation Liabilities.</w:t>
      </w:r>
      <w:r>
        <w:rPr>
          <w:rFonts w:eastAsia="Times New Roman"/>
          <w:color w:val="000000"/>
          <w:sz w:val="20"/>
          <w:szCs w:val="20"/>
        </w:rPr>
        <w:t xml:space="preserve"> We are involved in litigation that arises in the normal course of business, and we are subject to risk of loss for general, automob</w:t>
      </w:r>
      <w:r>
        <w:rPr>
          <w:rFonts w:eastAsia="Times New Roman"/>
          <w:color w:val="000000"/>
          <w:sz w:val="20"/>
          <w:szCs w:val="20"/>
        </w:rPr>
        <w:t>ile and product liability and workers’ compensation claims for which we obtain insurance coverage subject to self-insured retentions or deductibles. We are also subject to environmental laws and regulations intended to mitigate or remove the effects of pas</w:t>
      </w:r>
      <w:r>
        <w:rPr>
          <w:rFonts w:eastAsia="Times New Roman"/>
          <w:color w:val="000000"/>
          <w:sz w:val="20"/>
          <w:szCs w:val="20"/>
        </w:rPr>
        <w:t>t operations and improve or maintain the quality of the environment. These laws and regulations require the removal or remedy of the effect on the environment of the disposal or release of certain specified hazardous substances at current or former operati</w:t>
      </w:r>
      <w:r>
        <w:rPr>
          <w:rFonts w:eastAsia="Times New Roman"/>
          <w:color w:val="000000"/>
          <w:sz w:val="20"/>
          <w:szCs w:val="20"/>
        </w:rPr>
        <w:t>ng sites.</w:t>
      </w:r>
    </w:p>
    <w:p w14:paraId="33E10C4A" w14:textId="77777777" w:rsidR="00000000" w:rsidRDefault="00C1661D">
      <w:pPr>
        <w:jc w:val="both"/>
        <w:divId w:val="974800126"/>
        <w:rPr>
          <w:rFonts w:eastAsia="Times New Roman"/>
        </w:rPr>
      </w:pPr>
      <w:r>
        <w:rPr>
          <w:rFonts w:eastAsia="Times New Roman"/>
          <w:color w:val="000000"/>
          <w:sz w:val="20"/>
          <w:szCs w:val="20"/>
        </w:rPr>
        <w:t>We establish reserves for loss contingencies including pending litigation, and for pending and incurred but not reported claims associated with general and product liability, automobile and workers’ compensation when it is probable that a liabili</w:t>
      </w:r>
      <w:r>
        <w:rPr>
          <w:rFonts w:eastAsia="Times New Roman"/>
          <w:color w:val="000000"/>
          <w:sz w:val="20"/>
          <w:szCs w:val="20"/>
        </w:rPr>
        <w:t xml:space="preserve">ty exists and the amount or range of amounts related to such liability can be reasonably estimated. When no amount within a range of possible loss is a better estimate than any other amount within the range, liabilities recorded are based upon the low end </w:t>
      </w:r>
      <w:r>
        <w:rPr>
          <w:rFonts w:eastAsia="Times New Roman"/>
          <w:color w:val="000000"/>
          <w:sz w:val="20"/>
          <w:szCs w:val="20"/>
        </w:rPr>
        <w:t xml:space="preserve">of the range. With respect to unasserted claims arising from unreported incidents, we may use the work of specialists to estimate the ultimate losses to be incurred using actuarially determined loss development factors applied to actual claims data. </w:t>
      </w:r>
    </w:p>
    <w:p w14:paraId="5BA140BB" w14:textId="77777777" w:rsidR="00000000" w:rsidRDefault="00C1661D">
      <w:pPr>
        <w:jc w:val="both"/>
        <w:divId w:val="1482038300"/>
        <w:rPr>
          <w:rFonts w:eastAsia="Times New Roman"/>
        </w:rPr>
      </w:pPr>
      <w:r>
        <w:rPr>
          <w:rFonts w:eastAsia="Times New Roman"/>
          <w:color w:val="000000"/>
          <w:sz w:val="20"/>
          <w:szCs w:val="20"/>
        </w:rPr>
        <w:t>The l</w:t>
      </w:r>
      <w:r>
        <w:rPr>
          <w:rFonts w:eastAsia="Times New Roman"/>
          <w:color w:val="000000"/>
          <w:sz w:val="20"/>
          <w:szCs w:val="20"/>
        </w:rPr>
        <w:t>ikelihood of a loss with respect to a particular loss contingency is often difficult to predict. In addition, a reasonable estimate of the loss, or a range of possible loss, may not be practicable based upon the information available and the potential effe</w:t>
      </w:r>
      <w:r>
        <w:rPr>
          <w:rFonts w:eastAsia="Times New Roman"/>
          <w:color w:val="000000"/>
          <w:sz w:val="20"/>
          <w:szCs w:val="20"/>
        </w:rPr>
        <w:t>cts of future events and decisions by third parties that will determine the ultimate resolution of the loss contingency. Reasonable estimates involve management judgments based on a broad range of information and prior experience. For litigation and pendin</w:t>
      </w:r>
      <w:r>
        <w:rPr>
          <w:rFonts w:eastAsia="Times New Roman"/>
          <w:color w:val="000000"/>
          <w:sz w:val="20"/>
          <w:szCs w:val="20"/>
        </w:rPr>
        <w:t xml:space="preserve">g claims including those covered by insurance policies, the analysis of probable loss is performed on a case by case basis and includes an evaluation of the nature of the claim, the procedural status of the matter, the probability or likelihood of success </w:t>
      </w:r>
      <w:r>
        <w:rPr>
          <w:rFonts w:eastAsia="Times New Roman"/>
          <w:color w:val="000000"/>
          <w:sz w:val="20"/>
          <w:szCs w:val="20"/>
        </w:rPr>
        <w:t xml:space="preserve">in prosecuting or defending the claim, the information available with respect to the claim, the opinions and views of outside counsel and other advisors, and past experience in similar matters. These judgments are reviewed quarterly as more information is </w:t>
      </w:r>
      <w:r>
        <w:rPr>
          <w:rFonts w:eastAsia="Times New Roman"/>
          <w:color w:val="000000"/>
          <w:sz w:val="20"/>
          <w:szCs w:val="20"/>
        </w:rPr>
        <w:t>received, and the amounts reserved are updated as necessary. Our estimated reserves for loss contingencies and for pending and incurred but not reported claims associated with general and product liability, automobile and workers’ compensation may differ m</w:t>
      </w:r>
      <w:r>
        <w:rPr>
          <w:rFonts w:eastAsia="Times New Roman"/>
          <w:color w:val="000000"/>
          <w:sz w:val="20"/>
          <w:szCs w:val="20"/>
        </w:rPr>
        <w:t>aterially from the ultimate liability and such reserves may change materially as more information becomes available and estimated reserves are adjusted.</w:t>
      </w:r>
    </w:p>
    <w:p w14:paraId="543D3B92" w14:textId="77777777" w:rsidR="00000000" w:rsidRDefault="00C1661D">
      <w:pPr>
        <w:jc w:val="both"/>
        <w:divId w:val="1610353981"/>
        <w:rPr>
          <w:rFonts w:eastAsia="Times New Roman"/>
        </w:rPr>
      </w:pPr>
      <w:r>
        <w:rPr>
          <w:rFonts w:eastAsia="Times New Roman"/>
          <w:color w:val="000000"/>
          <w:sz w:val="20"/>
          <w:szCs w:val="20"/>
        </w:rPr>
        <w:t>We accrue reserves for environmental remediation when assessments indicate that it is probable a liabil</w:t>
      </w:r>
      <w:r>
        <w:rPr>
          <w:rFonts w:eastAsia="Times New Roman"/>
          <w:color w:val="000000"/>
          <w:sz w:val="20"/>
          <w:szCs w:val="20"/>
        </w:rPr>
        <w:t xml:space="preserve">ity has been incurred and an amount can be reasonably estimated. Amounts recorded as environmental liabilities on the Consolidated Balance Sheets represent our best estimate of costs expected to be incurred or, if no best estimate can be made, the minimum </w:t>
      </w:r>
      <w:r>
        <w:rPr>
          <w:rFonts w:eastAsia="Times New Roman"/>
          <w:color w:val="000000"/>
          <w:sz w:val="20"/>
          <w:szCs w:val="20"/>
        </w:rPr>
        <w:t>liability associated with a range of expected environmental investigation and remediation costs. These estimates are based upon a number of factors including whether the company will be responsible for such remediation, the scope and cost of the remediatio</w:t>
      </w:r>
      <w:r>
        <w:rPr>
          <w:rFonts w:eastAsia="Times New Roman"/>
          <w:color w:val="000000"/>
          <w:sz w:val="20"/>
          <w:szCs w:val="20"/>
        </w:rPr>
        <w:t>n work to be performed, the portion of costs that will be shared with other potentially responsible parties, the timing of the remediation and possible impact of changes in technology, and the regulations and requirements of local governmental authorities.</w:t>
      </w:r>
      <w:r>
        <w:rPr>
          <w:rFonts w:eastAsia="Times New Roman"/>
          <w:color w:val="000000"/>
          <w:sz w:val="20"/>
          <w:szCs w:val="20"/>
        </w:rPr>
        <w:t xml:space="preserve"> Our estimated reserves for environmental remediation may differ materially from the ultimate liability and such reserves may change materially as more information becomes available and estimated reserves are adjusted. PA Gas Utility receives ratemaking re</w:t>
      </w:r>
      <w:r>
        <w:rPr>
          <w:rFonts w:eastAsia="Times New Roman"/>
          <w:color w:val="000000"/>
          <w:sz w:val="20"/>
          <w:szCs w:val="20"/>
        </w:rPr>
        <w:t xml:space="preserve">cognition of environmental investigation and remediation costs associated with its in-state environmental sites.  This ratemaking recognition balances the accumulated difference between historical costs and rate recoveries with an estimate of future costs </w:t>
      </w:r>
      <w:r>
        <w:rPr>
          <w:rFonts w:eastAsia="Times New Roman"/>
          <w:color w:val="000000"/>
          <w:sz w:val="20"/>
          <w:szCs w:val="20"/>
        </w:rPr>
        <w:t>associated with the sites.</w:t>
      </w:r>
    </w:p>
    <w:p w14:paraId="4C23309F" w14:textId="77777777" w:rsidR="00000000" w:rsidRDefault="00C1661D">
      <w:pPr>
        <w:jc w:val="center"/>
        <w:divId w:val="1810970630"/>
        <w:rPr>
          <w:rFonts w:eastAsia="Times New Roman"/>
        </w:rPr>
      </w:pPr>
      <w:r>
        <w:rPr>
          <w:rFonts w:eastAsia="Times New Roman"/>
          <w:color w:val="000000"/>
          <w:sz w:val="20"/>
          <w:szCs w:val="20"/>
        </w:rPr>
        <w:t>66</w:t>
      </w:r>
    </w:p>
    <w:p w14:paraId="7D0D22C4" w14:textId="77777777" w:rsidR="00000000" w:rsidRDefault="00C1661D">
      <w:pPr>
        <w:rPr>
          <w:rFonts w:eastAsia="Times New Roman"/>
        </w:rPr>
      </w:pPr>
      <w:r>
        <w:rPr>
          <w:rFonts w:eastAsia="Times New Roman"/>
        </w:rPr>
        <w:pict w14:anchorId="6A912BE4">
          <v:rect id="_x0000_i1093" style="width:0;height:1.5pt" o:hralign="center" o:hrstd="t" o:hr="t" fillcolor="#a0a0a0" stroked="f"/>
        </w:pict>
      </w:r>
    </w:p>
    <w:p w14:paraId="7BFBC5B1" w14:textId="77777777" w:rsidR="00000000" w:rsidRDefault="00C1661D">
      <w:pPr>
        <w:divId w:val="1264651741"/>
        <w:rPr>
          <w:rFonts w:eastAsia="Times New Roman"/>
        </w:rPr>
      </w:pPr>
      <w:hyperlink w:anchor="i3850c3c6c0104e42b9951aac2f16098a_7" w:history="1">
        <w:r>
          <w:rPr>
            <w:rStyle w:val="a3"/>
            <w:rFonts w:eastAsia="Times New Roman"/>
            <w:b/>
            <w:bCs/>
            <w:sz w:val="20"/>
            <w:szCs w:val="20"/>
          </w:rPr>
          <w:t>Table of Contents</w:t>
        </w:r>
      </w:hyperlink>
    </w:p>
    <w:p w14:paraId="04DC0753" w14:textId="77777777" w:rsidR="00000000" w:rsidRDefault="00C1661D">
      <w:pPr>
        <w:jc w:val="both"/>
        <w:divId w:val="1792898353"/>
        <w:rPr>
          <w:rFonts w:eastAsia="Times New Roman"/>
        </w:rPr>
      </w:pPr>
      <w:r>
        <w:rPr>
          <w:rFonts w:eastAsia="Times New Roman"/>
          <w:b/>
          <w:bCs/>
          <w:color w:val="000000"/>
          <w:sz w:val="20"/>
          <w:szCs w:val="20"/>
        </w:rPr>
        <w:t>Regulatory Assets and Liabilities.</w:t>
      </w:r>
      <w:r>
        <w:rPr>
          <w:rFonts w:eastAsia="Times New Roman"/>
          <w:color w:val="000000"/>
          <w:sz w:val="20"/>
          <w:szCs w:val="20"/>
        </w:rPr>
        <w:t xml:space="preserve"> The accounting for our rate regulated gas and electric utility businesses diffe</w:t>
      </w:r>
      <w:r>
        <w:rPr>
          <w:rFonts w:eastAsia="Times New Roman"/>
          <w:color w:val="000000"/>
          <w:sz w:val="20"/>
          <w:szCs w:val="20"/>
        </w:rPr>
        <w:t>rs from the accounting for nonregulated operations in that these businesses are required to reflect the effects of rate regulation in the consolidated financial statements. Regulatory practices that assign costs to accounting periods may differ from accoun</w:t>
      </w:r>
      <w:r>
        <w:rPr>
          <w:rFonts w:eastAsia="Times New Roman"/>
          <w:color w:val="000000"/>
          <w:sz w:val="20"/>
          <w:szCs w:val="20"/>
        </w:rPr>
        <w:t>ting methods generally applied by nonregulated businesses. When it is probable that regulators will permit the recovery of current costs through future rates charged to customers, these costs that otherwise would be expensed by nonregulated companies are d</w:t>
      </w:r>
      <w:r>
        <w:rPr>
          <w:rFonts w:eastAsia="Times New Roman"/>
          <w:color w:val="000000"/>
          <w:sz w:val="20"/>
          <w:szCs w:val="20"/>
        </w:rPr>
        <w:t>eferred as regulatory assets. Similarly, regulatory liabilities are recognized when it is probable that regulators will require customer refunds through future rates or when revenue is collected from customers for expenditures that have yet to be incurred.</w:t>
      </w:r>
      <w:r>
        <w:rPr>
          <w:rFonts w:eastAsia="Times New Roman"/>
          <w:color w:val="000000"/>
          <w:sz w:val="20"/>
          <w:szCs w:val="20"/>
        </w:rPr>
        <w:t xml:space="preserve"> We continually assess whether the regulatory assets are probable of future recovery by evaluating the regulatory environment, recent rate orders and public statements issued by the PAPUC, WVPSC and MDPSC, and discussions with regulatory authorities and le</w:t>
      </w:r>
      <w:r>
        <w:rPr>
          <w:rFonts w:eastAsia="Times New Roman"/>
          <w:color w:val="000000"/>
          <w:sz w:val="20"/>
          <w:szCs w:val="20"/>
        </w:rPr>
        <w:t>gal counsel. If future recovery of regulatory assets ceases to be probable, the elimination of those regulatory assets would adversely impact our results of operations and cash flows. As of September 30, 2022, our regulatory assets and regulatory liabiliti</w:t>
      </w:r>
      <w:r>
        <w:rPr>
          <w:rFonts w:eastAsia="Times New Roman"/>
          <w:color w:val="000000"/>
          <w:sz w:val="20"/>
          <w:szCs w:val="20"/>
        </w:rPr>
        <w:t>es totaled $340 million and $335 million, respectively. For additional information on regulatory assets and liabilities, see Notes 2 and 9 to Consolidated Financial Statements.</w:t>
      </w:r>
    </w:p>
    <w:p w14:paraId="08119D8C" w14:textId="77777777" w:rsidR="00000000" w:rsidRDefault="00C1661D">
      <w:pPr>
        <w:jc w:val="both"/>
        <w:divId w:val="146169739"/>
        <w:rPr>
          <w:rFonts w:eastAsia="Times New Roman"/>
        </w:rPr>
      </w:pPr>
      <w:r>
        <w:rPr>
          <w:rFonts w:eastAsia="Times New Roman"/>
          <w:b/>
          <w:bCs/>
          <w:color w:val="000000"/>
          <w:sz w:val="20"/>
          <w:szCs w:val="20"/>
        </w:rPr>
        <w:t>Income Taxes.</w:t>
      </w:r>
      <w:r>
        <w:rPr>
          <w:rFonts w:eastAsia="Times New Roman"/>
          <w:color w:val="000000"/>
          <w:sz w:val="20"/>
          <w:szCs w:val="20"/>
        </w:rPr>
        <w:t xml:space="preserve"> We use the asset and liability method of accounting for income ta</w:t>
      </w:r>
      <w:r>
        <w:rPr>
          <w:rFonts w:eastAsia="Times New Roman"/>
          <w:color w:val="000000"/>
          <w:sz w:val="20"/>
          <w:szCs w:val="20"/>
        </w:rPr>
        <w:t>xes. Under this method, income tax expense is recognized for the amount of taxes payable or refundable for the current year and for deferred tax liabilities and assets for the future tax consequences of events that have been recognized in our financial sta</w:t>
      </w:r>
      <w:r>
        <w:rPr>
          <w:rFonts w:eastAsia="Times New Roman"/>
          <w:color w:val="000000"/>
          <w:sz w:val="20"/>
          <w:szCs w:val="20"/>
        </w:rPr>
        <w:t>tements or tax returns. Positions taken by an entity in its tax returns must satisfy a more-likely-than-not recognition threshold assuming the positions will be examined by tax authorities with full knowledge of relevant information. We use assumptions, ju</w:t>
      </w:r>
      <w:r>
        <w:rPr>
          <w:rFonts w:eastAsia="Times New Roman"/>
          <w:color w:val="000000"/>
          <w:sz w:val="20"/>
          <w:szCs w:val="20"/>
        </w:rPr>
        <w:t>dgments and estimates to determine our current provision for income taxes. We also use assumptions, judgments and estimates to determine our deferred tax assets and liabilities and any valuation allowance to be recorded against a deferred tax asset. The in</w:t>
      </w:r>
      <w:r>
        <w:rPr>
          <w:rFonts w:eastAsia="Times New Roman"/>
          <w:color w:val="000000"/>
          <w:sz w:val="20"/>
          <w:szCs w:val="20"/>
        </w:rPr>
        <w:t xml:space="preserve">terpretation of tax laws involves uncertainty since tax authorities may interpret the laws differently. Our assumptions, judgments and estimates relative to the current provision for income tax give consideration to current tax laws, our interpretation of </w:t>
      </w:r>
      <w:r>
        <w:rPr>
          <w:rFonts w:eastAsia="Times New Roman"/>
          <w:color w:val="000000"/>
          <w:sz w:val="20"/>
          <w:szCs w:val="20"/>
        </w:rPr>
        <w:t>current tax laws and possible outcomes of current and future audits conducted by foreign and domestic tax authorities. Changes in tax law or our interpretation thereof and the resolution of current and future tax audits could significantly impact the amoun</w:t>
      </w:r>
      <w:r>
        <w:rPr>
          <w:rFonts w:eastAsia="Times New Roman"/>
          <w:color w:val="000000"/>
          <w:sz w:val="20"/>
          <w:szCs w:val="20"/>
        </w:rPr>
        <w:t>ts provided for income taxes in our consolidated financial statements. Our assumptions, judgments and estimates relative to the amount of deferred income taxes take into account estimates of the amount of future taxable income. Actual taxable income or fut</w:t>
      </w:r>
      <w:r>
        <w:rPr>
          <w:rFonts w:eastAsia="Times New Roman"/>
          <w:color w:val="000000"/>
          <w:sz w:val="20"/>
          <w:szCs w:val="20"/>
        </w:rPr>
        <w:t>ure estimates of taxable income could render our current assumptions, judgments and estimates inaccurate. Changes in the assumptions, judgments and estimates mentioned above could cause our actual income tax obligations to differ significantly from our est</w:t>
      </w:r>
      <w:r>
        <w:rPr>
          <w:rFonts w:eastAsia="Times New Roman"/>
          <w:color w:val="000000"/>
          <w:sz w:val="20"/>
          <w:szCs w:val="20"/>
        </w:rPr>
        <w:t>imates. As of September 30, 2022, our net deferred tax liabilities totaled $1,249 million.</w:t>
      </w:r>
    </w:p>
    <w:p w14:paraId="26D5C5A6" w14:textId="77777777" w:rsidR="00000000" w:rsidRDefault="00C1661D">
      <w:pPr>
        <w:jc w:val="both"/>
        <w:divId w:val="2109307640"/>
        <w:rPr>
          <w:rFonts w:eastAsia="Times New Roman"/>
        </w:rPr>
      </w:pPr>
      <w:r>
        <w:rPr>
          <w:rFonts w:eastAsia="Times New Roman"/>
          <w:b/>
          <w:bCs/>
          <w:color w:val="000000"/>
          <w:sz w:val="20"/>
          <w:szCs w:val="20"/>
        </w:rPr>
        <w:t xml:space="preserve">Business Combination Purchase Price Allocations. </w:t>
      </w:r>
      <w:r>
        <w:rPr>
          <w:rFonts w:eastAsia="Times New Roman"/>
          <w:color w:val="000000"/>
          <w:sz w:val="20"/>
          <w:szCs w:val="20"/>
        </w:rPr>
        <w:t>From time to time, the Company enters into material business combinations. The purchase price is allocated to the va</w:t>
      </w:r>
      <w:r>
        <w:rPr>
          <w:rFonts w:eastAsia="Times New Roman"/>
          <w:color w:val="000000"/>
          <w:sz w:val="20"/>
          <w:szCs w:val="20"/>
        </w:rPr>
        <w:t>rious assets acquired and liabilities assumed at their estimated fair value as of the acquisition date with the residual of the purchase price allocated to goodwill. From time to time, we engage third-party valuation experts to assist us in determining the</w:t>
      </w:r>
      <w:r>
        <w:rPr>
          <w:rFonts w:eastAsia="Times New Roman"/>
          <w:color w:val="000000"/>
          <w:sz w:val="20"/>
          <w:szCs w:val="20"/>
        </w:rPr>
        <w:t xml:space="preserve"> fair values of certain assets acquired and liabilities assumed. Such valuations require management to make significant judgments, estimates and assumptions especially with respect to intangible assets. Management makes estimates of fair value based upon a</w:t>
      </w:r>
      <w:r>
        <w:rPr>
          <w:rFonts w:eastAsia="Times New Roman"/>
          <w:color w:val="000000"/>
          <w:sz w:val="20"/>
          <w:szCs w:val="20"/>
        </w:rPr>
        <w:t>ssumptions it believes to be reasonable. These estimates are based upon historical experience and information obtained from the management of the acquired companies and are inherently uncertain. Critical estimates in valuing certain of the intangible asset</w:t>
      </w:r>
      <w:r>
        <w:rPr>
          <w:rFonts w:eastAsia="Times New Roman"/>
          <w:color w:val="000000"/>
          <w:sz w:val="20"/>
          <w:szCs w:val="20"/>
        </w:rPr>
        <w:t>s include, but are not limited to, discount rates and expected future cash flows from and the economic lives of customer relationships, trade names, existing technology, and other intangible assets. Unanticipated events and circumstances may occur, which m</w:t>
      </w:r>
      <w:r>
        <w:rPr>
          <w:rFonts w:eastAsia="Times New Roman"/>
          <w:color w:val="000000"/>
          <w:sz w:val="20"/>
          <w:szCs w:val="20"/>
        </w:rPr>
        <w:t>ay affect the accuracy or validity of such assumptions or estimates. The allocation of the purchase price may be modified up to one year after the acquisition date, under certain circumstances, as more information is obtained about the fair value of assets</w:t>
      </w:r>
      <w:r>
        <w:rPr>
          <w:rFonts w:eastAsia="Times New Roman"/>
          <w:color w:val="000000"/>
          <w:sz w:val="20"/>
          <w:szCs w:val="20"/>
        </w:rPr>
        <w:t xml:space="preserve"> acquired and liabilities assumed.</w:t>
      </w:r>
    </w:p>
    <w:p w14:paraId="720C3736" w14:textId="77777777" w:rsidR="00000000" w:rsidRDefault="00C1661D">
      <w:pPr>
        <w:divId w:val="638531722"/>
        <w:rPr>
          <w:rFonts w:eastAsia="Times New Roman"/>
        </w:rPr>
      </w:pPr>
    </w:p>
    <w:p w14:paraId="59AEFE83" w14:textId="77777777" w:rsidR="00000000" w:rsidRDefault="00C1661D">
      <w:pPr>
        <w:jc w:val="both"/>
        <w:rPr>
          <w:rFonts w:eastAsia="Times New Roman"/>
        </w:rPr>
      </w:pPr>
      <w:r>
        <w:rPr>
          <w:rFonts w:eastAsia="Times New Roman"/>
          <w:b/>
          <w:bCs/>
          <w:color w:val="000000"/>
          <w:sz w:val="20"/>
          <w:szCs w:val="20"/>
          <w:u w:val="single"/>
        </w:rPr>
        <w:t>Recently Issued Accounting Pronouncements</w:t>
      </w:r>
    </w:p>
    <w:p w14:paraId="2966D703" w14:textId="77777777" w:rsidR="00000000" w:rsidRDefault="00C1661D">
      <w:pPr>
        <w:jc w:val="both"/>
        <w:divId w:val="744227812"/>
        <w:rPr>
          <w:rFonts w:eastAsia="Times New Roman"/>
        </w:rPr>
      </w:pPr>
      <w:r>
        <w:rPr>
          <w:rFonts w:eastAsia="Times New Roman"/>
          <w:color w:val="000000"/>
          <w:sz w:val="20"/>
          <w:szCs w:val="20"/>
        </w:rPr>
        <w:t>See Note 3 to Consolidated Financial Statements for a discussion of the effects of recently issued accounting guidance.</w:t>
      </w:r>
    </w:p>
    <w:p w14:paraId="69534562" w14:textId="77777777" w:rsidR="00000000" w:rsidRDefault="00C1661D">
      <w:pPr>
        <w:jc w:val="both"/>
        <w:rPr>
          <w:rFonts w:eastAsia="Times New Roman"/>
        </w:rPr>
      </w:pPr>
    </w:p>
    <w:p w14:paraId="3A99C2C1" w14:textId="77777777" w:rsidR="00000000" w:rsidRDefault="00C1661D">
      <w:pPr>
        <w:ind w:hanging="900"/>
        <w:divId w:val="1121799569"/>
        <w:rPr>
          <w:rFonts w:eastAsia="Times New Roman"/>
        </w:rPr>
      </w:pPr>
      <w:r>
        <w:rPr>
          <w:rFonts w:eastAsia="Times New Roman"/>
          <w:b/>
          <w:bCs/>
          <w:color w:val="000000"/>
          <w:sz w:val="20"/>
          <w:szCs w:val="20"/>
        </w:rPr>
        <w:t xml:space="preserve">ITEM 7A. </w:t>
      </w:r>
      <w:r>
        <w:rPr>
          <w:rFonts w:eastAsia="Times New Roman"/>
          <w:b/>
          <w:bCs/>
          <w:color w:val="000000"/>
          <w:sz w:val="20"/>
          <w:szCs w:val="20"/>
        </w:rPr>
        <w:t>QUANTITATIVE AND QUALITATIVE DISCLOSURES ABOUT MARKET RISK</w:t>
      </w:r>
    </w:p>
    <w:p w14:paraId="37D12D25" w14:textId="77777777" w:rsidR="00000000" w:rsidRDefault="00C1661D">
      <w:pPr>
        <w:jc w:val="both"/>
        <w:divId w:val="1119034288"/>
        <w:rPr>
          <w:rFonts w:eastAsia="Times New Roman"/>
        </w:rPr>
      </w:pPr>
      <w:r>
        <w:rPr>
          <w:rFonts w:eastAsia="Times New Roman"/>
          <w:color w:val="000000"/>
          <w:sz w:val="20"/>
          <w:szCs w:val="20"/>
        </w:rPr>
        <w:t>“Quantitative and Qualitative Disclosures About Market Risk” are contained in Item 7 - Management’s Discussion and Analysis of Financial Condition and Results of Operations under the caption “Marke</w:t>
      </w:r>
      <w:r>
        <w:rPr>
          <w:rFonts w:eastAsia="Times New Roman"/>
          <w:color w:val="000000"/>
          <w:sz w:val="20"/>
          <w:szCs w:val="20"/>
        </w:rPr>
        <w:t>t Risk Disclosures” and are incorporated by reference.</w:t>
      </w:r>
    </w:p>
    <w:p w14:paraId="6EBDC5C5" w14:textId="77777777" w:rsidR="00000000" w:rsidRDefault="00C1661D">
      <w:pPr>
        <w:divId w:val="923102592"/>
        <w:rPr>
          <w:rFonts w:eastAsia="Times New Roman"/>
        </w:rPr>
      </w:pPr>
    </w:p>
    <w:p w14:paraId="015914E6" w14:textId="77777777" w:rsidR="00000000" w:rsidRDefault="00C1661D">
      <w:pPr>
        <w:ind w:hanging="810"/>
        <w:divId w:val="2044548689"/>
        <w:rPr>
          <w:rFonts w:eastAsia="Times New Roman"/>
        </w:rPr>
      </w:pPr>
      <w:r>
        <w:rPr>
          <w:rFonts w:eastAsia="Times New Roman"/>
          <w:b/>
          <w:bCs/>
          <w:color w:val="000000"/>
          <w:sz w:val="20"/>
          <w:szCs w:val="20"/>
        </w:rPr>
        <w:t>ITEM 8.FINANCIAL STATEMENTS AND SUPPLEMENTARY DATA</w:t>
      </w:r>
    </w:p>
    <w:p w14:paraId="5183789F" w14:textId="77777777" w:rsidR="00000000" w:rsidRDefault="00C1661D">
      <w:pPr>
        <w:jc w:val="both"/>
        <w:divId w:val="229852378"/>
        <w:rPr>
          <w:rFonts w:eastAsia="Times New Roman"/>
        </w:rPr>
      </w:pPr>
      <w:r>
        <w:rPr>
          <w:rFonts w:eastAsia="Times New Roman"/>
          <w:color w:val="000000"/>
          <w:sz w:val="20"/>
          <w:szCs w:val="20"/>
        </w:rPr>
        <w:t>Management’s Annual Report on Internal Control Over Financial Reporting included in Item 9A and the financial statements and financial statement sch</w:t>
      </w:r>
      <w:r>
        <w:rPr>
          <w:rFonts w:eastAsia="Times New Roman"/>
          <w:color w:val="000000"/>
          <w:sz w:val="20"/>
          <w:szCs w:val="20"/>
        </w:rPr>
        <w:t xml:space="preserve">edules referred to in the Index contained on page </w:t>
      </w:r>
      <w:hyperlink w:anchor="i3850c3c6c0104e42b9951aac2f16098a_133" w:history="1">
        <w:r>
          <w:rPr>
            <w:rStyle w:val="a3"/>
            <w:rFonts w:eastAsia="Times New Roman"/>
            <w:color w:val="000000"/>
            <w:sz w:val="20"/>
            <w:szCs w:val="20"/>
            <w:u w:val="none"/>
          </w:rPr>
          <w:t>F-2</w:t>
        </w:r>
      </w:hyperlink>
      <w:r>
        <w:rPr>
          <w:rFonts w:eastAsia="Times New Roman"/>
          <w:color w:val="000000"/>
          <w:sz w:val="20"/>
          <w:szCs w:val="20"/>
        </w:rPr>
        <w:t xml:space="preserve"> of this Report are incorporated herein by reference.</w:t>
      </w:r>
    </w:p>
    <w:p w14:paraId="3BB74707" w14:textId="77777777" w:rsidR="00000000" w:rsidRDefault="00C1661D">
      <w:pPr>
        <w:jc w:val="center"/>
        <w:divId w:val="135143224"/>
        <w:rPr>
          <w:rFonts w:eastAsia="Times New Roman"/>
        </w:rPr>
      </w:pPr>
      <w:r>
        <w:rPr>
          <w:rFonts w:eastAsia="Times New Roman"/>
          <w:color w:val="000000"/>
          <w:sz w:val="20"/>
          <w:szCs w:val="20"/>
        </w:rPr>
        <w:t>67</w:t>
      </w:r>
    </w:p>
    <w:p w14:paraId="012C9FA1" w14:textId="77777777" w:rsidR="00000000" w:rsidRDefault="00C1661D">
      <w:pPr>
        <w:rPr>
          <w:rFonts w:eastAsia="Times New Roman"/>
        </w:rPr>
      </w:pPr>
      <w:r>
        <w:rPr>
          <w:rFonts w:eastAsia="Times New Roman"/>
        </w:rPr>
        <w:pict w14:anchorId="5E4DAB02">
          <v:rect id="_x0000_i1094" style="width:0;height:1.5pt" o:hralign="center" o:hrstd="t" o:hr="t" fillcolor="#a0a0a0" stroked="f"/>
        </w:pict>
      </w:r>
    </w:p>
    <w:p w14:paraId="27F48CED" w14:textId="77777777" w:rsidR="00000000" w:rsidRDefault="00C1661D">
      <w:pPr>
        <w:divId w:val="268662142"/>
        <w:rPr>
          <w:rFonts w:eastAsia="Times New Roman"/>
        </w:rPr>
      </w:pPr>
      <w:hyperlink w:anchor="i3850c3c6c0104e42b9951aac2f16098a_7" w:history="1">
        <w:r>
          <w:rPr>
            <w:rStyle w:val="a3"/>
            <w:rFonts w:eastAsia="Times New Roman"/>
            <w:b/>
            <w:bCs/>
            <w:sz w:val="20"/>
            <w:szCs w:val="20"/>
          </w:rPr>
          <w:t>Table of Contents</w:t>
        </w:r>
      </w:hyperlink>
    </w:p>
    <w:p w14:paraId="6BCF24BB" w14:textId="77777777" w:rsidR="00000000" w:rsidRDefault="00C1661D">
      <w:pPr>
        <w:jc w:val="both"/>
        <w:rPr>
          <w:rFonts w:eastAsia="Times New Roman"/>
        </w:rPr>
      </w:pPr>
    </w:p>
    <w:p w14:paraId="04C10DF7" w14:textId="77777777" w:rsidR="00000000" w:rsidRDefault="00C1661D">
      <w:pPr>
        <w:ind w:hanging="810"/>
        <w:divId w:val="389547138"/>
        <w:rPr>
          <w:rFonts w:eastAsia="Times New Roman"/>
        </w:rPr>
      </w:pPr>
      <w:r>
        <w:rPr>
          <w:rFonts w:eastAsia="Times New Roman"/>
          <w:b/>
          <w:bCs/>
          <w:color w:val="000000"/>
          <w:sz w:val="20"/>
          <w:szCs w:val="20"/>
        </w:rPr>
        <w:t>ITEM 9.CHANGES IN AND DISAGREEMENTS WITH ACCOUNTANTS ON ACCOUNTING AND FINANCIAL DISCLOSURE</w:t>
      </w:r>
    </w:p>
    <w:p w14:paraId="7D416783" w14:textId="77777777" w:rsidR="00000000" w:rsidRDefault="00C1661D">
      <w:pPr>
        <w:jc w:val="both"/>
        <w:divId w:val="136269526"/>
        <w:rPr>
          <w:rFonts w:eastAsia="Times New Roman"/>
        </w:rPr>
      </w:pPr>
      <w:r>
        <w:rPr>
          <w:rFonts w:eastAsia="Times New Roman"/>
          <w:color w:val="000000"/>
          <w:sz w:val="20"/>
          <w:szCs w:val="20"/>
        </w:rPr>
        <w:t>None.</w:t>
      </w:r>
    </w:p>
    <w:p w14:paraId="512D01ED" w14:textId="77777777" w:rsidR="00000000" w:rsidRDefault="00C1661D">
      <w:pPr>
        <w:jc w:val="both"/>
        <w:rPr>
          <w:rFonts w:eastAsia="Times New Roman"/>
        </w:rPr>
      </w:pPr>
    </w:p>
    <w:p w14:paraId="46AFCC52" w14:textId="77777777" w:rsidR="00000000" w:rsidRDefault="00C1661D">
      <w:pPr>
        <w:ind w:hanging="900"/>
        <w:divId w:val="371198506"/>
        <w:rPr>
          <w:rFonts w:eastAsia="Times New Roman"/>
        </w:rPr>
      </w:pPr>
      <w:r>
        <w:rPr>
          <w:rFonts w:eastAsia="Times New Roman"/>
          <w:b/>
          <w:bCs/>
          <w:color w:val="000000"/>
          <w:sz w:val="20"/>
          <w:szCs w:val="20"/>
        </w:rPr>
        <w:t>ITEM 9A. CONTROLS AND PROCEDURES</w:t>
      </w:r>
    </w:p>
    <w:p w14:paraId="613E3CDB" w14:textId="77777777" w:rsidR="00000000" w:rsidRDefault="00C1661D">
      <w:pPr>
        <w:divId w:val="2029677092"/>
        <w:rPr>
          <w:rFonts w:eastAsia="Times New Roman"/>
        </w:rPr>
      </w:pPr>
    </w:p>
    <w:p w14:paraId="2BB179F2" w14:textId="77777777" w:rsidR="00000000" w:rsidRDefault="00C1661D">
      <w:pPr>
        <w:ind w:hanging="360"/>
        <w:jc w:val="both"/>
        <w:divId w:val="439833549"/>
        <w:rPr>
          <w:rFonts w:eastAsia="Times New Roman"/>
        </w:rPr>
      </w:pPr>
      <w:r>
        <w:rPr>
          <w:rFonts w:eastAsia="Times New Roman"/>
          <w:color w:val="000000"/>
          <w:sz w:val="20"/>
          <w:szCs w:val="20"/>
        </w:rPr>
        <w:t xml:space="preserve">(a)The </w:t>
      </w:r>
      <w:r>
        <w:rPr>
          <w:rFonts w:eastAsia="Times New Roman"/>
          <w:color w:val="000000"/>
          <w:sz w:val="20"/>
          <w:szCs w:val="20"/>
        </w:rPr>
        <w:t>Company's disclosure controls and procedures are designed to provide reasonable assurance that the information required to be disclosed by the Company in reports filed or submitted under the Securities Exchange Act of 1934, as amended is (i) recorded, proc</w:t>
      </w:r>
      <w:r>
        <w:rPr>
          <w:rFonts w:eastAsia="Times New Roman"/>
          <w:color w:val="000000"/>
          <w:sz w:val="20"/>
          <w:szCs w:val="20"/>
        </w:rPr>
        <w:t>essed, summarized, and reported within the time periods specified in the SEC’s rules and forms, and (ii) accumulated and communicated to our management, including the Chief Executive Officer and Chief Financial Officer, as appropriate to allow timely decis</w:t>
      </w:r>
      <w:r>
        <w:rPr>
          <w:rFonts w:eastAsia="Times New Roman"/>
          <w:color w:val="000000"/>
          <w:sz w:val="20"/>
          <w:szCs w:val="20"/>
        </w:rPr>
        <w:t xml:space="preserve">ions regarding required disclosure. The Company's management, with the participation of the Company’s Chief Executive Officer and Chief Financial Officer, evaluated the effectiveness of the Company's disclosure controls and procedures as of the end of the </w:t>
      </w:r>
      <w:r>
        <w:rPr>
          <w:rFonts w:eastAsia="Times New Roman"/>
          <w:color w:val="000000"/>
          <w:sz w:val="20"/>
          <w:szCs w:val="20"/>
        </w:rPr>
        <w:t>period covered by this report. Based on that evaluation, the Chief Executive Officer and Chief Financial Officer concluded that the Company's disclosure controls and procedures, as of September 30, 2022, were effective at the reasonable assurance level.</w:t>
      </w:r>
    </w:p>
    <w:p w14:paraId="52A01154" w14:textId="77777777" w:rsidR="00000000" w:rsidRDefault="00C1661D">
      <w:pPr>
        <w:jc w:val="both"/>
        <w:divId w:val="1882522363"/>
        <w:rPr>
          <w:rFonts w:eastAsia="Times New Roman"/>
        </w:rPr>
      </w:pPr>
    </w:p>
    <w:p w14:paraId="61C5AA3E" w14:textId="77777777" w:rsidR="00000000" w:rsidRDefault="00C1661D">
      <w:pPr>
        <w:ind w:hanging="360"/>
        <w:jc w:val="both"/>
        <w:divId w:val="1618370013"/>
        <w:rPr>
          <w:rFonts w:eastAsia="Times New Roman"/>
        </w:rPr>
      </w:pPr>
      <w:r>
        <w:rPr>
          <w:rFonts w:eastAsia="Times New Roman"/>
          <w:color w:val="000000"/>
          <w:sz w:val="20"/>
          <w:szCs w:val="20"/>
        </w:rPr>
        <w:t>(b)</w:t>
      </w:r>
      <w:r>
        <w:rPr>
          <w:rFonts w:eastAsia="Times New Roman"/>
          <w:b/>
          <w:bCs/>
          <w:color w:val="000000"/>
          <w:sz w:val="20"/>
          <w:szCs w:val="20"/>
        </w:rPr>
        <w:t>Management’s Annual Report on Internal Control over Financial Reporting</w:t>
      </w:r>
    </w:p>
    <w:p w14:paraId="7720E77C" w14:textId="77777777" w:rsidR="00000000" w:rsidRDefault="00C1661D">
      <w:pPr>
        <w:jc w:val="both"/>
        <w:rPr>
          <w:rFonts w:eastAsia="Times New Roman"/>
        </w:rPr>
      </w:pPr>
    </w:p>
    <w:p w14:paraId="445D6D84" w14:textId="77777777" w:rsidR="00000000" w:rsidRDefault="00C1661D">
      <w:pPr>
        <w:jc w:val="both"/>
        <w:rPr>
          <w:rFonts w:eastAsia="Times New Roman"/>
        </w:rPr>
      </w:pPr>
      <w:r>
        <w:rPr>
          <w:rFonts w:eastAsia="Times New Roman"/>
          <w:color w:val="000000"/>
          <w:sz w:val="20"/>
          <w:szCs w:val="20"/>
        </w:rPr>
        <w:t>Management is responsible for establishing and maintaining adequate internal control over financial reporting for the Company, as such term is defined in Rule 13a-15(f) of the Sec</w:t>
      </w:r>
      <w:r>
        <w:rPr>
          <w:rFonts w:eastAsia="Times New Roman"/>
          <w:color w:val="000000"/>
          <w:sz w:val="20"/>
          <w:szCs w:val="20"/>
        </w:rPr>
        <w:t>urities Exchange Act of 1934, as amended. In order to evaluate the effectiveness of internal control over financial reporting, as required by Section 404 of the Sarbanes-Oxley Act of 2002, management has conducted an assessment, including testing, of the C</w:t>
      </w:r>
      <w:r>
        <w:rPr>
          <w:rFonts w:eastAsia="Times New Roman"/>
          <w:color w:val="000000"/>
          <w:sz w:val="20"/>
          <w:szCs w:val="20"/>
        </w:rPr>
        <w:t>ompany’s internal control over financial reporting as of September 30, 2022, based on criteria established in Internal Control - Integrated Framework (2013) issued by the Committee of Sponsoring Organizations of the Treadway Commission (the “COSO criteria”</w:t>
      </w:r>
      <w:r>
        <w:rPr>
          <w:rFonts w:eastAsia="Times New Roman"/>
          <w:color w:val="000000"/>
          <w:sz w:val="20"/>
          <w:szCs w:val="20"/>
        </w:rPr>
        <w:t xml:space="preserve">). </w:t>
      </w:r>
    </w:p>
    <w:p w14:paraId="4F3F4954" w14:textId="77777777" w:rsidR="00000000" w:rsidRDefault="00C1661D">
      <w:pPr>
        <w:jc w:val="both"/>
        <w:rPr>
          <w:rFonts w:eastAsia="Times New Roman"/>
        </w:rPr>
      </w:pPr>
    </w:p>
    <w:p w14:paraId="49ECF654" w14:textId="77777777" w:rsidR="00000000" w:rsidRDefault="00C1661D">
      <w:pPr>
        <w:jc w:val="both"/>
        <w:rPr>
          <w:rFonts w:eastAsia="Times New Roman"/>
        </w:rPr>
      </w:pPr>
      <w:r>
        <w:rPr>
          <w:rFonts w:eastAsia="Times New Roman"/>
          <w:color w:val="000000"/>
          <w:sz w:val="20"/>
          <w:szCs w:val="20"/>
        </w:rPr>
        <w:t>Internal control over financial reporting refers to the process, designed under the supervision and with the participation of management, including our Chief Executive Officer and our Chief Financial Officer, and effected by the Company’s Board of Di</w:t>
      </w:r>
      <w:r>
        <w:rPr>
          <w:rFonts w:eastAsia="Times New Roman"/>
          <w:color w:val="000000"/>
          <w:sz w:val="20"/>
          <w:szCs w:val="20"/>
        </w:rPr>
        <w:t xml:space="preserve">rectors, to provide reasonable, but not absolute, assurance regarding the reliability of financial reporting and the preparation of financial statements for external purposes in accordance with GAAP and includes policies and procedures that (1) pertain to </w:t>
      </w:r>
      <w:r>
        <w:rPr>
          <w:rFonts w:eastAsia="Times New Roman"/>
          <w:color w:val="000000"/>
          <w:sz w:val="20"/>
          <w:szCs w:val="20"/>
        </w:rPr>
        <w:t>the maintenance of records that, in reasonable detail, accurately and fairly reflect the transactions and dispositions of the assets of the Company; (2) provide reasonable assurance that transactions are recorded as necessary to permit preparation of finan</w:t>
      </w:r>
      <w:r>
        <w:rPr>
          <w:rFonts w:eastAsia="Times New Roman"/>
          <w:color w:val="000000"/>
          <w:sz w:val="20"/>
          <w:szCs w:val="20"/>
        </w:rPr>
        <w:t>cial statements in accordance with generally accepted accounting principles, and that receipts and expenditures of the Company are being made only in accordance with authorizations of management and directors of the Company; and (3) provide reasonable assu</w:t>
      </w:r>
      <w:r>
        <w:rPr>
          <w:rFonts w:eastAsia="Times New Roman"/>
          <w:color w:val="000000"/>
          <w:sz w:val="20"/>
          <w:szCs w:val="20"/>
        </w:rPr>
        <w:t>rance regarding prevention or timely detection of unauthorized acquisition, use or disposition of the Company’s assets that could have a material effect on the financial statements.</w:t>
      </w:r>
    </w:p>
    <w:p w14:paraId="22B2D40D" w14:textId="77777777" w:rsidR="00000000" w:rsidRDefault="00C1661D">
      <w:pPr>
        <w:jc w:val="both"/>
        <w:rPr>
          <w:rFonts w:eastAsia="Times New Roman"/>
        </w:rPr>
      </w:pPr>
    </w:p>
    <w:p w14:paraId="417DC0E7" w14:textId="77777777" w:rsidR="00000000" w:rsidRDefault="00C1661D">
      <w:pPr>
        <w:jc w:val="both"/>
        <w:rPr>
          <w:rFonts w:eastAsia="Times New Roman"/>
        </w:rPr>
      </w:pPr>
      <w:r>
        <w:rPr>
          <w:rFonts w:eastAsia="Times New Roman"/>
          <w:color w:val="000000"/>
          <w:sz w:val="20"/>
          <w:szCs w:val="20"/>
        </w:rPr>
        <w:t>Because of its inherent limitations, internal control over financial rep</w:t>
      </w:r>
      <w:r>
        <w:rPr>
          <w:rFonts w:eastAsia="Times New Roman"/>
          <w:color w:val="000000"/>
          <w:sz w:val="20"/>
          <w:szCs w:val="20"/>
        </w:rPr>
        <w:t xml:space="preserve">orting may not prevent or detect misstatements. Also, projections of any evaluation of effectiveness to future periods are subject to the risk that controls may become inadequate due to changing conditions, or the degree of compliance with the policies or </w:t>
      </w:r>
      <w:r>
        <w:rPr>
          <w:rFonts w:eastAsia="Times New Roman"/>
          <w:color w:val="000000"/>
          <w:sz w:val="20"/>
          <w:szCs w:val="20"/>
        </w:rPr>
        <w:t>procedures may deteriorate.</w:t>
      </w:r>
    </w:p>
    <w:p w14:paraId="105E3104" w14:textId="77777777" w:rsidR="00000000" w:rsidRDefault="00C1661D">
      <w:pPr>
        <w:jc w:val="both"/>
        <w:rPr>
          <w:rFonts w:eastAsia="Times New Roman"/>
        </w:rPr>
      </w:pPr>
    </w:p>
    <w:p w14:paraId="088B2ACB" w14:textId="77777777" w:rsidR="00000000" w:rsidRDefault="00C1661D">
      <w:pPr>
        <w:jc w:val="both"/>
        <w:rPr>
          <w:rFonts w:eastAsia="Times New Roman"/>
        </w:rPr>
      </w:pPr>
      <w:r>
        <w:rPr>
          <w:rFonts w:eastAsia="Times New Roman"/>
          <w:color w:val="000000"/>
          <w:sz w:val="20"/>
          <w:szCs w:val="20"/>
        </w:rPr>
        <w:t>Based on its assessment, management has concluded that the Company’s internal control over financial reporting was effective as of September 30, 2022, based on the COSO criteria. The Company’s independent registered public acc</w:t>
      </w:r>
      <w:r>
        <w:rPr>
          <w:rFonts w:eastAsia="Times New Roman"/>
          <w:color w:val="000000"/>
          <w:sz w:val="20"/>
          <w:szCs w:val="20"/>
        </w:rPr>
        <w:t>ounting firm, Ernst &amp; Young LLP, has issued an attestation report on the effectiveness of the Company’s internal control over financial reporting as of September 30, 2022. This report is set forth below.</w:t>
      </w:r>
    </w:p>
    <w:p w14:paraId="5DF55408" w14:textId="77777777" w:rsidR="00000000" w:rsidRDefault="00C1661D">
      <w:pPr>
        <w:jc w:val="both"/>
        <w:divId w:val="74282453"/>
        <w:rPr>
          <w:rFonts w:eastAsia="Times New Roman"/>
        </w:rPr>
      </w:pPr>
    </w:p>
    <w:p w14:paraId="27A5B024" w14:textId="77777777" w:rsidR="00000000" w:rsidRDefault="00C1661D">
      <w:pPr>
        <w:ind w:hanging="360"/>
        <w:jc w:val="both"/>
        <w:divId w:val="322392191"/>
        <w:rPr>
          <w:rFonts w:eastAsia="Times New Roman"/>
        </w:rPr>
      </w:pPr>
      <w:r>
        <w:rPr>
          <w:rFonts w:eastAsia="Times New Roman"/>
          <w:color w:val="000000"/>
          <w:sz w:val="20"/>
          <w:szCs w:val="20"/>
        </w:rPr>
        <w:t>(c)</w:t>
      </w:r>
      <w:r>
        <w:rPr>
          <w:rFonts w:eastAsia="Times New Roman"/>
          <w:color w:val="000000"/>
          <w:sz w:val="20"/>
          <w:szCs w:val="20"/>
        </w:rPr>
        <w:t>During the most recent fiscal quarter, no change in the Company’s internal control over financial reporting occurred that has materially affected, or is reasonably likely to materially affect, the Company’s internal control over financial reporting.</w:t>
      </w:r>
    </w:p>
    <w:p w14:paraId="1A632AE0" w14:textId="77777777" w:rsidR="00000000" w:rsidRDefault="00C1661D">
      <w:pPr>
        <w:jc w:val="both"/>
        <w:rPr>
          <w:rFonts w:eastAsia="Times New Roman"/>
        </w:rPr>
      </w:pPr>
    </w:p>
    <w:p w14:paraId="69708606" w14:textId="77777777" w:rsidR="00000000" w:rsidRDefault="00C1661D">
      <w:pPr>
        <w:jc w:val="both"/>
        <w:rPr>
          <w:rFonts w:eastAsia="Times New Roman"/>
        </w:rPr>
      </w:pPr>
    </w:p>
    <w:p w14:paraId="1CD28C4B" w14:textId="77777777" w:rsidR="00000000" w:rsidRDefault="00C1661D">
      <w:pPr>
        <w:jc w:val="both"/>
        <w:divId w:val="968048597"/>
        <w:rPr>
          <w:rFonts w:eastAsia="Times New Roman"/>
        </w:rPr>
      </w:pPr>
    </w:p>
    <w:p w14:paraId="545CD33D" w14:textId="77777777" w:rsidR="00000000" w:rsidRDefault="00C1661D">
      <w:pPr>
        <w:jc w:val="center"/>
        <w:divId w:val="1903906386"/>
        <w:rPr>
          <w:rFonts w:eastAsia="Times New Roman"/>
        </w:rPr>
      </w:pPr>
    </w:p>
    <w:p w14:paraId="0820BBA2" w14:textId="77777777" w:rsidR="00000000" w:rsidRDefault="00C1661D">
      <w:pPr>
        <w:jc w:val="center"/>
        <w:divId w:val="800927414"/>
        <w:rPr>
          <w:rFonts w:eastAsia="Times New Roman"/>
        </w:rPr>
      </w:pPr>
    </w:p>
    <w:p w14:paraId="6ACADB9D" w14:textId="77777777" w:rsidR="00000000" w:rsidRDefault="00C1661D">
      <w:pPr>
        <w:jc w:val="center"/>
        <w:divId w:val="595868429"/>
        <w:rPr>
          <w:rFonts w:eastAsia="Times New Roman"/>
        </w:rPr>
      </w:pPr>
    </w:p>
    <w:p w14:paraId="035804DC" w14:textId="77777777" w:rsidR="00000000" w:rsidRDefault="00C1661D">
      <w:pPr>
        <w:jc w:val="center"/>
        <w:divId w:val="1774668005"/>
        <w:rPr>
          <w:rFonts w:eastAsia="Times New Roman"/>
        </w:rPr>
      </w:pPr>
      <w:r>
        <w:rPr>
          <w:rFonts w:eastAsia="Times New Roman"/>
          <w:color w:val="000000"/>
          <w:sz w:val="20"/>
          <w:szCs w:val="20"/>
        </w:rPr>
        <w:t>68</w:t>
      </w:r>
    </w:p>
    <w:p w14:paraId="62BF11E9" w14:textId="77777777" w:rsidR="00000000" w:rsidRDefault="00C1661D">
      <w:pPr>
        <w:rPr>
          <w:rFonts w:eastAsia="Times New Roman"/>
        </w:rPr>
      </w:pPr>
      <w:r>
        <w:rPr>
          <w:rFonts w:eastAsia="Times New Roman"/>
        </w:rPr>
        <w:pict w14:anchorId="64A65C1E">
          <v:rect id="_x0000_i1095" style="width:0;height:1.5pt" o:hralign="center" o:hrstd="t" o:hr="t" fillcolor="#a0a0a0" stroked="f"/>
        </w:pict>
      </w:r>
    </w:p>
    <w:p w14:paraId="571EF501" w14:textId="77777777" w:rsidR="00000000" w:rsidRDefault="00C1661D">
      <w:pPr>
        <w:divId w:val="1885292335"/>
        <w:rPr>
          <w:rFonts w:eastAsia="Times New Roman"/>
        </w:rPr>
      </w:pPr>
      <w:hyperlink w:anchor="i3850c3c6c0104e42b9951aac2f16098a_7" w:history="1">
        <w:r>
          <w:rPr>
            <w:rStyle w:val="a3"/>
            <w:rFonts w:eastAsia="Times New Roman"/>
            <w:b/>
            <w:bCs/>
            <w:sz w:val="20"/>
            <w:szCs w:val="20"/>
          </w:rPr>
          <w:t>Table of Contents</w:t>
        </w:r>
      </w:hyperlink>
    </w:p>
    <w:p w14:paraId="59AA0DA4" w14:textId="77777777" w:rsidR="00000000" w:rsidRDefault="00C1661D">
      <w:pPr>
        <w:jc w:val="center"/>
        <w:divId w:val="311640323"/>
        <w:rPr>
          <w:rFonts w:eastAsia="Times New Roman"/>
        </w:rPr>
      </w:pPr>
      <w:r>
        <w:rPr>
          <w:rFonts w:eastAsia="Times New Roman"/>
          <w:b/>
          <w:bCs/>
          <w:color w:val="000000"/>
          <w:sz w:val="20"/>
          <w:szCs w:val="20"/>
        </w:rPr>
        <w:t>Report of Independent Registered Public Accounting Firm</w:t>
      </w:r>
    </w:p>
    <w:p w14:paraId="6BDA2418" w14:textId="77777777" w:rsidR="00000000" w:rsidRDefault="00C1661D">
      <w:pPr>
        <w:jc w:val="center"/>
        <w:rPr>
          <w:rFonts w:eastAsia="Times New Roman"/>
        </w:rPr>
      </w:pPr>
    </w:p>
    <w:p w14:paraId="2AA78C8E" w14:textId="77777777" w:rsidR="00000000" w:rsidRDefault="00C1661D">
      <w:pPr>
        <w:jc w:val="both"/>
        <w:rPr>
          <w:rFonts w:eastAsia="Times New Roman"/>
        </w:rPr>
      </w:pPr>
      <w:r>
        <w:rPr>
          <w:rFonts w:eastAsia="Times New Roman"/>
          <w:color w:val="333333"/>
          <w:sz w:val="20"/>
          <w:szCs w:val="20"/>
        </w:rPr>
        <w:t>To the Stockholders and the Board of Directors of UGI Corporation</w:t>
      </w:r>
    </w:p>
    <w:p w14:paraId="78C7E359" w14:textId="77777777" w:rsidR="00000000" w:rsidRDefault="00C1661D">
      <w:pPr>
        <w:jc w:val="both"/>
        <w:rPr>
          <w:rFonts w:eastAsia="Times New Roman"/>
        </w:rPr>
      </w:pPr>
    </w:p>
    <w:p w14:paraId="2769BD47" w14:textId="77777777" w:rsidR="00000000" w:rsidRDefault="00C1661D">
      <w:pPr>
        <w:jc w:val="both"/>
        <w:rPr>
          <w:rFonts w:eastAsia="Times New Roman"/>
        </w:rPr>
      </w:pPr>
      <w:r>
        <w:rPr>
          <w:rFonts w:eastAsia="Times New Roman"/>
          <w:b/>
          <w:bCs/>
          <w:color w:val="333333"/>
          <w:sz w:val="20"/>
          <w:szCs w:val="20"/>
        </w:rPr>
        <w:t xml:space="preserve">Opinion </w:t>
      </w:r>
      <w:r>
        <w:rPr>
          <w:rFonts w:eastAsia="Times New Roman"/>
          <w:b/>
          <w:bCs/>
          <w:color w:val="333333"/>
          <w:sz w:val="20"/>
          <w:szCs w:val="20"/>
        </w:rPr>
        <w:t>on Internal Control over Financial Reporting</w:t>
      </w:r>
    </w:p>
    <w:p w14:paraId="1E8F0EA8" w14:textId="77777777" w:rsidR="00000000" w:rsidRDefault="00C1661D">
      <w:pPr>
        <w:jc w:val="both"/>
        <w:rPr>
          <w:rFonts w:eastAsia="Times New Roman"/>
        </w:rPr>
      </w:pPr>
    </w:p>
    <w:p w14:paraId="71320FE8" w14:textId="77777777" w:rsidR="00000000" w:rsidRDefault="00C1661D">
      <w:pPr>
        <w:jc w:val="both"/>
        <w:rPr>
          <w:rFonts w:eastAsia="Times New Roman"/>
        </w:rPr>
      </w:pPr>
      <w:r>
        <w:rPr>
          <w:rFonts w:eastAsia="Times New Roman"/>
          <w:color w:val="333333"/>
          <w:sz w:val="20"/>
          <w:szCs w:val="20"/>
        </w:rPr>
        <w:t xml:space="preserve">We have audited UGI Corporation and subsidiaries’ </w:t>
      </w:r>
      <w:r>
        <w:rPr>
          <w:rFonts w:eastAsia="Times New Roman"/>
          <w:color w:val="333333"/>
          <w:sz w:val="20"/>
          <w:szCs w:val="20"/>
        </w:rPr>
        <w:t xml:space="preserve">internal control over financial reporting as of September 30, 2022, based on criteria established in Internal Control—Integrated Framework issued by the Committee of Sponsoring Organizations of the Treadway Commission (2013 framework) (the COSO criteria). </w:t>
      </w:r>
      <w:r>
        <w:rPr>
          <w:rFonts w:eastAsia="Times New Roman"/>
          <w:color w:val="333333"/>
          <w:sz w:val="20"/>
          <w:szCs w:val="20"/>
        </w:rPr>
        <w:t>In our opinion, UGI Corporation and subsidiaries (the Company) maintained, in all material respects, effective internal control over financial reporting as of September 30, 2022, based on the COSO criteria.</w:t>
      </w:r>
    </w:p>
    <w:p w14:paraId="28991F0F" w14:textId="77777777" w:rsidR="00000000" w:rsidRDefault="00C1661D">
      <w:pPr>
        <w:divId w:val="591670061"/>
        <w:rPr>
          <w:rFonts w:eastAsia="Times New Roman"/>
        </w:rPr>
      </w:pPr>
    </w:p>
    <w:p w14:paraId="15494BF5" w14:textId="77777777" w:rsidR="00000000" w:rsidRDefault="00C1661D">
      <w:pPr>
        <w:jc w:val="both"/>
        <w:rPr>
          <w:rFonts w:eastAsia="Times New Roman"/>
        </w:rPr>
      </w:pPr>
      <w:r>
        <w:rPr>
          <w:rFonts w:eastAsia="Times New Roman"/>
          <w:color w:val="333333"/>
          <w:sz w:val="20"/>
          <w:szCs w:val="20"/>
        </w:rPr>
        <w:t>We also have audited, in accordance with the st</w:t>
      </w:r>
      <w:r>
        <w:rPr>
          <w:rFonts w:eastAsia="Times New Roman"/>
          <w:color w:val="333333"/>
          <w:sz w:val="20"/>
          <w:szCs w:val="20"/>
        </w:rPr>
        <w:t>andards of the Public Company Accounting Oversight Board (United States) (PCAOB), the consolidated balance sheets of the Company as of September 30, 2022 and 2021, the related consolidated statements of income, comprehensive income, changes in equity and c</w:t>
      </w:r>
      <w:r>
        <w:rPr>
          <w:rFonts w:eastAsia="Times New Roman"/>
          <w:color w:val="333333"/>
          <w:sz w:val="20"/>
          <w:szCs w:val="20"/>
        </w:rPr>
        <w:t>ash flows for each of the three years in the period ended September 30, 2022, and the related notes and the financial statement schedules listed in the Index at Item 15(a) and our report dated November 21, 2022 expressed an unqualified opinion thereon.</w:t>
      </w:r>
    </w:p>
    <w:p w14:paraId="37F3B0C0" w14:textId="77777777" w:rsidR="00000000" w:rsidRDefault="00C1661D">
      <w:pPr>
        <w:divId w:val="2036466072"/>
        <w:rPr>
          <w:rFonts w:eastAsia="Times New Roman"/>
        </w:rPr>
      </w:pPr>
    </w:p>
    <w:p w14:paraId="1AD078D0" w14:textId="77777777" w:rsidR="00000000" w:rsidRDefault="00C1661D">
      <w:pPr>
        <w:jc w:val="both"/>
        <w:rPr>
          <w:rFonts w:eastAsia="Times New Roman"/>
        </w:rPr>
      </w:pPr>
      <w:r>
        <w:rPr>
          <w:rFonts w:eastAsia="Times New Roman"/>
          <w:b/>
          <w:bCs/>
          <w:color w:val="333333"/>
          <w:sz w:val="20"/>
          <w:szCs w:val="20"/>
        </w:rPr>
        <w:t>B</w:t>
      </w:r>
      <w:r>
        <w:rPr>
          <w:rFonts w:eastAsia="Times New Roman"/>
          <w:b/>
          <w:bCs/>
          <w:color w:val="333333"/>
          <w:sz w:val="20"/>
          <w:szCs w:val="20"/>
        </w:rPr>
        <w:t>asis for Opinion</w:t>
      </w:r>
    </w:p>
    <w:p w14:paraId="4AB78CD8" w14:textId="77777777" w:rsidR="00000000" w:rsidRDefault="00C1661D">
      <w:pPr>
        <w:jc w:val="both"/>
        <w:rPr>
          <w:rFonts w:eastAsia="Times New Roman"/>
        </w:rPr>
      </w:pPr>
    </w:p>
    <w:p w14:paraId="7EA306AB" w14:textId="77777777" w:rsidR="00000000" w:rsidRDefault="00C1661D">
      <w:pPr>
        <w:jc w:val="both"/>
        <w:rPr>
          <w:rFonts w:eastAsia="Times New Roman"/>
        </w:rPr>
      </w:pPr>
      <w:r>
        <w:rPr>
          <w:rFonts w:eastAsia="Times New Roman"/>
          <w:color w:val="333333"/>
          <w:sz w:val="20"/>
          <w:szCs w:val="20"/>
        </w:rPr>
        <w:t>The Company’s management is responsible for maintaining effective internal control over financial reporting and for its assessment of the effectiveness of internal control over financial reporting included in the accompanying “Management</w:t>
      </w:r>
      <w:r>
        <w:rPr>
          <w:rFonts w:eastAsia="Times New Roman"/>
          <w:color w:val="333333"/>
          <w:sz w:val="20"/>
          <w:szCs w:val="20"/>
        </w:rPr>
        <w:t>’s Annual Report on Internal Control over Financial Reporting”. Our responsibility is to express an opinion on the Company’s internal control over financial reporting based on our audit. We are a public accounting firm registered with the PCAOB and are req</w:t>
      </w:r>
      <w:r>
        <w:rPr>
          <w:rFonts w:eastAsia="Times New Roman"/>
          <w:color w:val="333333"/>
          <w:sz w:val="20"/>
          <w:szCs w:val="20"/>
        </w:rPr>
        <w:t xml:space="preserve">uired to be independent with respect to the Company in accordance with the U.S. federal securities laws and the applicable rules and regulations of the Securities and Exchange Commission and the PCAOB. </w:t>
      </w:r>
    </w:p>
    <w:p w14:paraId="4F43C3E8" w14:textId="77777777" w:rsidR="00000000" w:rsidRDefault="00C1661D">
      <w:pPr>
        <w:divId w:val="463163913"/>
        <w:rPr>
          <w:rFonts w:eastAsia="Times New Roman"/>
        </w:rPr>
      </w:pPr>
    </w:p>
    <w:p w14:paraId="75BF89CC" w14:textId="77777777" w:rsidR="00000000" w:rsidRDefault="00C1661D">
      <w:pPr>
        <w:jc w:val="both"/>
        <w:rPr>
          <w:rFonts w:eastAsia="Times New Roman"/>
        </w:rPr>
      </w:pPr>
      <w:r>
        <w:rPr>
          <w:rFonts w:eastAsia="Times New Roman"/>
          <w:color w:val="333333"/>
          <w:sz w:val="20"/>
          <w:szCs w:val="20"/>
        </w:rPr>
        <w:t>We conducted our audit in accordance with the stand</w:t>
      </w:r>
      <w:r>
        <w:rPr>
          <w:rFonts w:eastAsia="Times New Roman"/>
          <w:color w:val="333333"/>
          <w:sz w:val="20"/>
          <w:szCs w:val="20"/>
        </w:rPr>
        <w:t xml:space="preserve">ards of the PCAOB. Those standards require that we plan and perform the audit to obtain reasonable assurance about whether effective internal control over financial reporting was maintained in all material respects. </w:t>
      </w:r>
    </w:p>
    <w:p w14:paraId="5016543D" w14:textId="77777777" w:rsidR="00000000" w:rsidRDefault="00C1661D">
      <w:pPr>
        <w:divId w:val="978001927"/>
        <w:rPr>
          <w:rFonts w:eastAsia="Times New Roman"/>
        </w:rPr>
      </w:pPr>
    </w:p>
    <w:p w14:paraId="03AA8F31" w14:textId="77777777" w:rsidR="00000000" w:rsidRDefault="00C1661D">
      <w:pPr>
        <w:jc w:val="both"/>
        <w:rPr>
          <w:rFonts w:eastAsia="Times New Roman"/>
        </w:rPr>
      </w:pPr>
      <w:r>
        <w:rPr>
          <w:rFonts w:eastAsia="Times New Roman"/>
          <w:color w:val="333333"/>
          <w:sz w:val="20"/>
          <w:szCs w:val="20"/>
        </w:rPr>
        <w:t>Our audit included obtaining an understanding of internal control over financial reporting, assessing the risk that a material weakness exists, testing and evaluating the design and operating effectiveness of internal control based on the assessed risk, an</w:t>
      </w:r>
      <w:r>
        <w:rPr>
          <w:rFonts w:eastAsia="Times New Roman"/>
          <w:color w:val="333333"/>
          <w:sz w:val="20"/>
          <w:szCs w:val="20"/>
        </w:rPr>
        <w:t xml:space="preserve">d performing such other procedures as we considered necessary in the circumstances. We believe that our audit provides a reasonable basis for our opinion. </w:t>
      </w:r>
    </w:p>
    <w:p w14:paraId="4143F4E9" w14:textId="77777777" w:rsidR="00000000" w:rsidRDefault="00C1661D">
      <w:pPr>
        <w:divId w:val="1046219420"/>
        <w:rPr>
          <w:rFonts w:eastAsia="Times New Roman"/>
        </w:rPr>
      </w:pPr>
    </w:p>
    <w:p w14:paraId="67176BA1" w14:textId="77777777" w:rsidR="00000000" w:rsidRDefault="00C1661D">
      <w:pPr>
        <w:jc w:val="both"/>
        <w:rPr>
          <w:rFonts w:eastAsia="Times New Roman"/>
        </w:rPr>
      </w:pPr>
      <w:r>
        <w:rPr>
          <w:rFonts w:eastAsia="Times New Roman"/>
          <w:b/>
          <w:bCs/>
          <w:color w:val="333333"/>
          <w:sz w:val="20"/>
          <w:szCs w:val="20"/>
        </w:rPr>
        <w:t xml:space="preserve">Definition and Limitations of Internal Control Over Financial Reporting </w:t>
      </w:r>
    </w:p>
    <w:p w14:paraId="0888E94A" w14:textId="77777777" w:rsidR="00000000" w:rsidRDefault="00C1661D">
      <w:pPr>
        <w:jc w:val="both"/>
        <w:rPr>
          <w:rFonts w:eastAsia="Times New Roman"/>
        </w:rPr>
      </w:pPr>
    </w:p>
    <w:p w14:paraId="076A81A5" w14:textId="77777777" w:rsidR="00000000" w:rsidRDefault="00C1661D">
      <w:pPr>
        <w:jc w:val="both"/>
        <w:rPr>
          <w:rFonts w:eastAsia="Times New Roman"/>
        </w:rPr>
      </w:pPr>
      <w:r>
        <w:rPr>
          <w:rFonts w:eastAsia="Times New Roman"/>
          <w:color w:val="333333"/>
          <w:sz w:val="20"/>
          <w:szCs w:val="20"/>
        </w:rPr>
        <w:t>A company’s internal co</w:t>
      </w:r>
      <w:r>
        <w:rPr>
          <w:rFonts w:eastAsia="Times New Roman"/>
          <w:color w:val="333333"/>
          <w:sz w:val="20"/>
          <w:szCs w:val="20"/>
        </w:rPr>
        <w:t>ntrol over financial reporting is a process designed to provide reasonable assurance regarding the reliability of financial reporting and the preparation of financial statements for external purposes in accordance with generally accepted accounting princip</w:t>
      </w:r>
      <w:r>
        <w:rPr>
          <w:rFonts w:eastAsia="Times New Roman"/>
          <w:color w:val="333333"/>
          <w:sz w:val="20"/>
          <w:szCs w:val="20"/>
        </w:rPr>
        <w:t>les. A company’s internal control over financial reporting includes those policies and procedures that (1) pertain to the maintenance of records that, in reasonable detail, accurately and fairly reflect the transactions and dispositions of the assets of th</w:t>
      </w:r>
      <w:r>
        <w:rPr>
          <w:rFonts w:eastAsia="Times New Roman"/>
          <w:color w:val="333333"/>
          <w:sz w:val="20"/>
          <w:szCs w:val="20"/>
        </w:rPr>
        <w:t>e company; (2) provide reasonable assurance that transactions are recorded as necessary to permit preparation of financial statements in accordance with generally accepted accounting principles, and that receipts and expenditures of the company are being m</w:t>
      </w:r>
      <w:r>
        <w:rPr>
          <w:rFonts w:eastAsia="Times New Roman"/>
          <w:color w:val="333333"/>
          <w:sz w:val="20"/>
          <w:szCs w:val="20"/>
        </w:rPr>
        <w:t xml:space="preserve">ade only in accordance with authorizations of management and directors of the company; and (3) provide reasonable assurance regarding prevention or timely detection of unauthorized acquisition, use, or disposition of the company’s assets that could have a </w:t>
      </w:r>
      <w:r>
        <w:rPr>
          <w:rFonts w:eastAsia="Times New Roman"/>
          <w:color w:val="333333"/>
          <w:sz w:val="20"/>
          <w:szCs w:val="20"/>
        </w:rPr>
        <w:t xml:space="preserve">material effect on the financial statements. </w:t>
      </w:r>
    </w:p>
    <w:p w14:paraId="1BFC4E8A" w14:textId="77777777" w:rsidR="00000000" w:rsidRDefault="00C1661D">
      <w:pPr>
        <w:divId w:val="125393471"/>
        <w:rPr>
          <w:rFonts w:eastAsia="Times New Roman"/>
        </w:rPr>
      </w:pPr>
    </w:p>
    <w:p w14:paraId="395DD56E" w14:textId="77777777" w:rsidR="00000000" w:rsidRDefault="00C1661D">
      <w:pPr>
        <w:jc w:val="both"/>
        <w:rPr>
          <w:rFonts w:eastAsia="Times New Roman"/>
        </w:rPr>
      </w:pPr>
      <w:r>
        <w:rPr>
          <w:rFonts w:eastAsia="Times New Roman"/>
          <w:color w:val="333333"/>
          <w:sz w:val="20"/>
          <w:szCs w:val="20"/>
        </w:rPr>
        <w:t>Because of its inherent limitations, internal control over financial reporting may not prevent or detect misstatements. Also, projections of any evaluation of effectiveness to future periods are subject to th</w:t>
      </w:r>
      <w:r>
        <w:rPr>
          <w:rFonts w:eastAsia="Times New Roman"/>
          <w:color w:val="333333"/>
          <w:sz w:val="20"/>
          <w:szCs w:val="20"/>
        </w:rPr>
        <w:t xml:space="preserve">e risk that controls may become inadequate because of changes in conditions, or that the degree of compliance with the policies or procedures may deteriorate. </w:t>
      </w:r>
    </w:p>
    <w:p w14:paraId="5FD1B9DF" w14:textId="77777777" w:rsidR="00000000" w:rsidRDefault="00C1661D">
      <w:pPr>
        <w:divId w:val="917903296"/>
        <w:rPr>
          <w:rFonts w:eastAsia="Times New Roman"/>
        </w:rPr>
      </w:pPr>
    </w:p>
    <w:p w14:paraId="0BD482D8" w14:textId="77777777" w:rsidR="00000000" w:rsidRDefault="00C1661D">
      <w:pPr>
        <w:divId w:val="1066490490"/>
        <w:rPr>
          <w:rFonts w:eastAsia="Times New Roman"/>
        </w:rPr>
      </w:pPr>
      <w:r>
        <w:rPr>
          <w:rFonts w:eastAsia="Times New Roman"/>
          <w:color w:val="333333"/>
          <w:sz w:val="20"/>
          <w:szCs w:val="20"/>
        </w:rPr>
        <w:t>/s/ Ernst &amp; Young LLP</w:t>
      </w:r>
    </w:p>
    <w:p w14:paraId="72AC6258" w14:textId="77777777" w:rsidR="00000000" w:rsidRDefault="00C1661D">
      <w:pPr>
        <w:divId w:val="670570620"/>
        <w:rPr>
          <w:rFonts w:eastAsia="Times New Roman"/>
        </w:rPr>
      </w:pPr>
      <w:r>
        <w:rPr>
          <w:rFonts w:eastAsia="Times New Roman"/>
          <w:color w:val="333333"/>
          <w:sz w:val="20"/>
          <w:szCs w:val="20"/>
        </w:rPr>
        <w:t>Philadelphia, Pennsylvania</w:t>
      </w:r>
    </w:p>
    <w:p w14:paraId="5A45CDEB" w14:textId="77777777" w:rsidR="00000000" w:rsidRDefault="00C1661D">
      <w:pPr>
        <w:divId w:val="1317996195"/>
        <w:rPr>
          <w:rFonts w:eastAsia="Times New Roman"/>
        </w:rPr>
      </w:pPr>
      <w:r>
        <w:rPr>
          <w:rFonts w:eastAsia="Times New Roman"/>
          <w:color w:val="333333"/>
          <w:sz w:val="20"/>
          <w:szCs w:val="20"/>
        </w:rPr>
        <w:t>November 21, 2022</w:t>
      </w:r>
    </w:p>
    <w:p w14:paraId="42F98544" w14:textId="77777777" w:rsidR="00000000" w:rsidRDefault="00C1661D">
      <w:pPr>
        <w:divId w:val="355041213"/>
        <w:rPr>
          <w:rFonts w:eastAsia="Times New Roman"/>
        </w:rPr>
      </w:pPr>
    </w:p>
    <w:p w14:paraId="797A53D2" w14:textId="77777777" w:rsidR="00000000" w:rsidRDefault="00C1661D">
      <w:pPr>
        <w:ind w:hanging="900"/>
        <w:divId w:val="626396558"/>
        <w:rPr>
          <w:rFonts w:eastAsia="Times New Roman"/>
        </w:rPr>
      </w:pPr>
      <w:r>
        <w:rPr>
          <w:rFonts w:eastAsia="Times New Roman"/>
          <w:b/>
          <w:bCs/>
          <w:color w:val="000000"/>
          <w:sz w:val="20"/>
          <w:szCs w:val="20"/>
        </w:rPr>
        <w:t>ITEM 9B. OTHER INFORMATIO</w:t>
      </w:r>
      <w:r>
        <w:rPr>
          <w:rFonts w:eastAsia="Times New Roman"/>
          <w:b/>
          <w:bCs/>
          <w:color w:val="000000"/>
          <w:sz w:val="20"/>
          <w:szCs w:val="20"/>
        </w:rPr>
        <w:t>N</w:t>
      </w:r>
    </w:p>
    <w:p w14:paraId="64EEA27D" w14:textId="77777777" w:rsidR="00000000" w:rsidRDefault="00C1661D">
      <w:pPr>
        <w:divId w:val="2126148984"/>
        <w:rPr>
          <w:rFonts w:eastAsia="Times New Roman"/>
        </w:rPr>
      </w:pPr>
      <w:r>
        <w:rPr>
          <w:rFonts w:eastAsia="Times New Roman"/>
          <w:color w:val="000000"/>
          <w:sz w:val="20"/>
          <w:szCs w:val="20"/>
        </w:rPr>
        <w:t>None.</w:t>
      </w:r>
    </w:p>
    <w:p w14:paraId="31DC7159" w14:textId="77777777" w:rsidR="00000000" w:rsidRDefault="00C1661D">
      <w:pPr>
        <w:ind w:hanging="900"/>
        <w:divId w:val="848103746"/>
        <w:rPr>
          <w:rFonts w:eastAsia="Times New Roman"/>
        </w:rPr>
      </w:pPr>
      <w:r>
        <w:rPr>
          <w:rFonts w:eastAsia="Times New Roman"/>
          <w:b/>
          <w:bCs/>
          <w:color w:val="000000"/>
          <w:sz w:val="20"/>
          <w:szCs w:val="20"/>
        </w:rPr>
        <w:t>ITEM 9C. DISCLOSURE REGARDING FOREIGN JURISDICTIONS THAT PREVENT INSPECTIONS</w:t>
      </w:r>
    </w:p>
    <w:p w14:paraId="70F5384C" w14:textId="77777777" w:rsidR="00000000" w:rsidRDefault="00C1661D">
      <w:pPr>
        <w:divId w:val="744498825"/>
        <w:rPr>
          <w:rFonts w:eastAsia="Times New Roman"/>
        </w:rPr>
      </w:pPr>
      <w:r>
        <w:rPr>
          <w:rFonts w:eastAsia="Times New Roman"/>
          <w:color w:val="000000"/>
          <w:sz w:val="20"/>
          <w:szCs w:val="20"/>
        </w:rPr>
        <w:t>Not Applicable</w:t>
      </w:r>
    </w:p>
    <w:p w14:paraId="0A7DBB11" w14:textId="77777777" w:rsidR="00000000" w:rsidRDefault="00C1661D">
      <w:pPr>
        <w:jc w:val="center"/>
        <w:divId w:val="1656227443"/>
        <w:rPr>
          <w:rFonts w:eastAsia="Times New Roman"/>
        </w:rPr>
      </w:pPr>
      <w:r>
        <w:rPr>
          <w:rFonts w:eastAsia="Times New Roman"/>
          <w:color w:val="000000"/>
          <w:sz w:val="20"/>
          <w:szCs w:val="20"/>
        </w:rPr>
        <w:t>69</w:t>
      </w:r>
    </w:p>
    <w:p w14:paraId="147E2D9B" w14:textId="77777777" w:rsidR="00000000" w:rsidRDefault="00C1661D">
      <w:pPr>
        <w:rPr>
          <w:rFonts w:eastAsia="Times New Roman"/>
        </w:rPr>
      </w:pPr>
      <w:r>
        <w:rPr>
          <w:rFonts w:eastAsia="Times New Roman"/>
        </w:rPr>
        <w:pict w14:anchorId="5D28D66B">
          <v:rect id="_x0000_i1096" style="width:0;height:1.5pt" o:hralign="center" o:hrstd="t" o:hr="t" fillcolor="#a0a0a0" stroked="f"/>
        </w:pict>
      </w:r>
    </w:p>
    <w:p w14:paraId="47A85026" w14:textId="77777777" w:rsidR="00000000" w:rsidRDefault="00C1661D">
      <w:pPr>
        <w:divId w:val="95054996"/>
        <w:rPr>
          <w:rFonts w:eastAsia="Times New Roman"/>
        </w:rPr>
      </w:pPr>
      <w:hyperlink w:anchor="i3850c3c6c0104e42b9951aac2f16098a_7" w:history="1">
        <w:r>
          <w:rPr>
            <w:rStyle w:val="a3"/>
            <w:rFonts w:eastAsia="Times New Roman"/>
            <w:b/>
            <w:bCs/>
            <w:sz w:val="20"/>
            <w:szCs w:val="20"/>
          </w:rPr>
          <w:t>Table of Contents</w:t>
        </w:r>
      </w:hyperlink>
    </w:p>
    <w:p w14:paraId="1F17AE87" w14:textId="77777777" w:rsidR="00000000" w:rsidRDefault="00C1661D">
      <w:pPr>
        <w:jc w:val="both"/>
        <w:rPr>
          <w:rFonts w:eastAsia="Times New Roman"/>
        </w:rPr>
      </w:pPr>
      <w:r>
        <w:rPr>
          <w:rFonts w:eastAsia="Times New Roman"/>
          <w:b/>
          <w:bCs/>
          <w:color w:val="000000"/>
          <w:sz w:val="20"/>
          <w:szCs w:val="20"/>
        </w:rPr>
        <w:t>PART III:</w:t>
      </w:r>
    </w:p>
    <w:p w14:paraId="6A8F3A05" w14:textId="77777777" w:rsidR="00000000" w:rsidRDefault="00C1661D">
      <w:pPr>
        <w:jc w:val="both"/>
        <w:rPr>
          <w:rFonts w:eastAsia="Times New Roman"/>
        </w:rPr>
      </w:pPr>
    </w:p>
    <w:p w14:paraId="13B1CEE0" w14:textId="77777777" w:rsidR="00000000" w:rsidRDefault="00C1661D">
      <w:pPr>
        <w:jc w:val="both"/>
        <w:rPr>
          <w:rFonts w:eastAsia="Times New Roman"/>
        </w:rPr>
      </w:pPr>
      <w:r>
        <w:rPr>
          <w:rFonts w:eastAsia="Times New Roman"/>
          <w:b/>
          <w:bCs/>
          <w:color w:val="000000"/>
          <w:sz w:val="20"/>
          <w:szCs w:val="20"/>
        </w:rPr>
        <w:t>ITEMS 10 THROUGH 14.</w:t>
      </w:r>
    </w:p>
    <w:p w14:paraId="275A20EC" w14:textId="77777777" w:rsidR="00000000" w:rsidRDefault="00C1661D">
      <w:pPr>
        <w:divId w:val="2064211402"/>
        <w:rPr>
          <w:rFonts w:eastAsia="Times New Roman"/>
        </w:rPr>
      </w:pPr>
    </w:p>
    <w:p w14:paraId="47ADC464" w14:textId="77777777" w:rsidR="00000000" w:rsidRDefault="00C1661D">
      <w:pPr>
        <w:jc w:val="both"/>
        <w:rPr>
          <w:rFonts w:eastAsia="Times New Roman"/>
        </w:rPr>
      </w:pPr>
      <w:r>
        <w:rPr>
          <w:rFonts w:eastAsia="Times New Roman"/>
          <w:color w:val="000000"/>
          <w:sz w:val="20"/>
          <w:szCs w:val="20"/>
        </w:rPr>
        <w:t>In ac</w:t>
      </w:r>
      <w:r>
        <w:rPr>
          <w:rFonts w:eastAsia="Times New Roman"/>
          <w:color w:val="000000"/>
          <w:sz w:val="20"/>
          <w:szCs w:val="20"/>
        </w:rPr>
        <w:t xml:space="preserve">cordance with General Instruction G(3), and except as set forth below, the information required by Items 10, 11, 12, 13 and 14 is incorporated in this Report by reference to the following portions of UGI’s Proxy Statement, which will be filed with the SEC </w:t>
      </w:r>
      <w:r>
        <w:rPr>
          <w:rFonts w:eastAsia="Times New Roman"/>
          <w:color w:val="000000"/>
          <w:sz w:val="20"/>
          <w:szCs w:val="20"/>
        </w:rPr>
        <w:t>by December 31, 2022.</w:t>
      </w:r>
    </w:p>
    <w:tbl>
      <w:tblPr>
        <w:tblW w:w="4985" w:type="pct"/>
        <w:tblCellMar>
          <w:top w:w="15" w:type="dxa"/>
          <w:left w:w="15" w:type="dxa"/>
          <w:bottom w:w="15" w:type="dxa"/>
          <w:right w:w="15" w:type="dxa"/>
        </w:tblCellMar>
        <w:tblLook w:val="04A0" w:firstRow="1" w:lastRow="0" w:firstColumn="1" w:lastColumn="0" w:noHBand="0" w:noVBand="1"/>
      </w:tblPr>
      <w:tblGrid>
        <w:gridCol w:w="72"/>
        <w:gridCol w:w="693"/>
        <w:gridCol w:w="36"/>
        <w:gridCol w:w="63"/>
        <w:gridCol w:w="3592"/>
        <w:gridCol w:w="37"/>
        <w:gridCol w:w="36"/>
        <w:gridCol w:w="36"/>
        <w:gridCol w:w="36"/>
        <w:gridCol w:w="51"/>
        <w:gridCol w:w="3593"/>
        <w:gridCol w:w="36"/>
      </w:tblGrid>
      <w:tr w:rsidR="00000000" w14:paraId="1871BECB" w14:textId="77777777">
        <w:trPr>
          <w:divId w:val="107965885"/>
        </w:trPr>
        <w:tc>
          <w:tcPr>
            <w:tcW w:w="50" w:type="pct"/>
            <w:vAlign w:val="center"/>
            <w:hideMark/>
          </w:tcPr>
          <w:p w14:paraId="7054152E" w14:textId="77777777" w:rsidR="00000000" w:rsidRDefault="00C1661D">
            <w:pPr>
              <w:jc w:val="both"/>
              <w:rPr>
                <w:rFonts w:eastAsia="Times New Roman"/>
              </w:rPr>
            </w:pPr>
          </w:p>
        </w:tc>
        <w:tc>
          <w:tcPr>
            <w:tcW w:w="436" w:type="pct"/>
            <w:vAlign w:val="center"/>
            <w:hideMark/>
          </w:tcPr>
          <w:p w14:paraId="64BD7248" w14:textId="77777777" w:rsidR="00000000" w:rsidRDefault="00C1661D">
            <w:pPr>
              <w:spacing w:after="100"/>
              <w:rPr>
                <w:rFonts w:eastAsia="Times New Roman"/>
                <w:sz w:val="20"/>
                <w:szCs w:val="20"/>
              </w:rPr>
            </w:pPr>
          </w:p>
        </w:tc>
        <w:tc>
          <w:tcPr>
            <w:tcW w:w="5" w:type="pct"/>
            <w:vAlign w:val="center"/>
            <w:hideMark/>
          </w:tcPr>
          <w:p w14:paraId="52D615A3" w14:textId="77777777" w:rsidR="00000000" w:rsidRDefault="00C1661D">
            <w:pPr>
              <w:spacing w:after="100"/>
              <w:rPr>
                <w:rFonts w:eastAsia="Times New Roman"/>
                <w:sz w:val="20"/>
                <w:szCs w:val="20"/>
              </w:rPr>
            </w:pPr>
          </w:p>
        </w:tc>
        <w:tc>
          <w:tcPr>
            <w:tcW w:w="50" w:type="pct"/>
            <w:vAlign w:val="center"/>
            <w:hideMark/>
          </w:tcPr>
          <w:p w14:paraId="7A08F41D" w14:textId="77777777" w:rsidR="00000000" w:rsidRDefault="00C1661D">
            <w:pPr>
              <w:spacing w:after="100"/>
              <w:rPr>
                <w:rFonts w:eastAsia="Times New Roman"/>
                <w:sz w:val="20"/>
                <w:szCs w:val="20"/>
              </w:rPr>
            </w:pPr>
          </w:p>
        </w:tc>
        <w:tc>
          <w:tcPr>
            <w:tcW w:w="2181" w:type="pct"/>
            <w:vAlign w:val="center"/>
            <w:hideMark/>
          </w:tcPr>
          <w:p w14:paraId="4489FDF0" w14:textId="77777777" w:rsidR="00000000" w:rsidRDefault="00C1661D">
            <w:pPr>
              <w:spacing w:after="100"/>
              <w:rPr>
                <w:rFonts w:eastAsia="Times New Roman"/>
                <w:sz w:val="20"/>
                <w:szCs w:val="20"/>
              </w:rPr>
            </w:pPr>
          </w:p>
        </w:tc>
        <w:tc>
          <w:tcPr>
            <w:tcW w:w="5" w:type="pct"/>
            <w:vAlign w:val="center"/>
            <w:hideMark/>
          </w:tcPr>
          <w:p w14:paraId="7CDFAE56" w14:textId="77777777" w:rsidR="00000000" w:rsidRDefault="00C1661D">
            <w:pPr>
              <w:spacing w:after="100"/>
              <w:rPr>
                <w:rFonts w:eastAsia="Times New Roman"/>
                <w:sz w:val="20"/>
                <w:szCs w:val="20"/>
              </w:rPr>
            </w:pPr>
          </w:p>
        </w:tc>
        <w:tc>
          <w:tcPr>
            <w:tcW w:w="5" w:type="pct"/>
            <w:vAlign w:val="center"/>
            <w:hideMark/>
          </w:tcPr>
          <w:p w14:paraId="2C300464" w14:textId="77777777" w:rsidR="00000000" w:rsidRDefault="00C1661D">
            <w:pPr>
              <w:spacing w:after="100"/>
              <w:rPr>
                <w:rFonts w:eastAsia="Times New Roman"/>
                <w:sz w:val="20"/>
                <w:szCs w:val="20"/>
              </w:rPr>
            </w:pPr>
          </w:p>
        </w:tc>
        <w:tc>
          <w:tcPr>
            <w:tcW w:w="26" w:type="pct"/>
            <w:vAlign w:val="center"/>
            <w:hideMark/>
          </w:tcPr>
          <w:p w14:paraId="49254093" w14:textId="77777777" w:rsidR="00000000" w:rsidRDefault="00C1661D">
            <w:pPr>
              <w:spacing w:after="100"/>
              <w:rPr>
                <w:rFonts w:eastAsia="Times New Roman"/>
                <w:sz w:val="20"/>
                <w:szCs w:val="20"/>
              </w:rPr>
            </w:pPr>
          </w:p>
        </w:tc>
        <w:tc>
          <w:tcPr>
            <w:tcW w:w="5" w:type="pct"/>
            <w:vAlign w:val="center"/>
            <w:hideMark/>
          </w:tcPr>
          <w:p w14:paraId="352B35D9" w14:textId="77777777" w:rsidR="00000000" w:rsidRDefault="00C1661D">
            <w:pPr>
              <w:spacing w:after="100"/>
              <w:rPr>
                <w:rFonts w:eastAsia="Times New Roman"/>
                <w:sz w:val="20"/>
                <w:szCs w:val="20"/>
              </w:rPr>
            </w:pPr>
          </w:p>
        </w:tc>
        <w:tc>
          <w:tcPr>
            <w:tcW w:w="50" w:type="pct"/>
            <w:vAlign w:val="center"/>
            <w:hideMark/>
          </w:tcPr>
          <w:p w14:paraId="55BD95A1" w14:textId="77777777" w:rsidR="00000000" w:rsidRDefault="00C1661D">
            <w:pPr>
              <w:spacing w:after="100"/>
              <w:rPr>
                <w:rFonts w:eastAsia="Times New Roman"/>
                <w:sz w:val="20"/>
                <w:szCs w:val="20"/>
              </w:rPr>
            </w:pPr>
          </w:p>
        </w:tc>
        <w:tc>
          <w:tcPr>
            <w:tcW w:w="2181" w:type="pct"/>
            <w:vAlign w:val="center"/>
            <w:hideMark/>
          </w:tcPr>
          <w:p w14:paraId="65222C7C" w14:textId="77777777" w:rsidR="00000000" w:rsidRDefault="00C1661D">
            <w:pPr>
              <w:spacing w:after="100"/>
              <w:rPr>
                <w:rFonts w:eastAsia="Times New Roman"/>
                <w:sz w:val="20"/>
                <w:szCs w:val="20"/>
              </w:rPr>
            </w:pPr>
          </w:p>
        </w:tc>
        <w:tc>
          <w:tcPr>
            <w:tcW w:w="5" w:type="pct"/>
            <w:vAlign w:val="center"/>
            <w:hideMark/>
          </w:tcPr>
          <w:p w14:paraId="6B117992" w14:textId="77777777" w:rsidR="00000000" w:rsidRDefault="00C1661D">
            <w:pPr>
              <w:spacing w:after="100"/>
              <w:rPr>
                <w:rFonts w:eastAsia="Times New Roman"/>
                <w:sz w:val="20"/>
                <w:szCs w:val="20"/>
              </w:rPr>
            </w:pPr>
          </w:p>
        </w:tc>
      </w:tr>
      <w:tr w:rsidR="00000000" w14:paraId="7C72B56C" w14:textId="77777777">
        <w:trPr>
          <w:divId w:val="107965885"/>
        </w:trPr>
        <w:tc>
          <w:tcPr>
            <w:tcW w:w="0" w:type="auto"/>
            <w:gridSpan w:val="3"/>
            <w:tcMar>
              <w:top w:w="30" w:type="dxa"/>
              <w:left w:w="20" w:type="dxa"/>
              <w:bottom w:w="30" w:type="dxa"/>
              <w:right w:w="20" w:type="dxa"/>
            </w:tcMar>
            <w:vAlign w:val="bottom"/>
            <w:hideMark/>
          </w:tcPr>
          <w:p w14:paraId="5EB122D3"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C91D184" w14:textId="77777777" w:rsidR="00000000" w:rsidRDefault="00C1661D">
            <w:pPr>
              <w:spacing w:after="100"/>
              <w:jc w:val="center"/>
              <w:rPr>
                <w:rFonts w:eastAsia="Times New Roman"/>
              </w:rPr>
            </w:pPr>
            <w:r>
              <w:rPr>
                <w:rFonts w:eastAsia="Times New Roman"/>
                <w:b/>
                <w:bCs/>
                <w:color w:val="000000"/>
                <w:sz w:val="20"/>
                <w:szCs w:val="20"/>
              </w:rPr>
              <w:t>Information</w:t>
            </w:r>
          </w:p>
        </w:tc>
        <w:tc>
          <w:tcPr>
            <w:tcW w:w="0" w:type="auto"/>
            <w:gridSpan w:val="3"/>
            <w:tcMar>
              <w:top w:w="0" w:type="dxa"/>
              <w:left w:w="20" w:type="dxa"/>
              <w:bottom w:w="0" w:type="dxa"/>
              <w:right w:w="20" w:type="dxa"/>
            </w:tcMar>
            <w:vAlign w:val="center"/>
            <w:hideMark/>
          </w:tcPr>
          <w:p w14:paraId="111F9F21"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528773B" w14:textId="77777777" w:rsidR="00000000" w:rsidRDefault="00C1661D">
            <w:pPr>
              <w:spacing w:after="100"/>
              <w:jc w:val="center"/>
              <w:rPr>
                <w:rFonts w:eastAsia="Times New Roman"/>
              </w:rPr>
            </w:pPr>
            <w:r>
              <w:rPr>
                <w:rFonts w:eastAsia="Times New Roman"/>
                <w:b/>
                <w:bCs/>
                <w:color w:val="000000"/>
                <w:sz w:val="20"/>
                <w:szCs w:val="20"/>
              </w:rPr>
              <w:t>Captions of Proxy Statement</w:t>
            </w:r>
            <w:r>
              <w:rPr>
                <w:rFonts w:eastAsia="Times New Roman"/>
                <w:b/>
                <w:bCs/>
                <w:color w:val="000000"/>
                <w:sz w:val="20"/>
                <w:szCs w:val="20"/>
              </w:rPr>
              <w:br/>
              <w:t>Incorporated by Reference</w:t>
            </w:r>
          </w:p>
        </w:tc>
      </w:tr>
      <w:tr w:rsidR="00000000" w14:paraId="59096AB3" w14:textId="77777777">
        <w:trPr>
          <w:divId w:val="107965885"/>
        </w:trPr>
        <w:tc>
          <w:tcPr>
            <w:tcW w:w="0" w:type="auto"/>
            <w:gridSpan w:val="3"/>
            <w:tcMar>
              <w:top w:w="30" w:type="dxa"/>
              <w:left w:w="20" w:type="dxa"/>
              <w:bottom w:w="30" w:type="dxa"/>
              <w:right w:w="20" w:type="dxa"/>
            </w:tcMar>
            <w:hideMark/>
          </w:tcPr>
          <w:p w14:paraId="57A6E9C4" w14:textId="77777777" w:rsidR="00000000" w:rsidRDefault="00C1661D">
            <w:pPr>
              <w:spacing w:after="100"/>
              <w:rPr>
                <w:rFonts w:eastAsia="Times New Roman"/>
              </w:rPr>
            </w:pPr>
            <w:r>
              <w:rPr>
                <w:rFonts w:eastAsia="Times New Roman"/>
                <w:color w:val="000000"/>
                <w:sz w:val="20"/>
                <w:szCs w:val="20"/>
              </w:rPr>
              <w:t>Item 10.</w:t>
            </w:r>
          </w:p>
        </w:tc>
        <w:tc>
          <w:tcPr>
            <w:tcW w:w="0" w:type="auto"/>
            <w:gridSpan w:val="3"/>
            <w:tcBorders>
              <w:top w:val="single" w:sz="8" w:space="0" w:color="000000"/>
            </w:tcBorders>
            <w:tcMar>
              <w:top w:w="30" w:type="dxa"/>
              <w:left w:w="20" w:type="dxa"/>
              <w:bottom w:w="30" w:type="dxa"/>
              <w:right w:w="20" w:type="dxa"/>
            </w:tcMar>
            <w:hideMark/>
          </w:tcPr>
          <w:p w14:paraId="3962F605" w14:textId="77777777" w:rsidR="00000000" w:rsidRDefault="00C1661D">
            <w:pPr>
              <w:spacing w:after="100"/>
              <w:jc w:val="both"/>
              <w:rPr>
                <w:rFonts w:eastAsia="Times New Roman"/>
              </w:rPr>
            </w:pPr>
            <w:r>
              <w:rPr>
                <w:rFonts w:eastAsia="Times New Roman"/>
                <w:color w:val="000000"/>
                <w:sz w:val="20"/>
                <w:szCs w:val="20"/>
              </w:rPr>
              <w:t>Directors, Executive Officers and Corporate Governance</w:t>
            </w:r>
          </w:p>
        </w:tc>
        <w:tc>
          <w:tcPr>
            <w:tcW w:w="0" w:type="auto"/>
            <w:gridSpan w:val="3"/>
            <w:tcMar>
              <w:top w:w="0" w:type="dxa"/>
              <w:left w:w="20" w:type="dxa"/>
              <w:bottom w:w="0" w:type="dxa"/>
              <w:right w:w="20" w:type="dxa"/>
            </w:tcMar>
            <w:vAlign w:val="center"/>
            <w:hideMark/>
          </w:tcPr>
          <w:p w14:paraId="2484F449" w14:textId="77777777" w:rsidR="00000000" w:rsidRDefault="00C1661D">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1B9C5F86" w14:textId="77777777" w:rsidR="00000000" w:rsidRDefault="00C1661D">
            <w:pPr>
              <w:spacing w:after="100"/>
              <w:divId w:val="630790598"/>
              <w:rPr>
                <w:rFonts w:eastAsia="Times New Roman"/>
              </w:rPr>
            </w:pPr>
            <w:r>
              <w:rPr>
                <w:rFonts w:eastAsia="Times New Roman"/>
                <w:color w:val="000000"/>
                <w:sz w:val="20"/>
                <w:szCs w:val="20"/>
              </w:rPr>
              <w:t>Election of Directors - Nominees; Corporate Governance; Report of the Audit Committee of the Board of Directors</w:t>
            </w:r>
          </w:p>
        </w:tc>
      </w:tr>
      <w:tr w:rsidR="00000000" w14:paraId="6B83F0A5" w14:textId="77777777">
        <w:trPr>
          <w:divId w:val="107965885"/>
          <w:trHeight w:val="60"/>
        </w:trPr>
        <w:tc>
          <w:tcPr>
            <w:tcW w:w="0" w:type="auto"/>
            <w:gridSpan w:val="3"/>
            <w:tcMar>
              <w:top w:w="0" w:type="dxa"/>
              <w:left w:w="20" w:type="dxa"/>
              <w:bottom w:w="0" w:type="dxa"/>
              <w:right w:w="20" w:type="dxa"/>
            </w:tcMar>
            <w:vAlign w:val="center"/>
            <w:hideMark/>
          </w:tcPr>
          <w:p w14:paraId="594F38C1" w14:textId="77777777" w:rsidR="00000000" w:rsidRDefault="00C1661D">
            <w:pPr>
              <w:spacing w:after="100"/>
              <w:rPr>
                <w:rFonts w:eastAsia="Times New Roman"/>
              </w:rPr>
            </w:pPr>
          </w:p>
        </w:tc>
        <w:tc>
          <w:tcPr>
            <w:tcW w:w="0" w:type="auto"/>
            <w:gridSpan w:val="3"/>
            <w:tcMar>
              <w:top w:w="0" w:type="dxa"/>
              <w:left w:w="20" w:type="dxa"/>
              <w:bottom w:w="0" w:type="dxa"/>
              <w:right w:w="20" w:type="dxa"/>
            </w:tcMar>
            <w:vAlign w:val="center"/>
            <w:hideMark/>
          </w:tcPr>
          <w:p w14:paraId="4F413B40"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8AD8C0"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A9F0B4" w14:textId="77777777" w:rsidR="00000000" w:rsidRDefault="00C1661D">
            <w:pPr>
              <w:spacing w:after="100"/>
              <w:rPr>
                <w:rFonts w:eastAsia="Times New Roman"/>
                <w:sz w:val="20"/>
                <w:szCs w:val="20"/>
              </w:rPr>
            </w:pPr>
          </w:p>
        </w:tc>
      </w:tr>
      <w:tr w:rsidR="00000000" w14:paraId="6999D5F9" w14:textId="77777777">
        <w:trPr>
          <w:divId w:val="107965885"/>
        </w:trPr>
        <w:tc>
          <w:tcPr>
            <w:tcW w:w="0" w:type="auto"/>
            <w:gridSpan w:val="3"/>
            <w:tcMar>
              <w:top w:w="30" w:type="dxa"/>
              <w:left w:w="20" w:type="dxa"/>
              <w:bottom w:w="30" w:type="dxa"/>
              <w:right w:w="20" w:type="dxa"/>
            </w:tcMar>
            <w:hideMark/>
          </w:tcPr>
          <w:p w14:paraId="3FB3E02E"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2AC1076" w14:textId="77777777" w:rsidR="00000000" w:rsidRDefault="00C1661D">
            <w:pPr>
              <w:spacing w:after="100"/>
              <w:jc w:val="both"/>
              <w:rPr>
                <w:rFonts w:eastAsia="Times New Roman"/>
              </w:rPr>
            </w:pPr>
            <w:r>
              <w:rPr>
                <w:rFonts w:eastAsia="Times New Roman"/>
                <w:color w:val="000000"/>
                <w:sz w:val="20"/>
                <w:szCs w:val="20"/>
              </w:rPr>
              <w:t>The Code of Business Conduct and Ethics is available without charge on the Company’s website, www.ugicorp.com under the caption “Company - Leadership and Governance - Governance Documents”, or by writing to Director, Investor Relations, UGI Corporation, P.</w:t>
            </w:r>
            <w:r>
              <w:rPr>
                <w:rFonts w:eastAsia="Times New Roman"/>
                <w:color w:val="000000"/>
                <w:sz w:val="20"/>
                <w:szCs w:val="20"/>
              </w:rPr>
              <w:t xml:space="preserve"> O. Box 858, Valley Forge, PA 19482. We will disclose on the Company’s website any waiver from or amendment to the Code of Business Conduct and Ethics that applies to the Company’s principal executive officer, principal financial officer, principal account</w:t>
            </w:r>
            <w:r>
              <w:rPr>
                <w:rFonts w:eastAsia="Times New Roman"/>
                <w:color w:val="000000"/>
                <w:sz w:val="20"/>
                <w:szCs w:val="20"/>
              </w:rPr>
              <w:t>ing officer or controller or persons performing similar functions and that relates to any element of the code of ethics definition in Item 406(b) of Regulations S-K.</w:t>
            </w:r>
          </w:p>
        </w:tc>
        <w:tc>
          <w:tcPr>
            <w:tcW w:w="0" w:type="auto"/>
            <w:gridSpan w:val="3"/>
            <w:tcMar>
              <w:top w:w="0" w:type="dxa"/>
              <w:left w:w="20" w:type="dxa"/>
              <w:bottom w:w="0" w:type="dxa"/>
              <w:right w:w="20" w:type="dxa"/>
            </w:tcMar>
            <w:vAlign w:val="center"/>
            <w:hideMark/>
          </w:tcPr>
          <w:p w14:paraId="4E007135" w14:textId="77777777" w:rsidR="00000000" w:rsidRDefault="00C1661D">
            <w:pPr>
              <w:spacing w:after="100"/>
              <w:jc w:val="both"/>
              <w:rPr>
                <w:rFonts w:eastAsia="Times New Roman"/>
              </w:rPr>
            </w:pPr>
          </w:p>
        </w:tc>
        <w:tc>
          <w:tcPr>
            <w:tcW w:w="0" w:type="auto"/>
            <w:gridSpan w:val="3"/>
            <w:tcMar>
              <w:top w:w="30" w:type="dxa"/>
              <w:left w:w="20" w:type="dxa"/>
              <w:bottom w:w="30" w:type="dxa"/>
              <w:right w:w="20" w:type="dxa"/>
            </w:tcMar>
            <w:hideMark/>
          </w:tcPr>
          <w:p w14:paraId="0203DF4A" w14:textId="77777777" w:rsidR="00000000" w:rsidRDefault="00C1661D">
            <w:pPr>
              <w:spacing w:after="100"/>
              <w:jc w:val="both"/>
              <w:rPr>
                <w:rFonts w:eastAsia="Times New Roman"/>
              </w:rPr>
            </w:pPr>
            <w:r>
              <w:rPr>
                <w:rFonts w:eastAsia="Times New Roman"/>
                <w:color w:val="000000"/>
                <w:sz w:val="20"/>
                <w:szCs w:val="20"/>
              </w:rPr>
              <w:t> </w:t>
            </w:r>
          </w:p>
        </w:tc>
      </w:tr>
      <w:tr w:rsidR="00000000" w14:paraId="7E8ADFAA" w14:textId="77777777">
        <w:trPr>
          <w:divId w:val="107965885"/>
          <w:trHeight w:val="60"/>
        </w:trPr>
        <w:tc>
          <w:tcPr>
            <w:tcW w:w="0" w:type="auto"/>
            <w:gridSpan w:val="3"/>
            <w:tcMar>
              <w:top w:w="0" w:type="dxa"/>
              <w:left w:w="20" w:type="dxa"/>
              <w:bottom w:w="0" w:type="dxa"/>
              <w:right w:w="20" w:type="dxa"/>
            </w:tcMar>
            <w:vAlign w:val="center"/>
            <w:hideMark/>
          </w:tcPr>
          <w:p w14:paraId="4DB2A539"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9795E89"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2C9E04"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B6B6AC" w14:textId="77777777" w:rsidR="00000000" w:rsidRDefault="00C1661D">
            <w:pPr>
              <w:spacing w:after="100"/>
              <w:rPr>
                <w:rFonts w:eastAsia="Times New Roman"/>
                <w:sz w:val="20"/>
                <w:szCs w:val="20"/>
              </w:rPr>
            </w:pPr>
          </w:p>
        </w:tc>
      </w:tr>
      <w:tr w:rsidR="00000000" w14:paraId="34117928" w14:textId="77777777">
        <w:trPr>
          <w:divId w:val="107965885"/>
        </w:trPr>
        <w:tc>
          <w:tcPr>
            <w:tcW w:w="0" w:type="auto"/>
            <w:gridSpan w:val="3"/>
            <w:tcMar>
              <w:top w:w="30" w:type="dxa"/>
              <w:left w:w="20" w:type="dxa"/>
              <w:bottom w:w="30" w:type="dxa"/>
              <w:right w:w="20" w:type="dxa"/>
            </w:tcMar>
            <w:hideMark/>
          </w:tcPr>
          <w:p w14:paraId="30B36E47" w14:textId="77777777" w:rsidR="00000000" w:rsidRDefault="00C1661D">
            <w:pPr>
              <w:spacing w:after="100"/>
              <w:rPr>
                <w:rFonts w:eastAsia="Times New Roman"/>
              </w:rPr>
            </w:pPr>
            <w:r>
              <w:rPr>
                <w:rFonts w:eastAsia="Times New Roman"/>
                <w:color w:val="000000"/>
                <w:sz w:val="20"/>
                <w:szCs w:val="20"/>
              </w:rPr>
              <w:t>Item 11.</w:t>
            </w:r>
          </w:p>
        </w:tc>
        <w:tc>
          <w:tcPr>
            <w:tcW w:w="0" w:type="auto"/>
            <w:gridSpan w:val="3"/>
            <w:tcMar>
              <w:top w:w="30" w:type="dxa"/>
              <w:left w:w="20" w:type="dxa"/>
              <w:bottom w:w="30" w:type="dxa"/>
              <w:right w:w="20" w:type="dxa"/>
            </w:tcMar>
            <w:hideMark/>
          </w:tcPr>
          <w:p w14:paraId="6E9A5476" w14:textId="77777777" w:rsidR="00000000" w:rsidRDefault="00C1661D">
            <w:pPr>
              <w:spacing w:after="100"/>
              <w:jc w:val="both"/>
              <w:rPr>
                <w:rFonts w:eastAsia="Times New Roman"/>
              </w:rPr>
            </w:pPr>
            <w:r>
              <w:rPr>
                <w:rFonts w:eastAsia="Times New Roman"/>
                <w:color w:val="000000"/>
                <w:sz w:val="20"/>
                <w:szCs w:val="20"/>
              </w:rPr>
              <w:t>Executive Compensation</w:t>
            </w:r>
          </w:p>
        </w:tc>
        <w:tc>
          <w:tcPr>
            <w:tcW w:w="0" w:type="auto"/>
            <w:gridSpan w:val="3"/>
            <w:tcMar>
              <w:top w:w="0" w:type="dxa"/>
              <w:left w:w="20" w:type="dxa"/>
              <w:bottom w:w="0" w:type="dxa"/>
              <w:right w:w="20" w:type="dxa"/>
            </w:tcMar>
            <w:vAlign w:val="center"/>
            <w:hideMark/>
          </w:tcPr>
          <w:p w14:paraId="31A71553" w14:textId="77777777" w:rsidR="00000000" w:rsidRDefault="00C1661D">
            <w:pPr>
              <w:spacing w:after="100"/>
              <w:jc w:val="both"/>
              <w:rPr>
                <w:rFonts w:eastAsia="Times New Roman"/>
              </w:rPr>
            </w:pPr>
          </w:p>
        </w:tc>
        <w:tc>
          <w:tcPr>
            <w:tcW w:w="0" w:type="auto"/>
            <w:gridSpan w:val="3"/>
            <w:tcMar>
              <w:top w:w="30" w:type="dxa"/>
              <w:left w:w="20" w:type="dxa"/>
              <w:bottom w:w="30" w:type="dxa"/>
              <w:right w:w="20" w:type="dxa"/>
            </w:tcMar>
            <w:hideMark/>
          </w:tcPr>
          <w:p w14:paraId="71E9DEB3" w14:textId="77777777" w:rsidR="00000000" w:rsidRDefault="00C1661D">
            <w:pPr>
              <w:spacing w:after="100"/>
              <w:jc w:val="both"/>
              <w:rPr>
                <w:rFonts w:eastAsia="Times New Roman"/>
              </w:rPr>
            </w:pPr>
            <w:r>
              <w:rPr>
                <w:rFonts w:eastAsia="Times New Roman"/>
                <w:color w:val="000000"/>
                <w:sz w:val="20"/>
                <w:szCs w:val="20"/>
              </w:rPr>
              <w:t>Compensation of Directors; Report of the Compensation and Management Development Committee of the Board of Directors; Compensation Discussion and Analysis; Compensation of Executive Officers; Compensation Committee Interlocks and Insider Participation</w:t>
            </w:r>
          </w:p>
        </w:tc>
      </w:tr>
      <w:tr w:rsidR="00000000" w14:paraId="0C85F076" w14:textId="77777777">
        <w:trPr>
          <w:divId w:val="107965885"/>
          <w:trHeight w:val="60"/>
        </w:trPr>
        <w:tc>
          <w:tcPr>
            <w:tcW w:w="0" w:type="auto"/>
            <w:gridSpan w:val="3"/>
            <w:tcMar>
              <w:top w:w="0" w:type="dxa"/>
              <w:left w:w="20" w:type="dxa"/>
              <w:bottom w:w="0" w:type="dxa"/>
              <w:right w:w="20" w:type="dxa"/>
            </w:tcMar>
            <w:vAlign w:val="center"/>
            <w:hideMark/>
          </w:tcPr>
          <w:p w14:paraId="1D61BE63"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9D1A10C"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1C3556"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36CDE6" w14:textId="77777777" w:rsidR="00000000" w:rsidRDefault="00C1661D">
            <w:pPr>
              <w:spacing w:after="100"/>
              <w:rPr>
                <w:rFonts w:eastAsia="Times New Roman"/>
                <w:sz w:val="20"/>
                <w:szCs w:val="20"/>
              </w:rPr>
            </w:pPr>
          </w:p>
        </w:tc>
      </w:tr>
      <w:tr w:rsidR="00000000" w14:paraId="1D0E1C5A" w14:textId="77777777">
        <w:trPr>
          <w:divId w:val="107965885"/>
        </w:trPr>
        <w:tc>
          <w:tcPr>
            <w:tcW w:w="0" w:type="auto"/>
            <w:gridSpan w:val="3"/>
            <w:tcMar>
              <w:top w:w="30" w:type="dxa"/>
              <w:left w:w="20" w:type="dxa"/>
              <w:bottom w:w="30" w:type="dxa"/>
              <w:right w:w="20" w:type="dxa"/>
            </w:tcMar>
            <w:hideMark/>
          </w:tcPr>
          <w:p w14:paraId="096694BF" w14:textId="77777777" w:rsidR="00000000" w:rsidRDefault="00C1661D">
            <w:pPr>
              <w:spacing w:after="100"/>
              <w:rPr>
                <w:rFonts w:eastAsia="Times New Roman"/>
              </w:rPr>
            </w:pPr>
            <w:r>
              <w:rPr>
                <w:rFonts w:eastAsia="Times New Roman"/>
                <w:color w:val="000000"/>
                <w:sz w:val="20"/>
                <w:szCs w:val="20"/>
              </w:rPr>
              <w:t>Item 12.</w:t>
            </w:r>
          </w:p>
        </w:tc>
        <w:tc>
          <w:tcPr>
            <w:tcW w:w="0" w:type="auto"/>
            <w:gridSpan w:val="3"/>
            <w:tcMar>
              <w:top w:w="30" w:type="dxa"/>
              <w:left w:w="20" w:type="dxa"/>
              <w:bottom w:w="30" w:type="dxa"/>
              <w:right w:w="20" w:type="dxa"/>
            </w:tcMar>
            <w:hideMark/>
          </w:tcPr>
          <w:p w14:paraId="3F650781" w14:textId="77777777" w:rsidR="00000000" w:rsidRDefault="00C1661D">
            <w:pPr>
              <w:spacing w:after="100"/>
              <w:jc w:val="both"/>
              <w:rPr>
                <w:rFonts w:eastAsia="Times New Roman"/>
              </w:rPr>
            </w:pPr>
            <w:r>
              <w:rPr>
                <w:rFonts w:eastAsia="Times New Roman"/>
                <w:color w:val="000000"/>
                <w:sz w:val="20"/>
                <w:szCs w:val="20"/>
              </w:rPr>
              <w:t>Security Ownership of Certain Beneficial Owners and Management and Related Stockholder Matters</w:t>
            </w:r>
          </w:p>
        </w:tc>
        <w:tc>
          <w:tcPr>
            <w:tcW w:w="0" w:type="auto"/>
            <w:gridSpan w:val="3"/>
            <w:tcMar>
              <w:top w:w="0" w:type="dxa"/>
              <w:left w:w="20" w:type="dxa"/>
              <w:bottom w:w="0" w:type="dxa"/>
              <w:right w:w="20" w:type="dxa"/>
            </w:tcMar>
            <w:vAlign w:val="center"/>
            <w:hideMark/>
          </w:tcPr>
          <w:p w14:paraId="21DDA879" w14:textId="77777777" w:rsidR="00000000" w:rsidRDefault="00C1661D">
            <w:pPr>
              <w:spacing w:after="100"/>
              <w:jc w:val="both"/>
              <w:rPr>
                <w:rFonts w:eastAsia="Times New Roman"/>
              </w:rPr>
            </w:pPr>
          </w:p>
        </w:tc>
        <w:tc>
          <w:tcPr>
            <w:tcW w:w="0" w:type="auto"/>
            <w:gridSpan w:val="3"/>
            <w:tcMar>
              <w:top w:w="30" w:type="dxa"/>
              <w:left w:w="20" w:type="dxa"/>
              <w:bottom w:w="30" w:type="dxa"/>
              <w:right w:w="20" w:type="dxa"/>
            </w:tcMar>
            <w:hideMark/>
          </w:tcPr>
          <w:p w14:paraId="4F94DDCF" w14:textId="77777777" w:rsidR="00000000" w:rsidRDefault="00C1661D">
            <w:pPr>
              <w:spacing w:after="100"/>
              <w:jc w:val="both"/>
              <w:rPr>
                <w:rFonts w:eastAsia="Times New Roman"/>
              </w:rPr>
            </w:pPr>
            <w:r>
              <w:rPr>
                <w:rFonts w:eastAsia="Times New Roman"/>
                <w:color w:val="000000"/>
                <w:sz w:val="20"/>
                <w:szCs w:val="20"/>
              </w:rPr>
              <w:t>Securities Ownership of Certain Beneficial Owners</w:t>
            </w:r>
          </w:p>
        </w:tc>
      </w:tr>
      <w:tr w:rsidR="00000000" w14:paraId="4B5998EF" w14:textId="77777777">
        <w:trPr>
          <w:divId w:val="107965885"/>
          <w:trHeight w:val="60"/>
        </w:trPr>
        <w:tc>
          <w:tcPr>
            <w:tcW w:w="0" w:type="auto"/>
            <w:gridSpan w:val="3"/>
            <w:tcMar>
              <w:top w:w="0" w:type="dxa"/>
              <w:left w:w="20" w:type="dxa"/>
              <w:bottom w:w="0" w:type="dxa"/>
              <w:right w:w="20" w:type="dxa"/>
            </w:tcMar>
            <w:vAlign w:val="center"/>
            <w:hideMark/>
          </w:tcPr>
          <w:p w14:paraId="41626D7B"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80ED7C7"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78F429"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3BC74C" w14:textId="77777777" w:rsidR="00000000" w:rsidRDefault="00C1661D">
            <w:pPr>
              <w:spacing w:after="100"/>
              <w:rPr>
                <w:rFonts w:eastAsia="Times New Roman"/>
                <w:sz w:val="20"/>
                <w:szCs w:val="20"/>
              </w:rPr>
            </w:pPr>
          </w:p>
        </w:tc>
      </w:tr>
      <w:tr w:rsidR="00000000" w14:paraId="0F201242" w14:textId="77777777">
        <w:trPr>
          <w:divId w:val="107965885"/>
        </w:trPr>
        <w:tc>
          <w:tcPr>
            <w:tcW w:w="0" w:type="auto"/>
            <w:gridSpan w:val="3"/>
            <w:tcMar>
              <w:top w:w="30" w:type="dxa"/>
              <w:left w:w="20" w:type="dxa"/>
              <w:bottom w:w="30" w:type="dxa"/>
              <w:right w:w="20" w:type="dxa"/>
            </w:tcMar>
            <w:hideMark/>
          </w:tcPr>
          <w:p w14:paraId="474CD913" w14:textId="77777777" w:rsidR="00000000" w:rsidRDefault="00C1661D">
            <w:pPr>
              <w:spacing w:after="100"/>
              <w:rPr>
                <w:rFonts w:eastAsia="Times New Roman"/>
              </w:rPr>
            </w:pPr>
            <w:r>
              <w:rPr>
                <w:rFonts w:eastAsia="Times New Roman"/>
                <w:color w:val="000000"/>
                <w:sz w:val="20"/>
                <w:szCs w:val="20"/>
              </w:rPr>
              <w:t>Item 13.</w:t>
            </w:r>
          </w:p>
        </w:tc>
        <w:tc>
          <w:tcPr>
            <w:tcW w:w="0" w:type="auto"/>
            <w:gridSpan w:val="3"/>
            <w:tcMar>
              <w:top w:w="30" w:type="dxa"/>
              <w:left w:w="20" w:type="dxa"/>
              <w:bottom w:w="30" w:type="dxa"/>
              <w:right w:w="20" w:type="dxa"/>
            </w:tcMar>
            <w:hideMark/>
          </w:tcPr>
          <w:p w14:paraId="6A3075FB" w14:textId="77777777" w:rsidR="00000000" w:rsidRDefault="00C1661D">
            <w:pPr>
              <w:spacing w:after="100"/>
              <w:jc w:val="both"/>
              <w:rPr>
                <w:rFonts w:eastAsia="Times New Roman"/>
              </w:rPr>
            </w:pPr>
            <w:r>
              <w:rPr>
                <w:rFonts w:eastAsia="Times New Roman"/>
                <w:color w:val="000000"/>
                <w:sz w:val="20"/>
                <w:szCs w:val="20"/>
              </w:rPr>
              <w:t>Certain Relationships and Related Transactions, and Director Independence</w:t>
            </w:r>
          </w:p>
        </w:tc>
        <w:tc>
          <w:tcPr>
            <w:tcW w:w="0" w:type="auto"/>
            <w:gridSpan w:val="3"/>
            <w:tcMar>
              <w:top w:w="0" w:type="dxa"/>
              <w:left w:w="20" w:type="dxa"/>
              <w:bottom w:w="0" w:type="dxa"/>
              <w:right w:w="20" w:type="dxa"/>
            </w:tcMar>
            <w:vAlign w:val="center"/>
            <w:hideMark/>
          </w:tcPr>
          <w:p w14:paraId="602B1458" w14:textId="77777777" w:rsidR="00000000" w:rsidRDefault="00C1661D">
            <w:pPr>
              <w:spacing w:after="100"/>
              <w:jc w:val="both"/>
              <w:rPr>
                <w:rFonts w:eastAsia="Times New Roman"/>
              </w:rPr>
            </w:pPr>
          </w:p>
        </w:tc>
        <w:tc>
          <w:tcPr>
            <w:tcW w:w="0" w:type="auto"/>
            <w:gridSpan w:val="3"/>
            <w:tcMar>
              <w:top w:w="30" w:type="dxa"/>
              <w:left w:w="20" w:type="dxa"/>
              <w:bottom w:w="30" w:type="dxa"/>
              <w:right w:w="20" w:type="dxa"/>
            </w:tcMar>
            <w:hideMark/>
          </w:tcPr>
          <w:p w14:paraId="6FB85EF7" w14:textId="77777777" w:rsidR="00000000" w:rsidRDefault="00C1661D">
            <w:pPr>
              <w:spacing w:after="100"/>
              <w:jc w:val="both"/>
              <w:rPr>
                <w:rFonts w:eastAsia="Times New Roman"/>
              </w:rPr>
            </w:pPr>
            <w:r>
              <w:rPr>
                <w:rFonts w:eastAsia="Times New Roman"/>
                <w:color w:val="000000"/>
                <w:sz w:val="20"/>
                <w:szCs w:val="20"/>
              </w:rPr>
              <w:t xml:space="preserve">Corporate Governance - Director Independence; Corporate Governance - Board and Committee Structure; Corporate Governance - Selection of Board Candidates; Policy for Approval of </w:t>
            </w:r>
            <w:r>
              <w:rPr>
                <w:rFonts w:eastAsia="Times New Roman"/>
                <w:color w:val="000000"/>
                <w:sz w:val="20"/>
                <w:szCs w:val="20"/>
              </w:rPr>
              <w:t>Related Person Transactions</w:t>
            </w:r>
          </w:p>
        </w:tc>
      </w:tr>
      <w:tr w:rsidR="00000000" w14:paraId="54C68C33" w14:textId="77777777">
        <w:trPr>
          <w:divId w:val="107965885"/>
          <w:trHeight w:val="60"/>
        </w:trPr>
        <w:tc>
          <w:tcPr>
            <w:tcW w:w="0" w:type="auto"/>
            <w:gridSpan w:val="3"/>
            <w:tcMar>
              <w:top w:w="0" w:type="dxa"/>
              <w:left w:w="20" w:type="dxa"/>
              <w:bottom w:w="0" w:type="dxa"/>
              <w:right w:w="20" w:type="dxa"/>
            </w:tcMar>
            <w:vAlign w:val="center"/>
            <w:hideMark/>
          </w:tcPr>
          <w:p w14:paraId="5C693070"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A7416F2"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A12F15"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982B6B" w14:textId="77777777" w:rsidR="00000000" w:rsidRDefault="00C1661D">
            <w:pPr>
              <w:spacing w:after="100"/>
              <w:rPr>
                <w:rFonts w:eastAsia="Times New Roman"/>
                <w:sz w:val="20"/>
                <w:szCs w:val="20"/>
              </w:rPr>
            </w:pPr>
          </w:p>
        </w:tc>
      </w:tr>
      <w:tr w:rsidR="00000000" w14:paraId="18044967" w14:textId="77777777">
        <w:trPr>
          <w:divId w:val="107965885"/>
        </w:trPr>
        <w:tc>
          <w:tcPr>
            <w:tcW w:w="0" w:type="auto"/>
            <w:gridSpan w:val="3"/>
            <w:tcMar>
              <w:top w:w="30" w:type="dxa"/>
              <w:left w:w="20" w:type="dxa"/>
              <w:bottom w:w="30" w:type="dxa"/>
              <w:right w:w="20" w:type="dxa"/>
            </w:tcMar>
            <w:hideMark/>
          </w:tcPr>
          <w:p w14:paraId="5FFD62AF" w14:textId="77777777" w:rsidR="00000000" w:rsidRDefault="00C1661D">
            <w:pPr>
              <w:spacing w:after="100"/>
              <w:rPr>
                <w:rFonts w:eastAsia="Times New Roman"/>
              </w:rPr>
            </w:pPr>
            <w:r>
              <w:rPr>
                <w:rFonts w:eastAsia="Times New Roman"/>
                <w:color w:val="000000"/>
                <w:sz w:val="20"/>
                <w:szCs w:val="20"/>
              </w:rPr>
              <w:t>Item 14.</w:t>
            </w:r>
          </w:p>
        </w:tc>
        <w:tc>
          <w:tcPr>
            <w:tcW w:w="0" w:type="auto"/>
            <w:gridSpan w:val="3"/>
            <w:tcMar>
              <w:top w:w="30" w:type="dxa"/>
              <w:left w:w="20" w:type="dxa"/>
              <w:bottom w:w="30" w:type="dxa"/>
              <w:right w:w="20" w:type="dxa"/>
            </w:tcMar>
            <w:hideMark/>
          </w:tcPr>
          <w:p w14:paraId="16BFAB78" w14:textId="77777777" w:rsidR="00000000" w:rsidRDefault="00C1661D">
            <w:pPr>
              <w:spacing w:after="100"/>
              <w:jc w:val="both"/>
              <w:rPr>
                <w:rFonts w:eastAsia="Times New Roman"/>
              </w:rPr>
            </w:pPr>
            <w:r>
              <w:rPr>
                <w:rFonts w:eastAsia="Times New Roman"/>
                <w:color w:val="000000"/>
                <w:sz w:val="20"/>
                <w:szCs w:val="20"/>
              </w:rPr>
              <w:t>Principal Accounting Fees and Services</w:t>
            </w:r>
          </w:p>
        </w:tc>
        <w:tc>
          <w:tcPr>
            <w:tcW w:w="0" w:type="auto"/>
            <w:gridSpan w:val="3"/>
            <w:tcMar>
              <w:top w:w="0" w:type="dxa"/>
              <w:left w:w="20" w:type="dxa"/>
              <w:bottom w:w="0" w:type="dxa"/>
              <w:right w:w="20" w:type="dxa"/>
            </w:tcMar>
            <w:vAlign w:val="center"/>
            <w:hideMark/>
          </w:tcPr>
          <w:p w14:paraId="5221D08B" w14:textId="77777777" w:rsidR="00000000" w:rsidRDefault="00C1661D">
            <w:pPr>
              <w:spacing w:after="100"/>
              <w:jc w:val="both"/>
              <w:rPr>
                <w:rFonts w:eastAsia="Times New Roman"/>
              </w:rPr>
            </w:pPr>
          </w:p>
        </w:tc>
        <w:tc>
          <w:tcPr>
            <w:tcW w:w="0" w:type="auto"/>
            <w:gridSpan w:val="3"/>
            <w:tcMar>
              <w:top w:w="30" w:type="dxa"/>
              <w:left w:w="20" w:type="dxa"/>
              <w:bottom w:w="30" w:type="dxa"/>
              <w:right w:w="20" w:type="dxa"/>
            </w:tcMar>
            <w:hideMark/>
          </w:tcPr>
          <w:p w14:paraId="764A35F1" w14:textId="77777777" w:rsidR="00000000" w:rsidRDefault="00C1661D">
            <w:pPr>
              <w:spacing w:after="100"/>
              <w:jc w:val="both"/>
              <w:rPr>
                <w:rFonts w:eastAsia="Times New Roman"/>
              </w:rPr>
            </w:pPr>
            <w:r>
              <w:rPr>
                <w:rFonts w:eastAsia="Times New Roman"/>
                <w:color w:val="000000"/>
                <w:sz w:val="20"/>
                <w:szCs w:val="20"/>
              </w:rPr>
              <w:t>Our Independent Registered Public Accounting Firm</w:t>
            </w:r>
          </w:p>
        </w:tc>
      </w:tr>
    </w:tbl>
    <w:p w14:paraId="7780A8CA" w14:textId="77777777" w:rsidR="00000000" w:rsidRDefault="00C1661D">
      <w:pPr>
        <w:jc w:val="center"/>
        <w:divId w:val="411463618"/>
        <w:rPr>
          <w:rFonts w:eastAsia="Times New Roman"/>
        </w:rPr>
      </w:pPr>
      <w:r>
        <w:rPr>
          <w:rFonts w:eastAsia="Times New Roman"/>
          <w:color w:val="000000"/>
          <w:sz w:val="20"/>
          <w:szCs w:val="20"/>
        </w:rPr>
        <w:t>70</w:t>
      </w:r>
    </w:p>
    <w:p w14:paraId="1DD84C50" w14:textId="77777777" w:rsidR="00000000" w:rsidRDefault="00C1661D">
      <w:pPr>
        <w:rPr>
          <w:rFonts w:eastAsia="Times New Roman"/>
        </w:rPr>
      </w:pPr>
      <w:r>
        <w:rPr>
          <w:rFonts w:eastAsia="Times New Roman"/>
        </w:rPr>
        <w:pict w14:anchorId="02B6B9D1">
          <v:rect id="_x0000_i1097" style="width:0;height:1.5pt" o:hralign="center" o:hrstd="t" o:hr="t" fillcolor="#a0a0a0" stroked="f"/>
        </w:pict>
      </w:r>
    </w:p>
    <w:p w14:paraId="0DF46784" w14:textId="77777777" w:rsidR="00000000" w:rsidRDefault="00C1661D">
      <w:pPr>
        <w:divId w:val="1383749580"/>
        <w:rPr>
          <w:rFonts w:eastAsia="Times New Roman"/>
        </w:rPr>
      </w:pPr>
      <w:hyperlink w:anchor="i3850c3c6c0104e42b9951aac2f16098a_7" w:history="1">
        <w:r>
          <w:rPr>
            <w:rStyle w:val="a3"/>
            <w:rFonts w:eastAsia="Times New Roman"/>
            <w:b/>
            <w:bCs/>
            <w:sz w:val="20"/>
            <w:szCs w:val="20"/>
          </w:rPr>
          <w:t>Table of Contents</w:t>
        </w:r>
      </w:hyperlink>
    </w:p>
    <w:p w14:paraId="7433ED3F" w14:textId="77777777" w:rsidR="00000000" w:rsidRDefault="00C1661D">
      <w:pPr>
        <w:jc w:val="both"/>
        <w:divId w:val="559945264"/>
        <w:rPr>
          <w:rFonts w:eastAsia="Times New Roman"/>
        </w:rPr>
      </w:pPr>
      <w:r>
        <w:rPr>
          <w:rFonts w:eastAsia="Times New Roman"/>
          <w:b/>
          <w:bCs/>
          <w:i/>
          <w:iCs/>
          <w:color w:val="000000"/>
          <w:sz w:val="20"/>
          <w:szCs w:val="20"/>
        </w:rPr>
        <w:t xml:space="preserve">Equity Compensation Table </w:t>
      </w:r>
    </w:p>
    <w:p w14:paraId="07216FDE" w14:textId="77777777" w:rsidR="00000000" w:rsidRDefault="00C1661D">
      <w:pPr>
        <w:divId w:val="841747566"/>
        <w:rPr>
          <w:rFonts w:eastAsia="Times New Roman"/>
        </w:rPr>
      </w:pPr>
    </w:p>
    <w:p w14:paraId="28CD535E" w14:textId="77777777" w:rsidR="00000000" w:rsidRDefault="00C1661D">
      <w:pPr>
        <w:divId w:val="1721249879"/>
        <w:rPr>
          <w:rFonts w:eastAsia="Times New Roman"/>
        </w:rPr>
      </w:pPr>
      <w:r>
        <w:rPr>
          <w:rFonts w:eastAsia="Times New Roman"/>
          <w:color w:val="000000"/>
          <w:sz w:val="20"/>
          <w:szCs w:val="20"/>
        </w:rPr>
        <w:t xml:space="preserve">The following table sets forth information as of the end of Fiscal 2022 with respect to compensation plans under which our equity securities are authorized for issuance. </w:t>
      </w:r>
    </w:p>
    <w:tbl>
      <w:tblPr>
        <w:tblW w:w="4985" w:type="pct"/>
        <w:tblCellMar>
          <w:top w:w="15" w:type="dxa"/>
          <w:left w:w="15" w:type="dxa"/>
          <w:bottom w:w="15" w:type="dxa"/>
          <w:right w:w="15" w:type="dxa"/>
        </w:tblCellMar>
        <w:tblLook w:val="04A0" w:firstRow="1" w:lastRow="0" w:firstColumn="1" w:lastColumn="0" w:noHBand="0" w:noVBand="1"/>
      </w:tblPr>
      <w:tblGrid>
        <w:gridCol w:w="58"/>
        <w:gridCol w:w="1646"/>
        <w:gridCol w:w="37"/>
        <w:gridCol w:w="36"/>
        <w:gridCol w:w="36"/>
        <w:gridCol w:w="36"/>
        <w:gridCol w:w="52"/>
        <w:gridCol w:w="1569"/>
        <w:gridCol w:w="36"/>
        <w:gridCol w:w="75"/>
        <w:gridCol w:w="192"/>
        <w:gridCol w:w="36"/>
        <w:gridCol w:w="121"/>
        <w:gridCol w:w="1426"/>
        <w:gridCol w:w="36"/>
        <w:gridCol w:w="70"/>
        <w:gridCol w:w="203"/>
        <w:gridCol w:w="36"/>
        <w:gridCol w:w="60"/>
        <w:gridCol w:w="2181"/>
        <w:gridCol w:w="36"/>
        <w:gridCol w:w="78"/>
        <w:gridCol w:w="189"/>
        <w:gridCol w:w="36"/>
      </w:tblGrid>
      <w:tr w:rsidR="00000000" w14:paraId="3B0D4CB4" w14:textId="77777777">
        <w:trPr>
          <w:divId w:val="1312783554"/>
        </w:trPr>
        <w:tc>
          <w:tcPr>
            <w:tcW w:w="50" w:type="pct"/>
            <w:vAlign w:val="center"/>
            <w:hideMark/>
          </w:tcPr>
          <w:p w14:paraId="68040E12" w14:textId="77777777" w:rsidR="00000000" w:rsidRDefault="00C1661D">
            <w:pPr>
              <w:rPr>
                <w:rFonts w:eastAsia="Times New Roman"/>
              </w:rPr>
            </w:pPr>
          </w:p>
        </w:tc>
        <w:tc>
          <w:tcPr>
            <w:tcW w:w="1008" w:type="pct"/>
            <w:vAlign w:val="center"/>
            <w:hideMark/>
          </w:tcPr>
          <w:p w14:paraId="7E9CA8F8" w14:textId="77777777" w:rsidR="00000000" w:rsidRDefault="00C1661D">
            <w:pPr>
              <w:spacing w:after="100"/>
              <w:rPr>
                <w:rFonts w:eastAsia="Times New Roman"/>
                <w:sz w:val="20"/>
                <w:szCs w:val="20"/>
              </w:rPr>
            </w:pPr>
          </w:p>
        </w:tc>
        <w:tc>
          <w:tcPr>
            <w:tcW w:w="5" w:type="pct"/>
            <w:vAlign w:val="center"/>
            <w:hideMark/>
          </w:tcPr>
          <w:p w14:paraId="5B0B2987" w14:textId="77777777" w:rsidR="00000000" w:rsidRDefault="00C1661D">
            <w:pPr>
              <w:spacing w:after="100"/>
              <w:rPr>
                <w:rFonts w:eastAsia="Times New Roman"/>
                <w:sz w:val="20"/>
                <w:szCs w:val="20"/>
              </w:rPr>
            </w:pPr>
          </w:p>
        </w:tc>
        <w:tc>
          <w:tcPr>
            <w:tcW w:w="5" w:type="pct"/>
            <w:vAlign w:val="center"/>
            <w:hideMark/>
          </w:tcPr>
          <w:p w14:paraId="56450E90" w14:textId="77777777" w:rsidR="00000000" w:rsidRDefault="00C1661D">
            <w:pPr>
              <w:spacing w:after="100"/>
              <w:rPr>
                <w:rFonts w:eastAsia="Times New Roman"/>
                <w:sz w:val="20"/>
                <w:szCs w:val="20"/>
              </w:rPr>
            </w:pPr>
          </w:p>
        </w:tc>
        <w:tc>
          <w:tcPr>
            <w:tcW w:w="26" w:type="pct"/>
            <w:vAlign w:val="center"/>
            <w:hideMark/>
          </w:tcPr>
          <w:p w14:paraId="324C8115" w14:textId="77777777" w:rsidR="00000000" w:rsidRDefault="00C1661D">
            <w:pPr>
              <w:spacing w:after="100"/>
              <w:rPr>
                <w:rFonts w:eastAsia="Times New Roman"/>
                <w:sz w:val="20"/>
                <w:szCs w:val="20"/>
              </w:rPr>
            </w:pPr>
          </w:p>
        </w:tc>
        <w:tc>
          <w:tcPr>
            <w:tcW w:w="5" w:type="pct"/>
            <w:vAlign w:val="center"/>
            <w:hideMark/>
          </w:tcPr>
          <w:p w14:paraId="3C00C325" w14:textId="77777777" w:rsidR="00000000" w:rsidRDefault="00C1661D">
            <w:pPr>
              <w:spacing w:after="100"/>
              <w:rPr>
                <w:rFonts w:eastAsia="Times New Roman"/>
                <w:sz w:val="20"/>
                <w:szCs w:val="20"/>
              </w:rPr>
            </w:pPr>
          </w:p>
        </w:tc>
        <w:tc>
          <w:tcPr>
            <w:tcW w:w="50" w:type="pct"/>
            <w:vAlign w:val="center"/>
            <w:hideMark/>
          </w:tcPr>
          <w:p w14:paraId="044B24FB" w14:textId="77777777" w:rsidR="00000000" w:rsidRDefault="00C1661D">
            <w:pPr>
              <w:spacing w:after="100"/>
              <w:rPr>
                <w:rFonts w:eastAsia="Times New Roman"/>
                <w:sz w:val="20"/>
                <w:szCs w:val="20"/>
              </w:rPr>
            </w:pPr>
          </w:p>
        </w:tc>
        <w:tc>
          <w:tcPr>
            <w:tcW w:w="964" w:type="pct"/>
            <w:vAlign w:val="center"/>
            <w:hideMark/>
          </w:tcPr>
          <w:p w14:paraId="51D6700C" w14:textId="77777777" w:rsidR="00000000" w:rsidRDefault="00C1661D">
            <w:pPr>
              <w:spacing w:after="100"/>
              <w:rPr>
                <w:rFonts w:eastAsia="Times New Roman"/>
                <w:sz w:val="20"/>
                <w:szCs w:val="20"/>
              </w:rPr>
            </w:pPr>
          </w:p>
        </w:tc>
        <w:tc>
          <w:tcPr>
            <w:tcW w:w="5" w:type="pct"/>
            <w:vAlign w:val="center"/>
            <w:hideMark/>
          </w:tcPr>
          <w:p w14:paraId="2A956569" w14:textId="77777777" w:rsidR="00000000" w:rsidRDefault="00C1661D">
            <w:pPr>
              <w:spacing w:after="100"/>
              <w:rPr>
                <w:rFonts w:eastAsia="Times New Roman"/>
                <w:sz w:val="20"/>
                <w:szCs w:val="20"/>
              </w:rPr>
            </w:pPr>
          </w:p>
        </w:tc>
        <w:tc>
          <w:tcPr>
            <w:tcW w:w="50" w:type="pct"/>
            <w:vAlign w:val="center"/>
            <w:hideMark/>
          </w:tcPr>
          <w:p w14:paraId="406039F2" w14:textId="77777777" w:rsidR="00000000" w:rsidRDefault="00C1661D">
            <w:pPr>
              <w:spacing w:after="100"/>
              <w:rPr>
                <w:rFonts w:eastAsia="Times New Roman"/>
                <w:sz w:val="20"/>
                <w:szCs w:val="20"/>
              </w:rPr>
            </w:pPr>
          </w:p>
        </w:tc>
        <w:tc>
          <w:tcPr>
            <w:tcW w:w="128" w:type="pct"/>
            <w:vAlign w:val="center"/>
            <w:hideMark/>
          </w:tcPr>
          <w:p w14:paraId="469BD9B9" w14:textId="77777777" w:rsidR="00000000" w:rsidRDefault="00C1661D">
            <w:pPr>
              <w:spacing w:after="100"/>
              <w:rPr>
                <w:rFonts w:eastAsia="Times New Roman"/>
                <w:sz w:val="20"/>
                <w:szCs w:val="20"/>
              </w:rPr>
            </w:pPr>
          </w:p>
        </w:tc>
        <w:tc>
          <w:tcPr>
            <w:tcW w:w="5" w:type="pct"/>
            <w:vAlign w:val="center"/>
            <w:hideMark/>
          </w:tcPr>
          <w:p w14:paraId="63FC5BC2" w14:textId="77777777" w:rsidR="00000000" w:rsidRDefault="00C1661D">
            <w:pPr>
              <w:spacing w:after="100"/>
              <w:rPr>
                <w:rFonts w:eastAsia="Times New Roman"/>
                <w:sz w:val="20"/>
                <w:szCs w:val="20"/>
              </w:rPr>
            </w:pPr>
          </w:p>
        </w:tc>
        <w:tc>
          <w:tcPr>
            <w:tcW w:w="50" w:type="pct"/>
            <w:vAlign w:val="center"/>
            <w:hideMark/>
          </w:tcPr>
          <w:p w14:paraId="6358FB3D" w14:textId="77777777" w:rsidR="00000000" w:rsidRDefault="00C1661D">
            <w:pPr>
              <w:spacing w:after="100"/>
              <w:rPr>
                <w:rFonts w:eastAsia="Times New Roman"/>
                <w:sz w:val="20"/>
                <w:szCs w:val="20"/>
              </w:rPr>
            </w:pPr>
          </w:p>
        </w:tc>
        <w:tc>
          <w:tcPr>
            <w:tcW w:w="883" w:type="pct"/>
            <w:vAlign w:val="center"/>
            <w:hideMark/>
          </w:tcPr>
          <w:p w14:paraId="67AB443A" w14:textId="77777777" w:rsidR="00000000" w:rsidRDefault="00C1661D">
            <w:pPr>
              <w:spacing w:after="100"/>
              <w:rPr>
                <w:rFonts w:eastAsia="Times New Roman"/>
                <w:sz w:val="20"/>
                <w:szCs w:val="20"/>
              </w:rPr>
            </w:pPr>
          </w:p>
        </w:tc>
        <w:tc>
          <w:tcPr>
            <w:tcW w:w="5" w:type="pct"/>
            <w:vAlign w:val="center"/>
            <w:hideMark/>
          </w:tcPr>
          <w:p w14:paraId="30654295" w14:textId="77777777" w:rsidR="00000000" w:rsidRDefault="00C1661D">
            <w:pPr>
              <w:spacing w:after="100"/>
              <w:rPr>
                <w:rFonts w:eastAsia="Times New Roman"/>
                <w:sz w:val="20"/>
                <w:szCs w:val="20"/>
              </w:rPr>
            </w:pPr>
          </w:p>
        </w:tc>
        <w:tc>
          <w:tcPr>
            <w:tcW w:w="50" w:type="pct"/>
            <w:vAlign w:val="center"/>
            <w:hideMark/>
          </w:tcPr>
          <w:p w14:paraId="37B81BFB" w14:textId="77777777" w:rsidR="00000000" w:rsidRDefault="00C1661D">
            <w:pPr>
              <w:spacing w:after="100"/>
              <w:rPr>
                <w:rFonts w:eastAsia="Times New Roman"/>
                <w:sz w:val="20"/>
                <w:szCs w:val="20"/>
              </w:rPr>
            </w:pPr>
          </w:p>
        </w:tc>
        <w:tc>
          <w:tcPr>
            <w:tcW w:w="142" w:type="pct"/>
            <w:vAlign w:val="center"/>
            <w:hideMark/>
          </w:tcPr>
          <w:p w14:paraId="2D163B76" w14:textId="77777777" w:rsidR="00000000" w:rsidRDefault="00C1661D">
            <w:pPr>
              <w:spacing w:after="100"/>
              <w:rPr>
                <w:rFonts w:eastAsia="Times New Roman"/>
                <w:sz w:val="20"/>
                <w:szCs w:val="20"/>
              </w:rPr>
            </w:pPr>
          </w:p>
        </w:tc>
        <w:tc>
          <w:tcPr>
            <w:tcW w:w="5" w:type="pct"/>
            <w:vAlign w:val="center"/>
            <w:hideMark/>
          </w:tcPr>
          <w:p w14:paraId="48F3D816" w14:textId="77777777" w:rsidR="00000000" w:rsidRDefault="00C1661D">
            <w:pPr>
              <w:spacing w:after="100"/>
              <w:rPr>
                <w:rFonts w:eastAsia="Times New Roman"/>
                <w:sz w:val="20"/>
                <w:szCs w:val="20"/>
              </w:rPr>
            </w:pPr>
          </w:p>
        </w:tc>
        <w:tc>
          <w:tcPr>
            <w:tcW w:w="50" w:type="pct"/>
            <w:vAlign w:val="center"/>
            <w:hideMark/>
          </w:tcPr>
          <w:p w14:paraId="4DB5A300" w14:textId="77777777" w:rsidR="00000000" w:rsidRDefault="00C1661D">
            <w:pPr>
              <w:spacing w:after="100"/>
              <w:rPr>
                <w:rFonts w:eastAsia="Times New Roman"/>
                <w:sz w:val="20"/>
                <w:szCs w:val="20"/>
              </w:rPr>
            </w:pPr>
          </w:p>
        </w:tc>
        <w:tc>
          <w:tcPr>
            <w:tcW w:w="1330" w:type="pct"/>
            <w:vAlign w:val="center"/>
            <w:hideMark/>
          </w:tcPr>
          <w:p w14:paraId="4C3B1D20" w14:textId="77777777" w:rsidR="00000000" w:rsidRDefault="00C1661D">
            <w:pPr>
              <w:spacing w:after="100"/>
              <w:rPr>
                <w:rFonts w:eastAsia="Times New Roman"/>
                <w:sz w:val="20"/>
                <w:szCs w:val="20"/>
              </w:rPr>
            </w:pPr>
          </w:p>
        </w:tc>
        <w:tc>
          <w:tcPr>
            <w:tcW w:w="5" w:type="pct"/>
            <w:vAlign w:val="center"/>
            <w:hideMark/>
          </w:tcPr>
          <w:p w14:paraId="12D94492" w14:textId="77777777" w:rsidR="00000000" w:rsidRDefault="00C1661D">
            <w:pPr>
              <w:spacing w:after="100"/>
              <w:rPr>
                <w:rFonts w:eastAsia="Times New Roman"/>
                <w:sz w:val="20"/>
                <w:szCs w:val="20"/>
              </w:rPr>
            </w:pPr>
          </w:p>
        </w:tc>
        <w:tc>
          <w:tcPr>
            <w:tcW w:w="50" w:type="pct"/>
            <w:vAlign w:val="center"/>
            <w:hideMark/>
          </w:tcPr>
          <w:p w14:paraId="342856C1" w14:textId="77777777" w:rsidR="00000000" w:rsidRDefault="00C1661D">
            <w:pPr>
              <w:spacing w:after="100"/>
              <w:rPr>
                <w:rFonts w:eastAsia="Times New Roman"/>
                <w:sz w:val="20"/>
                <w:szCs w:val="20"/>
              </w:rPr>
            </w:pPr>
          </w:p>
        </w:tc>
        <w:tc>
          <w:tcPr>
            <w:tcW w:w="121" w:type="pct"/>
            <w:vAlign w:val="center"/>
            <w:hideMark/>
          </w:tcPr>
          <w:p w14:paraId="0A94E90E" w14:textId="77777777" w:rsidR="00000000" w:rsidRDefault="00C1661D">
            <w:pPr>
              <w:spacing w:after="100"/>
              <w:rPr>
                <w:rFonts w:eastAsia="Times New Roman"/>
                <w:sz w:val="20"/>
                <w:szCs w:val="20"/>
              </w:rPr>
            </w:pPr>
          </w:p>
        </w:tc>
        <w:tc>
          <w:tcPr>
            <w:tcW w:w="5" w:type="pct"/>
            <w:vAlign w:val="center"/>
            <w:hideMark/>
          </w:tcPr>
          <w:p w14:paraId="0DBD87BE" w14:textId="77777777" w:rsidR="00000000" w:rsidRDefault="00C1661D">
            <w:pPr>
              <w:spacing w:after="100"/>
              <w:rPr>
                <w:rFonts w:eastAsia="Times New Roman"/>
                <w:sz w:val="20"/>
                <w:szCs w:val="20"/>
              </w:rPr>
            </w:pPr>
          </w:p>
        </w:tc>
      </w:tr>
      <w:tr w:rsidR="00000000" w14:paraId="030178B9" w14:textId="77777777">
        <w:trPr>
          <w:divId w:val="1312783554"/>
        </w:trPr>
        <w:tc>
          <w:tcPr>
            <w:tcW w:w="0" w:type="auto"/>
            <w:gridSpan w:val="3"/>
            <w:tcMar>
              <w:top w:w="30" w:type="dxa"/>
              <w:left w:w="20" w:type="dxa"/>
              <w:bottom w:w="30" w:type="dxa"/>
              <w:right w:w="20" w:type="dxa"/>
            </w:tcMar>
            <w:vAlign w:val="bottom"/>
            <w:hideMark/>
          </w:tcPr>
          <w:p w14:paraId="08447694" w14:textId="77777777" w:rsidR="00000000" w:rsidRDefault="00C1661D">
            <w:pPr>
              <w:spacing w:after="100"/>
              <w:rPr>
                <w:rFonts w:eastAsia="Times New Roman"/>
              </w:rPr>
            </w:pPr>
            <w:r>
              <w:rPr>
                <w:rFonts w:eastAsia="Times New Roman"/>
                <w:b/>
                <w:bCs/>
                <w:color w:val="000000"/>
                <w:sz w:val="20"/>
                <w:szCs w:val="20"/>
              </w:rPr>
              <w:t>Plan category</w:t>
            </w:r>
          </w:p>
        </w:tc>
        <w:tc>
          <w:tcPr>
            <w:tcW w:w="0" w:type="auto"/>
            <w:gridSpan w:val="3"/>
            <w:tcMar>
              <w:top w:w="0" w:type="dxa"/>
              <w:left w:w="20" w:type="dxa"/>
              <w:bottom w:w="0" w:type="dxa"/>
              <w:right w:w="20" w:type="dxa"/>
            </w:tcMar>
            <w:vAlign w:val="center"/>
            <w:hideMark/>
          </w:tcPr>
          <w:p w14:paraId="4585AF6E"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34A7FA7C" w14:textId="77777777" w:rsidR="00000000" w:rsidRDefault="00C1661D">
            <w:pPr>
              <w:spacing w:after="100"/>
              <w:jc w:val="center"/>
              <w:rPr>
                <w:rFonts w:eastAsia="Times New Roman"/>
              </w:rPr>
            </w:pPr>
            <w:r>
              <w:rPr>
                <w:rFonts w:eastAsia="Times New Roman"/>
                <w:b/>
                <w:bCs/>
                <w:color w:val="000000"/>
                <w:sz w:val="20"/>
                <w:szCs w:val="20"/>
              </w:rPr>
              <w:t>Number of securities to be</w:t>
            </w:r>
            <w:r>
              <w:rPr>
                <w:rFonts w:eastAsia="Times New Roman"/>
                <w:b/>
                <w:bCs/>
                <w:color w:val="000000"/>
                <w:sz w:val="20"/>
                <w:szCs w:val="20"/>
              </w:rPr>
              <w:br/>
              <w:t>issued upon exercise of</w:t>
            </w:r>
            <w:r>
              <w:rPr>
                <w:rFonts w:eastAsia="Times New Roman"/>
                <w:b/>
                <w:bCs/>
                <w:color w:val="000000"/>
                <w:sz w:val="20"/>
                <w:szCs w:val="20"/>
              </w:rPr>
              <w:br/>
              <w:t>outstanding options,</w:t>
            </w:r>
            <w:r>
              <w:rPr>
                <w:rFonts w:eastAsia="Times New Roman"/>
                <w:b/>
                <w:bCs/>
                <w:color w:val="000000"/>
                <w:sz w:val="20"/>
                <w:szCs w:val="20"/>
              </w:rPr>
              <w:br/>
              <w:t>warrants and rights</w:t>
            </w:r>
            <w:r>
              <w:rPr>
                <w:rFonts w:eastAsia="Times New Roman"/>
                <w:b/>
                <w:bCs/>
                <w:color w:val="000000"/>
                <w:sz w:val="20"/>
                <w:szCs w:val="20"/>
              </w:rPr>
              <w:br/>
              <w:t>(a)</w:t>
            </w:r>
          </w:p>
        </w:tc>
        <w:tc>
          <w:tcPr>
            <w:tcW w:w="0" w:type="auto"/>
            <w:gridSpan w:val="3"/>
            <w:tcMar>
              <w:top w:w="30" w:type="dxa"/>
              <w:left w:w="20" w:type="dxa"/>
              <w:bottom w:w="30" w:type="dxa"/>
              <w:right w:w="20" w:type="dxa"/>
            </w:tcMar>
            <w:vAlign w:val="bottom"/>
            <w:hideMark/>
          </w:tcPr>
          <w:p w14:paraId="2B4133A0"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F664D06" w14:textId="77777777" w:rsidR="00000000" w:rsidRDefault="00C1661D">
            <w:pPr>
              <w:spacing w:after="100"/>
              <w:jc w:val="center"/>
              <w:rPr>
                <w:rFonts w:eastAsia="Times New Roman"/>
              </w:rPr>
            </w:pPr>
            <w:r>
              <w:rPr>
                <w:rFonts w:eastAsia="Times New Roman"/>
                <w:b/>
                <w:bCs/>
                <w:color w:val="000000"/>
                <w:sz w:val="20"/>
                <w:szCs w:val="20"/>
              </w:rPr>
              <w:t>Weighted average</w:t>
            </w:r>
            <w:r>
              <w:rPr>
                <w:rFonts w:eastAsia="Times New Roman"/>
                <w:b/>
                <w:bCs/>
                <w:color w:val="000000"/>
                <w:sz w:val="20"/>
                <w:szCs w:val="20"/>
              </w:rPr>
              <w:br/>
              <w:t>exercise price of</w:t>
            </w:r>
            <w:r>
              <w:rPr>
                <w:rFonts w:eastAsia="Times New Roman"/>
                <w:b/>
                <w:bCs/>
                <w:color w:val="000000"/>
                <w:sz w:val="20"/>
                <w:szCs w:val="20"/>
              </w:rPr>
              <w:br/>
              <w:t>outstanding options,</w:t>
            </w:r>
            <w:r>
              <w:rPr>
                <w:rFonts w:eastAsia="Times New Roman"/>
                <w:b/>
                <w:bCs/>
                <w:color w:val="000000"/>
                <w:sz w:val="20"/>
                <w:szCs w:val="20"/>
              </w:rPr>
              <w:br/>
              <w:t>warrants and rights</w:t>
            </w:r>
            <w:r>
              <w:rPr>
                <w:rFonts w:eastAsia="Times New Roman"/>
                <w:b/>
                <w:bCs/>
                <w:color w:val="000000"/>
                <w:sz w:val="20"/>
                <w:szCs w:val="20"/>
              </w:rPr>
              <w:br/>
              <w:t>(b)</w:t>
            </w:r>
          </w:p>
        </w:tc>
        <w:tc>
          <w:tcPr>
            <w:tcW w:w="0" w:type="auto"/>
            <w:gridSpan w:val="3"/>
            <w:tcMar>
              <w:top w:w="30" w:type="dxa"/>
              <w:left w:w="20" w:type="dxa"/>
              <w:bottom w:w="30" w:type="dxa"/>
              <w:right w:w="20" w:type="dxa"/>
            </w:tcMar>
            <w:vAlign w:val="bottom"/>
            <w:hideMark/>
          </w:tcPr>
          <w:p w14:paraId="12A5DF76"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07A6426" w14:textId="77777777" w:rsidR="00000000" w:rsidRDefault="00C1661D">
            <w:pPr>
              <w:spacing w:after="100"/>
              <w:jc w:val="center"/>
              <w:rPr>
                <w:rFonts w:eastAsia="Times New Roman"/>
              </w:rPr>
            </w:pPr>
            <w:r>
              <w:rPr>
                <w:rFonts w:eastAsia="Times New Roman"/>
                <w:b/>
                <w:bCs/>
                <w:color w:val="000000"/>
                <w:sz w:val="20"/>
                <w:szCs w:val="20"/>
              </w:rPr>
              <w:t>Number of securities</w:t>
            </w:r>
            <w:r>
              <w:rPr>
                <w:rFonts w:eastAsia="Times New Roman"/>
                <w:b/>
                <w:bCs/>
                <w:color w:val="000000"/>
                <w:sz w:val="20"/>
                <w:szCs w:val="20"/>
              </w:rPr>
              <w:br/>
              <w:t>remaining available for future</w:t>
            </w:r>
            <w:r>
              <w:rPr>
                <w:rFonts w:eastAsia="Times New Roman"/>
                <w:b/>
                <w:bCs/>
                <w:color w:val="000000"/>
                <w:sz w:val="20"/>
                <w:szCs w:val="20"/>
              </w:rPr>
              <w:br/>
              <w:t>issuance under e</w:t>
            </w:r>
            <w:r>
              <w:rPr>
                <w:rFonts w:eastAsia="Times New Roman"/>
                <w:b/>
                <w:bCs/>
                <w:color w:val="000000"/>
                <w:sz w:val="20"/>
                <w:szCs w:val="20"/>
              </w:rPr>
              <w:t>quity</w:t>
            </w:r>
            <w:r>
              <w:rPr>
                <w:rFonts w:eastAsia="Times New Roman"/>
                <w:b/>
                <w:bCs/>
                <w:color w:val="000000"/>
                <w:sz w:val="20"/>
                <w:szCs w:val="20"/>
              </w:rPr>
              <w:br/>
              <w:t>compensation plans</w:t>
            </w:r>
            <w:r>
              <w:rPr>
                <w:rFonts w:eastAsia="Times New Roman"/>
                <w:b/>
                <w:bCs/>
                <w:color w:val="000000"/>
                <w:sz w:val="20"/>
                <w:szCs w:val="20"/>
              </w:rPr>
              <w:br/>
              <w:t>(excluding securities reflected</w:t>
            </w:r>
            <w:r>
              <w:rPr>
                <w:rFonts w:eastAsia="Times New Roman"/>
                <w:b/>
                <w:bCs/>
                <w:color w:val="000000"/>
                <w:sz w:val="20"/>
                <w:szCs w:val="20"/>
              </w:rPr>
              <w:br/>
              <w:t>in column (a)) (c)</w:t>
            </w:r>
          </w:p>
        </w:tc>
        <w:tc>
          <w:tcPr>
            <w:tcW w:w="0" w:type="auto"/>
            <w:gridSpan w:val="3"/>
            <w:tcMar>
              <w:top w:w="0" w:type="dxa"/>
              <w:left w:w="20" w:type="dxa"/>
              <w:bottom w:w="0" w:type="dxa"/>
              <w:right w:w="20" w:type="dxa"/>
            </w:tcMar>
            <w:vAlign w:val="center"/>
            <w:hideMark/>
          </w:tcPr>
          <w:p w14:paraId="7260B4B5" w14:textId="77777777" w:rsidR="00000000" w:rsidRDefault="00C1661D">
            <w:pPr>
              <w:spacing w:after="100"/>
              <w:jc w:val="center"/>
              <w:rPr>
                <w:rFonts w:eastAsia="Times New Roman"/>
              </w:rPr>
            </w:pPr>
          </w:p>
        </w:tc>
      </w:tr>
      <w:tr w:rsidR="00000000" w14:paraId="3E59F203" w14:textId="77777777">
        <w:trPr>
          <w:divId w:val="131278355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A80FEB0" w14:textId="77777777" w:rsidR="00000000" w:rsidRDefault="00C1661D">
            <w:pPr>
              <w:spacing w:after="100"/>
              <w:divId w:val="535972706"/>
              <w:rPr>
                <w:rFonts w:eastAsia="Times New Roman"/>
              </w:rPr>
            </w:pPr>
            <w:r>
              <w:rPr>
                <w:rFonts w:eastAsia="Times New Roman"/>
                <w:color w:val="000000"/>
                <w:sz w:val="20"/>
                <w:szCs w:val="20"/>
              </w:rPr>
              <w:t>Equity compensation plans approved by security holders</w:t>
            </w:r>
          </w:p>
        </w:tc>
        <w:tc>
          <w:tcPr>
            <w:tcW w:w="0" w:type="auto"/>
            <w:gridSpan w:val="3"/>
            <w:shd w:val="clear" w:color="auto" w:fill="CCEEFF"/>
            <w:tcMar>
              <w:top w:w="0" w:type="dxa"/>
              <w:left w:w="20" w:type="dxa"/>
              <w:bottom w:w="0" w:type="dxa"/>
              <w:right w:w="20" w:type="dxa"/>
            </w:tcMar>
            <w:vAlign w:val="center"/>
            <w:hideMark/>
          </w:tcPr>
          <w:p w14:paraId="71B78997" w14:textId="77777777" w:rsidR="00000000" w:rsidRDefault="00C166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266D07" w14:textId="77777777" w:rsidR="00000000" w:rsidRDefault="00C1661D">
            <w:pPr>
              <w:spacing w:after="100"/>
              <w:jc w:val="right"/>
              <w:rPr>
                <w:rFonts w:eastAsia="Times New Roman"/>
              </w:rPr>
            </w:pPr>
            <w:r>
              <w:rPr>
                <w:rFonts w:eastAsia="Times New Roman"/>
                <w:color w:val="000000"/>
                <w:sz w:val="20"/>
                <w:szCs w:val="20"/>
              </w:rPr>
              <w:t>9,004,896 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317318"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E19397B" w14:textId="77777777" w:rsidR="00000000" w:rsidRDefault="00C1661D">
            <w:pPr>
              <w:spacing w:after="100"/>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BF14C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8BE756" w14:textId="77777777" w:rsidR="00000000" w:rsidRDefault="00C1661D">
            <w:pPr>
              <w:spacing w:after="100"/>
              <w:jc w:val="right"/>
              <w:rPr>
                <w:rFonts w:eastAsia="Times New Roman"/>
              </w:rPr>
            </w:pPr>
            <w:r>
              <w:rPr>
                <w:rFonts w:eastAsia="Times New Roman"/>
                <w:color w:val="000000"/>
                <w:sz w:val="20"/>
                <w:szCs w:val="20"/>
              </w:rPr>
              <w:t>42.16 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36A310"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21A67F8" w14:textId="77777777" w:rsidR="00000000" w:rsidRDefault="00C1661D">
            <w:pPr>
              <w:spacing w:after="100"/>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134FB0" w14:textId="77777777" w:rsidR="00000000" w:rsidRDefault="00C1661D">
            <w:pPr>
              <w:spacing w:after="100"/>
              <w:jc w:val="right"/>
              <w:rPr>
                <w:rFonts w:eastAsia="Times New Roman"/>
              </w:rPr>
            </w:pPr>
            <w:r>
              <w:rPr>
                <w:rFonts w:eastAsia="Times New Roman"/>
                <w:color w:val="000000"/>
                <w:sz w:val="20"/>
                <w:szCs w:val="20"/>
              </w:rPr>
              <w:t>18,015,916 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E4EE6D" w14:textId="77777777" w:rsidR="00000000" w:rsidRDefault="00C1661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69BB420" w14:textId="77777777" w:rsidR="00000000" w:rsidRDefault="00C1661D">
            <w:pPr>
              <w:spacing w:after="100"/>
              <w:rPr>
                <w:rFonts w:eastAsia="Times New Roman"/>
              </w:rPr>
            </w:pPr>
            <w:r>
              <w:rPr>
                <w:rFonts w:eastAsia="Times New Roman"/>
                <w:color w:val="000000"/>
                <w:sz w:val="20"/>
                <w:szCs w:val="20"/>
              </w:rPr>
              <w:t>(2)</w:t>
            </w:r>
          </w:p>
        </w:tc>
      </w:tr>
      <w:tr w:rsidR="00000000" w14:paraId="213440F7" w14:textId="77777777">
        <w:trPr>
          <w:divId w:val="1312783554"/>
        </w:trPr>
        <w:tc>
          <w:tcPr>
            <w:tcW w:w="0" w:type="auto"/>
            <w:gridSpan w:val="3"/>
            <w:shd w:val="clear" w:color="auto" w:fill="FFFFFF"/>
            <w:tcMar>
              <w:top w:w="30" w:type="dxa"/>
              <w:left w:w="20" w:type="dxa"/>
              <w:bottom w:w="30" w:type="dxa"/>
              <w:right w:w="20" w:type="dxa"/>
            </w:tcMar>
            <w:vAlign w:val="bottom"/>
            <w:hideMark/>
          </w:tcPr>
          <w:p w14:paraId="1BA63462"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2345E87" w14:textId="77777777" w:rsidR="00000000" w:rsidRDefault="00C166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1B5375" w14:textId="77777777" w:rsidR="00000000" w:rsidRDefault="00C1661D">
            <w:pPr>
              <w:spacing w:after="100"/>
              <w:jc w:val="right"/>
              <w:rPr>
                <w:rFonts w:eastAsia="Times New Roman"/>
              </w:rPr>
            </w:pPr>
            <w:r>
              <w:rPr>
                <w:rFonts w:eastAsia="Times New Roman"/>
                <w:color w:val="000000"/>
                <w:sz w:val="20"/>
                <w:szCs w:val="20"/>
              </w:rPr>
              <w:t>1,376,371 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5D975B"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6844E75" w14:textId="77777777" w:rsidR="00000000" w:rsidRDefault="00C1661D">
            <w:pPr>
              <w:spacing w:after="100"/>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C2B48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94403C" w14:textId="77777777" w:rsidR="00000000" w:rsidRDefault="00C1661D">
            <w:pPr>
              <w:spacing w:after="100"/>
              <w:jc w:val="right"/>
              <w:rPr>
                <w:rFonts w:eastAsia="Times New Roman"/>
              </w:rPr>
            </w:pPr>
            <w:r>
              <w:rPr>
                <w:rFonts w:eastAsia="Times New Roman"/>
                <w:color w:val="000000"/>
                <w:sz w:val="20"/>
                <w:szCs w:val="20"/>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71298C"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E539AFA"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286D4EB9"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471EA40" w14:textId="77777777" w:rsidR="00000000" w:rsidRDefault="00C1661D">
            <w:pPr>
              <w:spacing w:after="100"/>
              <w:rPr>
                <w:rFonts w:eastAsia="Times New Roman"/>
              </w:rPr>
            </w:pPr>
          </w:p>
        </w:tc>
      </w:tr>
      <w:tr w:rsidR="00000000" w14:paraId="35E7E052" w14:textId="77777777">
        <w:trPr>
          <w:divId w:val="1312783554"/>
        </w:trPr>
        <w:tc>
          <w:tcPr>
            <w:tcW w:w="0" w:type="auto"/>
            <w:gridSpan w:val="3"/>
            <w:shd w:val="clear" w:color="auto" w:fill="CCEEFF"/>
            <w:tcMar>
              <w:top w:w="30" w:type="dxa"/>
              <w:left w:w="20" w:type="dxa"/>
              <w:bottom w:w="30" w:type="dxa"/>
              <w:right w:w="20" w:type="dxa"/>
            </w:tcMar>
            <w:vAlign w:val="bottom"/>
            <w:hideMark/>
          </w:tcPr>
          <w:p w14:paraId="6CAD018B" w14:textId="77777777" w:rsidR="00000000" w:rsidRDefault="00C1661D">
            <w:pPr>
              <w:spacing w:after="100"/>
              <w:divId w:val="160659030"/>
              <w:rPr>
                <w:rFonts w:eastAsia="Times New Roman"/>
              </w:rPr>
            </w:pPr>
            <w:r>
              <w:rPr>
                <w:rFonts w:eastAsia="Times New Roman"/>
                <w:color w:val="000000"/>
                <w:sz w:val="20"/>
                <w:szCs w:val="20"/>
              </w:rPr>
              <w:t>Equity compensation plans not approved by security holders</w:t>
            </w:r>
          </w:p>
        </w:tc>
        <w:tc>
          <w:tcPr>
            <w:tcW w:w="0" w:type="auto"/>
            <w:gridSpan w:val="3"/>
            <w:shd w:val="clear" w:color="auto" w:fill="CCEEFF"/>
            <w:tcMar>
              <w:top w:w="0" w:type="dxa"/>
              <w:left w:w="20" w:type="dxa"/>
              <w:bottom w:w="0" w:type="dxa"/>
              <w:right w:w="20" w:type="dxa"/>
            </w:tcMar>
            <w:vAlign w:val="center"/>
            <w:hideMark/>
          </w:tcPr>
          <w:p w14:paraId="44212C14"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7A4DB66"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A81B39F" w14:textId="77777777" w:rsidR="00000000" w:rsidRDefault="00C1661D">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D48CE3" w14:textId="77777777" w:rsidR="00000000" w:rsidRDefault="00C1661D">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12DCE2A"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54AD1BC"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5D0725" w14:textId="77777777" w:rsidR="00000000" w:rsidRDefault="00C1661D">
            <w:pPr>
              <w:spacing w:after="100"/>
              <w:rPr>
                <w:rFonts w:eastAsia="Times New Roman"/>
                <w:sz w:val="20"/>
                <w:szCs w:val="20"/>
              </w:rPr>
            </w:pPr>
          </w:p>
        </w:tc>
      </w:tr>
      <w:tr w:rsidR="00000000" w14:paraId="0BDA1E7D" w14:textId="77777777">
        <w:trPr>
          <w:divId w:val="1312783554"/>
        </w:trPr>
        <w:tc>
          <w:tcPr>
            <w:tcW w:w="0" w:type="auto"/>
            <w:gridSpan w:val="3"/>
            <w:shd w:val="clear" w:color="auto" w:fill="FFFFFF"/>
            <w:tcMar>
              <w:top w:w="30" w:type="dxa"/>
              <w:left w:w="20" w:type="dxa"/>
              <w:bottom w:w="30" w:type="dxa"/>
              <w:right w:w="20" w:type="dxa"/>
            </w:tcMar>
            <w:vAlign w:val="bottom"/>
            <w:hideMark/>
          </w:tcPr>
          <w:p w14:paraId="1B958761" w14:textId="77777777" w:rsidR="00000000" w:rsidRDefault="00C1661D">
            <w:pPr>
              <w:spacing w:after="100"/>
              <w:ind w:hanging="180"/>
              <w:divId w:val="1926844199"/>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527742B1" w14:textId="77777777" w:rsidR="00000000" w:rsidRDefault="00C1661D">
            <w:pPr>
              <w:spacing w:after="100"/>
              <w:ind w:hanging="18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4671D1" w14:textId="77777777" w:rsidR="00000000" w:rsidRDefault="00C1661D">
            <w:pPr>
              <w:spacing w:after="100"/>
              <w:jc w:val="right"/>
              <w:rPr>
                <w:rFonts w:eastAsia="Times New Roman"/>
              </w:rPr>
            </w:pPr>
            <w:r>
              <w:rPr>
                <w:rFonts w:eastAsia="Times New Roman"/>
                <w:color w:val="000000"/>
                <w:sz w:val="20"/>
                <w:szCs w:val="20"/>
              </w:rPr>
              <w:t>10,381,267 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893FE2"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5649C96" w14:textId="77777777" w:rsidR="00000000" w:rsidRDefault="00C1661D">
            <w:pPr>
              <w:spacing w:after="100"/>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FD81E6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1123AB2" w14:textId="77777777" w:rsidR="00000000" w:rsidRDefault="00C1661D">
            <w:pPr>
              <w:spacing w:after="100"/>
              <w:jc w:val="right"/>
              <w:rPr>
                <w:rFonts w:eastAsia="Times New Roman"/>
              </w:rPr>
            </w:pPr>
            <w:r>
              <w:rPr>
                <w:rFonts w:eastAsia="Times New Roman"/>
                <w:color w:val="000000"/>
                <w:sz w:val="20"/>
                <w:szCs w:val="20"/>
              </w:rPr>
              <w:t>42.16 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626EC6"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2404691" w14:textId="77777777" w:rsidR="00000000" w:rsidRDefault="00C1661D">
            <w:pPr>
              <w:spacing w:after="100"/>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14:paraId="26E02210"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877D2D" w14:textId="77777777" w:rsidR="00000000" w:rsidRDefault="00C1661D">
            <w:pPr>
              <w:spacing w:after="100"/>
              <w:rPr>
                <w:rFonts w:eastAsia="Times New Roman"/>
                <w:sz w:val="20"/>
                <w:szCs w:val="20"/>
              </w:rPr>
            </w:pPr>
          </w:p>
        </w:tc>
      </w:tr>
    </w:tbl>
    <w:p w14:paraId="49D04DB1" w14:textId="77777777" w:rsidR="00000000" w:rsidRDefault="00C1661D">
      <w:pPr>
        <w:divId w:val="1264537637"/>
        <w:rPr>
          <w:rFonts w:eastAsia="Times New Roman"/>
        </w:rPr>
      </w:pPr>
    </w:p>
    <w:p w14:paraId="5741668D" w14:textId="77777777" w:rsidR="00000000" w:rsidRDefault="00C1661D">
      <w:pPr>
        <w:ind w:hanging="360"/>
        <w:divId w:val="1027373063"/>
        <w:rPr>
          <w:rFonts w:eastAsia="Times New Roman"/>
        </w:rPr>
      </w:pPr>
      <w:r>
        <w:rPr>
          <w:rFonts w:eastAsia="Times New Roman"/>
          <w:color w:val="000000"/>
          <w:sz w:val="20"/>
          <w:szCs w:val="20"/>
        </w:rPr>
        <w:t>(1)Represents 9,004,896 stock options under the UGI Corporation 2021 Incentive Award Plan, which supersedes and replaces the UGI Corporation 2013 Omnibus Incentive Compensation Plan. The UGI Corporation 2021 Incentive Award Plan was approved by shar</w:t>
      </w:r>
      <w:r>
        <w:rPr>
          <w:rFonts w:eastAsia="Times New Roman"/>
          <w:color w:val="000000"/>
          <w:sz w:val="20"/>
          <w:szCs w:val="20"/>
        </w:rPr>
        <w:t>eholders on January 29, 2021.</w:t>
      </w:r>
    </w:p>
    <w:p w14:paraId="0308149B" w14:textId="77777777" w:rsidR="00000000" w:rsidRDefault="00C1661D">
      <w:pPr>
        <w:ind w:hanging="360"/>
        <w:jc w:val="both"/>
        <w:rPr>
          <w:rFonts w:eastAsia="Times New Roman"/>
        </w:rPr>
      </w:pPr>
      <w:r>
        <w:rPr>
          <w:rFonts w:eastAsia="Times New Roman"/>
          <w:color w:val="000000"/>
          <w:sz w:val="20"/>
          <w:szCs w:val="20"/>
        </w:rPr>
        <w:t>(2)Represents securities remaining for issuance under the UGI Corporation 2021 Incentive Award Plan. The UGI Corporation 2021 Incentive Award Plan uses a share pool under which each share issued pursuant to a stock option or s</w:t>
      </w:r>
      <w:r>
        <w:rPr>
          <w:rFonts w:eastAsia="Times New Roman"/>
          <w:color w:val="000000"/>
          <w:sz w:val="20"/>
          <w:szCs w:val="20"/>
        </w:rPr>
        <w:t xml:space="preserve">tock appreciation right reduces the number of shares available by one share, and each share issued pursuant to awards other than stock options or stock appreciation rights reduces the number of shares available by three (3) shares. </w:t>
      </w:r>
    </w:p>
    <w:p w14:paraId="680B2891" w14:textId="77777777" w:rsidR="00000000" w:rsidRDefault="00C1661D">
      <w:pPr>
        <w:ind w:hanging="360"/>
        <w:jc w:val="both"/>
        <w:divId w:val="1538160766"/>
        <w:rPr>
          <w:rFonts w:eastAsia="Times New Roman"/>
        </w:rPr>
      </w:pPr>
      <w:r>
        <w:rPr>
          <w:rFonts w:eastAsia="Times New Roman"/>
          <w:color w:val="000000"/>
          <w:sz w:val="20"/>
          <w:szCs w:val="20"/>
        </w:rPr>
        <w:t>(3)</w:t>
      </w:r>
      <w:r>
        <w:rPr>
          <w:rFonts w:eastAsia="Times New Roman"/>
          <w:color w:val="000000"/>
          <w:sz w:val="20"/>
          <w:szCs w:val="20"/>
        </w:rPr>
        <w:t xml:space="preserve">Represents 1,376,371 restricted stock units under the UGI Corporation 2021 Incentive Award Plan. </w:t>
      </w:r>
    </w:p>
    <w:p w14:paraId="0F202D9B" w14:textId="77777777" w:rsidR="00000000" w:rsidRDefault="00C1661D">
      <w:pPr>
        <w:ind w:hanging="360"/>
        <w:jc w:val="both"/>
        <w:divId w:val="617494813"/>
        <w:rPr>
          <w:rFonts w:eastAsia="Times New Roman"/>
        </w:rPr>
      </w:pPr>
      <w:r>
        <w:rPr>
          <w:rFonts w:eastAsia="Times New Roman"/>
          <w:color w:val="000000"/>
          <w:sz w:val="20"/>
          <w:szCs w:val="20"/>
        </w:rPr>
        <w:t>(4)Weighted-average exercise price of outstanding options; excludes restricted stock units.</w:t>
      </w:r>
    </w:p>
    <w:p w14:paraId="60823F24" w14:textId="77777777" w:rsidR="00000000" w:rsidRDefault="00C1661D">
      <w:pPr>
        <w:jc w:val="both"/>
        <w:divId w:val="517937548"/>
        <w:rPr>
          <w:rFonts w:eastAsia="Times New Roman"/>
        </w:rPr>
      </w:pPr>
      <w:r>
        <w:rPr>
          <w:rFonts w:eastAsia="Times New Roman"/>
          <w:color w:val="000000"/>
          <w:sz w:val="20"/>
          <w:szCs w:val="20"/>
        </w:rPr>
        <w:t>The information concerning the Company’s executive officers requir</w:t>
      </w:r>
      <w:r>
        <w:rPr>
          <w:rFonts w:eastAsia="Times New Roman"/>
          <w:color w:val="000000"/>
          <w:sz w:val="20"/>
          <w:szCs w:val="20"/>
        </w:rPr>
        <w:t>ed by Item 10 is set forth below.</w:t>
      </w:r>
    </w:p>
    <w:p w14:paraId="7FBD2BE1" w14:textId="77777777" w:rsidR="00000000" w:rsidRDefault="00C1661D">
      <w:pPr>
        <w:jc w:val="center"/>
        <w:divId w:val="553808130"/>
        <w:rPr>
          <w:rFonts w:eastAsia="Times New Roman"/>
        </w:rPr>
      </w:pPr>
      <w:r>
        <w:rPr>
          <w:rFonts w:eastAsia="Times New Roman"/>
          <w:b/>
          <w:bCs/>
          <w:color w:val="000000"/>
          <w:sz w:val="20"/>
          <w:szCs w:val="20"/>
        </w:rPr>
        <w:t>EXECUTIVE OFFICERS</w:t>
      </w:r>
    </w:p>
    <w:tbl>
      <w:tblPr>
        <w:tblW w:w="4904" w:type="pct"/>
        <w:jc w:val="center"/>
        <w:tblCellMar>
          <w:top w:w="15" w:type="dxa"/>
          <w:left w:w="15" w:type="dxa"/>
          <w:bottom w:w="15" w:type="dxa"/>
          <w:right w:w="15" w:type="dxa"/>
        </w:tblCellMar>
        <w:tblLook w:val="04A0" w:firstRow="1" w:lastRow="0" w:firstColumn="1" w:lastColumn="0" w:noHBand="0" w:noVBand="1"/>
      </w:tblPr>
      <w:tblGrid>
        <w:gridCol w:w="53"/>
        <w:gridCol w:w="1813"/>
        <w:gridCol w:w="37"/>
        <w:gridCol w:w="36"/>
        <w:gridCol w:w="36"/>
        <w:gridCol w:w="36"/>
        <w:gridCol w:w="82"/>
        <w:gridCol w:w="284"/>
        <w:gridCol w:w="36"/>
        <w:gridCol w:w="36"/>
        <w:gridCol w:w="36"/>
        <w:gridCol w:w="36"/>
        <w:gridCol w:w="39"/>
        <w:gridCol w:w="5550"/>
        <w:gridCol w:w="37"/>
      </w:tblGrid>
      <w:tr w:rsidR="00000000" w14:paraId="39C30480" w14:textId="77777777">
        <w:trPr>
          <w:jc w:val="center"/>
        </w:trPr>
        <w:tc>
          <w:tcPr>
            <w:tcW w:w="50" w:type="pct"/>
            <w:vAlign w:val="center"/>
            <w:hideMark/>
          </w:tcPr>
          <w:p w14:paraId="174954D8" w14:textId="77777777" w:rsidR="00000000" w:rsidRDefault="00C1661D">
            <w:pPr>
              <w:jc w:val="center"/>
              <w:rPr>
                <w:rFonts w:eastAsia="Times New Roman"/>
              </w:rPr>
            </w:pPr>
          </w:p>
        </w:tc>
        <w:tc>
          <w:tcPr>
            <w:tcW w:w="1129" w:type="pct"/>
            <w:vAlign w:val="center"/>
            <w:hideMark/>
          </w:tcPr>
          <w:p w14:paraId="7348B0EA" w14:textId="77777777" w:rsidR="00000000" w:rsidRDefault="00C1661D">
            <w:pPr>
              <w:spacing w:after="100"/>
              <w:rPr>
                <w:rFonts w:eastAsia="Times New Roman"/>
                <w:sz w:val="20"/>
                <w:szCs w:val="20"/>
              </w:rPr>
            </w:pPr>
          </w:p>
        </w:tc>
        <w:tc>
          <w:tcPr>
            <w:tcW w:w="5" w:type="pct"/>
            <w:vAlign w:val="center"/>
            <w:hideMark/>
          </w:tcPr>
          <w:p w14:paraId="46B80807" w14:textId="77777777" w:rsidR="00000000" w:rsidRDefault="00C1661D">
            <w:pPr>
              <w:spacing w:after="100"/>
              <w:rPr>
                <w:rFonts w:eastAsia="Times New Roman"/>
                <w:sz w:val="20"/>
                <w:szCs w:val="20"/>
              </w:rPr>
            </w:pPr>
          </w:p>
        </w:tc>
        <w:tc>
          <w:tcPr>
            <w:tcW w:w="5" w:type="pct"/>
            <w:vAlign w:val="center"/>
            <w:hideMark/>
          </w:tcPr>
          <w:p w14:paraId="1D18DAAC" w14:textId="77777777" w:rsidR="00000000" w:rsidRDefault="00C1661D">
            <w:pPr>
              <w:spacing w:after="100"/>
              <w:rPr>
                <w:rFonts w:eastAsia="Times New Roman"/>
                <w:sz w:val="20"/>
                <w:szCs w:val="20"/>
              </w:rPr>
            </w:pPr>
          </w:p>
        </w:tc>
        <w:tc>
          <w:tcPr>
            <w:tcW w:w="27" w:type="pct"/>
            <w:vAlign w:val="center"/>
            <w:hideMark/>
          </w:tcPr>
          <w:p w14:paraId="5D89C210" w14:textId="77777777" w:rsidR="00000000" w:rsidRDefault="00C1661D">
            <w:pPr>
              <w:spacing w:after="100"/>
              <w:rPr>
                <w:rFonts w:eastAsia="Times New Roman"/>
                <w:sz w:val="20"/>
                <w:szCs w:val="20"/>
              </w:rPr>
            </w:pPr>
          </w:p>
        </w:tc>
        <w:tc>
          <w:tcPr>
            <w:tcW w:w="5" w:type="pct"/>
            <w:vAlign w:val="center"/>
            <w:hideMark/>
          </w:tcPr>
          <w:p w14:paraId="08E6C7E4" w14:textId="77777777" w:rsidR="00000000" w:rsidRDefault="00C1661D">
            <w:pPr>
              <w:spacing w:after="100"/>
              <w:rPr>
                <w:rFonts w:eastAsia="Times New Roman"/>
                <w:sz w:val="20"/>
                <w:szCs w:val="20"/>
              </w:rPr>
            </w:pPr>
          </w:p>
        </w:tc>
        <w:tc>
          <w:tcPr>
            <w:tcW w:w="50" w:type="pct"/>
            <w:vAlign w:val="center"/>
            <w:hideMark/>
          </w:tcPr>
          <w:p w14:paraId="188F34C5" w14:textId="77777777" w:rsidR="00000000" w:rsidRDefault="00C1661D">
            <w:pPr>
              <w:spacing w:after="100"/>
              <w:rPr>
                <w:rFonts w:eastAsia="Times New Roman"/>
                <w:sz w:val="20"/>
                <w:szCs w:val="20"/>
              </w:rPr>
            </w:pPr>
          </w:p>
        </w:tc>
        <w:tc>
          <w:tcPr>
            <w:tcW w:w="175" w:type="pct"/>
            <w:vAlign w:val="center"/>
            <w:hideMark/>
          </w:tcPr>
          <w:p w14:paraId="48E83338" w14:textId="77777777" w:rsidR="00000000" w:rsidRDefault="00C1661D">
            <w:pPr>
              <w:spacing w:after="100"/>
              <w:rPr>
                <w:rFonts w:eastAsia="Times New Roman"/>
                <w:sz w:val="20"/>
                <w:szCs w:val="20"/>
              </w:rPr>
            </w:pPr>
          </w:p>
        </w:tc>
        <w:tc>
          <w:tcPr>
            <w:tcW w:w="5" w:type="pct"/>
            <w:vAlign w:val="center"/>
            <w:hideMark/>
          </w:tcPr>
          <w:p w14:paraId="0F01DA64" w14:textId="77777777" w:rsidR="00000000" w:rsidRDefault="00C1661D">
            <w:pPr>
              <w:spacing w:after="100"/>
              <w:rPr>
                <w:rFonts w:eastAsia="Times New Roman"/>
                <w:sz w:val="20"/>
                <w:szCs w:val="20"/>
              </w:rPr>
            </w:pPr>
          </w:p>
        </w:tc>
        <w:tc>
          <w:tcPr>
            <w:tcW w:w="5" w:type="pct"/>
            <w:vAlign w:val="center"/>
            <w:hideMark/>
          </w:tcPr>
          <w:p w14:paraId="5523E925" w14:textId="77777777" w:rsidR="00000000" w:rsidRDefault="00C1661D">
            <w:pPr>
              <w:spacing w:after="100"/>
              <w:rPr>
                <w:rFonts w:eastAsia="Times New Roman"/>
                <w:sz w:val="20"/>
                <w:szCs w:val="20"/>
              </w:rPr>
            </w:pPr>
          </w:p>
        </w:tc>
        <w:tc>
          <w:tcPr>
            <w:tcW w:w="27" w:type="pct"/>
            <w:vAlign w:val="center"/>
            <w:hideMark/>
          </w:tcPr>
          <w:p w14:paraId="5DB420D5" w14:textId="77777777" w:rsidR="00000000" w:rsidRDefault="00C1661D">
            <w:pPr>
              <w:spacing w:after="100"/>
              <w:rPr>
                <w:rFonts w:eastAsia="Times New Roman"/>
                <w:sz w:val="20"/>
                <w:szCs w:val="20"/>
              </w:rPr>
            </w:pPr>
          </w:p>
        </w:tc>
        <w:tc>
          <w:tcPr>
            <w:tcW w:w="5" w:type="pct"/>
            <w:vAlign w:val="center"/>
            <w:hideMark/>
          </w:tcPr>
          <w:p w14:paraId="625C76E6" w14:textId="77777777" w:rsidR="00000000" w:rsidRDefault="00C1661D">
            <w:pPr>
              <w:spacing w:after="100"/>
              <w:rPr>
                <w:rFonts w:eastAsia="Times New Roman"/>
                <w:sz w:val="20"/>
                <w:szCs w:val="20"/>
              </w:rPr>
            </w:pPr>
          </w:p>
        </w:tc>
        <w:tc>
          <w:tcPr>
            <w:tcW w:w="50" w:type="pct"/>
            <w:vAlign w:val="center"/>
            <w:hideMark/>
          </w:tcPr>
          <w:p w14:paraId="104A487F" w14:textId="77777777" w:rsidR="00000000" w:rsidRDefault="00C1661D">
            <w:pPr>
              <w:spacing w:after="100"/>
              <w:rPr>
                <w:rFonts w:eastAsia="Times New Roman"/>
                <w:sz w:val="20"/>
                <w:szCs w:val="20"/>
              </w:rPr>
            </w:pPr>
          </w:p>
        </w:tc>
        <w:tc>
          <w:tcPr>
            <w:tcW w:w="3454" w:type="pct"/>
            <w:vAlign w:val="center"/>
            <w:hideMark/>
          </w:tcPr>
          <w:p w14:paraId="0CCBFC0B" w14:textId="77777777" w:rsidR="00000000" w:rsidRDefault="00C1661D">
            <w:pPr>
              <w:spacing w:after="100"/>
              <w:rPr>
                <w:rFonts w:eastAsia="Times New Roman"/>
                <w:sz w:val="20"/>
                <w:szCs w:val="20"/>
              </w:rPr>
            </w:pPr>
          </w:p>
        </w:tc>
        <w:tc>
          <w:tcPr>
            <w:tcW w:w="5" w:type="pct"/>
            <w:vAlign w:val="center"/>
            <w:hideMark/>
          </w:tcPr>
          <w:p w14:paraId="0890E58D" w14:textId="77777777" w:rsidR="00000000" w:rsidRDefault="00C1661D">
            <w:pPr>
              <w:spacing w:after="100"/>
              <w:rPr>
                <w:rFonts w:eastAsia="Times New Roman"/>
                <w:sz w:val="20"/>
                <w:szCs w:val="20"/>
              </w:rPr>
            </w:pPr>
          </w:p>
        </w:tc>
      </w:tr>
      <w:tr w:rsidR="00000000" w14:paraId="2D330442" w14:textId="77777777">
        <w:trPr>
          <w:jc w:val="center"/>
        </w:trPr>
        <w:tc>
          <w:tcPr>
            <w:tcW w:w="0" w:type="auto"/>
            <w:gridSpan w:val="3"/>
            <w:tcMar>
              <w:top w:w="30" w:type="dxa"/>
              <w:left w:w="20" w:type="dxa"/>
              <w:bottom w:w="30" w:type="dxa"/>
              <w:right w:w="20" w:type="dxa"/>
            </w:tcMar>
            <w:vAlign w:val="bottom"/>
            <w:hideMark/>
          </w:tcPr>
          <w:p w14:paraId="099077C6" w14:textId="77777777" w:rsidR="00000000" w:rsidRDefault="00C1661D">
            <w:pPr>
              <w:spacing w:after="100"/>
              <w:rPr>
                <w:rFonts w:eastAsia="Times New Roman"/>
              </w:rPr>
            </w:pPr>
            <w:r>
              <w:rPr>
                <w:rFonts w:eastAsia="Times New Roman"/>
                <w:b/>
                <w:bCs/>
                <w:color w:val="000000"/>
                <w:sz w:val="20"/>
                <w:szCs w:val="20"/>
              </w:rPr>
              <w:t>Name</w:t>
            </w:r>
          </w:p>
        </w:tc>
        <w:tc>
          <w:tcPr>
            <w:tcW w:w="0" w:type="auto"/>
            <w:gridSpan w:val="3"/>
            <w:tcMar>
              <w:top w:w="0" w:type="dxa"/>
              <w:left w:w="20" w:type="dxa"/>
              <w:bottom w:w="0" w:type="dxa"/>
              <w:right w:w="20" w:type="dxa"/>
            </w:tcMar>
            <w:vAlign w:val="center"/>
            <w:hideMark/>
          </w:tcPr>
          <w:p w14:paraId="064F8F2C" w14:textId="77777777" w:rsidR="00000000" w:rsidRDefault="00C1661D">
            <w:pPr>
              <w:spacing w:after="100"/>
              <w:rPr>
                <w:rFonts w:eastAsia="Times New Roman"/>
              </w:rPr>
            </w:pPr>
          </w:p>
        </w:tc>
        <w:tc>
          <w:tcPr>
            <w:tcW w:w="0" w:type="auto"/>
            <w:gridSpan w:val="3"/>
            <w:tcMar>
              <w:top w:w="30" w:type="dxa"/>
              <w:left w:w="20" w:type="dxa"/>
              <w:bottom w:w="30" w:type="dxa"/>
              <w:right w:w="20" w:type="dxa"/>
            </w:tcMar>
            <w:hideMark/>
          </w:tcPr>
          <w:p w14:paraId="35342CDA" w14:textId="77777777" w:rsidR="00000000" w:rsidRDefault="00C1661D">
            <w:pPr>
              <w:spacing w:after="100"/>
              <w:jc w:val="center"/>
              <w:rPr>
                <w:rFonts w:eastAsia="Times New Roman"/>
              </w:rPr>
            </w:pPr>
            <w:r>
              <w:rPr>
                <w:rFonts w:eastAsia="Times New Roman"/>
                <w:b/>
                <w:bCs/>
                <w:color w:val="000000"/>
                <w:sz w:val="20"/>
                <w:szCs w:val="20"/>
              </w:rPr>
              <w:t>Age</w:t>
            </w:r>
          </w:p>
        </w:tc>
        <w:tc>
          <w:tcPr>
            <w:tcW w:w="0" w:type="auto"/>
            <w:gridSpan w:val="3"/>
            <w:tcMar>
              <w:top w:w="0" w:type="dxa"/>
              <w:left w:w="20" w:type="dxa"/>
              <w:bottom w:w="0" w:type="dxa"/>
              <w:right w:w="20" w:type="dxa"/>
            </w:tcMar>
            <w:vAlign w:val="center"/>
            <w:hideMark/>
          </w:tcPr>
          <w:p w14:paraId="2DA984EF"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B5D8137" w14:textId="77777777" w:rsidR="00000000" w:rsidRDefault="00C1661D">
            <w:pPr>
              <w:spacing w:after="100"/>
              <w:jc w:val="center"/>
              <w:rPr>
                <w:rFonts w:eastAsia="Times New Roman"/>
              </w:rPr>
            </w:pPr>
            <w:r>
              <w:rPr>
                <w:rFonts w:eastAsia="Times New Roman"/>
                <w:b/>
                <w:bCs/>
                <w:color w:val="000000"/>
                <w:sz w:val="20"/>
                <w:szCs w:val="20"/>
              </w:rPr>
              <w:t>Position</w:t>
            </w:r>
          </w:p>
        </w:tc>
      </w:tr>
      <w:tr w:rsidR="00000000" w14:paraId="6D11045A"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9371353" w14:textId="77777777" w:rsidR="00000000" w:rsidRDefault="00C1661D">
            <w:pPr>
              <w:spacing w:after="100"/>
              <w:rPr>
                <w:rFonts w:eastAsia="Times New Roman"/>
              </w:rPr>
            </w:pPr>
            <w:r>
              <w:rPr>
                <w:rFonts w:eastAsia="Times New Roman"/>
                <w:color w:val="000000"/>
                <w:sz w:val="20"/>
                <w:szCs w:val="20"/>
              </w:rPr>
              <w:t>Roger Perreault</w:t>
            </w:r>
          </w:p>
        </w:tc>
        <w:tc>
          <w:tcPr>
            <w:tcW w:w="0" w:type="auto"/>
            <w:gridSpan w:val="3"/>
            <w:shd w:val="clear" w:color="auto" w:fill="CCEEFF"/>
            <w:tcMar>
              <w:top w:w="0" w:type="dxa"/>
              <w:left w:w="20" w:type="dxa"/>
              <w:bottom w:w="0" w:type="dxa"/>
              <w:right w:w="20" w:type="dxa"/>
            </w:tcMar>
            <w:vAlign w:val="center"/>
            <w:hideMark/>
          </w:tcPr>
          <w:p w14:paraId="70ED053B"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FEE9D79" w14:textId="77777777" w:rsidR="00000000" w:rsidRDefault="00C1661D">
            <w:pPr>
              <w:spacing w:after="100"/>
              <w:jc w:val="center"/>
              <w:rPr>
                <w:rFonts w:eastAsia="Times New Roman"/>
              </w:rPr>
            </w:pPr>
            <w:r>
              <w:rPr>
                <w:rFonts w:eastAsia="Times New Roman"/>
                <w:color w:val="000000"/>
                <w:sz w:val="20"/>
                <w:szCs w:val="20"/>
              </w:rPr>
              <w:t>58</w:t>
            </w:r>
          </w:p>
        </w:tc>
        <w:tc>
          <w:tcPr>
            <w:tcW w:w="0" w:type="auto"/>
            <w:gridSpan w:val="3"/>
            <w:shd w:val="clear" w:color="auto" w:fill="CCEEFF"/>
            <w:tcMar>
              <w:top w:w="0" w:type="dxa"/>
              <w:left w:w="20" w:type="dxa"/>
              <w:bottom w:w="0" w:type="dxa"/>
              <w:right w:w="20" w:type="dxa"/>
            </w:tcMar>
            <w:vAlign w:val="center"/>
            <w:hideMark/>
          </w:tcPr>
          <w:p w14:paraId="101BFA4F" w14:textId="77777777" w:rsidR="00000000" w:rsidRDefault="00C1661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C5E69E4" w14:textId="77777777" w:rsidR="00000000" w:rsidRDefault="00C1661D">
            <w:pPr>
              <w:spacing w:after="100"/>
              <w:rPr>
                <w:rFonts w:eastAsia="Times New Roman"/>
              </w:rPr>
            </w:pPr>
            <w:r>
              <w:rPr>
                <w:rFonts w:eastAsia="Times New Roman"/>
                <w:color w:val="000000"/>
                <w:sz w:val="20"/>
                <w:szCs w:val="20"/>
              </w:rPr>
              <w:t>President and Chief Executive Officer</w:t>
            </w:r>
          </w:p>
        </w:tc>
      </w:tr>
      <w:tr w:rsidR="00000000" w14:paraId="3FD43D07" w14:textId="77777777">
        <w:trPr>
          <w:jc w:val="center"/>
        </w:trPr>
        <w:tc>
          <w:tcPr>
            <w:tcW w:w="0" w:type="auto"/>
            <w:gridSpan w:val="3"/>
            <w:shd w:val="clear" w:color="auto" w:fill="FFFFFF"/>
            <w:tcMar>
              <w:top w:w="30" w:type="dxa"/>
              <w:left w:w="20" w:type="dxa"/>
              <w:bottom w:w="30" w:type="dxa"/>
              <w:right w:w="20" w:type="dxa"/>
            </w:tcMar>
            <w:vAlign w:val="center"/>
            <w:hideMark/>
          </w:tcPr>
          <w:p w14:paraId="40E0D733" w14:textId="77777777" w:rsidR="00000000" w:rsidRDefault="00C1661D">
            <w:pPr>
              <w:spacing w:after="100"/>
              <w:rPr>
                <w:rFonts w:eastAsia="Times New Roman"/>
              </w:rPr>
            </w:pPr>
            <w:r>
              <w:rPr>
                <w:rFonts w:eastAsia="Times New Roman"/>
                <w:color w:val="000000"/>
                <w:sz w:val="20"/>
                <w:szCs w:val="20"/>
              </w:rPr>
              <w:t>Ted J. Jastrzebski</w:t>
            </w:r>
          </w:p>
        </w:tc>
        <w:tc>
          <w:tcPr>
            <w:tcW w:w="0" w:type="auto"/>
            <w:gridSpan w:val="3"/>
            <w:shd w:val="clear" w:color="auto" w:fill="FFFFFF"/>
            <w:tcMar>
              <w:top w:w="0" w:type="dxa"/>
              <w:left w:w="20" w:type="dxa"/>
              <w:bottom w:w="0" w:type="dxa"/>
              <w:right w:w="20" w:type="dxa"/>
            </w:tcMar>
            <w:vAlign w:val="center"/>
            <w:hideMark/>
          </w:tcPr>
          <w:p w14:paraId="0CAC8597"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18D9EF6" w14:textId="77777777" w:rsidR="00000000" w:rsidRDefault="00C1661D">
            <w:pPr>
              <w:spacing w:after="100"/>
              <w:jc w:val="center"/>
              <w:rPr>
                <w:rFonts w:eastAsia="Times New Roman"/>
              </w:rPr>
            </w:pPr>
            <w:r>
              <w:rPr>
                <w:rFonts w:eastAsia="Times New Roman"/>
                <w:color w:val="000000"/>
                <w:sz w:val="20"/>
                <w:szCs w:val="20"/>
              </w:rPr>
              <w:t>61</w:t>
            </w:r>
          </w:p>
        </w:tc>
        <w:tc>
          <w:tcPr>
            <w:tcW w:w="0" w:type="auto"/>
            <w:gridSpan w:val="3"/>
            <w:shd w:val="clear" w:color="auto" w:fill="FFFFFF"/>
            <w:tcMar>
              <w:top w:w="0" w:type="dxa"/>
              <w:left w:w="20" w:type="dxa"/>
              <w:bottom w:w="0" w:type="dxa"/>
              <w:right w:w="20" w:type="dxa"/>
            </w:tcMar>
            <w:vAlign w:val="center"/>
            <w:hideMark/>
          </w:tcPr>
          <w:p w14:paraId="41182A8B" w14:textId="77777777" w:rsidR="00000000" w:rsidRDefault="00C1661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724F4E8" w14:textId="77777777" w:rsidR="00000000" w:rsidRDefault="00C1661D">
            <w:pPr>
              <w:spacing w:after="100"/>
              <w:rPr>
                <w:rFonts w:eastAsia="Times New Roman"/>
              </w:rPr>
            </w:pPr>
            <w:r>
              <w:rPr>
                <w:rFonts w:eastAsia="Times New Roman"/>
                <w:color w:val="000000"/>
                <w:sz w:val="20"/>
                <w:szCs w:val="20"/>
              </w:rPr>
              <w:t>Chief Financial Officer</w:t>
            </w:r>
          </w:p>
        </w:tc>
      </w:tr>
      <w:tr w:rsidR="00000000" w14:paraId="39E182A4" w14:textId="77777777">
        <w:trPr>
          <w:jc w:val="center"/>
        </w:trPr>
        <w:tc>
          <w:tcPr>
            <w:tcW w:w="0" w:type="auto"/>
            <w:gridSpan w:val="3"/>
            <w:shd w:val="clear" w:color="auto" w:fill="CCEEFF"/>
            <w:tcMar>
              <w:top w:w="30" w:type="dxa"/>
              <w:left w:w="20" w:type="dxa"/>
              <w:bottom w:w="30" w:type="dxa"/>
              <w:right w:w="20" w:type="dxa"/>
            </w:tcMar>
            <w:vAlign w:val="center"/>
            <w:hideMark/>
          </w:tcPr>
          <w:p w14:paraId="4C35F9BA" w14:textId="77777777" w:rsidR="00000000" w:rsidRDefault="00C1661D">
            <w:pPr>
              <w:spacing w:after="100"/>
              <w:rPr>
                <w:rFonts w:eastAsia="Times New Roman"/>
              </w:rPr>
            </w:pPr>
            <w:r>
              <w:rPr>
                <w:rFonts w:eastAsia="Times New Roman"/>
                <w:color w:val="000000"/>
                <w:sz w:val="20"/>
                <w:szCs w:val="20"/>
              </w:rPr>
              <w:t>Robert F. Beard, Jr.</w:t>
            </w:r>
          </w:p>
        </w:tc>
        <w:tc>
          <w:tcPr>
            <w:tcW w:w="0" w:type="auto"/>
            <w:gridSpan w:val="3"/>
            <w:shd w:val="clear" w:color="auto" w:fill="CCEEFF"/>
            <w:tcMar>
              <w:top w:w="0" w:type="dxa"/>
              <w:left w:w="20" w:type="dxa"/>
              <w:bottom w:w="0" w:type="dxa"/>
              <w:right w:w="20" w:type="dxa"/>
            </w:tcMar>
            <w:vAlign w:val="center"/>
            <w:hideMark/>
          </w:tcPr>
          <w:p w14:paraId="4DBA39A6"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7C42706A" w14:textId="77777777" w:rsidR="00000000" w:rsidRDefault="00C1661D">
            <w:pPr>
              <w:spacing w:after="100"/>
              <w:jc w:val="center"/>
              <w:rPr>
                <w:rFonts w:eastAsia="Times New Roman"/>
              </w:rPr>
            </w:pPr>
            <w:r>
              <w:rPr>
                <w:rFonts w:eastAsia="Times New Roman"/>
                <w:color w:val="000000"/>
                <w:sz w:val="20"/>
                <w:szCs w:val="20"/>
              </w:rPr>
              <w:t>57</w:t>
            </w:r>
          </w:p>
        </w:tc>
        <w:tc>
          <w:tcPr>
            <w:tcW w:w="0" w:type="auto"/>
            <w:gridSpan w:val="3"/>
            <w:shd w:val="clear" w:color="auto" w:fill="CCEEFF"/>
            <w:tcMar>
              <w:top w:w="0" w:type="dxa"/>
              <w:left w:w="20" w:type="dxa"/>
              <w:bottom w:w="0" w:type="dxa"/>
              <w:right w:w="20" w:type="dxa"/>
            </w:tcMar>
            <w:vAlign w:val="center"/>
            <w:hideMark/>
          </w:tcPr>
          <w:p w14:paraId="1BDF8DEB" w14:textId="77777777" w:rsidR="00000000" w:rsidRDefault="00C1661D">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6A542A23" w14:textId="77777777" w:rsidR="00000000" w:rsidRDefault="00C1661D">
            <w:pPr>
              <w:spacing w:after="100"/>
              <w:divId w:val="349528231"/>
              <w:rPr>
                <w:rFonts w:eastAsia="Times New Roman"/>
              </w:rPr>
            </w:pPr>
            <w:r>
              <w:rPr>
                <w:rFonts w:eastAsia="Times New Roman"/>
                <w:color w:val="000000"/>
                <w:sz w:val="20"/>
                <w:szCs w:val="20"/>
              </w:rPr>
              <w:t xml:space="preserve">Executive Vice President, Natural Gas, Global Engineering &amp; </w:t>
            </w:r>
            <w:r>
              <w:rPr>
                <w:rFonts w:eastAsia="Times New Roman"/>
                <w:color w:val="000000"/>
                <w:sz w:val="20"/>
                <w:szCs w:val="20"/>
              </w:rPr>
              <w:t>Construction and Procurement; Chief Executive Officer, UGI Utilities, Inc.; Chief Executive Officer, Mountaineer Gas Company</w:t>
            </w:r>
          </w:p>
        </w:tc>
      </w:tr>
      <w:tr w:rsidR="00000000" w14:paraId="46D23CA3" w14:textId="77777777">
        <w:trPr>
          <w:jc w:val="center"/>
        </w:trPr>
        <w:tc>
          <w:tcPr>
            <w:tcW w:w="0" w:type="auto"/>
            <w:gridSpan w:val="3"/>
            <w:shd w:val="clear" w:color="auto" w:fill="FFFFFF"/>
            <w:tcMar>
              <w:top w:w="30" w:type="dxa"/>
              <w:left w:w="20" w:type="dxa"/>
              <w:bottom w:w="30" w:type="dxa"/>
              <w:right w:w="20" w:type="dxa"/>
            </w:tcMar>
            <w:vAlign w:val="center"/>
            <w:hideMark/>
          </w:tcPr>
          <w:p w14:paraId="1B5DA612" w14:textId="77777777" w:rsidR="00000000" w:rsidRDefault="00C1661D">
            <w:pPr>
              <w:spacing w:after="100"/>
              <w:rPr>
                <w:rFonts w:eastAsia="Times New Roman"/>
              </w:rPr>
            </w:pPr>
            <w:r>
              <w:rPr>
                <w:rFonts w:eastAsia="Times New Roman"/>
                <w:color w:val="000000"/>
                <w:sz w:val="20"/>
                <w:szCs w:val="20"/>
              </w:rPr>
              <w:t>Monica M. Gaudiosi</w:t>
            </w:r>
          </w:p>
        </w:tc>
        <w:tc>
          <w:tcPr>
            <w:tcW w:w="0" w:type="auto"/>
            <w:gridSpan w:val="3"/>
            <w:shd w:val="clear" w:color="auto" w:fill="FFFFFF"/>
            <w:tcMar>
              <w:top w:w="0" w:type="dxa"/>
              <w:left w:w="20" w:type="dxa"/>
              <w:bottom w:w="0" w:type="dxa"/>
              <w:right w:w="20" w:type="dxa"/>
            </w:tcMar>
            <w:vAlign w:val="center"/>
            <w:hideMark/>
          </w:tcPr>
          <w:p w14:paraId="72B8C7DE"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35D88CDB" w14:textId="77777777" w:rsidR="00000000" w:rsidRDefault="00C1661D">
            <w:pPr>
              <w:spacing w:after="100"/>
              <w:jc w:val="center"/>
              <w:rPr>
                <w:rFonts w:eastAsia="Times New Roman"/>
              </w:rPr>
            </w:pPr>
            <w:r>
              <w:rPr>
                <w:rFonts w:eastAsia="Times New Roman"/>
                <w:color w:val="000000"/>
                <w:sz w:val="20"/>
                <w:szCs w:val="20"/>
              </w:rPr>
              <w:t>59</w:t>
            </w:r>
          </w:p>
        </w:tc>
        <w:tc>
          <w:tcPr>
            <w:tcW w:w="0" w:type="auto"/>
            <w:gridSpan w:val="3"/>
            <w:shd w:val="clear" w:color="auto" w:fill="FFFFFF"/>
            <w:tcMar>
              <w:top w:w="0" w:type="dxa"/>
              <w:left w:w="20" w:type="dxa"/>
              <w:bottom w:w="0" w:type="dxa"/>
              <w:right w:w="20" w:type="dxa"/>
            </w:tcMar>
            <w:vAlign w:val="center"/>
            <w:hideMark/>
          </w:tcPr>
          <w:p w14:paraId="4FA0751D" w14:textId="77777777" w:rsidR="00000000" w:rsidRDefault="00C1661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9B9C548" w14:textId="77777777" w:rsidR="00000000" w:rsidRDefault="00C1661D">
            <w:pPr>
              <w:spacing w:after="100"/>
              <w:rPr>
                <w:rFonts w:eastAsia="Times New Roman"/>
              </w:rPr>
            </w:pPr>
            <w:r>
              <w:rPr>
                <w:rFonts w:eastAsia="Times New Roman"/>
                <w:color w:val="000000"/>
                <w:sz w:val="20"/>
                <w:szCs w:val="20"/>
              </w:rPr>
              <w:t>Vice President, General Counsel and Secretary</w:t>
            </w:r>
          </w:p>
        </w:tc>
      </w:tr>
      <w:tr w:rsidR="00000000" w14:paraId="2828F4E8" w14:textId="77777777">
        <w:trPr>
          <w:jc w:val="center"/>
        </w:trPr>
        <w:tc>
          <w:tcPr>
            <w:tcW w:w="0" w:type="auto"/>
            <w:gridSpan w:val="3"/>
            <w:shd w:val="clear" w:color="auto" w:fill="CCEEFF"/>
            <w:tcMar>
              <w:top w:w="30" w:type="dxa"/>
              <w:left w:w="20" w:type="dxa"/>
              <w:bottom w:w="30" w:type="dxa"/>
              <w:right w:w="20" w:type="dxa"/>
            </w:tcMar>
            <w:vAlign w:val="center"/>
            <w:hideMark/>
          </w:tcPr>
          <w:p w14:paraId="0A6D1F1F" w14:textId="77777777" w:rsidR="00000000" w:rsidRDefault="00C1661D">
            <w:pPr>
              <w:spacing w:after="100"/>
              <w:rPr>
                <w:rFonts w:eastAsia="Times New Roman"/>
              </w:rPr>
            </w:pPr>
            <w:r>
              <w:rPr>
                <w:rFonts w:eastAsia="Times New Roman"/>
                <w:color w:val="000000"/>
                <w:sz w:val="20"/>
                <w:szCs w:val="20"/>
              </w:rPr>
              <w:t>John Koerwer</w:t>
            </w:r>
          </w:p>
        </w:tc>
        <w:tc>
          <w:tcPr>
            <w:tcW w:w="0" w:type="auto"/>
            <w:gridSpan w:val="3"/>
            <w:shd w:val="clear" w:color="auto" w:fill="CCEEFF"/>
            <w:tcMar>
              <w:top w:w="0" w:type="dxa"/>
              <w:left w:w="20" w:type="dxa"/>
              <w:bottom w:w="0" w:type="dxa"/>
              <w:right w:w="20" w:type="dxa"/>
            </w:tcMar>
            <w:vAlign w:val="center"/>
            <w:hideMark/>
          </w:tcPr>
          <w:p w14:paraId="174F9CF0"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64447143" w14:textId="77777777" w:rsidR="00000000" w:rsidRDefault="00C1661D">
            <w:pPr>
              <w:spacing w:after="100"/>
              <w:jc w:val="center"/>
              <w:rPr>
                <w:rFonts w:eastAsia="Times New Roman"/>
              </w:rPr>
            </w:pPr>
            <w:r>
              <w:rPr>
                <w:rFonts w:eastAsia="Times New Roman"/>
                <w:color w:val="000000"/>
                <w:sz w:val="20"/>
                <w:szCs w:val="20"/>
              </w:rPr>
              <w:t>62</w:t>
            </w:r>
          </w:p>
        </w:tc>
        <w:tc>
          <w:tcPr>
            <w:tcW w:w="0" w:type="auto"/>
            <w:gridSpan w:val="3"/>
            <w:shd w:val="clear" w:color="auto" w:fill="CCEEFF"/>
            <w:tcMar>
              <w:top w:w="0" w:type="dxa"/>
              <w:left w:w="20" w:type="dxa"/>
              <w:bottom w:w="0" w:type="dxa"/>
              <w:right w:w="20" w:type="dxa"/>
            </w:tcMar>
            <w:vAlign w:val="center"/>
            <w:hideMark/>
          </w:tcPr>
          <w:p w14:paraId="30B9FB85" w14:textId="77777777" w:rsidR="00000000" w:rsidRDefault="00C1661D">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69F2F189" w14:textId="77777777" w:rsidR="00000000" w:rsidRDefault="00C1661D">
            <w:pPr>
              <w:spacing w:after="100"/>
              <w:rPr>
                <w:rFonts w:eastAsia="Times New Roman"/>
              </w:rPr>
            </w:pPr>
            <w:r>
              <w:rPr>
                <w:rFonts w:eastAsia="Times New Roman"/>
                <w:color w:val="000000"/>
                <w:sz w:val="20"/>
                <w:szCs w:val="20"/>
              </w:rPr>
              <w:t>Chief Information Officer</w:t>
            </w:r>
          </w:p>
        </w:tc>
      </w:tr>
      <w:tr w:rsidR="00000000" w14:paraId="038C2275" w14:textId="77777777">
        <w:trPr>
          <w:jc w:val="center"/>
        </w:trPr>
        <w:tc>
          <w:tcPr>
            <w:tcW w:w="0" w:type="auto"/>
            <w:gridSpan w:val="3"/>
            <w:shd w:val="clear" w:color="auto" w:fill="FFFFFF"/>
            <w:tcMar>
              <w:top w:w="30" w:type="dxa"/>
              <w:left w:w="20" w:type="dxa"/>
              <w:bottom w:w="30" w:type="dxa"/>
              <w:right w:w="20" w:type="dxa"/>
            </w:tcMar>
            <w:vAlign w:val="center"/>
            <w:hideMark/>
          </w:tcPr>
          <w:p w14:paraId="46481D7B" w14:textId="77777777" w:rsidR="00000000" w:rsidRDefault="00C1661D">
            <w:pPr>
              <w:spacing w:after="100"/>
              <w:rPr>
                <w:rFonts w:eastAsia="Times New Roman"/>
              </w:rPr>
            </w:pPr>
            <w:r>
              <w:rPr>
                <w:rFonts w:eastAsia="Times New Roman"/>
                <w:color w:val="000000"/>
                <w:sz w:val="20"/>
                <w:szCs w:val="20"/>
              </w:rPr>
              <w:t>Jean Felix Tematio Dontsop</w:t>
            </w:r>
          </w:p>
        </w:tc>
        <w:tc>
          <w:tcPr>
            <w:tcW w:w="0" w:type="auto"/>
            <w:gridSpan w:val="3"/>
            <w:shd w:val="clear" w:color="auto" w:fill="FFFFFF"/>
            <w:tcMar>
              <w:top w:w="0" w:type="dxa"/>
              <w:left w:w="20" w:type="dxa"/>
              <w:bottom w:w="0" w:type="dxa"/>
              <w:right w:w="20" w:type="dxa"/>
            </w:tcMar>
            <w:vAlign w:val="center"/>
            <w:hideMark/>
          </w:tcPr>
          <w:p w14:paraId="579FD02C"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90215AE" w14:textId="77777777" w:rsidR="00000000" w:rsidRDefault="00C1661D">
            <w:pPr>
              <w:spacing w:after="100"/>
              <w:jc w:val="center"/>
              <w:rPr>
                <w:rFonts w:eastAsia="Times New Roman"/>
              </w:rPr>
            </w:pPr>
            <w:r>
              <w:rPr>
                <w:rFonts w:eastAsia="Times New Roman"/>
                <w:color w:val="000000"/>
                <w:sz w:val="20"/>
                <w:szCs w:val="20"/>
              </w:rPr>
              <w:t>46</w:t>
            </w:r>
          </w:p>
        </w:tc>
        <w:tc>
          <w:tcPr>
            <w:tcW w:w="0" w:type="auto"/>
            <w:gridSpan w:val="3"/>
            <w:shd w:val="clear" w:color="auto" w:fill="FFFFFF"/>
            <w:tcMar>
              <w:top w:w="0" w:type="dxa"/>
              <w:left w:w="20" w:type="dxa"/>
              <w:bottom w:w="0" w:type="dxa"/>
              <w:right w:w="20" w:type="dxa"/>
            </w:tcMar>
            <w:vAlign w:val="center"/>
            <w:hideMark/>
          </w:tcPr>
          <w:p w14:paraId="50068B0D" w14:textId="77777777" w:rsidR="00000000" w:rsidRDefault="00C1661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6115F92" w14:textId="77777777" w:rsidR="00000000" w:rsidRDefault="00C1661D">
            <w:pPr>
              <w:spacing w:after="100"/>
              <w:rPr>
                <w:rFonts w:eastAsia="Times New Roman"/>
              </w:rPr>
            </w:pPr>
            <w:r>
              <w:rPr>
                <w:rFonts w:eastAsia="Times New Roman"/>
                <w:color w:val="000000"/>
                <w:sz w:val="20"/>
                <w:szCs w:val="20"/>
              </w:rPr>
              <w:t>Vice President - Chief Accounting Officer and Corporate Controller</w:t>
            </w:r>
          </w:p>
        </w:tc>
      </w:tr>
      <w:tr w:rsidR="00000000" w14:paraId="71062AAF" w14:textId="77777777">
        <w:trPr>
          <w:jc w:val="center"/>
        </w:trPr>
        <w:tc>
          <w:tcPr>
            <w:tcW w:w="0" w:type="auto"/>
            <w:gridSpan w:val="3"/>
            <w:shd w:val="clear" w:color="auto" w:fill="CCEEFF"/>
            <w:tcMar>
              <w:top w:w="30" w:type="dxa"/>
              <w:left w:w="20" w:type="dxa"/>
              <w:bottom w:w="30" w:type="dxa"/>
              <w:right w:w="20" w:type="dxa"/>
            </w:tcMar>
            <w:vAlign w:val="center"/>
            <w:hideMark/>
          </w:tcPr>
          <w:p w14:paraId="3212A1BF" w14:textId="77777777" w:rsidR="00000000" w:rsidRDefault="00C1661D">
            <w:pPr>
              <w:spacing w:after="100"/>
              <w:rPr>
                <w:rFonts w:eastAsia="Times New Roman"/>
              </w:rPr>
            </w:pPr>
            <w:r>
              <w:rPr>
                <w:rFonts w:eastAsia="Times New Roman"/>
                <w:color w:val="000000"/>
                <w:sz w:val="20"/>
                <w:szCs w:val="20"/>
              </w:rPr>
              <w:t>Judy A. Zagorski</w:t>
            </w:r>
          </w:p>
        </w:tc>
        <w:tc>
          <w:tcPr>
            <w:tcW w:w="0" w:type="auto"/>
            <w:gridSpan w:val="3"/>
            <w:shd w:val="clear" w:color="auto" w:fill="CCEEFF"/>
            <w:tcMar>
              <w:top w:w="0" w:type="dxa"/>
              <w:left w:w="20" w:type="dxa"/>
              <w:bottom w:w="0" w:type="dxa"/>
              <w:right w:w="20" w:type="dxa"/>
            </w:tcMar>
            <w:vAlign w:val="center"/>
            <w:hideMark/>
          </w:tcPr>
          <w:p w14:paraId="0FD3DB8E"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4D9A8EC8" w14:textId="77777777" w:rsidR="00000000" w:rsidRDefault="00C1661D">
            <w:pPr>
              <w:spacing w:after="100"/>
              <w:jc w:val="center"/>
              <w:rPr>
                <w:rFonts w:eastAsia="Times New Roman"/>
              </w:rPr>
            </w:pPr>
            <w:r>
              <w:rPr>
                <w:rFonts w:eastAsia="Times New Roman"/>
                <w:color w:val="000000"/>
                <w:sz w:val="20"/>
                <w:szCs w:val="20"/>
              </w:rPr>
              <w:t>59</w:t>
            </w:r>
          </w:p>
        </w:tc>
        <w:tc>
          <w:tcPr>
            <w:tcW w:w="0" w:type="auto"/>
            <w:gridSpan w:val="3"/>
            <w:shd w:val="clear" w:color="auto" w:fill="CCEEFF"/>
            <w:tcMar>
              <w:top w:w="0" w:type="dxa"/>
              <w:left w:w="20" w:type="dxa"/>
              <w:bottom w:w="0" w:type="dxa"/>
              <w:right w:w="20" w:type="dxa"/>
            </w:tcMar>
            <w:vAlign w:val="center"/>
            <w:hideMark/>
          </w:tcPr>
          <w:p w14:paraId="3D647156" w14:textId="77777777" w:rsidR="00000000" w:rsidRDefault="00C1661D">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515CD28C" w14:textId="77777777" w:rsidR="00000000" w:rsidRDefault="00C1661D">
            <w:pPr>
              <w:spacing w:after="100"/>
              <w:rPr>
                <w:rFonts w:eastAsia="Times New Roman"/>
              </w:rPr>
            </w:pPr>
            <w:r>
              <w:rPr>
                <w:rFonts w:eastAsia="Times New Roman"/>
                <w:color w:val="000000"/>
                <w:sz w:val="20"/>
                <w:szCs w:val="20"/>
              </w:rPr>
              <w:t>Chief Human Resources Officer</w:t>
            </w:r>
          </w:p>
        </w:tc>
      </w:tr>
    </w:tbl>
    <w:p w14:paraId="14A07603" w14:textId="77777777" w:rsidR="00000000" w:rsidRDefault="00C1661D">
      <w:pPr>
        <w:divId w:val="58944068"/>
        <w:rPr>
          <w:rFonts w:eastAsia="Times New Roman"/>
        </w:rPr>
      </w:pPr>
    </w:p>
    <w:p w14:paraId="6ADBFD12" w14:textId="77777777" w:rsidR="00000000" w:rsidRDefault="00C1661D">
      <w:pPr>
        <w:divId w:val="1783185895"/>
        <w:rPr>
          <w:rFonts w:eastAsia="Times New Roman"/>
        </w:rPr>
      </w:pPr>
      <w:r>
        <w:rPr>
          <w:rFonts w:eastAsia="Times New Roman"/>
          <w:color w:val="000000"/>
          <w:sz w:val="20"/>
          <w:szCs w:val="20"/>
        </w:rPr>
        <w:t xml:space="preserve">All officers are elected for a one-year term at the organizational meeting of the Board of Directors held each year. </w:t>
      </w:r>
    </w:p>
    <w:p w14:paraId="14888D48" w14:textId="77777777" w:rsidR="00000000" w:rsidRDefault="00C1661D">
      <w:pPr>
        <w:divId w:val="1579746811"/>
        <w:rPr>
          <w:rFonts w:eastAsia="Times New Roman"/>
        </w:rPr>
      </w:pPr>
    </w:p>
    <w:p w14:paraId="55A0D2CE" w14:textId="77777777" w:rsidR="00000000" w:rsidRDefault="00C1661D">
      <w:pPr>
        <w:divId w:val="1745301899"/>
        <w:rPr>
          <w:rFonts w:eastAsia="Times New Roman"/>
        </w:rPr>
      </w:pPr>
      <w:r>
        <w:rPr>
          <w:rFonts w:eastAsia="Times New Roman"/>
          <w:color w:val="000000"/>
          <w:sz w:val="20"/>
          <w:szCs w:val="20"/>
        </w:rPr>
        <w:t>There are no family relationships between any of the officers or between any of the officers and any of the directors.</w:t>
      </w:r>
    </w:p>
    <w:p w14:paraId="15C405E6" w14:textId="77777777" w:rsidR="00000000" w:rsidRDefault="00C1661D">
      <w:pPr>
        <w:divId w:val="666325512"/>
        <w:rPr>
          <w:rFonts w:eastAsia="Times New Roman"/>
        </w:rPr>
      </w:pPr>
    </w:p>
    <w:p w14:paraId="1C2312F6" w14:textId="77777777" w:rsidR="00000000" w:rsidRDefault="00C1661D">
      <w:pPr>
        <w:jc w:val="center"/>
        <w:divId w:val="275600590"/>
        <w:rPr>
          <w:rFonts w:eastAsia="Times New Roman"/>
        </w:rPr>
      </w:pPr>
      <w:r>
        <w:rPr>
          <w:rFonts w:eastAsia="Times New Roman"/>
          <w:color w:val="000000"/>
          <w:sz w:val="20"/>
          <w:szCs w:val="20"/>
        </w:rPr>
        <w:t>71</w:t>
      </w:r>
    </w:p>
    <w:p w14:paraId="089B2902" w14:textId="77777777" w:rsidR="00000000" w:rsidRDefault="00C1661D">
      <w:pPr>
        <w:rPr>
          <w:rFonts w:eastAsia="Times New Roman"/>
        </w:rPr>
      </w:pPr>
      <w:r>
        <w:rPr>
          <w:rFonts w:eastAsia="Times New Roman"/>
        </w:rPr>
        <w:pict w14:anchorId="37032C77">
          <v:rect id="_x0000_i1098" style="width:0;height:1.5pt" o:hralign="center" o:hrstd="t" o:hr="t" fillcolor="#a0a0a0" stroked="f"/>
        </w:pict>
      </w:r>
    </w:p>
    <w:p w14:paraId="4380E9B3" w14:textId="77777777" w:rsidR="00000000" w:rsidRDefault="00C1661D">
      <w:pPr>
        <w:divId w:val="1885020177"/>
        <w:rPr>
          <w:rFonts w:eastAsia="Times New Roman"/>
        </w:rPr>
      </w:pPr>
      <w:hyperlink w:anchor="i3850c3c6c0104e42b9951aac2f16098a_7" w:history="1">
        <w:r>
          <w:rPr>
            <w:rStyle w:val="a3"/>
            <w:rFonts w:eastAsia="Times New Roman"/>
            <w:b/>
            <w:bCs/>
            <w:sz w:val="20"/>
            <w:szCs w:val="20"/>
          </w:rPr>
          <w:t>Table of Contents</w:t>
        </w:r>
      </w:hyperlink>
    </w:p>
    <w:p w14:paraId="439245CE" w14:textId="77777777" w:rsidR="00000000" w:rsidRDefault="00C1661D">
      <w:pPr>
        <w:jc w:val="both"/>
        <w:rPr>
          <w:rFonts w:eastAsia="Times New Roman"/>
        </w:rPr>
      </w:pPr>
      <w:r>
        <w:rPr>
          <w:rFonts w:eastAsia="Times New Roman"/>
          <w:color w:val="000000"/>
          <w:sz w:val="20"/>
          <w:szCs w:val="20"/>
          <w:u w:val="single"/>
        </w:rPr>
        <w:t>Roger Perreault</w:t>
      </w:r>
    </w:p>
    <w:p w14:paraId="5D8CB824" w14:textId="77777777" w:rsidR="00000000" w:rsidRDefault="00C1661D">
      <w:pPr>
        <w:jc w:val="both"/>
        <w:rPr>
          <w:rFonts w:eastAsia="Times New Roman"/>
        </w:rPr>
      </w:pPr>
    </w:p>
    <w:p w14:paraId="7A8121C7" w14:textId="77777777" w:rsidR="00000000" w:rsidRDefault="00C1661D">
      <w:pPr>
        <w:jc w:val="both"/>
        <w:rPr>
          <w:rFonts w:eastAsia="Times New Roman"/>
        </w:rPr>
      </w:pPr>
      <w:r>
        <w:rPr>
          <w:rFonts w:eastAsia="Times New Roman"/>
          <w:color w:val="000000"/>
          <w:sz w:val="20"/>
          <w:szCs w:val="20"/>
        </w:rPr>
        <w:t>Mr. Perreault is a Director and President and Chief Executive Officer of UGI Corporation (since June 2021). Mr. Perreault previously serve</w:t>
      </w:r>
      <w:r>
        <w:rPr>
          <w:rFonts w:eastAsia="Times New Roman"/>
          <w:color w:val="000000"/>
          <w:sz w:val="20"/>
          <w:szCs w:val="20"/>
        </w:rPr>
        <w:t>d as Executive Vice President, Global LPG (2018 to 2021) and President - UGI International, LLC (from 2015 to 2021). Prior to joining UGI Corporation, Mr. Perreault held various positions at Air Liquide, an industrial gases company he joined in 1994, and s</w:t>
      </w:r>
      <w:r>
        <w:rPr>
          <w:rFonts w:eastAsia="Times New Roman"/>
          <w:color w:val="000000"/>
          <w:sz w:val="20"/>
          <w:szCs w:val="20"/>
        </w:rPr>
        <w:t>erved in various leadership positions from 2008 to 2014, including in a global role as President, Large Industries with international responsibilities and, prior to that, in a role with responsibility for Air Liquide’s North American large industries busin</w:t>
      </w:r>
      <w:r>
        <w:rPr>
          <w:rFonts w:eastAsia="Times New Roman"/>
          <w:color w:val="000000"/>
          <w:sz w:val="20"/>
          <w:szCs w:val="20"/>
        </w:rPr>
        <w:t xml:space="preserve">ess. Prior to joining Air Liquide, Mr. Perreault was a chemical engineer and operations manager with I.C.I. in Quebec, Canada. </w:t>
      </w:r>
    </w:p>
    <w:p w14:paraId="46F9D44A" w14:textId="77777777" w:rsidR="00000000" w:rsidRDefault="00C1661D">
      <w:pPr>
        <w:jc w:val="both"/>
        <w:rPr>
          <w:rFonts w:eastAsia="Times New Roman"/>
        </w:rPr>
      </w:pPr>
    </w:p>
    <w:p w14:paraId="7952049A" w14:textId="77777777" w:rsidR="00000000" w:rsidRDefault="00C1661D">
      <w:pPr>
        <w:jc w:val="both"/>
        <w:rPr>
          <w:rFonts w:eastAsia="Times New Roman"/>
        </w:rPr>
      </w:pPr>
      <w:r>
        <w:rPr>
          <w:rFonts w:eastAsia="Times New Roman"/>
          <w:color w:val="000000"/>
          <w:sz w:val="20"/>
          <w:szCs w:val="20"/>
          <w:u w:val="single"/>
        </w:rPr>
        <w:t>Ted J. Jastrzebski</w:t>
      </w:r>
    </w:p>
    <w:p w14:paraId="5A879376" w14:textId="77777777" w:rsidR="00000000" w:rsidRDefault="00C1661D">
      <w:pPr>
        <w:jc w:val="both"/>
        <w:rPr>
          <w:rFonts w:eastAsia="Times New Roman"/>
        </w:rPr>
      </w:pPr>
    </w:p>
    <w:p w14:paraId="1E30F81A" w14:textId="77777777" w:rsidR="00000000" w:rsidRDefault="00C1661D">
      <w:pPr>
        <w:jc w:val="both"/>
        <w:rPr>
          <w:rFonts w:eastAsia="Times New Roman"/>
        </w:rPr>
      </w:pPr>
      <w:r>
        <w:rPr>
          <w:rFonts w:eastAsia="Times New Roman"/>
          <w:color w:val="000000"/>
          <w:sz w:val="20"/>
          <w:szCs w:val="20"/>
        </w:rPr>
        <w:t xml:space="preserve">Mr. Jastrzebski is Chief Financial Officer of UGI Corporation (since 2018). Mr. Jastrzebski previously served as Principal Financial Officer of AmeriGas Propane, Inc. (2018 to 2019). From 2013 until 2018, Mr. Jastrzebski served as Executive Vice President </w:t>
      </w:r>
      <w:r>
        <w:rPr>
          <w:rFonts w:eastAsia="Times New Roman"/>
          <w:color w:val="000000"/>
          <w:sz w:val="20"/>
          <w:szCs w:val="20"/>
        </w:rPr>
        <w:t>and Chief Financial Officer of Qurate Retail Group, which is comprised of QVC, HSN, Cornerstone Brands, and Zulily. Previously, Mr. Jastrzebski held various positions at The Hershey Company, including Senior Vice President and President, Hershey Americas (</w:t>
      </w:r>
      <w:r>
        <w:rPr>
          <w:rFonts w:eastAsia="Times New Roman"/>
          <w:color w:val="000000"/>
          <w:sz w:val="20"/>
          <w:szCs w:val="20"/>
        </w:rPr>
        <w:t>2011 to 2013), Senior Vice President and President, Hershey International (2007 to 2010) and Vice President, Finance, Hershey International (2004 to 2007). Mr. Jastrzebski also served as Senior Vice President, Finance, IT and Administration and Chief Finan</w:t>
      </w:r>
      <w:r>
        <w:rPr>
          <w:rFonts w:eastAsia="Times New Roman"/>
          <w:color w:val="000000"/>
          <w:sz w:val="20"/>
          <w:szCs w:val="20"/>
        </w:rPr>
        <w:t>cial Officer of CARE (2002 to 2004) and as Vice President and Chief Financial Officer of Project Hope (1999 to 2002).</w:t>
      </w:r>
    </w:p>
    <w:p w14:paraId="57AAB5F1" w14:textId="77777777" w:rsidR="00000000" w:rsidRDefault="00C1661D">
      <w:pPr>
        <w:jc w:val="both"/>
        <w:rPr>
          <w:rFonts w:eastAsia="Times New Roman"/>
        </w:rPr>
      </w:pPr>
    </w:p>
    <w:p w14:paraId="4B12B6BE" w14:textId="77777777" w:rsidR="00000000" w:rsidRDefault="00C1661D">
      <w:pPr>
        <w:jc w:val="both"/>
        <w:rPr>
          <w:rFonts w:eastAsia="Times New Roman"/>
        </w:rPr>
      </w:pPr>
      <w:r>
        <w:rPr>
          <w:rFonts w:eastAsia="Times New Roman"/>
          <w:color w:val="000000"/>
          <w:sz w:val="20"/>
          <w:szCs w:val="20"/>
          <w:u w:val="single"/>
        </w:rPr>
        <w:t>Robert F. Beard, Jr.</w:t>
      </w:r>
      <w:r>
        <w:rPr>
          <w:rFonts w:eastAsia="Times New Roman"/>
          <w:color w:val="000000"/>
          <w:sz w:val="20"/>
          <w:szCs w:val="20"/>
        </w:rPr>
        <w:t xml:space="preserve"> </w:t>
      </w:r>
    </w:p>
    <w:p w14:paraId="27F968D9" w14:textId="77777777" w:rsidR="00000000" w:rsidRDefault="00C1661D">
      <w:pPr>
        <w:jc w:val="both"/>
        <w:rPr>
          <w:rFonts w:eastAsia="Times New Roman"/>
        </w:rPr>
      </w:pPr>
    </w:p>
    <w:p w14:paraId="26380DCC" w14:textId="77777777" w:rsidR="00000000" w:rsidRDefault="00C1661D">
      <w:pPr>
        <w:jc w:val="both"/>
        <w:rPr>
          <w:rFonts w:eastAsia="Times New Roman"/>
        </w:rPr>
      </w:pPr>
      <w:r>
        <w:rPr>
          <w:rFonts w:eastAsia="Times New Roman"/>
          <w:color w:val="000000"/>
          <w:sz w:val="20"/>
          <w:szCs w:val="20"/>
        </w:rPr>
        <w:t>Mr. Beard is Executive Vice President, Natural Gas, Global Engineering &amp; Construction and Procurement of UGI Cor</w:t>
      </w:r>
      <w:r>
        <w:rPr>
          <w:rFonts w:eastAsia="Times New Roman"/>
          <w:color w:val="000000"/>
          <w:sz w:val="20"/>
          <w:szCs w:val="20"/>
        </w:rPr>
        <w:t>poration (since 2021), Chief Executive Officer of UGI Utilities, Inc. (since 2011) and Chief Executive Officer of Mountaineer Gas Company (Since 2021). He held the title of Executive Vice President, Natural Gas of UGI Corporation (2018 to 2021) and previou</w:t>
      </w:r>
      <w:r>
        <w:rPr>
          <w:rFonts w:eastAsia="Times New Roman"/>
          <w:color w:val="000000"/>
          <w:sz w:val="20"/>
          <w:szCs w:val="20"/>
        </w:rPr>
        <w:t>sly served as President (2011 to September 2020), Vice President - Marketing, Rates and Gas Supply (2010 to 2011) and Vice President - Southern Region (2008 to 2010) of UGI Utilities, Inc. From 2006 until 2008, Mr. Beard served as Vice President - Operatio</w:t>
      </w:r>
      <w:r>
        <w:rPr>
          <w:rFonts w:eastAsia="Times New Roman"/>
          <w:color w:val="000000"/>
          <w:sz w:val="20"/>
          <w:szCs w:val="20"/>
        </w:rPr>
        <w:t xml:space="preserve">ns and Engineering of PPL Gas Utilities Corporation and, from 2002 until 2006, he served as Director - Operations and Engineering of PPL Gas Utilities Corporation. </w:t>
      </w:r>
    </w:p>
    <w:p w14:paraId="4F761117" w14:textId="77777777" w:rsidR="00000000" w:rsidRDefault="00C1661D">
      <w:pPr>
        <w:jc w:val="both"/>
        <w:rPr>
          <w:rFonts w:eastAsia="Times New Roman"/>
        </w:rPr>
      </w:pPr>
    </w:p>
    <w:p w14:paraId="7F7A9238" w14:textId="77777777" w:rsidR="00000000" w:rsidRDefault="00C1661D">
      <w:pPr>
        <w:jc w:val="both"/>
        <w:rPr>
          <w:rFonts w:eastAsia="Times New Roman"/>
        </w:rPr>
      </w:pPr>
      <w:r>
        <w:rPr>
          <w:rFonts w:eastAsia="Times New Roman"/>
          <w:color w:val="000000"/>
          <w:sz w:val="20"/>
          <w:szCs w:val="20"/>
          <w:u w:val="single"/>
        </w:rPr>
        <w:t>Monica M. Gaudiosi</w:t>
      </w:r>
    </w:p>
    <w:p w14:paraId="1C4859A5" w14:textId="77777777" w:rsidR="00000000" w:rsidRDefault="00C1661D">
      <w:pPr>
        <w:jc w:val="both"/>
        <w:rPr>
          <w:rFonts w:eastAsia="Times New Roman"/>
        </w:rPr>
      </w:pPr>
    </w:p>
    <w:p w14:paraId="1EA3C69E" w14:textId="77777777" w:rsidR="00000000" w:rsidRDefault="00C1661D">
      <w:pPr>
        <w:jc w:val="both"/>
        <w:rPr>
          <w:rFonts w:eastAsia="Times New Roman"/>
        </w:rPr>
      </w:pPr>
      <w:r>
        <w:rPr>
          <w:rFonts w:eastAsia="Times New Roman"/>
          <w:color w:val="000000"/>
          <w:sz w:val="20"/>
          <w:szCs w:val="20"/>
        </w:rPr>
        <w:t>Ms. Gaudiosi is the Vice President, General Counsel and Secretary of</w:t>
      </w:r>
      <w:r>
        <w:rPr>
          <w:rFonts w:eastAsia="Times New Roman"/>
          <w:color w:val="000000"/>
          <w:sz w:val="20"/>
          <w:szCs w:val="20"/>
        </w:rPr>
        <w:t xml:space="preserve"> UGI Corporation (since 2012). Prior to joining UGI Corporation, Ms. Gaudiosi served as Senior Vice President and General Counsel (2007 to 2012) and Senior Vice President and Associate General Counsel (2005 to 2007) of Southern Union Company. Prior to join</w:t>
      </w:r>
      <w:r>
        <w:rPr>
          <w:rFonts w:eastAsia="Times New Roman"/>
          <w:color w:val="000000"/>
          <w:sz w:val="20"/>
          <w:szCs w:val="20"/>
        </w:rPr>
        <w:t>ing Southern Union Company in 2005, Ms. Gaudiosi held various positions with General Electric Capital Corporation (1997 to 2005). Before joining General Electric Capital Corporation, Ms. Gaudiosi was an associate at the law firms of Hunton &amp; Williams (1994</w:t>
      </w:r>
      <w:r>
        <w:rPr>
          <w:rFonts w:eastAsia="Times New Roman"/>
          <w:color w:val="000000"/>
          <w:sz w:val="20"/>
          <w:szCs w:val="20"/>
        </w:rPr>
        <w:t xml:space="preserve"> to 1997) and Sutherland, Asbill &amp; Brennan (1988 to 1994).</w:t>
      </w:r>
    </w:p>
    <w:p w14:paraId="0C074D4E" w14:textId="77777777" w:rsidR="00000000" w:rsidRDefault="00C1661D">
      <w:pPr>
        <w:jc w:val="both"/>
        <w:rPr>
          <w:rFonts w:eastAsia="Times New Roman"/>
        </w:rPr>
      </w:pPr>
    </w:p>
    <w:p w14:paraId="0F2D5BC4" w14:textId="77777777" w:rsidR="00000000" w:rsidRDefault="00C1661D">
      <w:pPr>
        <w:jc w:val="both"/>
        <w:rPr>
          <w:rFonts w:eastAsia="Times New Roman"/>
        </w:rPr>
      </w:pPr>
      <w:r>
        <w:rPr>
          <w:rFonts w:eastAsia="Times New Roman"/>
          <w:color w:val="000000"/>
          <w:sz w:val="20"/>
          <w:szCs w:val="20"/>
          <w:u w:val="single"/>
        </w:rPr>
        <w:t>John Koerwer</w:t>
      </w:r>
    </w:p>
    <w:p w14:paraId="5A262B0B" w14:textId="77777777" w:rsidR="00000000" w:rsidRDefault="00C1661D">
      <w:pPr>
        <w:jc w:val="both"/>
        <w:rPr>
          <w:rFonts w:eastAsia="Times New Roman"/>
        </w:rPr>
      </w:pPr>
    </w:p>
    <w:p w14:paraId="054E31B9" w14:textId="77777777" w:rsidR="00000000" w:rsidRDefault="00C1661D">
      <w:pPr>
        <w:jc w:val="both"/>
        <w:rPr>
          <w:rFonts w:eastAsia="Times New Roman"/>
        </w:rPr>
      </w:pPr>
      <w:r>
        <w:rPr>
          <w:rFonts w:eastAsia="Times New Roman"/>
          <w:color w:val="000000"/>
          <w:sz w:val="20"/>
          <w:szCs w:val="20"/>
        </w:rPr>
        <w:t>Mr. Koerwer is the Chief Information Officer of UGI Corporation (since 2020). Mr. Koerwer joined UGI as Vice President, Information Technology, for UGI International in 2016 and la</w:t>
      </w:r>
      <w:r>
        <w:rPr>
          <w:rFonts w:eastAsia="Times New Roman"/>
          <w:color w:val="000000"/>
          <w:sz w:val="20"/>
          <w:szCs w:val="20"/>
        </w:rPr>
        <w:t>ter was named Group CIO for UGI Corporation, responsible for the global IT strategy, operations, products and services to support both the domestic and international businesses units. Previously, Mr. Koerwer served in multiple IT/IS leadership roles for Th</w:t>
      </w:r>
      <w:r>
        <w:rPr>
          <w:rFonts w:eastAsia="Times New Roman"/>
          <w:color w:val="000000"/>
          <w:sz w:val="20"/>
          <w:szCs w:val="20"/>
        </w:rPr>
        <w:t xml:space="preserve">e Linde Group, a multi-national industrial gas company based in Munich, Germany. </w:t>
      </w:r>
    </w:p>
    <w:p w14:paraId="23D628D3" w14:textId="77777777" w:rsidR="00000000" w:rsidRDefault="00C1661D">
      <w:pPr>
        <w:jc w:val="both"/>
        <w:rPr>
          <w:rFonts w:eastAsia="Times New Roman"/>
        </w:rPr>
      </w:pPr>
    </w:p>
    <w:p w14:paraId="69E8FD58" w14:textId="77777777" w:rsidR="00000000" w:rsidRDefault="00C1661D">
      <w:pPr>
        <w:jc w:val="both"/>
        <w:rPr>
          <w:rFonts w:eastAsia="Times New Roman"/>
        </w:rPr>
      </w:pPr>
      <w:r>
        <w:rPr>
          <w:rFonts w:eastAsia="Times New Roman"/>
          <w:color w:val="000000"/>
          <w:sz w:val="20"/>
          <w:szCs w:val="20"/>
          <w:u w:val="single"/>
        </w:rPr>
        <w:t>Jean Felix Tematio Dontsop</w:t>
      </w:r>
    </w:p>
    <w:p w14:paraId="2A4BF8E1" w14:textId="77777777" w:rsidR="00000000" w:rsidRDefault="00C1661D">
      <w:pPr>
        <w:jc w:val="both"/>
        <w:rPr>
          <w:rFonts w:eastAsia="Times New Roman"/>
        </w:rPr>
      </w:pPr>
    </w:p>
    <w:p w14:paraId="3F979665" w14:textId="77777777" w:rsidR="00000000" w:rsidRDefault="00C1661D">
      <w:pPr>
        <w:jc w:val="both"/>
        <w:rPr>
          <w:rFonts w:eastAsia="Times New Roman"/>
        </w:rPr>
      </w:pPr>
      <w:r>
        <w:rPr>
          <w:rFonts w:eastAsia="Times New Roman"/>
          <w:color w:val="000000"/>
          <w:sz w:val="20"/>
          <w:szCs w:val="20"/>
        </w:rPr>
        <w:t>Mr. Tematio Dontsop is the Vice President, Chief Accounting Officer and Controller of UGI Corporation (since July 2021). Mr. Tematio Dontsop mo</w:t>
      </w:r>
      <w:r>
        <w:rPr>
          <w:rFonts w:eastAsia="Times New Roman"/>
          <w:color w:val="000000"/>
          <w:sz w:val="20"/>
          <w:szCs w:val="20"/>
        </w:rPr>
        <w:t>st recently served as Vice President of Internal Audit for West Pharmaceuticals Services, Inc. in Exton, Pennsylvania (July 2020 to June 2021). Previously, he held several roles of increasing responsibility over fifteen years with PricewaterhouseCoopers, b</w:t>
      </w:r>
      <w:r>
        <w:rPr>
          <w:rFonts w:eastAsia="Times New Roman"/>
          <w:color w:val="000000"/>
          <w:sz w:val="20"/>
          <w:szCs w:val="20"/>
        </w:rPr>
        <w:t xml:space="preserve">ased in Philadelphia, Pennsylvania and Paris, France, including Audit Director (2019 to 2020) and Audit Senior Manager (2011 to 2019). Mr. Tematio Dontsop also worked earlier in his career as an auditor for KPMG, based in Paris. </w:t>
      </w:r>
    </w:p>
    <w:p w14:paraId="3571858C" w14:textId="77777777" w:rsidR="00000000" w:rsidRDefault="00C1661D">
      <w:pPr>
        <w:jc w:val="both"/>
        <w:rPr>
          <w:rFonts w:eastAsia="Times New Roman"/>
        </w:rPr>
      </w:pPr>
    </w:p>
    <w:p w14:paraId="5F1D1211" w14:textId="77777777" w:rsidR="00000000" w:rsidRDefault="00C1661D">
      <w:pPr>
        <w:jc w:val="center"/>
        <w:divId w:val="611017797"/>
        <w:rPr>
          <w:rFonts w:eastAsia="Times New Roman"/>
        </w:rPr>
      </w:pPr>
      <w:r>
        <w:rPr>
          <w:rFonts w:eastAsia="Times New Roman"/>
          <w:color w:val="000000"/>
          <w:sz w:val="20"/>
          <w:szCs w:val="20"/>
        </w:rPr>
        <w:t>72</w:t>
      </w:r>
    </w:p>
    <w:p w14:paraId="794AF794" w14:textId="77777777" w:rsidR="00000000" w:rsidRDefault="00C1661D">
      <w:pPr>
        <w:rPr>
          <w:rFonts w:eastAsia="Times New Roman"/>
        </w:rPr>
      </w:pPr>
      <w:r>
        <w:rPr>
          <w:rFonts w:eastAsia="Times New Roman"/>
        </w:rPr>
        <w:pict w14:anchorId="0FCDAB26">
          <v:rect id="_x0000_i1099" style="width:0;height:1.5pt" o:hralign="center" o:hrstd="t" o:hr="t" fillcolor="#a0a0a0" stroked="f"/>
        </w:pict>
      </w:r>
    </w:p>
    <w:p w14:paraId="4C08EE10" w14:textId="77777777" w:rsidR="00000000" w:rsidRDefault="00C1661D">
      <w:pPr>
        <w:divId w:val="1299336917"/>
        <w:rPr>
          <w:rFonts w:eastAsia="Times New Roman"/>
        </w:rPr>
      </w:pPr>
      <w:hyperlink w:anchor="i3850c3c6c0104e42b9951aac2f16098a_7" w:history="1">
        <w:r>
          <w:rPr>
            <w:rStyle w:val="a3"/>
            <w:rFonts w:eastAsia="Times New Roman"/>
            <w:b/>
            <w:bCs/>
            <w:sz w:val="20"/>
            <w:szCs w:val="20"/>
          </w:rPr>
          <w:t>Table of Contents</w:t>
        </w:r>
      </w:hyperlink>
    </w:p>
    <w:p w14:paraId="0DA1BB0D" w14:textId="77777777" w:rsidR="00000000" w:rsidRDefault="00C1661D">
      <w:pPr>
        <w:jc w:val="both"/>
        <w:rPr>
          <w:rFonts w:eastAsia="Times New Roman"/>
        </w:rPr>
      </w:pPr>
      <w:r>
        <w:rPr>
          <w:rFonts w:eastAsia="Times New Roman"/>
          <w:color w:val="000000"/>
          <w:sz w:val="20"/>
          <w:szCs w:val="20"/>
          <w:u w:val="single"/>
        </w:rPr>
        <w:t>Judy A. Zagorski</w:t>
      </w:r>
    </w:p>
    <w:p w14:paraId="10919008" w14:textId="77777777" w:rsidR="00000000" w:rsidRDefault="00C1661D">
      <w:pPr>
        <w:jc w:val="both"/>
        <w:rPr>
          <w:rFonts w:eastAsia="Times New Roman"/>
        </w:rPr>
      </w:pPr>
    </w:p>
    <w:p w14:paraId="3B4F4020" w14:textId="77777777" w:rsidR="00000000" w:rsidRDefault="00C1661D">
      <w:pPr>
        <w:jc w:val="both"/>
        <w:rPr>
          <w:rFonts w:eastAsia="Times New Roman"/>
        </w:rPr>
      </w:pPr>
      <w:r>
        <w:rPr>
          <w:rFonts w:eastAsia="Times New Roman"/>
          <w:color w:val="000000"/>
          <w:sz w:val="20"/>
          <w:szCs w:val="20"/>
        </w:rPr>
        <w:t>Ms. Zagorski is the Chief Human Resources Officer of UGI Corporation (since September 2020). Previously, Ms. Zagorski served as Executive Vice President, Global Human Resources &amp; CHRO at Church &amp; Dwight, a major manufacturer of household products headquart</w:t>
      </w:r>
      <w:r>
        <w:rPr>
          <w:rFonts w:eastAsia="Times New Roman"/>
          <w:color w:val="000000"/>
          <w:sz w:val="20"/>
          <w:szCs w:val="20"/>
        </w:rPr>
        <w:t xml:space="preserve">ered in Ewing, New Jersey (2017 to 2020). Prior to joining Church &amp; Dwight, Ms. Zagorski held the positions of Senior Vice President - Human Resources and Vice President - Human Resources, Development and Strategy at BASF (2011 to 2017). </w:t>
      </w:r>
    </w:p>
    <w:p w14:paraId="6A5BCE75" w14:textId="77777777" w:rsidR="00000000" w:rsidRDefault="00C1661D">
      <w:pPr>
        <w:divId w:val="456880093"/>
        <w:rPr>
          <w:rFonts w:eastAsia="Times New Roman"/>
        </w:rPr>
      </w:pPr>
    </w:p>
    <w:p w14:paraId="5F0C5F9B" w14:textId="77777777" w:rsidR="00000000" w:rsidRDefault="00C1661D">
      <w:pPr>
        <w:jc w:val="both"/>
        <w:rPr>
          <w:rFonts w:eastAsia="Times New Roman"/>
        </w:rPr>
      </w:pPr>
    </w:p>
    <w:p w14:paraId="78BC95DF" w14:textId="77777777" w:rsidR="00000000" w:rsidRDefault="00C1661D">
      <w:pPr>
        <w:jc w:val="both"/>
        <w:rPr>
          <w:rFonts w:eastAsia="Times New Roman"/>
        </w:rPr>
      </w:pPr>
    </w:p>
    <w:p w14:paraId="75CE80AC" w14:textId="77777777" w:rsidR="00000000" w:rsidRDefault="00C1661D">
      <w:pPr>
        <w:jc w:val="both"/>
        <w:rPr>
          <w:rFonts w:eastAsia="Times New Roman"/>
        </w:rPr>
      </w:pPr>
      <w:r>
        <w:rPr>
          <w:rFonts w:eastAsia="Times New Roman"/>
          <w:b/>
          <w:bCs/>
          <w:color w:val="000000"/>
          <w:sz w:val="20"/>
          <w:szCs w:val="20"/>
        </w:rPr>
        <w:t>PART IV:</w:t>
      </w:r>
    </w:p>
    <w:p w14:paraId="0E2B3FA6" w14:textId="77777777" w:rsidR="00000000" w:rsidRDefault="00C1661D">
      <w:pPr>
        <w:jc w:val="both"/>
        <w:rPr>
          <w:rFonts w:eastAsia="Times New Roman"/>
        </w:rPr>
      </w:pPr>
    </w:p>
    <w:p w14:paraId="2C356BD8" w14:textId="77777777" w:rsidR="00000000" w:rsidRDefault="00C1661D">
      <w:pPr>
        <w:ind w:hanging="900"/>
        <w:divId w:val="369106989"/>
        <w:rPr>
          <w:rFonts w:eastAsia="Times New Roman"/>
        </w:rPr>
      </w:pPr>
      <w:r>
        <w:rPr>
          <w:rFonts w:eastAsia="Times New Roman"/>
          <w:b/>
          <w:bCs/>
          <w:color w:val="000000"/>
          <w:sz w:val="20"/>
          <w:szCs w:val="20"/>
        </w:rPr>
        <w:t>ITEM 15.EXHIBITS AND FINANCIAL STATEMENT SCHEDULES</w:t>
      </w:r>
    </w:p>
    <w:p w14:paraId="1876FB36" w14:textId="77777777" w:rsidR="00000000" w:rsidRDefault="00C1661D">
      <w:pPr>
        <w:ind w:hanging="360"/>
        <w:jc w:val="both"/>
        <w:rPr>
          <w:rFonts w:eastAsia="Times New Roman"/>
        </w:rPr>
      </w:pPr>
      <w:r>
        <w:rPr>
          <w:rFonts w:eastAsia="Times New Roman"/>
          <w:b/>
          <w:bCs/>
          <w:color w:val="000000"/>
          <w:sz w:val="20"/>
          <w:szCs w:val="20"/>
        </w:rPr>
        <w:t>(a)Documents filed as part of this report:</w:t>
      </w:r>
    </w:p>
    <w:p w14:paraId="279013DF" w14:textId="77777777" w:rsidR="00000000" w:rsidRDefault="00C1661D">
      <w:pPr>
        <w:jc w:val="both"/>
        <w:rPr>
          <w:rFonts w:eastAsia="Times New Roman"/>
        </w:rPr>
      </w:pPr>
    </w:p>
    <w:p w14:paraId="5D570FE7" w14:textId="77777777" w:rsidR="00000000" w:rsidRDefault="00C1661D">
      <w:pPr>
        <w:ind w:hanging="540"/>
        <w:jc w:val="both"/>
        <w:rPr>
          <w:rFonts w:eastAsia="Times New Roman"/>
        </w:rPr>
      </w:pPr>
      <w:r>
        <w:rPr>
          <w:rFonts w:eastAsia="Times New Roman"/>
          <w:b/>
          <w:bCs/>
          <w:color w:val="000000"/>
          <w:sz w:val="20"/>
          <w:szCs w:val="20"/>
        </w:rPr>
        <w:t>(1)Financial Statements:</w:t>
      </w:r>
    </w:p>
    <w:p w14:paraId="7009EC1A" w14:textId="77777777" w:rsidR="00000000" w:rsidRDefault="00C1661D">
      <w:pPr>
        <w:ind w:firstLine="1260"/>
        <w:divId w:val="1750232252"/>
        <w:rPr>
          <w:rFonts w:eastAsia="Times New Roman"/>
        </w:rPr>
      </w:pPr>
      <w:r>
        <w:rPr>
          <w:rFonts w:eastAsia="Times New Roman"/>
          <w:color w:val="000000"/>
          <w:sz w:val="20"/>
          <w:szCs w:val="20"/>
        </w:rPr>
        <w:t>Included under Item 8 are the following financial statements and supplementary data:</w:t>
      </w:r>
    </w:p>
    <w:p w14:paraId="47B3A3D2" w14:textId="77777777" w:rsidR="00000000" w:rsidRDefault="00C1661D">
      <w:pPr>
        <w:ind w:firstLine="1440"/>
        <w:divId w:val="1250985"/>
        <w:rPr>
          <w:rFonts w:eastAsia="Times New Roman"/>
        </w:rPr>
      </w:pPr>
      <w:r>
        <w:rPr>
          <w:rFonts w:eastAsia="Times New Roman"/>
          <w:color w:val="000000"/>
          <w:sz w:val="20"/>
          <w:szCs w:val="20"/>
        </w:rPr>
        <w:t>Management’s Annual Report on Consolida</w:t>
      </w:r>
      <w:r>
        <w:rPr>
          <w:rFonts w:eastAsia="Times New Roman"/>
          <w:color w:val="000000"/>
          <w:sz w:val="20"/>
          <w:szCs w:val="20"/>
        </w:rPr>
        <w:t>ted Financial Statements and Schedules</w:t>
      </w:r>
    </w:p>
    <w:p w14:paraId="51A08B3A" w14:textId="77777777" w:rsidR="00000000" w:rsidRDefault="00C1661D">
      <w:pPr>
        <w:divId w:val="1375619972"/>
        <w:rPr>
          <w:rFonts w:eastAsia="Times New Roman"/>
        </w:rPr>
      </w:pPr>
      <w:r>
        <w:rPr>
          <w:rFonts w:eastAsia="Times New Roman"/>
          <w:color w:val="000000"/>
          <w:sz w:val="20"/>
          <w:szCs w:val="20"/>
        </w:rPr>
        <w:t>Report of Independent Registered Public Accounting Firm (PCAOB ID:42) (on Consolidated Financial Statements and Schedules)</w:t>
      </w:r>
    </w:p>
    <w:p w14:paraId="170A050B" w14:textId="77777777" w:rsidR="00000000" w:rsidRDefault="00C1661D">
      <w:pPr>
        <w:ind w:firstLine="1440"/>
        <w:divId w:val="846165921"/>
        <w:rPr>
          <w:rFonts w:eastAsia="Times New Roman"/>
        </w:rPr>
      </w:pPr>
      <w:r>
        <w:rPr>
          <w:rFonts w:eastAsia="Times New Roman"/>
          <w:color w:val="000000"/>
          <w:sz w:val="20"/>
          <w:szCs w:val="20"/>
        </w:rPr>
        <w:t xml:space="preserve">Consolidated Balance Sheets as of September 30, 2022 and 2021 </w:t>
      </w:r>
    </w:p>
    <w:p w14:paraId="767029B8" w14:textId="77777777" w:rsidR="00000000" w:rsidRDefault="00C1661D">
      <w:pPr>
        <w:ind w:firstLine="1440"/>
        <w:divId w:val="2050058639"/>
        <w:rPr>
          <w:rFonts w:eastAsia="Times New Roman"/>
        </w:rPr>
      </w:pPr>
      <w:r>
        <w:rPr>
          <w:rFonts w:eastAsia="Times New Roman"/>
          <w:color w:val="000000"/>
          <w:sz w:val="20"/>
          <w:szCs w:val="20"/>
        </w:rPr>
        <w:t>Consolidated Statements of Inco</w:t>
      </w:r>
      <w:r>
        <w:rPr>
          <w:rFonts w:eastAsia="Times New Roman"/>
          <w:color w:val="000000"/>
          <w:sz w:val="20"/>
          <w:szCs w:val="20"/>
        </w:rPr>
        <w:t xml:space="preserve">me for the years ended September 30, 2022, 2021 and 2020 </w:t>
      </w:r>
    </w:p>
    <w:p w14:paraId="47FD76EC" w14:textId="77777777" w:rsidR="00000000" w:rsidRDefault="00C1661D">
      <w:pPr>
        <w:ind w:firstLine="1440"/>
        <w:divId w:val="1193884911"/>
        <w:rPr>
          <w:rFonts w:eastAsia="Times New Roman"/>
        </w:rPr>
      </w:pPr>
      <w:r>
        <w:rPr>
          <w:rFonts w:eastAsia="Times New Roman"/>
          <w:color w:val="000000"/>
          <w:sz w:val="20"/>
          <w:szCs w:val="20"/>
        </w:rPr>
        <w:t xml:space="preserve">Consolidated Statements of Comprehensive Income for the years ended September 30, 2022, 2021 and 2020 </w:t>
      </w:r>
    </w:p>
    <w:p w14:paraId="61C817F8" w14:textId="77777777" w:rsidR="00000000" w:rsidRDefault="00C1661D">
      <w:pPr>
        <w:ind w:firstLine="1440"/>
        <w:divId w:val="762411993"/>
        <w:rPr>
          <w:rFonts w:eastAsia="Times New Roman"/>
        </w:rPr>
      </w:pPr>
      <w:r>
        <w:rPr>
          <w:rFonts w:eastAsia="Times New Roman"/>
          <w:color w:val="000000"/>
          <w:sz w:val="20"/>
          <w:szCs w:val="20"/>
        </w:rPr>
        <w:t xml:space="preserve">Consolidated Statements of Cash Flows for the years ended September 30, 2022, 2021 and 2020 </w:t>
      </w:r>
    </w:p>
    <w:p w14:paraId="544C75EF" w14:textId="77777777" w:rsidR="00000000" w:rsidRDefault="00C1661D">
      <w:pPr>
        <w:ind w:firstLine="1440"/>
        <w:divId w:val="1891577566"/>
        <w:rPr>
          <w:rFonts w:eastAsia="Times New Roman"/>
        </w:rPr>
      </w:pPr>
      <w:r>
        <w:rPr>
          <w:rFonts w:eastAsia="Times New Roman"/>
          <w:color w:val="000000"/>
          <w:sz w:val="20"/>
          <w:szCs w:val="20"/>
        </w:rPr>
        <w:t>Co</w:t>
      </w:r>
      <w:r>
        <w:rPr>
          <w:rFonts w:eastAsia="Times New Roman"/>
          <w:color w:val="000000"/>
          <w:sz w:val="20"/>
          <w:szCs w:val="20"/>
        </w:rPr>
        <w:t xml:space="preserve">nsolidated Statements of Changes in Equity for the years ended September 30, 2022, 2021 and 2020 </w:t>
      </w:r>
    </w:p>
    <w:p w14:paraId="145540CC" w14:textId="77777777" w:rsidR="00000000" w:rsidRDefault="00C1661D">
      <w:pPr>
        <w:ind w:firstLine="1440"/>
        <w:divId w:val="287511429"/>
        <w:rPr>
          <w:rFonts w:eastAsia="Times New Roman"/>
        </w:rPr>
      </w:pPr>
      <w:r>
        <w:rPr>
          <w:rFonts w:eastAsia="Times New Roman"/>
          <w:color w:val="000000"/>
          <w:sz w:val="20"/>
          <w:szCs w:val="20"/>
        </w:rPr>
        <w:t>Notes to Consolidated Financial Statements</w:t>
      </w:r>
    </w:p>
    <w:p w14:paraId="25A385F6" w14:textId="77777777" w:rsidR="00000000" w:rsidRDefault="00C1661D">
      <w:pPr>
        <w:divId w:val="1886142888"/>
        <w:rPr>
          <w:rFonts w:eastAsia="Times New Roman"/>
        </w:rPr>
      </w:pPr>
    </w:p>
    <w:p w14:paraId="0D56FC85" w14:textId="77777777" w:rsidR="00000000" w:rsidRDefault="00C1661D">
      <w:pPr>
        <w:ind w:hanging="540"/>
        <w:jc w:val="both"/>
        <w:rPr>
          <w:rFonts w:eastAsia="Times New Roman"/>
        </w:rPr>
      </w:pPr>
      <w:r>
        <w:rPr>
          <w:rFonts w:eastAsia="Times New Roman"/>
          <w:b/>
          <w:bCs/>
          <w:color w:val="000000"/>
          <w:sz w:val="20"/>
          <w:szCs w:val="20"/>
        </w:rPr>
        <w:t>(2)Financial Statement Schedules:</w:t>
      </w:r>
    </w:p>
    <w:p w14:paraId="5D223F19" w14:textId="77777777" w:rsidR="00000000" w:rsidRDefault="00C1661D">
      <w:pPr>
        <w:jc w:val="both"/>
        <w:divId w:val="1688021456"/>
        <w:rPr>
          <w:rFonts w:eastAsia="Times New Roman"/>
        </w:rPr>
      </w:pPr>
      <w:r>
        <w:rPr>
          <w:rFonts w:eastAsia="Times New Roman"/>
          <w:b/>
          <w:bCs/>
          <w:color w:val="000000"/>
          <w:sz w:val="20"/>
          <w:szCs w:val="20"/>
        </w:rPr>
        <w:t xml:space="preserve">I — </w:t>
      </w:r>
      <w:r>
        <w:rPr>
          <w:rFonts w:eastAsia="Times New Roman"/>
          <w:color w:val="000000"/>
          <w:sz w:val="20"/>
          <w:szCs w:val="20"/>
        </w:rPr>
        <w:t>Condensed Financial Information of Registrant (Parent Company)</w:t>
      </w:r>
    </w:p>
    <w:p w14:paraId="05DB988C" w14:textId="77777777" w:rsidR="00000000" w:rsidRDefault="00C1661D">
      <w:pPr>
        <w:jc w:val="both"/>
        <w:divId w:val="670572782"/>
        <w:rPr>
          <w:rFonts w:eastAsia="Times New Roman"/>
        </w:rPr>
      </w:pPr>
      <w:r>
        <w:rPr>
          <w:rFonts w:eastAsia="Times New Roman"/>
          <w:b/>
          <w:bCs/>
          <w:color w:val="000000"/>
          <w:sz w:val="20"/>
          <w:szCs w:val="20"/>
        </w:rPr>
        <w:t xml:space="preserve">II — </w:t>
      </w:r>
      <w:r>
        <w:rPr>
          <w:rFonts w:eastAsia="Times New Roman"/>
          <w:color w:val="000000"/>
          <w:sz w:val="20"/>
          <w:szCs w:val="20"/>
        </w:rPr>
        <w:t>Valuati</w:t>
      </w:r>
      <w:r>
        <w:rPr>
          <w:rFonts w:eastAsia="Times New Roman"/>
          <w:color w:val="000000"/>
          <w:sz w:val="20"/>
          <w:szCs w:val="20"/>
        </w:rPr>
        <w:t>on and Qualifying Accounts for the years ended September 30, 2022, 2021 and 2020</w:t>
      </w:r>
    </w:p>
    <w:p w14:paraId="5477ED01" w14:textId="77777777" w:rsidR="00000000" w:rsidRDefault="00C1661D">
      <w:pPr>
        <w:jc w:val="both"/>
        <w:divId w:val="1716929958"/>
        <w:rPr>
          <w:rFonts w:eastAsia="Times New Roman"/>
        </w:rPr>
      </w:pPr>
      <w:r>
        <w:rPr>
          <w:rFonts w:eastAsia="Times New Roman"/>
          <w:color w:val="000000"/>
          <w:sz w:val="20"/>
          <w:szCs w:val="20"/>
        </w:rPr>
        <w:t>We have omitted all other financial statement schedules because the required information is (1) not present; (2) not present in amounts sufficient to require submission of the</w:t>
      </w:r>
      <w:r>
        <w:rPr>
          <w:rFonts w:eastAsia="Times New Roman"/>
          <w:color w:val="000000"/>
          <w:sz w:val="20"/>
          <w:szCs w:val="20"/>
        </w:rPr>
        <w:t xml:space="preserve"> schedule; or (3) included elsewhere in the financial statements or related notes.</w:t>
      </w:r>
    </w:p>
    <w:p w14:paraId="17CC1768" w14:textId="77777777" w:rsidR="00000000" w:rsidRDefault="00C1661D">
      <w:pPr>
        <w:divId w:val="109056734"/>
        <w:rPr>
          <w:rFonts w:eastAsia="Times New Roman"/>
        </w:rPr>
      </w:pPr>
    </w:p>
    <w:p w14:paraId="0BAAB4AB" w14:textId="77777777" w:rsidR="00000000" w:rsidRDefault="00C1661D">
      <w:pPr>
        <w:ind w:hanging="540"/>
        <w:jc w:val="both"/>
        <w:rPr>
          <w:rFonts w:eastAsia="Times New Roman"/>
        </w:rPr>
      </w:pPr>
      <w:r>
        <w:rPr>
          <w:rFonts w:eastAsia="Times New Roman"/>
          <w:b/>
          <w:bCs/>
          <w:color w:val="000000"/>
          <w:sz w:val="20"/>
          <w:szCs w:val="20"/>
        </w:rPr>
        <w:t xml:space="preserve">(3)List of Exhibits: </w:t>
      </w:r>
    </w:p>
    <w:p w14:paraId="2EE1CD54" w14:textId="77777777" w:rsidR="00000000" w:rsidRDefault="00C1661D">
      <w:pPr>
        <w:jc w:val="both"/>
        <w:rPr>
          <w:rFonts w:eastAsia="Times New Roman"/>
        </w:rPr>
      </w:pPr>
    </w:p>
    <w:p w14:paraId="278ED4C0" w14:textId="77777777" w:rsidR="00000000" w:rsidRDefault="00C1661D">
      <w:pPr>
        <w:jc w:val="both"/>
        <w:rPr>
          <w:rFonts w:eastAsia="Times New Roman"/>
        </w:rPr>
      </w:pPr>
      <w:r>
        <w:rPr>
          <w:rFonts w:eastAsia="Times New Roman"/>
          <w:color w:val="000000"/>
          <w:sz w:val="20"/>
          <w:szCs w:val="20"/>
        </w:rPr>
        <w:t>The exhibits filed as part of this report are as follows (exhibits incorporated by reference are set forth with the name of the registrant, the typ</w:t>
      </w:r>
      <w:r>
        <w:rPr>
          <w:rFonts w:eastAsia="Times New Roman"/>
          <w:color w:val="000000"/>
          <w:sz w:val="20"/>
          <w:szCs w:val="20"/>
        </w:rPr>
        <w:t>e of report and registration number or last date of the period for which it was filed, and the exhibit number in such filing):</w:t>
      </w:r>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7"/>
        <w:gridCol w:w="55"/>
        <w:gridCol w:w="1694"/>
        <w:gridCol w:w="36"/>
        <w:gridCol w:w="56"/>
        <w:gridCol w:w="551"/>
        <w:gridCol w:w="37"/>
        <w:gridCol w:w="56"/>
        <w:gridCol w:w="551"/>
        <w:gridCol w:w="36"/>
        <w:gridCol w:w="57"/>
        <w:gridCol w:w="696"/>
        <w:gridCol w:w="36"/>
      </w:tblGrid>
      <w:tr w:rsidR="00000000" w14:paraId="647E1BEB" w14:textId="77777777">
        <w:trPr>
          <w:jc w:val="center"/>
        </w:trPr>
        <w:tc>
          <w:tcPr>
            <w:tcW w:w="50" w:type="pct"/>
            <w:vAlign w:val="center"/>
            <w:hideMark/>
          </w:tcPr>
          <w:p w14:paraId="2D849D4C" w14:textId="77777777" w:rsidR="00000000" w:rsidRDefault="00C1661D">
            <w:pPr>
              <w:jc w:val="both"/>
              <w:rPr>
                <w:rFonts w:eastAsia="Times New Roman"/>
              </w:rPr>
            </w:pPr>
          </w:p>
        </w:tc>
        <w:tc>
          <w:tcPr>
            <w:tcW w:w="729" w:type="pct"/>
            <w:vAlign w:val="center"/>
            <w:hideMark/>
          </w:tcPr>
          <w:p w14:paraId="53933464" w14:textId="77777777" w:rsidR="00000000" w:rsidRDefault="00C1661D">
            <w:pPr>
              <w:spacing w:after="100"/>
              <w:rPr>
                <w:rFonts w:eastAsia="Times New Roman"/>
                <w:sz w:val="20"/>
                <w:szCs w:val="20"/>
              </w:rPr>
            </w:pPr>
          </w:p>
        </w:tc>
        <w:tc>
          <w:tcPr>
            <w:tcW w:w="5" w:type="pct"/>
            <w:vAlign w:val="center"/>
            <w:hideMark/>
          </w:tcPr>
          <w:p w14:paraId="514DBA9E" w14:textId="77777777" w:rsidR="00000000" w:rsidRDefault="00C1661D">
            <w:pPr>
              <w:spacing w:after="100"/>
              <w:rPr>
                <w:rFonts w:eastAsia="Times New Roman"/>
                <w:sz w:val="20"/>
                <w:szCs w:val="20"/>
              </w:rPr>
            </w:pPr>
          </w:p>
        </w:tc>
        <w:tc>
          <w:tcPr>
            <w:tcW w:w="50" w:type="pct"/>
            <w:vAlign w:val="center"/>
            <w:hideMark/>
          </w:tcPr>
          <w:p w14:paraId="2DFD1485" w14:textId="77777777" w:rsidR="00000000" w:rsidRDefault="00C1661D">
            <w:pPr>
              <w:spacing w:after="100"/>
              <w:rPr>
                <w:rFonts w:eastAsia="Times New Roman"/>
                <w:sz w:val="20"/>
                <w:szCs w:val="20"/>
              </w:rPr>
            </w:pPr>
          </w:p>
        </w:tc>
        <w:tc>
          <w:tcPr>
            <w:tcW w:w="1419" w:type="pct"/>
            <w:vAlign w:val="center"/>
            <w:hideMark/>
          </w:tcPr>
          <w:p w14:paraId="6108F2FA" w14:textId="77777777" w:rsidR="00000000" w:rsidRDefault="00C1661D">
            <w:pPr>
              <w:spacing w:after="100"/>
              <w:rPr>
                <w:rFonts w:eastAsia="Times New Roman"/>
                <w:sz w:val="20"/>
                <w:szCs w:val="20"/>
              </w:rPr>
            </w:pPr>
          </w:p>
        </w:tc>
        <w:tc>
          <w:tcPr>
            <w:tcW w:w="5" w:type="pct"/>
            <w:vAlign w:val="center"/>
            <w:hideMark/>
          </w:tcPr>
          <w:p w14:paraId="2F5E57A8" w14:textId="77777777" w:rsidR="00000000" w:rsidRDefault="00C1661D">
            <w:pPr>
              <w:spacing w:after="100"/>
              <w:rPr>
                <w:rFonts w:eastAsia="Times New Roman"/>
                <w:sz w:val="20"/>
                <w:szCs w:val="20"/>
              </w:rPr>
            </w:pPr>
          </w:p>
        </w:tc>
        <w:tc>
          <w:tcPr>
            <w:tcW w:w="50" w:type="pct"/>
            <w:vAlign w:val="center"/>
            <w:hideMark/>
          </w:tcPr>
          <w:p w14:paraId="5155A504" w14:textId="77777777" w:rsidR="00000000" w:rsidRDefault="00C1661D">
            <w:pPr>
              <w:spacing w:after="100"/>
              <w:rPr>
                <w:rFonts w:eastAsia="Times New Roman"/>
                <w:sz w:val="20"/>
                <w:szCs w:val="20"/>
              </w:rPr>
            </w:pPr>
          </w:p>
        </w:tc>
        <w:tc>
          <w:tcPr>
            <w:tcW w:w="1212" w:type="pct"/>
            <w:vAlign w:val="center"/>
            <w:hideMark/>
          </w:tcPr>
          <w:p w14:paraId="5DA87440" w14:textId="77777777" w:rsidR="00000000" w:rsidRDefault="00C1661D">
            <w:pPr>
              <w:spacing w:after="100"/>
              <w:rPr>
                <w:rFonts w:eastAsia="Times New Roman"/>
                <w:sz w:val="20"/>
                <w:szCs w:val="20"/>
              </w:rPr>
            </w:pPr>
          </w:p>
        </w:tc>
        <w:tc>
          <w:tcPr>
            <w:tcW w:w="5" w:type="pct"/>
            <w:vAlign w:val="center"/>
            <w:hideMark/>
          </w:tcPr>
          <w:p w14:paraId="2280A760" w14:textId="77777777" w:rsidR="00000000" w:rsidRDefault="00C1661D">
            <w:pPr>
              <w:spacing w:after="100"/>
              <w:rPr>
                <w:rFonts w:eastAsia="Times New Roman"/>
                <w:sz w:val="20"/>
                <w:szCs w:val="20"/>
              </w:rPr>
            </w:pPr>
          </w:p>
        </w:tc>
        <w:tc>
          <w:tcPr>
            <w:tcW w:w="50" w:type="pct"/>
            <w:vAlign w:val="center"/>
            <w:hideMark/>
          </w:tcPr>
          <w:p w14:paraId="3CA1C579" w14:textId="77777777" w:rsidR="00000000" w:rsidRDefault="00C1661D">
            <w:pPr>
              <w:spacing w:after="100"/>
              <w:rPr>
                <w:rFonts w:eastAsia="Times New Roman"/>
                <w:sz w:val="20"/>
                <w:szCs w:val="20"/>
              </w:rPr>
            </w:pPr>
          </w:p>
        </w:tc>
        <w:tc>
          <w:tcPr>
            <w:tcW w:w="401" w:type="pct"/>
            <w:vAlign w:val="center"/>
            <w:hideMark/>
          </w:tcPr>
          <w:p w14:paraId="25218442" w14:textId="77777777" w:rsidR="00000000" w:rsidRDefault="00C1661D">
            <w:pPr>
              <w:spacing w:after="100"/>
              <w:rPr>
                <w:rFonts w:eastAsia="Times New Roman"/>
                <w:sz w:val="20"/>
                <w:szCs w:val="20"/>
              </w:rPr>
            </w:pPr>
          </w:p>
        </w:tc>
        <w:tc>
          <w:tcPr>
            <w:tcW w:w="5" w:type="pct"/>
            <w:vAlign w:val="center"/>
            <w:hideMark/>
          </w:tcPr>
          <w:p w14:paraId="11DB8E87" w14:textId="77777777" w:rsidR="00000000" w:rsidRDefault="00C1661D">
            <w:pPr>
              <w:spacing w:after="100"/>
              <w:rPr>
                <w:rFonts w:eastAsia="Times New Roman"/>
                <w:sz w:val="20"/>
                <w:szCs w:val="20"/>
              </w:rPr>
            </w:pPr>
          </w:p>
        </w:tc>
        <w:tc>
          <w:tcPr>
            <w:tcW w:w="50" w:type="pct"/>
            <w:vAlign w:val="center"/>
            <w:hideMark/>
          </w:tcPr>
          <w:p w14:paraId="2EF78D83" w14:textId="77777777" w:rsidR="00000000" w:rsidRDefault="00C1661D">
            <w:pPr>
              <w:spacing w:after="100"/>
              <w:rPr>
                <w:rFonts w:eastAsia="Times New Roman"/>
                <w:sz w:val="20"/>
                <w:szCs w:val="20"/>
              </w:rPr>
            </w:pPr>
          </w:p>
        </w:tc>
        <w:tc>
          <w:tcPr>
            <w:tcW w:w="401" w:type="pct"/>
            <w:vAlign w:val="center"/>
            <w:hideMark/>
          </w:tcPr>
          <w:p w14:paraId="69FCA478" w14:textId="77777777" w:rsidR="00000000" w:rsidRDefault="00C1661D">
            <w:pPr>
              <w:spacing w:after="100"/>
              <w:rPr>
                <w:rFonts w:eastAsia="Times New Roman"/>
                <w:sz w:val="20"/>
                <w:szCs w:val="20"/>
              </w:rPr>
            </w:pPr>
          </w:p>
        </w:tc>
        <w:tc>
          <w:tcPr>
            <w:tcW w:w="5" w:type="pct"/>
            <w:vAlign w:val="center"/>
            <w:hideMark/>
          </w:tcPr>
          <w:p w14:paraId="1C3E6D2F" w14:textId="77777777" w:rsidR="00000000" w:rsidRDefault="00C1661D">
            <w:pPr>
              <w:spacing w:after="100"/>
              <w:rPr>
                <w:rFonts w:eastAsia="Times New Roman"/>
                <w:sz w:val="20"/>
                <w:szCs w:val="20"/>
              </w:rPr>
            </w:pPr>
          </w:p>
        </w:tc>
        <w:tc>
          <w:tcPr>
            <w:tcW w:w="50" w:type="pct"/>
            <w:vAlign w:val="center"/>
            <w:hideMark/>
          </w:tcPr>
          <w:p w14:paraId="21EF5288" w14:textId="77777777" w:rsidR="00000000" w:rsidRDefault="00C1661D">
            <w:pPr>
              <w:spacing w:after="100"/>
              <w:rPr>
                <w:rFonts w:eastAsia="Times New Roman"/>
                <w:sz w:val="20"/>
                <w:szCs w:val="20"/>
              </w:rPr>
            </w:pPr>
          </w:p>
        </w:tc>
        <w:tc>
          <w:tcPr>
            <w:tcW w:w="505" w:type="pct"/>
            <w:vAlign w:val="center"/>
            <w:hideMark/>
          </w:tcPr>
          <w:p w14:paraId="753DF68E" w14:textId="77777777" w:rsidR="00000000" w:rsidRDefault="00C1661D">
            <w:pPr>
              <w:spacing w:after="100"/>
              <w:rPr>
                <w:rFonts w:eastAsia="Times New Roman"/>
                <w:sz w:val="20"/>
                <w:szCs w:val="20"/>
              </w:rPr>
            </w:pPr>
          </w:p>
        </w:tc>
        <w:tc>
          <w:tcPr>
            <w:tcW w:w="5" w:type="pct"/>
            <w:vAlign w:val="center"/>
            <w:hideMark/>
          </w:tcPr>
          <w:p w14:paraId="6528ACE8" w14:textId="77777777" w:rsidR="00000000" w:rsidRDefault="00C1661D">
            <w:pPr>
              <w:spacing w:after="100"/>
              <w:rPr>
                <w:rFonts w:eastAsia="Times New Roman"/>
                <w:sz w:val="20"/>
                <w:szCs w:val="20"/>
              </w:rPr>
            </w:pPr>
          </w:p>
        </w:tc>
      </w:tr>
      <w:tr w:rsidR="00000000" w14:paraId="44DADF97" w14:textId="77777777">
        <w:trPr>
          <w:jc w:val="center"/>
        </w:trPr>
        <w:tc>
          <w:tcPr>
            <w:tcW w:w="0" w:type="auto"/>
            <w:gridSpan w:val="18"/>
            <w:tcMar>
              <w:top w:w="30" w:type="dxa"/>
              <w:left w:w="20" w:type="dxa"/>
              <w:bottom w:w="30" w:type="dxa"/>
              <w:right w:w="20" w:type="dxa"/>
            </w:tcMar>
            <w:hideMark/>
          </w:tcPr>
          <w:p w14:paraId="5501E5D4" w14:textId="77777777" w:rsidR="00000000" w:rsidRDefault="00C1661D">
            <w:pPr>
              <w:spacing w:after="100"/>
              <w:rPr>
                <w:rFonts w:eastAsia="Times New Roman"/>
              </w:rPr>
            </w:pPr>
            <w:r>
              <w:rPr>
                <w:rFonts w:eastAsia="Times New Roman"/>
                <w:color w:val="000000"/>
                <w:sz w:val="20"/>
                <w:szCs w:val="20"/>
              </w:rPr>
              <w:t>Incorporation by Reference</w:t>
            </w:r>
          </w:p>
        </w:tc>
      </w:tr>
      <w:tr w:rsidR="00000000" w14:paraId="25E2C4F1" w14:textId="77777777">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1BC07B13" w14:textId="77777777" w:rsidR="00000000" w:rsidRDefault="00C1661D">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423E4BDD" w14:textId="77777777" w:rsidR="00000000" w:rsidRDefault="00C1661D">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6AF12D75" w14:textId="77777777" w:rsidR="00000000" w:rsidRDefault="00C1661D">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14:paraId="4169C8FB" w14:textId="77777777" w:rsidR="00000000" w:rsidRDefault="00C1661D">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1250192E" w14:textId="77777777" w:rsidR="00000000" w:rsidRDefault="00C1661D">
            <w:pPr>
              <w:spacing w:after="100"/>
              <w:rPr>
                <w:rFonts w:eastAsia="Times New Roman"/>
              </w:rPr>
            </w:pPr>
            <w:r>
              <w:rPr>
                <w:rFonts w:eastAsia="Times New Roman"/>
                <w:color w:val="000000"/>
                <w:sz w:val="20"/>
                <w:szCs w:val="20"/>
              </w:rPr>
              <w:t>Exhibit</w:t>
            </w:r>
          </w:p>
        </w:tc>
      </w:tr>
      <w:tr w:rsidR="00000000" w14:paraId="2E4EE2E6" w14:textId="77777777">
        <w:trPr>
          <w:jc w:val="center"/>
        </w:trPr>
        <w:tc>
          <w:tcPr>
            <w:tcW w:w="0" w:type="auto"/>
            <w:gridSpan w:val="3"/>
            <w:tcBorders>
              <w:top w:val="single" w:sz="8" w:space="0" w:color="000000"/>
            </w:tcBorders>
            <w:tcMar>
              <w:top w:w="30" w:type="dxa"/>
              <w:left w:w="20" w:type="dxa"/>
              <w:bottom w:w="30" w:type="dxa"/>
              <w:right w:w="20" w:type="dxa"/>
            </w:tcMar>
            <w:hideMark/>
          </w:tcPr>
          <w:p w14:paraId="07AA131E" w14:textId="77777777" w:rsidR="00000000" w:rsidRDefault="00C1661D">
            <w:pPr>
              <w:spacing w:after="100"/>
              <w:rPr>
                <w:rFonts w:eastAsia="Times New Roman"/>
              </w:rPr>
            </w:pPr>
            <w:r>
              <w:rPr>
                <w:rFonts w:eastAsia="Times New Roman"/>
                <w:color w:val="000000"/>
                <w:sz w:val="20"/>
                <w:szCs w:val="20"/>
              </w:rPr>
              <w:t>3.1</w:t>
            </w:r>
          </w:p>
        </w:tc>
        <w:tc>
          <w:tcPr>
            <w:tcW w:w="0" w:type="auto"/>
            <w:gridSpan w:val="3"/>
            <w:tcBorders>
              <w:top w:val="single" w:sz="8" w:space="0" w:color="000000"/>
            </w:tcBorders>
            <w:tcMar>
              <w:top w:w="30" w:type="dxa"/>
              <w:left w:w="20" w:type="dxa"/>
              <w:bottom w:w="30" w:type="dxa"/>
              <w:right w:w="20" w:type="dxa"/>
            </w:tcMar>
            <w:hideMark/>
          </w:tcPr>
          <w:p w14:paraId="22AC16E7" w14:textId="77777777" w:rsidR="00000000" w:rsidRDefault="00C1661D">
            <w:pPr>
              <w:spacing w:after="100"/>
              <w:divId w:val="1387756833"/>
              <w:rPr>
                <w:rFonts w:eastAsia="Times New Roman"/>
              </w:rPr>
            </w:pPr>
            <w:hyperlink r:id="rId6" w:history="1">
              <w:r>
                <w:rPr>
                  <w:rStyle w:val="a3"/>
                  <w:rFonts w:eastAsia="Times New Roman"/>
                  <w:sz w:val="20"/>
                  <w:szCs w:val="20"/>
                </w:rPr>
                <w:t>(Second) Amended and Restated Articles of Incorporation of the Company as amended through June 6, 2005.</w:t>
              </w:r>
            </w:hyperlink>
          </w:p>
        </w:tc>
        <w:tc>
          <w:tcPr>
            <w:tcW w:w="0" w:type="auto"/>
            <w:gridSpan w:val="3"/>
            <w:tcBorders>
              <w:top w:val="single" w:sz="8" w:space="0" w:color="000000"/>
            </w:tcBorders>
            <w:tcMar>
              <w:top w:w="30" w:type="dxa"/>
              <w:left w:w="20" w:type="dxa"/>
              <w:bottom w:w="30" w:type="dxa"/>
              <w:right w:w="20" w:type="dxa"/>
            </w:tcMar>
            <w:hideMark/>
          </w:tcPr>
          <w:p w14:paraId="3EF76DD1"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Borders>
              <w:top w:val="single" w:sz="8" w:space="0" w:color="000000"/>
            </w:tcBorders>
            <w:tcMar>
              <w:top w:w="30" w:type="dxa"/>
              <w:left w:w="20" w:type="dxa"/>
              <w:bottom w:w="30" w:type="dxa"/>
              <w:right w:w="20" w:type="dxa"/>
            </w:tcMar>
            <w:hideMark/>
          </w:tcPr>
          <w:p w14:paraId="353CB2DC" w14:textId="77777777" w:rsidR="00000000" w:rsidRDefault="00C1661D">
            <w:pPr>
              <w:spacing w:after="100"/>
              <w:jc w:val="center"/>
              <w:rPr>
                <w:rFonts w:eastAsia="Times New Roman"/>
              </w:rPr>
            </w:pPr>
            <w:r>
              <w:rPr>
                <w:rFonts w:eastAsia="Times New Roman"/>
                <w:color w:val="000000"/>
                <w:sz w:val="20"/>
                <w:szCs w:val="20"/>
              </w:rPr>
              <w:t>Form 10-Q (6/30/05)</w:t>
            </w:r>
          </w:p>
        </w:tc>
        <w:tc>
          <w:tcPr>
            <w:tcW w:w="0" w:type="auto"/>
            <w:gridSpan w:val="3"/>
            <w:tcBorders>
              <w:top w:val="single" w:sz="8" w:space="0" w:color="000000"/>
            </w:tcBorders>
            <w:tcMar>
              <w:top w:w="30" w:type="dxa"/>
              <w:left w:w="20" w:type="dxa"/>
              <w:bottom w:w="30" w:type="dxa"/>
              <w:right w:w="20" w:type="dxa"/>
            </w:tcMar>
            <w:hideMark/>
          </w:tcPr>
          <w:p w14:paraId="74A663C8" w14:textId="77777777" w:rsidR="00000000" w:rsidRDefault="00C1661D">
            <w:pPr>
              <w:spacing w:after="100"/>
              <w:rPr>
                <w:rFonts w:eastAsia="Times New Roman"/>
              </w:rPr>
            </w:pPr>
            <w:r>
              <w:rPr>
                <w:rFonts w:eastAsia="Times New Roman"/>
                <w:color w:val="000000"/>
                <w:sz w:val="20"/>
                <w:szCs w:val="20"/>
              </w:rPr>
              <w:t>3.1</w:t>
            </w:r>
          </w:p>
        </w:tc>
      </w:tr>
    </w:tbl>
    <w:p w14:paraId="2363531E" w14:textId="77777777" w:rsidR="00000000" w:rsidRDefault="00C1661D">
      <w:pPr>
        <w:jc w:val="center"/>
        <w:divId w:val="1656252448"/>
        <w:rPr>
          <w:rFonts w:eastAsia="Times New Roman"/>
        </w:rPr>
      </w:pPr>
      <w:r>
        <w:rPr>
          <w:rFonts w:eastAsia="Times New Roman"/>
          <w:color w:val="000000"/>
          <w:sz w:val="20"/>
          <w:szCs w:val="20"/>
        </w:rPr>
        <w:t>73</w:t>
      </w:r>
    </w:p>
    <w:p w14:paraId="34787D44" w14:textId="77777777" w:rsidR="00000000" w:rsidRDefault="00C1661D">
      <w:pPr>
        <w:rPr>
          <w:rFonts w:eastAsia="Times New Roman"/>
        </w:rPr>
      </w:pPr>
      <w:r>
        <w:rPr>
          <w:rFonts w:eastAsia="Times New Roman"/>
        </w:rPr>
        <w:pict w14:anchorId="602B9A15">
          <v:rect id="_x0000_i1100" style="width:0;height:1.5pt" o:hralign="center" o:hrstd="t" o:hr="t" fillcolor="#a0a0a0" stroked="f"/>
        </w:pict>
      </w:r>
    </w:p>
    <w:p w14:paraId="0D6A6B9A" w14:textId="77777777" w:rsidR="00000000" w:rsidRDefault="00C1661D">
      <w:pPr>
        <w:divId w:val="1450733383"/>
        <w:rPr>
          <w:rFonts w:eastAsia="Times New Roman"/>
        </w:rPr>
      </w:pPr>
      <w:hyperlink w:anchor="i3850c3c6c0104e42b9951aac2f16098a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8"/>
        <w:gridCol w:w="55"/>
        <w:gridCol w:w="1693"/>
        <w:gridCol w:w="36"/>
        <w:gridCol w:w="63"/>
        <w:gridCol w:w="542"/>
        <w:gridCol w:w="38"/>
        <w:gridCol w:w="63"/>
        <w:gridCol w:w="544"/>
        <w:gridCol w:w="37"/>
        <w:gridCol w:w="57"/>
        <w:gridCol w:w="696"/>
        <w:gridCol w:w="36"/>
      </w:tblGrid>
      <w:tr w:rsidR="00000000" w14:paraId="3DC7E931" w14:textId="77777777">
        <w:trPr>
          <w:jc w:val="center"/>
        </w:trPr>
        <w:tc>
          <w:tcPr>
            <w:tcW w:w="50" w:type="pct"/>
            <w:vAlign w:val="center"/>
            <w:hideMark/>
          </w:tcPr>
          <w:p w14:paraId="46AEBAE0" w14:textId="77777777" w:rsidR="00000000" w:rsidRDefault="00C1661D">
            <w:pPr>
              <w:rPr>
                <w:rFonts w:eastAsia="Times New Roman"/>
              </w:rPr>
            </w:pPr>
          </w:p>
        </w:tc>
        <w:tc>
          <w:tcPr>
            <w:tcW w:w="729" w:type="pct"/>
            <w:vAlign w:val="center"/>
            <w:hideMark/>
          </w:tcPr>
          <w:p w14:paraId="38440B9A" w14:textId="77777777" w:rsidR="00000000" w:rsidRDefault="00C1661D">
            <w:pPr>
              <w:spacing w:after="100"/>
              <w:rPr>
                <w:rFonts w:eastAsia="Times New Roman"/>
                <w:sz w:val="20"/>
                <w:szCs w:val="20"/>
              </w:rPr>
            </w:pPr>
          </w:p>
        </w:tc>
        <w:tc>
          <w:tcPr>
            <w:tcW w:w="5" w:type="pct"/>
            <w:vAlign w:val="center"/>
            <w:hideMark/>
          </w:tcPr>
          <w:p w14:paraId="257DDFD3" w14:textId="77777777" w:rsidR="00000000" w:rsidRDefault="00C1661D">
            <w:pPr>
              <w:spacing w:after="100"/>
              <w:rPr>
                <w:rFonts w:eastAsia="Times New Roman"/>
                <w:sz w:val="20"/>
                <w:szCs w:val="20"/>
              </w:rPr>
            </w:pPr>
          </w:p>
        </w:tc>
        <w:tc>
          <w:tcPr>
            <w:tcW w:w="50" w:type="pct"/>
            <w:vAlign w:val="center"/>
            <w:hideMark/>
          </w:tcPr>
          <w:p w14:paraId="69006310" w14:textId="77777777" w:rsidR="00000000" w:rsidRDefault="00C1661D">
            <w:pPr>
              <w:spacing w:after="100"/>
              <w:rPr>
                <w:rFonts w:eastAsia="Times New Roman"/>
                <w:sz w:val="20"/>
                <w:szCs w:val="20"/>
              </w:rPr>
            </w:pPr>
          </w:p>
        </w:tc>
        <w:tc>
          <w:tcPr>
            <w:tcW w:w="1419" w:type="pct"/>
            <w:vAlign w:val="center"/>
            <w:hideMark/>
          </w:tcPr>
          <w:p w14:paraId="4EE54C9B" w14:textId="77777777" w:rsidR="00000000" w:rsidRDefault="00C1661D">
            <w:pPr>
              <w:spacing w:after="100"/>
              <w:rPr>
                <w:rFonts w:eastAsia="Times New Roman"/>
                <w:sz w:val="20"/>
                <w:szCs w:val="20"/>
              </w:rPr>
            </w:pPr>
          </w:p>
        </w:tc>
        <w:tc>
          <w:tcPr>
            <w:tcW w:w="5" w:type="pct"/>
            <w:vAlign w:val="center"/>
            <w:hideMark/>
          </w:tcPr>
          <w:p w14:paraId="4DB8B072" w14:textId="77777777" w:rsidR="00000000" w:rsidRDefault="00C1661D">
            <w:pPr>
              <w:spacing w:after="100"/>
              <w:rPr>
                <w:rFonts w:eastAsia="Times New Roman"/>
                <w:sz w:val="20"/>
                <w:szCs w:val="20"/>
              </w:rPr>
            </w:pPr>
          </w:p>
        </w:tc>
        <w:tc>
          <w:tcPr>
            <w:tcW w:w="50" w:type="pct"/>
            <w:vAlign w:val="center"/>
            <w:hideMark/>
          </w:tcPr>
          <w:p w14:paraId="4155F2F6" w14:textId="77777777" w:rsidR="00000000" w:rsidRDefault="00C1661D">
            <w:pPr>
              <w:spacing w:after="100"/>
              <w:rPr>
                <w:rFonts w:eastAsia="Times New Roman"/>
                <w:sz w:val="20"/>
                <w:szCs w:val="20"/>
              </w:rPr>
            </w:pPr>
          </w:p>
        </w:tc>
        <w:tc>
          <w:tcPr>
            <w:tcW w:w="1212" w:type="pct"/>
            <w:vAlign w:val="center"/>
            <w:hideMark/>
          </w:tcPr>
          <w:p w14:paraId="19569046" w14:textId="77777777" w:rsidR="00000000" w:rsidRDefault="00C1661D">
            <w:pPr>
              <w:spacing w:after="100"/>
              <w:rPr>
                <w:rFonts w:eastAsia="Times New Roman"/>
                <w:sz w:val="20"/>
                <w:szCs w:val="20"/>
              </w:rPr>
            </w:pPr>
          </w:p>
        </w:tc>
        <w:tc>
          <w:tcPr>
            <w:tcW w:w="5" w:type="pct"/>
            <w:vAlign w:val="center"/>
            <w:hideMark/>
          </w:tcPr>
          <w:p w14:paraId="28E99D28" w14:textId="77777777" w:rsidR="00000000" w:rsidRDefault="00C1661D">
            <w:pPr>
              <w:spacing w:after="100"/>
              <w:rPr>
                <w:rFonts w:eastAsia="Times New Roman"/>
                <w:sz w:val="20"/>
                <w:szCs w:val="20"/>
              </w:rPr>
            </w:pPr>
          </w:p>
        </w:tc>
        <w:tc>
          <w:tcPr>
            <w:tcW w:w="50" w:type="pct"/>
            <w:vAlign w:val="center"/>
            <w:hideMark/>
          </w:tcPr>
          <w:p w14:paraId="253EC533" w14:textId="77777777" w:rsidR="00000000" w:rsidRDefault="00C1661D">
            <w:pPr>
              <w:spacing w:after="100"/>
              <w:rPr>
                <w:rFonts w:eastAsia="Times New Roman"/>
                <w:sz w:val="20"/>
                <w:szCs w:val="20"/>
              </w:rPr>
            </w:pPr>
          </w:p>
        </w:tc>
        <w:tc>
          <w:tcPr>
            <w:tcW w:w="401" w:type="pct"/>
            <w:vAlign w:val="center"/>
            <w:hideMark/>
          </w:tcPr>
          <w:p w14:paraId="741FFBCF" w14:textId="77777777" w:rsidR="00000000" w:rsidRDefault="00C1661D">
            <w:pPr>
              <w:spacing w:after="100"/>
              <w:rPr>
                <w:rFonts w:eastAsia="Times New Roman"/>
                <w:sz w:val="20"/>
                <w:szCs w:val="20"/>
              </w:rPr>
            </w:pPr>
          </w:p>
        </w:tc>
        <w:tc>
          <w:tcPr>
            <w:tcW w:w="5" w:type="pct"/>
            <w:vAlign w:val="center"/>
            <w:hideMark/>
          </w:tcPr>
          <w:p w14:paraId="0A0C1C94" w14:textId="77777777" w:rsidR="00000000" w:rsidRDefault="00C1661D">
            <w:pPr>
              <w:spacing w:after="100"/>
              <w:rPr>
                <w:rFonts w:eastAsia="Times New Roman"/>
                <w:sz w:val="20"/>
                <w:szCs w:val="20"/>
              </w:rPr>
            </w:pPr>
          </w:p>
        </w:tc>
        <w:tc>
          <w:tcPr>
            <w:tcW w:w="50" w:type="pct"/>
            <w:vAlign w:val="center"/>
            <w:hideMark/>
          </w:tcPr>
          <w:p w14:paraId="0DB10E4B" w14:textId="77777777" w:rsidR="00000000" w:rsidRDefault="00C1661D">
            <w:pPr>
              <w:spacing w:after="100"/>
              <w:rPr>
                <w:rFonts w:eastAsia="Times New Roman"/>
                <w:sz w:val="20"/>
                <w:szCs w:val="20"/>
              </w:rPr>
            </w:pPr>
          </w:p>
        </w:tc>
        <w:tc>
          <w:tcPr>
            <w:tcW w:w="401" w:type="pct"/>
            <w:vAlign w:val="center"/>
            <w:hideMark/>
          </w:tcPr>
          <w:p w14:paraId="5C7E1362" w14:textId="77777777" w:rsidR="00000000" w:rsidRDefault="00C1661D">
            <w:pPr>
              <w:spacing w:after="100"/>
              <w:rPr>
                <w:rFonts w:eastAsia="Times New Roman"/>
                <w:sz w:val="20"/>
                <w:szCs w:val="20"/>
              </w:rPr>
            </w:pPr>
          </w:p>
        </w:tc>
        <w:tc>
          <w:tcPr>
            <w:tcW w:w="5" w:type="pct"/>
            <w:vAlign w:val="center"/>
            <w:hideMark/>
          </w:tcPr>
          <w:p w14:paraId="6BBA8305" w14:textId="77777777" w:rsidR="00000000" w:rsidRDefault="00C1661D">
            <w:pPr>
              <w:spacing w:after="100"/>
              <w:rPr>
                <w:rFonts w:eastAsia="Times New Roman"/>
                <w:sz w:val="20"/>
                <w:szCs w:val="20"/>
              </w:rPr>
            </w:pPr>
          </w:p>
        </w:tc>
        <w:tc>
          <w:tcPr>
            <w:tcW w:w="50" w:type="pct"/>
            <w:vAlign w:val="center"/>
            <w:hideMark/>
          </w:tcPr>
          <w:p w14:paraId="6D4150A6" w14:textId="77777777" w:rsidR="00000000" w:rsidRDefault="00C1661D">
            <w:pPr>
              <w:spacing w:after="100"/>
              <w:rPr>
                <w:rFonts w:eastAsia="Times New Roman"/>
                <w:sz w:val="20"/>
                <w:szCs w:val="20"/>
              </w:rPr>
            </w:pPr>
          </w:p>
        </w:tc>
        <w:tc>
          <w:tcPr>
            <w:tcW w:w="505" w:type="pct"/>
            <w:vAlign w:val="center"/>
            <w:hideMark/>
          </w:tcPr>
          <w:p w14:paraId="7DBFD7A1" w14:textId="77777777" w:rsidR="00000000" w:rsidRDefault="00C1661D">
            <w:pPr>
              <w:spacing w:after="100"/>
              <w:rPr>
                <w:rFonts w:eastAsia="Times New Roman"/>
                <w:sz w:val="20"/>
                <w:szCs w:val="20"/>
              </w:rPr>
            </w:pPr>
          </w:p>
        </w:tc>
        <w:tc>
          <w:tcPr>
            <w:tcW w:w="5" w:type="pct"/>
            <w:vAlign w:val="center"/>
            <w:hideMark/>
          </w:tcPr>
          <w:p w14:paraId="43C027E9" w14:textId="77777777" w:rsidR="00000000" w:rsidRDefault="00C1661D">
            <w:pPr>
              <w:spacing w:after="100"/>
              <w:rPr>
                <w:rFonts w:eastAsia="Times New Roman"/>
                <w:sz w:val="20"/>
                <w:szCs w:val="20"/>
              </w:rPr>
            </w:pPr>
          </w:p>
        </w:tc>
      </w:tr>
      <w:tr w:rsidR="00000000" w14:paraId="5E07626A" w14:textId="77777777">
        <w:trPr>
          <w:jc w:val="center"/>
        </w:trPr>
        <w:tc>
          <w:tcPr>
            <w:tcW w:w="0" w:type="auto"/>
            <w:gridSpan w:val="18"/>
            <w:tcMar>
              <w:top w:w="30" w:type="dxa"/>
              <w:left w:w="20" w:type="dxa"/>
              <w:bottom w:w="30" w:type="dxa"/>
              <w:right w:w="20" w:type="dxa"/>
            </w:tcMar>
            <w:hideMark/>
          </w:tcPr>
          <w:p w14:paraId="3949C495" w14:textId="77777777" w:rsidR="00000000" w:rsidRDefault="00C1661D">
            <w:pPr>
              <w:spacing w:after="100"/>
              <w:rPr>
                <w:rFonts w:eastAsia="Times New Roman"/>
              </w:rPr>
            </w:pPr>
            <w:r>
              <w:rPr>
                <w:rFonts w:eastAsia="Times New Roman"/>
                <w:color w:val="000000"/>
                <w:sz w:val="20"/>
                <w:szCs w:val="20"/>
              </w:rPr>
              <w:t>Incorporation by Reference</w:t>
            </w:r>
          </w:p>
        </w:tc>
      </w:tr>
      <w:tr w:rsidR="00000000" w14:paraId="42799A64" w14:textId="77777777">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5C5777FD" w14:textId="77777777" w:rsidR="00000000" w:rsidRDefault="00C1661D">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22A30BF0" w14:textId="77777777" w:rsidR="00000000" w:rsidRDefault="00C1661D">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640DC6A9" w14:textId="77777777" w:rsidR="00000000" w:rsidRDefault="00C1661D">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14:paraId="7F8B1E61" w14:textId="77777777" w:rsidR="00000000" w:rsidRDefault="00C1661D">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1719590A" w14:textId="77777777" w:rsidR="00000000" w:rsidRDefault="00C1661D">
            <w:pPr>
              <w:spacing w:after="100"/>
              <w:rPr>
                <w:rFonts w:eastAsia="Times New Roman"/>
              </w:rPr>
            </w:pPr>
            <w:r>
              <w:rPr>
                <w:rFonts w:eastAsia="Times New Roman"/>
                <w:color w:val="000000"/>
                <w:sz w:val="20"/>
                <w:szCs w:val="20"/>
              </w:rPr>
              <w:t>Exhibit</w:t>
            </w:r>
          </w:p>
        </w:tc>
      </w:tr>
      <w:tr w:rsidR="00000000" w14:paraId="3E9B38AB" w14:textId="77777777">
        <w:trPr>
          <w:jc w:val="center"/>
        </w:trPr>
        <w:tc>
          <w:tcPr>
            <w:tcW w:w="0" w:type="auto"/>
            <w:gridSpan w:val="3"/>
            <w:tcMar>
              <w:top w:w="30" w:type="dxa"/>
              <w:left w:w="20" w:type="dxa"/>
              <w:bottom w:w="30" w:type="dxa"/>
              <w:right w:w="20" w:type="dxa"/>
            </w:tcMar>
            <w:hideMark/>
          </w:tcPr>
          <w:p w14:paraId="4E24CC4A" w14:textId="77777777" w:rsidR="00000000" w:rsidRDefault="00C1661D">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14:paraId="74BE042D" w14:textId="77777777" w:rsidR="00000000" w:rsidRDefault="00C1661D">
            <w:pPr>
              <w:spacing w:after="100"/>
              <w:divId w:val="2063866198"/>
              <w:rPr>
                <w:rFonts w:eastAsia="Times New Roman"/>
              </w:rPr>
            </w:pPr>
            <w:hyperlink r:id="rId7" w:history="1">
              <w:r>
                <w:rPr>
                  <w:rStyle w:val="a3"/>
                  <w:rFonts w:eastAsia="Times New Roman"/>
                  <w:sz w:val="20"/>
                  <w:szCs w:val="20"/>
                </w:rPr>
                <w:t>Articles of Amendment to the Amended and Restated Articles of Incorporation of UGI Corporation.</w:t>
              </w:r>
            </w:hyperlink>
          </w:p>
        </w:tc>
        <w:tc>
          <w:tcPr>
            <w:tcW w:w="0" w:type="auto"/>
            <w:gridSpan w:val="3"/>
            <w:tcMar>
              <w:top w:w="30" w:type="dxa"/>
              <w:left w:w="20" w:type="dxa"/>
              <w:bottom w:w="30" w:type="dxa"/>
              <w:right w:w="20" w:type="dxa"/>
            </w:tcMar>
            <w:hideMark/>
          </w:tcPr>
          <w:p w14:paraId="38B3359F"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4E1CF797" w14:textId="77777777" w:rsidR="00000000" w:rsidRDefault="00C1661D">
            <w:pPr>
              <w:spacing w:after="100"/>
              <w:jc w:val="center"/>
              <w:rPr>
                <w:rFonts w:eastAsia="Times New Roman"/>
              </w:rPr>
            </w:pPr>
            <w:r>
              <w:rPr>
                <w:rFonts w:eastAsia="Times New Roman"/>
                <w:color w:val="000000"/>
                <w:sz w:val="20"/>
                <w:szCs w:val="20"/>
              </w:rPr>
              <w:t>Form 8-K (7/29/14)</w:t>
            </w:r>
          </w:p>
        </w:tc>
        <w:tc>
          <w:tcPr>
            <w:tcW w:w="0" w:type="auto"/>
            <w:gridSpan w:val="3"/>
            <w:tcMar>
              <w:top w:w="30" w:type="dxa"/>
              <w:left w:w="20" w:type="dxa"/>
              <w:bottom w:w="30" w:type="dxa"/>
              <w:right w:w="20" w:type="dxa"/>
            </w:tcMar>
            <w:hideMark/>
          </w:tcPr>
          <w:p w14:paraId="48534C19" w14:textId="77777777" w:rsidR="00000000" w:rsidRDefault="00C1661D">
            <w:pPr>
              <w:spacing w:after="100"/>
              <w:rPr>
                <w:rFonts w:eastAsia="Times New Roman"/>
              </w:rPr>
            </w:pPr>
            <w:r>
              <w:rPr>
                <w:rFonts w:eastAsia="Times New Roman"/>
                <w:color w:val="000000"/>
                <w:sz w:val="20"/>
                <w:szCs w:val="20"/>
              </w:rPr>
              <w:t>3.1</w:t>
            </w:r>
          </w:p>
        </w:tc>
      </w:tr>
      <w:tr w:rsidR="00000000" w14:paraId="7CA47B03" w14:textId="77777777">
        <w:trPr>
          <w:jc w:val="center"/>
        </w:trPr>
        <w:tc>
          <w:tcPr>
            <w:tcW w:w="0" w:type="auto"/>
            <w:gridSpan w:val="3"/>
            <w:tcMar>
              <w:top w:w="30" w:type="dxa"/>
              <w:left w:w="20" w:type="dxa"/>
              <w:bottom w:w="30" w:type="dxa"/>
              <w:right w:w="20" w:type="dxa"/>
            </w:tcMar>
            <w:hideMark/>
          </w:tcPr>
          <w:p w14:paraId="63D9CCF0" w14:textId="77777777" w:rsidR="00000000" w:rsidRDefault="00C1661D">
            <w:pPr>
              <w:spacing w:after="100"/>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hideMark/>
          </w:tcPr>
          <w:p w14:paraId="359804B4" w14:textId="77777777" w:rsidR="00000000" w:rsidRDefault="00C1661D">
            <w:pPr>
              <w:spacing w:after="100"/>
              <w:divId w:val="318267361"/>
              <w:rPr>
                <w:rFonts w:eastAsia="Times New Roman"/>
              </w:rPr>
            </w:pPr>
            <w:hyperlink r:id="rId8" w:history="1">
              <w:r>
                <w:rPr>
                  <w:rStyle w:val="a3"/>
                  <w:rFonts w:eastAsia="Times New Roman"/>
                  <w:sz w:val="20"/>
                  <w:szCs w:val="20"/>
                </w:rPr>
                <w:t>Bylaws of UGI Corporation, amended and restated as of July 25, 2017.</w:t>
              </w:r>
            </w:hyperlink>
          </w:p>
        </w:tc>
        <w:tc>
          <w:tcPr>
            <w:tcW w:w="0" w:type="auto"/>
            <w:gridSpan w:val="3"/>
            <w:tcMar>
              <w:top w:w="30" w:type="dxa"/>
              <w:left w:w="20" w:type="dxa"/>
              <w:bottom w:w="30" w:type="dxa"/>
              <w:right w:w="20" w:type="dxa"/>
            </w:tcMar>
            <w:hideMark/>
          </w:tcPr>
          <w:p w14:paraId="23F94E5A"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0" w:type="dxa"/>
              <w:bottom w:w="30" w:type="dxa"/>
              <w:right w:w="200" w:type="dxa"/>
            </w:tcMar>
            <w:hideMark/>
          </w:tcPr>
          <w:p w14:paraId="2E3F87D2" w14:textId="77777777" w:rsidR="00000000" w:rsidRDefault="00C1661D">
            <w:pPr>
              <w:spacing w:after="100"/>
              <w:jc w:val="center"/>
              <w:rPr>
                <w:rFonts w:eastAsia="Times New Roman"/>
              </w:rPr>
            </w:pPr>
            <w:r>
              <w:rPr>
                <w:rFonts w:eastAsia="Times New Roman"/>
                <w:color w:val="000000"/>
                <w:sz w:val="20"/>
                <w:szCs w:val="20"/>
              </w:rPr>
              <w:t>Form 8-K (7/31/17)</w:t>
            </w:r>
          </w:p>
        </w:tc>
        <w:tc>
          <w:tcPr>
            <w:tcW w:w="0" w:type="auto"/>
            <w:gridSpan w:val="3"/>
            <w:tcMar>
              <w:top w:w="30" w:type="dxa"/>
              <w:left w:w="20" w:type="dxa"/>
              <w:bottom w:w="30" w:type="dxa"/>
              <w:right w:w="20" w:type="dxa"/>
            </w:tcMar>
            <w:hideMark/>
          </w:tcPr>
          <w:p w14:paraId="564A54CF" w14:textId="77777777" w:rsidR="00000000" w:rsidRDefault="00C1661D">
            <w:pPr>
              <w:spacing w:after="100"/>
              <w:rPr>
                <w:rFonts w:eastAsia="Times New Roman"/>
              </w:rPr>
            </w:pPr>
            <w:r>
              <w:rPr>
                <w:rFonts w:eastAsia="Times New Roman"/>
                <w:color w:val="000000"/>
                <w:sz w:val="20"/>
                <w:szCs w:val="20"/>
              </w:rPr>
              <w:t>3.1</w:t>
            </w:r>
          </w:p>
        </w:tc>
      </w:tr>
      <w:tr w:rsidR="00000000" w14:paraId="184C680B" w14:textId="77777777">
        <w:trPr>
          <w:jc w:val="center"/>
        </w:trPr>
        <w:tc>
          <w:tcPr>
            <w:tcW w:w="0" w:type="auto"/>
            <w:gridSpan w:val="3"/>
            <w:tcMar>
              <w:top w:w="30" w:type="dxa"/>
              <w:left w:w="20" w:type="dxa"/>
              <w:bottom w:w="30" w:type="dxa"/>
              <w:right w:w="20" w:type="dxa"/>
            </w:tcMar>
            <w:hideMark/>
          </w:tcPr>
          <w:p w14:paraId="4D101EEB" w14:textId="77777777" w:rsidR="00000000" w:rsidRDefault="00C1661D">
            <w:pPr>
              <w:spacing w:after="100"/>
              <w:rPr>
                <w:rFonts w:eastAsia="Times New Roman"/>
              </w:rPr>
            </w:pPr>
            <w:r>
              <w:rPr>
                <w:rFonts w:eastAsia="Times New Roman"/>
                <w:color w:val="000000"/>
                <w:sz w:val="20"/>
                <w:szCs w:val="20"/>
              </w:rPr>
              <w:t>3.4</w:t>
            </w:r>
          </w:p>
        </w:tc>
        <w:tc>
          <w:tcPr>
            <w:tcW w:w="0" w:type="auto"/>
            <w:gridSpan w:val="3"/>
            <w:tcMar>
              <w:top w:w="30" w:type="dxa"/>
              <w:left w:w="20" w:type="dxa"/>
              <w:bottom w:w="30" w:type="dxa"/>
              <w:right w:w="20" w:type="dxa"/>
            </w:tcMar>
            <w:hideMark/>
          </w:tcPr>
          <w:p w14:paraId="7E7F0EE2" w14:textId="77777777" w:rsidR="00000000" w:rsidRDefault="00C1661D">
            <w:pPr>
              <w:spacing w:after="100"/>
              <w:divId w:val="1675768056"/>
              <w:rPr>
                <w:rFonts w:eastAsia="Times New Roman"/>
              </w:rPr>
            </w:pPr>
            <w:hyperlink r:id="rId9" w:history="1">
              <w:r>
                <w:rPr>
                  <w:rStyle w:val="a3"/>
                  <w:rFonts w:eastAsia="Times New Roman"/>
                  <w:sz w:val="20"/>
                  <w:szCs w:val="20"/>
                </w:rPr>
                <w:t>Statement with Respect to Shares of the Company with respect to the Convertible Preferred Stock, filed with the Secretary of the Commonwealth of Pennsylv</w:t>
              </w:r>
              <w:r>
                <w:rPr>
                  <w:rStyle w:val="a3"/>
                  <w:rFonts w:eastAsia="Times New Roman"/>
                  <w:sz w:val="20"/>
                  <w:szCs w:val="20"/>
                </w:rPr>
                <w:t>ania and effective on May 25, 2021.</w:t>
              </w:r>
            </w:hyperlink>
          </w:p>
        </w:tc>
        <w:tc>
          <w:tcPr>
            <w:tcW w:w="0" w:type="auto"/>
            <w:gridSpan w:val="3"/>
            <w:tcMar>
              <w:top w:w="30" w:type="dxa"/>
              <w:left w:w="20" w:type="dxa"/>
              <w:bottom w:w="30" w:type="dxa"/>
              <w:right w:w="20" w:type="dxa"/>
            </w:tcMar>
            <w:hideMark/>
          </w:tcPr>
          <w:p w14:paraId="6B6AFB6B"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023C39E0"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14:paraId="5B84FF8B" w14:textId="77777777" w:rsidR="00000000" w:rsidRDefault="00C1661D">
            <w:pPr>
              <w:spacing w:after="100"/>
              <w:rPr>
                <w:rFonts w:eastAsia="Times New Roman"/>
              </w:rPr>
            </w:pPr>
            <w:r>
              <w:rPr>
                <w:rFonts w:eastAsia="Times New Roman"/>
                <w:color w:val="000000"/>
                <w:sz w:val="20"/>
                <w:szCs w:val="20"/>
              </w:rPr>
              <w:t>3.1</w:t>
            </w:r>
          </w:p>
        </w:tc>
      </w:tr>
      <w:tr w:rsidR="00000000" w14:paraId="573C84B9" w14:textId="77777777">
        <w:trPr>
          <w:jc w:val="center"/>
        </w:trPr>
        <w:tc>
          <w:tcPr>
            <w:tcW w:w="0" w:type="auto"/>
            <w:gridSpan w:val="3"/>
            <w:tcMar>
              <w:top w:w="30" w:type="dxa"/>
              <w:left w:w="20" w:type="dxa"/>
              <w:bottom w:w="30" w:type="dxa"/>
              <w:right w:w="20" w:type="dxa"/>
            </w:tcMar>
            <w:hideMark/>
          </w:tcPr>
          <w:p w14:paraId="464031BB" w14:textId="77777777" w:rsidR="00000000" w:rsidRDefault="00C1661D">
            <w:pPr>
              <w:spacing w:after="100"/>
              <w:rPr>
                <w:rFonts w:eastAsia="Times New Roman"/>
              </w:rPr>
            </w:pPr>
            <w:r>
              <w:rPr>
                <w:rFonts w:eastAsia="Times New Roman"/>
                <w:color w:val="000000"/>
                <w:sz w:val="20"/>
                <w:szCs w:val="20"/>
              </w:rPr>
              <w:t>3.5</w:t>
            </w:r>
          </w:p>
        </w:tc>
        <w:tc>
          <w:tcPr>
            <w:tcW w:w="0" w:type="auto"/>
            <w:gridSpan w:val="3"/>
            <w:tcMar>
              <w:top w:w="30" w:type="dxa"/>
              <w:left w:w="20" w:type="dxa"/>
              <w:bottom w:w="30" w:type="dxa"/>
              <w:right w:w="20" w:type="dxa"/>
            </w:tcMar>
            <w:hideMark/>
          </w:tcPr>
          <w:p w14:paraId="27C0B491" w14:textId="77777777" w:rsidR="00000000" w:rsidRDefault="00C1661D">
            <w:pPr>
              <w:spacing w:after="100"/>
              <w:divId w:val="1088236048"/>
              <w:rPr>
                <w:rFonts w:eastAsia="Times New Roman"/>
              </w:rPr>
            </w:pPr>
            <w:hyperlink r:id="rId10" w:history="1">
              <w:r>
                <w:rPr>
                  <w:rStyle w:val="a3"/>
                  <w:rFonts w:eastAsia="Times New Roman"/>
                  <w:sz w:val="20"/>
                  <w:szCs w:val="20"/>
                </w:rPr>
                <w:t>Statement with Respect to Shares of the Company with respect to the Series B Preferred Stock, filed with the Secretary of the Commonwealth of Pennsylvani</w:t>
              </w:r>
              <w:r>
                <w:rPr>
                  <w:rStyle w:val="a3"/>
                  <w:rFonts w:eastAsia="Times New Roman"/>
                  <w:sz w:val="20"/>
                  <w:szCs w:val="20"/>
                </w:rPr>
                <w:t>a and effective on May 25, 2021.</w:t>
              </w:r>
            </w:hyperlink>
          </w:p>
        </w:tc>
        <w:tc>
          <w:tcPr>
            <w:tcW w:w="0" w:type="auto"/>
            <w:gridSpan w:val="3"/>
            <w:tcMar>
              <w:top w:w="30" w:type="dxa"/>
              <w:left w:w="20" w:type="dxa"/>
              <w:bottom w:w="30" w:type="dxa"/>
              <w:right w:w="20" w:type="dxa"/>
            </w:tcMar>
            <w:hideMark/>
          </w:tcPr>
          <w:p w14:paraId="26DBEC27"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5DFF66F6"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14:paraId="2A1DE08F" w14:textId="77777777" w:rsidR="00000000" w:rsidRDefault="00C1661D">
            <w:pPr>
              <w:spacing w:after="100"/>
              <w:rPr>
                <w:rFonts w:eastAsia="Times New Roman"/>
              </w:rPr>
            </w:pPr>
            <w:r>
              <w:rPr>
                <w:rFonts w:eastAsia="Times New Roman"/>
                <w:color w:val="000000"/>
                <w:sz w:val="20"/>
                <w:szCs w:val="20"/>
              </w:rPr>
              <w:t>3.2</w:t>
            </w:r>
          </w:p>
        </w:tc>
      </w:tr>
      <w:tr w:rsidR="00000000" w14:paraId="1B1642D7" w14:textId="77777777">
        <w:trPr>
          <w:jc w:val="center"/>
        </w:trPr>
        <w:tc>
          <w:tcPr>
            <w:tcW w:w="0" w:type="auto"/>
            <w:gridSpan w:val="3"/>
            <w:tcMar>
              <w:top w:w="30" w:type="dxa"/>
              <w:left w:w="20" w:type="dxa"/>
              <w:bottom w:w="30" w:type="dxa"/>
              <w:right w:w="20" w:type="dxa"/>
            </w:tcMar>
            <w:hideMark/>
          </w:tcPr>
          <w:p w14:paraId="47BC7E94" w14:textId="77777777" w:rsidR="00000000" w:rsidRDefault="00C1661D">
            <w:pPr>
              <w:spacing w:after="100"/>
              <w:rPr>
                <w:rFonts w:eastAsia="Times New Roman"/>
              </w:rPr>
            </w:pPr>
            <w:r>
              <w:rPr>
                <w:rFonts w:eastAsia="Times New Roman"/>
                <w:color w:val="000000"/>
                <w:sz w:val="20"/>
                <w:szCs w:val="20"/>
              </w:rPr>
              <w:t>4.1</w:t>
            </w:r>
          </w:p>
        </w:tc>
        <w:tc>
          <w:tcPr>
            <w:tcW w:w="0" w:type="auto"/>
            <w:gridSpan w:val="3"/>
            <w:tcMar>
              <w:top w:w="30" w:type="dxa"/>
              <w:left w:w="20" w:type="dxa"/>
              <w:bottom w:w="30" w:type="dxa"/>
              <w:right w:w="20" w:type="dxa"/>
            </w:tcMar>
            <w:hideMark/>
          </w:tcPr>
          <w:p w14:paraId="2550D7A6" w14:textId="77777777" w:rsidR="00000000" w:rsidRDefault="00C1661D">
            <w:pPr>
              <w:spacing w:after="100"/>
              <w:rPr>
                <w:rFonts w:eastAsia="Times New Roman"/>
              </w:rPr>
            </w:pPr>
            <w:r>
              <w:rPr>
                <w:rFonts w:eastAsia="Times New Roman"/>
                <w:color w:val="000000"/>
                <w:sz w:val="20"/>
                <w:szCs w:val="20"/>
              </w:rPr>
              <w:t>Instruments defining the rights of security holders, including indentures. (The Company agrees to furnish to the Commission upon request a copy of any instrument defining the rights of holders of long-term debt not required to be filed pursuant to Item 601</w:t>
            </w:r>
            <w:r>
              <w:rPr>
                <w:rFonts w:eastAsia="Times New Roman"/>
                <w:color w:val="000000"/>
                <w:sz w:val="20"/>
                <w:szCs w:val="20"/>
              </w:rPr>
              <w:t>(b)(4) of Regulation S-K).</w:t>
            </w:r>
          </w:p>
        </w:tc>
        <w:tc>
          <w:tcPr>
            <w:tcW w:w="0" w:type="auto"/>
            <w:gridSpan w:val="3"/>
            <w:tcMar>
              <w:top w:w="0" w:type="dxa"/>
              <w:left w:w="20" w:type="dxa"/>
              <w:bottom w:w="0" w:type="dxa"/>
              <w:right w:w="20" w:type="dxa"/>
            </w:tcMar>
            <w:vAlign w:val="center"/>
            <w:hideMark/>
          </w:tcPr>
          <w:p w14:paraId="296DB3A7" w14:textId="77777777" w:rsidR="00000000" w:rsidRDefault="00C1661D">
            <w:pPr>
              <w:spacing w:after="100"/>
              <w:rPr>
                <w:rFonts w:eastAsia="Times New Roman"/>
              </w:rPr>
            </w:pPr>
          </w:p>
        </w:tc>
        <w:tc>
          <w:tcPr>
            <w:tcW w:w="0" w:type="auto"/>
            <w:gridSpan w:val="6"/>
            <w:tcMar>
              <w:top w:w="0" w:type="dxa"/>
              <w:left w:w="20" w:type="dxa"/>
              <w:bottom w:w="0" w:type="dxa"/>
              <w:right w:w="20" w:type="dxa"/>
            </w:tcMar>
            <w:vAlign w:val="center"/>
            <w:hideMark/>
          </w:tcPr>
          <w:p w14:paraId="7091D7EB"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1552CD" w14:textId="77777777" w:rsidR="00000000" w:rsidRDefault="00C1661D">
            <w:pPr>
              <w:spacing w:after="100"/>
              <w:rPr>
                <w:rFonts w:eastAsia="Times New Roman"/>
                <w:sz w:val="20"/>
                <w:szCs w:val="20"/>
              </w:rPr>
            </w:pPr>
          </w:p>
        </w:tc>
      </w:tr>
      <w:tr w:rsidR="00000000" w14:paraId="3A03D78B" w14:textId="77777777">
        <w:trPr>
          <w:jc w:val="center"/>
        </w:trPr>
        <w:tc>
          <w:tcPr>
            <w:tcW w:w="0" w:type="auto"/>
            <w:gridSpan w:val="3"/>
            <w:tcMar>
              <w:top w:w="30" w:type="dxa"/>
              <w:left w:w="20" w:type="dxa"/>
              <w:bottom w:w="30" w:type="dxa"/>
              <w:right w:w="20" w:type="dxa"/>
            </w:tcMar>
            <w:hideMark/>
          </w:tcPr>
          <w:p w14:paraId="400EE6B5" w14:textId="77777777" w:rsidR="00000000" w:rsidRDefault="00C1661D">
            <w:pPr>
              <w:spacing w:after="100"/>
              <w:rPr>
                <w:rFonts w:eastAsia="Times New Roman"/>
              </w:rPr>
            </w:pPr>
            <w:r>
              <w:rPr>
                <w:rFonts w:eastAsia="Times New Roman"/>
                <w:color w:val="000000"/>
                <w:sz w:val="20"/>
                <w:szCs w:val="20"/>
              </w:rPr>
              <w:t>4.2</w:t>
            </w:r>
          </w:p>
        </w:tc>
        <w:tc>
          <w:tcPr>
            <w:tcW w:w="0" w:type="auto"/>
            <w:gridSpan w:val="3"/>
            <w:tcMar>
              <w:top w:w="30" w:type="dxa"/>
              <w:left w:w="20" w:type="dxa"/>
              <w:bottom w:w="30" w:type="dxa"/>
              <w:right w:w="20" w:type="dxa"/>
            </w:tcMar>
            <w:hideMark/>
          </w:tcPr>
          <w:p w14:paraId="16B574DD" w14:textId="77777777" w:rsidR="00000000" w:rsidRDefault="00C1661D">
            <w:pPr>
              <w:spacing w:after="100"/>
              <w:rPr>
                <w:rFonts w:eastAsia="Times New Roman"/>
              </w:rPr>
            </w:pPr>
            <w:r>
              <w:rPr>
                <w:rFonts w:eastAsia="Times New Roman"/>
                <w:color w:val="000000"/>
                <w:sz w:val="20"/>
                <w:szCs w:val="20"/>
              </w:rPr>
              <w:t>The description of the Company’s Common Stock contained in the Company’</w:t>
            </w:r>
            <w:r>
              <w:rPr>
                <w:rFonts w:eastAsia="Times New Roman"/>
                <w:color w:val="000000"/>
                <w:sz w:val="20"/>
                <w:szCs w:val="20"/>
              </w:rPr>
              <w:t>s registration statement filed under the Securities Exchange Act of 1934, as amended.</w:t>
            </w:r>
          </w:p>
        </w:tc>
        <w:tc>
          <w:tcPr>
            <w:tcW w:w="0" w:type="auto"/>
            <w:gridSpan w:val="3"/>
            <w:tcMar>
              <w:top w:w="30" w:type="dxa"/>
              <w:left w:w="20" w:type="dxa"/>
              <w:bottom w:w="30" w:type="dxa"/>
              <w:right w:w="20" w:type="dxa"/>
            </w:tcMar>
            <w:hideMark/>
          </w:tcPr>
          <w:p w14:paraId="4A510439"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211BD28E" w14:textId="77777777" w:rsidR="00000000" w:rsidRDefault="00C1661D">
            <w:pPr>
              <w:spacing w:after="100"/>
              <w:jc w:val="center"/>
              <w:rPr>
                <w:rFonts w:eastAsia="Times New Roman"/>
              </w:rPr>
            </w:pPr>
            <w:r>
              <w:rPr>
                <w:rFonts w:eastAsia="Times New Roman"/>
                <w:color w:val="000000"/>
                <w:sz w:val="20"/>
                <w:szCs w:val="20"/>
              </w:rPr>
              <w:t>Form 8-B/A (4/17/96)</w:t>
            </w:r>
          </w:p>
        </w:tc>
        <w:tc>
          <w:tcPr>
            <w:tcW w:w="0" w:type="auto"/>
            <w:gridSpan w:val="3"/>
            <w:tcMar>
              <w:top w:w="30" w:type="dxa"/>
              <w:left w:w="20" w:type="dxa"/>
              <w:bottom w:w="30" w:type="dxa"/>
              <w:right w:w="20" w:type="dxa"/>
            </w:tcMar>
            <w:hideMark/>
          </w:tcPr>
          <w:p w14:paraId="43694EE1" w14:textId="77777777" w:rsidR="00000000" w:rsidRDefault="00C1661D">
            <w:pPr>
              <w:spacing w:after="100"/>
              <w:rPr>
                <w:rFonts w:eastAsia="Times New Roman"/>
              </w:rPr>
            </w:pPr>
            <w:r>
              <w:rPr>
                <w:rFonts w:eastAsia="Times New Roman"/>
                <w:color w:val="000000"/>
                <w:sz w:val="20"/>
                <w:szCs w:val="20"/>
              </w:rPr>
              <w:t>3.(4)</w:t>
            </w:r>
          </w:p>
        </w:tc>
      </w:tr>
      <w:tr w:rsidR="00000000" w14:paraId="5EE844A5" w14:textId="77777777">
        <w:trPr>
          <w:jc w:val="center"/>
        </w:trPr>
        <w:tc>
          <w:tcPr>
            <w:tcW w:w="0" w:type="auto"/>
            <w:gridSpan w:val="3"/>
            <w:tcMar>
              <w:top w:w="30" w:type="dxa"/>
              <w:left w:w="20" w:type="dxa"/>
              <w:bottom w:w="30" w:type="dxa"/>
              <w:right w:w="20" w:type="dxa"/>
            </w:tcMar>
            <w:hideMark/>
          </w:tcPr>
          <w:p w14:paraId="4070C61D" w14:textId="77777777" w:rsidR="00000000" w:rsidRDefault="00C1661D">
            <w:pPr>
              <w:spacing w:after="100"/>
              <w:rPr>
                <w:rFonts w:eastAsia="Times New Roman"/>
              </w:rPr>
            </w:pPr>
            <w:r>
              <w:rPr>
                <w:rFonts w:eastAsia="Times New Roman"/>
                <w:color w:val="000000"/>
                <w:sz w:val="20"/>
                <w:szCs w:val="20"/>
              </w:rPr>
              <w:t>4.3</w:t>
            </w:r>
          </w:p>
        </w:tc>
        <w:tc>
          <w:tcPr>
            <w:tcW w:w="0" w:type="auto"/>
            <w:gridSpan w:val="3"/>
            <w:tcMar>
              <w:top w:w="30" w:type="dxa"/>
              <w:left w:w="20" w:type="dxa"/>
              <w:bottom w:w="30" w:type="dxa"/>
              <w:right w:w="20" w:type="dxa"/>
            </w:tcMar>
            <w:hideMark/>
          </w:tcPr>
          <w:p w14:paraId="416D1F7A" w14:textId="77777777" w:rsidR="00000000" w:rsidRDefault="00C1661D">
            <w:pPr>
              <w:spacing w:after="100"/>
              <w:rPr>
                <w:rFonts w:eastAsia="Times New Roman"/>
              </w:rPr>
            </w:pPr>
            <w:r>
              <w:rPr>
                <w:rFonts w:eastAsia="Times New Roman"/>
                <w:color w:val="000000"/>
                <w:sz w:val="20"/>
                <w:szCs w:val="20"/>
              </w:rPr>
              <w:t>UGI Corporation’</w:t>
            </w:r>
            <w:r>
              <w:rPr>
                <w:rFonts w:eastAsia="Times New Roman"/>
                <w:color w:val="000000"/>
                <w:sz w:val="20"/>
                <w:szCs w:val="20"/>
              </w:rPr>
              <w:t>s (Second) Amended and Restated Articles of Incorporation, as amended, and Bylaws referred to in 3.1, 3.2, and 3.3 above.</w:t>
            </w:r>
          </w:p>
        </w:tc>
        <w:tc>
          <w:tcPr>
            <w:tcW w:w="0" w:type="auto"/>
            <w:gridSpan w:val="3"/>
            <w:tcMar>
              <w:top w:w="0" w:type="dxa"/>
              <w:left w:w="20" w:type="dxa"/>
              <w:bottom w:w="0" w:type="dxa"/>
              <w:right w:w="20" w:type="dxa"/>
            </w:tcMar>
            <w:vAlign w:val="center"/>
            <w:hideMark/>
          </w:tcPr>
          <w:p w14:paraId="125D561A" w14:textId="77777777" w:rsidR="00000000" w:rsidRDefault="00C1661D">
            <w:pPr>
              <w:spacing w:after="100"/>
              <w:rPr>
                <w:rFonts w:eastAsia="Times New Roman"/>
              </w:rPr>
            </w:pPr>
          </w:p>
        </w:tc>
        <w:tc>
          <w:tcPr>
            <w:tcW w:w="0" w:type="auto"/>
            <w:gridSpan w:val="6"/>
            <w:tcMar>
              <w:top w:w="0" w:type="dxa"/>
              <w:left w:w="20" w:type="dxa"/>
              <w:bottom w:w="0" w:type="dxa"/>
              <w:right w:w="20" w:type="dxa"/>
            </w:tcMar>
            <w:vAlign w:val="center"/>
            <w:hideMark/>
          </w:tcPr>
          <w:p w14:paraId="21BCE190"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261B0A" w14:textId="77777777" w:rsidR="00000000" w:rsidRDefault="00C1661D">
            <w:pPr>
              <w:spacing w:after="100"/>
              <w:rPr>
                <w:rFonts w:eastAsia="Times New Roman"/>
                <w:sz w:val="20"/>
                <w:szCs w:val="20"/>
              </w:rPr>
            </w:pPr>
          </w:p>
        </w:tc>
      </w:tr>
      <w:tr w:rsidR="00000000" w14:paraId="4ABB6602" w14:textId="77777777">
        <w:trPr>
          <w:jc w:val="center"/>
        </w:trPr>
        <w:tc>
          <w:tcPr>
            <w:tcW w:w="0" w:type="auto"/>
            <w:gridSpan w:val="3"/>
            <w:tcMar>
              <w:top w:w="30" w:type="dxa"/>
              <w:left w:w="20" w:type="dxa"/>
              <w:bottom w:w="30" w:type="dxa"/>
              <w:right w:w="20" w:type="dxa"/>
            </w:tcMar>
            <w:hideMark/>
          </w:tcPr>
          <w:p w14:paraId="0F9E4B01" w14:textId="77777777" w:rsidR="00000000" w:rsidRDefault="00C1661D">
            <w:pPr>
              <w:spacing w:after="100"/>
              <w:rPr>
                <w:rFonts w:eastAsia="Times New Roman"/>
              </w:rPr>
            </w:pPr>
            <w:r>
              <w:rPr>
                <w:rFonts w:eastAsia="Times New Roman"/>
                <w:color w:val="000000"/>
                <w:sz w:val="20"/>
                <w:szCs w:val="20"/>
              </w:rPr>
              <w:t>4.4</w:t>
            </w:r>
          </w:p>
        </w:tc>
        <w:tc>
          <w:tcPr>
            <w:tcW w:w="0" w:type="auto"/>
            <w:gridSpan w:val="3"/>
            <w:tcMar>
              <w:top w:w="30" w:type="dxa"/>
              <w:left w:w="20" w:type="dxa"/>
              <w:bottom w:w="30" w:type="dxa"/>
              <w:right w:w="20" w:type="dxa"/>
            </w:tcMar>
            <w:hideMark/>
          </w:tcPr>
          <w:p w14:paraId="46B02FC4" w14:textId="77777777" w:rsidR="00000000" w:rsidRDefault="00C1661D">
            <w:pPr>
              <w:spacing w:after="100"/>
              <w:rPr>
                <w:rFonts w:eastAsia="Times New Roman"/>
              </w:rPr>
            </w:pPr>
            <w:r>
              <w:rPr>
                <w:rFonts w:eastAsia="Times New Roman"/>
                <w:color w:val="000000"/>
                <w:sz w:val="20"/>
                <w:szCs w:val="20"/>
              </w:rPr>
              <w:t>Indenture, dated as of August 1, 1993, by and between UGI Utilities, Inc., as Issuer, and U.S. Bank National Association, as successor trustee, incorporated by reference to the Registration Statement on Form S-3 filed on April 8, 1994.</w:t>
            </w:r>
          </w:p>
        </w:tc>
        <w:tc>
          <w:tcPr>
            <w:tcW w:w="0" w:type="auto"/>
            <w:gridSpan w:val="3"/>
            <w:tcMar>
              <w:top w:w="30" w:type="dxa"/>
              <w:left w:w="20" w:type="dxa"/>
              <w:bottom w:w="30" w:type="dxa"/>
              <w:right w:w="20" w:type="dxa"/>
            </w:tcMar>
            <w:hideMark/>
          </w:tcPr>
          <w:p w14:paraId="70255A33" w14:textId="77777777" w:rsidR="00000000" w:rsidRDefault="00C1661D">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14:paraId="64025B39" w14:textId="77777777" w:rsidR="00000000" w:rsidRDefault="00C1661D">
            <w:pPr>
              <w:spacing w:after="100"/>
              <w:jc w:val="center"/>
              <w:rPr>
                <w:rFonts w:eastAsia="Times New Roman"/>
              </w:rPr>
            </w:pPr>
            <w:r>
              <w:rPr>
                <w:rFonts w:eastAsia="Times New Roman"/>
                <w:color w:val="000000"/>
                <w:sz w:val="20"/>
                <w:szCs w:val="20"/>
              </w:rPr>
              <w:t>Regist</w:t>
            </w:r>
            <w:r>
              <w:rPr>
                <w:rFonts w:eastAsia="Times New Roman"/>
                <w:color w:val="000000"/>
                <w:sz w:val="20"/>
                <w:szCs w:val="20"/>
              </w:rPr>
              <w:t xml:space="preserve">ration Statement No. 33-77514 </w:t>
            </w:r>
            <w:r>
              <w:rPr>
                <w:rFonts w:eastAsia="Times New Roman"/>
                <w:color w:val="000000"/>
                <w:sz w:val="20"/>
                <w:szCs w:val="20"/>
              </w:rPr>
              <w:br/>
              <w:t>(4/8/94)</w:t>
            </w:r>
          </w:p>
        </w:tc>
        <w:tc>
          <w:tcPr>
            <w:tcW w:w="0" w:type="auto"/>
            <w:gridSpan w:val="3"/>
            <w:tcMar>
              <w:top w:w="30" w:type="dxa"/>
              <w:left w:w="20" w:type="dxa"/>
              <w:bottom w:w="30" w:type="dxa"/>
              <w:right w:w="20" w:type="dxa"/>
            </w:tcMar>
            <w:hideMark/>
          </w:tcPr>
          <w:p w14:paraId="49728DEC" w14:textId="77777777" w:rsidR="00000000" w:rsidRDefault="00C1661D">
            <w:pPr>
              <w:spacing w:after="100"/>
              <w:rPr>
                <w:rFonts w:eastAsia="Times New Roman"/>
              </w:rPr>
            </w:pPr>
            <w:r>
              <w:rPr>
                <w:rFonts w:eastAsia="Times New Roman"/>
                <w:color w:val="000000"/>
                <w:sz w:val="20"/>
                <w:szCs w:val="20"/>
              </w:rPr>
              <w:t>4(c)</w:t>
            </w:r>
          </w:p>
        </w:tc>
      </w:tr>
    </w:tbl>
    <w:p w14:paraId="12453B50" w14:textId="77777777" w:rsidR="00000000" w:rsidRDefault="00C1661D">
      <w:pPr>
        <w:jc w:val="center"/>
        <w:divId w:val="700088197"/>
        <w:rPr>
          <w:rFonts w:eastAsia="Times New Roman"/>
        </w:rPr>
      </w:pPr>
      <w:r>
        <w:rPr>
          <w:rFonts w:eastAsia="Times New Roman"/>
          <w:color w:val="000000"/>
          <w:sz w:val="20"/>
          <w:szCs w:val="20"/>
        </w:rPr>
        <w:t>74</w:t>
      </w:r>
    </w:p>
    <w:p w14:paraId="050124B6" w14:textId="77777777" w:rsidR="00000000" w:rsidRDefault="00C1661D">
      <w:pPr>
        <w:rPr>
          <w:rFonts w:eastAsia="Times New Roman"/>
        </w:rPr>
      </w:pPr>
      <w:r>
        <w:rPr>
          <w:rFonts w:eastAsia="Times New Roman"/>
        </w:rPr>
        <w:pict w14:anchorId="03C30A33">
          <v:rect id="_x0000_i1101" style="width:0;height:1.5pt" o:hralign="center" o:hrstd="t" o:hr="t" fillcolor="#a0a0a0" stroked="f"/>
        </w:pict>
      </w:r>
    </w:p>
    <w:p w14:paraId="17EA19E2" w14:textId="77777777" w:rsidR="00000000" w:rsidRDefault="00C1661D">
      <w:pPr>
        <w:divId w:val="1102264911"/>
        <w:rPr>
          <w:rFonts w:eastAsia="Times New Roman"/>
        </w:rPr>
      </w:pPr>
      <w:hyperlink w:anchor="i3850c3c6c0104e42b9951aac2f16098a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7"/>
        <w:gridCol w:w="55"/>
        <w:gridCol w:w="1693"/>
        <w:gridCol w:w="36"/>
        <w:gridCol w:w="55"/>
        <w:gridCol w:w="551"/>
        <w:gridCol w:w="38"/>
        <w:gridCol w:w="56"/>
        <w:gridCol w:w="551"/>
        <w:gridCol w:w="37"/>
        <w:gridCol w:w="57"/>
        <w:gridCol w:w="696"/>
        <w:gridCol w:w="36"/>
      </w:tblGrid>
      <w:tr w:rsidR="00000000" w14:paraId="7DA28EAB" w14:textId="77777777">
        <w:trPr>
          <w:jc w:val="center"/>
        </w:trPr>
        <w:tc>
          <w:tcPr>
            <w:tcW w:w="50" w:type="pct"/>
            <w:vAlign w:val="center"/>
            <w:hideMark/>
          </w:tcPr>
          <w:p w14:paraId="0AEFBCAF" w14:textId="77777777" w:rsidR="00000000" w:rsidRDefault="00C1661D">
            <w:pPr>
              <w:rPr>
                <w:rFonts w:eastAsia="Times New Roman"/>
              </w:rPr>
            </w:pPr>
          </w:p>
        </w:tc>
        <w:tc>
          <w:tcPr>
            <w:tcW w:w="729" w:type="pct"/>
            <w:vAlign w:val="center"/>
            <w:hideMark/>
          </w:tcPr>
          <w:p w14:paraId="2A26474A" w14:textId="77777777" w:rsidR="00000000" w:rsidRDefault="00C1661D">
            <w:pPr>
              <w:spacing w:after="100"/>
              <w:rPr>
                <w:rFonts w:eastAsia="Times New Roman"/>
                <w:sz w:val="20"/>
                <w:szCs w:val="20"/>
              </w:rPr>
            </w:pPr>
          </w:p>
        </w:tc>
        <w:tc>
          <w:tcPr>
            <w:tcW w:w="5" w:type="pct"/>
            <w:vAlign w:val="center"/>
            <w:hideMark/>
          </w:tcPr>
          <w:p w14:paraId="1989A0D3" w14:textId="77777777" w:rsidR="00000000" w:rsidRDefault="00C1661D">
            <w:pPr>
              <w:spacing w:after="100"/>
              <w:rPr>
                <w:rFonts w:eastAsia="Times New Roman"/>
                <w:sz w:val="20"/>
                <w:szCs w:val="20"/>
              </w:rPr>
            </w:pPr>
          </w:p>
        </w:tc>
        <w:tc>
          <w:tcPr>
            <w:tcW w:w="50" w:type="pct"/>
            <w:vAlign w:val="center"/>
            <w:hideMark/>
          </w:tcPr>
          <w:p w14:paraId="4FEB884E" w14:textId="77777777" w:rsidR="00000000" w:rsidRDefault="00C1661D">
            <w:pPr>
              <w:spacing w:after="100"/>
              <w:rPr>
                <w:rFonts w:eastAsia="Times New Roman"/>
                <w:sz w:val="20"/>
                <w:szCs w:val="20"/>
              </w:rPr>
            </w:pPr>
          </w:p>
        </w:tc>
        <w:tc>
          <w:tcPr>
            <w:tcW w:w="1419" w:type="pct"/>
            <w:vAlign w:val="center"/>
            <w:hideMark/>
          </w:tcPr>
          <w:p w14:paraId="19D90762" w14:textId="77777777" w:rsidR="00000000" w:rsidRDefault="00C1661D">
            <w:pPr>
              <w:spacing w:after="100"/>
              <w:rPr>
                <w:rFonts w:eastAsia="Times New Roman"/>
                <w:sz w:val="20"/>
                <w:szCs w:val="20"/>
              </w:rPr>
            </w:pPr>
          </w:p>
        </w:tc>
        <w:tc>
          <w:tcPr>
            <w:tcW w:w="5" w:type="pct"/>
            <w:vAlign w:val="center"/>
            <w:hideMark/>
          </w:tcPr>
          <w:p w14:paraId="35FCF56C" w14:textId="77777777" w:rsidR="00000000" w:rsidRDefault="00C1661D">
            <w:pPr>
              <w:spacing w:after="100"/>
              <w:rPr>
                <w:rFonts w:eastAsia="Times New Roman"/>
                <w:sz w:val="20"/>
                <w:szCs w:val="20"/>
              </w:rPr>
            </w:pPr>
          </w:p>
        </w:tc>
        <w:tc>
          <w:tcPr>
            <w:tcW w:w="50" w:type="pct"/>
            <w:vAlign w:val="center"/>
            <w:hideMark/>
          </w:tcPr>
          <w:p w14:paraId="445FFA43" w14:textId="77777777" w:rsidR="00000000" w:rsidRDefault="00C1661D">
            <w:pPr>
              <w:spacing w:after="100"/>
              <w:rPr>
                <w:rFonts w:eastAsia="Times New Roman"/>
                <w:sz w:val="20"/>
                <w:szCs w:val="20"/>
              </w:rPr>
            </w:pPr>
          </w:p>
        </w:tc>
        <w:tc>
          <w:tcPr>
            <w:tcW w:w="1212" w:type="pct"/>
            <w:vAlign w:val="center"/>
            <w:hideMark/>
          </w:tcPr>
          <w:p w14:paraId="3110C7DD" w14:textId="77777777" w:rsidR="00000000" w:rsidRDefault="00C1661D">
            <w:pPr>
              <w:spacing w:after="100"/>
              <w:rPr>
                <w:rFonts w:eastAsia="Times New Roman"/>
                <w:sz w:val="20"/>
                <w:szCs w:val="20"/>
              </w:rPr>
            </w:pPr>
          </w:p>
        </w:tc>
        <w:tc>
          <w:tcPr>
            <w:tcW w:w="5" w:type="pct"/>
            <w:vAlign w:val="center"/>
            <w:hideMark/>
          </w:tcPr>
          <w:p w14:paraId="6BD035DC" w14:textId="77777777" w:rsidR="00000000" w:rsidRDefault="00C1661D">
            <w:pPr>
              <w:spacing w:after="100"/>
              <w:rPr>
                <w:rFonts w:eastAsia="Times New Roman"/>
                <w:sz w:val="20"/>
                <w:szCs w:val="20"/>
              </w:rPr>
            </w:pPr>
          </w:p>
        </w:tc>
        <w:tc>
          <w:tcPr>
            <w:tcW w:w="50" w:type="pct"/>
            <w:vAlign w:val="center"/>
            <w:hideMark/>
          </w:tcPr>
          <w:p w14:paraId="2DAF2B30" w14:textId="77777777" w:rsidR="00000000" w:rsidRDefault="00C1661D">
            <w:pPr>
              <w:spacing w:after="100"/>
              <w:rPr>
                <w:rFonts w:eastAsia="Times New Roman"/>
                <w:sz w:val="20"/>
                <w:szCs w:val="20"/>
              </w:rPr>
            </w:pPr>
          </w:p>
        </w:tc>
        <w:tc>
          <w:tcPr>
            <w:tcW w:w="401" w:type="pct"/>
            <w:vAlign w:val="center"/>
            <w:hideMark/>
          </w:tcPr>
          <w:p w14:paraId="3418AA6D" w14:textId="77777777" w:rsidR="00000000" w:rsidRDefault="00C1661D">
            <w:pPr>
              <w:spacing w:after="100"/>
              <w:rPr>
                <w:rFonts w:eastAsia="Times New Roman"/>
                <w:sz w:val="20"/>
                <w:szCs w:val="20"/>
              </w:rPr>
            </w:pPr>
          </w:p>
        </w:tc>
        <w:tc>
          <w:tcPr>
            <w:tcW w:w="5" w:type="pct"/>
            <w:vAlign w:val="center"/>
            <w:hideMark/>
          </w:tcPr>
          <w:p w14:paraId="314EF735" w14:textId="77777777" w:rsidR="00000000" w:rsidRDefault="00C1661D">
            <w:pPr>
              <w:spacing w:after="100"/>
              <w:rPr>
                <w:rFonts w:eastAsia="Times New Roman"/>
                <w:sz w:val="20"/>
                <w:szCs w:val="20"/>
              </w:rPr>
            </w:pPr>
          </w:p>
        </w:tc>
        <w:tc>
          <w:tcPr>
            <w:tcW w:w="50" w:type="pct"/>
            <w:vAlign w:val="center"/>
            <w:hideMark/>
          </w:tcPr>
          <w:p w14:paraId="3D6E7D67" w14:textId="77777777" w:rsidR="00000000" w:rsidRDefault="00C1661D">
            <w:pPr>
              <w:spacing w:after="100"/>
              <w:rPr>
                <w:rFonts w:eastAsia="Times New Roman"/>
                <w:sz w:val="20"/>
                <w:szCs w:val="20"/>
              </w:rPr>
            </w:pPr>
          </w:p>
        </w:tc>
        <w:tc>
          <w:tcPr>
            <w:tcW w:w="401" w:type="pct"/>
            <w:vAlign w:val="center"/>
            <w:hideMark/>
          </w:tcPr>
          <w:p w14:paraId="52CDA764" w14:textId="77777777" w:rsidR="00000000" w:rsidRDefault="00C1661D">
            <w:pPr>
              <w:spacing w:after="100"/>
              <w:rPr>
                <w:rFonts w:eastAsia="Times New Roman"/>
                <w:sz w:val="20"/>
                <w:szCs w:val="20"/>
              </w:rPr>
            </w:pPr>
          </w:p>
        </w:tc>
        <w:tc>
          <w:tcPr>
            <w:tcW w:w="5" w:type="pct"/>
            <w:vAlign w:val="center"/>
            <w:hideMark/>
          </w:tcPr>
          <w:p w14:paraId="369B9267" w14:textId="77777777" w:rsidR="00000000" w:rsidRDefault="00C1661D">
            <w:pPr>
              <w:spacing w:after="100"/>
              <w:rPr>
                <w:rFonts w:eastAsia="Times New Roman"/>
                <w:sz w:val="20"/>
                <w:szCs w:val="20"/>
              </w:rPr>
            </w:pPr>
          </w:p>
        </w:tc>
        <w:tc>
          <w:tcPr>
            <w:tcW w:w="50" w:type="pct"/>
            <w:vAlign w:val="center"/>
            <w:hideMark/>
          </w:tcPr>
          <w:p w14:paraId="094C428D" w14:textId="77777777" w:rsidR="00000000" w:rsidRDefault="00C1661D">
            <w:pPr>
              <w:spacing w:after="100"/>
              <w:rPr>
                <w:rFonts w:eastAsia="Times New Roman"/>
                <w:sz w:val="20"/>
                <w:szCs w:val="20"/>
              </w:rPr>
            </w:pPr>
          </w:p>
        </w:tc>
        <w:tc>
          <w:tcPr>
            <w:tcW w:w="505" w:type="pct"/>
            <w:vAlign w:val="center"/>
            <w:hideMark/>
          </w:tcPr>
          <w:p w14:paraId="4DA1D97D" w14:textId="77777777" w:rsidR="00000000" w:rsidRDefault="00C1661D">
            <w:pPr>
              <w:spacing w:after="100"/>
              <w:rPr>
                <w:rFonts w:eastAsia="Times New Roman"/>
                <w:sz w:val="20"/>
                <w:szCs w:val="20"/>
              </w:rPr>
            </w:pPr>
          </w:p>
        </w:tc>
        <w:tc>
          <w:tcPr>
            <w:tcW w:w="5" w:type="pct"/>
            <w:vAlign w:val="center"/>
            <w:hideMark/>
          </w:tcPr>
          <w:p w14:paraId="55216813" w14:textId="77777777" w:rsidR="00000000" w:rsidRDefault="00C1661D">
            <w:pPr>
              <w:spacing w:after="100"/>
              <w:rPr>
                <w:rFonts w:eastAsia="Times New Roman"/>
                <w:sz w:val="20"/>
                <w:szCs w:val="20"/>
              </w:rPr>
            </w:pPr>
          </w:p>
        </w:tc>
      </w:tr>
      <w:tr w:rsidR="00000000" w14:paraId="4DF138F8" w14:textId="77777777">
        <w:trPr>
          <w:jc w:val="center"/>
        </w:trPr>
        <w:tc>
          <w:tcPr>
            <w:tcW w:w="0" w:type="auto"/>
            <w:gridSpan w:val="18"/>
            <w:tcMar>
              <w:top w:w="30" w:type="dxa"/>
              <w:left w:w="20" w:type="dxa"/>
              <w:bottom w:w="30" w:type="dxa"/>
              <w:right w:w="20" w:type="dxa"/>
            </w:tcMar>
            <w:hideMark/>
          </w:tcPr>
          <w:p w14:paraId="60483A4B" w14:textId="77777777" w:rsidR="00000000" w:rsidRDefault="00C1661D">
            <w:pPr>
              <w:spacing w:after="100"/>
              <w:rPr>
                <w:rFonts w:eastAsia="Times New Roman"/>
              </w:rPr>
            </w:pPr>
            <w:r>
              <w:rPr>
                <w:rFonts w:eastAsia="Times New Roman"/>
                <w:color w:val="000000"/>
                <w:sz w:val="20"/>
                <w:szCs w:val="20"/>
              </w:rPr>
              <w:t>Incorporation by Reference</w:t>
            </w:r>
          </w:p>
        </w:tc>
      </w:tr>
      <w:tr w:rsidR="00000000" w14:paraId="075F0C25" w14:textId="77777777">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3A23673F" w14:textId="77777777" w:rsidR="00000000" w:rsidRDefault="00C1661D">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7B3CBDF7" w14:textId="77777777" w:rsidR="00000000" w:rsidRDefault="00C1661D">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6450A404" w14:textId="77777777" w:rsidR="00000000" w:rsidRDefault="00C1661D">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14:paraId="04B10DE4" w14:textId="77777777" w:rsidR="00000000" w:rsidRDefault="00C1661D">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176E8E8A" w14:textId="77777777" w:rsidR="00000000" w:rsidRDefault="00C1661D">
            <w:pPr>
              <w:spacing w:after="100"/>
              <w:rPr>
                <w:rFonts w:eastAsia="Times New Roman"/>
              </w:rPr>
            </w:pPr>
            <w:r>
              <w:rPr>
                <w:rFonts w:eastAsia="Times New Roman"/>
                <w:color w:val="000000"/>
                <w:sz w:val="20"/>
                <w:szCs w:val="20"/>
              </w:rPr>
              <w:t>Exhibit</w:t>
            </w:r>
          </w:p>
        </w:tc>
      </w:tr>
      <w:tr w:rsidR="00000000" w14:paraId="3D89A0CD" w14:textId="77777777">
        <w:trPr>
          <w:jc w:val="center"/>
        </w:trPr>
        <w:tc>
          <w:tcPr>
            <w:tcW w:w="0" w:type="auto"/>
            <w:gridSpan w:val="3"/>
            <w:tcMar>
              <w:top w:w="30" w:type="dxa"/>
              <w:left w:w="20" w:type="dxa"/>
              <w:bottom w:w="30" w:type="dxa"/>
              <w:right w:w="20" w:type="dxa"/>
            </w:tcMar>
            <w:hideMark/>
          </w:tcPr>
          <w:p w14:paraId="646189E8" w14:textId="77777777" w:rsidR="00000000" w:rsidRDefault="00C1661D">
            <w:pPr>
              <w:spacing w:after="100"/>
              <w:rPr>
                <w:rFonts w:eastAsia="Times New Roman"/>
              </w:rPr>
            </w:pPr>
            <w:r>
              <w:rPr>
                <w:rFonts w:eastAsia="Times New Roman"/>
                <w:color w:val="000000"/>
                <w:sz w:val="20"/>
                <w:szCs w:val="20"/>
              </w:rPr>
              <w:t>4.5</w:t>
            </w:r>
          </w:p>
        </w:tc>
        <w:tc>
          <w:tcPr>
            <w:tcW w:w="0" w:type="auto"/>
            <w:gridSpan w:val="3"/>
            <w:tcMar>
              <w:top w:w="30" w:type="dxa"/>
              <w:left w:w="20" w:type="dxa"/>
              <w:bottom w:w="30" w:type="dxa"/>
              <w:right w:w="20" w:type="dxa"/>
            </w:tcMar>
            <w:hideMark/>
          </w:tcPr>
          <w:p w14:paraId="0CF47867" w14:textId="77777777" w:rsidR="00000000" w:rsidRDefault="00C1661D">
            <w:pPr>
              <w:spacing w:after="100"/>
              <w:divId w:val="195317348"/>
              <w:rPr>
                <w:rFonts w:eastAsia="Times New Roman"/>
              </w:rPr>
            </w:pPr>
            <w:hyperlink r:id="rId11" w:history="1">
              <w:r>
                <w:rPr>
                  <w:rStyle w:val="a3"/>
                  <w:rFonts w:eastAsia="Times New Roman"/>
                  <w:sz w:val="20"/>
                  <w:szCs w:val="20"/>
                </w:rPr>
                <w:t>Supplemental Indenture, dated as of September 15, 2006, by and between UGI Utilities, Inc., as Issuer, and U.S. Bank National Association, successor trustee to Wachovia Bank, National Association.</w:t>
              </w:r>
            </w:hyperlink>
          </w:p>
        </w:tc>
        <w:tc>
          <w:tcPr>
            <w:tcW w:w="0" w:type="auto"/>
            <w:gridSpan w:val="3"/>
            <w:tcMar>
              <w:top w:w="30" w:type="dxa"/>
              <w:left w:w="20" w:type="dxa"/>
              <w:bottom w:w="30" w:type="dxa"/>
              <w:right w:w="20" w:type="dxa"/>
            </w:tcMar>
            <w:hideMark/>
          </w:tcPr>
          <w:p w14:paraId="19BBC935" w14:textId="77777777" w:rsidR="00000000" w:rsidRDefault="00C1661D">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14:paraId="5422BC29" w14:textId="77777777" w:rsidR="00000000" w:rsidRDefault="00C1661D">
            <w:pPr>
              <w:spacing w:after="100"/>
              <w:jc w:val="center"/>
              <w:rPr>
                <w:rFonts w:eastAsia="Times New Roman"/>
              </w:rPr>
            </w:pPr>
            <w:r>
              <w:rPr>
                <w:rFonts w:eastAsia="Times New Roman"/>
                <w:color w:val="000000"/>
                <w:sz w:val="20"/>
                <w:szCs w:val="20"/>
              </w:rPr>
              <w:t>Form 8-K (9/12/06)</w:t>
            </w:r>
          </w:p>
        </w:tc>
        <w:tc>
          <w:tcPr>
            <w:tcW w:w="0" w:type="auto"/>
            <w:gridSpan w:val="3"/>
            <w:tcMar>
              <w:top w:w="30" w:type="dxa"/>
              <w:left w:w="20" w:type="dxa"/>
              <w:bottom w:w="30" w:type="dxa"/>
              <w:right w:w="20" w:type="dxa"/>
            </w:tcMar>
            <w:hideMark/>
          </w:tcPr>
          <w:p w14:paraId="53995CCA" w14:textId="77777777" w:rsidR="00000000" w:rsidRDefault="00C1661D">
            <w:pPr>
              <w:spacing w:after="100"/>
              <w:rPr>
                <w:rFonts w:eastAsia="Times New Roman"/>
              </w:rPr>
            </w:pPr>
            <w:r>
              <w:rPr>
                <w:rFonts w:eastAsia="Times New Roman"/>
                <w:color w:val="000000"/>
                <w:sz w:val="20"/>
                <w:szCs w:val="20"/>
              </w:rPr>
              <w:t>4.2</w:t>
            </w:r>
          </w:p>
        </w:tc>
      </w:tr>
      <w:tr w:rsidR="00000000" w14:paraId="27551D4C" w14:textId="77777777">
        <w:trPr>
          <w:jc w:val="center"/>
        </w:trPr>
        <w:tc>
          <w:tcPr>
            <w:tcW w:w="0" w:type="auto"/>
            <w:gridSpan w:val="3"/>
            <w:tcMar>
              <w:top w:w="30" w:type="dxa"/>
              <w:left w:w="20" w:type="dxa"/>
              <w:bottom w:w="30" w:type="dxa"/>
              <w:right w:w="20" w:type="dxa"/>
            </w:tcMar>
            <w:hideMark/>
          </w:tcPr>
          <w:p w14:paraId="63EAB622" w14:textId="77777777" w:rsidR="00000000" w:rsidRDefault="00C1661D">
            <w:pPr>
              <w:spacing w:after="100"/>
              <w:rPr>
                <w:rFonts w:eastAsia="Times New Roman"/>
              </w:rPr>
            </w:pPr>
            <w:r>
              <w:rPr>
                <w:rFonts w:eastAsia="Times New Roman"/>
                <w:color w:val="000000"/>
                <w:sz w:val="20"/>
                <w:szCs w:val="20"/>
              </w:rPr>
              <w:t>4.6</w:t>
            </w:r>
          </w:p>
        </w:tc>
        <w:tc>
          <w:tcPr>
            <w:tcW w:w="0" w:type="auto"/>
            <w:gridSpan w:val="3"/>
            <w:tcMar>
              <w:top w:w="30" w:type="dxa"/>
              <w:left w:w="20" w:type="dxa"/>
              <w:bottom w:w="30" w:type="dxa"/>
              <w:right w:w="20" w:type="dxa"/>
            </w:tcMar>
            <w:hideMark/>
          </w:tcPr>
          <w:p w14:paraId="3E5A1224" w14:textId="77777777" w:rsidR="00000000" w:rsidRDefault="00C1661D">
            <w:pPr>
              <w:spacing w:after="100"/>
              <w:divId w:val="2133478658"/>
              <w:rPr>
                <w:rFonts w:eastAsia="Times New Roman"/>
              </w:rPr>
            </w:pPr>
            <w:hyperlink r:id="rId12" w:history="1">
              <w:r>
                <w:rPr>
                  <w:rStyle w:val="a3"/>
                  <w:rFonts w:eastAsia="Times New Roman"/>
                  <w:sz w:val="20"/>
                  <w:szCs w:val="20"/>
                </w:rPr>
                <w:t xml:space="preserve">Form of Note Purchase Agreement dated October 30, 2013 between the Company and the purchasers listed as signatories thereto. </w:t>
              </w:r>
            </w:hyperlink>
          </w:p>
        </w:tc>
        <w:tc>
          <w:tcPr>
            <w:tcW w:w="0" w:type="auto"/>
            <w:gridSpan w:val="3"/>
            <w:tcMar>
              <w:top w:w="30" w:type="dxa"/>
              <w:left w:w="20" w:type="dxa"/>
              <w:bottom w:w="30" w:type="dxa"/>
              <w:right w:w="20" w:type="dxa"/>
            </w:tcMar>
            <w:hideMark/>
          </w:tcPr>
          <w:p w14:paraId="2076B61D" w14:textId="77777777" w:rsidR="00000000" w:rsidRDefault="00C1661D">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14:paraId="05353182" w14:textId="77777777" w:rsidR="00000000" w:rsidRDefault="00C1661D">
            <w:pPr>
              <w:spacing w:after="100"/>
              <w:jc w:val="center"/>
              <w:rPr>
                <w:rFonts w:eastAsia="Times New Roman"/>
              </w:rPr>
            </w:pPr>
            <w:r>
              <w:rPr>
                <w:rFonts w:eastAsia="Times New Roman"/>
                <w:color w:val="000000"/>
                <w:sz w:val="20"/>
                <w:szCs w:val="20"/>
              </w:rPr>
              <w:t>Form 8-K (10/30/13)</w:t>
            </w:r>
          </w:p>
        </w:tc>
        <w:tc>
          <w:tcPr>
            <w:tcW w:w="0" w:type="auto"/>
            <w:gridSpan w:val="3"/>
            <w:tcMar>
              <w:top w:w="30" w:type="dxa"/>
              <w:left w:w="20" w:type="dxa"/>
              <w:bottom w:w="30" w:type="dxa"/>
              <w:right w:w="20" w:type="dxa"/>
            </w:tcMar>
            <w:hideMark/>
          </w:tcPr>
          <w:p w14:paraId="64B8F9D4" w14:textId="77777777" w:rsidR="00000000" w:rsidRDefault="00C1661D">
            <w:pPr>
              <w:spacing w:after="100"/>
              <w:rPr>
                <w:rFonts w:eastAsia="Times New Roman"/>
              </w:rPr>
            </w:pPr>
            <w:r>
              <w:rPr>
                <w:rFonts w:eastAsia="Times New Roman"/>
                <w:color w:val="000000"/>
                <w:sz w:val="20"/>
                <w:szCs w:val="20"/>
              </w:rPr>
              <w:t>4.1</w:t>
            </w:r>
          </w:p>
        </w:tc>
      </w:tr>
      <w:tr w:rsidR="00000000" w14:paraId="0C417C19" w14:textId="77777777">
        <w:trPr>
          <w:jc w:val="center"/>
        </w:trPr>
        <w:tc>
          <w:tcPr>
            <w:tcW w:w="0" w:type="auto"/>
            <w:gridSpan w:val="3"/>
            <w:tcMar>
              <w:top w:w="30" w:type="dxa"/>
              <w:left w:w="20" w:type="dxa"/>
              <w:bottom w:w="30" w:type="dxa"/>
              <w:right w:w="20" w:type="dxa"/>
            </w:tcMar>
            <w:hideMark/>
          </w:tcPr>
          <w:p w14:paraId="0751B9F0" w14:textId="77777777" w:rsidR="00000000" w:rsidRDefault="00C1661D">
            <w:pPr>
              <w:spacing w:after="100"/>
              <w:rPr>
                <w:rFonts w:eastAsia="Times New Roman"/>
              </w:rPr>
            </w:pPr>
            <w:r>
              <w:rPr>
                <w:rFonts w:eastAsia="Times New Roman"/>
                <w:color w:val="000000"/>
                <w:sz w:val="20"/>
                <w:szCs w:val="20"/>
              </w:rPr>
              <w:t>4.7</w:t>
            </w:r>
          </w:p>
        </w:tc>
        <w:tc>
          <w:tcPr>
            <w:tcW w:w="0" w:type="auto"/>
            <w:gridSpan w:val="3"/>
            <w:tcMar>
              <w:top w:w="30" w:type="dxa"/>
              <w:left w:w="20" w:type="dxa"/>
              <w:bottom w:w="30" w:type="dxa"/>
              <w:right w:w="20" w:type="dxa"/>
            </w:tcMar>
            <w:hideMark/>
          </w:tcPr>
          <w:p w14:paraId="6556F10B" w14:textId="77777777" w:rsidR="00000000" w:rsidRDefault="00C1661D">
            <w:pPr>
              <w:spacing w:after="100"/>
              <w:divId w:val="1694644315"/>
              <w:rPr>
                <w:rFonts w:eastAsia="Times New Roman"/>
              </w:rPr>
            </w:pPr>
            <w:hyperlink r:id="rId13" w:history="1">
              <w:r>
                <w:rPr>
                  <w:rStyle w:val="a3"/>
                  <w:rFonts w:eastAsia="Times New Roman"/>
                  <w:sz w:val="20"/>
                  <w:szCs w:val="20"/>
                </w:rPr>
                <w:t>Note Purchase Agreement dated April 22, 2016 between the Company and the purchasers listed as signatories thereto.</w:t>
              </w:r>
            </w:hyperlink>
          </w:p>
        </w:tc>
        <w:tc>
          <w:tcPr>
            <w:tcW w:w="0" w:type="auto"/>
            <w:gridSpan w:val="3"/>
            <w:tcMar>
              <w:top w:w="30" w:type="dxa"/>
              <w:left w:w="20" w:type="dxa"/>
              <w:bottom w:w="30" w:type="dxa"/>
              <w:right w:w="20" w:type="dxa"/>
            </w:tcMar>
            <w:hideMark/>
          </w:tcPr>
          <w:p w14:paraId="536A306D" w14:textId="77777777" w:rsidR="00000000" w:rsidRDefault="00C1661D">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14:paraId="2BD0A1FC" w14:textId="77777777" w:rsidR="00000000" w:rsidRDefault="00C1661D">
            <w:pPr>
              <w:spacing w:after="100"/>
              <w:jc w:val="center"/>
              <w:rPr>
                <w:rFonts w:eastAsia="Times New Roman"/>
              </w:rPr>
            </w:pPr>
            <w:r>
              <w:rPr>
                <w:rFonts w:eastAsia="Times New Roman"/>
                <w:color w:val="000000"/>
                <w:sz w:val="20"/>
                <w:szCs w:val="20"/>
              </w:rPr>
              <w:t>Form 8-K (4/28/16)</w:t>
            </w:r>
          </w:p>
        </w:tc>
        <w:tc>
          <w:tcPr>
            <w:tcW w:w="0" w:type="auto"/>
            <w:gridSpan w:val="3"/>
            <w:tcMar>
              <w:top w:w="30" w:type="dxa"/>
              <w:left w:w="20" w:type="dxa"/>
              <w:bottom w:w="30" w:type="dxa"/>
              <w:right w:w="20" w:type="dxa"/>
            </w:tcMar>
            <w:hideMark/>
          </w:tcPr>
          <w:p w14:paraId="7DE318F5" w14:textId="77777777" w:rsidR="00000000" w:rsidRDefault="00C1661D">
            <w:pPr>
              <w:spacing w:after="100"/>
              <w:rPr>
                <w:rFonts w:eastAsia="Times New Roman"/>
              </w:rPr>
            </w:pPr>
            <w:r>
              <w:rPr>
                <w:rFonts w:eastAsia="Times New Roman"/>
                <w:color w:val="000000"/>
                <w:sz w:val="20"/>
                <w:szCs w:val="20"/>
              </w:rPr>
              <w:t>4.1</w:t>
            </w:r>
          </w:p>
        </w:tc>
      </w:tr>
      <w:tr w:rsidR="00000000" w14:paraId="057251E6" w14:textId="77777777">
        <w:trPr>
          <w:jc w:val="center"/>
        </w:trPr>
        <w:tc>
          <w:tcPr>
            <w:tcW w:w="0" w:type="auto"/>
            <w:gridSpan w:val="3"/>
            <w:tcMar>
              <w:top w:w="30" w:type="dxa"/>
              <w:left w:w="20" w:type="dxa"/>
              <w:bottom w:w="30" w:type="dxa"/>
              <w:right w:w="20" w:type="dxa"/>
            </w:tcMar>
            <w:hideMark/>
          </w:tcPr>
          <w:p w14:paraId="47427FC2" w14:textId="77777777" w:rsidR="00000000" w:rsidRDefault="00C1661D">
            <w:pPr>
              <w:spacing w:after="100"/>
              <w:rPr>
                <w:rFonts w:eastAsia="Times New Roman"/>
              </w:rPr>
            </w:pPr>
            <w:r>
              <w:rPr>
                <w:rFonts w:eastAsia="Times New Roman"/>
                <w:color w:val="000000"/>
                <w:sz w:val="20"/>
                <w:szCs w:val="20"/>
              </w:rPr>
              <w:t>4.8</w:t>
            </w:r>
          </w:p>
        </w:tc>
        <w:tc>
          <w:tcPr>
            <w:tcW w:w="0" w:type="auto"/>
            <w:gridSpan w:val="3"/>
            <w:tcMar>
              <w:top w:w="30" w:type="dxa"/>
              <w:left w:w="20" w:type="dxa"/>
              <w:bottom w:w="30" w:type="dxa"/>
              <w:right w:w="20" w:type="dxa"/>
            </w:tcMar>
            <w:vAlign w:val="bottom"/>
            <w:hideMark/>
          </w:tcPr>
          <w:p w14:paraId="5D2C038D" w14:textId="77777777" w:rsidR="00000000" w:rsidRDefault="00C1661D">
            <w:pPr>
              <w:spacing w:after="100"/>
              <w:divId w:val="653533530"/>
              <w:rPr>
                <w:rFonts w:eastAsia="Times New Roman"/>
              </w:rPr>
            </w:pPr>
            <w:hyperlink r:id="rId14" w:history="1">
              <w:r>
                <w:rPr>
                  <w:rStyle w:val="a3"/>
                  <w:rFonts w:eastAsia="Times New Roman"/>
                  <w:sz w:val="20"/>
                  <w:szCs w:val="20"/>
                </w:rPr>
                <w:t>Indenture, dated as of June 27, 2016, among AmeriGas Partners, L.P., AmeriGas Finance Corp., and U.S. Bank National Assoc</w:t>
              </w:r>
              <w:r>
                <w:rPr>
                  <w:rStyle w:val="a3"/>
                  <w:rFonts w:eastAsia="Times New Roman"/>
                  <w:sz w:val="20"/>
                  <w:szCs w:val="20"/>
                </w:rPr>
                <w:t>iation, as trustee.</w:t>
              </w:r>
            </w:hyperlink>
          </w:p>
        </w:tc>
        <w:tc>
          <w:tcPr>
            <w:tcW w:w="0" w:type="auto"/>
            <w:gridSpan w:val="3"/>
            <w:tcMar>
              <w:top w:w="30" w:type="dxa"/>
              <w:left w:w="20" w:type="dxa"/>
              <w:bottom w:w="30" w:type="dxa"/>
              <w:right w:w="20" w:type="dxa"/>
            </w:tcMar>
            <w:hideMark/>
          </w:tcPr>
          <w:p w14:paraId="7C911C66" w14:textId="77777777" w:rsidR="00000000" w:rsidRDefault="00C1661D">
            <w:pPr>
              <w:spacing w:after="100"/>
              <w:jc w:val="center"/>
              <w:rPr>
                <w:rFonts w:eastAsia="Times New Roman"/>
              </w:rPr>
            </w:pPr>
            <w:r>
              <w:rPr>
                <w:rFonts w:eastAsia="Times New Roman"/>
                <w:color w:val="000000"/>
                <w:sz w:val="20"/>
                <w:szCs w:val="20"/>
              </w:rPr>
              <w:t xml:space="preserve">AmeriGas </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14:paraId="65FB6FA3" w14:textId="77777777" w:rsidR="00000000" w:rsidRDefault="00C1661D">
            <w:pPr>
              <w:spacing w:after="100"/>
              <w:jc w:val="center"/>
              <w:rPr>
                <w:rFonts w:eastAsia="Times New Roman"/>
              </w:rPr>
            </w:pPr>
            <w:r>
              <w:rPr>
                <w:rFonts w:eastAsia="Times New Roman"/>
                <w:color w:val="000000"/>
                <w:sz w:val="20"/>
                <w:szCs w:val="20"/>
              </w:rPr>
              <w:t>Form 8-K (6/27/16)</w:t>
            </w:r>
          </w:p>
        </w:tc>
        <w:tc>
          <w:tcPr>
            <w:tcW w:w="0" w:type="auto"/>
            <w:gridSpan w:val="3"/>
            <w:tcMar>
              <w:top w:w="30" w:type="dxa"/>
              <w:left w:w="20" w:type="dxa"/>
              <w:bottom w:w="30" w:type="dxa"/>
              <w:right w:w="20" w:type="dxa"/>
            </w:tcMar>
            <w:hideMark/>
          </w:tcPr>
          <w:p w14:paraId="79F6A058" w14:textId="77777777" w:rsidR="00000000" w:rsidRDefault="00C1661D">
            <w:pPr>
              <w:spacing w:after="100"/>
              <w:rPr>
                <w:rFonts w:eastAsia="Times New Roman"/>
              </w:rPr>
            </w:pPr>
            <w:r>
              <w:rPr>
                <w:rFonts w:eastAsia="Times New Roman"/>
                <w:color w:val="000000"/>
                <w:sz w:val="20"/>
                <w:szCs w:val="20"/>
              </w:rPr>
              <w:t>4.1</w:t>
            </w:r>
          </w:p>
        </w:tc>
      </w:tr>
      <w:tr w:rsidR="00000000" w14:paraId="6BA665FB" w14:textId="77777777">
        <w:trPr>
          <w:jc w:val="center"/>
        </w:trPr>
        <w:tc>
          <w:tcPr>
            <w:tcW w:w="0" w:type="auto"/>
            <w:gridSpan w:val="3"/>
            <w:tcMar>
              <w:top w:w="30" w:type="dxa"/>
              <w:left w:w="20" w:type="dxa"/>
              <w:bottom w:w="30" w:type="dxa"/>
              <w:right w:w="20" w:type="dxa"/>
            </w:tcMar>
            <w:hideMark/>
          </w:tcPr>
          <w:p w14:paraId="0DBC96D6" w14:textId="77777777" w:rsidR="00000000" w:rsidRDefault="00C1661D">
            <w:pPr>
              <w:spacing w:after="100"/>
              <w:rPr>
                <w:rFonts w:eastAsia="Times New Roman"/>
              </w:rPr>
            </w:pPr>
            <w:r>
              <w:rPr>
                <w:rFonts w:eastAsia="Times New Roman"/>
                <w:color w:val="000000"/>
                <w:sz w:val="20"/>
                <w:szCs w:val="20"/>
              </w:rPr>
              <w:t>4.9</w:t>
            </w:r>
          </w:p>
        </w:tc>
        <w:tc>
          <w:tcPr>
            <w:tcW w:w="0" w:type="auto"/>
            <w:gridSpan w:val="3"/>
            <w:tcMar>
              <w:top w:w="30" w:type="dxa"/>
              <w:left w:w="20" w:type="dxa"/>
              <w:bottom w:w="30" w:type="dxa"/>
              <w:right w:w="20" w:type="dxa"/>
            </w:tcMar>
            <w:vAlign w:val="bottom"/>
            <w:hideMark/>
          </w:tcPr>
          <w:p w14:paraId="16F33EA6" w14:textId="77777777" w:rsidR="00000000" w:rsidRDefault="00C1661D">
            <w:pPr>
              <w:spacing w:after="100"/>
              <w:divId w:val="82142921"/>
              <w:rPr>
                <w:rFonts w:eastAsia="Times New Roman"/>
              </w:rPr>
            </w:pPr>
            <w:hyperlink r:id="rId15" w:history="1">
              <w:r>
                <w:rPr>
                  <w:rStyle w:val="a3"/>
                  <w:rFonts w:eastAsia="Times New Roman"/>
                  <w:sz w:val="20"/>
                  <w:szCs w:val="20"/>
                </w:rPr>
                <w:t xml:space="preserve">First Supplemental Indenture, dated as of June 27, 2016, among AmeriGas Partners, L.P., AmeriGas Finance Corp., and U.S. Bank National Association, as trustee. </w:t>
              </w:r>
            </w:hyperlink>
          </w:p>
        </w:tc>
        <w:tc>
          <w:tcPr>
            <w:tcW w:w="0" w:type="auto"/>
            <w:gridSpan w:val="3"/>
            <w:tcMar>
              <w:top w:w="30" w:type="dxa"/>
              <w:left w:w="20" w:type="dxa"/>
              <w:bottom w:w="30" w:type="dxa"/>
              <w:right w:w="20" w:type="dxa"/>
            </w:tcMar>
            <w:hideMark/>
          </w:tcPr>
          <w:p w14:paraId="0CB734E8" w14:textId="77777777" w:rsidR="00000000" w:rsidRDefault="00C1661D">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14:paraId="6B757083" w14:textId="77777777" w:rsidR="00000000" w:rsidRDefault="00C1661D">
            <w:pPr>
              <w:spacing w:after="100"/>
              <w:jc w:val="center"/>
              <w:rPr>
                <w:rFonts w:eastAsia="Times New Roman"/>
              </w:rPr>
            </w:pPr>
            <w:r>
              <w:rPr>
                <w:rFonts w:eastAsia="Times New Roman"/>
                <w:color w:val="000000"/>
                <w:sz w:val="20"/>
                <w:szCs w:val="20"/>
              </w:rPr>
              <w:t>Form 8-K (6/27/16)</w:t>
            </w:r>
          </w:p>
        </w:tc>
        <w:tc>
          <w:tcPr>
            <w:tcW w:w="0" w:type="auto"/>
            <w:gridSpan w:val="3"/>
            <w:tcMar>
              <w:top w:w="30" w:type="dxa"/>
              <w:left w:w="20" w:type="dxa"/>
              <w:bottom w:w="30" w:type="dxa"/>
              <w:right w:w="20" w:type="dxa"/>
            </w:tcMar>
            <w:hideMark/>
          </w:tcPr>
          <w:p w14:paraId="136A2F54" w14:textId="77777777" w:rsidR="00000000" w:rsidRDefault="00C1661D">
            <w:pPr>
              <w:spacing w:after="100"/>
              <w:rPr>
                <w:rFonts w:eastAsia="Times New Roman"/>
              </w:rPr>
            </w:pPr>
            <w:r>
              <w:rPr>
                <w:rFonts w:eastAsia="Times New Roman"/>
                <w:color w:val="000000"/>
                <w:sz w:val="20"/>
                <w:szCs w:val="20"/>
              </w:rPr>
              <w:t>4.2</w:t>
            </w:r>
          </w:p>
        </w:tc>
      </w:tr>
      <w:tr w:rsidR="00000000" w14:paraId="51925553" w14:textId="77777777">
        <w:trPr>
          <w:jc w:val="center"/>
        </w:trPr>
        <w:tc>
          <w:tcPr>
            <w:tcW w:w="0" w:type="auto"/>
            <w:gridSpan w:val="3"/>
            <w:tcMar>
              <w:top w:w="30" w:type="dxa"/>
              <w:left w:w="20" w:type="dxa"/>
              <w:bottom w:w="30" w:type="dxa"/>
              <w:right w:w="20" w:type="dxa"/>
            </w:tcMar>
            <w:hideMark/>
          </w:tcPr>
          <w:p w14:paraId="69A33E6D" w14:textId="77777777" w:rsidR="00000000" w:rsidRDefault="00C1661D">
            <w:pPr>
              <w:spacing w:after="100"/>
              <w:rPr>
                <w:rFonts w:eastAsia="Times New Roman"/>
              </w:rPr>
            </w:pPr>
            <w:r>
              <w:rPr>
                <w:rFonts w:eastAsia="Times New Roman"/>
                <w:color w:val="000000"/>
                <w:sz w:val="20"/>
                <w:szCs w:val="20"/>
              </w:rPr>
              <w:t>4.10</w:t>
            </w:r>
          </w:p>
        </w:tc>
        <w:tc>
          <w:tcPr>
            <w:tcW w:w="0" w:type="auto"/>
            <w:gridSpan w:val="3"/>
            <w:tcMar>
              <w:top w:w="30" w:type="dxa"/>
              <w:left w:w="20" w:type="dxa"/>
              <w:bottom w:w="30" w:type="dxa"/>
              <w:right w:w="20" w:type="dxa"/>
            </w:tcMar>
            <w:hideMark/>
          </w:tcPr>
          <w:p w14:paraId="369EB955" w14:textId="77777777" w:rsidR="00000000" w:rsidRDefault="00C1661D">
            <w:pPr>
              <w:spacing w:after="100"/>
              <w:divId w:val="1471290361"/>
              <w:rPr>
                <w:rFonts w:eastAsia="Times New Roman"/>
              </w:rPr>
            </w:pPr>
            <w:hyperlink r:id="rId16" w:history="1">
              <w:r>
                <w:rPr>
                  <w:rStyle w:val="a3"/>
                  <w:rFonts w:eastAsia="Times New Roman"/>
                  <w:sz w:val="20"/>
                  <w:szCs w:val="20"/>
                </w:rPr>
                <w:t>Second Supplemental Indenture, dated as of December 28, 2016, among AmeriGas Partners, L.P., AmeriGas Finance Corp., and U.S. Bank National Association, as tr</w:t>
              </w:r>
              <w:r>
                <w:rPr>
                  <w:rStyle w:val="a3"/>
                  <w:rFonts w:eastAsia="Times New Roman"/>
                  <w:sz w:val="20"/>
                  <w:szCs w:val="20"/>
                </w:rPr>
                <w:t>ustee (including form of global note).</w:t>
              </w:r>
            </w:hyperlink>
          </w:p>
        </w:tc>
        <w:tc>
          <w:tcPr>
            <w:tcW w:w="0" w:type="auto"/>
            <w:gridSpan w:val="3"/>
            <w:tcMar>
              <w:top w:w="30" w:type="dxa"/>
              <w:left w:w="20" w:type="dxa"/>
              <w:bottom w:w="30" w:type="dxa"/>
              <w:right w:w="20" w:type="dxa"/>
            </w:tcMar>
            <w:hideMark/>
          </w:tcPr>
          <w:p w14:paraId="0238D4A3" w14:textId="77777777" w:rsidR="00000000" w:rsidRDefault="00C1661D">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14:paraId="59423420" w14:textId="77777777" w:rsidR="00000000" w:rsidRDefault="00C1661D">
            <w:pPr>
              <w:spacing w:after="100"/>
              <w:jc w:val="center"/>
              <w:rPr>
                <w:rFonts w:eastAsia="Times New Roman"/>
              </w:rPr>
            </w:pPr>
            <w:r>
              <w:rPr>
                <w:rFonts w:eastAsia="Times New Roman"/>
                <w:color w:val="000000"/>
                <w:sz w:val="20"/>
                <w:szCs w:val="20"/>
              </w:rPr>
              <w:t>Form 8-K (12/28/16)</w:t>
            </w:r>
          </w:p>
        </w:tc>
        <w:tc>
          <w:tcPr>
            <w:tcW w:w="0" w:type="auto"/>
            <w:gridSpan w:val="3"/>
            <w:tcMar>
              <w:top w:w="30" w:type="dxa"/>
              <w:left w:w="20" w:type="dxa"/>
              <w:bottom w:w="30" w:type="dxa"/>
              <w:right w:w="20" w:type="dxa"/>
            </w:tcMar>
            <w:hideMark/>
          </w:tcPr>
          <w:p w14:paraId="5BD69155" w14:textId="77777777" w:rsidR="00000000" w:rsidRDefault="00C1661D">
            <w:pPr>
              <w:spacing w:after="100"/>
              <w:rPr>
                <w:rFonts w:eastAsia="Times New Roman"/>
              </w:rPr>
            </w:pPr>
            <w:r>
              <w:rPr>
                <w:rFonts w:eastAsia="Times New Roman"/>
                <w:color w:val="000000"/>
                <w:sz w:val="20"/>
                <w:szCs w:val="20"/>
              </w:rPr>
              <w:t>4.1</w:t>
            </w:r>
          </w:p>
        </w:tc>
      </w:tr>
      <w:tr w:rsidR="00000000" w14:paraId="44C58983" w14:textId="77777777">
        <w:trPr>
          <w:jc w:val="center"/>
        </w:trPr>
        <w:tc>
          <w:tcPr>
            <w:tcW w:w="0" w:type="auto"/>
            <w:gridSpan w:val="3"/>
            <w:tcMar>
              <w:top w:w="30" w:type="dxa"/>
              <w:left w:w="20" w:type="dxa"/>
              <w:bottom w:w="30" w:type="dxa"/>
              <w:right w:w="20" w:type="dxa"/>
            </w:tcMar>
            <w:hideMark/>
          </w:tcPr>
          <w:p w14:paraId="75E03D1F" w14:textId="77777777" w:rsidR="00000000" w:rsidRDefault="00C1661D">
            <w:pPr>
              <w:spacing w:after="100"/>
              <w:rPr>
                <w:rFonts w:eastAsia="Times New Roman"/>
              </w:rPr>
            </w:pPr>
            <w:r>
              <w:rPr>
                <w:rFonts w:eastAsia="Times New Roman"/>
                <w:color w:val="000000"/>
                <w:sz w:val="20"/>
                <w:szCs w:val="20"/>
              </w:rPr>
              <w:t>4.11</w:t>
            </w:r>
          </w:p>
        </w:tc>
        <w:tc>
          <w:tcPr>
            <w:tcW w:w="0" w:type="auto"/>
            <w:gridSpan w:val="3"/>
            <w:tcMar>
              <w:top w:w="30" w:type="dxa"/>
              <w:left w:w="20" w:type="dxa"/>
              <w:bottom w:w="30" w:type="dxa"/>
              <w:right w:w="20" w:type="dxa"/>
            </w:tcMar>
            <w:hideMark/>
          </w:tcPr>
          <w:p w14:paraId="3695C4A6" w14:textId="77777777" w:rsidR="00000000" w:rsidRDefault="00C1661D">
            <w:pPr>
              <w:spacing w:after="100"/>
              <w:divId w:val="856426664"/>
              <w:rPr>
                <w:rFonts w:eastAsia="Times New Roman"/>
              </w:rPr>
            </w:pPr>
            <w:hyperlink r:id="rId17" w:history="1">
              <w:r>
                <w:rPr>
                  <w:rStyle w:val="a3"/>
                  <w:rFonts w:eastAsia="Times New Roman"/>
                  <w:sz w:val="20"/>
                  <w:szCs w:val="20"/>
                </w:rPr>
                <w:t>Third Supplemental Indenture, dated as of February 1</w:t>
              </w:r>
              <w:r>
                <w:rPr>
                  <w:rStyle w:val="a3"/>
                  <w:rFonts w:eastAsia="Times New Roman"/>
                  <w:sz w:val="20"/>
                  <w:szCs w:val="20"/>
                </w:rPr>
                <w:t>3, 2017, among AmeriGas Partners, L.P., AmeriGas Finance Corp., and U.S. Bank National Association, as trustee (including form of global note).</w:t>
              </w:r>
            </w:hyperlink>
          </w:p>
        </w:tc>
        <w:tc>
          <w:tcPr>
            <w:tcW w:w="0" w:type="auto"/>
            <w:gridSpan w:val="3"/>
            <w:tcMar>
              <w:top w:w="30" w:type="dxa"/>
              <w:left w:w="20" w:type="dxa"/>
              <w:bottom w:w="30" w:type="dxa"/>
              <w:right w:w="20" w:type="dxa"/>
            </w:tcMar>
            <w:hideMark/>
          </w:tcPr>
          <w:p w14:paraId="2AA5EDD8" w14:textId="77777777" w:rsidR="00000000" w:rsidRDefault="00C1661D">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14:paraId="3AA253A2" w14:textId="77777777" w:rsidR="00000000" w:rsidRDefault="00C1661D">
            <w:pPr>
              <w:spacing w:after="100"/>
              <w:jc w:val="center"/>
              <w:rPr>
                <w:rFonts w:eastAsia="Times New Roman"/>
              </w:rPr>
            </w:pPr>
            <w:r>
              <w:rPr>
                <w:rFonts w:eastAsia="Times New Roman"/>
                <w:color w:val="000000"/>
                <w:sz w:val="20"/>
                <w:szCs w:val="20"/>
              </w:rPr>
              <w:t>Form 8-K (2/13/17)</w:t>
            </w:r>
          </w:p>
        </w:tc>
        <w:tc>
          <w:tcPr>
            <w:tcW w:w="0" w:type="auto"/>
            <w:gridSpan w:val="3"/>
            <w:tcMar>
              <w:top w:w="30" w:type="dxa"/>
              <w:left w:w="20" w:type="dxa"/>
              <w:bottom w:w="30" w:type="dxa"/>
              <w:right w:w="20" w:type="dxa"/>
            </w:tcMar>
            <w:hideMark/>
          </w:tcPr>
          <w:p w14:paraId="006F315E" w14:textId="77777777" w:rsidR="00000000" w:rsidRDefault="00C1661D">
            <w:pPr>
              <w:spacing w:after="100"/>
              <w:rPr>
                <w:rFonts w:eastAsia="Times New Roman"/>
              </w:rPr>
            </w:pPr>
            <w:r>
              <w:rPr>
                <w:rFonts w:eastAsia="Times New Roman"/>
                <w:color w:val="000000"/>
                <w:sz w:val="20"/>
                <w:szCs w:val="20"/>
              </w:rPr>
              <w:t>4.1</w:t>
            </w:r>
          </w:p>
        </w:tc>
      </w:tr>
      <w:tr w:rsidR="00000000" w14:paraId="0194FA2C" w14:textId="77777777">
        <w:trPr>
          <w:jc w:val="center"/>
        </w:trPr>
        <w:tc>
          <w:tcPr>
            <w:tcW w:w="0" w:type="auto"/>
            <w:gridSpan w:val="3"/>
            <w:tcMar>
              <w:top w:w="30" w:type="dxa"/>
              <w:left w:w="20" w:type="dxa"/>
              <w:bottom w:w="30" w:type="dxa"/>
              <w:right w:w="20" w:type="dxa"/>
            </w:tcMar>
            <w:hideMark/>
          </w:tcPr>
          <w:p w14:paraId="6939406E" w14:textId="77777777" w:rsidR="00000000" w:rsidRDefault="00C1661D">
            <w:pPr>
              <w:spacing w:after="100"/>
              <w:rPr>
                <w:rFonts w:eastAsia="Times New Roman"/>
              </w:rPr>
            </w:pPr>
            <w:r>
              <w:rPr>
                <w:rFonts w:eastAsia="Times New Roman"/>
                <w:color w:val="000000"/>
                <w:sz w:val="20"/>
                <w:szCs w:val="20"/>
              </w:rPr>
              <w:t>4.12</w:t>
            </w:r>
          </w:p>
        </w:tc>
        <w:tc>
          <w:tcPr>
            <w:tcW w:w="0" w:type="auto"/>
            <w:gridSpan w:val="3"/>
            <w:tcMar>
              <w:top w:w="30" w:type="dxa"/>
              <w:left w:w="20" w:type="dxa"/>
              <w:bottom w:w="30" w:type="dxa"/>
              <w:right w:w="20" w:type="dxa"/>
            </w:tcMar>
            <w:hideMark/>
          </w:tcPr>
          <w:p w14:paraId="54699919" w14:textId="77777777" w:rsidR="00000000" w:rsidRDefault="00C1661D">
            <w:pPr>
              <w:spacing w:after="100"/>
              <w:divId w:val="538394723"/>
              <w:rPr>
                <w:rFonts w:eastAsia="Times New Roman"/>
              </w:rPr>
            </w:pPr>
            <w:hyperlink r:id="rId18" w:history="1">
              <w:r>
                <w:rPr>
                  <w:rStyle w:val="a3"/>
                  <w:rFonts w:eastAsia="Times New Roman"/>
                  <w:sz w:val="20"/>
                  <w:szCs w:val="20"/>
                </w:rPr>
                <w:t>Indenture, dated as of October 25, 2018, by and among International, the guarantors named therein, U.S. Bank National Association, as trustee, Elavon Fina</w:t>
              </w:r>
              <w:r>
                <w:rPr>
                  <w:rStyle w:val="a3"/>
                  <w:rFonts w:eastAsia="Times New Roman"/>
                  <w:sz w:val="20"/>
                  <w:szCs w:val="20"/>
                </w:rPr>
                <w:t>ncial Services DAC, as registrar and transfer agent, and Elavon Financial Services DAC, UK Branch, as paying agent (including the form of Note).</w:t>
              </w:r>
            </w:hyperlink>
          </w:p>
        </w:tc>
        <w:tc>
          <w:tcPr>
            <w:tcW w:w="0" w:type="auto"/>
            <w:gridSpan w:val="3"/>
            <w:tcMar>
              <w:top w:w="30" w:type="dxa"/>
              <w:left w:w="20" w:type="dxa"/>
              <w:bottom w:w="30" w:type="dxa"/>
              <w:right w:w="20" w:type="dxa"/>
            </w:tcMar>
            <w:hideMark/>
          </w:tcPr>
          <w:p w14:paraId="72232574"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4960B705"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(10/25/18)</w:t>
            </w:r>
          </w:p>
        </w:tc>
        <w:tc>
          <w:tcPr>
            <w:tcW w:w="0" w:type="auto"/>
            <w:gridSpan w:val="3"/>
            <w:tcMar>
              <w:top w:w="30" w:type="dxa"/>
              <w:left w:w="20" w:type="dxa"/>
              <w:bottom w:w="30" w:type="dxa"/>
              <w:right w:w="20" w:type="dxa"/>
            </w:tcMar>
            <w:hideMark/>
          </w:tcPr>
          <w:p w14:paraId="1E5A199A" w14:textId="77777777" w:rsidR="00000000" w:rsidRDefault="00C1661D">
            <w:pPr>
              <w:spacing w:after="100"/>
              <w:rPr>
                <w:rFonts w:eastAsia="Times New Roman"/>
              </w:rPr>
            </w:pPr>
            <w:r>
              <w:rPr>
                <w:rFonts w:eastAsia="Times New Roman"/>
                <w:color w:val="000000"/>
                <w:sz w:val="20"/>
                <w:szCs w:val="20"/>
              </w:rPr>
              <w:t>4.1</w:t>
            </w:r>
          </w:p>
        </w:tc>
      </w:tr>
    </w:tbl>
    <w:p w14:paraId="4B4E1990" w14:textId="77777777" w:rsidR="00000000" w:rsidRDefault="00C1661D">
      <w:pPr>
        <w:jc w:val="center"/>
        <w:divId w:val="524446644"/>
        <w:rPr>
          <w:rFonts w:eastAsia="Times New Roman"/>
        </w:rPr>
      </w:pPr>
      <w:r>
        <w:rPr>
          <w:rFonts w:eastAsia="Times New Roman"/>
          <w:color w:val="000000"/>
          <w:sz w:val="20"/>
          <w:szCs w:val="20"/>
        </w:rPr>
        <w:t>75</w:t>
      </w:r>
    </w:p>
    <w:p w14:paraId="0E379045" w14:textId="77777777" w:rsidR="00000000" w:rsidRDefault="00C1661D">
      <w:pPr>
        <w:rPr>
          <w:rFonts w:eastAsia="Times New Roman"/>
        </w:rPr>
      </w:pPr>
      <w:r>
        <w:rPr>
          <w:rFonts w:eastAsia="Times New Roman"/>
        </w:rPr>
        <w:pict w14:anchorId="6C6AEF96">
          <v:rect id="_x0000_i1102" style="width:0;height:1.5pt" o:hralign="center" o:hrstd="t" o:hr="t" fillcolor="#a0a0a0" stroked="f"/>
        </w:pict>
      </w:r>
    </w:p>
    <w:p w14:paraId="04A655AD" w14:textId="77777777" w:rsidR="00000000" w:rsidRDefault="00C1661D">
      <w:pPr>
        <w:divId w:val="265617801"/>
        <w:rPr>
          <w:rFonts w:eastAsia="Times New Roman"/>
        </w:rPr>
      </w:pPr>
      <w:hyperlink w:anchor="i3850c3c6c0104e42b9951aac2f16098a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7"/>
        <w:gridCol w:w="55"/>
        <w:gridCol w:w="1693"/>
        <w:gridCol w:w="36"/>
        <w:gridCol w:w="55"/>
        <w:gridCol w:w="551"/>
        <w:gridCol w:w="38"/>
        <w:gridCol w:w="56"/>
        <w:gridCol w:w="551"/>
        <w:gridCol w:w="37"/>
        <w:gridCol w:w="57"/>
        <w:gridCol w:w="696"/>
        <w:gridCol w:w="36"/>
      </w:tblGrid>
      <w:tr w:rsidR="00000000" w14:paraId="55DA52A5" w14:textId="77777777">
        <w:trPr>
          <w:jc w:val="center"/>
        </w:trPr>
        <w:tc>
          <w:tcPr>
            <w:tcW w:w="50" w:type="pct"/>
            <w:vAlign w:val="center"/>
            <w:hideMark/>
          </w:tcPr>
          <w:p w14:paraId="7C318092" w14:textId="77777777" w:rsidR="00000000" w:rsidRDefault="00C1661D">
            <w:pPr>
              <w:rPr>
                <w:rFonts w:eastAsia="Times New Roman"/>
              </w:rPr>
            </w:pPr>
          </w:p>
        </w:tc>
        <w:tc>
          <w:tcPr>
            <w:tcW w:w="729" w:type="pct"/>
            <w:vAlign w:val="center"/>
            <w:hideMark/>
          </w:tcPr>
          <w:p w14:paraId="121E601F" w14:textId="77777777" w:rsidR="00000000" w:rsidRDefault="00C1661D">
            <w:pPr>
              <w:spacing w:after="100"/>
              <w:rPr>
                <w:rFonts w:eastAsia="Times New Roman"/>
                <w:sz w:val="20"/>
                <w:szCs w:val="20"/>
              </w:rPr>
            </w:pPr>
          </w:p>
        </w:tc>
        <w:tc>
          <w:tcPr>
            <w:tcW w:w="5" w:type="pct"/>
            <w:vAlign w:val="center"/>
            <w:hideMark/>
          </w:tcPr>
          <w:p w14:paraId="325A3B23" w14:textId="77777777" w:rsidR="00000000" w:rsidRDefault="00C1661D">
            <w:pPr>
              <w:spacing w:after="100"/>
              <w:rPr>
                <w:rFonts w:eastAsia="Times New Roman"/>
                <w:sz w:val="20"/>
                <w:szCs w:val="20"/>
              </w:rPr>
            </w:pPr>
          </w:p>
        </w:tc>
        <w:tc>
          <w:tcPr>
            <w:tcW w:w="50" w:type="pct"/>
            <w:vAlign w:val="center"/>
            <w:hideMark/>
          </w:tcPr>
          <w:p w14:paraId="4A9B7831" w14:textId="77777777" w:rsidR="00000000" w:rsidRDefault="00C1661D">
            <w:pPr>
              <w:spacing w:after="100"/>
              <w:rPr>
                <w:rFonts w:eastAsia="Times New Roman"/>
                <w:sz w:val="20"/>
                <w:szCs w:val="20"/>
              </w:rPr>
            </w:pPr>
          </w:p>
        </w:tc>
        <w:tc>
          <w:tcPr>
            <w:tcW w:w="1419" w:type="pct"/>
            <w:vAlign w:val="center"/>
            <w:hideMark/>
          </w:tcPr>
          <w:p w14:paraId="495EDEC5" w14:textId="77777777" w:rsidR="00000000" w:rsidRDefault="00C1661D">
            <w:pPr>
              <w:spacing w:after="100"/>
              <w:rPr>
                <w:rFonts w:eastAsia="Times New Roman"/>
                <w:sz w:val="20"/>
                <w:szCs w:val="20"/>
              </w:rPr>
            </w:pPr>
          </w:p>
        </w:tc>
        <w:tc>
          <w:tcPr>
            <w:tcW w:w="5" w:type="pct"/>
            <w:vAlign w:val="center"/>
            <w:hideMark/>
          </w:tcPr>
          <w:p w14:paraId="579505C7" w14:textId="77777777" w:rsidR="00000000" w:rsidRDefault="00C1661D">
            <w:pPr>
              <w:spacing w:after="100"/>
              <w:rPr>
                <w:rFonts w:eastAsia="Times New Roman"/>
                <w:sz w:val="20"/>
                <w:szCs w:val="20"/>
              </w:rPr>
            </w:pPr>
          </w:p>
        </w:tc>
        <w:tc>
          <w:tcPr>
            <w:tcW w:w="50" w:type="pct"/>
            <w:vAlign w:val="center"/>
            <w:hideMark/>
          </w:tcPr>
          <w:p w14:paraId="0B0B97CF" w14:textId="77777777" w:rsidR="00000000" w:rsidRDefault="00C1661D">
            <w:pPr>
              <w:spacing w:after="100"/>
              <w:rPr>
                <w:rFonts w:eastAsia="Times New Roman"/>
                <w:sz w:val="20"/>
                <w:szCs w:val="20"/>
              </w:rPr>
            </w:pPr>
          </w:p>
        </w:tc>
        <w:tc>
          <w:tcPr>
            <w:tcW w:w="1212" w:type="pct"/>
            <w:vAlign w:val="center"/>
            <w:hideMark/>
          </w:tcPr>
          <w:p w14:paraId="56CBA4FB" w14:textId="77777777" w:rsidR="00000000" w:rsidRDefault="00C1661D">
            <w:pPr>
              <w:spacing w:after="100"/>
              <w:rPr>
                <w:rFonts w:eastAsia="Times New Roman"/>
                <w:sz w:val="20"/>
                <w:szCs w:val="20"/>
              </w:rPr>
            </w:pPr>
          </w:p>
        </w:tc>
        <w:tc>
          <w:tcPr>
            <w:tcW w:w="5" w:type="pct"/>
            <w:vAlign w:val="center"/>
            <w:hideMark/>
          </w:tcPr>
          <w:p w14:paraId="5D8527A5" w14:textId="77777777" w:rsidR="00000000" w:rsidRDefault="00C1661D">
            <w:pPr>
              <w:spacing w:after="100"/>
              <w:rPr>
                <w:rFonts w:eastAsia="Times New Roman"/>
                <w:sz w:val="20"/>
                <w:szCs w:val="20"/>
              </w:rPr>
            </w:pPr>
          </w:p>
        </w:tc>
        <w:tc>
          <w:tcPr>
            <w:tcW w:w="50" w:type="pct"/>
            <w:vAlign w:val="center"/>
            <w:hideMark/>
          </w:tcPr>
          <w:p w14:paraId="584EC573" w14:textId="77777777" w:rsidR="00000000" w:rsidRDefault="00C1661D">
            <w:pPr>
              <w:spacing w:after="100"/>
              <w:rPr>
                <w:rFonts w:eastAsia="Times New Roman"/>
                <w:sz w:val="20"/>
                <w:szCs w:val="20"/>
              </w:rPr>
            </w:pPr>
          </w:p>
        </w:tc>
        <w:tc>
          <w:tcPr>
            <w:tcW w:w="401" w:type="pct"/>
            <w:vAlign w:val="center"/>
            <w:hideMark/>
          </w:tcPr>
          <w:p w14:paraId="60F9A4D1" w14:textId="77777777" w:rsidR="00000000" w:rsidRDefault="00C1661D">
            <w:pPr>
              <w:spacing w:after="100"/>
              <w:rPr>
                <w:rFonts w:eastAsia="Times New Roman"/>
                <w:sz w:val="20"/>
                <w:szCs w:val="20"/>
              </w:rPr>
            </w:pPr>
          </w:p>
        </w:tc>
        <w:tc>
          <w:tcPr>
            <w:tcW w:w="5" w:type="pct"/>
            <w:vAlign w:val="center"/>
            <w:hideMark/>
          </w:tcPr>
          <w:p w14:paraId="6434D02C" w14:textId="77777777" w:rsidR="00000000" w:rsidRDefault="00C1661D">
            <w:pPr>
              <w:spacing w:after="100"/>
              <w:rPr>
                <w:rFonts w:eastAsia="Times New Roman"/>
                <w:sz w:val="20"/>
                <w:szCs w:val="20"/>
              </w:rPr>
            </w:pPr>
          </w:p>
        </w:tc>
        <w:tc>
          <w:tcPr>
            <w:tcW w:w="50" w:type="pct"/>
            <w:vAlign w:val="center"/>
            <w:hideMark/>
          </w:tcPr>
          <w:p w14:paraId="5923178D" w14:textId="77777777" w:rsidR="00000000" w:rsidRDefault="00C1661D">
            <w:pPr>
              <w:spacing w:after="100"/>
              <w:rPr>
                <w:rFonts w:eastAsia="Times New Roman"/>
                <w:sz w:val="20"/>
                <w:szCs w:val="20"/>
              </w:rPr>
            </w:pPr>
          </w:p>
        </w:tc>
        <w:tc>
          <w:tcPr>
            <w:tcW w:w="401" w:type="pct"/>
            <w:vAlign w:val="center"/>
            <w:hideMark/>
          </w:tcPr>
          <w:p w14:paraId="324B67D2" w14:textId="77777777" w:rsidR="00000000" w:rsidRDefault="00C1661D">
            <w:pPr>
              <w:spacing w:after="100"/>
              <w:rPr>
                <w:rFonts w:eastAsia="Times New Roman"/>
                <w:sz w:val="20"/>
                <w:szCs w:val="20"/>
              </w:rPr>
            </w:pPr>
          </w:p>
        </w:tc>
        <w:tc>
          <w:tcPr>
            <w:tcW w:w="5" w:type="pct"/>
            <w:vAlign w:val="center"/>
            <w:hideMark/>
          </w:tcPr>
          <w:p w14:paraId="11DAB6D6" w14:textId="77777777" w:rsidR="00000000" w:rsidRDefault="00C1661D">
            <w:pPr>
              <w:spacing w:after="100"/>
              <w:rPr>
                <w:rFonts w:eastAsia="Times New Roman"/>
                <w:sz w:val="20"/>
                <w:szCs w:val="20"/>
              </w:rPr>
            </w:pPr>
          </w:p>
        </w:tc>
        <w:tc>
          <w:tcPr>
            <w:tcW w:w="50" w:type="pct"/>
            <w:vAlign w:val="center"/>
            <w:hideMark/>
          </w:tcPr>
          <w:p w14:paraId="0EA4F787" w14:textId="77777777" w:rsidR="00000000" w:rsidRDefault="00C1661D">
            <w:pPr>
              <w:spacing w:after="100"/>
              <w:rPr>
                <w:rFonts w:eastAsia="Times New Roman"/>
                <w:sz w:val="20"/>
                <w:szCs w:val="20"/>
              </w:rPr>
            </w:pPr>
          </w:p>
        </w:tc>
        <w:tc>
          <w:tcPr>
            <w:tcW w:w="505" w:type="pct"/>
            <w:vAlign w:val="center"/>
            <w:hideMark/>
          </w:tcPr>
          <w:p w14:paraId="69B8A9F7" w14:textId="77777777" w:rsidR="00000000" w:rsidRDefault="00C1661D">
            <w:pPr>
              <w:spacing w:after="100"/>
              <w:rPr>
                <w:rFonts w:eastAsia="Times New Roman"/>
                <w:sz w:val="20"/>
                <w:szCs w:val="20"/>
              </w:rPr>
            </w:pPr>
          </w:p>
        </w:tc>
        <w:tc>
          <w:tcPr>
            <w:tcW w:w="5" w:type="pct"/>
            <w:vAlign w:val="center"/>
            <w:hideMark/>
          </w:tcPr>
          <w:p w14:paraId="6C5D6436" w14:textId="77777777" w:rsidR="00000000" w:rsidRDefault="00C1661D">
            <w:pPr>
              <w:spacing w:after="100"/>
              <w:rPr>
                <w:rFonts w:eastAsia="Times New Roman"/>
                <w:sz w:val="20"/>
                <w:szCs w:val="20"/>
              </w:rPr>
            </w:pPr>
          </w:p>
        </w:tc>
      </w:tr>
      <w:tr w:rsidR="00000000" w14:paraId="4F33235D" w14:textId="77777777">
        <w:trPr>
          <w:jc w:val="center"/>
        </w:trPr>
        <w:tc>
          <w:tcPr>
            <w:tcW w:w="0" w:type="auto"/>
            <w:gridSpan w:val="18"/>
            <w:tcMar>
              <w:top w:w="30" w:type="dxa"/>
              <w:left w:w="20" w:type="dxa"/>
              <w:bottom w:w="30" w:type="dxa"/>
              <w:right w:w="20" w:type="dxa"/>
            </w:tcMar>
            <w:hideMark/>
          </w:tcPr>
          <w:p w14:paraId="33A1547E" w14:textId="77777777" w:rsidR="00000000" w:rsidRDefault="00C1661D">
            <w:pPr>
              <w:spacing w:after="100"/>
              <w:rPr>
                <w:rFonts w:eastAsia="Times New Roman"/>
              </w:rPr>
            </w:pPr>
            <w:r>
              <w:rPr>
                <w:rFonts w:eastAsia="Times New Roman"/>
                <w:color w:val="000000"/>
                <w:sz w:val="20"/>
                <w:szCs w:val="20"/>
              </w:rPr>
              <w:t>Incorporation by Reference</w:t>
            </w:r>
          </w:p>
        </w:tc>
      </w:tr>
      <w:tr w:rsidR="00000000" w14:paraId="60CC3E3C" w14:textId="77777777">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77E08C76" w14:textId="77777777" w:rsidR="00000000" w:rsidRDefault="00C1661D">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7C79775C" w14:textId="77777777" w:rsidR="00000000" w:rsidRDefault="00C1661D">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5AE50539" w14:textId="77777777" w:rsidR="00000000" w:rsidRDefault="00C1661D">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14:paraId="1F063ED7" w14:textId="77777777" w:rsidR="00000000" w:rsidRDefault="00C1661D">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4DA57D7F" w14:textId="77777777" w:rsidR="00000000" w:rsidRDefault="00C1661D">
            <w:pPr>
              <w:spacing w:after="100"/>
              <w:rPr>
                <w:rFonts w:eastAsia="Times New Roman"/>
              </w:rPr>
            </w:pPr>
            <w:r>
              <w:rPr>
                <w:rFonts w:eastAsia="Times New Roman"/>
                <w:color w:val="000000"/>
                <w:sz w:val="20"/>
                <w:szCs w:val="20"/>
              </w:rPr>
              <w:t>Exhibit</w:t>
            </w:r>
          </w:p>
        </w:tc>
      </w:tr>
      <w:tr w:rsidR="00000000" w14:paraId="0CCBE068" w14:textId="77777777">
        <w:trPr>
          <w:jc w:val="center"/>
        </w:trPr>
        <w:tc>
          <w:tcPr>
            <w:tcW w:w="0" w:type="auto"/>
            <w:gridSpan w:val="3"/>
            <w:tcMar>
              <w:top w:w="30" w:type="dxa"/>
              <w:left w:w="20" w:type="dxa"/>
              <w:bottom w:w="30" w:type="dxa"/>
              <w:right w:w="20" w:type="dxa"/>
            </w:tcMar>
            <w:hideMark/>
          </w:tcPr>
          <w:p w14:paraId="167C807B" w14:textId="77777777" w:rsidR="00000000" w:rsidRDefault="00C1661D">
            <w:pPr>
              <w:spacing w:after="100"/>
              <w:rPr>
                <w:rFonts w:eastAsia="Times New Roman"/>
              </w:rPr>
            </w:pPr>
            <w:r>
              <w:rPr>
                <w:rFonts w:eastAsia="Times New Roman"/>
                <w:color w:val="000000"/>
                <w:sz w:val="20"/>
                <w:szCs w:val="20"/>
              </w:rPr>
              <w:t>4.13</w:t>
            </w:r>
          </w:p>
        </w:tc>
        <w:tc>
          <w:tcPr>
            <w:tcW w:w="0" w:type="auto"/>
            <w:gridSpan w:val="3"/>
            <w:tcMar>
              <w:top w:w="30" w:type="dxa"/>
              <w:left w:w="20" w:type="dxa"/>
              <w:bottom w:w="30" w:type="dxa"/>
              <w:right w:w="20" w:type="dxa"/>
            </w:tcMar>
            <w:hideMark/>
          </w:tcPr>
          <w:p w14:paraId="4159ABC0" w14:textId="77777777" w:rsidR="00000000" w:rsidRDefault="00C1661D">
            <w:pPr>
              <w:spacing w:after="100"/>
              <w:divId w:val="1423797797"/>
              <w:rPr>
                <w:rFonts w:eastAsia="Times New Roman"/>
              </w:rPr>
            </w:pPr>
            <w:hyperlink r:id="rId19" w:history="1">
              <w:r>
                <w:rPr>
                  <w:rStyle w:val="a3"/>
                  <w:rFonts w:eastAsia="Times New Roman"/>
                  <w:sz w:val="20"/>
                  <w:szCs w:val="20"/>
                </w:rPr>
                <w:t>I</w:t>
              </w:r>
            </w:hyperlink>
            <w:hyperlink r:id="rId20" w:history="1">
              <w:r>
                <w:rPr>
                  <w:rStyle w:val="a3"/>
                  <w:rFonts w:eastAsia="Times New Roman"/>
                  <w:sz w:val="20"/>
                  <w:szCs w:val="20"/>
                </w:rPr>
                <w:t>ndenture, dated as of December 7, 2021, by and among UGI Intern</w:t>
              </w:r>
              <w:r>
                <w:rPr>
                  <w:rStyle w:val="a3"/>
                  <w:rFonts w:eastAsia="Times New Roman"/>
                  <w:sz w:val="20"/>
                  <w:szCs w:val="20"/>
                </w:rPr>
                <w:t>ational, LLC, the guarantors named therein, U.S. Bank National Association, as trustee, Elavon Financial Services DAC, as registrar and transfer agent, and Elavon Financial Services DAC, UK Branch, as paying agent (including the form of Note).</w:t>
              </w:r>
            </w:hyperlink>
          </w:p>
        </w:tc>
        <w:tc>
          <w:tcPr>
            <w:tcW w:w="0" w:type="auto"/>
            <w:gridSpan w:val="3"/>
            <w:tcMar>
              <w:top w:w="30" w:type="dxa"/>
              <w:left w:w="20" w:type="dxa"/>
              <w:bottom w:w="30" w:type="dxa"/>
              <w:right w:w="20" w:type="dxa"/>
            </w:tcMar>
            <w:hideMark/>
          </w:tcPr>
          <w:p w14:paraId="281EC004"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3EB91612"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(12/7/21)</w:t>
            </w:r>
          </w:p>
        </w:tc>
        <w:tc>
          <w:tcPr>
            <w:tcW w:w="0" w:type="auto"/>
            <w:gridSpan w:val="3"/>
            <w:tcMar>
              <w:top w:w="30" w:type="dxa"/>
              <w:left w:w="20" w:type="dxa"/>
              <w:bottom w:w="30" w:type="dxa"/>
              <w:right w:w="20" w:type="dxa"/>
            </w:tcMar>
            <w:hideMark/>
          </w:tcPr>
          <w:p w14:paraId="5D90885B" w14:textId="77777777" w:rsidR="00000000" w:rsidRDefault="00C1661D">
            <w:pPr>
              <w:spacing w:after="100"/>
              <w:rPr>
                <w:rFonts w:eastAsia="Times New Roman"/>
              </w:rPr>
            </w:pPr>
            <w:r>
              <w:rPr>
                <w:rFonts w:eastAsia="Times New Roman"/>
                <w:color w:val="000000"/>
                <w:sz w:val="20"/>
                <w:szCs w:val="20"/>
              </w:rPr>
              <w:t>4.1</w:t>
            </w:r>
          </w:p>
        </w:tc>
      </w:tr>
      <w:tr w:rsidR="00000000" w14:paraId="70583970" w14:textId="77777777">
        <w:trPr>
          <w:jc w:val="center"/>
        </w:trPr>
        <w:tc>
          <w:tcPr>
            <w:tcW w:w="0" w:type="auto"/>
            <w:gridSpan w:val="3"/>
            <w:tcMar>
              <w:top w:w="30" w:type="dxa"/>
              <w:left w:w="20" w:type="dxa"/>
              <w:bottom w:w="30" w:type="dxa"/>
              <w:right w:w="20" w:type="dxa"/>
            </w:tcMar>
            <w:hideMark/>
          </w:tcPr>
          <w:p w14:paraId="046CA4FD" w14:textId="77777777" w:rsidR="00000000" w:rsidRDefault="00C1661D">
            <w:pPr>
              <w:spacing w:after="100"/>
              <w:rPr>
                <w:rFonts w:eastAsia="Times New Roman"/>
              </w:rPr>
            </w:pPr>
            <w:r>
              <w:rPr>
                <w:rFonts w:eastAsia="Times New Roman"/>
                <w:color w:val="000000"/>
                <w:sz w:val="20"/>
                <w:szCs w:val="20"/>
              </w:rPr>
              <w:t>4.14</w:t>
            </w:r>
          </w:p>
        </w:tc>
        <w:tc>
          <w:tcPr>
            <w:tcW w:w="0" w:type="auto"/>
            <w:gridSpan w:val="3"/>
            <w:tcMar>
              <w:top w:w="30" w:type="dxa"/>
              <w:left w:w="20" w:type="dxa"/>
              <w:bottom w:w="30" w:type="dxa"/>
              <w:right w:w="20" w:type="dxa"/>
            </w:tcMar>
            <w:vAlign w:val="bottom"/>
            <w:hideMark/>
          </w:tcPr>
          <w:p w14:paraId="57024205" w14:textId="77777777" w:rsidR="00000000" w:rsidRDefault="00C1661D">
            <w:pPr>
              <w:spacing w:after="100"/>
              <w:divId w:val="904755546"/>
              <w:rPr>
                <w:rFonts w:eastAsia="Times New Roman"/>
              </w:rPr>
            </w:pPr>
            <w:hyperlink r:id="rId21" w:history="1">
              <w:r>
                <w:rPr>
                  <w:rStyle w:val="a3"/>
                  <w:rFonts w:eastAsia="Times New Roman"/>
                  <w:sz w:val="20"/>
                  <w:szCs w:val="20"/>
                </w:rPr>
                <w:t>Form of Note Purchase Agreement dated December 21, 2018 between the Company and the purchasers listed as signatories thereto.</w:t>
              </w:r>
            </w:hyperlink>
          </w:p>
        </w:tc>
        <w:tc>
          <w:tcPr>
            <w:tcW w:w="0" w:type="auto"/>
            <w:gridSpan w:val="3"/>
            <w:tcMar>
              <w:top w:w="30" w:type="dxa"/>
              <w:left w:w="20" w:type="dxa"/>
              <w:bottom w:w="30" w:type="dxa"/>
              <w:right w:w="20" w:type="dxa"/>
            </w:tcMar>
            <w:hideMark/>
          </w:tcPr>
          <w:p w14:paraId="0CAB97EE"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2DF03E55" w14:textId="77777777" w:rsidR="00000000" w:rsidRDefault="00C1661D">
            <w:pPr>
              <w:spacing w:after="100"/>
              <w:jc w:val="center"/>
              <w:rPr>
                <w:rFonts w:eastAsia="Times New Roman"/>
              </w:rPr>
            </w:pPr>
            <w:r>
              <w:rPr>
                <w:rFonts w:eastAsia="Times New Roman"/>
                <w:color w:val="000000"/>
                <w:sz w:val="20"/>
                <w:szCs w:val="20"/>
              </w:rPr>
              <w:t>Form 10-Q (12/31/18)</w:t>
            </w:r>
          </w:p>
        </w:tc>
        <w:tc>
          <w:tcPr>
            <w:tcW w:w="0" w:type="auto"/>
            <w:gridSpan w:val="3"/>
            <w:tcMar>
              <w:top w:w="30" w:type="dxa"/>
              <w:left w:w="20" w:type="dxa"/>
              <w:bottom w:w="30" w:type="dxa"/>
              <w:right w:w="20" w:type="dxa"/>
            </w:tcMar>
            <w:hideMark/>
          </w:tcPr>
          <w:p w14:paraId="7494178C" w14:textId="77777777" w:rsidR="00000000" w:rsidRDefault="00C1661D">
            <w:pPr>
              <w:spacing w:after="100"/>
              <w:rPr>
                <w:rFonts w:eastAsia="Times New Roman"/>
              </w:rPr>
            </w:pPr>
            <w:r>
              <w:rPr>
                <w:rFonts w:eastAsia="Times New Roman"/>
                <w:color w:val="000000"/>
                <w:sz w:val="20"/>
                <w:szCs w:val="20"/>
              </w:rPr>
              <w:t>4.1</w:t>
            </w:r>
          </w:p>
        </w:tc>
      </w:tr>
      <w:tr w:rsidR="00000000" w14:paraId="06C0CF16" w14:textId="77777777">
        <w:trPr>
          <w:jc w:val="center"/>
        </w:trPr>
        <w:tc>
          <w:tcPr>
            <w:tcW w:w="0" w:type="auto"/>
            <w:gridSpan w:val="3"/>
            <w:tcMar>
              <w:top w:w="30" w:type="dxa"/>
              <w:left w:w="20" w:type="dxa"/>
              <w:bottom w:w="30" w:type="dxa"/>
              <w:right w:w="20" w:type="dxa"/>
            </w:tcMar>
            <w:hideMark/>
          </w:tcPr>
          <w:p w14:paraId="03A066F7" w14:textId="77777777" w:rsidR="00000000" w:rsidRDefault="00C1661D">
            <w:pPr>
              <w:spacing w:after="100"/>
              <w:rPr>
                <w:rFonts w:eastAsia="Times New Roman"/>
              </w:rPr>
            </w:pPr>
            <w:r>
              <w:rPr>
                <w:rFonts w:eastAsia="Times New Roman"/>
                <w:color w:val="000000"/>
                <w:sz w:val="20"/>
                <w:szCs w:val="20"/>
              </w:rPr>
              <w:t>4.15</w:t>
            </w:r>
          </w:p>
        </w:tc>
        <w:tc>
          <w:tcPr>
            <w:tcW w:w="0" w:type="auto"/>
            <w:gridSpan w:val="3"/>
            <w:tcMar>
              <w:top w:w="30" w:type="dxa"/>
              <w:left w:w="20" w:type="dxa"/>
              <w:bottom w:w="30" w:type="dxa"/>
              <w:right w:w="20" w:type="dxa"/>
            </w:tcMar>
            <w:vAlign w:val="bottom"/>
            <w:hideMark/>
          </w:tcPr>
          <w:p w14:paraId="3B9ACD26" w14:textId="77777777" w:rsidR="00000000" w:rsidRDefault="00C1661D">
            <w:pPr>
              <w:spacing w:after="100"/>
              <w:divId w:val="631516637"/>
              <w:rPr>
                <w:rFonts w:eastAsia="Times New Roman"/>
              </w:rPr>
            </w:pPr>
            <w:hyperlink r:id="rId22" w:history="1">
              <w:r>
                <w:rPr>
                  <w:rStyle w:val="a3"/>
                  <w:rFonts w:eastAsia="Times New Roman"/>
                  <w:sz w:val="20"/>
                  <w:szCs w:val="20"/>
                </w:rPr>
                <w:t>Note Purchase Agreement, dated as of March 19, 2020, by and among the Company and the purchasers listed as signatories thereto.</w:t>
              </w:r>
            </w:hyperlink>
          </w:p>
        </w:tc>
        <w:tc>
          <w:tcPr>
            <w:tcW w:w="0" w:type="auto"/>
            <w:gridSpan w:val="3"/>
            <w:tcMar>
              <w:top w:w="30" w:type="dxa"/>
              <w:left w:w="20" w:type="dxa"/>
              <w:bottom w:w="30" w:type="dxa"/>
              <w:right w:w="20" w:type="dxa"/>
            </w:tcMar>
            <w:hideMark/>
          </w:tcPr>
          <w:p w14:paraId="3CBD0638"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3AA45CE6"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(3/19/20)</w:t>
            </w:r>
          </w:p>
        </w:tc>
        <w:tc>
          <w:tcPr>
            <w:tcW w:w="0" w:type="auto"/>
            <w:gridSpan w:val="3"/>
            <w:tcMar>
              <w:top w:w="30" w:type="dxa"/>
              <w:left w:w="20" w:type="dxa"/>
              <w:bottom w:w="30" w:type="dxa"/>
              <w:right w:w="20" w:type="dxa"/>
            </w:tcMar>
            <w:hideMark/>
          </w:tcPr>
          <w:p w14:paraId="4E8CB321" w14:textId="77777777" w:rsidR="00000000" w:rsidRDefault="00C1661D">
            <w:pPr>
              <w:spacing w:after="100"/>
              <w:rPr>
                <w:rFonts w:eastAsia="Times New Roman"/>
              </w:rPr>
            </w:pPr>
            <w:r>
              <w:rPr>
                <w:rFonts w:eastAsia="Times New Roman"/>
                <w:color w:val="000000"/>
                <w:sz w:val="20"/>
                <w:szCs w:val="20"/>
              </w:rPr>
              <w:t>4.</w:t>
            </w:r>
            <w:r>
              <w:rPr>
                <w:rFonts w:eastAsia="Times New Roman"/>
                <w:color w:val="000000"/>
                <w:sz w:val="20"/>
                <w:szCs w:val="20"/>
              </w:rPr>
              <w:t>1</w:t>
            </w:r>
          </w:p>
        </w:tc>
      </w:tr>
      <w:tr w:rsidR="00000000" w14:paraId="6E0A5739" w14:textId="77777777">
        <w:trPr>
          <w:jc w:val="center"/>
        </w:trPr>
        <w:tc>
          <w:tcPr>
            <w:tcW w:w="0" w:type="auto"/>
            <w:gridSpan w:val="3"/>
            <w:tcMar>
              <w:top w:w="30" w:type="dxa"/>
              <w:left w:w="20" w:type="dxa"/>
              <w:bottom w:w="30" w:type="dxa"/>
              <w:right w:w="20" w:type="dxa"/>
            </w:tcMar>
            <w:hideMark/>
          </w:tcPr>
          <w:p w14:paraId="2DD52728" w14:textId="77777777" w:rsidR="00000000" w:rsidRDefault="00C1661D">
            <w:pPr>
              <w:spacing w:after="100"/>
              <w:rPr>
                <w:rFonts w:eastAsia="Times New Roman"/>
              </w:rPr>
            </w:pPr>
            <w:r>
              <w:rPr>
                <w:rFonts w:eastAsia="Times New Roman"/>
                <w:color w:val="000000"/>
                <w:sz w:val="20"/>
                <w:szCs w:val="20"/>
              </w:rPr>
              <w:t>4.16</w:t>
            </w:r>
          </w:p>
        </w:tc>
        <w:tc>
          <w:tcPr>
            <w:tcW w:w="0" w:type="auto"/>
            <w:gridSpan w:val="3"/>
            <w:tcMar>
              <w:top w:w="30" w:type="dxa"/>
              <w:left w:w="20" w:type="dxa"/>
              <w:bottom w:w="30" w:type="dxa"/>
              <w:right w:w="20" w:type="dxa"/>
            </w:tcMar>
            <w:vAlign w:val="bottom"/>
            <w:hideMark/>
          </w:tcPr>
          <w:p w14:paraId="654BEACB" w14:textId="77777777" w:rsidR="00000000" w:rsidRDefault="00C1661D">
            <w:pPr>
              <w:spacing w:after="100"/>
              <w:divId w:val="198131965"/>
              <w:rPr>
                <w:rFonts w:eastAsia="Times New Roman"/>
              </w:rPr>
            </w:pPr>
            <w:hyperlink r:id="rId23" w:history="1">
              <w:r>
                <w:rPr>
                  <w:rStyle w:val="a3"/>
                  <w:rFonts w:eastAsia="Times New Roman"/>
                  <w:sz w:val="20"/>
                  <w:szCs w:val="20"/>
                </w:rPr>
                <w:t>Note Purchase Agreement, dated May 7, 2021, by and among UGI Utilities, Inc. and the purchasers listed as signatories thereto.</w:t>
              </w:r>
            </w:hyperlink>
          </w:p>
        </w:tc>
        <w:tc>
          <w:tcPr>
            <w:tcW w:w="0" w:type="auto"/>
            <w:gridSpan w:val="3"/>
            <w:tcMar>
              <w:top w:w="30" w:type="dxa"/>
              <w:left w:w="20" w:type="dxa"/>
              <w:bottom w:w="30" w:type="dxa"/>
              <w:right w:w="20" w:type="dxa"/>
            </w:tcMar>
            <w:hideMark/>
          </w:tcPr>
          <w:p w14:paraId="2C7B4F9B"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11A9A954"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(5/4/21)</w:t>
            </w:r>
          </w:p>
        </w:tc>
        <w:tc>
          <w:tcPr>
            <w:tcW w:w="0" w:type="auto"/>
            <w:gridSpan w:val="3"/>
            <w:tcMar>
              <w:top w:w="30" w:type="dxa"/>
              <w:left w:w="20" w:type="dxa"/>
              <w:bottom w:w="30" w:type="dxa"/>
              <w:right w:w="20" w:type="dxa"/>
            </w:tcMar>
            <w:hideMark/>
          </w:tcPr>
          <w:p w14:paraId="34D1C1F3" w14:textId="77777777" w:rsidR="00000000" w:rsidRDefault="00C1661D">
            <w:pPr>
              <w:spacing w:after="100"/>
              <w:rPr>
                <w:rFonts w:eastAsia="Times New Roman"/>
              </w:rPr>
            </w:pPr>
            <w:r>
              <w:rPr>
                <w:rFonts w:eastAsia="Times New Roman"/>
                <w:color w:val="000000"/>
                <w:sz w:val="20"/>
                <w:szCs w:val="20"/>
              </w:rPr>
              <w:t>4.1</w:t>
            </w:r>
          </w:p>
        </w:tc>
      </w:tr>
      <w:tr w:rsidR="00000000" w14:paraId="4CE37E86" w14:textId="77777777">
        <w:trPr>
          <w:jc w:val="center"/>
        </w:trPr>
        <w:tc>
          <w:tcPr>
            <w:tcW w:w="0" w:type="auto"/>
            <w:gridSpan w:val="3"/>
            <w:tcMar>
              <w:top w:w="30" w:type="dxa"/>
              <w:left w:w="20" w:type="dxa"/>
              <w:bottom w:w="30" w:type="dxa"/>
              <w:right w:w="20" w:type="dxa"/>
            </w:tcMar>
            <w:hideMark/>
          </w:tcPr>
          <w:p w14:paraId="1DC11EA5" w14:textId="77777777" w:rsidR="00000000" w:rsidRDefault="00C1661D">
            <w:pPr>
              <w:spacing w:after="100"/>
              <w:rPr>
                <w:rFonts w:eastAsia="Times New Roman"/>
              </w:rPr>
            </w:pPr>
            <w:r>
              <w:rPr>
                <w:rFonts w:eastAsia="Times New Roman"/>
                <w:color w:val="000000"/>
                <w:sz w:val="20"/>
                <w:szCs w:val="20"/>
              </w:rPr>
              <w:t>4.17</w:t>
            </w:r>
          </w:p>
        </w:tc>
        <w:tc>
          <w:tcPr>
            <w:tcW w:w="0" w:type="auto"/>
            <w:gridSpan w:val="3"/>
            <w:tcMar>
              <w:top w:w="30" w:type="dxa"/>
              <w:left w:w="20" w:type="dxa"/>
              <w:bottom w:w="30" w:type="dxa"/>
              <w:right w:w="20" w:type="dxa"/>
            </w:tcMar>
            <w:hideMark/>
          </w:tcPr>
          <w:p w14:paraId="14C15A04" w14:textId="77777777" w:rsidR="00000000" w:rsidRDefault="00C1661D">
            <w:pPr>
              <w:spacing w:after="100"/>
              <w:divId w:val="1387409741"/>
              <w:rPr>
                <w:rFonts w:eastAsia="Times New Roman"/>
              </w:rPr>
            </w:pPr>
            <w:hyperlink r:id="rId24" w:history="1">
              <w:r>
                <w:rPr>
                  <w:rStyle w:val="a3"/>
                  <w:rFonts w:eastAsia="Times New Roman"/>
                  <w:sz w:val="20"/>
                  <w:szCs w:val="20"/>
                </w:rPr>
                <w:t>Note Purchase Agreement, dated June 30, 2022, by and among UGI Utilities, Inc. and the purchasers listed as signatories thereto.</w:t>
              </w:r>
            </w:hyperlink>
          </w:p>
        </w:tc>
        <w:tc>
          <w:tcPr>
            <w:tcW w:w="0" w:type="auto"/>
            <w:gridSpan w:val="3"/>
            <w:tcMar>
              <w:top w:w="30" w:type="dxa"/>
              <w:left w:w="20" w:type="dxa"/>
              <w:bottom w:w="30" w:type="dxa"/>
              <w:right w:w="20" w:type="dxa"/>
            </w:tcMar>
            <w:hideMark/>
          </w:tcPr>
          <w:p w14:paraId="58A6F629"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183E7144"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(6/30/22)</w:t>
            </w:r>
          </w:p>
        </w:tc>
        <w:tc>
          <w:tcPr>
            <w:tcW w:w="0" w:type="auto"/>
            <w:gridSpan w:val="3"/>
            <w:tcMar>
              <w:top w:w="30" w:type="dxa"/>
              <w:left w:w="20" w:type="dxa"/>
              <w:bottom w:w="30" w:type="dxa"/>
              <w:right w:w="20" w:type="dxa"/>
            </w:tcMar>
            <w:hideMark/>
          </w:tcPr>
          <w:p w14:paraId="2E8C0689" w14:textId="77777777" w:rsidR="00000000" w:rsidRDefault="00C1661D">
            <w:pPr>
              <w:spacing w:after="100"/>
              <w:rPr>
                <w:rFonts w:eastAsia="Times New Roman"/>
              </w:rPr>
            </w:pPr>
            <w:r>
              <w:rPr>
                <w:rFonts w:eastAsia="Times New Roman"/>
                <w:color w:val="000000"/>
                <w:sz w:val="20"/>
                <w:szCs w:val="20"/>
              </w:rPr>
              <w:t>4.1</w:t>
            </w:r>
          </w:p>
        </w:tc>
      </w:tr>
      <w:tr w:rsidR="00000000" w14:paraId="604BAB69" w14:textId="77777777">
        <w:trPr>
          <w:jc w:val="center"/>
        </w:trPr>
        <w:tc>
          <w:tcPr>
            <w:tcW w:w="0" w:type="auto"/>
            <w:gridSpan w:val="3"/>
            <w:tcMar>
              <w:top w:w="30" w:type="dxa"/>
              <w:left w:w="20" w:type="dxa"/>
              <w:bottom w:w="30" w:type="dxa"/>
              <w:right w:w="20" w:type="dxa"/>
            </w:tcMar>
            <w:hideMark/>
          </w:tcPr>
          <w:p w14:paraId="4E79C2D4" w14:textId="77777777" w:rsidR="00000000" w:rsidRDefault="00C1661D">
            <w:pPr>
              <w:spacing w:after="100"/>
              <w:rPr>
                <w:rFonts w:eastAsia="Times New Roman"/>
              </w:rPr>
            </w:pPr>
            <w:r>
              <w:rPr>
                <w:rFonts w:eastAsia="Times New Roman"/>
                <w:color w:val="000000"/>
                <w:sz w:val="20"/>
                <w:szCs w:val="20"/>
              </w:rPr>
              <w:t>4.18</w:t>
            </w:r>
          </w:p>
        </w:tc>
        <w:tc>
          <w:tcPr>
            <w:tcW w:w="0" w:type="auto"/>
            <w:gridSpan w:val="3"/>
            <w:tcMar>
              <w:top w:w="30" w:type="dxa"/>
              <w:left w:w="20" w:type="dxa"/>
              <w:bottom w:w="30" w:type="dxa"/>
              <w:right w:w="20" w:type="dxa"/>
            </w:tcMar>
            <w:hideMark/>
          </w:tcPr>
          <w:p w14:paraId="30342B4A" w14:textId="77777777" w:rsidR="00000000" w:rsidRDefault="00C1661D">
            <w:pPr>
              <w:spacing w:after="100"/>
              <w:divId w:val="1570114061"/>
              <w:rPr>
                <w:rFonts w:eastAsia="Times New Roman"/>
              </w:rPr>
            </w:pPr>
            <w:hyperlink r:id="rId25" w:history="1">
              <w:r>
                <w:rPr>
                  <w:rStyle w:val="a3"/>
                  <w:rFonts w:eastAsia="Times New Roman"/>
                  <w:sz w:val="20"/>
                  <w:szCs w:val="20"/>
                </w:rPr>
                <w:t xml:space="preserve">Note Purchase Agreement, dated June 30, 2022, by and among Mountaineer Gas Company and the purchasers listed as signatories thereto. </w:t>
              </w:r>
            </w:hyperlink>
          </w:p>
        </w:tc>
        <w:tc>
          <w:tcPr>
            <w:tcW w:w="0" w:type="auto"/>
            <w:gridSpan w:val="3"/>
            <w:tcMar>
              <w:top w:w="30" w:type="dxa"/>
              <w:left w:w="20" w:type="dxa"/>
              <w:bottom w:w="30" w:type="dxa"/>
              <w:right w:w="20" w:type="dxa"/>
            </w:tcMar>
            <w:hideMark/>
          </w:tcPr>
          <w:p w14:paraId="5C6D7B6A"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6F2480EC"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(6/30/22)</w:t>
            </w:r>
          </w:p>
        </w:tc>
        <w:tc>
          <w:tcPr>
            <w:tcW w:w="0" w:type="auto"/>
            <w:gridSpan w:val="3"/>
            <w:tcMar>
              <w:top w:w="30" w:type="dxa"/>
              <w:left w:w="20" w:type="dxa"/>
              <w:bottom w:w="30" w:type="dxa"/>
              <w:right w:w="20" w:type="dxa"/>
            </w:tcMar>
            <w:hideMark/>
          </w:tcPr>
          <w:p w14:paraId="6672E1C2" w14:textId="77777777" w:rsidR="00000000" w:rsidRDefault="00C1661D">
            <w:pPr>
              <w:spacing w:after="100"/>
              <w:rPr>
                <w:rFonts w:eastAsia="Times New Roman"/>
              </w:rPr>
            </w:pPr>
            <w:r>
              <w:rPr>
                <w:rFonts w:eastAsia="Times New Roman"/>
                <w:color w:val="000000"/>
                <w:sz w:val="20"/>
                <w:szCs w:val="20"/>
              </w:rPr>
              <w:t>4.2</w:t>
            </w:r>
          </w:p>
        </w:tc>
      </w:tr>
      <w:tr w:rsidR="00000000" w14:paraId="0622657C" w14:textId="77777777">
        <w:trPr>
          <w:jc w:val="center"/>
        </w:trPr>
        <w:tc>
          <w:tcPr>
            <w:tcW w:w="0" w:type="auto"/>
            <w:gridSpan w:val="3"/>
            <w:tcMar>
              <w:top w:w="30" w:type="dxa"/>
              <w:left w:w="20" w:type="dxa"/>
              <w:bottom w:w="30" w:type="dxa"/>
              <w:right w:w="20" w:type="dxa"/>
            </w:tcMar>
            <w:hideMark/>
          </w:tcPr>
          <w:p w14:paraId="51FBD67A" w14:textId="77777777" w:rsidR="00000000" w:rsidRDefault="00C1661D">
            <w:pPr>
              <w:spacing w:after="100"/>
              <w:rPr>
                <w:rFonts w:eastAsia="Times New Roman"/>
              </w:rPr>
            </w:pPr>
            <w:r>
              <w:rPr>
                <w:rFonts w:eastAsia="Times New Roman"/>
                <w:color w:val="000000"/>
                <w:sz w:val="20"/>
                <w:szCs w:val="20"/>
              </w:rPr>
              <w:t>4.19</w:t>
            </w:r>
          </w:p>
        </w:tc>
        <w:tc>
          <w:tcPr>
            <w:tcW w:w="0" w:type="auto"/>
            <w:gridSpan w:val="3"/>
            <w:tcMar>
              <w:top w:w="30" w:type="dxa"/>
              <w:left w:w="20" w:type="dxa"/>
              <w:bottom w:w="30" w:type="dxa"/>
              <w:right w:w="20" w:type="dxa"/>
            </w:tcMar>
            <w:vAlign w:val="bottom"/>
            <w:hideMark/>
          </w:tcPr>
          <w:p w14:paraId="455FDF69" w14:textId="77777777" w:rsidR="00000000" w:rsidRDefault="00C1661D">
            <w:pPr>
              <w:spacing w:after="100"/>
              <w:divId w:val="600647653"/>
              <w:rPr>
                <w:rFonts w:eastAsia="Times New Roman"/>
              </w:rPr>
            </w:pPr>
            <w:hyperlink r:id="rId26" w:history="1">
              <w:r>
                <w:rPr>
                  <w:rStyle w:val="a3"/>
                  <w:rFonts w:eastAsia="Times New Roman"/>
                  <w:sz w:val="20"/>
                  <w:szCs w:val="20"/>
                </w:rPr>
                <w:t>Purchase Contract and Pledge Agreement, dated May 25, 2021, between the Company and U.S. Bank National Association, as purchase contract agent, collatera</w:t>
              </w:r>
              <w:r>
                <w:rPr>
                  <w:rStyle w:val="a3"/>
                  <w:rFonts w:eastAsia="Times New Roman"/>
                  <w:sz w:val="20"/>
                  <w:szCs w:val="20"/>
                </w:rPr>
                <w:t>l agent, custodial agent and securities intermediary.</w:t>
              </w:r>
            </w:hyperlink>
          </w:p>
        </w:tc>
        <w:tc>
          <w:tcPr>
            <w:tcW w:w="0" w:type="auto"/>
            <w:gridSpan w:val="3"/>
            <w:tcMar>
              <w:top w:w="30" w:type="dxa"/>
              <w:left w:w="20" w:type="dxa"/>
              <w:bottom w:w="30" w:type="dxa"/>
              <w:right w:w="20" w:type="dxa"/>
            </w:tcMar>
            <w:hideMark/>
          </w:tcPr>
          <w:p w14:paraId="0A0A97DD"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5370AF28"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14:paraId="24FC8260" w14:textId="77777777" w:rsidR="00000000" w:rsidRDefault="00C1661D">
            <w:pPr>
              <w:spacing w:after="100"/>
              <w:rPr>
                <w:rFonts w:eastAsia="Times New Roman"/>
              </w:rPr>
            </w:pPr>
            <w:r>
              <w:rPr>
                <w:rFonts w:eastAsia="Times New Roman"/>
                <w:color w:val="000000"/>
                <w:sz w:val="20"/>
                <w:szCs w:val="20"/>
              </w:rPr>
              <w:t>4.1</w:t>
            </w:r>
          </w:p>
        </w:tc>
      </w:tr>
      <w:tr w:rsidR="00000000" w14:paraId="355FFCCC" w14:textId="77777777">
        <w:trPr>
          <w:jc w:val="center"/>
        </w:trPr>
        <w:tc>
          <w:tcPr>
            <w:tcW w:w="0" w:type="auto"/>
            <w:gridSpan w:val="3"/>
            <w:tcMar>
              <w:top w:w="30" w:type="dxa"/>
              <w:left w:w="20" w:type="dxa"/>
              <w:bottom w:w="30" w:type="dxa"/>
              <w:right w:w="20" w:type="dxa"/>
            </w:tcMar>
            <w:hideMark/>
          </w:tcPr>
          <w:p w14:paraId="709BF9E5" w14:textId="77777777" w:rsidR="00000000" w:rsidRDefault="00C1661D">
            <w:pPr>
              <w:spacing w:after="100"/>
              <w:rPr>
                <w:rFonts w:eastAsia="Times New Roman"/>
              </w:rPr>
            </w:pPr>
            <w:r>
              <w:rPr>
                <w:rFonts w:eastAsia="Times New Roman"/>
                <w:color w:val="000000"/>
                <w:sz w:val="20"/>
                <w:szCs w:val="20"/>
              </w:rPr>
              <w:t>4.20</w:t>
            </w:r>
          </w:p>
        </w:tc>
        <w:tc>
          <w:tcPr>
            <w:tcW w:w="0" w:type="auto"/>
            <w:gridSpan w:val="3"/>
            <w:tcMar>
              <w:top w:w="30" w:type="dxa"/>
              <w:left w:w="20" w:type="dxa"/>
              <w:bottom w:w="30" w:type="dxa"/>
              <w:right w:w="20" w:type="dxa"/>
            </w:tcMar>
            <w:vAlign w:val="bottom"/>
            <w:hideMark/>
          </w:tcPr>
          <w:p w14:paraId="2ACEBAB5" w14:textId="77777777" w:rsidR="00000000" w:rsidRDefault="00C1661D">
            <w:pPr>
              <w:spacing w:after="100"/>
              <w:divId w:val="288320297"/>
              <w:rPr>
                <w:rFonts w:eastAsia="Times New Roman"/>
              </w:rPr>
            </w:pPr>
            <w:hyperlink r:id="rId27" w:history="1">
              <w:r>
                <w:rPr>
                  <w:rStyle w:val="a3"/>
                  <w:rFonts w:eastAsia="Times New Roman"/>
                  <w:sz w:val="20"/>
                  <w:szCs w:val="20"/>
                </w:rPr>
                <w:t>Form of Corporate Unit (included as Exhibit A to Exhibit 4.1</w:t>
              </w:r>
            </w:hyperlink>
            <w:hyperlink r:id="rId28" w:history="1">
              <w:r>
                <w:rPr>
                  <w:rStyle w:val="a3"/>
                  <w:rFonts w:eastAsia="Times New Roman"/>
                  <w:sz w:val="20"/>
                  <w:szCs w:val="20"/>
                </w:rPr>
                <w:t>9</w:t>
              </w:r>
            </w:hyperlink>
            <w:hyperlink r:id="rId29" w:history="1">
              <w:r>
                <w:rPr>
                  <w:rStyle w:val="a3"/>
                  <w:rFonts w:eastAsia="Times New Roman"/>
                  <w:sz w:val="20"/>
                  <w:szCs w:val="20"/>
                </w:rPr>
                <w:t xml:space="preserve"> hereto).</w:t>
              </w:r>
            </w:hyperlink>
          </w:p>
        </w:tc>
        <w:tc>
          <w:tcPr>
            <w:tcW w:w="0" w:type="auto"/>
            <w:gridSpan w:val="3"/>
            <w:tcMar>
              <w:top w:w="30" w:type="dxa"/>
              <w:left w:w="20" w:type="dxa"/>
              <w:bottom w:w="30" w:type="dxa"/>
              <w:right w:w="20" w:type="dxa"/>
            </w:tcMar>
            <w:hideMark/>
          </w:tcPr>
          <w:p w14:paraId="57DD769D"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661C3C1A"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14:paraId="643A8DD4" w14:textId="77777777" w:rsidR="00000000" w:rsidRDefault="00C1661D">
            <w:pPr>
              <w:spacing w:after="100"/>
              <w:rPr>
                <w:rFonts w:eastAsia="Times New Roman"/>
              </w:rPr>
            </w:pPr>
            <w:r>
              <w:rPr>
                <w:rFonts w:eastAsia="Times New Roman"/>
                <w:color w:val="000000"/>
                <w:sz w:val="20"/>
                <w:szCs w:val="20"/>
              </w:rPr>
              <w:t>4.2</w:t>
            </w:r>
          </w:p>
        </w:tc>
      </w:tr>
      <w:tr w:rsidR="00000000" w14:paraId="714E18DA" w14:textId="77777777">
        <w:trPr>
          <w:jc w:val="center"/>
        </w:trPr>
        <w:tc>
          <w:tcPr>
            <w:tcW w:w="0" w:type="auto"/>
            <w:gridSpan w:val="3"/>
            <w:tcMar>
              <w:top w:w="30" w:type="dxa"/>
              <w:left w:w="20" w:type="dxa"/>
              <w:bottom w:w="30" w:type="dxa"/>
              <w:right w:w="20" w:type="dxa"/>
            </w:tcMar>
            <w:hideMark/>
          </w:tcPr>
          <w:p w14:paraId="3E71DE79" w14:textId="77777777" w:rsidR="00000000" w:rsidRDefault="00C1661D">
            <w:pPr>
              <w:spacing w:after="100"/>
              <w:rPr>
                <w:rFonts w:eastAsia="Times New Roman"/>
              </w:rPr>
            </w:pPr>
            <w:r>
              <w:rPr>
                <w:rFonts w:eastAsia="Times New Roman"/>
                <w:color w:val="000000"/>
                <w:sz w:val="20"/>
                <w:szCs w:val="20"/>
              </w:rPr>
              <w:t>4.21</w:t>
            </w:r>
          </w:p>
        </w:tc>
        <w:tc>
          <w:tcPr>
            <w:tcW w:w="0" w:type="auto"/>
            <w:gridSpan w:val="3"/>
            <w:tcMar>
              <w:top w:w="30" w:type="dxa"/>
              <w:left w:w="20" w:type="dxa"/>
              <w:bottom w:w="30" w:type="dxa"/>
              <w:right w:w="20" w:type="dxa"/>
            </w:tcMar>
            <w:vAlign w:val="bottom"/>
            <w:hideMark/>
          </w:tcPr>
          <w:p w14:paraId="3170A2EC" w14:textId="77777777" w:rsidR="00000000" w:rsidRDefault="00C1661D">
            <w:pPr>
              <w:spacing w:after="100"/>
              <w:divId w:val="953707109"/>
              <w:rPr>
                <w:rFonts w:eastAsia="Times New Roman"/>
              </w:rPr>
            </w:pPr>
            <w:hyperlink r:id="rId30" w:history="1">
              <w:r>
                <w:rPr>
                  <w:rStyle w:val="a3"/>
                  <w:rFonts w:eastAsia="Times New Roman"/>
                  <w:sz w:val="20"/>
                  <w:szCs w:val="20"/>
                </w:rPr>
                <w:t>Form of Treasury Unit (included as Exhibit B to Exhibit 4.1</w:t>
              </w:r>
            </w:hyperlink>
            <w:hyperlink r:id="rId31" w:history="1">
              <w:r>
                <w:rPr>
                  <w:rStyle w:val="a3"/>
                  <w:rFonts w:eastAsia="Times New Roman"/>
                  <w:sz w:val="20"/>
                  <w:szCs w:val="20"/>
                </w:rPr>
                <w:t>9</w:t>
              </w:r>
            </w:hyperlink>
            <w:hyperlink r:id="rId32" w:history="1">
              <w:r>
                <w:rPr>
                  <w:rStyle w:val="a3"/>
                  <w:rFonts w:eastAsia="Times New Roman"/>
                  <w:sz w:val="20"/>
                  <w:szCs w:val="20"/>
                </w:rPr>
                <w:t xml:space="preserve"> hereto).</w:t>
              </w:r>
            </w:hyperlink>
          </w:p>
        </w:tc>
        <w:tc>
          <w:tcPr>
            <w:tcW w:w="0" w:type="auto"/>
            <w:gridSpan w:val="3"/>
            <w:tcMar>
              <w:top w:w="30" w:type="dxa"/>
              <w:left w:w="20" w:type="dxa"/>
              <w:bottom w:w="30" w:type="dxa"/>
              <w:right w:w="20" w:type="dxa"/>
            </w:tcMar>
            <w:hideMark/>
          </w:tcPr>
          <w:p w14:paraId="4926FED7"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780B6667"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14:paraId="686477A0" w14:textId="77777777" w:rsidR="00000000" w:rsidRDefault="00C1661D">
            <w:pPr>
              <w:spacing w:after="100"/>
              <w:rPr>
                <w:rFonts w:eastAsia="Times New Roman"/>
              </w:rPr>
            </w:pPr>
            <w:r>
              <w:rPr>
                <w:rFonts w:eastAsia="Times New Roman"/>
                <w:color w:val="000000"/>
                <w:sz w:val="20"/>
                <w:szCs w:val="20"/>
              </w:rPr>
              <w:t>4.3</w:t>
            </w:r>
          </w:p>
        </w:tc>
      </w:tr>
      <w:tr w:rsidR="00000000" w14:paraId="46E2F17E" w14:textId="77777777">
        <w:trPr>
          <w:jc w:val="center"/>
        </w:trPr>
        <w:tc>
          <w:tcPr>
            <w:tcW w:w="0" w:type="auto"/>
            <w:gridSpan w:val="3"/>
            <w:tcMar>
              <w:top w:w="30" w:type="dxa"/>
              <w:left w:w="20" w:type="dxa"/>
              <w:bottom w:w="30" w:type="dxa"/>
              <w:right w:w="20" w:type="dxa"/>
            </w:tcMar>
            <w:hideMark/>
          </w:tcPr>
          <w:p w14:paraId="5C1C5A54" w14:textId="77777777" w:rsidR="00000000" w:rsidRDefault="00C1661D">
            <w:pPr>
              <w:spacing w:after="100"/>
              <w:rPr>
                <w:rFonts w:eastAsia="Times New Roman"/>
              </w:rPr>
            </w:pPr>
            <w:r>
              <w:rPr>
                <w:rFonts w:eastAsia="Times New Roman"/>
                <w:color w:val="000000"/>
                <w:sz w:val="20"/>
                <w:szCs w:val="20"/>
              </w:rPr>
              <w:t>4.22</w:t>
            </w:r>
          </w:p>
        </w:tc>
        <w:tc>
          <w:tcPr>
            <w:tcW w:w="0" w:type="auto"/>
            <w:gridSpan w:val="3"/>
            <w:tcMar>
              <w:top w:w="30" w:type="dxa"/>
              <w:left w:w="20" w:type="dxa"/>
              <w:bottom w:w="30" w:type="dxa"/>
              <w:right w:w="20" w:type="dxa"/>
            </w:tcMar>
            <w:vAlign w:val="bottom"/>
            <w:hideMark/>
          </w:tcPr>
          <w:p w14:paraId="46C24186" w14:textId="77777777" w:rsidR="00000000" w:rsidRDefault="00C1661D">
            <w:pPr>
              <w:spacing w:after="100"/>
              <w:divId w:val="1082071668"/>
              <w:rPr>
                <w:rFonts w:eastAsia="Times New Roman"/>
              </w:rPr>
            </w:pPr>
            <w:hyperlink r:id="rId33" w:history="1">
              <w:r>
                <w:rPr>
                  <w:rStyle w:val="a3"/>
                  <w:rFonts w:eastAsia="Times New Roman"/>
                  <w:sz w:val="20"/>
                  <w:szCs w:val="20"/>
                </w:rPr>
                <w:t>Form of Cash Settled Unit (included as Exhibit C to Exhibit 4.1</w:t>
              </w:r>
            </w:hyperlink>
            <w:hyperlink r:id="rId34" w:history="1">
              <w:r>
                <w:rPr>
                  <w:rStyle w:val="a3"/>
                  <w:rFonts w:eastAsia="Times New Roman"/>
                  <w:sz w:val="20"/>
                  <w:szCs w:val="20"/>
                </w:rPr>
                <w:t>9</w:t>
              </w:r>
            </w:hyperlink>
            <w:hyperlink r:id="rId35" w:history="1">
              <w:r>
                <w:rPr>
                  <w:rStyle w:val="a3"/>
                  <w:rFonts w:eastAsia="Times New Roman"/>
                  <w:sz w:val="20"/>
                  <w:szCs w:val="20"/>
                </w:rPr>
                <w:t xml:space="preserve"> hereto).</w:t>
              </w:r>
            </w:hyperlink>
          </w:p>
        </w:tc>
        <w:tc>
          <w:tcPr>
            <w:tcW w:w="0" w:type="auto"/>
            <w:gridSpan w:val="3"/>
            <w:tcMar>
              <w:top w:w="30" w:type="dxa"/>
              <w:left w:w="20" w:type="dxa"/>
              <w:bottom w:w="30" w:type="dxa"/>
              <w:right w:w="20" w:type="dxa"/>
            </w:tcMar>
            <w:hideMark/>
          </w:tcPr>
          <w:p w14:paraId="255898EF"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52EFC7D7"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14:paraId="53D253BA" w14:textId="77777777" w:rsidR="00000000" w:rsidRDefault="00C1661D">
            <w:pPr>
              <w:spacing w:after="100"/>
              <w:rPr>
                <w:rFonts w:eastAsia="Times New Roman"/>
              </w:rPr>
            </w:pPr>
            <w:r>
              <w:rPr>
                <w:rFonts w:eastAsia="Times New Roman"/>
                <w:color w:val="000000"/>
                <w:sz w:val="20"/>
                <w:szCs w:val="20"/>
              </w:rPr>
              <w:t>4.4</w:t>
            </w:r>
          </w:p>
        </w:tc>
      </w:tr>
      <w:tr w:rsidR="00000000" w14:paraId="4F5865B7" w14:textId="77777777">
        <w:trPr>
          <w:jc w:val="center"/>
        </w:trPr>
        <w:tc>
          <w:tcPr>
            <w:tcW w:w="0" w:type="auto"/>
            <w:gridSpan w:val="3"/>
            <w:tcMar>
              <w:top w:w="30" w:type="dxa"/>
              <w:left w:w="20" w:type="dxa"/>
              <w:bottom w:w="30" w:type="dxa"/>
              <w:right w:w="20" w:type="dxa"/>
            </w:tcMar>
            <w:hideMark/>
          </w:tcPr>
          <w:p w14:paraId="0B575055" w14:textId="77777777" w:rsidR="00000000" w:rsidRDefault="00C1661D">
            <w:pPr>
              <w:spacing w:after="100"/>
              <w:rPr>
                <w:rFonts w:eastAsia="Times New Roman"/>
              </w:rPr>
            </w:pPr>
            <w:r>
              <w:rPr>
                <w:rFonts w:eastAsia="Times New Roman"/>
                <w:color w:val="000000"/>
                <w:sz w:val="20"/>
                <w:szCs w:val="20"/>
              </w:rPr>
              <w:t>4.23</w:t>
            </w:r>
          </w:p>
        </w:tc>
        <w:tc>
          <w:tcPr>
            <w:tcW w:w="0" w:type="auto"/>
            <w:gridSpan w:val="3"/>
            <w:tcMar>
              <w:top w:w="30" w:type="dxa"/>
              <w:left w:w="20" w:type="dxa"/>
              <w:bottom w:w="30" w:type="dxa"/>
              <w:right w:w="20" w:type="dxa"/>
            </w:tcMar>
            <w:vAlign w:val="bottom"/>
            <w:hideMark/>
          </w:tcPr>
          <w:p w14:paraId="2FB19363" w14:textId="77777777" w:rsidR="00000000" w:rsidRDefault="00C1661D">
            <w:pPr>
              <w:spacing w:after="100"/>
              <w:divId w:val="1630091979"/>
              <w:rPr>
                <w:rFonts w:eastAsia="Times New Roman"/>
              </w:rPr>
            </w:pPr>
            <w:hyperlink r:id="rId36" w:history="1">
              <w:r>
                <w:rPr>
                  <w:rStyle w:val="a3"/>
                  <w:rFonts w:eastAsia="Times New Roman"/>
                  <w:sz w:val="20"/>
                  <w:szCs w:val="20"/>
                </w:rPr>
                <w:t>Form of Series A Cumulative Perpetual Convertible Preferred Stock Certificate.</w:t>
              </w:r>
            </w:hyperlink>
          </w:p>
        </w:tc>
        <w:tc>
          <w:tcPr>
            <w:tcW w:w="0" w:type="auto"/>
            <w:gridSpan w:val="3"/>
            <w:tcMar>
              <w:top w:w="30" w:type="dxa"/>
              <w:left w:w="20" w:type="dxa"/>
              <w:bottom w:w="30" w:type="dxa"/>
              <w:right w:w="20" w:type="dxa"/>
            </w:tcMar>
            <w:hideMark/>
          </w:tcPr>
          <w:p w14:paraId="4A7013E2"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48B7938D"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14:paraId="45A468E1" w14:textId="77777777" w:rsidR="00000000" w:rsidRDefault="00C1661D">
            <w:pPr>
              <w:spacing w:after="100"/>
              <w:rPr>
                <w:rFonts w:eastAsia="Times New Roman"/>
              </w:rPr>
            </w:pPr>
            <w:r>
              <w:rPr>
                <w:rFonts w:eastAsia="Times New Roman"/>
                <w:color w:val="000000"/>
                <w:sz w:val="20"/>
                <w:szCs w:val="20"/>
              </w:rPr>
              <w:t>4.5</w:t>
            </w:r>
          </w:p>
        </w:tc>
      </w:tr>
      <w:tr w:rsidR="00000000" w14:paraId="1141A0BA" w14:textId="77777777">
        <w:trPr>
          <w:jc w:val="center"/>
        </w:trPr>
        <w:tc>
          <w:tcPr>
            <w:tcW w:w="0" w:type="auto"/>
            <w:gridSpan w:val="3"/>
            <w:tcMar>
              <w:top w:w="30" w:type="dxa"/>
              <w:left w:w="20" w:type="dxa"/>
              <w:bottom w:w="30" w:type="dxa"/>
              <w:right w:w="20" w:type="dxa"/>
            </w:tcMar>
            <w:hideMark/>
          </w:tcPr>
          <w:p w14:paraId="0D42FF7D" w14:textId="77777777" w:rsidR="00000000" w:rsidRDefault="00C1661D">
            <w:pPr>
              <w:spacing w:after="100"/>
              <w:rPr>
                <w:rFonts w:eastAsia="Times New Roman"/>
              </w:rPr>
            </w:pPr>
            <w:r>
              <w:rPr>
                <w:rFonts w:eastAsia="Times New Roman"/>
                <w:color w:val="000000"/>
                <w:sz w:val="20"/>
                <w:szCs w:val="20"/>
              </w:rPr>
              <w:t>4.24</w:t>
            </w:r>
          </w:p>
        </w:tc>
        <w:tc>
          <w:tcPr>
            <w:tcW w:w="0" w:type="auto"/>
            <w:gridSpan w:val="3"/>
            <w:tcMar>
              <w:top w:w="30" w:type="dxa"/>
              <w:left w:w="20" w:type="dxa"/>
              <w:bottom w:w="30" w:type="dxa"/>
              <w:right w:w="20" w:type="dxa"/>
            </w:tcMar>
            <w:vAlign w:val="bottom"/>
            <w:hideMark/>
          </w:tcPr>
          <w:p w14:paraId="5E50285D" w14:textId="77777777" w:rsidR="00000000" w:rsidRDefault="00C1661D">
            <w:pPr>
              <w:spacing w:after="100"/>
              <w:divId w:val="403452201"/>
              <w:rPr>
                <w:rFonts w:eastAsia="Times New Roman"/>
              </w:rPr>
            </w:pPr>
            <w:hyperlink r:id="rId37" w:history="1">
              <w:r>
                <w:rPr>
                  <w:rStyle w:val="a3"/>
                  <w:rFonts w:eastAsia="Times New Roman"/>
                  <w:sz w:val="20"/>
                  <w:szCs w:val="20"/>
                </w:rPr>
                <w:t>Form of Series B Cumulative Perpetual Preferred Stock Certificate.</w:t>
              </w:r>
            </w:hyperlink>
          </w:p>
        </w:tc>
        <w:tc>
          <w:tcPr>
            <w:tcW w:w="0" w:type="auto"/>
            <w:gridSpan w:val="3"/>
            <w:tcMar>
              <w:top w:w="30" w:type="dxa"/>
              <w:left w:w="20" w:type="dxa"/>
              <w:bottom w:w="30" w:type="dxa"/>
              <w:right w:w="20" w:type="dxa"/>
            </w:tcMar>
            <w:hideMark/>
          </w:tcPr>
          <w:p w14:paraId="44295C57"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01C8464F"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30" w:type="dxa"/>
              <w:left w:w="20" w:type="dxa"/>
              <w:bottom w:w="30" w:type="dxa"/>
              <w:right w:w="20" w:type="dxa"/>
            </w:tcMar>
            <w:hideMark/>
          </w:tcPr>
          <w:p w14:paraId="7B3DE9DC" w14:textId="77777777" w:rsidR="00000000" w:rsidRDefault="00C1661D">
            <w:pPr>
              <w:spacing w:after="100"/>
              <w:rPr>
                <w:rFonts w:eastAsia="Times New Roman"/>
              </w:rPr>
            </w:pPr>
            <w:r>
              <w:rPr>
                <w:rFonts w:eastAsia="Times New Roman"/>
                <w:color w:val="000000"/>
                <w:sz w:val="20"/>
                <w:szCs w:val="20"/>
              </w:rPr>
              <w:t>4.6</w:t>
            </w:r>
          </w:p>
        </w:tc>
      </w:tr>
    </w:tbl>
    <w:p w14:paraId="1DBFB718" w14:textId="77777777" w:rsidR="00000000" w:rsidRDefault="00C1661D">
      <w:pPr>
        <w:jc w:val="center"/>
        <w:divId w:val="726606703"/>
        <w:rPr>
          <w:rFonts w:eastAsia="Times New Roman"/>
        </w:rPr>
      </w:pPr>
      <w:r>
        <w:rPr>
          <w:rFonts w:eastAsia="Times New Roman"/>
          <w:color w:val="000000"/>
          <w:sz w:val="20"/>
          <w:szCs w:val="20"/>
        </w:rPr>
        <w:t>76</w:t>
      </w:r>
    </w:p>
    <w:p w14:paraId="5EDFDE0C" w14:textId="77777777" w:rsidR="00000000" w:rsidRDefault="00C1661D">
      <w:pPr>
        <w:rPr>
          <w:rFonts w:eastAsia="Times New Roman"/>
        </w:rPr>
      </w:pPr>
      <w:r>
        <w:rPr>
          <w:rFonts w:eastAsia="Times New Roman"/>
        </w:rPr>
        <w:pict w14:anchorId="5D763C03">
          <v:rect id="_x0000_i1103" style="width:0;height:1.5pt" o:hralign="center" o:hrstd="t" o:hr="t" fillcolor="#a0a0a0" stroked="f"/>
        </w:pict>
      </w:r>
    </w:p>
    <w:p w14:paraId="4D565364" w14:textId="77777777" w:rsidR="00000000" w:rsidRDefault="00C1661D">
      <w:pPr>
        <w:divId w:val="2086297445"/>
        <w:rPr>
          <w:rFonts w:eastAsia="Times New Roman"/>
        </w:rPr>
      </w:pPr>
      <w:hyperlink w:anchor="i3850c3c6c0104e42b9951aac2f16098a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8"/>
        <w:gridCol w:w="55"/>
        <w:gridCol w:w="1985"/>
        <w:gridCol w:w="38"/>
        <w:gridCol w:w="55"/>
        <w:gridCol w:w="1693"/>
        <w:gridCol w:w="36"/>
        <w:gridCol w:w="55"/>
        <w:gridCol w:w="551"/>
        <w:gridCol w:w="37"/>
        <w:gridCol w:w="56"/>
        <w:gridCol w:w="551"/>
        <w:gridCol w:w="36"/>
        <w:gridCol w:w="57"/>
        <w:gridCol w:w="696"/>
        <w:gridCol w:w="36"/>
      </w:tblGrid>
      <w:tr w:rsidR="00000000" w14:paraId="1EEC7D83" w14:textId="77777777">
        <w:trPr>
          <w:jc w:val="center"/>
        </w:trPr>
        <w:tc>
          <w:tcPr>
            <w:tcW w:w="50" w:type="pct"/>
            <w:vAlign w:val="center"/>
            <w:hideMark/>
          </w:tcPr>
          <w:p w14:paraId="03CA05CA" w14:textId="77777777" w:rsidR="00000000" w:rsidRDefault="00C1661D">
            <w:pPr>
              <w:rPr>
                <w:rFonts w:eastAsia="Times New Roman"/>
              </w:rPr>
            </w:pPr>
          </w:p>
        </w:tc>
        <w:tc>
          <w:tcPr>
            <w:tcW w:w="729" w:type="pct"/>
            <w:vAlign w:val="center"/>
            <w:hideMark/>
          </w:tcPr>
          <w:p w14:paraId="784CBD6B" w14:textId="77777777" w:rsidR="00000000" w:rsidRDefault="00C1661D">
            <w:pPr>
              <w:spacing w:after="100"/>
              <w:rPr>
                <w:rFonts w:eastAsia="Times New Roman"/>
                <w:sz w:val="20"/>
                <w:szCs w:val="20"/>
              </w:rPr>
            </w:pPr>
          </w:p>
        </w:tc>
        <w:tc>
          <w:tcPr>
            <w:tcW w:w="5" w:type="pct"/>
            <w:vAlign w:val="center"/>
            <w:hideMark/>
          </w:tcPr>
          <w:p w14:paraId="330BA410" w14:textId="77777777" w:rsidR="00000000" w:rsidRDefault="00C1661D">
            <w:pPr>
              <w:spacing w:after="100"/>
              <w:rPr>
                <w:rFonts w:eastAsia="Times New Roman"/>
                <w:sz w:val="20"/>
                <w:szCs w:val="20"/>
              </w:rPr>
            </w:pPr>
          </w:p>
        </w:tc>
        <w:tc>
          <w:tcPr>
            <w:tcW w:w="50" w:type="pct"/>
            <w:vAlign w:val="center"/>
            <w:hideMark/>
          </w:tcPr>
          <w:p w14:paraId="60A1CCC2" w14:textId="77777777" w:rsidR="00000000" w:rsidRDefault="00C1661D">
            <w:pPr>
              <w:spacing w:after="100"/>
              <w:rPr>
                <w:rFonts w:eastAsia="Times New Roman"/>
                <w:sz w:val="20"/>
                <w:szCs w:val="20"/>
              </w:rPr>
            </w:pPr>
          </w:p>
        </w:tc>
        <w:tc>
          <w:tcPr>
            <w:tcW w:w="1419" w:type="pct"/>
            <w:vAlign w:val="center"/>
            <w:hideMark/>
          </w:tcPr>
          <w:p w14:paraId="3A390B3D" w14:textId="77777777" w:rsidR="00000000" w:rsidRDefault="00C1661D">
            <w:pPr>
              <w:spacing w:after="100"/>
              <w:rPr>
                <w:rFonts w:eastAsia="Times New Roman"/>
                <w:sz w:val="20"/>
                <w:szCs w:val="20"/>
              </w:rPr>
            </w:pPr>
          </w:p>
        </w:tc>
        <w:tc>
          <w:tcPr>
            <w:tcW w:w="5" w:type="pct"/>
            <w:vAlign w:val="center"/>
            <w:hideMark/>
          </w:tcPr>
          <w:p w14:paraId="3970F80E" w14:textId="77777777" w:rsidR="00000000" w:rsidRDefault="00C1661D">
            <w:pPr>
              <w:spacing w:after="100"/>
              <w:rPr>
                <w:rFonts w:eastAsia="Times New Roman"/>
                <w:sz w:val="20"/>
                <w:szCs w:val="20"/>
              </w:rPr>
            </w:pPr>
          </w:p>
        </w:tc>
        <w:tc>
          <w:tcPr>
            <w:tcW w:w="50" w:type="pct"/>
            <w:vAlign w:val="center"/>
            <w:hideMark/>
          </w:tcPr>
          <w:p w14:paraId="3DE90335" w14:textId="77777777" w:rsidR="00000000" w:rsidRDefault="00C1661D">
            <w:pPr>
              <w:spacing w:after="100"/>
              <w:rPr>
                <w:rFonts w:eastAsia="Times New Roman"/>
                <w:sz w:val="20"/>
                <w:szCs w:val="20"/>
              </w:rPr>
            </w:pPr>
          </w:p>
        </w:tc>
        <w:tc>
          <w:tcPr>
            <w:tcW w:w="1212" w:type="pct"/>
            <w:vAlign w:val="center"/>
            <w:hideMark/>
          </w:tcPr>
          <w:p w14:paraId="2F2CE517" w14:textId="77777777" w:rsidR="00000000" w:rsidRDefault="00C1661D">
            <w:pPr>
              <w:spacing w:after="100"/>
              <w:rPr>
                <w:rFonts w:eastAsia="Times New Roman"/>
                <w:sz w:val="20"/>
                <w:szCs w:val="20"/>
              </w:rPr>
            </w:pPr>
          </w:p>
        </w:tc>
        <w:tc>
          <w:tcPr>
            <w:tcW w:w="5" w:type="pct"/>
            <w:vAlign w:val="center"/>
            <w:hideMark/>
          </w:tcPr>
          <w:p w14:paraId="685D7F37" w14:textId="77777777" w:rsidR="00000000" w:rsidRDefault="00C1661D">
            <w:pPr>
              <w:spacing w:after="100"/>
              <w:rPr>
                <w:rFonts w:eastAsia="Times New Roman"/>
                <w:sz w:val="20"/>
                <w:szCs w:val="20"/>
              </w:rPr>
            </w:pPr>
          </w:p>
        </w:tc>
        <w:tc>
          <w:tcPr>
            <w:tcW w:w="50" w:type="pct"/>
            <w:vAlign w:val="center"/>
            <w:hideMark/>
          </w:tcPr>
          <w:p w14:paraId="65E65558" w14:textId="77777777" w:rsidR="00000000" w:rsidRDefault="00C1661D">
            <w:pPr>
              <w:spacing w:after="100"/>
              <w:rPr>
                <w:rFonts w:eastAsia="Times New Roman"/>
                <w:sz w:val="20"/>
                <w:szCs w:val="20"/>
              </w:rPr>
            </w:pPr>
          </w:p>
        </w:tc>
        <w:tc>
          <w:tcPr>
            <w:tcW w:w="401" w:type="pct"/>
            <w:vAlign w:val="center"/>
            <w:hideMark/>
          </w:tcPr>
          <w:p w14:paraId="5064EE2E" w14:textId="77777777" w:rsidR="00000000" w:rsidRDefault="00C1661D">
            <w:pPr>
              <w:spacing w:after="100"/>
              <w:rPr>
                <w:rFonts w:eastAsia="Times New Roman"/>
                <w:sz w:val="20"/>
                <w:szCs w:val="20"/>
              </w:rPr>
            </w:pPr>
          </w:p>
        </w:tc>
        <w:tc>
          <w:tcPr>
            <w:tcW w:w="5" w:type="pct"/>
            <w:vAlign w:val="center"/>
            <w:hideMark/>
          </w:tcPr>
          <w:p w14:paraId="4B12330D" w14:textId="77777777" w:rsidR="00000000" w:rsidRDefault="00C1661D">
            <w:pPr>
              <w:spacing w:after="100"/>
              <w:rPr>
                <w:rFonts w:eastAsia="Times New Roman"/>
                <w:sz w:val="20"/>
                <w:szCs w:val="20"/>
              </w:rPr>
            </w:pPr>
          </w:p>
        </w:tc>
        <w:tc>
          <w:tcPr>
            <w:tcW w:w="50" w:type="pct"/>
            <w:vAlign w:val="center"/>
            <w:hideMark/>
          </w:tcPr>
          <w:p w14:paraId="143D597C" w14:textId="77777777" w:rsidR="00000000" w:rsidRDefault="00C1661D">
            <w:pPr>
              <w:spacing w:after="100"/>
              <w:rPr>
                <w:rFonts w:eastAsia="Times New Roman"/>
                <w:sz w:val="20"/>
                <w:szCs w:val="20"/>
              </w:rPr>
            </w:pPr>
          </w:p>
        </w:tc>
        <w:tc>
          <w:tcPr>
            <w:tcW w:w="401" w:type="pct"/>
            <w:vAlign w:val="center"/>
            <w:hideMark/>
          </w:tcPr>
          <w:p w14:paraId="109EA2C5" w14:textId="77777777" w:rsidR="00000000" w:rsidRDefault="00C1661D">
            <w:pPr>
              <w:spacing w:after="100"/>
              <w:rPr>
                <w:rFonts w:eastAsia="Times New Roman"/>
                <w:sz w:val="20"/>
                <w:szCs w:val="20"/>
              </w:rPr>
            </w:pPr>
          </w:p>
        </w:tc>
        <w:tc>
          <w:tcPr>
            <w:tcW w:w="5" w:type="pct"/>
            <w:vAlign w:val="center"/>
            <w:hideMark/>
          </w:tcPr>
          <w:p w14:paraId="30D7264D" w14:textId="77777777" w:rsidR="00000000" w:rsidRDefault="00C1661D">
            <w:pPr>
              <w:spacing w:after="100"/>
              <w:rPr>
                <w:rFonts w:eastAsia="Times New Roman"/>
                <w:sz w:val="20"/>
                <w:szCs w:val="20"/>
              </w:rPr>
            </w:pPr>
          </w:p>
        </w:tc>
        <w:tc>
          <w:tcPr>
            <w:tcW w:w="50" w:type="pct"/>
            <w:vAlign w:val="center"/>
            <w:hideMark/>
          </w:tcPr>
          <w:p w14:paraId="48E51D6E" w14:textId="77777777" w:rsidR="00000000" w:rsidRDefault="00C1661D">
            <w:pPr>
              <w:spacing w:after="100"/>
              <w:rPr>
                <w:rFonts w:eastAsia="Times New Roman"/>
                <w:sz w:val="20"/>
                <w:szCs w:val="20"/>
              </w:rPr>
            </w:pPr>
          </w:p>
        </w:tc>
        <w:tc>
          <w:tcPr>
            <w:tcW w:w="505" w:type="pct"/>
            <w:vAlign w:val="center"/>
            <w:hideMark/>
          </w:tcPr>
          <w:p w14:paraId="18A6ED6A" w14:textId="77777777" w:rsidR="00000000" w:rsidRDefault="00C1661D">
            <w:pPr>
              <w:spacing w:after="100"/>
              <w:rPr>
                <w:rFonts w:eastAsia="Times New Roman"/>
                <w:sz w:val="20"/>
                <w:szCs w:val="20"/>
              </w:rPr>
            </w:pPr>
          </w:p>
        </w:tc>
        <w:tc>
          <w:tcPr>
            <w:tcW w:w="5" w:type="pct"/>
            <w:vAlign w:val="center"/>
            <w:hideMark/>
          </w:tcPr>
          <w:p w14:paraId="56EEB6ED" w14:textId="77777777" w:rsidR="00000000" w:rsidRDefault="00C1661D">
            <w:pPr>
              <w:spacing w:after="100"/>
              <w:rPr>
                <w:rFonts w:eastAsia="Times New Roman"/>
                <w:sz w:val="20"/>
                <w:szCs w:val="20"/>
              </w:rPr>
            </w:pPr>
          </w:p>
        </w:tc>
      </w:tr>
      <w:tr w:rsidR="00000000" w14:paraId="68D8BC03" w14:textId="77777777">
        <w:trPr>
          <w:jc w:val="center"/>
        </w:trPr>
        <w:tc>
          <w:tcPr>
            <w:tcW w:w="0" w:type="auto"/>
            <w:gridSpan w:val="18"/>
            <w:tcMar>
              <w:top w:w="30" w:type="dxa"/>
              <w:left w:w="20" w:type="dxa"/>
              <w:bottom w:w="30" w:type="dxa"/>
              <w:right w:w="20" w:type="dxa"/>
            </w:tcMar>
            <w:hideMark/>
          </w:tcPr>
          <w:p w14:paraId="7197D524" w14:textId="77777777" w:rsidR="00000000" w:rsidRDefault="00C1661D">
            <w:pPr>
              <w:spacing w:after="100"/>
              <w:rPr>
                <w:rFonts w:eastAsia="Times New Roman"/>
              </w:rPr>
            </w:pPr>
            <w:r>
              <w:rPr>
                <w:rFonts w:eastAsia="Times New Roman"/>
                <w:color w:val="000000"/>
                <w:sz w:val="20"/>
                <w:szCs w:val="20"/>
              </w:rPr>
              <w:t>Incorporation by Reference</w:t>
            </w:r>
          </w:p>
        </w:tc>
      </w:tr>
      <w:tr w:rsidR="00000000" w14:paraId="203295EE" w14:textId="77777777">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5DB1BBB2" w14:textId="77777777" w:rsidR="00000000" w:rsidRDefault="00C1661D">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067A7821" w14:textId="77777777" w:rsidR="00000000" w:rsidRDefault="00C1661D">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235F4303" w14:textId="77777777" w:rsidR="00000000" w:rsidRDefault="00C1661D">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14:paraId="189A8656" w14:textId="77777777" w:rsidR="00000000" w:rsidRDefault="00C1661D">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7B204637" w14:textId="77777777" w:rsidR="00000000" w:rsidRDefault="00C1661D">
            <w:pPr>
              <w:spacing w:after="100"/>
              <w:rPr>
                <w:rFonts w:eastAsia="Times New Roman"/>
              </w:rPr>
            </w:pPr>
            <w:r>
              <w:rPr>
                <w:rFonts w:eastAsia="Times New Roman"/>
                <w:color w:val="000000"/>
                <w:sz w:val="20"/>
                <w:szCs w:val="20"/>
              </w:rPr>
              <w:t>Exhibit</w:t>
            </w:r>
          </w:p>
        </w:tc>
      </w:tr>
      <w:tr w:rsidR="00000000" w14:paraId="19170AAB" w14:textId="77777777">
        <w:trPr>
          <w:jc w:val="center"/>
        </w:trPr>
        <w:tc>
          <w:tcPr>
            <w:tcW w:w="0" w:type="auto"/>
            <w:gridSpan w:val="3"/>
            <w:tcMar>
              <w:top w:w="30" w:type="dxa"/>
              <w:left w:w="20" w:type="dxa"/>
              <w:bottom w:w="30" w:type="dxa"/>
              <w:right w:w="20" w:type="dxa"/>
            </w:tcMar>
            <w:hideMark/>
          </w:tcPr>
          <w:p w14:paraId="4FAE9F4E" w14:textId="77777777" w:rsidR="00000000" w:rsidRDefault="00C1661D">
            <w:pPr>
              <w:spacing w:after="100"/>
              <w:rPr>
                <w:rFonts w:eastAsia="Times New Roman"/>
              </w:rPr>
            </w:pPr>
            <w:r>
              <w:rPr>
                <w:rFonts w:eastAsia="Times New Roman"/>
                <w:color w:val="000000"/>
                <w:sz w:val="20"/>
                <w:szCs w:val="20"/>
              </w:rPr>
              <w:t>4.25</w:t>
            </w:r>
          </w:p>
        </w:tc>
        <w:tc>
          <w:tcPr>
            <w:tcW w:w="0" w:type="auto"/>
            <w:gridSpan w:val="3"/>
            <w:tcMar>
              <w:top w:w="30" w:type="dxa"/>
              <w:left w:w="20" w:type="dxa"/>
              <w:bottom w:w="30" w:type="dxa"/>
              <w:right w:w="20" w:type="dxa"/>
            </w:tcMar>
            <w:vAlign w:val="bottom"/>
            <w:hideMark/>
          </w:tcPr>
          <w:p w14:paraId="792256FD" w14:textId="77777777" w:rsidR="00000000" w:rsidRDefault="00C1661D">
            <w:pPr>
              <w:spacing w:after="100"/>
              <w:divId w:val="1201749533"/>
              <w:rPr>
                <w:rFonts w:eastAsia="Times New Roman"/>
              </w:rPr>
            </w:pPr>
            <w:hyperlink r:id="rId38" w:history="1">
              <w:r>
                <w:rPr>
                  <w:rStyle w:val="a3"/>
                  <w:rFonts w:eastAsia="Times New Roman"/>
                  <w:sz w:val="20"/>
                  <w:szCs w:val="20"/>
                </w:rPr>
                <w:t>Description of the Registrant’s Securities Registered Pursuant to Section 12 of the Securities Exchange Act of 1934.</w:t>
              </w:r>
            </w:hyperlink>
          </w:p>
        </w:tc>
        <w:tc>
          <w:tcPr>
            <w:tcW w:w="0" w:type="auto"/>
            <w:gridSpan w:val="3"/>
            <w:tcMar>
              <w:top w:w="30" w:type="dxa"/>
              <w:left w:w="20" w:type="dxa"/>
              <w:bottom w:w="30" w:type="dxa"/>
              <w:right w:w="20" w:type="dxa"/>
            </w:tcMar>
            <w:hideMark/>
          </w:tcPr>
          <w:p w14:paraId="35701814"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28588DF6" w14:textId="77777777" w:rsidR="00000000" w:rsidRDefault="00C1661D">
            <w:pPr>
              <w:spacing w:after="100"/>
              <w:jc w:val="center"/>
              <w:rPr>
                <w:rFonts w:eastAsia="Times New Roman"/>
              </w:rPr>
            </w:pPr>
            <w:r>
              <w:rPr>
                <w:rFonts w:eastAsia="Times New Roman"/>
                <w:color w:val="000000"/>
                <w:sz w:val="20"/>
                <w:szCs w:val="20"/>
              </w:rPr>
              <w:t>Form 10-K (9/30/21</w:t>
            </w:r>
            <w:r>
              <w:rPr>
                <w:rFonts w:eastAsia="Times New Roman"/>
                <w:color w:val="000000"/>
                <w:sz w:val="20"/>
                <w:szCs w:val="20"/>
              </w:rPr>
              <w:t>)</w:t>
            </w:r>
          </w:p>
        </w:tc>
        <w:tc>
          <w:tcPr>
            <w:tcW w:w="0" w:type="auto"/>
            <w:gridSpan w:val="3"/>
            <w:tcMar>
              <w:top w:w="30" w:type="dxa"/>
              <w:left w:w="20" w:type="dxa"/>
              <w:bottom w:w="30" w:type="dxa"/>
              <w:right w:w="20" w:type="dxa"/>
            </w:tcMar>
            <w:hideMark/>
          </w:tcPr>
          <w:p w14:paraId="684ACFE9" w14:textId="77777777" w:rsidR="00000000" w:rsidRDefault="00C1661D">
            <w:pPr>
              <w:spacing w:after="100"/>
              <w:rPr>
                <w:rFonts w:eastAsia="Times New Roman"/>
              </w:rPr>
            </w:pPr>
            <w:r>
              <w:rPr>
                <w:rFonts w:eastAsia="Times New Roman"/>
                <w:color w:val="000000"/>
                <w:sz w:val="20"/>
                <w:szCs w:val="20"/>
              </w:rPr>
              <w:t>4.22</w:t>
            </w:r>
          </w:p>
        </w:tc>
      </w:tr>
      <w:tr w:rsidR="00000000" w14:paraId="40521AE5" w14:textId="77777777">
        <w:trPr>
          <w:jc w:val="center"/>
        </w:trPr>
        <w:tc>
          <w:tcPr>
            <w:tcW w:w="0" w:type="auto"/>
            <w:gridSpan w:val="3"/>
            <w:tcMar>
              <w:top w:w="30" w:type="dxa"/>
              <w:left w:w="20" w:type="dxa"/>
              <w:bottom w:w="30" w:type="dxa"/>
              <w:right w:w="20" w:type="dxa"/>
            </w:tcMar>
            <w:hideMark/>
          </w:tcPr>
          <w:p w14:paraId="2401009D" w14:textId="77777777" w:rsidR="00000000" w:rsidRDefault="00C1661D">
            <w:pPr>
              <w:spacing w:after="100"/>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hideMark/>
          </w:tcPr>
          <w:p w14:paraId="55814D3E" w14:textId="77777777" w:rsidR="00000000" w:rsidRDefault="00C1661D">
            <w:pPr>
              <w:spacing w:after="100"/>
              <w:divId w:val="1851139219"/>
              <w:rPr>
                <w:rFonts w:eastAsia="Times New Roman"/>
              </w:rPr>
            </w:pPr>
            <w:hyperlink r:id="rId39" w:history="1">
              <w:r>
                <w:rPr>
                  <w:rStyle w:val="a3"/>
                  <w:rFonts w:eastAsia="Times New Roman"/>
                  <w:sz w:val="20"/>
                  <w:szCs w:val="20"/>
                </w:rPr>
                <w:t>UGI Corporation 2004 Omnibus Equity Compensation Plan Amended and Restated as of September 5, 2014.</w:t>
              </w:r>
            </w:hyperlink>
          </w:p>
        </w:tc>
        <w:tc>
          <w:tcPr>
            <w:tcW w:w="0" w:type="auto"/>
            <w:gridSpan w:val="3"/>
            <w:tcMar>
              <w:top w:w="30" w:type="dxa"/>
              <w:left w:w="20" w:type="dxa"/>
              <w:bottom w:w="30" w:type="dxa"/>
              <w:right w:w="20" w:type="dxa"/>
            </w:tcMar>
            <w:hideMark/>
          </w:tcPr>
          <w:p w14:paraId="5C7D24EE"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47FE9D65" w14:textId="77777777" w:rsidR="00000000" w:rsidRDefault="00C1661D">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(9/30/16)</w:t>
            </w:r>
          </w:p>
        </w:tc>
        <w:tc>
          <w:tcPr>
            <w:tcW w:w="0" w:type="auto"/>
            <w:gridSpan w:val="3"/>
            <w:tcMar>
              <w:top w:w="30" w:type="dxa"/>
              <w:left w:w="20" w:type="dxa"/>
              <w:bottom w:w="30" w:type="dxa"/>
              <w:right w:w="20" w:type="dxa"/>
            </w:tcMar>
            <w:hideMark/>
          </w:tcPr>
          <w:p w14:paraId="0DE90ADB" w14:textId="77777777" w:rsidR="00000000" w:rsidRDefault="00C1661D">
            <w:pPr>
              <w:spacing w:after="100"/>
              <w:rPr>
                <w:rFonts w:eastAsia="Times New Roman"/>
              </w:rPr>
            </w:pPr>
            <w:r>
              <w:rPr>
                <w:rFonts w:eastAsia="Times New Roman"/>
                <w:color w:val="000000"/>
                <w:sz w:val="20"/>
                <w:szCs w:val="20"/>
              </w:rPr>
              <w:t>10.25</w:t>
            </w:r>
          </w:p>
        </w:tc>
      </w:tr>
      <w:tr w:rsidR="00000000" w14:paraId="45D35B51" w14:textId="77777777">
        <w:trPr>
          <w:jc w:val="center"/>
        </w:trPr>
        <w:tc>
          <w:tcPr>
            <w:tcW w:w="0" w:type="auto"/>
            <w:gridSpan w:val="3"/>
            <w:tcMar>
              <w:top w:w="30" w:type="dxa"/>
              <w:left w:w="20" w:type="dxa"/>
              <w:bottom w:w="30" w:type="dxa"/>
              <w:right w:w="20" w:type="dxa"/>
            </w:tcMar>
            <w:hideMark/>
          </w:tcPr>
          <w:p w14:paraId="28DEAAE5" w14:textId="77777777" w:rsidR="00000000" w:rsidRDefault="00C1661D">
            <w:pPr>
              <w:spacing w:after="100"/>
              <w:rPr>
                <w:rFonts w:eastAsia="Times New Roman"/>
              </w:rPr>
            </w:pPr>
            <w:r>
              <w:rPr>
                <w:rFonts w:eastAsia="Times New Roman"/>
                <w:color w:val="000000"/>
                <w:sz w:val="20"/>
                <w:szCs w:val="20"/>
              </w:rPr>
              <w:t>10.2**</w:t>
            </w:r>
          </w:p>
        </w:tc>
        <w:tc>
          <w:tcPr>
            <w:tcW w:w="0" w:type="auto"/>
            <w:gridSpan w:val="3"/>
            <w:tcMar>
              <w:top w:w="30" w:type="dxa"/>
              <w:left w:w="20" w:type="dxa"/>
              <w:bottom w:w="30" w:type="dxa"/>
              <w:right w:w="20" w:type="dxa"/>
            </w:tcMar>
            <w:hideMark/>
          </w:tcPr>
          <w:p w14:paraId="014ED5A8" w14:textId="77777777" w:rsidR="00000000" w:rsidRDefault="00C1661D">
            <w:pPr>
              <w:spacing w:after="100"/>
              <w:divId w:val="467674842"/>
              <w:rPr>
                <w:rFonts w:eastAsia="Times New Roman"/>
              </w:rPr>
            </w:pPr>
            <w:hyperlink r:id="rId40" w:history="1">
              <w:r>
                <w:rPr>
                  <w:rStyle w:val="a3"/>
                  <w:rFonts w:eastAsia="Times New Roman"/>
                  <w:sz w:val="20"/>
                  <w:szCs w:val="20"/>
                </w:rPr>
                <w:t>UGI Corporation 2004 Omnibus Equity Compensation Plan Amended and Restated as of September 5, 2014 - Terms and Conditions as effective January 1, 201</w:t>
              </w:r>
              <w:r>
                <w:rPr>
                  <w:rStyle w:val="a3"/>
                  <w:rFonts w:eastAsia="Times New Roman"/>
                  <w:sz w:val="20"/>
                  <w:szCs w:val="20"/>
                </w:rPr>
                <w:t>6.</w:t>
              </w:r>
            </w:hyperlink>
          </w:p>
        </w:tc>
        <w:tc>
          <w:tcPr>
            <w:tcW w:w="0" w:type="auto"/>
            <w:gridSpan w:val="3"/>
            <w:tcMar>
              <w:top w:w="30" w:type="dxa"/>
              <w:left w:w="20" w:type="dxa"/>
              <w:bottom w:w="30" w:type="dxa"/>
              <w:right w:w="20" w:type="dxa"/>
            </w:tcMar>
            <w:hideMark/>
          </w:tcPr>
          <w:p w14:paraId="486745ED"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3CF28245" w14:textId="77777777" w:rsidR="00000000" w:rsidRDefault="00C1661D">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(9/30/16)</w:t>
            </w:r>
          </w:p>
        </w:tc>
        <w:tc>
          <w:tcPr>
            <w:tcW w:w="0" w:type="auto"/>
            <w:gridSpan w:val="3"/>
            <w:tcMar>
              <w:top w:w="30" w:type="dxa"/>
              <w:left w:w="20" w:type="dxa"/>
              <w:bottom w:w="30" w:type="dxa"/>
              <w:right w:w="20" w:type="dxa"/>
            </w:tcMar>
            <w:hideMark/>
          </w:tcPr>
          <w:p w14:paraId="3E7C68F5" w14:textId="77777777" w:rsidR="00000000" w:rsidRDefault="00C1661D">
            <w:pPr>
              <w:spacing w:after="100"/>
              <w:rPr>
                <w:rFonts w:eastAsia="Times New Roman"/>
              </w:rPr>
            </w:pPr>
            <w:r>
              <w:rPr>
                <w:rFonts w:eastAsia="Times New Roman"/>
                <w:color w:val="000000"/>
                <w:sz w:val="20"/>
                <w:szCs w:val="20"/>
              </w:rPr>
              <w:t>10.26</w:t>
            </w:r>
          </w:p>
        </w:tc>
      </w:tr>
      <w:tr w:rsidR="00000000" w14:paraId="5B8AFA6F" w14:textId="77777777">
        <w:trPr>
          <w:jc w:val="center"/>
        </w:trPr>
        <w:tc>
          <w:tcPr>
            <w:tcW w:w="0" w:type="auto"/>
            <w:gridSpan w:val="3"/>
            <w:tcMar>
              <w:top w:w="30" w:type="dxa"/>
              <w:left w:w="20" w:type="dxa"/>
              <w:bottom w:w="30" w:type="dxa"/>
              <w:right w:w="20" w:type="dxa"/>
            </w:tcMar>
            <w:hideMark/>
          </w:tcPr>
          <w:p w14:paraId="586303DF" w14:textId="77777777" w:rsidR="00000000" w:rsidRDefault="00C1661D">
            <w:pPr>
              <w:spacing w:after="100"/>
              <w:rPr>
                <w:rFonts w:eastAsia="Times New Roman"/>
              </w:rPr>
            </w:pPr>
            <w:r>
              <w:rPr>
                <w:rFonts w:eastAsia="Times New Roman"/>
                <w:color w:val="000000"/>
                <w:sz w:val="20"/>
                <w:szCs w:val="20"/>
              </w:rPr>
              <w:t>10.3**</w:t>
            </w:r>
          </w:p>
        </w:tc>
        <w:tc>
          <w:tcPr>
            <w:tcW w:w="0" w:type="auto"/>
            <w:gridSpan w:val="3"/>
            <w:tcMar>
              <w:top w:w="30" w:type="dxa"/>
              <w:left w:w="20" w:type="dxa"/>
              <w:bottom w:w="30" w:type="dxa"/>
              <w:right w:w="20" w:type="dxa"/>
            </w:tcMar>
            <w:hideMark/>
          </w:tcPr>
          <w:p w14:paraId="69986CDB" w14:textId="77777777" w:rsidR="00000000" w:rsidRDefault="00C1661D">
            <w:pPr>
              <w:spacing w:after="100"/>
              <w:divId w:val="231081298"/>
              <w:rPr>
                <w:rFonts w:eastAsia="Times New Roman"/>
              </w:rPr>
            </w:pPr>
            <w:hyperlink r:id="rId41" w:history="1">
              <w:r>
                <w:rPr>
                  <w:rStyle w:val="a3"/>
                  <w:rFonts w:eastAsia="Times New Roman"/>
                  <w:sz w:val="20"/>
                  <w:szCs w:val="20"/>
                </w:rPr>
                <w:t>UGI Corporation 2009 Deferral Plan, as Amended and Restated effective June 15, 2017.</w:t>
              </w:r>
            </w:hyperlink>
          </w:p>
        </w:tc>
        <w:tc>
          <w:tcPr>
            <w:tcW w:w="0" w:type="auto"/>
            <w:gridSpan w:val="3"/>
            <w:tcMar>
              <w:top w:w="30" w:type="dxa"/>
              <w:left w:w="20" w:type="dxa"/>
              <w:bottom w:w="30" w:type="dxa"/>
              <w:right w:w="20" w:type="dxa"/>
            </w:tcMar>
            <w:hideMark/>
          </w:tcPr>
          <w:p w14:paraId="17950E83"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4C5A8238" w14:textId="77777777" w:rsidR="00000000" w:rsidRDefault="00C1661D">
            <w:pPr>
              <w:spacing w:after="100"/>
              <w:jc w:val="center"/>
              <w:rPr>
                <w:rFonts w:eastAsia="Times New Roman"/>
              </w:rPr>
            </w:pPr>
            <w:r>
              <w:rPr>
                <w:rFonts w:eastAsia="Times New Roman"/>
                <w:color w:val="000000"/>
                <w:sz w:val="20"/>
                <w:szCs w:val="20"/>
              </w:rPr>
              <w:t>Form 10-Q (6/30/17)</w:t>
            </w:r>
          </w:p>
        </w:tc>
        <w:tc>
          <w:tcPr>
            <w:tcW w:w="0" w:type="auto"/>
            <w:gridSpan w:val="3"/>
            <w:tcMar>
              <w:top w:w="30" w:type="dxa"/>
              <w:left w:w="20" w:type="dxa"/>
              <w:bottom w:w="30" w:type="dxa"/>
              <w:right w:w="20" w:type="dxa"/>
            </w:tcMar>
            <w:hideMark/>
          </w:tcPr>
          <w:p w14:paraId="474274E3" w14:textId="77777777" w:rsidR="00000000" w:rsidRDefault="00C1661D">
            <w:pPr>
              <w:spacing w:after="100"/>
              <w:rPr>
                <w:rFonts w:eastAsia="Times New Roman"/>
              </w:rPr>
            </w:pPr>
            <w:r>
              <w:rPr>
                <w:rFonts w:eastAsia="Times New Roman"/>
                <w:color w:val="000000"/>
                <w:sz w:val="20"/>
                <w:szCs w:val="20"/>
              </w:rPr>
              <w:t>10.6</w:t>
            </w:r>
          </w:p>
        </w:tc>
      </w:tr>
      <w:tr w:rsidR="00000000" w14:paraId="6D4E9162" w14:textId="77777777">
        <w:trPr>
          <w:jc w:val="center"/>
        </w:trPr>
        <w:tc>
          <w:tcPr>
            <w:tcW w:w="0" w:type="auto"/>
            <w:gridSpan w:val="3"/>
            <w:tcMar>
              <w:top w:w="30" w:type="dxa"/>
              <w:left w:w="20" w:type="dxa"/>
              <w:bottom w:w="30" w:type="dxa"/>
              <w:right w:w="20" w:type="dxa"/>
            </w:tcMar>
            <w:hideMark/>
          </w:tcPr>
          <w:p w14:paraId="7DB66995" w14:textId="77777777" w:rsidR="00000000" w:rsidRDefault="00C1661D">
            <w:pPr>
              <w:spacing w:after="100"/>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hideMark/>
          </w:tcPr>
          <w:p w14:paraId="59FD8398" w14:textId="77777777" w:rsidR="00000000" w:rsidRDefault="00C1661D">
            <w:pPr>
              <w:spacing w:after="100"/>
              <w:divId w:val="643852446"/>
              <w:rPr>
                <w:rFonts w:eastAsia="Times New Roman"/>
              </w:rPr>
            </w:pPr>
            <w:hyperlink r:id="rId42" w:history="1">
              <w:r>
                <w:rPr>
                  <w:rStyle w:val="a3"/>
                  <w:rFonts w:eastAsia="Times New Roman"/>
                  <w:sz w:val="20"/>
                  <w:szCs w:val="20"/>
                </w:rPr>
                <w:t xml:space="preserve">UGI Corporation 2009 Supplemental Executive Retirement Plan for New Employees, as Amended and Restated as of </w:t>
              </w:r>
              <w:r>
                <w:rPr>
                  <w:rStyle w:val="a3"/>
                  <w:rFonts w:eastAsia="Times New Roman"/>
                  <w:sz w:val="20"/>
                  <w:szCs w:val="20"/>
                </w:rPr>
                <w:t>June 15, 2017.</w:t>
              </w:r>
            </w:hyperlink>
          </w:p>
        </w:tc>
        <w:tc>
          <w:tcPr>
            <w:tcW w:w="0" w:type="auto"/>
            <w:gridSpan w:val="3"/>
            <w:tcMar>
              <w:top w:w="30" w:type="dxa"/>
              <w:left w:w="20" w:type="dxa"/>
              <w:bottom w:w="30" w:type="dxa"/>
              <w:right w:w="20" w:type="dxa"/>
            </w:tcMar>
            <w:hideMark/>
          </w:tcPr>
          <w:p w14:paraId="6DAE51D5"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53863CA2" w14:textId="77777777" w:rsidR="00000000" w:rsidRDefault="00C1661D">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(6/30/17)</w:t>
            </w:r>
          </w:p>
        </w:tc>
        <w:tc>
          <w:tcPr>
            <w:tcW w:w="0" w:type="auto"/>
            <w:gridSpan w:val="3"/>
            <w:tcMar>
              <w:top w:w="30" w:type="dxa"/>
              <w:left w:w="20" w:type="dxa"/>
              <w:bottom w:w="30" w:type="dxa"/>
              <w:right w:w="20" w:type="dxa"/>
            </w:tcMar>
            <w:hideMark/>
          </w:tcPr>
          <w:p w14:paraId="5FD0EE30" w14:textId="77777777" w:rsidR="00000000" w:rsidRDefault="00C1661D">
            <w:pPr>
              <w:spacing w:after="100"/>
              <w:rPr>
                <w:rFonts w:eastAsia="Times New Roman"/>
              </w:rPr>
            </w:pPr>
            <w:r>
              <w:rPr>
                <w:rFonts w:eastAsia="Times New Roman"/>
                <w:color w:val="000000"/>
                <w:sz w:val="20"/>
                <w:szCs w:val="20"/>
              </w:rPr>
              <w:t>10.1</w:t>
            </w:r>
          </w:p>
        </w:tc>
      </w:tr>
      <w:tr w:rsidR="00000000" w14:paraId="47C4E0F6" w14:textId="77777777">
        <w:trPr>
          <w:jc w:val="center"/>
        </w:trPr>
        <w:tc>
          <w:tcPr>
            <w:tcW w:w="0" w:type="auto"/>
            <w:gridSpan w:val="3"/>
            <w:tcMar>
              <w:top w:w="30" w:type="dxa"/>
              <w:left w:w="20" w:type="dxa"/>
              <w:bottom w:w="30" w:type="dxa"/>
              <w:right w:w="20" w:type="dxa"/>
            </w:tcMar>
            <w:hideMark/>
          </w:tcPr>
          <w:p w14:paraId="7A2C56A8" w14:textId="77777777" w:rsidR="00000000" w:rsidRDefault="00C1661D">
            <w:pPr>
              <w:spacing w:after="100"/>
              <w:rPr>
                <w:rFonts w:eastAsia="Times New Roman"/>
              </w:rPr>
            </w:pPr>
            <w:r>
              <w:rPr>
                <w:rFonts w:eastAsia="Times New Roman"/>
                <w:color w:val="000000"/>
                <w:sz w:val="20"/>
                <w:szCs w:val="20"/>
              </w:rPr>
              <w:t>10.5**</w:t>
            </w:r>
          </w:p>
        </w:tc>
        <w:tc>
          <w:tcPr>
            <w:tcW w:w="0" w:type="auto"/>
            <w:gridSpan w:val="3"/>
            <w:tcMar>
              <w:top w:w="30" w:type="dxa"/>
              <w:left w:w="20" w:type="dxa"/>
              <w:bottom w:w="30" w:type="dxa"/>
              <w:right w:w="20" w:type="dxa"/>
            </w:tcMar>
            <w:hideMark/>
          </w:tcPr>
          <w:p w14:paraId="12056731" w14:textId="77777777" w:rsidR="00000000" w:rsidRDefault="00C1661D">
            <w:pPr>
              <w:spacing w:after="100"/>
              <w:divId w:val="621810540"/>
              <w:rPr>
                <w:rFonts w:eastAsia="Times New Roman"/>
              </w:rPr>
            </w:pPr>
            <w:hyperlink r:id="rId43" w:history="1">
              <w:r>
                <w:rPr>
                  <w:rStyle w:val="a3"/>
                  <w:rFonts w:eastAsia="Times New Roman"/>
                  <w:sz w:val="20"/>
                  <w:szCs w:val="20"/>
                </w:rPr>
                <w:t>UGI Corporation 2013 Omnibus Incentive Compensation Plan, effective as of September 5, 2014.</w:t>
              </w:r>
            </w:hyperlink>
          </w:p>
        </w:tc>
        <w:tc>
          <w:tcPr>
            <w:tcW w:w="0" w:type="auto"/>
            <w:gridSpan w:val="3"/>
            <w:tcMar>
              <w:top w:w="30" w:type="dxa"/>
              <w:left w:w="20" w:type="dxa"/>
              <w:bottom w:w="30" w:type="dxa"/>
              <w:right w:w="20" w:type="dxa"/>
            </w:tcMar>
            <w:hideMark/>
          </w:tcPr>
          <w:p w14:paraId="74547586"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672D94C2" w14:textId="77777777" w:rsidR="00000000" w:rsidRDefault="00C1661D">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(9/30/16)</w:t>
            </w:r>
          </w:p>
        </w:tc>
        <w:tc>
          <w:tcPr>
            <w:tcW w:w="0" w:type="auto"/>
            <w:gridSpan w:val="3"/>
            <w:tcMar>
              <w:top w:w="30" w:type="dxa"/>
              <w:left w:w="20" w:type="dxa"/>
              <w:bottom w:w="30" w:type="dxa"/>
              <w:right w:w="20" w:type="dxa"/>
            </w:tcMar>
            <w:hideMark/>
          </w:tcPr>
          <w:p w14:paraId="5AB0B2B6" w14:textId="77777777" w:rsidR="00000000" w:rsidRDefault="00C1661D">
            <w:pPr>
              <w:spacing w:after="100"/>
              <w:rPr>
                <w:rFonts w:eastAsia="Times New Roman"/>
              </w:rPr>
            </w:pPr>
            <w:r>
              <w:rPr>
                <w:rFonts w:eastAsia="Times New Roman"/>
                <w:color w:val="000000"/>
                <w:sz w:val="20"/>
                <w:szCs w:val="20"/>
              </w:rPr>
              <w:t>10.30</w:t>
            </w:r>
          </w:p>
        </w:tc>
      </w:tr>
      <w:tr w:rsidR="00000000" w14:paraId="544D4097" w14:textId="77777777">
        <w:trPr>
          <w:jc w:val="center"/>
        </w:trPr>
        <w:tc>
          <w:tcPr>
            <w:tcW w:w="0" w:type="auto"/>
            <w:gridSpan w:val="3"/>
            <w:tcMar>
              <w:top w:w="30" w:type="dxa"/>
              <w:left w:w="20" w:type="dxa"/>
              <w:bottom w:w="30" w:type="dxa"/>
              <w:right w:w="20" w:type="dxa"/>
            </w:tcMar>
            <w:hideMark/>
          </w:tcPr>
          <w:p w14:paraId="66F705F8" w14:textId="77777777" w:rsidR="00000000" w:rsidRDefault="00C1661D">
            <w:pPr>
              <w:spacing w:after="100"/>
              <w:rPr>
                <w:rFonts w:eastAsia="Times New Roman"/>
              </w:rPr>
            </w:pPr>
            <w:r>
              <w:rPr>
                <w:rFonts w:eastAsia="Times New Roman"/>
                <w:color w:val="000000"/>
                <w:sz w:val="20"/>
                <w:szCs w:val="20"/>
              </w:rPr>
              <w:t>10.6**</w:t>
            </w:r>
          </w:p>
        </w:tc>
        <w:tc>
          <w:tcPr>
            <w:tcW w:w="0" w:type="auto"/>
            <w:gridSpan w:val="3"/>
            <w:tcMar>
              <w:top w:w="30" w:type="dxa"/>
              <w:left w:w="20" w:type="dxa"/>
              <w:bottom w:w="30" w:type="dxa"/>
              <w:right w:w="20" w:type="dxa"/>
            </w:tcMar>
            <w:vAlign w:val="bottom"/>
            <w:hideMark/>
          </w:tcPr>
          <w:p w14:paraId="2DACFBAC" w14:textId="77777777" w:rsidR="00000000" w:rsidRDefault="00C1661D">
            <w:pPr>
              <w:spacing w:after="100"/>
              <w:divId w:val="682584580"/>
              <w:rPr>
                <w:rFonts w:eastAsia="Times New Roman"/>
              </w:rPr>
            </w:pPr>
            <w:hyperlink r:id="rId44" w:history="1">
              <w:r>
                <w:rPr>
                  <w:rStyle w:val="a3"/>
                  <w:rFonts w:eastAsia="Times New Roman"/>
                  <w:sz w:val="20"/>
                  <w:szCs w:val="20"/>
                </w:rPr>
                <w:t>UGI Corporation 2013 Omnibus Incentive Compensation Plan, Terms and Conditions for Non-Employee Directors, effective January 1, 2019.</w:t>
              </w:r>
            </w:hyperlink>
          </w:p>
        </w:tc>
        <w:tc>
          <w:tcPr>
            <w:tcW w:w="0" w:type="auto"/>
            <w:gridSpan w:val="3"/>
            <w:tcMar>
              <w:top w:w="30" w:type="dxa"/>
              <w:left w:w="20" w:type="dxa"/>
              <w:bottom w:w="30" w:type="dxa"/>
              <w:right w:w="20" w:type="dxa"/>
            </w:tcMar>
            <w:hideMark/>
          </w:tcPr>
          <w:p w14:paraId="603FC3A2"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09410901" w14:textId="77777777" w:rsidR="00000000" w:rsidRDefault="00C1661D">
            <w:pPr>
              <w:spacing w:after="100"/>
              <w:jc w:val="center"/>
              <w:rPr>
                <w:rFonts w:eastAsia="Times New Roman"/>
              </w:rPr>
            </w:pPr>
            <w:r>
              <w:rPr>
                <w:rFonts w:eastAsia="Times New Roman"/>
                <w:color w:val="000000"/>
                <w:sz w:val="20"/>
                <w:szCs w:val="20"/>
              </w:rPr>
              <w:t>Form 10-Q (3/31/</w:t>
            </w:r>
            <w:r>
              <w:rPr>
                <w:rFonts w:eastAsia="Times New Roman"/>
                <w:color w:val="000000"/>
                <w:sz w:val="20"/>
                <w:szCs w:val="20"/>
              </w:rPr>
              <w:t>19)</w:t>
            </w:r>
          </w:p>
        </w:tc>
        <w:tc>
          <w:tcPr>
            <w:tcW w:w="0" w:type="auto"/>
            <w:gridSpan w:val="3"/>
            <w:tcMar>
              <w:top w:w="30" w:type="dxa"/>
              <w:left w:w="20" w:type="dxa"/>
              <w:bottom w:w="30" w:type="dxa"/>
              <w:right w:w="20" w:type="dxa"/>
            </w:tcMar>
            <w:hideMark/>
          </w:tcPr>
          <w:p w14:paraId="1F03151A" w14:textId="77777777" w:rsidR="00000000" w:rsidRDefault="00C1661D">
            <w:pPr>
              <w:spacing w:after="100"/>
              <w:rPr>
                <w:rFonts w:eastAsia="Times New Roman"/>
              </w:rPr>
            </w:pPr>
            <w:r>
              <w:rPr>
                <w:rFonts w:eastAsia="Times New Roman"/>
                <w:color w:val="000000"/>
                <w:sz w:val="20"/>
                <w:szCs w:val="20"/>
              </w:rPr>
              <w:t>10.6</w:t>
            </w:r>
          </w:p>
        </w:tc>
      </w:tr>
      <w:tr w:rsidR="00000000" w14:paraId="18403E0B" w14:textId="77777777">
        <w:trPr>
          <w:jc w:val="center"/>
        </w:trPr>
        <w:tc>
          <w:tcPr>
            <w:tcW w:w="0" w:type="auto"/>
            <w:gridSpan w:val="3"/>
            <w:tcMar>
              <w:top w:w="30" w:type="dxa"/>
              <w:left w:w="20" w:type="dxa"/>
              <w:bottom w:w="30" w:type="dxa"/>
              <w:right w:w="20" w:type="dxa"/>
            </w:tcMar>
            <w:hideMark/>
          </w:tcPr>
          <w:p w14:paraId="32B3B8E6" w14:textId="77777777" w:rsidR="00000000" w:rsidRDefault="00C1661D">
            <w:pPr>
              <w:spacing w:after="100"/>
              <w:rPr>
                <w:rFonts w:eastAsia="Times New Roman"/>
              </w:rPr>
            </w:pPr>
            <w:r>
              <w:rPr>
                <w:rFonts w:eastAsia="Times New Roman"/>
                <w:color w:val="000000"/>
                <w:sz w:val="20"/>
                <w:szCs w:val="20"/>
              </w:rPr>
              <w:t>10.7**</w:t>
            </w:r>
          </w:p>
        </w:tc>
        <w:tc>
          <w:tcPr>
            <w:tcW w:w="0" w:type="auto"/>
            <w:gridSpan w:val="3"/>
            <w:tcMar>
              <w:top w:w="30" w:type="dxa"/>
              <w:left w:w="20" w:type="dxa"/>
              <w:bottom w:w="30" w:type="dxa"/>
              <w:right w:w="20" w:type="dxa"/>
            </w:tcMar>
            <w:vAlign w:val="bottom"/>
            <w:hideMark/>
          </w:tcPr>
          <w:p w14:paraId="33C91371" w14:textId="77777777" w:rsidR="00000000" w:rsidRDefault="00C1661D">
            <w:pPr>
              <w:spacing w:after="100"/>
              <w:divId w:val="1012295572"/>
              <w:rPr>
                <w:rFonts w:eastAsia="Times New Roman"/>
              </w:rPr>
            </w:pPr>
            <w:hyperlink r:id="rId45" w:history="1">
              <w:r>
                <w:rPr>
                  <w:rStyle w:val="a3"/>
                  <w:rFonts w:eastAsia="Times New Roman"/>
                  <w:sz w:val="20"/>
                  <w:szCs w:val="20"/>
                </w:rPr>
                <w:t>UGI Corporation Supplemental Executive Retirement Plan and Supplemental Savings Plan, as Amended and Restated effective April 1, 2015.</w:t>
              </w:r>
            </w:hyperlink>
          </w:p>
        </w:tc>
        <w:tc>
          <w:tcPr>
            <w:tcW w:w="0" w:type="auto"/>
            <w:gridSpan w:val="3"/>
            <w:tcMar>
              <w:top w:w="30" w:type="dxa"/>
              <w:left w:w="20" w:type="dxa"/>
              <w:bottom w:w="30" w:type="dxa"/>
              <w:right w:w="20" w:type="dxa"/>
            </w:tcMar>
            <w:hideMark/>
          </w:tcPr>
          <w:p w14:paraId="43FB9F41"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27196C36" w14:textId="77777777" w:rsidR="00000000" w:rsidRDefault="00C1661D">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(9/30/17)</w:t>
            </w:r>
          </w:p>
        </w:tc>
        <w:tc>
          <w:tcPr>
            <w:tcW w:w="0" w:type="auto"/>
            <w:gridSpan w:val="3"/>
            <w:tcMar>
              <w:top w:w="30" w:type="dxa"/>
              <w:left w:w="20" w:type="dxa"/>
              <w:bottom w:w="30" w:type="dxa"/>
              <w:right w:w="20" w:type="dxa"/>
            </w:tcMar>
            <w:hideMark/>
          </w:tcPr>
          <w:p w14:paraId="1559272A" w14:textId="77777777" w:rsidR="00000000" w:rsidRDefault="00C1661D">
            <w:pPr>
              <w:spacing w:after="100"/>
              <w:rPr>
                <w:rFonts w:eastAsia="Times New Roman"/>
              </w:rPr>
            </w:pPr>
            <w:r>
              <w:rPr>
                <w:rFonts w:eastAsia="Times New Roman"/>
                <w:color w:val="000000"/>
                <w:sz w:val="20"/>
                <w:szCs w:val="20"/>
              </w:rPr>
              <w:t>10.26</w:t>
            </w:r>
          </w:p>
        </w:tc>
      </w:tr>
      <w:tr w:rsidR="00000000" w14:paraId="75A34589" w14:textId="77777777">
        <w:trPr>
          <w:jc w:val="center"/>
        </w:trPr>
        <w:tc>
          <w:tcPr>
            <w:tcW w:w="0" w:type="auto"/>
            <w:gridSpan w:val="3"/>
            <w:tcMar>
              <w:top w:w="30" w:type="dxa"/>
              <w:left w:w="20" w:type="dxa"/>
              <w:bottom w:w="30" w:type="dxa"/>
              <w:right w:w="20" w:type="dxa"/>
            </w:tcMar>
            <w:hideMark/>
          </w:tcPr>
          <w:p w14:paraId="7398DFEB" w14:textId="77777777" w:rsidR="00000000" w:rsidRDefault="00C1661D">
            <w:pPr>
              <w:spacing w:after="100"/>
              <w:rPr>
                <w:rFonts w:eastAsia="Times New Roman"/>
              </w:rPr>
            </w:pPr>
            <w:r>
              <w:rPr>
                <w:rFonts w:eastAsia="Times New Roman"/>
                <w:color w:val="000000"/>
                <w:sz w:val="20"/>
                <w:szCs w:val="20"/>
              </w:rPr>
              <w:t>10.8**</w:t>
            </w:r>
          </w:p>
        </w:tc>
        <w:tc>
          <w:tcPr>
            <w:tcW w:w="0" w:type="auto"/>
            <w:gridSpan w:val="3"/>
            <w:tcMar>
              <w:top w:w="30" w:type="dxa"/>
              <w:left w:w="20" w:type="dxa"/>
              <w:bottom w:w="30" w:type="dxa"/>
              <w:right w:w="20" w:type="dxa"/>
            </w:tcMar>
            <w:vAlign w:val="bottom"/>
            <w:hideMark/>
          </w:tcPr>
          <w:p w14:paraId="4AD335DA" w14:textId="77777777" w:rsidR="00000000" w:rsidRDefault="00C1661D">
            <w:pPr>
              <w:spacing w:after="100"/>
              <w:divId w:val="1277516225"/>
              <w:rPr>
                <w:rFonts w:eastAsia="Times New Roman"/>
              </w:rPr>
            </w:pPr>
            <w:hyperlink r:id="rId46" w:history="1">
              <w:r>
                <w:rPr>
                  <w:rStyle w:val="a3"/>
                  <w:rFonts w:eastAsia="Times New Roman"/>
                  <w:sz w:val="20"/>
                  <w:szCs w:val="20"/>
                </w:rPr>
                <w:t>UGI Corporation Executive Annual Bonus Plan as amended November 15, 2018</w:t>
              </w:r>
            </w:hyperlink>
            <w:r>
              <w:rPr>
                <w:rFonts w:eastAsia="Times New Roman"/>
                <w:color w:val="000000"/>
                <w:sz w:val="20"/>
                <w:szCs w:val="20"/>
              </w:rPr>
              <w:t>.</w:t>
            </w:r>
          </w:p>
        </w:tc>
        <w:tc>
          <w:tcPr>
            <w:tcW w:w="0" w:type="auto"/>
            <w:gridSpan w:val="3"/>
            <w:tcMar>
              <w:top w:w="30" w:type="dxa"/>
              <w:left w:w="20" w:type="dxa"/>
              <w:bottom w:w="30" w:type="dxa"/>
              <w:right w:w="20" w:type="dxa"/>
            </w:tcMar>
            <w:hideMark/>
          </w:tcPr>
          <w:p w14:paraId="23C5D339"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7745022D" w14:textId="77777777" w:rsidR="00000000" w:rsidRDefault="00C1661D">
            <w:pPr>
              <w:spacing w:after="100"/>
              <w:jc w:val="center"/>
              <w:rPr>
                <w:rFonts w:eastAsia="Times New Roman"/>
              </w:rPr>
            </w:pPr>
            <w:r>
              <w:rPr>
                <w:rFonts w:eastAsia="Times New Roman"/>
                <w:color w:val="000000"/>
                <w:sz w:val="20"/>
                <w:szCs w:val="20"/>
              </w:rPr>
              <w:t>Form 10-Q (3/31/19)</w:t>
            </w:r>
          </w:p>
        </w:tc>
        <w:tc>
          <w:tcPr>
            <w:tcW w:w="0" w:type="auto"/>
            <w:gridSpan w:val="3"/>
            <w:tcMar>
              <w:top w:w="30" w:type="dxa"/>
              <w:left w:w="20" w:type="dxa"/>
              <w:bottom w:w="30" w:type="dxa"/>
              <w:right w:w="20" w:type="dxa"/>
            </w:tcMar>
            <w:hideMark/>
          </w:tcPr>
          <w:p w14:paraId="2D717BB3" w14:textId="77777777" w:rsidR="00000000" w:rsidRDefault="00C1661D">
            <w:pPr>
              <w:spacing w:after="100"/>
              <w:rPr>
                <w:rFonts w:eastAsia="Times New Roman"/>
              </w:rPr>
            </w:pPr>
            <w:r>
              <w:rPr>
                <w:rFonts w:eastAsia="Times New Roman"/>
                <w:color w:val="000000"/>
                <w:sz w:val="20"/>
                <w:szCs w:val="20"/>
              </w:rPr>
              <w:t>10.7</w:t>
            </w:r>
          </w:p>
        </w:tc>
      </w:tr>
      <w:tr w:rsidR="00000000" w14:paraId="3F99B2E6" w14:textId="77777777">
        <w:trPr>
          <w:jc w:val="center"/>
        </w:trPr>
        <w:tc>
          <w:tcPr>
            <w:tcW w:w="0" w:type="auto"/>
            <w:gridSpan w:val="3"/>
            <w:tcMar>
              <w:top w:w="30" w:type="dxa"/>
              <w:left w:w="20" w:type="dxa"/>
              <w:bottom w:w="30" w:type="dxa"/>
              <w:right w:w="20" w:type="dxa"/>
            </w:tcMar>
            <w:hideMark/>
          </w:tcPr>
          <w:p w14:paraId="13AF8BDD" w14:textId="77777777" w:rsidR="00000000" w:rsidRDefault="00C1661D">
            <w:pPr>
              <w:spacing w:after="100"/>
              <w:rPr>
                <w:rFonts w:eastAsia="Times New Roman"/>
              </w:rPr>
            </w:pPr>
            <w:r>
              <w:rPr>
                <w:rFonts w:eastAsia="Times New Roman"/>
                <w:color w:val="000000"/>
                <w:sz w:val="20"/>
                <w:szCs w:val="20"/>
              </w:rPr>
              <w:t>10.9**</w:t>
            </w:r>
          </w:p>
        </w:tc>
        <w:tc>
          <w:tcPr>
            <w:tcW w:w="0" w:type="auto"/>
            <w:gridSpan w:val="3"/>
            <w:tcMar>
              <w:top w:w="30" w:type="dxa"/>
              <w:left w:w="20" w:type="dxa"/>
              <w:bottom w:w="30" w:type="dxa"/>
              <w:right w:w="20" w:type="dxa"/>
            </w:tcMar>
            <w:hideMark/>
          </w:tcPr>
          <w:p w14:paraId="509550C3" w14:textId="77777777" w:rsidR="00000000" w:rsidRDefault="00C1661D">
            <w:pPr>
              <w:spacing w:after="100"/>
              <w:divId w:val="1589651004"/>
              <w:rPr>
                <w:rFonts w:eastAsia="Times New Roman"/>
              </w:rPr>
            </w:pPr>
            <w:hyperlink r:id="rId47" w:history="1">
              <w:r>
                <w:rPr>
                  <w:rStyle w:val="a3"/>
                  <w:rFonts w:eastAsia="Times New Roman"/>
                  <w:sz w:val="20"/>
                  <w:szCs w:val="20"/>
                </w:rPr>
                <w:t>UGI Corporation 2021 Incentive Award Plan.</w:t>
              </w:r>
            </w:hyperlink>
          </w:p>
        </w:tc>
        <w:tc>
          <w:tcPr>
            <w:tcW w:w="0" w:type="auto"/>
            <w:gridSpan w:val="3"/>
            <w:tcMar>
              <w:top w:w="30" w:type="dxa"/>
              <w:left w:w="20" w:type="dxa"/>
              <w:bottom w:w="30" w:type="dxa"/>
              <w:right w:w="20" w:type="dxa"/>
            </w:tcMar>
            <w:hideMark/>
          </w:tcPr>
          <w:p w14:paraId="0B481A84"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682DECFA" w14:textId="77777777" w:rsidR="00000000" w:rsidRDefault="00C1661D">
            <w:pPr>
              <w:spacing w:after="100"/>
              <w:jc w:val="center"/>
              <w:rPr>
                <w:rFonts w:eastAsia="Times New Roman"/>
              </w:rPr>
            </w:pPr>
            <w:r>
              <w:rPr>
                <w:rFonts w:eastAsia="Times New Roman"/>
                <w:color w:val="000000"/>
                <w:sz w:val="20"/>
                <w:szCs w:val="20"/>
              </w:rPr>
              <w:t>Form S-8</w:t>
            </w:r>
            <w:r>
              <w:rPr>
                <w:rFonts w:eastAsia="Times New Roman"/>
                <w:color w:val="000000"/>
                <w:sz w:val="20"/>
                <w:szCs w:val="20"/>
              </w:rPr>
              <w:br/>
              <w:t>(2/4/21)</w:t>
            </w:r>
          </w:p>
        </w:tc>
        <w:tc>
          <w:tcPr>
            <w:tcW w:w="0" w:type="auto"/>
            <w:gridSpan w:val="3"/>
            <w:tcMar>
              <w:top w:w="30" w:type="dxa"/>
              <w:left w:w="20" w:type="dxa"/>
              <w:bottom w:w="30" w:type="dxa"/>
              <w:right w:w="20" w:type="dxa"/>
            </w:tcMar>
            <w:hideMark/>
          </w:tcPr>
          <w:p w14:paraId="44E92769" w14:textId="77777777" w:rsidR="00000000" w:rsidRDefault="00C1661D">
            <w:pPr>
              <w:spacing w:after="100"/>
              <w:rPr>
                <w:rFonts w:eastAsia="Times New Roman"/>
              </w:rPr>
            </w:pPr>
            <w:r>
              <w:rPr>
                <w:rFonts w:eastAsia="Times New Roman"/>
                <w:color w:val="000000"/>
                <w:sz w:val="20"/>
                <w:szCs w:val="20"/>
              </w:rPr>
              <w:t>4.4</w:t>
            </w:r>
          </w:p>
        </w:tc>
      </w:tr>
      <w:tr w:rsidR="00000000" w14:paraId="3E97C889" w14:textId="77777777">
        <w:trPr>
          <w:jc w:val="center"/>
        </w:trPr>
        <w:tc>
          <w:tcPr>
            <w:tcW w:w="0" w:type="auto"/>
            <w:gridSpan w:val="3"/>
            <w:tcMar>
              <w:top w:w="30" w:type="dxa"/>
              <w:left w:w="20" w:type="dxa"/>
              <w:bottom w:w="30" w:type="dxa"/>
              <w:right w:w="20" w:type="dxa"/>
            </w:tcMar>
            <w:hideMark/>
          </w:tcPr>
          <w:p w14:paraId="0670ED89" w14:textId="77777777" w:rsidR="00000000" w:rsidRDefault="00C1661D">
            <w:pPr>
              <w:spacing w:after="100"/>
              <w:rPr>
                <w:rFonts w:eastAsia="Times New Roman"/>
              </w:rPr>
            </w:pPr>
            <w:r>
              <w:rPr>
                <w:rFonts w:eastAsia="Times New Roman"/>
                <w:color w:val="000000"/>
                <w:sz w:val="20"/>
                <w:szCs w:val="20"/>
              </w:rPr>
              <w:t>*10.10**</w:t>
            </w:r>
          </w:p>
        </w:tc>
        <w:tc>
          <w:tcPr>
            <w:tcW w:w="0" w:type="auto"/>
            <w:gridSpan w:val="3"/>
            <w:tcMar>
              <w:top w:w="30" w:type="dxa"/>
              <w:left w:w="20" w:type="dxa"/>
              <w:bottom w:w="30" w:type="dxa"/>
              <w:right w:w="20" w:type="dxa"/>
            </w:tcMar>
            <w:hideMark/>
          </w:tcPr>
          <w:p w14:paraId="35555B4A" w14:textId="77777777" w:rsidR="00000000" w:rsidRDefault="00C1661D">
            <w:pPr>
              <w:spacing w:after="100"/>
              <w:divId w:val="1300572769"/>
              <w:rPr>
                <w:rFonts w:eastAsia="Times New Roman"/>
              </w:rPr>
            </w:pPr>
            <w:hyperlink r:id="rId48" w:history="1">
              <w:r>
                <w:rPr>
                  <w:rStyle w:val="a3"/>
                  <w:rFonts w:eastAsia="Times New Roman"/>
                  <w:sz w:val="20"/>
                  <w:szCs w:val="20"/>
                </w:rPr>
                <w:t>UGI Corporation 2021 Incentive Award Plan, Terms and Conditions for Non-Employee Directors, effective February 1, 2021.</w:t>
              </w:r>
            </w:hyperlink>
          </w:p>
        </w:tc>
        <w:tc>
          <w:tcPr>
            <w:tcW w:w="0" w:type="auto"/>
            <w:gridSpan w:val="3"/>
            <w:tcMar>
              <w:top w:w="0" w:type="dxa"/>
              <w:left w:w="20" w:type="dxa"/>
              <w:bottom w:w="0" w:type="dxa"/>
              <w:right w:w="20" w:type="dxa"/>
            </w:tcMar>
            <w:vAlign w:val="center"/>
            <w:hideMark/>
          </w:tcPr>
          <w:p w14:paraId="269BFA67" w14:textId="77777777" w:rsidR="00000000" w:rsidRDefault="00C1661D">
            <w:pPr>
              <w:spacing w:after="100"/>
              <w:rPr>
                <w:rFonts w:eastAsia="Times New Roman"/>
              </w:rPr>
            </w:pPr>
          </w:p>
        </w:tc>
        <w:tc>
          <w:tcPr>
            <w:tcW w:w="0" w:type="auto"/>
            <w:gridSpan w:val="3"/>
            <w:tcMar>
              <w:top w:w="0" w:type="dxa"/>
              <w:left w:w="20" w:type="dxa"/>
              <w:bottom w:w="0" w:type="dxa"/>
              <w:right w:w="20" w:type="dxa"/>
            </w:tcMar>
            <w:vAlign w:val="center"/>
            <w:hideMark/>
          </w:tcPr>
          <w:p w14:paraId="48E21710"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9B8BE5"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5283D0" w14:textId="77777777" w:rsidR="00000000" w:rsidRDefault="00C1661D">
            <w:pPr>
              <w:spacing w:after="100"/>
              <w:rPr>
                <w:rFonts w:eastAsia="Times New Roman"/>
                <w:sz w:val="20"/>
                <w:szCs w:val="20"/>
              </w:rPr>
            </w:pPr>
          </w:p>
        </w:tc>
      </w:tr>
      <w:tr w:rsidR="00000000" w14:paraId="7BF61947" w14:textId="77777777">
        <w:trPr>
          <w:jc w:val="center"/>
        </w:trPr>
        <w:tc>
          <w:tcPr>
            <w:tcW w:w="0" w:type="auto"/>
            <w:gridSpan w:val="3"/>
            <w:tcMar>
              <w:top w:w="30" w:type="dxa"/>
              <w:left w:w="20" w:type="dxa"/>
              <w:bottom w:w="30" w:type="dxa"/>
              <w:right w:w="20" w:type="dxa"/>
            </w:tcMar>
            <w:hideMark/>
          </w:tcPr>
          <w:p w14:paraId="5FF500EA" w14:textId="77777777" w:rsidR="00000000" w:rsidRDefault="00C1661D">
            <w:pPr>
              <w:spacing w:after="100"/>
              <w:rPr>
                <w:rFonts w:eastAsia="Times New Roman"/>
              </w:rPr>
            </w:pPr>
            <w:r>
              <w:rPr>
                <w:rFonts w:eastAsia="Times New Roman"/>
                <w:color w:val="000000"/>
                <w:sz w:val="20"/>
                <w:szCs w:val="20"/>
              </w:rPr>
              <w:t>10.11**</w:t>
            </w:r>
          </w:p>
        </w:tc>
        <w:tc>
          <w:tcPr>
            <w:tcW w:w="0" w:type="auto"/>
            <w:gridSpan w:val="3"/>
            <w:tcMar>
              <w:top w:w="30" w:type="dxa"/>
              <w:left w:w="20" w:type="dxa"/>
              <w:bottom w:w="30" w:type="dxa"/>
              <w:right w:w="20" w:type="dxa"/>
            </w:tcMar>
            <w:hideMark/>
          </w:tcPr>
          <w:p w14:paraId="55310658" w14:textId="77777777" w:rsidR="00000000" w:rsidRDefault="00C1661D">
            <w:pPr>
              <w:spacing w:after="100"/>
              <w:divId w:val="1501384617"/>
              <w:rPr>
                <w:rFonts w:eastAsia="Times New Roman"/>
              </w:rPr>
            </w:pPr>
            <w:hyperlink r:id="rId49" w:history="1">
              <w:r>
                <w:rPr>
                  <w:rStyle w:val="a3"/>
                  <w:rFonts w:eastAsia="Times New Roman"/>
                  <w:sz w:val="20"/>
                  <w:szCs w:val="20"/>
                </w:rPr>
                <w:t>UGI Corporation Executive Severance Plan, as effective October 1, 2021.</w:t>
              </w:r>
            </w:hyperlink>
          </w:p>
        </w:tc>
        <w:tc>
          <w:tcPr>
            <w:tcW w:w="0" w:type="auto"/>
            <w:gridSpan w:val="3"/>
            <w:tcMar>
              <w:top w:w="30" w:type="dxa"/>
              <w:left w:w="20" w:type="dxa"/>
              <w:bottom w:w="30" w:type="dxa"/>
              <w:right w:w="20" w:type="dxa"/>
            </w:tcMar>
            <w:hideMark/>
          </w:tcPr>
          <w:p w14:paraId="54CD490A"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6277F420"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(9/29/21)</w:t>
            </w:r>
          </w:p>
        </w:tc>
        <w:tc>
          <w:tcPr>
            <w:tcW w:w="0" w:type="auto"/>
            <w:gridSpan w:val="3"/>
            <w:tcMar>
              <w:top w:w="30" w:type="dxa"/>
              <w:left w:w="20" w:type="dxa"/>
              <w:bottom w:w="30" w:type="dxa"/>
              <w:right w:w="20" w:type="dxa"/>
            </w:tcMar>
            <w:hideMark/>
          </w:tcPr>
          <w:p w14:paraId="2EDD5441" w14:textId="77777777" w:rsidR="00000000" w:rsidRDefault="00C1661D">
            <w:pPr>
              <w:spacing w:after="100"/>
              <w:rPr>
                <w:rFonts w:eastAsia="Times New Roman"/>
              </w:rPr>
            </w:pPr>
            <w:r>
              <w:rPr>
                <w:rFonts w:eastAsia="Times New Roman"/>
                <w:color w:val="000000"/>
                <w:sz w:val="20"/>
                <w:szCs w:val="20"/>
              </w:rPr>
              <w:t>10.1</w:t>
            </w:r>
          </w:p>
        </w:tc>
      </w:tr>
      <w:tr w:rsidR="00000000" w14:paraId="05B50978" w14:textId="77777777">
        <w:trPr>
          <w:jc w:val="center"/>
        </w:trPr>
        <w:tc>
          <w:tcPr>
            <w:tcW w:w="0" w:type="auto"/>
            <w:gridSpan w:val="3"/>
            <w:tcMar>
              <w:top w:w="30" w:type="dxa"/>
              <w:left w:w="20" w:type="dxa"/>
              <w:bottom w:w="30" w:type="dxa"/>
              <w:right w:w="20" w:type="dxa"/>
            </w:tcMar>
            <w:hideMark/>
          </w:tcPr>
          <w:p w14:paraId="2B34A691" w14:textId="77777777" w:rsidR="00000000" w:rsidRDefault="00C1661D">
            <w:pPr>
              <w:spacing w:after="100"/>
              <w:rPr>
                <w:rFonts w:eastAsia="Times New Roman"/>
              </w:rPr>
            </w:pPr>
            <w:r>
              <w:rPr>
                <w:rFonts w:eastAsia="Times New Roman"/>
                <w:color w:val="000000"/>
                <w:sz w:val="20"/>
                <w:szCs w:val="20"/>
              </w:rPr>
              <w:t>10.12**</w:t>
            </w:r>
          </w:p>
        </w:tc>
        <w:tc>
          <w:tcPr>
            <w:tcW w:w="0" w:type="auto"/>
            <w:gridSpan w:val="3"/>
            <w:tcMar>
              <w:top w:w="30" w:type="dxa"/>
              <w:left w:w="20" w:type="dxa"/>
              <w:bottom w:w="30" w:type="dxa"/>
              <w:right w:w="20" w:type="dxa"/>
            </w:tcMar>
            <w:vAlign w:val="bottom"/>
            <w:hideMark/>
          </w:tcPr>
          <w:p w14:paraId="1DE6C033" w14:textId="77777777" w:rsidR="00000000" w:rsidRDefault="00C1661D">
            <w:pPr>
              <w:spacing w:after="100"/>
              <w:divId w:val="767583580"/>
              <w:rPr>
                <w:rFonts w:eastAsia="Times New Roman"/>
              </w:rPr>
            </w:pPr>
            <w:hyperlink r:id="rId50" w:history="1">
              <w:r>
                <w:rPr>
                  <w:rStyle w:val="a3"/>
                  <w:rFonts w:eastAsia="Times New Roman"/>
                  <w:sz w:val="20"/>
                  <w:szCs w:val="20"/>
                </w:rPr>
                <w:t>Form of UGI Corporation 2013 Omnibus Incentive Compensation Plan, Nonqualified Stock Option Grant Letter for all US Employees.</w:t>
              </w:r>
            </w:hyperlink>
          </w:p>
        </w:tc>
        <w:tc>
          <w:tcPr>
            <w:tcW w:w="0" w:type="auto"/>
            <w:gridSpan w:val="3"/>
            <w:tcMar>
              <w:top w:w="30" w:type="dxa"/>
              <w:left w:w="20" w:type="dxa"/>
              <w:bottom w:w="30" w:type="dxa"/>
              <w:right w:w="20" w:type="dxa"/>
            </w:tcMar>
            <w:hideMark/>
          </w:tcPr>
          <w:p w14:paraId="38682EDB"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0FDA6898" w14:textId="77777777" w:rsidR="00000000" w:rsidRDefault="00C1661D">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(3/31/21)</w:t>
            </w:r>
          </w:p>
        </w:tc>
        <w:tc>
          <w:tcPr>
            <w:tcW w:w="0" w:type="auto"/>
            <w:gridSpan w:val="3"/>
            <w:tcMar>
              <w:top w:w="30" w:type="dxa"/>
              <w:left w:w="20" w:type="dxa"/>
              <w:bottom w:w="30" w:type="dxa"/>
              <w:right w:w="20" w:type="dxa"/>
            </w:tcMar>
            <w:hideMark/>
          </w:tcPr>
          <w:p w14:paraId="48EB4B50" w14:textId="77777777" w:rsidR="00000000" w:rsidRDefault="00C1661D">
            <w:pPr>
              <w:spacing w:after="100"/>
              <w:rPr>
                <w:rFonts w:eastAsia="Times New Roman"/>
              </w:rPr>
            </w:pPr>
            <w:r>
              <w:rPr>
                <w:rFonts w:eastAsia="Times New Roman"/>
                <w:color w:val="000000"/>
                <w:sz w:val="20"/>
                <w:szCs w:val="20"/>
              </w:rPr>
              <w:t>10.1</w:t>
            </w:r>
          </w:p>
        </w:tc>
      </w:tr>
    </w:tbl>
    <w:p w14:paraId="0D38E610" w14:textId="77777777" w:rsidR="00000000" w:rsidRDefault="00C1661D">
      <w:pPr>
        <w:jc w:val="center"/>
        <w:divId w:val="547381994"/>
        <w:rPr>
          <w:rFonts w:eastAsia="Times New Roman"/>
        </w:rPr>
      </w:pPr>
      <w:r>
        <w:rPr>
          <w:rFonts w:eastAsia="Times New Roman"/>
          <w:color w:val="000000"/>
          <w:sz w:val="20"/>
          <w:szCs w:val="20"/>
        </w:rPr>
        <w:t>77</w:t>
      </w:r>
    </w:p>
    <w:p w14:paraId="5ADEA065" w14:textId="77777777" w:rsidR="00000000" w:rsidRDefault="00C1661D">
      <w:pPr>
        <w:rPr>
          <w:rFonts w:eastAsia="Times New Roman"/>
        </w:rPr>
      </w:pPr>
      <w:r>
        <w:rPr>
          <w:rFonts w:eastAsia="Times New Roman"/>
        </w:rPr>
        <w:pict w14:anchorId="1BE915EF">
          <v:rect id="_x0000_i1104" style="width:0;height:1.5pt" o:hralign="center" o:hrstd="t" o:hr="t" fillcolor="#a0a0a0" stroked="f"/>
        </w:pict>
      </w:r>
    </w:p>
    <w:p w14:paraId="29BC1F74" w14:textId="77777777" w:rsidR="00000000" w:rsidRDefault="00C1661D">
      <w:pPr>
        <w:divId w:val="199587175"/>
        <w:rPr>
          <w:rFonts w:eastAsia="Times New Roman"/>
        </w:rPr>
      </w:pPr>
      <w:hyperlink w:anchor="i3850c3c6c0104e42b9951aac2f16098a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9"/>
        <w:gridCol w:w="55"/>
        <w:gridCol w:w="1985"/>
        <w:gridCol w:w="38"/>
        <w:gridCol w:w="55"/>
        <w:gridCol w:w="1693"/>
        <w:gridCol w:w="36"/>
        <w:gridCol w:w="55"/>
        <w:gridCol w:w="550"/>
        <w:gridCol w:w="37"/>
        <w:gridCol w:w="56"/>
        <w:gridCol w:w="551"/>
        <w:gridCol w:w="36"/>
        <w:gridCol w:w="57"/>
        <w:gridCol w:w="696"/>
        <w:gridCol w:w="36"/>
      </w:tblGrid>
      <w:tr w:rsidR="00000000" w14:paraId="67261029" w14:textId="77777777">
        <w:trPr>
          <w:jc w:val="center"/>
        </w:trPr>
        <w:tc>
          <w:tcPr>
            <w:tcW w:w="50" w:type="pct"/>
            <w:vAlign w:val="center"/>
            <w:hideMark/>
          </w:tcPr>
          <w:p w14:paraId="310F7A09" w14:textId="77777777" w:rsidR="00000000" w:rsidRDefault="00C1661D">
            <w:pPr>
              <w:rPr>
                <w:rFonts w:eastAsia="Times New Roman"/>
              </w:rPr>
            </w:pPr>
          </w:p>
        </w:tc>
        <w:tc>
          <w:tcPr>
            <w:tcW w:w="729" w:type="pct"/>
            <w:vAlign w:val="center"/>
            <w:hideMark/>
          </w:tcPr>
          <w:p w14:paraId="39C97D64" w14:textId="77777777" w:rsidR="00000000" w:rsidRDefault="00C1661D">
            <w:pPr>
              <w:spacing w:after="100"/>
              <w:rPr>
                <w:rFonts w:eastAsia="Times New Roman"/>
                <w:sz w:val="20"/>
                <w:szCs w:val="20"/>
              </w:rPr>
            </w:pPr>
          </w:p>
        </w:tc>
        <w:tc>
          <w:tcPr>
            <w:tcW w:w="5" w:type="pct"/>
            <w:vAlign w:val="center"/>
            <w:hideMark/>
          </w:tcPr>
          <w:p w14:paraId="01DC422B" w14:textId="77777777" w:rsidR="00000000" w:rsidRDefault="00C1661D">
            <w:pPr>
              <w:spacing w:after="100"/>
              <w:rPr>
                <w:rFonts w:eastAsia="Times New Roman"/>
                <w:sz w:val="20"/>
                <w:szCs w:val="20"/>
              </w:rPr>
            </w:pPr>
          </w:p>
        </w:tc>
        <w:tc>
          <w:tcPr>
            <w:tcW w:w="50" w:type="pct"/>
            <w:vAlign w:val="center"/>
            <w:hideMark/>
          </w:tcPr>
          <w:p w14:paraId="79E3211E" w14:textId="77777777" w:rsidR="00000000" w:rsidRDefault="00C1661D">
            <w:pPr>
              <w:spacing w:after="100"/>
              <w:rPr>
                <w:rFonts w:eastAsia="Times New Roman"/>
                <w:sz w:val="20"/>
                <w:szCs w:val="20"/>
              </w:rPr>
            </w:pPr>
          </w:p>
        </w:tc>
        <w:tc>
          <w:tcPr>
            <w:tcW w:w="1419" w:type="pct"/>
            <w:vAlign w:val="center"/>
            <w:hideMark/>
          </w:tcPr>
          <w:p w14:paraId="197A7044" w14:textId="77777777" w:rsidR="00000000" w:rsidRDefault="00C1661D">
            <w:pPr>
              <w:spacing w:after="100"/>
              <w:rPr>
                <w:rFonts w:eastAsia="Times New Roman"/>
                <w:sz w:val="20"/>
                <w:szCs w:val="20"/>
              </w:rPr>
            </w:pPr>
          </w:p>
        </w:tc>
        <w:tc>
          <w:tcPr>
            <w:tcW w:w="5" w:type="pct"/>
            <w:vAlign w:val="center"/>
            <w:hideMark/>
          </w:tcPr>
          <w:p w14:paraId="0931AE8F" w14:textId="77777777" w:rsidR="00000000" w:rsidRDefault="00C1661D">
            <w:pPr>
              <w:spacing w:after="100"/>
              <w:rPr>
                <w:rFonts w:eastAsia="Times New Roman"/>
                <w:sz w:val="20"/>
                <w:szCs w:val="20"/>
              </w:rPr>
            </w:pPr>
          </w:p>
        </w:tc>
        <w:tc>
          <w:tcPr>
            <w:tcW w:w="50" w:type="pct"/>
            <w:vAlign w:val="center"/>
            <w:hideMark/>
          </w:tcPr>
          <w:p w14:paraId="52024CDC" w14:textId="77777777" w:rsidR="00000000" w:rsidRDefault="00C1661D">
            <w:pPr>
              <w:spacing w:after="100"/>
              <w:rPr>
                <w:rFonts w:eastAsia="Times New Roman"/>
                <w:sz w:val="20"/>
                <w:szCs w:val="20"/>
              </w:rPr>
            </w:pPr>
          </w:p>
        </w:tc>
        <w:tc>
          <w:tcPr>
            <w:tcW w:w="1212" w:type="pct"/>
            <w:vAlign w:val="center"/>
            <w:hideMark/>
          </w:tcPr>
          <w:p w14:paraId="3D4B7481" w14:textId="77777777" w:rsidR="00000000" w:rsidRDefault="00C1661D">
            <w:pPr>
              <w:spacing w:after="100"/>
              <w:rPr>
                <w:rFonts w:eastAsia="Times New Roman"/>
                <w:sz w:val="20"/>
                <w:szCs w:val="20"/>
              </w:rPr>
            </w:pPr>
          </w:p>
        </w:tc>
        <w:tc>
          <w:tcPr>
            <w:tcW w:w="5" w:type="pct"/>
            <w:vAlign w:val="center"/>
            <w:hideMark/>
          </w:tcPr>
          <w:p w14:paraId="12C157E0" w14:textId="77777777" w:rsidR="00000000" w:rsidRDefault="00C1661D">
            <w:pPr>
              <w:spacing w:after="100"/>
              <w:rPr>
                <w:rFonts w:eastAsia="Times New Roman"/>
                <w:sz w:val="20"/>
                <w:szCs w:val="20"/>
              </w:rPr>
            </w:pPr>
          </w:p>
        </w:tc>
        <w:tc>
          <w:tcPr>
            <w:tcW w:w="50" w:type="pct"/>
            <w:vAlign w:val="center"/>
            <w:hideMark/>
          </w:tcPr>
          <w:p w14:paraId="1E54EC24" w14:textId="77777777" w:rsidR="00000000" w:rsidRDefault="00C1661D">
            <w:pPr>
              <w:spacing w:after="100"/>
              <w:rPr>
                <w:rFonts w:eastAsia="Times New Roman"/>
                <w:sz w:val="20"/>
                <w:szCs w:val="20"/>
              </w:rPr>
            </w:pPr>
          </w:p>
        </w:tc>
        <w:tc>
          <w:tcPr>
            <w:tcW w:w="401" w:type="pct"/>
            <w:vAlign w:val="center"/>
            <w:hideMark/>
          </w:tcPr>
          <w:p w14:paraId="3AF3EAA9" w14:textId="77777777" w:rsidR="00000000" w:rsidRDefault="00C1661D">
            <w:pPr>
              <w:spacing w:after="100"/>
              <w:rPr>
                <w:rFonts w:eastAsia="Times New Roman"/>
                <w:sz w:val="20"/>
                <w:szCs w:val="20"/>
              </w:rPr>
            </w:pPr>
          </w:p>
        </w:tc>
        <w:tc>
          <w:tcPr>
            <w:tcW w:w="5" w:type="pct"/>
            <w:vAlign w:val="center"/>
            <w:hideMark/>
          </w:tcPr>
          <w:p w14:paraId="3A7E171B" w14:textId="77777777" w:rsidR="00000000" w:rsidRDefault="00C1661D">
            <w:pPr>
              <w:spacing w:after="100"/>
              <w:rPr>
                <w:rFonts w:eastAsia="Times New Roman"/>
                <w:sz w:val="20"/>
                <w:szCs w:val="20"/>
              </w:rPr>
            </w:pPr>
          </w:p>
        </w:tc>
        <w:tc>
          <w:tcPr>
            <w:tcW w:w="50" w:type="pct"/>
            <w:vAlign w:val="center"/>
            <w:hideMark/>
          </w:tcPr>
          <w:p w14:paraId="12494C1D" w14:textId="77777777" w:rsidR="00000000" w:rsidRDefault="00C1661D">
            <w:pPr>
              <w:spacing w:after="100"/>
              <w:rPr>
                <w:rFonts w:eastAsia="Times New Roman"/>
                <w:sz w:val="20"/>
                <w:szCs w:val="20"/>
              </w:rPr>
            </w:pPr>
          </w:p>
        </w:tc>
        <w:tc>
          <w:tcPr>
            <w:tcW w:w="401" w:type="pct"/>
            <w:vAlign w:val="center"/>
            <w:hideMark/>
          </w:tcPr>
          <w:p w14:paraId="20F9BE31" w14:textId="77777777" w:rsidR="00000000" w:rsidRDefault="00C1661D">
            <w:pPr>
              <w:spacing w:after="100"/>
              <w:rPr>
                <w:rFonts w:eastAsia="Times New Roman"/>
                <w:sz w:val="20"/>
                <w:szCs w:val="20"/>
              </w:rPr>
            </w:pPr>
          </w:p>
        </w:tc>
        <w:tc>
          <w:tcPr>
            <w:tcW w:w="5" w:type="pct"/>
            <w:vAlign w:val="center"/>
            <w:hideMark/>
          </w:tcPr>
          <w:p w14:paraId="2802267C" w14:textId="77777777" w:rsidR="00000000" w:rsidRDefault="00C1661D">
            <w:pPr>
              <w:spacing w:after="100"/>
              <w:rPr>
                <w:rFonts w:eastAsia="Times New Roman"/>
                <w:sz w:val="20"/>
                <w:szCs w:val="20"/>
              </w:rPr>
            </w:pPr>
          </w:p>
        </w:tc>
        <w:tc>
          <w:tcPr>
            <w:tcW w:w="50" w:type="pct"/>
            <w:vAlign w:val="center"/>
            <w:hideMark/>
          </w:tcPr>
          <w:p w14:paraId="758B1DDD" w14:textId="77777777" w:rsidR="00000000" w:rsidRDefault="00C1661D">
            <w:pPr>
              <w:spacing w:after="100"/>
              <w:rPr>
                <w:rFonts w:eastAsia="Times New Roman"/>
                <w:sz w:val="20"/>
                <w:szCs w:val="20"/>
              </w:rPr>
            </w:pPr>
          </w:p>
        </w:tc>
        <w:tc>
          <w:tcPr>
            <w:tcW w:w="505" w:type="pct"/>
            <w:vAlign w:val="center"/>
            <w:hideMark/>
          </w:tcPr>
          <w:p w14:paraId="750597AD" w14:textId="77777777" w:rsidR="00000000" w:rsidRDefault="00C1661D">
            <w:pPr>
              <w:spacing w:after="100"/>
              <w:rPr>
                <w:rFonts w:eastAsia="Times New Roman"/>
                <w:sz w:val="20"/>
                <w:szCs w:val="20"/>
              </w:rPr>
            </w:pPr>
          </w:p>
        </w:tc>
        <w:tc>
          <w:tcPr>
            <w:tcW w:w="5" w:type="pct"/>
            <w:vAlign w:val="center"/>
            <w:hideMark/>
          </w:tcPr>
          <w:p w14:paraId="7298B35E" w14:textId="77777777" w:rsidR="00000000" w:rsidRDefault="00C1661D">
            <w:pPr>
              <w:spacing w:after="100"/>
              <w:rPr>
                <w:rFonts w:eastAsia="Times New Roman"/>
                <w:sz w:val="20"/>
                <w:szCs w:val="20"/>
              </w:rPr>
            </w:pPr>
          </w:p>
        </w:tc>
      </w:tr>
      <w:tr w:rsidR="00000000" w14:paraId="4E2D1DA7" w14:textId="77777777">
        <w:trPr>
          <w:jc w:val="center"/>
        </w:trPr>
        <w:tc>
          <w:tcPr>
            <w:tcW w:w="0" w:type="auto"/>
            <w:gridSpan w:val="18"/>
            <w:tcMar>
              <w:top w:w="30" w:type="dxa"/>
              <w:left w:w="20" w:type="dxa"/>
              <w:bottom w:w="30" w:type="dxa"/>
              <w:right w:w="20" w:type="dxa"/>
            </w:tcMar>
            <w:hideMark/>
          </w:tcPr>
          <w:p w14:paraId="3A46EE34" w14:textId="77777777" w:rsidR="00000000" w:rsidRDefault="00C1661D">
            <w:pPr>
              <w:spacing w:after="100"/>
              <w:rPr>
                <w:rFonts w:eastAsia="Times New Roman"/>
              </w:rPr>
            </w:pPr>
            <w:r>
              <w:rPr>
                <w:rFonts w:eastAsia="Times New Roman"/>
                <w:color w:val="000000"/>
                <w:sz w:val="20"/>
                <w:szCs w:val="20"/>
              </w:rPr>
              <w:t>Incorporation by Reference</w:t>
            </w:r>
          </w:p>
        </w:tc>
      </w:tr>
      <w:tr w:rsidR="00000000" w14:paraId="1B42DA89" w14:textId="77777777">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33D76490" w14:textId="77777777" w:rsidR="00000000" w:rsidRDefault="00C1661D">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6939BA6F" w14:textId="77777777" w:rsidR="00000000" w:rsidRDefault="00C1661D">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66B21129" w14:textId="77777777" w:rsidR="00000000" w:rsidRDefault="00C1661D">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14:paraId="58492DC1" w14:textId="77777777" w:rsidR="00000000" w:rsidRDefault="00C1661D">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0A6D397B" w14:textId="77777777" w:rsidR="00000000" w:rsidRDefault="00C1661D">
            <w:pPr>
              <w:spacing w:after="100"/>
              <w:rPr>
                <w:rFonts w:eastAsia="Times New Roman"/>
              </w:rPr>
            </w:pPr>
            <w:r>
              <w:rPr>
                <w:rFonts w:eastAsia="Times New Roman"/>
                <w:color w:val="000000"/>
                <w:sz w:val="20"/>
                <w:szCs w:val="20"/>
              </w:rPr>
              <w:t>Exhibit</w:t>
            </w:r>
          </w:p>
        </w:tc>
      </w:tr>
      <w:tr w:rsidR="00000000" w14:paraId="41BC8259" w14:textId="77777777">
        <w:trPr>
          <w:jc w:val="center"/>
        </w:trPr>
        <w:tc>
          <w:tcPr>
            <w:tcW w:w="0" w:type="auto"/>
            <w:gridSpan w:val="3"/>
            <w:tcMar>
              <w:top w:w="30" w:type="dxa"/>
              <w:left w:w="20" w:type="dxa"/>
              <w:bottom w:w="30" w:type="dxa"/>
              <w:right w:w="20" w:type="dxa"/>
            </w:tcMar>
            <w:hideMark/>
          </w:tcPr>
          <w:p w14:paraId="6EC66BBF" w14:textId="77777777" w:rsidR="00000000" w:rsidRDefault="00C1661D">
            <w:pPr>
              <w:spacing w:after="100"/>
              <w:rPr>
                <w:rFonts w:eastAsia="Times New Roman"/>
              </w:rPr>
            </w:pPr>
            <w:r>
              <w:rPr>
                <w:rFonts w:eastAsia="Times New Roman"/>
                <w:color w:val="000000"/>
                <w:sz w:val="20"/>
                <w:szCs w:val="20"/>
              </w:rPr>
              <w:t>10.13**</w:t>
            </w:r>
          </w:p>
        </w:tc>
        <w:tc>
          <w:tcPr>
            <w:tcW w:w="0" w:type="auto"/>
            <w:gridSpan w:val="3"/>
            <w:tcMar>
              <w:top w:w="30" w:type="dxa"/>
              <w:left w:w="20" w:type="dxa"/>
              <w:bottom w:w="30" w:type="dxa"/>
              <w:right w:w="20" w:type="dxa"/>
            </w:tcMar>
            <w:vAlign w:val="bottom"/>
            <w:hideMark/>
          </w:tcPr>
          <w:p w14:paraId="4D205E25" w14:textId="77777777" w:rsidR="00000000" w:rsidRDefault="00C1661D">
            <w:pPr>
              <w:spacing w:after="100"/>
              <w:divId w:val="717361977"/>
              <w:rPr>
                <w:rFonts w:eastAsia="Times New Roman"/>
              </w:rPr>
            </w:pPr>
            <w:hyperlink r:id="rId51" w:history="1">
              <w:r>
                <w:rPr>
                  <w:rStyle w:val="a3"/>
                  <w:rFonts w:eastAsia="Times New Roman"/>
                  <w:sz w:val="20"/>
                  <w:szCs w:val="20"/>
                </w:rPr>
                <w:t>Form of UGI Corporation 2013 Omnibus Incentive Compensation Plan Performance Unit Grant Letter for all US Employees.</w:t>
              </w:r>
            </w:hyperlink>
          </w:p>
        </w:tc>
        <w:tc>
          <w:tcPr>
            <w:tcW w:w="0" w:type="auto"/>
            <w:gridSpan w:val="3"/>
            <w:tcMar>
              <w:top w:w="30" w:type="dxa"/>
              <w:left w:w="20" w:type="dxa"/>
              <w:bottom w:w="30" w:type="dxa"/>
              <w:right w:w="20" w:type="dxa"/>
            </w:tcMar>
            <w:hideMark/>
          </w:tcPr>
          <w:p w14:paraId="6DC890AC"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42631184" w14:textId="77777777" w:rsidR="00000000" w:rsidRDefault="00C1661D">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(3/31/21)</w:t>
            </w:r>
          </w:p>
        </w:tc>
        <w:tc>
          <w:tcPr>
            <w:tcW w:w="0" w:type="auto"/>
            <w:gridSpan w:val="3"/>
            <w:tcMar>
              <w:top w:w="30" w:type="dxa"/>
              <w:left w:w="20" w:type="dxa"/>
              <w:bottom w:w="30" w:type="dxa"/>
              <w:right w:w="20" w:type="dxa"/>
            </w:tcMar>
            <w:hideMark/>
          </w:tcPr>
          <w:p w14:paraId="6DA3D8AE" w14:textId="77777777" w:rsidR="00000000" w:rsidRDefault="00C1661D">
            <w:pPr>
              <w:spacing w:after="100"/>
              <w:rPr>
                <w:rFonts w:eastAsia="Times New Roman"/>
              </w:rPr>
            </w:pPr>
            <w:r>
              <w:rPr>
                <w:rFonts w:eastAsia="Times New Roman"/>
                <w:color w:val="000000"/>
                <w:sz w:val="20"/>
                <w:szCs w:val="20"/>
              </w:rPr>
              <w:t>10.2</w:t>
            </w:r>
          </w:p>
        </w:tc>
      </w:tr>
      <w:tr w:rsidR="00000000" w14:paraId="192B1921" w14:textId="77777777">
        <w:trPr>
          <w:jc w:val="center"/>
        </w:trPr>
        <w:tc>
          <w:tcPr>
            <w:tcW w:w="0" w:type="auto"/>
            <w:gridSpan w:val="3"/>
            <w:tcMar>
              <w:top w:w="30" w:type="dxa"/>
              <w:left w:w="20" w:type="dxa"/>
              <w:bottom w:w="30" w:type="dxa"/>
              <w:right w:w="20" w:type="dxa"/>
            </w:tcMar>
            <w:hideMark/>
          </w:tcPr>
          <w:p w14:paraId="77E162FA" w14:textId="77777777" w:rsidR="00000000" w:rsidRDefault="00C1661D">
            <w:pPr>
              <w:spacing w:after="100"/>
              <w:rPr>
                <w:rFonts w:eastAsia="Times New Roman"/>
              </w:rPr>
            </w:pPr>
            <w:r>
              <w:rPr>
                <w:rFonts w:eastAsia="Times New Roman"/>
                <w:color w:val="000000"/>
                <w:sz w:val="20"/>
                <w:szCs w:val="20"/>
              </w:rPr>
              <w:t>10.14**</w:t>
            </w:r>
          </w:p>
        </w:tc>
        <w:tc>
          <w:tcPr>
            <w:tcW w:w="0" w:type="auto"/>
            <w:gridSpan w:val="3"/>
            <w:tcMar>
              <w:top w:w="30" w:type="dxa"/>
              <w:left w:w="20" w:type="dxa"/>
              <w:bottom w:w="30" w:type="dxa"/>
              <w:right w:w="20" w:type="dxa"/>
            </w:tcMar>
            <w:vAlign w:val="bottom"/>
            <w:hideMark/>
          </w:tcPr>
          <w:p w14:paraId="1C9EF813" w14:textId="77777777" w:rsidR="00000000" w:rsidRDefault="00C1661D">
            <w:pPr>
              <w:spacing w:after="100"/>
              <w:divId w:val="1941135125"/>
              <w:rPr>
                <w:rFonts w:eastAsia="Times New Roman"/>
              </w:rPr>
            </w:pPr>
            <w:hyperlink r:id="rId52" w:history="1">
              <w:r>
                <w:rPr>
                  <w:rStyle w:val="a3"/>
                  <w:rFonts w:eastAsia="Times New Roman"/>
                  <w:sz w:val="20"/>
                  <w:szCs w:val="20"/>
                </w:rPr>
                <w:t>Form of UGI Corporation 2013 Omnibus Incentive Compensation Plan Stock Unit Grant Letter for all US Employees.</w:t>
              </w:r>
            </w:hyperlink>
          </w:p>
        </w:tc>
        <w:tc>
          <w:tcPr>
            <w:tcW w:w="0" w:type="auto"/>
            <w:gridSpan w:val="3"/>
            <w:tcMar>
              <w:top w:w="30" w:type="dxa"/>
              <w:left w:w="20" w:type="dxa"/>
              <w:bottom w:w="30" w:type="dxa"/>
              <w:right w:w="20" w:type="dxa"/>
            </w:tcMar>
            <w:hideMark/>
          </w:tcPr>
          <w:p w14:paraId="199FB012"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1E325ABD" w14:textId="77777777" w:rsidR="00000000" w:rsidRDefault="00C1661D">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(3/31/21)</w:t>
            </w:r>
          </w:p>
        </w:tc>
        <w:tc>
          <w:tcPr>
            <w:tcW w:w="0" w:type="auto"/>
            <w:gridSpan w:val="3"/>
            <w:tcMar>
              <w:top w:w="30" w:type="dxa"/>
              <w:left w:w="20" w:type="dxa"/>
              <w:bottom w:w="30" w:type="dxa"/>
              <w:right w:w="20" w:type="dxa"/>
            </w:tcMar>
            <w:hideMark/>
          </w:tcPr>
          <w:p w14:paraId="0CCFC0FB" w14:textId="77777777" w:rsidR="00000000" w:rsidRDefault="00C1661D">
            <w:pPr>
              <w:spacing w:after="100"/>
              <w:rPr>
                <w:rFonts w:eastAsia="Times New Roman"/>
              </w:rPr>
            </w:pPr>
            <w:r>
              <w:rPr>
                <w:rFonts w:eastAsia="Times New Roman"/>
                <w:color w:val="000000"/>
                <w:sz w:val="20"/>
                <w:szCs w:val="20"/>
              </w:rPr>
              <w:t>10.3</w:t>
            </w:r>
          </w:p>
        </w:tc>
      </w:tr>
      <w:tr w:rsidR="00000000" w14:paraId="4686CA34" w14:textId="77777777">
        <w:trPr>
          <w:jc w:val="center"/>
        </w:trPr>
        <w:tc>
          <w:tcPr>
            <w:tcW w:w="0" w:type="auto"/>
            <w:gridSpan w:val="3"/>
            <w:tcMar>
              <w:top w:w="30" w:type="dxa"/>
              <w:left w:w="20" w:type="dxa"/>
              <w:bottom w:w="30" w:type="dxa"/>
              <w:right w:w="20" w:type="dxa"/>
            </w:tcMar>
            <w:hideMark/>
          </w:tcPr>
          <w:p w14:paraId="256FC674" w14:textId="77777777" w:rsidR="00000000" w:rsidRDefault="00C1661D">
            <w:pPr>
              <w:spacing w:after="100"/>
              <w:rPr>
                <w:rFonts w:eastAsia="Times New Roman"/>
              </w:rPr>
            </w:pPr>
            <w:r>
              <w:rPr>
                <w:rFonts w:eastAsia="Times New Roman"/>
                <w:color w:val="000000"/>
                <w:sz w:val="20"/>
                <w:szCs w:val="20"/>
              </w:rPr>
              <w:t>10.15**</w:t>
            </w:r>
          </w:p>
        </w:tc>
        <w:tc>
          <w:tcPr>
            <w:tcW w:w="0" w:type="auto"/>
            <w:gridSpan w:val="3"/>
            <w:tcMar>
              <w:top w:w="30" w:type="dxa"/>
              <w:left w:w="20" w:type="dxa"/>
              <w:bottom w:w="30" w:type="dxa"/>
              <w:right w:w="20" w:type="dxa"/>
            </w:tcMar>
            <w:hideMark/>
          </w:tcPr>
          <w:p w14:paraId="4C1D2436" w14:textId="77777777" w:rsidR="00000000" w:rsidRDefault="00C1661D">
            <w:pPr>
              <w:spacing w:after="100"/>
              <w:divId w:val="1204946582"/>
              <w:rPr>
                <w:rFonts w:eastAsia="Times New Roman"/>
              </w:rPr>
            </w:pPr>
            <w:hyperlink r:id="rId53" w:history="1">
              <w:r>
                <w:rPr>
                  <w:rStyle w:val="a3"/>
                  <w:rFonts w:eastAsia="Times New Roman"/>
                  <w:sz w:val="20"/>
                  <w:szCs w:val="20"/>
                </w:rPr>
                <w:t>Form of UGI Corporation 2013 Omnibus Incentive Compensation Plan, Nonqualified Stock Option Grant Letter for Non-Employee Directors.</w:t>
              </w:r>
            </w:hyperlink>
          </w:p>
        </w:tc>
        <w:tc>
          <w:tcPr>
            <w:tcW w:w="0" w:type="auto"/>
            <w:gridSpan w:val="3"/>
            <w:tcMar>
              <w:top w:w="30" w:type="dxa"/>
              <w:left w:w="20" w:type="dxa"/>
              <w:bottom w:w="30" w:type="dxa"/>
              <w:right w:w="20" w:type="dxa"/>
            </w:tcMar>
            <w:hideMark/>
          </w:tcPr>
          <w:p w14:paraId="1502FDD1"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2ECFF85E" w14:textId="77777777" w:rsidR="00000000" w:rsidRDefault="00C1661D">
            <w:pPr>
              <w:spacing w:after="100"/>
              <w:jc w:val="center"/>
              <w:rPr>
                <w:rFonts w:eastAsia="Times New Roman"/>
              </w:rPr>
            </w:pPr>
            <w:r>
              <w:rPr>
                <w:rFonts w:eastAsia="Times New Roman"/>
                <w:color w:val="000000"/>
                <w:sz w:val="20"/>
                <w:szCs w:val="20"/>
              </w:rPr>
              <w:t>Fo</w:t>
            </w:r>
            <w:r>
              <w:rPr>
                <w:rFonts w:eastAsia="Times New Roman"/>
                <w:color w:val="000000"/>
                <w:sz w:val="20"/>
                <w:szCs w:val="20"/>
              </w:rPr>
              <w:t>rm 10-Q</w:t>
            </w:r>
            <w:r>
              <w:rPr>
                <w:rFonts w:eastAsia="Times New Roman"/>
                <w:color w:val="000000"/>
                <w:sz w:val="20"/>
                <w:szCs w:val="20"/>
              </w:rPr>
              <w:br/>
              <w:t>(3/31/21)</w:t>
            </w:r>
          </w:p>
        </w:tc>
        <w:tc>
          <w:tcPr>
            <w:tcW w:w="0" w:type="auto"/>
            <w:gridSpan w:val="3"/>
            <w:tcMar>
              <w:top w:w="30" w:type="dxa"/>
              <w:left w:w="20" w:type="dxa"/>
              <w:bottom w:w="30" w:type="dxa"/>
              <w:right w:w="20" w:type="dxa"/>
            </w:tcMar>
            <w:hideMark/>
          </w:tcPr>
          <w:p w14:paraId="7B7805E3" w14:textId="77777777" w:rsidR="00000000" w:rsidRDefault="00C1661D">
            <w:pPr>
              <w:spacing w:after="100"/>
              <w:rPr>
                <w:rFonts w:eastAsia="Times New Roman"/>
              </w:rPr>
            </w:pPr>
            <w:r>
              <w:rPr>
                <w:rFonts w:eastAsia="Times New Roman"/>
                <w:color w:val="000000"/>
                <w:sz w:val="20"/>
                <w:szCs w:val="20"/>
              </w:rPr>
              <w:t>10.4</w:t>
            </w:r>
          </w:p>
        </w:tc>
      </w:tr>
      <w:tr w:rsidR="00000000" w14:paraId="63D58420" w14:textId="77777777">
        <w:trPr>
          <w:jc w:val="center"/>
        </w:trPr>
        <w:tc>
          <w:tcPr>
            <w:tcW w:w="0" w:type="auto"/>
            <w:gridSpan w:val="3"/>
            <w:tcMar>
              <w:top w:w="30" w:type="dxa"/>
              <w:left w:w="20" w:type="dxa"/>
              <w:bottom w:w="30" w:type="dxa"/>
              <w:right w:w="20" w:type="dxa"/>
            </w:tcMar>
            <w:hideMark/>
          </w:tcPr>
          <w:p w14:paraId="3C0806BB" w14:textId="77777777" w:rsidR="00000000" w:rsidRDefault="00C1661D">
            <w:pPr>
              <w:spacing w:after="100"/>
              <w:rPr>
                <w:rFonts w:eastAsia="Times New Roman"/>
              </w:rPr>
            </w:pPr>
            <w:r>
              <w:rPr>
                <w:rFonts w:eastAsia="Times New Roman"/>
                <w:color w:val="000000"/>
                <w:sz w:val="20"/>
                <w:szCs w:val="20"/>
              </w:rPr>
              <w:t>10.16**</w:t>
            </w:r>
          </w:p>
        </w:tc>
        <w:tc>
          <w:tcPr>
            <w:tcW w:w="0" w:type="auto"/>
            <w:gridSpan w:val="3"/>
            <w:tcMar>
              <w:top w:w="30" w:type="dxa"/>
              <w:left w:w="20" w:type="dxa"/>
              <w:bottom w:w="30" w:type="dxa"/>
              <w:right w:w="20" w:type="dxa"/>
            </w:tcMar>
            <w:hideMark/>
          </w:tcPr>
          <w:p w14:paraId="1AF7059C" w14:textId="77777777" w:rsidR="00000000" w:rsidRDefault="00C1661D">
            <w:pPr>
              <w:spacing w:after="100"/>
              <w:divId w:val="1131288268"/>
              <w:rPr>
                <w:rFonts w:eastAsia="Times New Roman"/>
              </w:rPr>
            </w:pPr>
            <w:hyperlink r:id="rId54" w:history="1">
              <w:r>
                <w:rPr>
                  <w:rStyle w:val="a3"/>
                  <w:rFonts w:eastAsia="Times New Roman"/>
                  <w:sz w:val="20"/>
                  <w:szCs w:val="20"/>
                </w:rPr>
                <w:t>Form of UGI Corporation 2013 Omnibus Incentive Compensation Plan Stock Unit Grant Letter for Non-Emplo</w:t>
              </w:r>
              <w:r>
                <w:rPr>
                  <w:rStyle w:val="a3"/>
                  <w:rFonts w:eastAsia="Times New Roman"/>
                  <w:sz w:val="20"/>
                  <w:szCs w:val="20"/>
                </w:rPr>
                <w:t>yee Directors.</w:t>
              </w:r>
            </w:hyperlink>
          </w:p>
        </w:tc>
        <w:tc>
          <w:tcPr>
            <w:tcW w:w="0" w:type="auto"/>
            <w:gridSpan w:val="3"/>
            <w:tcMar>
              <w:top w:w="30" w:type="dxa"/>
              <w:left w:w="20" w:type="dxa"/>
              <w:bottom w:w="30" w:type="dxa"/>
              <w:right w:w="20" w:type="dxa"/>
            </w:tcMar>
            <w:hideMark/>
          </w:tcPr>
          <w:p w14:paraId="119EE4B4"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17B87541" w14:textId="77777777" w:rsidR="00000000" w:rsidRDefault="00C1661D">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(3/31/21)</w:t>
            </w:r>
          </w:p>
        </w:tc>
        <w:tc>
          <w:tcPr>
            <w:tcW w:w="0" w:type="auto"/>
            <w:gridSpan w:val="3"/>
            <w:tcMar>
              <w:top w:w="30" w:type="dxa"/>
              <w:left w:w="20" w:type="dxa"/>
              <w:bottom w:w="30" w:type="dxa"/>
              <w:right w:w="20" w:type="dxa"/>
            </w:tcMar>
            <w:hideMark/>
          </w:tcPr>
          <w:p w14:paraId="1A770A5E" w14:textId="77777777" w:rsidR="00000000" w:rsidRDefault="00C1661D">
            <w:pPr>
              <w:spacing w:after="100"/>
              <w:rPr>
                <w:rFonts w:eastAsia="Times New Roman"/>
              </w:rPr>
            </w:pPr>
            <w:r>
              <w:rPr>
                <w:rFonts w:eastAsia="Times New Roman"/>
                <w:color w:val="000000"/>
                <w:sz w:val="20"/>
                <w:szCs w:val="20"/>
              </w:rPr>
              <w:t>10.5</w:t>
            </w:r>
          </w:p>
        </w:tc>
      </w:tr>
      <w:tr w:rsidR="00000000" w14:paraId="143B172C" w14:textId="77777777">
        <w:trPr>
          <w:jc w:val="center"/>
        </w:trPr>
        <w:tc>
          <w:tcPr>
            <w:tcW w:w="0" w:type="auto"/>
            <w:gridSpan w:val="3"/>
            <w:tcMar>
              <w:top w:w="30" w:type="dxa"/>
              <w:left w:w="20" w:type="dxa"/>
              <w:bottom w:w="30" w:type="dxa"/>
              <w:right w:w="20" w:type="dxa"/>
            </w:tcMar>
            <w:hideMark/>
          </w:tcPr>
          <w:p w14:paraId="113AA083" w14:textId="77777777" w:rsidR="00000000" w:rsidRDefault="00C1661D">
            <w:pPr>
              <w:spacing w:after="100"/>
              <w:rPr>
                <w:rFonts w:eastAsia="Times New Roman"/>
              </w:rPr>
            </w:pPr>
            <w:r>
              <w:rPr>
                <w:rFonts w:eastAsia="Times New Roman"/>
                <w:color w:val="000000"/>
                <w:sz w:val="20"/>
                <w:szCs w:val="20"/>
              </w:rPr>
              <w:t>*10.17**</w:t>
            </w:r>
          </w:p>
        </w:tc>
        <w:tc>
          <w:tcPr>
            <w:tcW w:w="0" w:type="auto"/>
            <w:gridSpan w:val="3"/>
            <w:tcMar>
              <w:top w:w="30" w:type="dxa"/>
              <w:left w:w="20" w:type="dxa"/>
              <w:bottom w:w="30" w:type="dxa"/>
              <w:right w:w="20" w:type="dxa"/>
            </w:tcMar>
            <w:hideMark/>
          </w:tcPr>
          <w:p w14:paraId="112C6FC0" w14:textId="77777777" w:rsidR="00000000" w:rsidRDefault="00C1661D">
            <w:pPr>
              <w:spacing w:after="100"/>
              <w:divId w:val="294068425"/>
              <w:rPr>
                <w:rFonts w:eastAsia="Times New Roman"/>
              </w:rPr>
            </w:pPr>
            <w:hyperlink r:id="rId55" w:history="1">
              <w:r>
                <w:rPr>
                  <w:rStyle w:val="a3"/>
                  <w:rFonts w:eastAsia="Times New Roman"/>
                  <w:sz w:val="20"/>
                  <w:szCs w:val="20"/>
                </w:rPr>
                <w:t>Form of UGI Corporation 2021 Incentive Award Plan Nonqualified Stock Option Grant Letter for Non-Employee Directors.</w:t>
              </w:r>
            </w:hyperlink>
          </w:p>
        </w:tc>
        <w:tc>
          <w:tcPr>
            <w:tcW w:w="0" w:type="auto"/>
            <w:gridSpan w:val="3"/>
            <w:tcMar>
              <w:top w:w="0" w:type="dxa"/>
              <w:left w:w="20" w:type="dxa"/>
              <w:bottom w:w="0" w:type="dxa"/>
              <w:right w:w="20" w:type="dxa"/>
            </w:tcMar>
            <w:vAlign w:val="center"/>
            <w:hideMark/>
          </w:tcPr>
          <w:p w14:paraId="70C7C807" w14:textId="77777777" w:rsidR="00000000" w:rsidRDefault="00C1661D">
            <w:pPr>
              <w:spacing w:after="100"/>
              <w:rPr>
                <w:rFonts w:eastAsia="Times New Roman"/>
              </w:rPr>
            </w:pPr>
          </w:p>
        </w:tc>
        <w:tc>
          <w:tcPr>
            <w:tcW w:w="0" w:type="auto"/>
            <w:gridSpan w:val="3"/>
            <w:tcMar>
              <w:top w:w="0" w:type="dxa"/>
              <w:left w:w="20" w:type="dxa"/>
              <w:bottom w:w="0" w:type="dxa"/>
              <w:right w:w="20" w:type="dxa"/>
            </w:tcMar>
            <w:vAlign w:val="center"/>
            <w:hideMark/>
          </w:tcPr>
          <w:p w14:paraId="3B51A5FC"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598EB0"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C3BD1E" w14:textId="77777777" w:rsidR="00000000" w:rsidRDefault="00C1661D">
            <w:pPr>
              <w:spacing w:after="100"/>
              <w:rPr>
                <w:rFonts w:eastAsia="Times New Roman"/>
                <w:sz w:val="20"/>
                <w:szCs w:val="20"/>
              </w:rPr>
            </w:pPr>
          </w:p>
        </w:tc>
      </w:tr>
      <w:tr w:rsidR="00000000" w14:paraId="35B4E547" w14:textId="77777777">
        <w:trPr>
          <w:jc w:val="center"/>
        </w:trPr>
        <w:tc>
          <w:tcPr>
            <w:tcW w:w="0" w:type="auto"/>
            <w:gridSpan w:val="3"/>
            <w:tcMar>
              <w:top w:w="30" w:type="dxa"/>
              <w:left w:w="20" w:type="dxa"/>
              <w:bottom w:w="30" w:type="dxa"/>
              <w:right w:w="20" w:type="dxa"/>
            </w:tcMar>
            <w:hideMark/>
          </w:tcPr>
          <w:p w14:paraId="39F49C6C" w14:textId="77777777" w:rsidR="00000000" w:rsidRDefault="00C1661D">
            <w:pPr>
              <w:spacing w:after="100"/>
              <w:rPr>
                <w:rFonts w:eastAsia="Times New Roman"/>
              </w:rPr>
            </w:pPr>
            <w:r>
              <w:rPr>
                <w:rFonts w:eastAsia="Times New Roman"/>
                <w:color w:val="000000"/>
                <w:sz w:val="20"/>
                <w:szCs w:val="20"/>
              </w:rPr>
              <w:t>*10.18**</w:t>
            </w:r>
          </w:p>
        </w:tc>
        <w:tc>
          <w:tcPr>
            <w:tcW w:w="0" w:type="auto"/>
            <w:gridSpan w:val="3"/>
            <w:tcMar>
              <w:top w:w="30" w:type="dxa"/>
              <w:left w:w="20" w:type="dxa"/>
              <w:bottom w:w="30" w:type="dxa"/>
              <w:right w:w="20" w:type="dxa"/>
            </w:tcMar>
            <w:hideMark/>
          </w:tcPr>
          <w:p w14:paraId="78219FDE" w14:textId="77777777" w:rsidR="00000000" w:rsidRDefault="00C1661D">
            <w:pPr>
              <w:spacing w:after="100"/>
              <w:divId w:val="1194688366"/>
              <w:rPr>
                <w:rFonts w:eastAsia="Times New Roman"/>
              </w:rPr>
            </w:pPr>
            <w:hyperlink r:id="rId56" w:history="1">
              <w:r>
                <w:rPr>
                  <w:rStyle w:val="a3"/>
                  <w:rFonts w:eastAsia="Times New Roman"/>
                  <w:sz w:val="20"/>
                  <w:szCs w:val="20"/>
                </w:rPr>
                <w:t>Form of UGI Corporation 2021 Incentive Award Plan Restricted Stock Unit Grant Letter for Non-Employee Directors.</w:t>
              </w:r>
            </w:hyperlink>
          </w:p>
        </w:tc>
        <w:tc>
          <w:tcPr>
            <w:tcW w:w="0" w:type="auto"/>
            <w:gridSpan w:val="3"/>
            <w:tcMar>
              <w:top w:w="0" w:type="dxa"/>
              <w:left w:w="20" w:type="dxa"/>
              <w:bottom w:w="0" w:type="dxa"/>
              <w:right w:w="20" w:type="dxa"/>
            </w:tcMar>
            <w:vAlign w:val="center"/>
            <w:hideMark/>
          </w:tcPr>
          <w:p w14:paraId="3CFEF02D" w14:textId="77777777" w:rsidR="00000000" w:rsidRDefault="00C1661D">
            <w:pPr>
              <w:spacing w:after="100"/>
              <w:rPr>
                <w:rFonts w:eastAsia="Times New Roman"/>
              </w:rPr>
            </w:pPr>
          </w:p>
        </w:tc>
        <w:tc>
          <w:tcPr>
            <w:tcW w:w="0" w:type="auto"/>
            <w:gridSpan w:val="3"/>
            <w:tcMar>
              <w:top w:w="0" w:type="dxa"/>
              <w:left w:w="20" w:type="dxa"/>
              <w:bottom w:w="0" w:type="dxa"/>
              <w:right w:w="20" w:type="dxa"/>
            </w:tcMar>
            <w:vAlign w:val="center"/>
            <w:hideMark/>
          </w:tcPr>
          <w:p w14:paraId="1B50B0D0"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9BD377"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0C1CAC" w14:textId="77777777" w:rsidR="00000000" w:rsidRDefault="00C1661D">
            <w:pPr>
              <w:spacing w:after="100"/>
              <w:rPr>
                <w:rFonts w:eastAsia="Times New Roman"/>
                <w:sz w:val="20"/>
                <w:szCs w:val="20"/>
              </w:rPr>
            </w:pPr>
          </w:p>
        </w:tc>
      </w:tr>
      <w:tr w:rsidR="00000000" w14:paraId="6C4C1690" w14:textId="77777777">
        <w:trPr>
          <w:jc w:val="center"/>
        </w:trPr>
        <w:tc>
          <w:tcPr>
            <w:tcW w:w="0" w:type="auto"/>
            <w:gridSpan w:val="3"/>
            <w:tcMar>
              <w:top w:w="30" w:type="dxa"/>
              <w:left w:w="20" w:type="dxa"/>
              <w:bottom w:w="30" w:type="dxa"/>
              <w:right w:w="20" w:type="dxa"/>
            </w:tcMar>
            <w:hideMark/>
          </w:tcPr>
          <w:p w14:paraId="77CC9E38" w14:textId="77777777" w:rsidR="00000000" w:rsidRDefault="00C1661D">
            <w:pPr>
              <w:spacing w:after="100"/>
              <w:rPr>
                <w:rFonts w:eastAsia="Times New Roman"/>
              </w:rPr>
            </w:pPr>
            <w:r>
              <w:rPr>
                <w:rFonts w:eastAsia="Times New Roman"/>
                <w:color w:val="000000"/>
                <w:sz w:val="20"/>
                <w:szCs w:val="20"/>
              </w:rPr>
              <w:t>10.19**</w:t>
            </w:r>
          </w:p>
        </w:tc>
        <w:tc>
          <w:tcPr>
            <w:tcW w:w="0" w:type="auto"/>
            <w:gridSpan w:val="3"/>
            <w:tcMar>
              <w:top w:w="30" w:type="dxa"/>
              <w:left w:w="20" w:type="dxa"/>
              <w:bottom w:w="30" w:type="dxa"/>
              <w:right w:w="20" w:type="dxa"/>
            </w:tcMar>
            <w:hideMark/>
          </w:tcPr>
          <w:p w14:paraId="7FDECAD8" w14:textId="77777777" w:rsidR="00000000" w:rsidRDefault="00C1661D">
            <w:pPr>
              <w:spacing w:after="100"/>
              <w:divId w:val="1384476327"/>
              <w:rPr>
                <w:rFonts w:eastAsia="Times New Roman"/>
              </w:rPr>
            </w:pPr>
            <w:hyperlink r:id="rId57" w:history="1">
              <w:r>
                <w:rPr>
                  <w:rStyle w:val="a3"/>
                  <w:rFonts w:eastAsia="Times New Roman"/>
                  <w:sz w:val="20"/>
                  <w:szCs w:val="20"/>
                </w:rPr>
                <w:t>Form of UGI Corporation 2021 Incentive Award Plan Nonqualified Stock Option Grant Letter for all US Employees.</w:t>
              </w:r>
            </w:hyperlink>
          </w:p>
        </w:tc>
        <w:tc>
          <w:tcPr>
            <w:tcW w:w="0" w:type="auto"/>
            <w:gridSpan w:val="3"/>
            <w:tcMar>
              <w:top w:w="30" w:type="dxa"/>
              <w:left w:w="20" w:type="dxa"/>
              <w:bottom w:w="30" w:type="dxa"/>
              <w:right w:w="20" w:type="dxa"/>
            </w:tcMar>
            <w:hideMark/>
          </w:tcPr>
          <w:p w14:paraId="2118AE17"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4ADB784E" w14:textId="77777777" w:rsidR="00000000" w:rsidRDefault="00C1661D">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(6/30/21)</w:t>
            </w:r>
          </w:p>
        </w:tc>
        <w:tc>
          <w:tcPr>
            <w:tcW w:w="0" w:type="auto"/>
            <w:gridSpan w:val="3"/>
            <w:tcMar>
              <w:top w:w="30" w:type="dxa"/>
              <w:left w:w="20" w:type="dxa"/>
              <w:bottom w:w="30" w:type="dxa"/>
              <w:right w:w="20" w:type="dxa"/>
            </w:tcMar>
            <w:hideMark/>
          </w:tcPr>
          <w:p w14:paraId="60A31AE8" w14:textId="77777777" w:rsidR="00000000" w:rsidRDefault="00C1661D">
            <w:pPr>
              <w:spacing w:after="100"/>
              <w:rPr>
                <w:rFonts w:eastAsia="Times New Roman"/>
              </w:rPr>
            </w:pPr>
            <w:r>
              <w:rPr>
                <w:rFonts w:eastAsia="Times New Roman"/>
                <w:color w:val="000000"/>
                <w:sz w:val="20"/>
                <w:szCs w:val="20"/>
              </w:rPr>
              <w:t>10.1</w:t>
            </w:r>
          </w:p>
        </w:tc>
      </w:tr>
      <w:tr w:rsidR="00000000" w14:paraId="796D588E" w14:textId="77777777">
        <w:trPr>
          <w:jc w:val="center"/>
        </w:trPr>
        <w:tc>
          <w:tcPr>
            <w:tcW w:w="0" w:type="auto"/>
            <w:gridSpan w:val="3"/>
            <w:tcMar>
              <w:top w:w="30" w:type="dxa"/>
              <w:left w:w="20" w:type="dxa"/>
              <w:bottom w:w="30" w:type="dxa"/>
              <w:right w:w="20" w:type="dxa"/>
            </w:tcMar>
            <w:hideMark/>
          </w:tcPr>
          <w:p w14:paraId="3E0A7BD0" w14:textId="77777777" w:rsidR="00000000" w:rsidRDefault="00C1661D">
            <w:pPr>
              <w:spacing w:after="100"/>
              <w:rPr>
                <w:rFonts w:eastAsia="Times New Roman"/>
              </w:rPr>
            </w:pPr>
            <w:r>
              <w:rPr>
                <w:rFonts w:eastAsia="Times New Roman"/>
                <w:color w:val="000000"/>
                <w:sz w:val="20"/>
                <w:szCs w:val="20"/>
              </w:rPr>
              <w:t>10.20**</w:t>
            </w:r>
          </w:p>
        </w:tc>
        <w:tc>
          <w:tcPr>
            <w:tcW w:w="0" w:type="auto"/>
            <w:gridSpan w:val="3"/>
            <w:tcMar>
              <w:top w:w="30" w:type="dxa"/>
              <w:left w:w="20" w:type="dxa"/>
              <w:bottom w:w="30" w:type="dxa"/>
              <w:right w:w="20" w:type="dxa"/>
            </w:tcMar>
            <w:hideMark/>
          </w:tcPr>
          <w:p w14:paraId="333CAAD0" w14:textId="77777777" w:rsidR="00000000" w:rsidRDefault="00C1661D">
            <w:pPr>
              <w:spacing w:after="100"/>
              <w:divId w:val="553002650"/>
              <w:rPr>
                <w:rFonts w:eastAsia="Times New Roman"/>
              </w:rPr>
            </w:pPr>
            <w:hyperlink r:id="rId58" w:history="1">
              <w:r>
                <w:rPr>
                  <w:rStyle w:val="a3"/>
                  <w:rFonts w:eastAsia="Times New Roman"/>
                  <w:sz w:val="20"/>
                  <w:szCs w:val="20"/>
                </w:rPr>
                <w:t>Form of UGI Corporation 2021 Incentive Award Plan Performance Unit Grant Letter for all US Employees.</w:t>
              </w:r>
            </w:hyperlink>
          </w:p>
        </w:tc>
        <w:tc>
          <w:tcPr>
            <w:tcW w:w="0" w:type="auto"/>
            <w:gridSpan w:val="3"/>
            <w:tcMar>
              <w:top w:w="30" w:type="dxa"/>
              <w:left w:w="20" w:type="dxa"/>
              <w:bottom w:w="30" w:type="dxa"/>
              <w:right w:w="20" w:type="dxa"/>
            </w:tcMar>
            <w:hideMark/>
          </w:tcPr>
          <w:p w14:paraId="3971B5A5"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5A524ABD" w14:textId="77777777" w:rsidR="00000000" w:rsidRDefault="00C1661D">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(6/30/21)</w:t>
            </w:r>
          </w:p>
        </w:tc>
        <w:tc>
          <w:tcPr>
            <w:tcW w:w="0" w:type="auto"/>
            <w:gridSpan w:val="3"/>
            <w:tcMar>
              <w:top w:w="30" w:type="dxa"/>
              <w:left w:w="20" w:type="dxa"/>
              <w:bottom w:w="30" w:type="dxa"/>
              <w:right w:w="20" w:type="dxa"/>
            </w:tcMar>
            <w:hideMark/>
          </w:tcPr>
          <w:p w14:paraId="220A1FA9" w14:textId="77777777" w:rsidR="00000000" w:rsidRDefault="00C1661D">
            <w:pPr>
              <w:spacing w:after="100"/>
              <w:rPr>
                <w:rFonts w:eastAsia="Times New Roman"/>
              </w:rPr>
            </w:pPr>
            <w:r>
              <w:rPr>
                <w:rFonts w:eastAsia="Times New Roman"/>
                <w:color w:val="000000"/>
                <w:sz w:val="20"/>
                <w:szCs w:val="20"/>
              </w:rPr>
              <w:t>10.2</w:t>
            </w:r>
          </w:p>
        </w:tc>
      </w:tr>
      <w:tr w:rsidR="00000000" w14:paraId="34D64BFB" w14:textId="77777777">
        <w:trPr>
          <w:jc w:val="center"/>
        </w:trPr>
        <w:tc>
          <w:tcPr>
            <w:tcW w:w="0" w:type="auto"/>
            <w:gridSpan w:val="3"/>
            <w:tcMar>
              <w:top w:w="30" w:type="dxa"/>
              <w:left w:w="20" w:type="dxa"/>
              <w:bottom w:w="30" w:type="dxa"/>
              <w:right w:w="20" w:type="dxa"/>
            </w:tcMar>
            <w:hideMark/>
          </w:tcPr>
          <w:p w14:paraId="72EB2855" w14:textId="77777777" w:rsidR="00000000" w:rsidRDefault="00C1661D">
            <w:pPr>
              <w:spacing w:after="100"/>
              <w:rPr>
                <w:rFonts w:eastAsia="Times New Roman"/>
              </w:rPr>
            </w:pPr>
            <w:r>
              <w:rPr>
                <w:rFonts w:eastAsia="Times New Roman"/>
                <w:color w:val="000000"/>
                <w:sz w:val="20"/>
                <w:szCs w:val="20"/>
              </w:rPr>
              <w:t>10.21**</w:t>
            </w:r>
          </w:p>
        </w:tc>
        <w:tc>
          <w:tcPr>
            <w:tcW w:w="0" w:type="auto"/>
            <w:gridSpan w:val="3"/>
            <w:tcMar>
              <w:top w:w="30" w:type="dxa"/>
              <w:left w:w="20" w:type="dxa"/>
              <w:bottom w:w="30" w:type="dxa"/>
              <w:right w:w="20" w:type="dxa"/>
            </w:tcMar>
            <w:hideMark/>
          </w:tcPr>
          <w:p w14:paraId="427742AF" w14:textId="77777777" w:rsidR="00000000" w:rsidRDefault="00C1661D">
            <w:pPr>
              <w:spacing w:after="100"/>
              <w:divId w:val="42795209"/>
              <w:rPr>
                <w:rFonts w:eastAsia="Times New Roman"/>
              </w:rPr>
            </w:pPr>
            <w:hyperlink r:id="rId59" w:history="1">
              <w:r>
                <w:rPr>
                  <w:rStyle w:val="a3"/>
                  <w:rFonts w:eastAsia="Times New Roman"/>
                  <w:sz w:val="20"/>
                  <w:szCs w:val="20"/>
                </w:rPr>
                <w:t>Form of UGI Corporation 2021 Incentive Award Plan Stock Unit Grant Letter for all US Employees.</w:t>
              </w:r>
            </w:hyperlink>
          </w:p>
        </w:tc>
        <w:tc>
          <w:tcPr>
            <w:tcW w:w="0" w:type="auto"/>
            <w:gridSpan w:val="3"/>
            <w:tcMar>
              <w:top w:w="30" w:type="dxa"/>
              <w:left w:w="20" w:type="dxa"/>
              <w:bottom w:w="30" w:type="dxa"/>
              <w:right w:w="20" w:type="dxa"/>
            </w:tcMar>
            <w:hideMark/>
          </w:tcPr>
          <w:p w14:paraId="74460C83"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3E5AEEBB" w14:textId="77777777" w:rsidR="00000000" w:rsidRDefault="00C1661D">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(6/30/21)</w:t>
            </w:r>
          </w:p>
        </w:tc>
        <w:tc>
          <w:tcPr>
            <w:tcW w:w="0" w:type="auto"/>
            <w:gridSpan w:val="3"/>
            <w:tcMar>
              <w:top w:w="30" w:type="dxa"/>
              <w:left w:w="20" w:type="dxa"/>
              <w:bottom w:w="30" w:type="dxa"/>
              <w:right w:w="20" w:type="dxa"/>
            </w:tcMar>
            <w:hideMark/>
          </w:tcPr>
          <w:p w14:paraId="41856090" w14:textId="77777777" w:rsidR="00000000" w:rsidRDefault="00C1661D">
            <w:pPr>
              <w:spacing w:after="100"/>
              <w:rPr>
                <w:rFonts w:eastAsia="Times New Roman"/>
              </w:rPr>
            </w:pPr>
            <w:r>
              <w:rPr>
                <w:rFonts w:eastAsia="Times New Roman"/>
                <w:color w:val="000000"/>
                <w:sz w:val="20"/>
                <w:szCs w:val="20"/>
              </w:rPr>
              <w:t>10.3</w:t>
            </w:r>
          </w:p>
        </w:tc>
      </w:tr>
      <w:tr w:rsidR="00000000" w14:paraId="31299593" w14:textId="77777777">
        <w:trPr>
          <w:jc w:val="center"/>
        </w:trPr>
        <w:tc>
          <w:tcPr>
            <w:tcW w:w="0" w:type="auto"/>
            <w:gridSpan w:val="3"/>
            <w:tcMar>
              <w:top w:w="30" w:type="dxa"/>
              <w:left w:w="20" w:type="dxa"/>
              <w:bottom w:w="30" w:type="dxa"/>
              <w:right w:w="20" w:type="dxa"/>
            </w:tcMar>
            <w:hideMark/>
          </w:tcPr>
          <w:p w14:paraId="1C2DA398" w14:textId="77777777" w:rsidR="00000000" w:rsidRDefault="00C1661D">
            <w:pPr>
              <w:spacing w:after="100"/>
              <w:rPr>
                <w:rFonts w:eastAsia="Times New Roman"/>
              </w:rPr>
            </w:pPr>
            <w:r>
              <w:rPr>
                <w:rFonts w:eastAsia="Times New Roman"/>
                <w:color w:val="000000"/>
                <w:sz w:val="20"/>
                <w:szCs w:val="20"/>
              </w:rPr>
              <w:t>10.22**</w:t>
            </w:r>
          </w:p>
        </w:tc>
        <w:tc>
          <w:tcPr>
            <w:tcW w:w="0" w:type="auto"/>
            <w:gridSpan w:val="3"/>
            <w:tcMar>
              <w:top w:w="30" w:type="dxa"/>
              <w:left w:w="20" w:type="dxa"/>
              <w:bottom w:w="30" w:type="dxa"/>
              <w:right w:w="20" w:type="dxa"/>
            </w:tcMar>
            <w:hideMark/>
          </w:tcPr>
          <w:p w14:paraId="1DE9B5AB" w14:textId="77777777" w:rsidR="00000000" w:rsidRDefault="00C1661D">
            <w:pPr>
              <w:spacing w:after="100"/>
              <w:divId w:val="587886153"/>
              <w:rPr>
                <w:rFonts w:eastAsia="Times New Roman"/>
              </w:rPr>
            </w:pPr>
            <w:hyperlink r:id="rId60" w:history="1">
              <w:r>
                <w:rPr>
                  <w:rStyle w:val="a3"/>
                  <w:rFonts w:eastAsia="Times New Roman"/>
                  <w:sz w:val="20"/>
                  <w:szCs w:val="20"/>
                </w:rPr>
                <w:t>Form of Confidentiality, Non-Competition and Non-Solicitation Agreement between UGI Corporation and Ted J. Jastrzebski.</w:t>
              </w:r>
            </w:hyperlink>
          </w:p>
        </w:tc>
        <w:tc>
          <w:tcPr>
            <w:tcW w:w="0" w:type="auto"/>
            <w:gridSpan w:val="3"/>
            <w:tcMar>
              <w:top w:w="30" w:type="dxa"/>
              <w:left w:w="20" w:type="dxa"/>
              <w:bottom w:w="30" w:type="dxa"/>
              <w:right w:w="20" w:type="dxa"/>
            </w:tcMar>
            <w:hideMark/>
          </w:tcPr>
          <w:p w14:paraId="29EB247C"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3CE367D6" w14:textId="77777777" w:rsidR="00000000" w:rsidRDefault="00C1661D">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(6/30/18)</w:t>
            </w:r>
          </w:p>
        </w:tc>
        <w:tc>
          <w:tcPr>
            <w:tcW w:w="0" w:type="auto"/>
            <w:gridSpan w:val="3"/>
            <w:tcMar>
              <w:top w:w="30" w:type="dxa"/>
              <w:left w:w="20" w:type="dxa"/>
              <w:bottom w:w="30" w:type="dxa"/>
              <w:right w:w="20" w:type="dxa"/>
            </w:tcMar>
            <w:hideMark/>
          </w:tcPr>
          <w:p w14:paraId="7B135ED2" w14:textId="77777777" w:rsidR="00000000" w:rsidRDefault="00C1661D">
            <w:pPr>
              <w:spacing w:after="100"/>
              <w:rPr>
                <w:rFonts w:eastAsia="Times New Roman"/>
              </w:rPr>
            </w:pPr>
            <w:r>
              <w:rPr>
                <w:rFonts w:eastAsia="Times New Roman"/>
                <w:color w:val="000000"/>
                <w:sz w:val="20"/>
                <w:szCs w:val="20"/>
              </w:rPr>
              <w:t>10.1</w:t>
            </w:r>
          </w:p>
        </w:tc>
      </w:tr>
      <w:tr w:rsidR="00000000" w14:paraId="527A902B" w14:textId="77777777">
        <w:trPr>
          <w:jc w:val="center"/>
        </w:trPr>
        <w:tc>
          <w:tcPr>
            <w:tcW w:w="0" w:type="auto"/>
            <w:gridSpan w:val="3"/>
            <w:tcMar>
              <w:top w:w="30" w:type="dxa"/>
              <w:left w:w="20" w:type="dxa"/>
              <w:bottom w:w="30" w:type="dxa"/>
              <w:right w:w="20" w:type="dxa"/>
            </w:tcMar>
            <w:hideMark/>
          </w:tcPr>
          <w:p w14:paraId="235C08D6" w14:textId="77777777" w:rsidR="00000000" w:rsidRDefault="00C1661D">
            <w:pPr>
              <w:spacing w:after="100"/>
              <w:rPr>
                <w:rFonts w:eastAsia="Times New Roman"/>
              </w:rPr>
            </w:pPr>
            <w:r>
              <w:rPr>
                <w:rFonts w:eastAsia="Times New Roman"/>
                <w:color w:val="000000"/>
                <w:sz w:val="20"/>
                <w:szCs w:val="20"/>
              </w:rPr>
              <w:t>10.23**</w:t>
            </w:r>
          </w:p>
        </w:tc>
        <w:tc>
          <w:tcPr>
            <w:tcW w:w="0" w:type="auto"/>
            <w:gridSpan w:val="3"/>
            <w:tcMar>
              <w:top w:w="30" w:type="dxa"/>
              <w:left w:w="20" w:type="dxa"/>
              <w:bottom w:w="30" w:type="dxa"/>
              <w:right w:w="20" w:type="dxa"/>
            </w:tcMar>
            <w:hideMark/>
          </w:tcPr>
          <w:p w14:paraId="1CCBCAD1" w14:textId="77777777" w:rsidR="00000000" w:rsidRDefault="00C1661D">
            <w:pPr>
              <w:spacing w:after="100"/>
              <w:divId w:val="193228438"/>
              <w:rPr>
                <w:rFonts w:eastAsia="Times New Roman"/>
              </w:rPr>
            </w:pPr>
            <w:hyperlink r:id="rId61" w:history="1">
              <w:r>
                <w:rPr>
                  <w:rStyle w:val="a3"/>
                  <w:rFonts w:eastAsia="Times New Roman"/>
                  <w:sz w:val="20"/>
                  <w:szCs w:val="20"/>
                </w:rPr>
                <w:t>Form of Confidentiality, Non-Competition and Non-Solicitation Agreement between UGI Corporation and Mr. Roger Perreault.</w:t>
              </w:r>
            </w:hyperlink>
          </w:p>
        </w:tc>
        <w:tc>
          <w:tcPr>
            <w:tcW w:w="0" w:type="auto"/>
            <w:gridSpan w:val="3"/>
            <w:tcMar>
              <w:top w:w="30" w:type="dxa"/>
              <w:left w:w="20" w:type="dxa"/>
              <w:bottom w:w="30" w:type="dxa"/>
              <w:right w:w="20" w:type="dxa"/>
            </w:tcMar>
            <w:hideMark/>
          </w:tcPr>
          <w:p w14:paraId="51307BEE"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4C0F48A7" w14:textId="77777777" w:rsidR="00000000" w:rsidRDefault="00C1661D">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(6/30/21)</w:t>
            </w:r>
          </w:p>
        </w:tc>
        <w:tc>
          <w:tcPr>
            <w:tcW w:w="0" w:type="auto"/>
            <w:gridSpan w:val="3"/>
            <w:tcMar>
              <w:top w:w="30" w:type="dxa"/>
              <w:left w:w="20" w:type="dxa"/>
              <w:bottom w:w="30" w:type="dxa"/>
              <w:right w:w="20" w:type="dxa"/>
            </w:tcMar>
            <w:hideMark/>
          </w:tcPr>
          <w:p w14:paraId="01631DCA" w14:textId="77777777" w:rsidR="00000000" w:rsidRDefault="00C1661D">
            <w:pPr>
              <w:spacing w:after="100"/>
              <w:rPr>
                <w:rFonts w:eastAsia="Times New Roman"/>
              </w:rPr>
            </w:pPr>
            <w:r>
              <w:rPr>
                <w:rFonts w:eastAsia="Times New Roman"/>
                <w:color w:val="000000"/>
                <w:sz w:val="20"/>
                <w:szCs w:val="20"/>
              </w:rPr>
              <w:t>10.4</w:t>
            </w:r>
          </w:p>
        </w:tc>
      </w:tr>
    </w:tbl>
    <w:p w14:paraId="42F9ADE5" w14:textId="77777777" w:rsidR="00000000" w:rsidRDefault="00C1661D">
      <w:pPr>
        <w:jc w:val="center"/>
        <w:divId w:val="1414624458"/>
        <w:rPr>
          <w:rFonts w:eastAsia="Times New Roman"/>
        </w:rPr>
      </w:pPr>
      <w:r>
        <w:rPr>
          <w:rFonts w:eastAsia="Times New Roman"/>
          <w:color w:val="000000"/>
          <w:sz w:val="20"/>
          <w:szCs w:val="20"/>
        </w:rPr>
        <w:t>78</w:t>
      </w:r>
    </w:p>
    <w:p w14:paraId="7F90FB2F" w14:textId="77777777" w:rsidR="00000000" w:rsidRDefault="00C1661D">
      <w:pPr>
        <w:rPr>
          <w:rFonts w:eastAsia="Times New Roman"/>
        </w:rPr>
      </w:pPr>
      <w:r>
        <w:rPr>
          <w:rFonts w:eastAsia="Times New Roman"/>
        </w:rPr>
        <w:pict w14:anchorId="57FB394E">
          <v:rect id="_x0000_i1105" style="width:0;height:1.5pt" o:hralign="center" o:hrstd="t" o:hr="t" fillcolor="#a0a0a0" stroked="f"/>
        </w:pict>
      </w:r>
    </w:p>
    <w:p w14:paraId="780147D6" w14:textId="77777777" w:rsidR="00000000" w:rsidRDefault="00C1661D">
      <w:pPr>
        <w:divId w:val="1205867758"/>
        <w:rPr>
          <w:rFonts w:eastAsia="Times New Roman"/>
        </w:rPr>
      </w:pPr>
      <w:hyperlink w:anchor="i3850c3c6c0104e42b9951aac2f16098a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8"/>
        <w:gridCol w:w="55"/>
        <w:gridCol w:w="1985"/>
        <w:gridCol w:w="37"/>
        <w:gridCol w:w="55"/>
        <w:gridCol w:w="1693"/>
        <w:gridCol w:w="36"/>
        <w:gridCol w:w="55"/>
        <w:gridCol w:w="550"/>
        <w:gridCol w:w="38"/>
        <w:gridCol w:w="56"/>
        <w:gridCol w:w="551"/>
        <w:gridCol w:w="37"/>
        <w:gridCol w:w="57"/>
        <w:gridCol w:w="696"/>
        <w:gridCol w:w="36"/>
      </w:tblGrid>
      <w:tr w:rsidR="00000000" w14:paraId="0A3D791B" w14:textId="77777777">
        <w:trPr>
          <w:jc w:val="center"/>
        </w:trPr>
        <w:tc>
          <w:tcPr>
            <w:tcW w:w="50" w:type="pct"/>
            <w:vAlign w:val="center"/>
            <w:hideMark/>
          </w:tcPr>
          <w:p w14:paraId="642DD00E" w14:textId="77777777" w:rsidR="00000000" w:rsidRDefault="00C1661D">
            <w:pPr>
              <w:rPr>
                <w:rFonts w:eastAsia="Times New Roman"/>
              </w:rPr>
            </w:pPr>
          </w:p>
        </w:tc>
        <w:tc>
          <w:tcPr>
            <w:tcW w:w="729" w:type="pct"/>
            <w:vAlign w:val="center"/>
            <w:hideMark/>
          </w:tcPr>
          <w:p w14:paraId="4C9397E8" w14:textId="77777777" w:rsidR="00000000" w:rsidRDefault="00C1661D">
            <w:pPr>
              <w:spacing w:after="100"/>
              <w:rPr>
                <w:rFonts w:eastAsia="Times New Roman"/>
                <w:sz w:val="20"/>
                <w:szCs w:val="20"/>
              </w:rPr>
            </w:pPr>
          </w:p>
        </w:tc>
        <w:tc>
          <w:tcPr>
            <w:tcW w:w="5" w:type="pct"/>
            <w:vAlign w:val="center"/>
            <w:hideMark/>
          </w:tcPr>
          <w:p w14:paraId="55376B8F" w14:textId="77777777" w:rsidR="00000000" w:rsidRDefault="00C1661D">
            <w:pPr>
              <w:spacing w:after="100"/>
              <w:rPr>
                <w:rFonts w:eastAsia="Times New Roman"/>
                <w:sz w:val="20"/>
                <w:szCs w:val="20"/>
              </w:rPr>
            </w:pPr>
          </w:p>
        </w:tc>
        <w:tc>
          <w:tcPr>
            <w:tcW w:w="50" w:type="pct"/>
            <w:vAlign w:val="center"/>
            <w:hideMark/>
          </w:tcPr>
          <w:p w14:paraId="4A262357" w14:textId="77777777" w:rsidR="00000000" w:rsidRDefault="00C1661D">
            <w:pPr>
              <w:spacing w:after="100"/>
              <w:rPr>
                <w:rFonts w:eastAsia="Times New Roman"/>
                <w:sz w:val="20"/>
                <w:szCs w:val="20"/>
              </w:rPr>
            </w:pPr>
          </w:p>
        </w:tc>
        <w:tc>
          <w:tcPr>
            <w:tcW w:w="1419" w:type="pct"/>
            <w:vAlign w:val="center"/>
            <w:hideMark/>
          </w:tcPr>
          <w:p w14:paraId="3426AB01" w14:textId="77777777" w:rsidR="00000000" w:rsidRDefault="00C1661D">
            <w:pPr>
              <w:spacing w:after="100"/>
              <w:rPr>
                <w:rFonts w:eastAsia="Times New Roman"/>
                <w:sz w:val="20"/>
                <w:szCs w:val="20"/>
              </w:rPr>
            </w:pPr>
          </w:p>
        </w:tc>
        <w:tc>
          <w:tcPr>
            <w:tcW w:w="5" w:type="pct"/>
            <w:vAlign w:val="center"/>
            <w:hideMark/>
          </w:tcPr>
          <w:p w14:paraId="4A7B1C81" w14:textId="77777777" w:rsidR="00000000" w:rsidRDefault="00C1661D">
            <w:pPr>
              <w:spacing w:after="100"/>
              <w:rPr>
                <w:rFonts w:eastAsia="Times New Roman"/>
                <w:sz w:val="20"/>
                <w:szCs w:val="20"/>
              </w:rPr>
            </w:pPr>
          </w:p>
        </w:tc>
        <w:tc>
          <w:tcPr>
            <w:tcW w:w="50" w:type="pct"/>
            <w:vAlign w:val="center"/>
            <w:hideMark/>
          </w:tcPr>
          <w:p w14:paraId="70016437" w14:textId="77777777" w:rsidR="00000000" w:rsidRDefault="00C1661D">
            <w:pPr>
              <w:spacing w:after="100"/>
              <w:rPr>
                <w:rFonts w:eastAsia="Times New Roman"/>
                <w:sz w:val="20"/>
                <w:szCs w:val="20"/>
              </w:rPr>
            </w:pPr>
          </w:p>
        </w:tc>
        <w:tc>
          <w:tcPr>
            <w:tcW w:w="1212" w:type="pct"/>
            <w:vAlign w:val="center"/>
            <w:hideMark/>
          </w:tcPr>
          <w:p w14:paraId="006E8CA4" w14:textId="77777777" w:rsidR="00000000" w:rsidRDefault="00C1661D">
            <w:pPr>
              <w:spacing w:after="100"/>
              <w:rPr>
                <w:rFonts w:eastAsia="Times New Roman"/>
                <w:sz w:val="20"/>
                <w:szCs w:val="20"/>
              </w:rPr>
            </w:pPr>
          </w:p>
        </w:tc>
        <w:tc>
          <w:tcPr>
            <w:tcW w:w="5" w:type="pct"/>
            <w:vAlign w:val="center"/>
            <w:hideMark/>
          </w:tcPr>
          <w:p w14:paraId="2C163065" w14:textId="77777777" w:rsidR="00000000" w:rsidRDefault="00C1661D">
            <w:pPr>
              <w:spacing w:after="100"/>
              <w:rPr>
                <w:rFonts w:eastAsia="Times New Roman"/>
                <w:sz w:val="20"/>
                <w:szCs w:val="20"/>
              </w:rPr>
            </w:pPr>
          </w:p>
        </w:tc>
        <w:tc>
          <w:tcPr>
            <w:tcW w:w="50" w:type="pct"/>
            <w:vAlign w:val="center"/>
            <w:hideMark/>
          </w:tcPr>
          <w:p w14:paraId="6A4B4ABD" w14:textId="77777777" w:rsidR="00000000" w:rsidRDefault="00C1661D">
            <w:pPr>
              <w:spacing w:after="100"/>
              <w:rPr>
                <w:rFonts w:eastAsia="Times New Roman"/>
                <w:sz w:val="20"/>
                <w:szCs w:val="20"/>
              </w:rPr>
            </w:pPr>
          </w:p>
        </w:tc>
        <w:tc>
          <w:tcPr>
            <w:tcW w:w="401" w:type="pct"/>
            <w:vAlign w:val="center"/>
            <w:hideMark/>
          </w:tcPr>
          <w:p w14:paraId="657F14E7" w14:textId="77777777" w:rsidR="00000000" w:rsidRDefault="00C1661D">
            <w:pPr>
              <w:spacing w:after="100"/>
              <w:rPr>
                <w:rFonts w:eastAsia="Times New Roman"/>
                <w:sz w:val="20"/>
                <w:szCs w:val="20"/>
              </w:rPr>
            </w:pPr>
          </w:p>
        </w:tc>
        <w:tc>
          <w:tcPr>
            <w:tcW w:w="5" w:type="pct"/>
            <w:vAlign w:val="center"/>
            <w:hideMark/>
          </w:tcPr>
          <w:p w14:paraId="5751DB27" w14:textId="77777777" w:rsidR="00000000" w:rsidRDefault="00C1661D">
            <w:pPr>
              <w:spacing w:after="100"/>
              <w:rPr>
                <w:rFonts w:eastAsia="Times New Roman"/>
                <w:sz w:val="20"/>
                <w:szCs w:val="20"/>
              </w:rPr>
            </w:pPr>
          </w:p>
        </w:tc>
        <w:tc>
          <w:tcPr>
            <w:tcW w:w="50" w:type="pct"/>
            <w:vAlign w:val="center"/>
            <w:hideMark/>
          </w:tcPr>
          <w:p w14:paraId="7A513CF5" w14:textId="77777777" w:rsidR="00000000" w:rsidRDefault="00C1661D">
            <w:pPr>
              <w:spacing w:after="100"/>
              <w:rPr>
                <w:rFonts w:eastAsia="Times New Roman"/>
                <w:sz w:val="20"/>
                <w:szCs w:val="20"/>
              </w:rPr>
            </w:pPr>
          </w:p>
        </w:tc>
        <w:tc>
          <w:tcPr>
            <w:tcW w:w="401" w:type="pct"/>
            <w:vAlign w:val="center"/>
            <w:hideMark/>
          </w:tcPr>
          <w:p w14:paraId="199C8262" w14:textId="77777777" w:rsidR="00000000" w:rsidRDefault="00C1661D">
            <w:pPr>
              <w:spacing w:after="100"/>
              <w:rPr>
                <w:rFonts w:eastAsia="Times New Roman"/>
                <w:sz w:val="20"/>
                <w:szCs w:val="20"/>
              </w:rPr>
            </w:pPr>
          </w:p>
        </w:tc>
        <w:tc>
          <w:tcPr>
            <w:tcW w:w="5" w:type="pct"/>
            <w:vAlign w:val="center"/>
            <w:hideMark/>
          </w:tcPr>
          <w:p w14:paraId="2442BB5A" w14:textId="77777777" w:rsidR="00000000" w:rsidRDefault="00C1661D">
            <w:pPr>
              <w:spacing w:after="100"/>
              <w:rPr>
                <w:rFonts w:eastAsia="Times New Roman"/>
                <w:sz w:val="20"/>
                <w:szCs w:val="20"/>
              </w:rPr>
            </w:pPr>
          </w:p>
        </w:tc>
        <w:tc>
          <w:tcPr>
            <w:tcW w:w="50" w:type="pct"/>
            <w:vAlign w:val="center"/>
            <w:hideMark/>
          </w:tcPr>
          <w:p w14:paraId="2F1A25B1" w14:textId="77777777" w:rsidR="00000000" w:rsidRDefault="00C1661D">
            <w:pPr>
              <w:spacing w:after="100"/>
              <w:rPr>
                <w:rFonts w:eastAsia="Times New Roman"/>
                <w:sz w:val="20"/>
                <w:szCs w:val="20"/>
              </w:rPr>
            </w:pPr>
          </w:p>
        </w:tc>
        <w:tc>
          <w:tcPr>
            <w:tcW w:w="505" w:type="pct"/>
            <w:vAlign w:val="center"/>
            <w:hideMark/>
          </w:tcPr>
          <w:p w14:paraId="1924C168" w14:textId="77777777" w:rsidR="00000000" w:rsidRDefault="00C1661D">
            <w:pPr>
              <w:spacing w:after="100"/>
              <w:rPr>
                <w:rFonts w:eastAsia="Times New Roman"/>
                <w:sz w:val="20"/>
                <w:szCs w:val="20"/>
              </w:rPr>
            </w:pPr>
          </w:p>
        </w:tc>
        <w:tc>
          <w:tcPr>
            <w:tcW w:w="5" w:type="pct"/>
            <w:vAlign w:val="center"/>
            <w:hideMark/>
          </w:tcPr>
          <w:p w14:paraId="321C7EE9" w14:textId="77777777" w:rsidR="00000000" w:rsidRDefault="00C1661D">
            <w:pPr>
              <w:spacing w:after="100"/>
              <w:rPr>
                <w:rFonts w:eastAsia="Times New Roman"/>
                <w:sz w:val="20"/>
                <w:szCs w:val="20"/>
              </w:rPr>
            </w:pPr>
          </w:p>
        </w:tc>
      </w:tr>
      <w:tr w:rsidR="00000000" w14:paraId="1E17DD9A" w14:textId="77777777">
        <w:trPr>
          <w:jc w:val="center"/>
        </w:trPr>
        <w:tc>
          <w:tcPr>
            <w:tcW w:w="0" w:type="auto"/>
            <w:gridSpan w:val="18"/>
            <w:tcMar>
              <w:top w:w="30" w:type="dxa"/>
              <w:left w:w="20" w:type="dxa"/>
              <w:bottom w:w="30" w:type="dxa"/>
              <w:right w:w="20" w:type="dxa"/>
            </w:tcMar>
            <w:hideMark/>
          </w:tcPr>
          <w:p w14:paraId="735BA6B8" w14:textId="77777777" w:rsidR="00000000" w:rsidRDefault="00C1661D">
            <w:pPr>
              <w:spacing w:after="100"/>
              <w:rPr>
                <w:rFonts w:eastAsia="Times New Roman"/>
              </w:rPr>
            </w:pPr>
            <w:r>
              <w:rPr>
                <w:rFonts w:eastAsia="Times New Roman"/>
                <w:color w:val="000000"/>
                <w:sz w:val="20"/>
                <w:szCs w:val="20"/>
              </w:rPr>
              <w:t>Incorporation by Reference</w:t>
            </w:r>
          </w:p>
        </w:tc>
      </w:tr>
      <w:tr w:rsidR="00000000" w14:paraId="1732C7FC" w14:textId="77777777">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149D210F" w14:textId="77777777" w:rsidR="00000000" w:rsidRDefault="00C1661D">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6B09F432" w14:textId="77777777" w:rsidR="00000000" w:rsidRDefault="00C1661D">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77EA0165" w14:textId="77777777" w:rsidR="00000000" w:rsidRDefault="00C1661D">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14:paraId="67447ACC" w14:textId="77777777" w:rsidR="00000000" w:rsidRDefault="00C1661D">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4927CEBB" w14:textId="77777777" w:rsidR="00000000" w:rsidRDefault="00C1661D">
            <w:pPr>
              <w:spacing w:after="100"/>
              <w:rPr>
                <w:rFonts w:eastAsia="Times New Roman"/>
              </w:rPr>
            </w:pPr>
            <w:r>
              <w:rPr>
                <w:rFonts w:eastAsia="Times New Roman"/>
                <w:color w:val="000000"/>
                <w:sz w:val="20"/>
                <w:szCs w:val="20"/>
              </w:rPr>
              <w:t>Exhibit</w:t>
            </w:r>
          </w:p>
        </w:tc>
      </w:tr>
      <w:tr w:rsidR="00000000" w14:paraId="30080E31" w14:textId="77777777">
        <w:trPr>
          <w:jc w:val="center"/>
        </w:trPr>
        <w:tc>
          <w:tcPr>
            <w:tcW w:w="0" w:type="auto"/>
            <w:gridSpan w:val="3"/>
            <w:tcMar>
              <w:top w:w="30" w:type="dxa"/>
              <w:left w:w="20" w:type="dxa"/>
              <w:bottom w:w="30" w:type="dxa"/>
              <w:right w:w="20" w:type="dxa"/>
            </w:tcMar>
            <w:hideMark/>
          </w:tcPr>
          <w:p w14:paraId="122EBF2E" w14:textId="77777777" w:rsidR="00000000" w:rsidRDefault="00C1661D">
            <w:pPr>
              <w:spacing w:after="100"/>
              <w:rPr>
                <w:rFonts w:eastAsia="Times New Roman"/>
              </w:rPr>
            </w:pPr>
            <w:r>
              <w:rPr>
                <w:rFonts w:eastAsia="Times New Roman"/>
                <w:color w:val="000000"/>
                <w:sz w:val="20"/>
                <w:szCs w:val="20"/>
              </w:rPr>
              <w:t>10.24**</w:t>
            </w:r>
          </w:p>
        </w:tc>
        <w:tc>
          <w:tcPr>
            <w:tcW w:w="0" w:type="auto"/>
            <w:gridSpan w:val="3"/>
            <w:tcMar>
              <w:top w:w="30" w:type="dxa"/>
              <w:left w:w="20" w:type="dxa"/>
              <w:bottom w:w="30" w:type="dxa"/>
              <w:right w:w="20" w:type="dxa"/>
            </w:tcMar>
            <w:hideMark/>
          </w:tcPr>
          <w:p w14:paraId="2668F6C5" w14:textId="77777777" w:rsidR="00000000" w:rsidRDefault="00C1661D">
            <w:pPr>
              <w:spacing w:after="100"/>
              <w:divId w:val="1804812248"/>
              <w:rPr>
                <w:rFonts w:eastAsia="Times New Roman"/>
              </w:rPr>
            </w:pPr>
            <w:hyperlink r:id="rId62" w:history="1">
              <w:r>
                <w:rPr>
                  <w:rStyle w:val="a3"/>
                  <w:rFonts w:eastAsia="Times New Roman"/>
                  <w:sz w:val="20"/>
                  <w:szCs w:val="20"/>
                </w:rPr>
                <w:t xml:space="preserve">Form of Confidentiality, Non-Competition and Non-Solicitation Agreement between UGI Corporation and Mr. Robert F. Beard. </w:t>
              </w:r>
            </w:hyperlink>
          </w:p>
        </w:tc>
        <w:tc>
          <w:tcPr>
            <w:tcW w:w="0" w:type="auto"/>
            <w:gridSpan w:val="3"/>
            <w:tcMar>
              <w:top w:w="30" w:type="dxa"/>
              <w:left w:w="20" w:type="dxa"/>
              <w:bottom w:w="30" w:type="dxa"/>
              <w:right w:w="20" w:type="dxa"/>
            </w:tcMar>
            <w:hideMark/>
          </w:tcPr>
          <w:p w14:paraId="23CF99BE"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6E49CE02" w14:textId="77777777" w:rsidR="00000000" w:rsidRDefault="00C1661D">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(9/30/2</w:t>
            </w:r>
            <w:r>
              <w:rPr>
                <w:rFonts w:eastAsia="Times New Roman"/>
                <w:color w:val="000000"/>
                <w:sz w:val="20"/>
                <w:szCs w:val="20"/>
              </w:rPr>
              <w:t>0)</w:t>
            </w:r>
          </w:p>
        </w:tc>
        <w:tc>
          <w:tcPr>
            <w:tcW w:w="0" w:type="auto"/>
            <w:gridSpan w:val="3"/>
            <w:tcMar>
              <w:top w:w="30" w:type="dxa"/>
              <w:left w:w="20" w:type="dxa"/>
              <w:bottom w:w="30" w:type="dxa"/>
              <w:right w:w="20" w:type="dxa"/>
            </w:tcMar>
            <w:hideMark/>
          </w:tcPr>
          <w:p w14:paraId="20712794" w14:textId="77777777" w:rsidR="00000000" w:rsidRDefault="00C1661D">
            <w:pPr>
              <w:spacing w:after="100"/>
              <w:rPr>
                <w:rFonts w:eastAsia="Times New Roman"/>
              </w:rPr>
            </w:pPr>
            <w:r>
              <w:rPr>
                <w:rFonts w:eastAsia="Times New Roman"/>
                <w:color w:val="000000"/>
                <w:sz w:val="20"/>
                <w:szCs w:val="20"/>
              </w:rPr>
              <w:t>10.27</w:t>
            </w:r>
          </w:p>
        </w:tc>
      </w:tr>
      <w:tr w:rsidR="00000000" w14:paraId="2AE01E51" w14:textId="77777777">
        <w:trPr>
          <w:jc w:val="center"/>
        </w:trPr>
        <w:tc>
          <w:tcPr>
            <w:tcW w:w="0" w:type="auto"/>
            <w:gridSpan w:val="3"/>
            <w:tcMar>
              <w:top w:w="30" w:type="dxa"/>
              <w:left w:w="20" w:type="dxa"/>
              <w:bottom w:w="30" w:type="dxa"/>
              <w:right w:w="20" w:type="dxa"/>
            </w:tcMar>
            <w:hideMark/>
          </w:tcPr>
          <w:p w14:paraId="401534D5" w14:textId="77777777" w:rsidR="00000000" w:rsidRDefault="00C1661D">
            <w:pPr>
              <w:spacing w:after="100"/>
              <w:rPr>
                <w:rFonts w:eastAsia="Times New Roman"/>
              </w:rPr>
            </w:pPr>
            <w:r>
              <w:rPr>
                <w:rFonts w:eastAsia="Times New Roman"/>
                <w:color w:val="000000"/>
                <w:sz w:val="20"/>
                <w:szCs w:val="20"/>
              </w:rPr>
              <w:t>10.25**</w:t>
            </w:r>
          </w:p>
        </w:tc>
        <w:tc>
          <w:tcPr>
            <w:tcW w:w="0" w:type="auto"/>
            <w:gridSpan w:val="3"/>
            <w:tcMar>
              <w:top w:w="30" w:type="dxa"/>
              <w:left w:w="20" w:type="dxa"/>
              <w:bottom w:w="30" w:type="dxa"/>
              <w:right w:w="20" w:type="dxa"/>
            </w:tcMar>
            <w:hideMark/>
          </w:tcPr>
          <w:p w14:paraId="0898B0B7" w14:textId="77777777" w:rsidR="00000000" w:rsidRDefault="00C1661D">
            <w:pPr>
              <w:spacing w:after="100"/>
              <w:divId w:val="1460605624"/>
              <w:rPr>
                <w:rFonts w:eastAsia="Times New Roman"/>
              </w:rPr>
            </w:pPr>
            <w:hyperlink r:id="rId63" w:history="1">
              <w:r>
                <w:rPr>
                  <w:rStyle w:val="a3"/>
                  <w:rFonts w:eastAsia="Times New Roman"/>
                  <w:sz w:val="20"/>
                  <w:szCs w:val="20"/>
                </w:rPr>
                <w:t xml:space="preserve">Form of Change in Control Agreement between UGI Utilities, Inc. and Mr. Robert F. Beard. </w:t>
              </w:r>
            </w:hyperlink>
          </w:p>
        </w:tc>
        <w:tc>
          <w:tcPr>
            <w:tcW w:w="0" w:type="auto"/>
            <w:gridSpan w:val="3"/>
            <w:tcMar>
              <w:top w:w="30" w:type="dxa"/>
              <w:left w:w="20" w:type="dxa"/>
              <w:bottom w:w="30" w:type="dxa"/>
              <w:right w:w="20" w:type="dxa"/>
            </w:tcMar>
            <w:hideMark/>
          </w:tcPr>
          <w:p w14:paraId="64C00E15"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36E91EE9" w14:textId="77777777" w:rsidR="00000000" w:rsidRDefault="00C1661D">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(9/30/20)</w:t>
            </w:r>
          </w:p>
        </w:tc>
        <w:tc>
          <w:tcPr>
            <w:tcW w:w="0" w:type="auto"/>
            <w:gridSpan w:val="3"/>
            <w:tcMar>
              <w:top w:w="30" w:type="dxa"/>
              <w:left w:w="20" w:type="dxa"/>
              <w:bottom w:w="30" w:type="dxa"/>
              <w:right w:w="20" w:type="dxa"/>
            </w:tcMar>
            <w:hideMark/>
          </w:tcPr>
          <w:p w14:paraId="28539DF9" w14:textId="77777777" w:rsidR="00000000" w:rsidRDefault="00C1661D">
            <w:pPr>
              <w:spacing w:after="100"/>
              <w:rPr>
                <w:rFonts w:eastAsia="Times New Roman"/>
              </w:rPr>
            </w:pPr>
            <w:r>
              <w:rPr>
                <w:rFonts w:eastAsia="Times New Roman"/>
                <w:color w:val="000000"/>
                <w:sz w:val="20"/>
                <w:szCs w:val="20"/>
              </w:rPr>
              <w:t>10.28</w:t>
            </w:r>
          </w:p>
        </w:tc>
      </w:tr>
      <w:tr w:rsidR="00000000" w14:paraId="207BEFA0" w14:textId="77777777">
        <w:trPr>
          <w:jc w:val="center"/>
        </w:trPr>
        <w:tc>
          <w:tcPr>
            <w:tcW w:w="0" w:type="auto"/>
            <w:gridSpan w:val="3"/>
            <w:tcMar>
              <w:top w:w="30" w:type="dxa"/>
              <w:left w:w="20" w:type="dxa"/>
              <w:bottom w:w="30" w:type="dxa"/>
              <w:right w:w="20" w:type="dxa"/>
            </w:tcMar>
            <w:hideMark/>
          </w:tcPr>
          <w:p w14:paraId="72F7E07D" w14:textId="77777777" w:rsidR="00000000" w:rsidRDefault="00C1661D">
            <w:pPr>
              <w:spacing w:after="100"/>
              <w:rPr>
                <w:rFonts w:eastAsia="Times New Roman"/>
              </w:rPr>
            </w:pPr>
            <w:r>
              <w:rPr>
                <w:rFonts w:eastAsia="Times New Roman"/>
                <w:color w:val="000000"/>
                <w:sz w:val="20"/>
                <w:szCs w:val="20"/>
              </w:rPr>
              <w:t>10.26**</w:t>
            </w:r>
          </w:p>
        </w:tc>
        <w:tc>
          <w:tcPr>
            <w:tcW w:w="0" w:type="auto"/>
            <w:gridSpan w:val="3"/>
            <w:tcMar>
              <w:top w:w="30" w:type="dxa"/>
              <w:left w:w="20" w:type="dxa"/>
              <w:bottom w:w="30" w:type="dxa"/>
              <w:right w:w="20" w:type="dxa"/>
            </w:tcMar>
            <w:hideMark/>
          </w:tcPr>
          <w:p w14:paraId="2A6C1E29" w14:textId="77777777" w:rsidR="00000000" w:rsidRDefault="00C1661D">
            <w:pPr>
              <w:spacing w:after="100"/>
              <w:divId w:val="448478559"/>
              <w:rPr>
                <w:rFonts w:eastAsia="Times New Roman"/>
              </w:rPr>
            </w:pPr>
            <w:hyperlink r:id="rId64" w:history="1">
              <w:r>
                <w:rPr>
                  <w:rStyle w:val="a3"/>
                  <w:rFonts w:eastAsia="Times New Roman"/>
                  <w:sz w:val="20"/>
                  <w:szCs w:val="20"/>
                </w:rPr>
                <w:t>Form of Co</w:t>
              </w:r>
              <w:r>
                <w:rPr>
                  <w:rStyle w:val="a3"/>
                  <w:rFonts w:eastAsia="Times New Roman"/>
                  <w:sz w:val="20"/>
                  <w:szCs w:val="20"/>
                </w:rPr>
                <w:t xml:space="preserve">nfidentiality, Non-Competition and Non-Solicitation Agreement between UGI Corporation and Ms. Judy Zagorski. </w:t>
              </w:r>
            </w:hyperlink>
          </w:p>
        </w:tc>
        <w:tc>
          <w:tcPr>
            <w:tcW w:w="0" w:type="auto"/>
            <w:gridSpan w:val="3"/>
            <w:tcMar>
              <w:top w:w="30" w:type="dxa"/>
              <w:left w:w="20" w:type="dxa"/>
              <w:bottom w:w="30" w:type="dxa"/>
              <w:right w:w="20" w:type="dxa"/>
            </w:tcMar>
            <w:hideMark/>
          </w:tcPr>
          <w:p w14:paraId="10CDE363"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4599144C" w14:textId="77777777" w:rsidR="00000000" w:rsidRDefault="00C1661D">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(9/30/21)</w:t>
            </w:r>
          </w:p>
        </w:tc>
        <w:tc>
          <w:tcPr>
            <w:tcW w:w="0" w:type="auto"/>
            <w:gridSpan w:val="3"/>
            <w:tcMar>
              <w:top w:w="30" w:type="dxa"/>
              <w:left w:w="20" w:type="dxa"/>
              <w:bottom w:w="30" w:type="dxa"/>
              <w:right w:w="20" w:type="dxa"/>
            </w:tcMar>
            <w:hideMark/>
          </w:tcPr>
          <w:p w14:paraId="1CAC7E74" w14:textId="77777777" w:rsidR="00000000" w:rsidRDefault="00C1661D">
            <w:pPr>
              <w:spacing w:after="100"/>
              <w:rPr>
                <w:rFonts w:eastAsia="Times New Roman"/>
              </w:rPr>
            </w:pPr>
            <w:r>
              <w:rPr>
                <w:rFonts w:eastAsia="Times New Roman"/>
                <w:color w:val="000000"/>
                <w:sz w:val="20"/>
                <w:szCs w:val="20"/>
              </w:rPr>
              <w:t>10.31</w:t>
            </w:r>
          </w:p>
        </w:tc>
      </w:tr>
      <w:tr w:rsidR="00000000" w14:paraId="5A1643FD" w14:textId="77777777">
        <w:trPr>
          <w:jc w:val="center"/>
        </w:trPr>
        <w:tc>
          <w:tcPr>
            <w:tcW w:w="0" w:type="auto"/>
            <w:gridSpan w:val="3"/>
            <w:tcMar>
              <w:top w:w="30" w:type="dxa"/>
              <w:left w:w="20" w:type="dxa"/>
              <w:bottom w:w="30" w:type="dxa"/>
              <w:right w:w="20" w:type="dxa"/>
            </w:tcMar>
            <w:hideMark/>
          </w:tcPr>
          <w:p w14:paraId="4DA48B8A" w14:textId="77777777" w:rsidR="00000000" w:rsidRDefault="00C1661D">
            <w:pPr>
              <w:spacing w:after="100"/>
              <w:rPr>
                <w:rFonts w:eastAsia="Times New Roman"/>
              </w:rPr>
            </w:pPr>
            <w:r>
              <w:rPr>
                <w:rFonts w:eastAsia="Times New Roman"/>
                <w:color w:val="000000"/>
                <w:sz w:val="20"/>
                <w:szCs w:val="20"/>
              </w:rPr>
              <w:t>10.27**</w:t>
            </w:r>
          </w:p>
        </w:tc>
        <w:tc>
          <w:tcPr>
            <w:tcW w:w="0" w:type="auto"/>
            <w:gridSpan w:val="3"/>
            <w:tcMar>
              <w:top w:w="30" w:type="dxa"/>
              <w:left w:w="20" w:type="dxa"/>
              <w:bottom w:w="30" w:type="dxa"/>
              <w:right w:w="20" w:type="dxa"/>
            </w:tcMar>
            <w:hideMark/>
          </w:tcPr>
          <w:p w14:paraId="3C8A12BC" w14:textId="77777777" w:rsidR="00000000" w:rsidRDefault="00C1661D">
            <w:pPr>
              <w:spacing w:after="100"/>
              <w:divId w:val="1987513913"/>
              <w:rPr>
                <w:rFonts w:eastAsia="Times New Roman"/>
              </w:rPr>
            </w:pPr>
            <w:hyperlink r:id="rId65" w:history="1">
              <w:r>
                <w:rPr>
                  <w:rStyle w:val="a3"/>
                  <w:rFonts w:eastAsia="Times New Roman"/>
                  <w:sz w:val="20"/>
                  <w:szCs w:val="20"/>
                </w:rPr>
                <w:t>Form of Change in Control Agreement between UGI Corporation and Messrs. Perreault and Jastrzebski and Mses. Gaudiosi and Zagorski.</w:t>
              </w:r>
            </w:hyperlink>
          </w:p>
        </w:tc>
        <w:tc>
          <w:tcPr>
            <w:tcW w:w="0" w:type="auto"/>
            <w:gridSpan w:val="3"/>
            <w:tcMar>
              <w:top w:w="30" w:type="dxa"/>
              <w:left w:w="20" w:type="dxa"/>
              <w:bottom w:w="30" w:type="dxa"/>
              <w:right w:w="20" w:type="dxa"/>
            </w:tcMar>
            <w:hideMark/>
          </w:tcPr>
          <w:p w14:paraId="17FD9BD4"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774FCC35" w14:textId="77777777" w:rsidR="00000000" w:rsidRDefault="00C1661D">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w:t>
            </w:r>
            <w:r>
              <w:rPr>
                <w:rFonts w:eastAsia="Times New Roman"/>
                <w:color w:val="000000"/>
                <w:sz w:val="20"/>
                <w:szCs w:val="20"/>
              </w:rPr>
              <w:t>30/21)</w:t>
            </w:r>
          </w:p>
        </w:tc>
        <w:tc>
          <w:tcPr>
            <w:tcW w:w="0" w:type="auto"/>
            <w:gridSpan w:val="3"/>
            <w:tcMar>
              <w:top w:w="30" w:type="dxa"/>
              <w:left w:w="20" w:type="dxa"/>
              <w:bottom w:w="30" w:type="dxa"/>
              <w:right w:w="20" w:type="dxa"/>
            </w:tcMar>
            <w:hideMark/>
          </w:tcPr>
          <w:p w14:paraId="4B5A164C" w14:textId="77777777" w:rsidR="00000000" w:rsidRDefault="00C1661D">
            <w:pPr>
              <w:spacing w:after="100"/>
              <w:rPr>
                <w:rFonts w:eastAsia="Times New Roman"/>
              </w:rPr>
            </w:pPr>
            <w:r>
              <w:rPr>
                <w:rFonts w:eastAsia="Times New Roman"/>
                <w:color w:val="000000"/>
                <w:sz w:val="20"/>
                <w:szCs w:val="20"/>
              </w:rPr>
              <w:t>10.32</w:t>
            </w:r>
          </w:p>
        </w:tc>
      </w:tr>
      <w:tr w:rsidR="00000000" w14:paraId="5E48D816" w14:textId="77777777">
        <w:trPr>
          <w:jc w:val="center"/>
        </w:trPr>
        <w:tc>
          <w:tcPr>
            <w:tcW w:w="0" w:type="auto"/>
            <w:gridSpan w:val="3"/>
            <w:tcMar>
              <w:top w:w="30" w:type="dxa"/>
              <w:left w:w="20" w:type="dxa"/>
              <w:bottom w:w="30" w:type="dxa"/>
              <w:right w:w="20" w:type="dxa"/>
            </w:tcMar>
            <w:hideMark/>
          </w:tcPr>
          <w:p w14:paraId="233B2DB5" w14:textId="77777777" w:rsidR="00000000" w:rsidRDefault="00C1661D">
            <w:pPr>
              <w:spacing w:after="100"/>
              <w:rPr>
                <w:rFonts w:eastAsia="Times New Roman"/>
              </w:rPr>
            </w:pPr>
            <w:r>
              <w:rPr>
                <w:rFonts w:eastAsia="Times New Roman"/>
                <w:color w:val="000000"/>
                <w:sz w:val="20"/>
                <w:szCs w:val="20"/>
              </w:rPr>
              <w:t>10.28</w:t>
            </w:r>
          </w:p>
        </w:tc>
        <w:tc>
          <w:tcPr>
            <w:tcW w:w="0" w:type="auto"/>
            <w:gridSpan w:val="3"/>
            <w:tcMar>
              <w:top w:w="30" w:type="dxa"/>
              <w:left w:w="20" w:type="dxa"/>
              <w:bottom w:w="30" w:type="dxa"/>
              <w:right w:w="20" w:type="dxa"/>
            </w:tcMar>
            <w:hideMark/>
          </w:tcPr>
          <w:p w14:paraId="305548B4" w14:textId="77777777" w:rsidR="00000000" w:rsidRDefault="00C1661D">
            <w:pPr>
              <w:spacing w:after="100"/>
              <w:divId w:val="960037495"/>
              <w:rPr>
                <w:rFonts w:eastAsia="Times New Roman"/>
              </w:rPr>
            </w:pPr>
            <w:hyperlink r:id="rId66" w:history="1">
              <w:r>
                <w:rPr>
                  <w:rStyle w:val="a3"/>
                  <w:rFonts w:eastAsia="Times New Roman"/>
                  <w:sz w:val="20"/>
                  <w:szCs w:val="20"/>
                </w:rPr>
                <w:t>Trademark License Agreement dated April 19, 1995 among UGI Corporation, AmeriGas, Inc., AmeriGas Propane, Inc., AmeriGas Partners, L.P. and AmeriGas Propane, L.P.</w:t>
              </w:r>
            </w:hyperlink>
          </w:p>
        </w:tc>
        <w:tc>
          <w:tcPr>
            <w:tcW w:w="0" w:type="auto"/>
            <w:gridSpan w:val="3"/>
            <w:tcMar>
              <w:top w:w="30" w:type="dxa"/>
              <w:left w:w="20" w:type="dxa"/>
              <w:bottom w:w="30" w:type="dxa"/>
              <w:right w:w="20" w:type="dxa"/>
            </w:tcMar>
            <w:hideMark/>
          </w:tcPr>
          <w:p w14:paraId="52D2F3F6"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01E604A7" w14:textId="77777777" w:rsidR="00000000" w:rsidRDefault="00C1661D">
            <w:pPr>
              <w:spacing w:after="100"/>
              <w:jc w:val="center"/>
              <w:rPr>
                <w:rFonts w:eastAsia="Times New Roman"/>
              </w:rPr>
            </w:pPr>
            <w:r>
              <w:rPr>
                <w:rFonts w:eastAsia="Times New Roman"/>
                <w:color w:val="000000"/>
                <w:sz w:val="20"/>
                <w:szCs w:val="20"/>
              </w:rPr>
              <w:t>Form 10-K (9/30/10)</w:t>
            </w:r>
          </w:p>
        </w:tc>
        <w:tc>
          <w:tcPr>
            <w:tcW w:w="0" w:type="auto"/>
            <w:gridSpan w:val="3"/>
            <w:tcMar>
              <w:top w:w="30" w:type="dxa"/>
              <w:left w:w="20" w:type="dxa"/>
              <w:bottom w:w="30" w:type="dxa"/>
              <w:right w:w="20" w:type="dxa"/>
            </w:tcMar>
            <w:hideMark/>
          </w:tcPr>
          <w:p w14:paraId="704D3DCD" w14:textId="77777777" w:rsidR="00000000" w:rsidRDefault="00C1661D">
            <w:pPr>
              <w:spacing w:after="100"/>
              <w:rPr>
                <w:rFonts w:eastAsia="Times New Roman"/>
              </w:rPr>
            </w:pPr>
            <w:r>
              <w:rPr>
                <w:rFonts w:eastAsia="Times New Roman"/>
                <w:color w:val="000000"/>
                <w:sz w:val="20"/>
                <w:szCs w:val="20"/>
              </w:rPr>
              <w:t>10.37</w:t>
            </w:r>
          </w:p>
        </w:tc>
      </w:tr>
      <w:tr w:rsidR="00000000" w14:paraId="7B70CAA5" w14:textId="77777777">
        <w:trPr>
          <w:jc w:val="center"/>
        </w:trPr>
        <w:tc>
          <w:tcPr>
            <w:tcW w:w="0" w:type="auto"/>
            <w:gridSpan w:val="3"/>
            <w:tcMar>
              <w:top w:w="30" w:type="dxa"/>
              <w:left w:w="20" w:type="dxa"/>
              <w:bottom w:w="30" w:type="dxa"/>
              <w:right w:w="20" w:type="dxa"/>
            </w:tcMar>
            <w:hideMark/>
          </w:tcPr>
          <w:p w14:paraId="2B96A314" w14:textId="77777777" w:rsidR="00000000" w:rsidRDefault="00C1661D">
            <w:pPr>
              <w:spacing w:after="100"/>
              <w:rPr>
                <w:rFonts w:eastAsia="Times New Roman"/>
              </w:rPr>
            </w:pPr>
            <w:r>
              <w:rPr>
                <w:rFonts w:eastAsia="Times New Roman"/>
                <w:color w:val="000000"/>
                <w:sz w:val="20"/>
                <w:szCs w:val="20"/>
              </w:rPr>
              <w:t>10.29</w:t>
            </w:r>
          </w:p>
        </w:tc>
        <w:tc>
          <w:tcPr>
            <w:tcW w:w="0" w:type="auto"/>
            <w:gridSpan w:val="3"/>
            <w:tcMar>
              <w:top w:w="30" w:type="dxa"/>
              <w:left w:w="20" w:type="dxa"/>
              <w:bottom w:w="30" w:type="dxa"/>
              <w:right w:w="20" w:type="dxa"/>
            </w:tcMar>
            <w:hideMark/>
          </w:tcPr>
          <w:p w14:paraId="4CFAFCFF" w14:textId="77777777" w:rsidR="00000000" w:rsidRDefault="00C1661D">
            <w:pPr>
              <w:spacing w:after="100"/>
              <w:divId w:val="707679473"/>
              <w:rPr>
                <w:rFonts w:eastAsia="Times New Roman"/>
              </w:rPr>
            </w:pPr>
            <w:hyperlink r:id="rId67" w:history="1">
              <w:r>
                <w:rPr>
                  <w:rStyle w:val="a3"/>
                  <w:rFonts w:eastAsia="Times New Roman"/>
                  <w:sz w:val="20"/>
                  <w:szCs w:val="20"/>
                </w:rPr>
                <w:t>First Amendment, dated as of November 18, 2015, to Trademark License Agreement, dated April 19, 1995, by and among UGI Corporation, AmeriGas, Inc., AmeriGas Propane, Inc., AmeriGas Partners, L.P., and AmeriGas Propane, L.P.</w:t>
              </w:r>
            </w:hyperlink>
          </w:p>
        </w:tc>
        <w:tc>
          <w:tcPr>
            <w:tcW w:w="0" w:type="auto"/>
            <w:gridSpan w:val="3"/>
            <w:tcMar>
              <w:top w:w="30" w:type="dxa"/>
              <w:left w:w="20" w:type="dxa"/>
              <w:bottom w:w="30" w:type="dxa"/>
              <w:right w:w="20" w:type="dxa"/>
            </w:tcMar>
            <w:hideMark/>
          </w:tcPr>
          <w:p w14:paraId="53C8AE75" w14:textId="77777777" w:rsidR="00000000" w:rsidRDefault="00C1661D">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14:paraId="54D9A6F4" w14:textId="77777777" w:rsidR="00000000" w:rsidRDefault="00C1661D">
            <w:pPr>
              <w:spacing w:after="100"/>
              <w:jc w:val="center"/>
              <w:rPr>
                <w:rFonts w:eastAsia="Times New Roman"/>
              </w:rPr>
            </w:pPr>
            <w:r>
              <w:rPr>
                <w:rFonts w:eastAsia="Times New Roman"/>
                <w:color w:val="000000"/>
                <w:sz w:val="20"/>
                <w:szCs w:val="20"/>
              </w:rPr>
              <w:t>Form</w:t>
            </w:r>
            <w:r>
              <w:rPr>
                <w:rFonts w:eastAsia="Times New Roman"/>
                <w:color w:val="000000"/>
                <w:sz w:val="20"/>
                <w:szCs w:val="20"/>
              </w:rPr>
              <w:t xml:space="preserve"> 10-K</w:t>
            </w:r>
            <w:r>
              <w:rPr>
                <w:rFonts w:eastAsia="Times New Roman"/>
                <w:color w:val="000000"/>
                <w:sz w:val="20"/>
                <w:szCs w:val="20"/>
              </w:rPr>
              <w:br/>
              <w:t>(9/30/15)</w:t>
            </w:r>
          </w:p>
        </w:tc>
        <w:tc>
          <w:tcPr>
            <w:tcW w:w="0" w:type="auto"/>
            <w:gridSpan w:val="3"/>
            <w:tcMar>
              <w:top w:w="30" w:type="dxa"/>
              <w:left w:w="20" w:type="dxa"/>
              <w:bottom w:w="30" w:type="dxa"/>
              <w:right w:w="20" w:type="dxa"/>
            </w:tcMar>
            <w:hideMark/>
          </w:tcPr>
          <w:p w14:paraId="3CE6C06C" w14:textId="77777777" w:rsidR="00000000" w:rsidRDefault="00C1661D">
            <w:pPr>
              <w:spacing w:after="100"/>
              <w:rPr>
                <w:rFonts w:eastAsia="Times New Roman"/>
              </w:rPr>
            </w:pPr>
            <w:r>
              <w:rPr>
                <w:rFonts w:eastAsia="Times New Roman"/>
                <w:color w:val="000000"/>
                <w:sz w:val="20"/>
                <w:szCs w:val="20"/>
              </w:rPr>
              <w:t>10.40</w:t>
            </w:r>
          </w:p>
        </w:tc>
      </w:tr>
      <w:tr w:rsidR="00000000" w14:paraId="73F6897E" w14:textId="77777777">
        <w:trPr>
          <w:jc w:val="center"/>
        </w:trPr>
        <w:tc>
          <w:tcPr>
            <w:tcW w:w="0" w:type="auto"/>
            <w:gridSpan w:val="3"/>
            <w:tcMar>
              <w:top w:w="30" w:type="dxa"/>
              <w:left w:w="20" w:type="dxa"/>
              <w:bottom w:w="30" w:type="dxa"/>
              <w:right w:w="20" w:type="dxa"/>
            </w:tcMar>
            <w:hideMark/>
          </w:tcPr>
          <w:p w14:paraId="311B0CDC" w14:textId="77777777" w:rsidR="00000000" w:rsidRDefault="00C1661D">
            <w:pPr>
              <w:spacing w:after="100"/>
              <w:rPr>
                <w:rFonts w:eastAsia="Times New Roman"/>
              </w:rPr>
            </w:pPr>
            <w:r>
              <w:rPr>
                <w:rFonts w:eastAsia="Times New Roman"/>
                <w:color w:val="000000"/>
                <w:sz w:val="20"/>
                <w:szCs w:val="20"/>
              </w:rPr>
              <w:t>10.30</w:t>
            </w:r>
          </w:p>
        </w:tc>
        <w:tc>
          <w:tcPr>
            <w:tcW w:w="0" w:type="auto"/>
            <w:gridSpan w:val="3"/>
            <w:tcMar>
              <w:top w:w="30" w:type="dxa"/>
              <w:left w:w="20" w:type="dxa"/>
              <w:bottom w:w="30" w:type="dxa"/>
              <w:right w:w="20" w:type="dxa"/>
            </w:tcMar>
            <w:hideMark/>
          </w:tcPr>
          <w:p w14:paraId="75C92391" w14:textId="77777777" w:rsidR="00000000" w:rsidRDefault="00C1661D">
            <w:pPr>
              <w:spacing w:after="100"/>
              <w:divId w:val="1258557925"/>
              <w:rPr>
                <w:rFonts w:eastAsia="Times New Roman"/>
              </w:rPr>
            </w:pPr>
            <w:hyperlink r:id="rId68" w:history="1">
              <w:r>
                <w:rPr>
                  <w:rStyle w:val="a3"/>
                  <w:rFonts w:eastAsia="Times New Roman"/>
                  <w:sz w:val="20"/>
                  <w:szCs w:val="20"/>
                </w:rPr>
                <w:t>Trademark License Agreement, dated April 19, 1995 among AmeriGas Propane, Inc., AmeriGas Partners, L.P. and AmeriGas Propane, L.P.</w:t>
              </w:r>
            </w:hyperlink>
          </w:p>
        </w:tc>
        <w:tc>
          <w:tcPr>
            <w:tcW w:w="0" w:type="auto"/>
            <w:gridSpan w:val="3"/>
            <w:tcMar>
              <w:top w:w="30" w:type="dxa"/>
              <w:left w:w="20" w:type="dxa"/>
              <w:bottom w:w="30" w:type="dxa"/>
              <w:right w:w="20" w:type="dxa"/>
            </w:tcMar>
            <w:hideMark/>
          </w:tcPr>
          <w:p w14:paraId="4066751A" w14:textId="77777777" w:rsidR="00000000" w:rsidRDefault="00C1661D">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14:paraId="35A73100" w14:textId="77777777" w:rsidR="00000000" w:rsidRDefault="00C1661D">
            <w:pPr>
              <w:spacing w:after="100"/>
              <w:jc w:val="center"/>
              <w:rPr>
                <w:rFonts w:eastAsia="Times New Roman"/>
              </w:rPr>
            </w:pPr>
            <w:r>
              <w:rPr>
                <w:rFonts w:eastAsia="Times New Roman"/>
                <w:color w:val="000000"/>
                <w:sz w:val="20"/>
                <w:szCs w:val="20"/>
              </w:rPr>
              <w:t>Form 10-Q (12/31/10)</w:t>
            </w:r>
          </w:p>
        </w:tc>
        <w:tc>
          <w:tcPr>
            <w:tcW w:w="0" w:type="auto"/>
            <w:gridSpan w:val="3"/>
            <w:tcMar>
              <w:top w:w="30" w:type="dxa"/>
              <w:left w:w="20" w:type="dxa"/>
              <w:bottom w:w="30" w:type="dxa"/>
              <w:right w:w="20" w:type="dxa"/>
            </w:tcMar>
            <w:hideMark/>
          </w:tcPr>
          <w:p w14:paraId="6A0F9C92" w14:textId="77777777" w:rsidR="00000000" w:rsidRDefault="00C1661D">
            <w:pPr>
              <w:spacing w:after="100"/>
              <w:rPr>
                <w:rFonts w:eastAsia="Times New Roman"/>
              </w:rPr>
            </w:pPr>
            <w:r>
              <w:rPr>
                <w:rFonts w:eastAsia="Times New Roman"/>
                <w:color w:val="000000"/>
                <w:sz w:val="20"/>
                <w:szCs w:val="20"/>
              </w:rPr>
              <w:t>10.1</w:t>
            </w:r>
          </w:p>
        </w:tc>
      </w:tr>
      <w:tr w:rsidR="00000000" w14:paraId="6D5E7F5B" w14:textId="77777777">
        <w:trPr>
          <w:jc w:val="center"/>
        </w:trPr>
        <w:tc>
          <w:tcPr>
            <w:tcW w:w="0" w:type="auto"/>
            <w:gridSpan w:val="3"/>
            <w:tcMar>
              <w:top w:w="30" w:type="dxa"/>
              <w:left w:w="20" w:type="dxa"/>
              <w:bottom w:w="30" w:type="dxa"/>
              <w:right w:w="20" w:type="dxa"/>
            </w:tcMar>
            <w:hideMark/>
          </w:tcPr>
          <w:p w14:paraId="54059BA9" w14:textId="77777777" w:rsidR="00000000" w:rsidRDefault="00C1661D">
            <w:pPr>
              <w:spacing w:after="100"/>
              <w:rPr>
                <w:rFonts w:eastAsia="Times New Roman"/>
              </w:rPr>
            </w:pPr>
            <w:r>
              <w:rPr>
                <w:rFonts w:eastAsia="Times New Roman"/>
                <w:color w:val="000000"/>
                <w:sz w:val="20"/>
                <w:szCs w:val="20"/>
              </w:rPr>
              <w:t>10.31</w:t>
            </w:r>
          </w:p>
        </w:tc>
        <w:tc>
          <w:tcPr>
            <w:tcW w:w="0" w:type="auto"/>
            <w:gridSpan w:val="3"/>
            <w:tcMar>
              <w:top w:w="30" w:type="dxa"/>
              <w:left w:w="20" w:type="dxa"/>
              <w:bottom w:w="30" w:type="dxa"/>
              <w:right w:w="20" w:type="dxa"/>
            </w:tcMar>
            <w:hideMark/>
          </w:tcPr>
          <w:p w14:paraId="76318A04" w14:textId="77777777" w:rsidR="00000000" w:rsidRDefault="00C1661D">
            <w:pPr>
              <w:spacing w:after="100"/>
              <w:divId w:val="68160208"/>
              <w:rPr>
                <w:rFonts w:eastAsia="Times New Roman"/>
              </w:rPr>
            </w:pPr>
            <w:hyperlink r:id="rId69" w:history="1">
              <w:r>
                <w:rPr>
                  <w:rStyle w:val="a3"/>
                  <w:rFonts w:eastAsia="Times New Roman"/>
                  <w:sz w:val="20"/>
                  <w:szCs w:val="20"/>
                </w:rPr>
                <w:t>Form of Receivables Purchase Agreement, dated as of November 30, 2001, as amended through and including Amendment No. 18 thereto dated October 27, 2017, by and among UGI Energy Services, LLC, as servicer,</w:t>
              </w:r>
              <w:r>
                <w:rPr>
                  <w:rStyle w:val="a3"/>
                  <w:rFonts w:eastAsia="Times New Roman"/>
                  <w:sz w:val="20"/>
                  <w:szCs w:val="20"/>
                </w:rPr>
                <w:t xml:space="preserve">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14:paraId="6588C3AC"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4AC78004" w14:textId="77777777" w:rsidR="00000000" w:rsidRDefault="00C1661D">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(9/30/17)</w:t>
            </w:r>
          </w:p>
        </w:tc>
        <w:tc>
          <w:tcPr>
            <w:tcW w:w="0" w:type="auto"/>
            <w:gridSpan w:val="3"/>
            <w:tcMar>
              <w:top w:w="30" w:type="dxa"/>
              <w:left w:w="20" w:type="dxa"/>
              <w:bottom w:w="30" w:type="dxa"/>
              <w:right w:w="20" w:type="dxa"/>
            </w:tcMar>
            <w:hideMark/>
          </w:tcPr>
          <w:p w14:paraId="6286EDD2" w14:textId="77777777" w:rsidR="00000000" w:rsidRDefault="00C1661D">
            <w:pPr>
              <w:spacing w:after="100"/>
              <w:rPr>
                <w:rFonts w:eastAsia="Times New Roman"/>
              </w:rPr>
            </w:pPr>
            <w:r>
              <w:rPr>
                <w:rFonts w:eastAsia="Times New Roman"/>
                <w:color w:val="000000"/>
                <w:sz w:val="20"/>
                <w:szCs w:val="20"/>
              </w:rPr>
              <w:t>10.38</w:t>
            </w:r>
          </w:p>
        </w:tc>
      </w:tr>
    </w:tbl>
    <w:p w14:paraId="5D48BFBE" w14:textId="77777777" w:rsidR="00000000" w:rsidRDefault="00C1661D">
      <w:pPr>
        <w:jc w:val="center"/>
        <w:divId w:val="266273221"/>
        <w:rPr>
          <w:rFonts w:eastAsia="Times New Roman"/>
        </w:rPr>
      </w:pPr>
      <w:r>
        <w:rPr>
          <w:rFonts w:eastAsia="Times New Roman"/>
          <w:color w:val="000000"/>
          <w:sz w:val="20"/>
          <w:szCs w:val="20"/>
        </w:rPr>
        <w:t>79</w:t>
      </w:r>
    </w:p>
    <w:p w14:paraId="4AF0B543" w14:textId="77777777" w:rsidR="00000000" w:rsidRDefault="00C1661D">
      <w:pPr>
        <w:rPr>
          <w:rFonts w:eastAsia="Times New Roman"/>
        </w:rPr>
      </w:pPr>
      <w:r>
        <w:rPr>
          <w:rFonts w:eastAsia="Times New Roman"/>
        </w:rPr>
        <w:pict w14:anchorId="5BD24A1D">
          <v:rect id="_x0000_i1106" style="width:0;height:1.5pt" o:hralign="center" o:hrstd="t" o:hr="t" fillcolor="#a0a0a0" stroked="f"/>
        </w:pict>
      </w:r>
    </w:p>
    <w:p w14:paraId="0F66B1FF" w14:textId="77777777" w:rsidR="00000000" w:rsidRDefault="00C1661D">
      <w:pPr>
        <w:divId w:val="677661764"/>
        <w:rPr>
          <w:rFonts w:eastAsia="Times New Roman"/>
        </w:rPr>
      </w:pPr>
      <w:hyperlink w:anchor="i3850c3c6c0104e42b9951aac2f16098a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7"/>
        <w:gridCol w:w="55"/>
        <w:gridCol w:w="1693"/>
        <w:gridCol w:w="36"/>
        <w:gridCol w:w="56"/>
        <w:gridCol w:w="551"/>
        <w:gridCol w:w="38"/>
        <w:gridCol w:w="56"/>
        <w:gridCol w:w="551"/>
        <w:gridCol w:w="36"/>
        <w:gridCol w:w="57"/>
        <w:gridCol w:w="696"/>
        <w:gridCol w:w="36"/>
      </w:tblGrid>
      <w:tr w:rsidR="00000000" w14:paraId="4E835BD2" w14:textId="77777777">
        <w:trPr>
          <w:jc w:val="center"/>
        </w:trPr>
        <w:tc>
          <w:tcPr>
            <w:tcW w:w="50" w:type="pct"/>
            <w:vAlign w:val="center"/>
            <w:hideMark/>
          </w:tcPr>
          <w:p w14:paraId="71C73144" w14:textId="77777777" w:rsidR="00000000" w:rsidRDefault="00C1661D">
            <w:pPr>
              <w:rPr>
                <w:rFonts w:eastAsia="Times New Roman"/>
              </w:rPr>
            </w:pPr>
          </w:p>
        </w:tc>
        <w:tc>
          <w:tcPr>
            <w:tcW w:w="729" w:type="pct"/>
            <w:vAlign w:val="center"/>
            <w:hideMark/>
          </w:tcPr>
          <w:p w14:paraId="01B9EF4C" w14:textId="77777777" w:rsidR="00000000" w:rsidRDefault="00C1661D">
            <w:pPr>
              <w:spacing w:after="100"/>
              <w:rPr>
                <w:rFonts w:eastAsia="Times New Roman"/>
                <w:sz w:val="20"/>
                <w:szCs w:val="20"/>
              </w:rPr>
            </w:pPr>
          </w:p>
        </w:tc>
        <w:tc>
          <w:tcPr>
            <w:tcW w:w="5" w:type="pct"/>
            <w:vAlign w:val="center"/>
            <w:hideMark/>
          </w:tcPr>
          <w:p w14:paraId="551DF82C" w14:textId="77777777" w:rsidR="00000000" w:rsidRDefault="00C1661D">
            <w:pPr>
              <w:spacing w:after="100"/>
              <w:rPr>
                <w:rFonts w:eastAsia="Times New Roman"/>
                <w:sz w:val="20"/>
                <w:szCs w:val="20"/>
              </w:rPr>
            </w:pPr>
          </w:p>
        </w:tc>
        <w:tc>
          <w:tcPr>
            <w:tcW w:w="50" w:type="pct"/>
            <w:vAlign w:val="center"/>
            <w:hideMark/>
          </w:tcPr>
          <w:p w14:paraId="79C6875A" w14:textId="77777777" w:rsidR="00000000" w:rsidRDefault="00C1661D">
            <w:pPr>
              <w:spacing w:after="100"/>
              <w:rPr>
                <w:rFonts w:eastAsia="Times New Roman"/>
                <w:sz w:val="20"/>
                <w:szCs w:val="20"/>
              </w:rPr>
            </w:pPr>
          </w:p>
        </w:tc>
        <w:tc>
          <w:tcPr>
            <w:tcW w:w="1419" w:type="pct"/>
            <w:vAlign w:val="center"/>
            <w:hideMark/>
          </w:tcPr>
          <w:p w14:paraId="50437098" w14:textId="77777777" w:rsidR="00000000" w:rsidRDefault="00C1661D">
            <w:pPr>
              <w:spacing w:after="100"/>
              <w:rPr>
                <w:rFonts w:eastAsia="Times New Roman"/>
                <w:sz w:val="20"/>
                <w:szCs w:val="20"/>
              </w:rPr>
            </w:pPr>
          </w:p>
        </w:tc>
        <w:tc>
          <w:tcPr>
            <w:tcW w:w="5" w:type="pct"/>
            <w:vAlign w:val="center"/>
            <w:hideMark/>
          </w:tcPr>
          <w:p w14:paraId="46435C72" w14:textId="77777777" w:rsidR="00000000" w:rsidRDefault="00C1661D">
            <w:pPr>
              <w:spacing w:after="100"/>
              <w:rPr>
                <w:rFonts w:eastAsia="Times New Roman"/>
                <w:sz w:val="20"/>
                <w:szCs w:val="20"/>
              </w:rPr>
            </w:pPr>
          </w:p>
        </w:tc>
        <w:tc>
          <w:tcPr>
            <w:tcW w:w="50" w:type="pct"/>
            <w:vAlign w:val="center"/>
            <w:hideMark/>
          </w:tcPr>
          <w:p w14:paraId="213E6A77" w14:textId="77777777" w:rsidR="00000000" w:rsidRDefault="00C1661D">
            <w:pPr>
              <w:spacing w:after="100"/>
              <w:rPr>
                <w:rFonts w:eastAsia="Times New Roman"/>
                <w:sz w:val="20"/>
                <w:szCs w:val="20"/>
              </w:rPr>
            </w:pPr>
          </w:p>
        </w:tc>
        <w:tc>
          <w:tcPr>
            <w:tcW w:w="1212" w:type="pct"/>
            <w:vAlign w:val="center"/>
            <w:hideMark/>
          </w:tcPr>
          <w:p w14:paraId="72872407" w14:textId="77777777" w:rsidR="00000000" w:rsidRDefault="00C1661D">
            <w:pPr>
              <w:spacing w:after="100"/>
              <w:rPr>
                <w:rFonts w:eastAsia="Times New Roman"/>
                <w:sz w:val="20"/>
                <w:szCs w:val="20"/>
              </w:rPr>
            </w:pPr>
          </w:p>
        </w:tc>
        <w:tc>
          <w:tcPr>
            <w:tcW w:w="5" w:type="pct"/>
            <w:vAlign w:val="center"/>
            <w:hideMark/>
          </w:tcPr>
          <w:p w14:paraId="457E27B7" w14:textId="77777777" w:rsidR="00000000" w:rsidRDefault="00C1661D">
            <w:pPr>
              <w:spacing w:after="100"/>
              <w:rPr>
                <w:rFonts w:eastAsia="Times New Roman"/>
                <w:sz w:val="20"/>
                <w:szCs w:val="20"/>
              </w:rPr>
            </w:pPr>
          </w:p>
        </w:tc>
        <w:tc>
          <w:tcPr>
            <w:tcW w:w="50" w:type="pct"/>
            <w:vAlign w:val="center"/>
            <w:hideMark/>
          </w:tcPr>
          <w:p w14:paraId="13C66509" w14:textId="77777777" w:rsidR="00000000" w:rsidRDefault="00C1661D">
            <w:pPr>
              <w:spacing w:after="100"/>
              <w:rPr>
                <w:rFonts w:eastAsia="Times New Roman"/>
                <w:sz w:val="20"/>
                <w:szCs w:val="20"/>
              </w:rPr>
            </w:pPr>
          </w:p>
        </w:tc>
        <w:tc>
          <w:tcPr>
            <w:tcW w:w="401" w:type="pct"/>
            <w:vAlign w:val="center"/>
            <w:hideMark/>
          </w:tcPr>
          <w:p w14:paraId="3D1EBDAC" w14:textId="77777777" w:rsidR="00000000" w:rsidRDefault="00C1661D">
            <w:pPr>
              <w:spacing w:after="100"/>
              <w:rPr>
                <w:rFonts w:eastAsia="Times New Roman"/>
                <w:sz w:val="20"/>
                <w:szCs w:val="20"/>
              </w:rPr>
            </w:pPr>
          </w:p>
        </w:tc>
        <w:tc>
          <w:tcPr>
            <w:tcW w:w="5" w:type="pct"/>
            <w:vAlign w:val="center"/>
            <w:hideMark/>
          </w:tcPr>
          <w:p w14:paraId="5F5F3A30" w14:textId="77777777" w:rsidR="00000000" w:rsidRDefault="00C1661D">
            <w:pPr>
              <w:spacing w:after="100"/>
              <w:rPr>
                <w:rFonts w:eastAsia="Times New Roman"/>
                <w:sz w:val="20"/>
                <w:szCs w:val="20"/>
              </w:rPr>
            </w:pPr>
          </w:p>
        </w:tc>
        <w:tc>
          <w:tcPr>
            <w:tcW w:w="50" w:type="pct"/>
            <w:vAlign w:val="center"/>
            <w:hideMark/>
          </w:tcPr>
          <w:p w14:paraId="634820F2" w14:textId="77777777" w:rsidR="00000000" w:rsidRDefault="00C1661D">
            <w:pPr>
              <w:spacing w:after="100"/>
              <w:rPr>
                <w:rFonts w:eastAsia="Times New Roman"/>
                <w:sz w:val="20"/>
                <w:szCs w:val="20"/>
              </w:rPr>
            </w:pPr>
          </w:p>
        </w:tc>
        <w:tc>
          <w:tcPr>
            <w:tcW w:w="401" w:type="pct"/>
            <w:vAlign w:val="center"/>
            <w:hideMark/>
          </w:tcPr>
          <w:p w14:paraId="6124D820" w14:textId="77777777" w:rsidR="00000000" w:rsidRDefault="00C1661D">
            <w:pPr>
              <w:spacing w:after="100"/>
              <w:rPr>
                <w:rFonts w:eastAsia="Times New Roman"/>
                <w:sz w:val="20"/>
                <w:szCs w:val="20"/>
              </w:rPr>
            </w:pPr>
          </w:p>
        </w:tc>
        <w:tc>
          <w:tcPr>
            <w:tcW w:w="5" w:type="pct"/>
            <w:vAlign w:val="center"/>
            <w:hideMark/>
          </w:tcPr>
          <w:p w14:paraId="5D843943" w14:textId="77777777" w:rsidR="00000000" w:rsidRDefault="00C1661D">
            <w:pPr>
              <w:spacing w:after="100"/>
              <w:rPr>
                <w:rFonts w:eastAsia="Times New Roman"/>
                <w:sz w:val="20"/>
                <w:szCs w:val="20"/>
              </w:rPr>
            </w:pPr>
          </w:p>
        </w:tc>
        <w:tc>
          <w:tcPr>
            <w:tcW w:w="50" w:type="pct"/>
            <w:vAlign w:val="center"/>
            <w:hideMark/>
          </w:tcPr>
          <w:p w14:paraId="34959FEC" w14:textId="77777777" w:rsidR="00000000" w:rsidRDefault="00C1661D">
            <w:pPr>
              <w:spacing w:after="100"/>
              <w:rPr>
                <w:rFonts w:eastAsia="Times New Roman"/>
                <w:sz w:val="20"/>
                <w:szCs w:val="20"/>
              </w:rPr>
            </w:pPr>
          </w:p>
        </w:tc>
        <w:tc>
          <w:tcPr>
            <w:tcW w:w="505" w:type="pct"/>
            <w:vAlign w:val="center"/>
            <w:hideMark/>
          </w:tcPr>
          <w:p w14:paraId="6B24FFBE" w14:textId="77777777" w:rsidR="00000000" w:rsidRDefault="00C1661D">
            <w:pPr>
              <w:spacing w:after="100"/>
              <w:rPr>
                <w:rFonts w:eastAsia="Times New Roman"/>
                <w:sz w:val="20"/>
                <w:szCs w:val="20"/>
              </w:rPr>
            </w:pPr>
          </w:p>
        </w:tc>
        <w:tc>
          <w:tcPr>
            <w:tcW w:w="5" w:type="pct"/>
            <w:vAlign w:val="center"/>
            <w:hideMark/>
          </w:tcPr>
          <w:p w14:paraId="05740228" w14:textId="77777777" w:rsidR="00000000" w:rsidRDefault="00C1661D">
            <w:pPr>
              <w:spacing w:after="100"/>
              <w:rPr>
                <w:rFonts w:eastAsia="Times New Roman"/>
                <w:sz w:val="20"/>
                <w:szCs w:val="20"/>
              </w:rPr>
            </w:pPr>
          </w:p>
        </w:tc>
      </w:tr>
      <w:tr w:rsidR="00000000" w14:paraId="15D67C10" w14:textId="77777777">
        <w:trPr>
          <w:jc w:val="center"/>
        </w:trPr>
        <w:tc>
          <w:tcPr>
            <w:tcW w:w="0" w:type="auto"/>
            <w:gridSpan w:val="18"/>
            <w:tcMar>
              <w:top w:w="30" w:type="dxa"/>
              <w:left w:w="20" w:type="dxa"/>
              <w:bottom w:w="30" w:type="dxa"/>
              <w:right w:w="20" w:type="dxa"/>
            </w:tcMar>
            <w:hideMark/>
          </w:tcPr>
          <w:p w14:paraId="20667656" w14:textId="77777777" w:rsidR="00000000" w:rsidRDefault="00C1661D">
            <w:pPr>
              <w:spacing w:after="100"/>
              <w:rPr>
                <w:rFonts w:eastAsia="Times New Roman"/>
              </w:rPr>
            </w:pPr>
            <w:r>
              <w:rPr>
                <w:rFonts w:eastAsia="Times New Roman"/>
                <w:color w:val="000000"/>
                <w:sz w:val="20"/>
                <w:szCs w:val="20"/>
              </w:rPr>
              <w:t>Incorporation by Reference</w:t>
            </w:r>
          </w:p>
        </w:tc>
      </w:tr>
      <w:tr w:rsidR="00000000" w14:paraId="6E237D59" w14:textId="77777777">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60623BD7" w14:textId="77777777" w:rsidR="00000000" w:rsidRDefault="00C1661D">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339E92A1" w14:textId="77777777" w:rsidR="00000000" w:rsidRDefault="00C1661D">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656BF710" w14:textId="77777777" w:rsidR="00000000" w:rsidRDefault="00C1661D">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14:paraId="79F21313" w14:textId="77777777" w:rsidR="00000000" w:rsidRDefault="00C1661D">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56D2C02E" w14:textId="77777777" w:rsidR="00000000" w:rsidRDefault="00C1661D">
            <w:pPr>
              <w:spacing w:after="100"/>
              <w:rPr>
                <w:rFonts w:eastAsia="Times New Roman"/>
              </w:rPr>
            </w:pPr>
            <w:r>
              <w:rPr>
                <w:rFonts w:eastAsia="Times New Roman"/>
                <w:color w:val="000000"/>
                <w:sz w:val="20"/>
                <w:szCs w:val="20"/>
              </w:rPr>
              <w:t>Exhibit</w:t>
            </w:r>
          </w:p>
        </w:tc>
      </w:tr>
      <w:tr w:rsidR="00000000" w14:paraId="3B568027" w14:textId="77777777">
        <w:trPr>
          <w:jc w:val="center"/>
        </w:trPr>
        <w:tc>
          <w:tcPr>
            <w:tcW w:w="0" w:type="auto"/>
            <w:gridSpan w:val="3"/>
            <w:tcMar>
              <w:top w:w="30" w:type="dxa"/>
              <w:left w:w="20" w:type="dxa"/>
              <w:bottom w:w="30" w:type="dxa"/>
              <w:right w:w="20" w:type="dxa"/>
            </w:tcMar>
            <w:hideMark/>
          </w:tcPr>
          <w:p w14:paraId="628CBAF6" w14:textId="77777777" w:rsidR="00000000" w:rsidRDefault="00C1661D">
            <w:pPr>
              <w:spacing w:after="100"/>
              <w:rPr>
                <w:rFonts w:eastAsia="Times New Roman"/>
              </w:rPr>
            </w:pPr>
            <w:r>
              <w:rPr>
                <w:rFonts w:eastAsia="Times New Roman"/>
                <w:color w:val="000000"/>
                <w:sz w:val="20"/>
                <w:szCs w:val="20"/>
              </w:rPr>
              <w:t>10.32</w:t>
            </w:r>
          </w:p>
        </w:tc>
        <w:tc>
          <w:tcPr>
            <w:tcW w:w="0" w:type="auto"/>
            <w:gridSpan w:val="3"/>
            <w:tcMar>
              <w:top w:w="30" w:type="dxa"/>
              <w:left w:w="20" w:type="dxa"/>
              <w:bottom w:w="30" w:type="dxa"/>
              <w:right w:w="20" w:type="dxa"/>
            </w:tcMar>
            <w:hideMark/>
          </w:tcPr>
          <w:p w14:paraId="4BED647B" w14:textId="77777777" w:rsidR="00000000" w:rsidRDefault="00C1661D">
            <w:pPr>
              <w:spacing w:after="100"/>
              <w:divId w:val="368190641"/>
              <w:rPr>
                <w:rFonts w:eastAsia="Times New Roman"/>
              </w:rPr>
            </w:pPr>
            <w:hyperlink r:id="rId70" w:history="1">
              <w:r>
                <w:rPr>
                  <w:rStyle w:val="a3"/>
                  <w:rFonts w:eastAsia="Times New Roman"/>
                  <w:sz w:val="20"/>
                  <w:szCs w:val="20"/>
                </w:rPr>
                <w:t>Amendment No. 19, dated as of October 26, 2018, to Receivables Purchase Agreement, dated as of November 30, 2001 (as amended, supplemented or modified from tim</w:t>
              </w:r>
              <w:r>
                <w:rPr>
                  <w:rStyle w:val="a3"/>
                  <w:rFonts w:eastAsia="Times New Roman"/>
                  <w:sz w:val="20"/>
                  <w:szCs w:val="20"/>
                </w:rPr>
                <w:t>e to time), by and among UGI Energy Services, LLC, as servicer,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14:paraId="6D3498D9"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15D8B8B1"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(10/26/18)</w:t>
            </w:r>
          </w:p>
        </w:tc>
        <w:tc>
          <w:tcPr>
            <w:tcW w:w="0" w:type="auto"/>
            <w:gridSpan w:val="3"/>
            <w:tcMar>
              <w:top w:w="30" w:type="dxa"/>
              <w:left w:w="20" w:type="dxa"/>
              <w:bottom w:w="30" w:type="dxa"/>
              <w:right w:w="20" w:type="dxa"/>
            </w:tcMar>
            <w:hideMark/>
          </w:tcPr>
          <w:p w14:paraId="36321B85" w14:textId="77777777" w:rsidR="00000000" w:rsidRDefault="00C1661D">
            <w:pPr>
              <w:spacing w:after="100"/>
              <w:rPr>
                <w:rFonts w:eastAsia="Times New Roman"/>
              </w:rPr>
            </w:pPr>
            <w:r>
              <w:rPr>
                <w:rFonts w:eastAsia="Times New Roman"/>
                <w:color w:val="000000"/>
                <w:sz w:val="20"/>
                <w:szCs w:val="20"/>
              </w:rPr>
              <w:t>10.1</w:t>
            </w:r>
          </w:p>
        </w:tc>
      </w:tr>
      <w:tr w:rsidR="00000000" w14:paraId="3F3659F3" w14:textId="77777777">
        <w:trPr>
          <w:jc w:val="center"/>
        </w:trPr>
        <w:tc>
          <w:tcPr>
            <w:tcW w:w="0" w:type="auto"/>
            <w:gridSpan w:val="3"/>
            <w:tcMar>
              <w:top w:w="30" w:type="dxa"/>
              <w:left w:w="20" w:type="dxa"/>
              <w:bottom w:w="30" w:type="dxa"/>
              <w:right w:w="20" w:type="dxa"/>
            </w:tcMar>
            <w:hideMark/>
          </w:tcPr>
          <w:p w14:paraId="007F32E9" w14:textId="77777777" w:rsidR="00000000" w:rsidRDefault="00C1661D">
            <w:pPr>
              <w:spacing w:after="100"/>
              <w:rPr>
                <w:rFonts w:eastAsia="Times New Roman"/>
              </w:rPr>
            </w:pPr>
            <w:r>
              <w:rPr>
                <w:rFonts w:eastAsia="Times New Roman"/>
                <w:color w:val="000000"/>
                <w:sz w:val="20"/>
                <w:szCs w:val="20"/>
              </w:rPr>
              <w:t>10.33</w:t>
            </w:r>
          </w:p>
        </w:tc>
        <w:tc>
          <w:tcPr>
            <w:tcW w:w="0" w:type="auto"/>
            <w:gridSpan w:val="3"/>
            <w:tcMar>
              <w:top w:w="30" w:type="dxa"/>
              <w:left w:w="20" w:type="dxa"/>
              <w:bottom w:w="30" w:type="dxa"/>
              <w:right w:w="20" w:type="dxa"/>
            </w:tcMar>
            <w:hideMark/>
          </w:tcPr>
          <w:p w14:paraId="2AD0C6D9" w14:textId="77777777" w:rsidR="00000000" w:rsidRDefault="00C1661D">
            <w:pPr>
              <w:spacing w:after="100"/>
              <w:divId w:val="496304575"/>
              <w:rPr>
                <w:rFonts w:eastAsia="Times New Roman"/>
              </w:rPr>
            </w:pPr>
            <w:hyperlink r:id="rId71" w:history="1">
              <w:r>
                <w:rPr>
                  <w:rStyle w:val="a3"/>
                  <w:rFonts w:eastAsia="Times New Roman"/>
                  <w:sz w:val="20"/>
                  <w:szCs w:val="20"/>
                </w:rPr>
                <w:t>Amendment No. 20, dated as of October 25, 2019, to Receivables Purchase Agreement, dated as of November 30, 2001 (as amended, supplemented or modified f</w:t>
              </w:r>
              <w:r>
                <w:rPr>
                  <w:rStyle w:val="a3"/>
                  <w:rFonts w:eastAsia="Times New Roman"/>
                  <w:sz w:val="20"/>
                  <w:szCs w:val="20"/>
                </w:rPr>
                <w:t>rom time to time), by and among UGI Energy Services, LLC, as servicer,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14:paraId="26694123"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2EF49393" w14:textId="77777777" w:rsidR="00000000" w:rsidRDefault="00C1661D">
            <w:pPr>
              <w:spacing w:after="100"/>
              <w:jc w:val="center"/>
              <w:rPr>
                <w:rFonts w:eastAsia="Times New Roman"/>
              </w:rPr>
            </w:pPr>
            <w:r>
              <w:rPr>
                <w:rFonts w:eastAsia="Times New Roman"/>
                <w:color w:val="000000"/>
                <w:sz w:val="20"/>
                <w:szCs w:val="20"/>
              </w:rPr>
              <w:t>Form 8-K (10/25/19)</w:t>
            </w:r>
          </w:p>
        </w:tc>
        <w:tc>
          <w:tcPr>
            <w:tcW w:w="0" w:type="auto"/>
            <w:gridSpan w:val="3"/>
            <w:tcMar>
              <w:top w:w="30" w:type="dxa"/>
              <w:left w:w="20" w:type="dxa"/>
              <w:bottom w:w="30" w:type="dxa"/>
              <w:right w:w="20" w:type="dxa"/>
            </w:tcMar>
            <w:hideMark/>
          </w:tcPr>
          <w:p w14:paraId="77CE44E7" w14:textId="77777777" w:rsidR="00000000" w:rsidRDefault="00C1661D">
            <w:pPr>
              <w:spacing w:after="100"/>
              <w:rPr>
                <w:rFonts w:eastAsia="Times New Roman"/>
              </w:rPr>
            </w:pPr>
            <w:r>
              <w:rPr>
                <w:rFonts w:eastAsia="Times New Roman"/>
                <w:color w:val="000000"/>
                <w:sz w:val="20"/>
                <w:szCs w:val="20"/>
              </w:rPr>
              <w:t>10.1</w:t>
            </w:r>
          </w:p>
        </w:tc>
      </w:tr>
      <w:tr w:rsidR="00000000" w14:paraId="296A18A1" w14:textId="77777777">
        <w:trPr>
          <w:jc w:val="center"/>
        </w:trPr>
        <w:tc>
          <w:tcPr>
            <w:tcW w:w="0" w:type="auto"/>
            <w:gridSpan w:val="3"/>
            <w:tcMar>
              <w:top w:w="30" w:type="dxa"/>
              <w:left w:w="20" w:type="dxa"/>
              <w:bottom w:w="30" w:type="dxa"/>
              <w:right w:w="20" w:type="dxa"/>
            </w:tcMar>
            <w:hideMark/>
          </w:tcPr>
          <w:p w14:paraId="2325A375" w14:textId="77777777" w:rsidR="00000000" w:rsidRDefault="00C1661D">
            <w:pPr>
              <w:spacing w:after="100"/>
              <w:rPr>
                <w:rFonts w:eastAsia="Times New Roman"/>
              </w:rPr>
            </w:pPr>
            <w:r>
              <w:rPr>
                <w:rFonts w:eastAsia="Times New Roman"/>
                <w:color w:val="000000"/>
                <w:sz w:val="20"/>
                <w:szCs w:val="20"/>
              </w:rPr>
              <w:t>10.34</w:t>
            </w:r>
          </w:p>
        </w:tc>
        <w:tc>
          <w:tcPr>
            <w:tcW w:w="0" w:type="auto"/>
            <w:gridSpan w:val="3"/>
            <w:tcMar>
              <w:top w:w="30" w:type="dxa"/>
              <w:left w:w="20" w:type="dxa"/>
              <w:bottom w:w="30" w:type="dxa"/>
              <w:right w:w="20" w:type="dxa"/>
            </w:tcMar>
            <w:hideMark/>
          </w:tcPr>
          <w:p w14:paraId="75FC93B8" w14:textId="77777777" w:rsidR="00000000" w:rsidRDefault="00C1661D">
            <w:pPr>
              <w:spacing w:after="100"/>
              <w:divId w:val="2131320620"/>
              <w:rPr>
                <w:rFonts w:eastAsia="Times New Roman"/>
              </w:rPr>
            </w:pPr>
            <w:hyperlink r:id="rId72" w:history="1">
              <w:r>
                <w:rPr>
                  <w:rStyle w:val="a3"/>
                  <w:rFonts w:eastAsia="Times New Roman"/>
                  <w:sz w:val="20"/>
                  <w:szCs w:val="20"/>
                </w:rPr>
                <w:t>Amendment No. 21, dated as of October 23, 2020, to Receivables Purchase Agreement, dated as of November 30, 2001, by and among UGI Energy Services, LLC, as s</w:t>
              </w:r>
              <w:r>
                <w:rPr>
                  <w:rStyle w:val="a3"/>
                  <w:rFonts w:eastAsia="Times New Roman"/>
                  <w:sz w:val="20"/>
                  <w:szCs w:val="20"/>
                </w:rPr>
                <w:t>ervicer,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14:paraId="75BC0056"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4865E53E"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(10/23/20)</w:t>
            </w:r>
          </w:p>
        </w:tc>
        <w:tc>
          <w:tcPr>
            <w:tcW w:w="0" w:type="auto"/>
            <w:gridSpan w:val="3"/>
            <w:tcMar>
              <w:top w:w="30" w:type="dxa"/>
              <w:left w:w="20" w:type="dxa"/>
              <w:bottom w:w="30" w:type="dxa"/>
              <w:right w:w="20" w:type="dxa"/>
            </w:tcMar>
            <w:hideMark/>
          </w:tcPr>
          <w:p w14:paraId="08185B10" w14:textId="77777777" w:rsidR="00000000" w:rsidRDefault="00C1661D">
            <w:pPr>
              <w:spacing w:after="100"/>
              <w:rPr>
                <w:rFonts w:eastAsia="Times New Roman"/>
              </w:rPr>
            </w:pPr>
            <w:r>
              <w:rPr>
                <w:rFonts w:eastAsia="Times New Roman"/>
                <w:color w:val="000000"/>
                <w:sz w:val="20"/>
                <w:szCs w:val="20"/>
              </w:rPr>
              <w:t>10.1</w:t>
            </w:r>
          </w:p>
        </w:tc>
      </w:tr>
      <w:tr w:rsidR="00000000" w14:paraId="626E3730" w14:textId="77777777">
        <w:trPr>
          <w:jc w:val="center"/>
        </w:trPr>
        <w:tc>
          <w:tcPr>
            <w:tcW w:w="0" w:type="auto"/>
            <w:gridSpan w:val="3"/>
            <w:tcMar>
              <w:top w:w="30" w:type="dxa"/>
              <w:left w:w="20" w:type="dxa"/>
              <w:bottom w:w="30" w:type="dxa"/>
              <w:right w:w="20" w:type="dxa"/>
            </w:tcMar>
            <w:hideMark/>
          </w:tcPr>
          <w:p w14:paraId="663FAB95" w14:textId="77777777" w:rsidR="00000000" w:rsidRDefault="00C1661D">
            <w:pPr>
              <w:spacing w:after="100"/>
              <w:rPr>
                <w:rFonts w:eastAsia="Times New Roman"/>
              </w:rPr>
            </w:pPr>
            <w:r>
              <w:rPr>
                <w:rFonts w:eastAsia="Times New Roman"/>
                <w:color w:val="000000"/>
                <w:sz w:val="20"/>
                <w:szCs w:val="20"/>
              </w:rPr>
              <w:t>10.35</w:t>
            </w:r>
          </w:p>
        </w:tc>
        <w:tc>
          <w:tcPr>
            <w:tcW w:w="0" w:type="auto"/>
            <w:gridSpan w:val="3"/>
            <w:tcMar>
              <w:top w:w="30" w:type="dxa"/>
              <w:left w:w="20" w:type="dxa"/>
              <w:bottom w:w="30" w:type="dxa"/>
              <w:right w:w="20" w:type="dxa"/>
            </w:tcMar>
            <w:hideMark/>
          </w:tcPr>
          <w:p w14:paraId="33A65DD4" w14:textId="77777777" w:rsidR="00000000" w:rsidRDefault="00C1661D">
            <w:pPr>
              <w:spacing w:after="100"/>
              <w:divId w:val="856964661"/>
              <w:rPr>
                <w:rFonts w:eastAsia="Times New Roman"/>
              </w:rPr>
            </w:pPr>
            <w:hyperlink r:id="rId73" w:history="1">
              <w:r>
                <w:rPr>
                  <w:rStyle w:val="a3"/>
                  <w:rFonts w:eastAsia="Times New Roman"/>
                  <w:sz w:val="20"/>
                  <w:szCs w:val="20"/>
                </w:rPr>
                <w:t xml:space="preserve">Amendment No. 22, dated as of October 22, 2021, to Receivables Purchase Agreement, dated as of November 30, 2001, by and among UGI Energy Services, LLC, as </w:t>
              </w:r>
              <w:r>
                <w:rPr>
                  <w:rStyle w:val="a3"/>
                  <w:rFonts w:eastAsia="Times New Roman"/>
                  <w:sz w:val="20"/>
                  <w:szCs w:val="20"/>
                </w:rPr>
                <w:t>servicer,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14:paraId="106A5AAC"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5B2524FE"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(10/22/21)</w:t>
            </w:r>
          </w:p>
        </w:tc>
        <w:tc>
          <w:tcPr>
            <w:tcW w:w="0" w:type="auto"/>
            <w:gridSpan w:val="3"/>
            <w:tcMar>
              <w:top w:w="30" w:type="dxa"/>
              <w:left w:w="20" w:type="dxa"/>
              <w:bottom w:w="30" w:type="dxa"/>
              <w:right w:w="20" w:type="dxa"/>
            </w:tcMar>
            <w:hideMark/>
          </w:tcPr>
          <w:p w14:paraId="3B08FA11" w14:textId="77777777" w:rsidR="00000000" w:rsidRDefault="00C1661D">
            <w:pPr>
              <w:spacing w:after="100"/>
              <w:rPr>
                <w:rFonts w:eastAsia="Times New Roman"/>
              </w:rPr>
            </w:pPr>
            <w:r>
              <w:rPr>
                <w:rFonts w:eastAsia="Times New Roman"/>
                <w:color w:val="000000"/>
                <w:sz w:val="20"/>
                <w:szCs w:val="20"/>
              </w:rPr>
              <w:t>10.1</w:t>
            </w:r>
          </w:p>
        </w:tc>
      </w:tr>
      <w:tr w:rsidR="00000000" w14:paraId="56497F03" w14:textId="77777777">
        <w:trPr>
          <w:jc w:val="center"/>
        </w:trPr>
        <w:tc>
          <w:tcPr>
            <w:tcW w:w="0" w:type="auto"/>
            <w:gridSpan w:val="3"/>
            <w:tcMar>
              <w:top w:w="30" w:type="dxa"/>
              <w:left w:w="20" w:type="dxa"/>
              <w:bottom w:w="30" w:type="dxa"/>
              <w:right w:w="20" w:type="dxa"/>
            </w:tcMar>
            <w:hideMark/>
          </w:tcPr>
          <w:p w14:paraId="3948248C" w14:textId="77777777" w:rsidR="00000000" w:rsidRDefault="00C1661D">
            <w:pPr>
              <w:spacing w:after="100"/>
              <w:rPr>
                <w:rFonts w:eastAsia="Times New Roman"/>
              </w:rPr>
            </w:pPr>
            <w:r>
              <w:rPr>
                <w:rFonts w:eastAsia="Times New Roman"/>
                <w:color w:val="000000"/>
                <w:sz w:val="20"/>
                <w:szCs w:val="20"/>
              </w:rPr>
              <w:t>10.36</w:t>
            </w:r>
          </w:p>
        </w:tc>
        <w:tc>
          <w:tcPr>
            <w:tcW w:w="0" w:type="auto"/>
            <w:gridSpan w:val="3"/>
            <w:tcMar>
              <w:top w:w="30" w:type="dxa"/>
              <w:left w:w="20" w:type="dxa"/>
              <w:bottom w:w="30" w:type="dxa"/>
              <w:right w:w="20" w:type="dxa"/>
            </w:tcMar>
            <w:hideMark/>
          </w:tcPr>
          <w:p w14:paraId="1FAEEF38" w14:textId="77777777" w:rsidR="00000000" w:rsidRDefault="00C1661D">
            <w:pPr>
              <w:spacing w:after="100"/>
              <w:divId w:val="559053028"/>
              <w:rPr>
                <w:rFonts w:eastAsia="Times New Roman"/>
              </w:rPr>
            </w:pPr>
            <w:hyperlink r:id="rId74" w:history="1">
              <w:r>
                <w:rPr>
                  <w:rStyle w:val="a3"/>
                  <w:rFonts w:eastAsia="Times New Roman"/>
                  <w:sz w:val="20"/>
                  <w:szCs w:val="20"/>
                </w:rPr>
                <w:t>Amendment No. 23, dated as of October 21, 2022, to Receivables Purchase Agreement, dated as of November 30, 2001, by and among UGI Energy Services, LLC, as ser</w:t>
              </w:r>
              <w:r>
                <w:rPr>
                  <w:rStyle w:val="a3"/>
                  <w:rFonts w:eastAsia="Times New Roman"/>
                  <w:sz w:val="20"/>
                  <w:szCs w:val="20"/>
                </w:rPr>
                <w:t>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14:paraId="151C0173"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6E7064E7"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(10/20/22)</w:t>
            </w:r>
          </w:p>
        </w:tc>
        <w:tc>
          <w:tcPr>
            <w:tcW w:w="0" w:type="auto"/>
            <w:gridSpan w:val="3"/>
            <w:tcMar>
              <w:top w:w="30" w:type="dxa"/>
              <w:left w:w="20" w:type="dxa"/>
              <w:bottom w:w="30" w:type="dxa"/>
              <w:right w:w="20" w:type="dxa"/>
            </w:tcMar>
            <w:hideMark/>
          </w:tcPr>
          <w:p w14:paraId="68DBE0BC" w14:textId="77777777" w:rsidR="00000000" w:rsidRDefault="00C1661D">
            <w:pPr>
              <w:spacing w:after="100"/>
              <w:rPr>
                <w:rFonts w:eastAsia="Times New Roman"/>
              </w:rPr>
            </w:pPr>
            <w:r>
              <w:rPr>
                <w:rFonts w:eastAsia="Times New Roman"/>
                <w:color w:val="000000"/>
                <w:sz w:val="20"/>
                <w:szCs w:val="20"/>
              </w:rPr>
              <w:t>10.2</w:t>
            </w:r>
          </w:p>
        </w:tc>
      </w:tr>
    </w:tbl>
    <w:p w14:paraId="5C9A7373" w14:textId="77777777" w:rsidR="00000000" w:rsidRDefault="00C1661D">
      <w:pPr>
        <w:jc w:val="center"/>
        <w:divId w:val="1472790929"/>
        <w:rPr>
          <w:rFonts w:eastAsia="Times New Roman"/>
        </w:rPr>
      </w:pPr>
      <w:r>
        <w:rPr>
          <w:rFonts w:eastAsia="Times New Roman"/>
          <w:color w:val="000000"/>
          <w:sz w:val="20"/>
          <w:szCs w:val="20"/>
        </w:rPr>
        <w:t>80</w:t>
      </w:r>
    </w:p>
    <w:p w14:paraId="2C4BE90E" w14:textId="77777777" w:rsidR="00000000" w:rsidRDefault="00C1661D">
      <w:pPr>
        <w:rPr>
          <w:rFonts w:eastAsia="Times New Roman"/>
        </w:rPr>
      </w:pPr>
      <w:r>
        <w:rPr>
          <w:rFonts w:eastAsia="Times New Roman"/>
        </w:rPr>
        <w:pict w14:anchorId="2D722024">
          <v:rect id="_x0000_i1107" style="width:0;height:1.5pt" o:hralign="center" o:hrstd="t" o:hr="t" fillcolor="#a0a0a0" stroked="f"/>
        </w:pict>
      </w:r>
    </w:p>
    <w:p w14:paraId="77389599" w14:textId="77777777" w:rsidR="00000000" w:rsidRDefault="00C1661D">
      <w:pPr>
        <w:divId w:val="1049837785"/>
        <w:rPr>
          <w:rFonts w:eastAsia="Times New Roman"/>
        </w:rPr>
      </w:pPr>
      <w:hyperlink w:anchor="i3850c3c6c0104e42b9951aac2f16098a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8"/>
        <w:gridCol w:w="55"/>
        <w:gridCol w:w="1693"/>
        <w:gridCol w:w="36"/>
        <w:gridCol w:w="55"/>
        <w:gridCol w:w="550"/>
        <w:gridCol w:w="38"/>
        <w:gridCol w:w="56"/>
        <w:gridCol w:w="551"/>
        <w:gridCol w:w="37"/>
        <w:gridCol w:w="57"/>
        <w:gridCol w:w="696"/>
        <w:gridCol w:w="36"/>
      </w:tblGrid>
      <w:tr w:rsidR="00000000" w14:paraId="183FBF99" w14:textId="77777777">
        <w:trPr>
          <w:jc w:val="center"/>
        </w:trPr>
        <w:tc>
          <w:tcPr>
            <w:tcW w:w="50" w:type="pct"/>
            <w:vAlign w:val="center"/>
            <w:hideMark/>
          </w:tcPr>
          <w:p w14:paraId="50D014C7" w14:textId="77777777" w:rsidR="00000000" w:rsidRDefault="00C1661D">
            <w:pPr>
              <w:rPr>
                <w:rFonts w:eastAsia="Times New Roman"/>
              </w:rPr>
            </w:pPr>
          </w:p>
        </w:tc>
        <w:tc>
          <w:tcPr>
            <w:tcW w:w="729" w:type="pct"/>
            <w:vAlign w:val="center"/>
            <w:hideMark/>
          </w:tcPr>
          <w:p w14:paraId="59B9FC6B" w14:textId="77777777" w:rsidR="00000000" w:rsidRDefault="00C1661D">
            <w:pPr>
              <w:spacing w:after="100"/>
              <w:rPr>
                <w:rFonts w:eastAsia="Times New Roman"/>
                <w:sz w:val="20"/>
                <w:szCs w:val="20"/>
              </w:rPr>
            </w:pPr>
          </w:p>
        </w:tc>
        <w:tc>
          <w:tcPr>
            <w:tcW w:w="5" w:type="pct"/>
            <w:vAlign w:val="center"/>
            <w:hideMark/>
          </w:tcPr>
          <w:p w14:paraId="4F1584D0" w14:textId="77777777" w:rsidR="00000000" w:rsidRDefault="00C1661D">
            <w:pPr>
              <w:spacing w:after="100"/>
              <w:rPr>
                <w:rFonts w:eastAsia="Times New Roman"/>
                <w:sz w:val="20"/>
                <w:szCs w:val="20"/>
              </w:rPr>
            </w:pPr>
          </w:p>
        </w:tc>
        <w:tc>
          <w:tcPr>
            <w:tcW w:w="50" w:type="pct"/>
            <w:vAlign w:val="center"/>
            <w:hideMark/>
          </w:tcPr>
          <w:p w14:paraId="079507A4" w14:textId="77777777" w:rsidR="00000000" w:rsidRDefault="00C1661D">
            <w:pPr>
              <w:spacing w:after="100"/>
              <w:rPr>
                <w:rFonts w:eastAsia="Times New Roman"/>
                <w:sz w:val="20"/>
                <w:szCs w:val="20"/>
              </w:rPr>
            </w:pPr>
          </w:p>
        </w:tc>
        <w:tc>
          <w:tcPr>
            <w:tcW w:w="1419" w:type="pct"/>
            <w:vAlign w:val="center"/>
            <w:hideMark/>
          </w:tcPr>
          <w:p w14:paraId="7B52DD84" w14:textId="77777777" w:rsidR="00000000" w:rsidRDefault="00C1661D">
            <w:pPr>
              <w:spacing w:after="100"/>
              <w:rPr>
                <w:rFonts w:eastAsia="Times New Roman"/>
                <w:sz w:val="20"/>
                <w:szCs w:val="20"/>
              </w:rPr>
            </w:pPr>
          </w:p>
        </w:tc>
        <w:tc>
          <w:tcPr>
            <w:tcW w:w="5" w:type="pct"/>
            <w:vAlign w:val="center"/>
            <w:hideMark/>
          </w:tcPr>
          <w:p w14:paraId="350900F9" w14:textId="77777777" w:rsidR="00000000" w:rsidRDefault="00C1661D">
            <w:pPr>
              <w:spacing w:after="100"/>
              <w:rPr>
                <w:rFonts w:eastAsia="Times New Roman"/>
                <w:sz w:val="20"/>
                <w:szCs w:val="20"/>
              </w:rPr>
            </w:pPr>
          </w:p>
        </w:tc>
        <w:tc>
          <w:tcPr>
            <w:tcW w:w="50" w:type="pct"/>
            <w:vAlign w:val="center"/>
            <w:hideMark/>
          </w:tcPr>
          <w:p w14:paraId="35771937" w14:textId="77777777" w:rsidR="00000000" w:rsidRDefault="00C1661D">
            <w:pPr>
              <w:spacing w:after="100"/>
              <w:rPr>
                <w:rFonts w:eastAsia="Times New Roman"/>
                <w:sz w:val="20"/>
                <w:szCs w:val="20"/>
              </w:rPr>
            </w:pPr>
          </w:p>
        </w:tc>
        <w:tc>
          <w:tcPr>
            <w:tcW w:w="1212" w:type="pct"/>
            <w:vAlign w:val="center"/>
            <w:hideMark/>
          </w:tcPr>
          <w:p w14:paraId="350F14C5" w14:textId="77777777" w:rsidR="00000000" w:rsidRDefault="00C1661D">
            <w:pPr>
              <w:spacing w:after="100"/>
              <w:rPr>
                <w:rFonts w:eastAsia="Times New Roman"/>
                <w:sz w:val="20"/>
                <w:szCs w:val="20"/>
              </w:rPr>
            </w:pPr>
          </w:p>
        </w:tc>
        <w:tc>
          <w:tcPr>
            <w:tcW w:w="5" w:type="pct"/>
            <w:vAlign w:val="center"/>
            <w:hideMark/>
          </w:tcPr>
          <w:p w14:paraId="1E9C8F7A" w14:textId="77777777" w:rsidR="00000000" w:rsidRDefault="00C1661D">
            <w:pPr>
              <w:spacing w:after="100"/>
              <w:rPr>
                <w:rFonts w:eastAsia="Times New Roman"/>
                <w:sz w:val="20"/>
                <w:szCs w:val="20"/>
              </w:rPr>
            </w:pPr>
          </w:p>
        </w:tc>
        <w:tc>
          <w:tcPr>
            <w:tcW w:w="50" w:type="pct"/>
            <w:vAlign w:val="center"/>
            <w:hideMark/>
          </w:tcPr>
          <w:p w14:paraId="773900DA" w14:textId="77777777" w:rsidR="00000000" w:rsidRDefault="00C1661D">
            <w:pPr>
              <w:spacing w:after="100"/>
              <w:rPr>
                <w:rFonts w:eastAsia="Times New Roman"/>
                <w:sz w:val="20"/>
                <w:szCs w:val="20"/>
              </w:rPr>
            </w:pPr>
          </w:p>
        </w:tc>
        <w:tc>
          <w:tcPr>
            <w:tcW w:w="401" w:type="pct"/>
            <w:vAlign w:val="center"/>
            <w:hideMark/>
          </w:tcPr>
          <w:p w14:paraId="60E29A9D" w14:textId="77777777" w:rsidR="00000000" w:rsidRDefault="00C1661D">
            <w:pPr>
              <w:spacing w:after="100"/>
              <w:rPr>
                <w:rFonts w:eastAsia="Times New Roman"/>
                <w:sz w:val="20"/>
                <w:szCs w:val="20"/>
              </w:rPr>
            </w:pPr>
          </w:p>
        </w:tc>
        <w:tc>
          <w:tcPr>
            <w:tcW w:w="5" w:type="pct"/>
            <w:vAlign w:val="center"/>
            <w:hideMark/>
          </w:tcPr>
          <w:p w14:paraId="705256C5" w14:textId="77777777" w:rsidR="00000000" w:rsidRDefault="00C1661D">
            <w:pPr>
              <w:spacing w:after="100"/>
              <w:rPr>
                <w:rFonts w:eastAsia="Times New Roman"/>
                <w:sz w:val="20"/>
                <w:szCs w:val="20"/>
              </w:rPr>
            </w:pPr>
          </w:p>
        </w:tc>
        <w:tc>
          <w:tcPr>
            <w:tcW w:w="50" w:type="pct"/>
            <w:vAlign w:val="center"/>
            <w:hideMark/>
          </w:tcPr>
          <w:p w14:paraId="21D7A653" w14:textId="77777777" w:rsidR="00000000" w:rsidRDefault="00C1661D">
            <w:pPr>
              <w:spacing w:after="100"/>
              <w:rPr>
                <w:rFonts w:eastAsia="Times New Roman"/>
                <w:sz w:val="20"/>
                <w:szCs w:val="20"/>
              </w:rPr>
            </w:pPr>
          </w:p>
        </w:tc>
        <w:tc>
          <w:tcPr>
            <w:tcW w:w="401" w:type="pct"/>
            <w:vAlign w:val="center"/>
            <w:hideMark/>
          </w:tcPr>
          <w:p w14:paraId="69148136" w14:textId="77777777" w:rsidR="00000000" w:rsidRDefault="00C1661D">
            <w:pPr>
              <w:spacing w:after="100"/>
              <w:rPr>
                <w:rFonts w:eastAsia="Times New Roman"/>
                <w:sz w:val="20"/>
                <w:szCs w:val="20"/>
              </w:rPr>
            </w:pPr>
          </w:p>
        </w:tc>
        <w:tc>
          <w:tcPr>
            <w:tcW w:w="5" w:type="pct"/>
            <w:vAlign w:val="center"/>
            <w:hideMark/>
          </w:tcPr>
          <w:p w14:paraId="52ADE442" w14:textId="77777777" w:rsidR="00000000" w:rsidRDefault="00C1661D">
            <w:pPr>
              <w:spacing w:after="100"/>
              <w:rPr>
                <w:rFonts w:eastAsia="Times New Roman"/>
                <w:sz w:val="20"/>
                <w:szCs w:val="20"/>
              </w:rPr>
            </w:pPr>
          </w:p>
        </w:tc>
        <w:tc>
          <w:tcPr>
            <w:tcW w:w="50" w:type="pct"/>
            <w:vAlign w:val="center"/>
            <w:hideMark/>
          </w:tcPr>
          <w:p w14:paraId="741AAA8A" w14:textId="77777777" w:rsidR="00000000" w:rsidRDefault="00C1661D">
            <w:pPr>
              <w:spacing w:after="100"/>
              <w:rPr>
                <w:rFonts w:eastAsia="Times New Roman"/>
                <w:sz w:val="20"/>
                <w:szCs w:val="20"/>
              </w:rPr>
            </w:pPr>
          </w:p>
        </w:tc>
        <w:tc>
          <w:tcPr>
            <w:tcW w:w="505" w:type="pct"/>
            <w:vAlign w:val="center"/>
            <w:hideMark/>
          </w:tcPr>
          <w:p w14:paraId="3E0D65EC" w14:textId="77777777" w:rsidR="00000000" w:rsidRDefault="00C1661D">
            <w:pPr>
              <w:spacing w:after="100"/>
              <w:rPr>
                <w:rFonts w:eastAsia="Times New Roman"/>
                <w:sz w:val="20"/>
                <w:szCs w:val="20"/>
              </w:rPr>
            </w:pPr>
          </w:p>
        </w:tc>
        <w:tc>
          <w:tcPr>
            <w:tcW w:w="5" w:type="pct"/>
            <w:vAlign w:val="center"/>
            <w:hideMark/>
          </w:tcPr>
          <w:p w14:paraId="230BD6E4" w14:textId="77777777" w:rsidR="00000000" w:rsidRDefault="00C1661D">
            <w:pPr>
              <w:spacing w:after="100"/>
              <w:rPr>
                <w:rFonts w:eastAsia="Times New Roman"/>
                <w:sz w:val="20"/>
                <w:szCs w:val="20"/>
              </w:rPr>
            </w:pPr>
          </w:p>
        </w:tc>
      </w:tr>
      <w:tr w:rsidR="00000000" w14:paraId="5DEAAE9E" w14:textId="77777777">
        <w:trPr>
          <w:jc w:val="center"/>
        </w:trPr>
        <w:tc>
          <w:tcPr>
            <w:tcW w:w="0" w:type="auto"/>
            <w:gridSpan w:val="18"/>
            <w:tcMar>
              <w:top w:w="30" w:type="dxa"/>
              <w:left w:w="20" w:type="dxa"/>
              <w:bottom w:w="30" w:type="dxa"/>
              <w:right w:w="20" w:type="dxa"/>
            </w:tcMar>
            <w:hideMark/>
          </w:tcPr>
          <w:p w14:paraId="60A61118" w14:textId="77777777" w:rsidR="00000000" w:rsidRDefault="00C1661D">
            <w:pPr>
              <w:spacing w:after="100"/>
              <w:rPr>
                <w:rFonts w:eastAsia="Times New Roman"/>
              </w:rPr>
            </w:pPr>
            <w:r>
              <w:rPr>
                <w:rFonts w:eastAsia="Times New Roman"/>
                <w:color w:val="000000"/>
                <w:sz w:val="20"/>
                <w:szCs w:val="20"/>
              </w:rPr>
              <w:t>Incorporation by Reference</w:t>
            </w:r>
          </w:p>
        </w:tc>
      </w:tr>
      <w:tr w:rsidR="00000000" w14:paraId="75F6AC41" w14:textId="77777777">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0F39C8A1" w14:textId="77777777" w:rsidR="00000000" w:rsidRDefault="00C1661D">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36D28B2D" w14:textId="77777777" w:rsidR="00000000" w:rsidRDefault="00C1661D">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46320A26" w14:textId="77777777" w:rsidR="00000000" w:rsidRDefault="00C1661D">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14:paraId="08BC349E" w14:textId="77777777" w:rsidR="00000000" w:rsidRDefault="00C1661D">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373B3896" w14:textId="77777777" w:rsidR="00000000" w:rsidRDefault="00C1661D">
            <w:pPr>
              <w:spacing w:after="100"/>
              <w:rPr>
                <w:rFonts w:eastAsia="Times New Roman"/>
              </w:rPr>
            </w:pPr>
            <w:r>
              <w:rPr>
                <w:rFonts w:eastAsia="Times New Roman"/>
                <w:color w:val="000000"/>
                <w:sz w:val="20"/>
                <w:szCs w:val="20"/>
              </w:rPr>
              <w:t>Exhibit</w:t>
            </w:r>
          </w:p>
        </w:tc>
      </w:tr>
      <w:tr w:rsidR="00000000" w14:paraId="6CA403C2" w14:textId="77777777">
        <w:trPr>
          <w:jc w:val="center"/>
        </w:trPr>
        <w:tc>
          <w:tcPr>
            <w:tcW w:w="0" w:type="auto"/>
            <w:gridSpan w:val="3"/>
            <w:tcMar>
              <w:top w:w="30" w:type="dxa"/>
              <w:left w:w="20" w:type="dxa"/>
              <w:bottom w:w="30" w:type="dxa"/>
              <w:right w:w="20" w:type="dxa"/>
            </w:tcMar>
            <w:hideMark/>
          </w:tcPr>
          <w:p w14:paraId="133B2AAF" w14:textId="77777777" w:rsidR="00000000" w:rsidRDefault="00C1661D">
            <w:pPr>
              <w:spacing w:after="100"/>
              <w:rPr>
                <w:rFonts w:eastAsia="Times New Roman"/>
              </w:rPr>
            </w:pPr>
            <w:r>
              <w:rPr>
                <w:rFonts w:eastAsia="Times New Roman"/>
                <w:color w:val="000000"/>
                <w:sz w:val="20"/>
                <w:szCs w:val="20"/>
              </w:rPr>
              <w:t>10.37</w:t>
            </w:r>
          </w:p>
        </w:tc>
        <w:tc>
          <w:tcPr>
            <w:tcW w:w="0" w:type="auto"/>
            <w:gridSpan w:val="3"/>
            <w:tcMar>
              <w:top w:w="30" w:type="dxa"/>
              <w:left w:w="20" w:type="dxa"/>
              <w:bottom w:w="30" w:type="dxa"/>
              <w:right w:w="20" w:type="dxa"/>
            </w:tcMar>
            <w:hideMark/>
          </w:tcPr>
          <w:p w14:paraId="5FE132CB" w14:textId="77777777" w:rsidR="00000000" w:rsidRDefault="00C1661D">
            <w:pPr>
              <w:spacing w:after="100"/>
              <w:divId w:val="795635021"/>
              <w:rPr>
                <w:rFonts w:eastAsia="Times New Roman"/>
              </w:rPr>
            </w:pPr>
            <w:hyperlink r:id="rId75" w:history="1">
              <w:r>
                <w:rPr>
                  <w:rStyle w:val="a3"/>
                  <w:rFonts w:eastAsia="Times New Roman"/>
                  <w:sz w:val="20"/>
                  <w:szCs w:val="20"/>
                </w:rPr>
                <w:t>Form of Purchase and Sale Agreement, dated as of November 30, 2001, as amended through and including Amendment No. 4 thereto dated October 1, 2013, b</w:t>
              </w:r>
              <w:r>
                <w:rPr>
                  <w:rStyle w:val="a3"/>
                  <w:rFonts w:eastAsia="Times New Roman"/>
                  <w:sz w:val="20"/>
                  <w:szCs w:val="20"/>
                </w:rPr>
                <w:t>y and between UGI Energy Services, LLC and Energy Services Funding Corporation.</w:t>
              </w:r>
            </w:hyperlink>
          </w:p>
        </w:tc>
        <w:tc>
          <w:tcPr>
            <w:tcW w:w="0" w:type="auto"/>
            <w:gridSpan w:val="3"/>
            <w:tcMar>
              <w:top w:w="30" w:type="dxa"/>
              <w:left w:w="20" w:type="dxa"/>
              <w:bottom w:w="30" w:type="dxa"/>
              <w:right w:w="20" w:type="dxa"/>
            </w:tcMar>
            <w:hideMark/>
          </w:tcPr>
          <w:p w14:paraId="5D6690ED"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42D2C59D" w14:textId="77777777" w:rsidR="00000000" w:rsidRDefault="00C1661D">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(9/30/17)</w:t>
            </w:r>
          </w:p>
        </w:tc>
        <w:tc>
          <w:tcPr>
            <w:tcW w:w="0" w:type="auto"/>
            <w:gridSpan w:val="3"/>
            <w:tcMar>
              <w:top w:w="30" w:type="dxa"/>
              <w:left w:w="20" w:type="dxa"/>
              <w:bottom w:w="30" w:type="dxa"/>
              <w:right w:w="20" w:type="dxa"/>
            </w:tcMar>
            <w:hideMark/>
          </w:tcPr>
          <w:p w14:paraId="2AF3F8FE" w14:textId="77777777" w:rsidR="00000000" w:rsidRDefault="00C1661D">
            <w:pPr>
              <w:spacing w:after="100"/>
              <w:rPr>
                <w:rFonts w:eastAsia="Times New Roman"/>
              </w:rPr>
            </w:pPr>
            <w:r>
              <w:rPr>
                <w:rFonts w:eastAsia="Times New Roman"/>
                <w:color w:val="000000"/>
                <w:sz w:val="20"/>
                <w:szCs w:val="20"/>
              </w:rPr>
              <w:t>10.39</w:t>
            </w:r>
          </w:p>
        </w:tc>
      </w:tr>
      <w:tr w:rsidR="00000000" w14:paraId="55BA607E" w14:textId="77777777">
        <w:trPr>
          <w:jc w:val="center"/>
        </w:trPr>
        <w:tc>
          <w:tcPr>
            <w:tcW w:w="0" w:type="auto"/>
            <w:gridSpan w:val="3"/>
            <w:tcMar>
              <w:top w:w="30" w:type="dxa"/>
              <w:left w:w="20" w:type="dxa"/>
              <w:bottom w:w="30" w:type="dxa"/>
              <w:right w:w="20" w:type="dxa"/>
            </w:tcMar>
            <w:hideMark/>
          </w:tcPr>
          <w:p w14:paraId="6B31215C" w14:textId="77777777" w:rsidR="00000000" w:rsidRDefault="00C1661D">
            <w:pPr>
              <w:spacing w:after="100"/>
              <w:rPr>
                <w:rFonts w:eastAsia="Times New Roman"/>
              </w:rPr>
            </w:pPr>
            <w:r>
              <w:rPr>
                <w:rFonts w:eastAsia="Times New Roman"/>
                <w:color w:val="000000"/>
                <w:sz w:val="20"/>
                <w:szCs w:val="20"/>
              </w:rPr>
              <w:t>10.38</w:t>
            </w:r>
          </w:p>
        </w:tc>
        <w:tc>
          <w:tcPr>
            <w:tcW w:w="0" w:type="auto"/>
            <w:gridSpan w:val="3"/>
            <w:tcMar>
              <w:top w:w="30" w:type="dxa"/>
              <w:left w:w="20" w:type="dxa"/>
              <w:bottom w:w="30" w:type="dxa"/>
              <w:right w:w="20" w:type="dxa"/>
            </w:tcMar>
            <w:hideMark/>
          </w:tcPr>
          <w:p w14:paraId="56D9B83D" w14:textId="77777777" w:rsidR="00000000" w:rsidRDefault="00C1661D">
            <w:pPr>
              <w:spacing w:after="100"/>
              <w:divId w:val="961426666"/>
              <w:rPr>
                <w:rFonts w:eastAsia="Times New Roman"/>
              </w:rPr>
            </w:pPr>
            <w:hyperlink r:id="rId76" w:history="1">
              <w:r>
                <w:rPr>
                  <w:rStyle w:val="a3"/>
                  <w:rFonts w:eastAsia="Times New Roman"/>
                  <w:sz w:val="20"/>
                  <w:szCs w:val="20"/>
                </w:rPr>
                <w:t>FSS Service Agreement No. 79028 effective as of December 1, 2019 by and between Columbia Gas Transmission, LLC and UGI Utilities, Inc.</w:t>
              </w:r>
            </w:hyperlink>
          </w:p>
        </w:tc>
        <w:tc>
          <w:tcPr>
            <w:tcW w:w="0" w:type="auto"/>
            <w:gridSpan w:val="3"/>
            <w:tcMar>
              <w:top w:w="30" w:type="dxa"/>
              <w:left w:w="20" w:type="dxa"/>
              <w:bottom w:w="30" w:type="dxa"/>
              <w:right w:w="20" w:type="dxa"/>
            </w:tcMar>
            <w:hideMark/>
          </w:tcPr>
          <w:p w14:paraId="797DD2B3"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6B09155C" w14:textId="77777777" w:rsidR="00000000" w:rsidRDefault="00C1661D">
            <w:pPr>
              <w:spacing w:after="100"/>
              <w:jc w:val="center"/>
              <w:rPr>
                <w:rFonts w:eastAsia="Times New Roman"/>
              </w:rPr>
            </w:pPr>
            <w:r>
              <w:rPr>
                <w:rFonts w:eastAsia="Times New Roman"/>
                <w:color w:val="000000"/>
                <w:sz w:val="20"/>
                <w:szCs w:val="20"/>
              </w:rPr>
              <w:t xml:space="preserve">Form </w:t>
            </w:r>
            <w:r>
              <w:rPr>
                <w:rFonts w:eastAsia="Times New Roman"/>
                <w:color w:val="000000"/>
                <w:sz w:val="20"/>
                <w:szCs w:val="20"/>
              </w:rPr>
              <w:t>10-K</w:t>
            </w:r>
            <w:r>
              <w:rPr>
                <w:rFonts w:eastAsia="Times New Roman"/>
                <w:color w:val="000000"/>
                <w:sz w:val="20"/>
                <w:szCs w:val="20"/>
              </w:rPr>
              <w:br/>
              <w:t>(9/30/19)</w:t>
            </w:r>
          </w:p>
        </w:tc>
        <w:tc>
          <w:tcPr>
            <w:tcW w:w="0" w:type="auto"/>
            <w:gridSpan w:val="3"/>
            <w:tcMar>
              <w:top w:w="30" w:type="dxa"/>
              <w:left w:w="20" w:type="dxa"/>
              <w:bottom w:w="30" w:type="dxa"/>
              <w:right w:w="20" w:type="dxa"/>
            </w:tcMar>
            <w:hideMark/>
          </w:tcPr>
          <w:p w14:paraId="56855FD5" w14:textId="77777777" w:rsidR="00000000" w:rsidRDefault="00C1661D">
            <w:pPr>
              <w:spacing w:after="100"/>
              <w:rPr>
                <w:rFonts w:eastAsia="Times New Roman"/>
              </w:rPr>
            </w:pPr>
            <w:r>
              <w:rPr>
                <w:rFonts w:eastAsia="Times New Roman"/>
                <w:color w:val="000000"/>
                <w:sz w:val="20"/>
                <w:szCs w:val="20"/>
              </w:rPr>
              <w:t>10.40</w:t>
            </w:r>
          </w:p>
        </w:tc>
      </w:tr>
      <w:tr w:rsidR="00000000" w14:paraId="510CC7C2" w14:textId="77777777">
        <w:trPr>
          <w:jc w:val="center"/>
        </w:trPr>
        <w:tc>
          <w:tcPr>
            <w:tcW w:w="0" w:type="auto"/>
            <w:gridSpan w:val="3"/>
            <w:tcMar>
              <w:top w:w="30" w:type="dxa"/>
              <w:left w:w="20" w:type="dxa"/>
              <w:bottom w:w="30" w:type="dxa"/>
              <w:right w:w="20" w:type="dxa"/>
            </w:tcMar>
            <w:hideMark/>
          </w:tcPr>
          <w:p w14:paraId="6A14B41D" w14:textId="77777777" w:rsidR="00000000" w:rsidRDefault="00C1661D">
            <w:pPr>
              <w:spacing w:after="100"/>
              <w:rPr>
                <w:rFonts w:eastAsia="Times New Roman"/>
              </w:rPr>
            </w:pPr>
            <w:r>
              <w:rPr>
                <w:rFonts w:eastAsia="Times New Roman"/>
                <w:color w:val="000000"/>
                <w:sz w:val="20"/>
                <w:szCs w:val="20"/>
              </w:rPr>
              <w:t>10.39</w:t>
            </w:r>
          </w:p>
        </w:tc>
        <w:tc>
          <w:tcPr>
            <w:tcW w:w="0" w:type="auto"/>
            <w:gridSpan w:val="3"/>
            <w:tcMar>
              <w:top w:w="30" w:type="dxa"/>
              <w:left w:w="20" w:type="dxa"/>
              <w:bottom w:w="30" w:type="dxa"/>
              <w:right w:w="20" w:type="dxa"/>
            </w:tcMar>
            <w:hideMark/>
          </w:tcPr>
          <w:p w14:paraId="374E9D6B" w14:textId="77777777" w:rsidR="00000000" w:rsidRDefault="00C1661D">
            <w:pPr>
              <w:spacing w:after="100"/>
              <w:divId w:val="2096515083"/>
              <w:rPr>
                <w:rFonts w:eastAsia="Times New Roman"/>
              </w:rPr>
            </w:pPr>
            <w:hyperlink r:id="rId77" w:history="1">
              <w:r>
                <w:rPr>
                  <w:rStyle w:val="a3"/>
                  <w:rFonts w:eastAsia="Times New Roman"/>
                  <w:sz w:val="20"/>
                  <w:szCs w:val="20"/>
                </w:rPr>
                <w:t>SST Service Agreement No. </w:t>
              </w:r>
              <w:r>
                <w:rPr>
                  <w:rStyle w:val="a3"/>
                  <w:rFonts w:eastAsia="Times New Roman"/>
                  <w:sz w:val="20"/>
                  <w:szCs w:val="20"/>
                </w:rPr>
                <w:t>79133 effective as of December 1, 2019 by and between Columbia Gas Transmission, LLC and UGI Utilities, Inc.</w:t>
              </w:r>
            </w:hyperlink>
          </w:p>
        </w:tc>
        <w:tc>
          <w:tcPr>
            <w:tcW w:w="0" w:type="auto"/>
            <w:gridSpan w:val="3"/>
            <w:tcMar>
              <w:top w:w="30" w:type="dxa"/>
              <w:left w:w="20" w:type="dxa"/>
              <w:bottom w:w="30" w:type="dxa"/>
              <w:right w:w="20" w:type="dxa"/>
            </w:tcMar>
            <w:hideMark/>
          </w:tcPr>
          <w:p w14:paraId="5DF9E664"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57085FF8" w14:textId="77777777" w:rsidR="00000000" w:rsidRDefault="00C1661D">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(9/30/19)</w:t>
            </w:r>
          </w:p>
        </w:tc>
        <w:tc>
          <w:tcPr>
            <w:tcW w:w="0" w:type="auto"/>
            <w:gridSpan w:val="3"/>
            <w:tcMar>
              <w:top w:w="30" w:type="dxa"/>
              <w:left w:w="20" w:type="dxa"/>
              <w:bottom w:w="30" w:type="dxa"/>
              <w:right w:w="20" w:type="dxa"/>
            </w:tcMar>
            <w:hideMark/>
          </w:tcPr>
          <w:p w14:paraId="77569E88" w14:textId="77777777" w:rsidR="00000000" w:rsidRDefault="00C1661D">
            <w:pPr>
              <w:spacing w:after="100"/>
              <w:rPr>
                <w:rFonts w:eastAsia="Times New Roman"/>
              </w:rPr>
            </w:pPr>
            <w:r>
              <w:rPr>
                <w:rFonts w:eastAsia="Times New Roman"/>
                <w:color w:val="000000"/>
                <w:sz w:val="20"/>
                <w:szCs w:val="20"/>
              </w:rPr>
              <w:t>10.41</w:t>
            </w:r>
          </w:p>
        </w:tc>
      </w:tr>
      <w:tr w:rsidR="00000000" w14:paraId="3ADD09B2" w14:textId="77777777">
        <w:trPr>
          <w:jc w:val="center"/>
        </w:trPr>
        <w:tc>
          <w:tcPr>
            <w:tcW w:w="0" w:type="auto"/>
            <w:gridSpan w:val="3"/>
            <w:tcMar>
              <w:top w:w="30" w:type="dxa"/>
              <w:left w:w="20" w:type="dxa"/>
              <w:bottom w:w="30" w:type="dxa"/>
              <w:right w:w="20" w:type="dxa"/>
            </w:tcMar>
            <w:hideMark/>
          </w:tcPr>
          <w:p w14:paraId="72583D28" w14:textId="77777777" w:rsidR="00000000" w:rsidRDefault="00C1661D">
            <w:pPr>
              <w:spacing w:after="100"/>
              <w:rPr>
                <w:rFonts w:eastAsia="Times New Roman"/>
              </w:rPr>
            </w:pPr>
            <w:r>
              <w:rPr>
                <w:rFonts w:eastAsia="Times New Roman"/>
                <w:color w:val="000000"/>
                <w:sz w:val="20"/>
                <w:szCs w:val="20"/>
              </w:rPr>
              <w:t>10.40</w:t>
            </w:r>
          </w:p>
        </w:tc>
        <w:tc>
          <w:tcPr>
            <w:tcW w:w="0" w:type="auto"/>
            <w:gridSpan w:val="3"/>
            <w:tcMar>
              <w:top w:w="30" w:type="dxa"/>
              <w:left w:w="20" w:type="dxa"/>
              <w:bottom w:w="30" w:type="dxa"/>
              <w:right w:w="20" w:type="dxa"/>
            </w:tcMar>
            <w:hideMark/>
          </w:tcPr>
          <w:p w14:paraId="3E2F2603" w14:textId="77777777" w:rsidR="00000000" w:rsidRDefault="00C1661D">
            <w:pPr>
              <w:spacing w:after="100"/>
              <w:divId w:val="1978871959"/>
              <w:rPr>
                <w:rFonts w:eastAsia="Times New Roman"/>
              </w:rPr>
            </w:pPr>
            <w:hyperlink r:id="rId78" w:history="1">
              <w:r>
                <w:rPr>
                  <w:rStyle w:val="a3"/>
                  <w:rFonts w:eastAsia="Times New Roman"/>
                  <w:sz w:val="20"/>
                  <w:szCs w:val="20"/>
                </w:rPr>
                <w:t>Gas Supply and Delivery Service Agreement between UGI Utilities, Inc. and UGI Energy Services, LLC, effective November 1, 2015.</w:t>
              </w:r>
            </w:hyperlink>
          </w:p>
        </w:tc>
        <w:tc>
          <w:tcPr>
            <w:tcW w:w="0" w:type="auto"/>
            <w:gridSpan w:val="3"/>
            <w:tcMar>
              <w:top w:w="30" w:type="dxa"/>
              <w:left w:w="20" w:type="dxa"/>
              <w:bottom w:w="30" w:type="dxa"/>
              <w:right w:w="20" w:type="dxa"/>
            </w:tcMar>
            <w:hideMark/>
          </w:tcPr>
          <w:p w14:paraId="31D20BF2" w14:textId="77777777" w:rsidR="00000000" w:rsidRDefault="00C1661D">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14:paraId="622107FF" w14:textId="77777777" w:rsidR="00000000" w:rsidRDefault="00C1661D">
            <w:pPr>
              <w:spacing w:after="100"/>
              <w:jc w:val="center"/>
              <w:rPr>
                <w:rFonts w:eastAsia="Times New Roman"/>
              </w:rPr>
            </w:pPr>
            <w:r>
              <w:rPr>
                <w:rFonts w:eastAsia="Times New Roman"/>
                <w:color w:val="000000"/>
                <w:sz w:val="20"/>
                <w:szCs w:val="20"/>
              </w:rPr>
              <w:t>Fo</w:t>
            </w:r>
            <w:r>
              <w:rPr>
                <w:rFonts w:eastAsia="Times New Roman"/>
                <w:color w:val="000000"/>
                <w:sz w:val="20"/>
                <w:szCs w:val="20"/>
              </w:rPr>
              <w:t>rm 10-K (9/30/16)</w:t>
            </w:r>
          </w:p>
        </w:tc>
        <w:tc>
          <w:tcPr>
            <w:tcW w:w="0" w:type="auto"/>
            <w:gridSpan w:val="3"/>
            <w:tcMar>
              <w:top w:w="30" w:type="dxa"/>
              <w:left w:w="20" w:type="dxa"/>
              <w:bottom w:w="30" w:type="dxa"/>
              <w:right w:w="20" w:type="dxa"/>
            </w:tcMar>
            <w:hideMark/>
          </w:tcPr>
          <w:p w14:paraId="283CAD9C" w14:textId="77777777" w:rsidR="00000000" w:rsidRDefault="00C1661D">
            <w:pPr>
              <w:spacing w:after="100"/>
              <w:rPr>
                <w:rFonts w:eastAsia="Times New Roman"/>
              </w:rPr>
            </w:pPr>
            <w:r>
              <w:rPr>
                <w:rFonts w:eastAsia="Times New Roman"/>
                <w:color w:val="000000"/>
                <w:sz w:val="20"/>
                <w:szCs w:val="20"/>
              </w:rPr>
              <w:t>10.19</w:t>
            </w:r>
          </w:p>
        </w:tc>
      </w:tr>
      <w:tr w:rsidR="00000000" w14:paraId="04FB75B3" w14:textId="77777777">
        <w:trPr>
          <w:jc w:val="center"/>
        </w:trPr>
        <w:tc>
          <w:tcPr>
            <w:tcW w:w="0" w:type="auto"/>
            <w:gridSpan w:val="3"/>
            <w:tcMar>
              <w:top w:w="30" w:type="dxa"/>
              <w:left w:w="20" w:type="dxa"/>
              <w:bottom w:w="30" w:type="dxa"/>
              <w:right w:w="20" w:type="dxa"/>
            </w:tcMar>
            <w:hideMark/>
          </w:tcPr>
          <w:p w14:paraId="4CC9CB34" w14:textId="77777777" w:rsidR="00000000" w:rsidRDefault="00C1661D">
            <w:pPr>
              <w:spacing w:after="100"/>
              <w:rPr>
                <w:rFonts w:eastAsia="Times New Roman"/>
              </w:rPr>
            </w:pPr>
            <w:r>
              <w:rPr>
                <w:rFonts w:eastAsia="Times New Roman"/>
                <w:color w:val="000000"/>
                <w:sz w:val="20"/>
                <w:szCs w:val="20"/>
              </w:rPr>
              <w:t>10.41</w:t>
            </w:r>
          </w:p>
        </w:tc>
        <w:tc>
          <w:tcPr>
            <w:tcW w:w="0" w:type="auto"/>
            <w:gridSpan w:val="3"/>
            <w:tcMar>
              <w:top w:w="30" w:type="dxa"/>
              <w:left w:w="20" w:type="dxa"/>
              <w:bottom w:w="30" w:type="dxa"/>
              <w:right w:w="20" w:type="dxa"/>
            </w:tcMar>
            <w:hideMark/>
          </w:tcPr>
          <w:p w14:paraId="7485660D" w14:textId="77777777" w:rsidR="00000000" w:rsidRDefault="00C1661D">
            <w:pPr>
              <w:spacing w:after="100"/>
              <w:divId w:val="575020485"/>
              <w:rPr>
                <w:rFonts w:eastAsia="Times New Roman"/>
              </w:rPr>
            </w:pPr>
            <w:hyperlink r:id="rId79" w:history="1">
              <w:r>
                <w:rPr>
                  <w:rStyle w:val="a3"/>
                  <w:rFonts w:eastAsia="Times New Roman"/>
                  <w:sz w:val="20"/>
                  <w:szCs w:val="20"/>
                </w:rPr>
                <w:t>First Amendment, dated November 1, 2020, to Gas Supply and Delivery Service Agreement First Amendment, dated November 1, 2020, to Gas Supply and Delivery Service Agreement between UGI Utilities, Inc. and UGI Energy Services, LLC, effective November 1, 2015</w:t>
              </w:r>
              <w:r>
                <w:rPr>
                  <w:rStyle w:val="a3"/>
                  <w:rFonts w:eastAsia="Times New Roman"/>
                  <w:sz w:val="20"/>
                  <w:szCs w:val="20"/>
                </w:rPr>
                <w:t>. UGI Utilities, Inc. and UGI Energy Services, LLC, effective November 1, 2015.</w:t>
              </w:r>
            </w:hyperlink>
          </w:p>
        </w:tc>
        <w:tc>
          <w:tcPr>
            <w:tcW w:w="0" w:type="auto"/>
            <w:gridSpan w:val="3"/>
            <w:tcMar>
              <w:top w:w="30" w:type="dxa"/>
              <w:left w:w="20" w:type="dxa"/>
              <w:bottom w:w="30" w:type="dxa"/>
              <w:right w:w="20" w:type="dxa"/>
            </w:tcMar>
            <w:hideMark/>
          </w:tcPr>
          <w:p w14:paraId="3CA8EA99"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373CBC62" w14:textId="77777777" w:rsidR="00000000" w:rsidRDefault="00C1661D">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(9/30/20)</w:t>
            </w:r>
          </w:p>
        </w:tc>
        <w:tc>
          <w:tcPr>
            <w:tcW w:w="0" w:type="auto"/>
            <w:gridSpan w:val="3"/>
            <w:tcMar>
              <w:top w:w="30" w:type="dxa"/>
              <w:left w:w="20" w:type="dxa"/>
              <w:bottom w:w="30" w:type="dxa"/>
              <w:right w:w="20" w:type="dxa"/>
            </w:tcMar>
            <w:hideMark/>
          </w:tcPr>
          <w:p w14:paraId="3013DC69" w14:textId="77777777" w:rsidR="00000000" w:rsidRDefault="00C1661D">
            <w:pPr>
              <w:spacing w:after="100"/>
              <w:rPr>
                <w:rFonts w:eastAsia="Times New Roman"/>
              </w:rPr>
            </w:pPr>
            <w:r>
              <w:rPr>
                <w:rFonts w:eastAsia="Times New Roman"/>
                <w:color w:val="000000"/>
                <w:sz w:val="20"/>
                <w:szCs w:val="20"/>
              </w:rPr>
              <w:t>10.41</w:t>
            </w:r>
          </w:p>
        </w:tc>
      </w:tr>
      <w:tr w:rsidR="00000000" w14:paraId="00A06088" w14:textId="77777777">
        <w:trPr>
          <w:jc w:val="center"/>
        </w:trPr>
        <w:tc>
          <w:tcPr>
            <w:tcW w:w="0" w:type="auto"/>
            <w:gridSpan w:val="3"/>
            <w:tcMar>
              <w:top w:w="30" w:type="dxa"/>
              <w:left w:w="20" w:type="dxa"/>
              <w:bottom w:w="30" w:type="dxa"/>
              <w:right w:w="20" w:type="dxa"/>
            </w:tcMar>
            <w:hideMark/>
          </w:tcPr>
          <w:p w14:paraId="3DDF076E" w14:textId="77777777" w:rsidR="00000000" w:rsidRDefault="00C1661D">
            <w:pPr>
              <w:spacing w:after="100"/>
              <w:rPr>
                <w:rFonts w:eastAsia="Times New Roman"/>
              </w:rPr>
            </w:pPr>
            <w:r>
              <w:rPr>
                <w:rFonts w:eastAsia="Times New Roman"/>
                <w:color w:val="000000"/>
                <w:sz w:val="20"/>
                <w:szCs w:val="20"/>
              </w:rPr>
              <w:t>10.42</w:t>
            </w:r>
          </w:p>
        </w:tc>
        <w:tc>
          <w:tcPr>
            <w:tcW w:w="0" w:type="auto"/>
            <w:gridSpan w:val="3"/>
            <w:tcMar>
              <w:top w:w="30" w:type="dxa"/>
              <w:left w:w="20" w:type="dxa"/>
              <w:bottom w:w="30" w:type="dxa"/>
              <w:right w:w="20" w:type="dxa"/>
            </w:tcMar>
            <w:hideMark/>
          </w:tcPr>
          <w:p w14:paraId="302CD1AA" w14:textId="77777777" w:rsidR="00000000" w:rsidRDefault="00C1661D">
            <w:pPr>
              <w:spacing w:after="100"/>
              <w:divId w:val="357000826"/>
              <w:rPr>
                <w:rFonts w:eastAsia="Times New Roman"/>
              </w:rPr>
            </w:pPr>
            <w:hyperlink r:id="rId80" w:history="1">
              <w:r>
                <w:rPr>
                  <w:rStyle w:val="a3"/>
                  <w:rFonts w:eastAsia="Times New Roman"/>
                  <w:sz w:val="20"/>
                  <w:szCs w:val="20"/>
                </w:rPr>
                <w:t>Gas Supply and Delive</w:t>
              </w:r>
              <w:r>
                <w:rPr>
                  <w:rStyle w:val="a3"/>
                  <w:rFonts w:eastAsia="Times New Roman"/>
                  <w:sz w:val="20"/>
                  <w:szCs w:val="20"/>
                </w:rPr>
                <w:t>ry Service Agreement between UGI Utilities, Inc. and UGI Energy Services, LLC, effective November 1, 2020.</w:t>
              </w:r>
            </w:hyperlink>
          </w:p>
        </w:tc>
        <w:tc>
          <w:tcPr>
            <w:tcW w:w="0" w:type="auto"/>
            <w:gridSpan w:val="3"/>
            <w:tcMar>
              <w:top w:w="30" w:type="dxa"/>
              <w:left w:w="20" w:type="dxa"/>
              <w:bottom w:w="30" w:type="dxa"/>
              <w:right w:w="20" w:type="dxa"/>
            </w:tcMar>
            <w:hideMark/>
          </w:tcPr>
          <w:p w14:paraId="42744445"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016BD8EC" w14:textId="77777777" w:rsidR="00000000" w:rsidRDefault="00C1661D">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(9/30/20)</w:t>
            </w:r>
          </w:p>
        </w:tc>
        <w:tc>
          <w:tcPr>
            <w:tcW w:w="0" w:type="auto"/>
            <w:gridSpan w:val="3"/>
            <w:tcMar>
              <w:top w:w="30" w:type="dxa"/>
              <w:left w:w="20" w:type="dxa"/>
              <w:bottom w:w="30" w:type="dxa"/>
              <w:right w:w="20" w:type="dxa"/>
            </w:tcMar>
            <w:hideMark/>
          </w:tcPr>
          <w:p w14:paraId="216D7EA6" w14:textId="77777777" w:rsidR="00000000" w:rsidRDefault="00C1661D">
            <w:pPr>
              <w:spacing w:after="100"/>
              <w:rPr>
                <w:rFonts w:eastAsia="Times New Roman"/>
              </w:rPr>
            </w:pPr>
            <w:r>
              <w:rPr>
                <w:rFonts w:eastAsia="Times New Roman"/>
                <w:color w:val="000000"/>
                <w:sz w:val="20"/>
                <w:szCs w:val="20"/>
              </w:rPr>
              <w:t>10.42</w:t>
            </w:r>
          </w:p>
        </w:tc>
      </w:tr>
      <w:tr w:rsidR="00000000" w14:paraId="72350FF0" w14:textId="77777777">
        <w:trPr>
          <w:jc w:val="center"/>
        </w:trPr>
        <w:tc>
          <w:tcPr>
            <w:tcW w:w="0" w:type="auto"/>
            <w:gridSpan w:val="3"/>
            <w:tcMar>
              <w:top w:w="30" w:type="dxa"/>
              <w:left w:w="20" w:type="dxa"/>
              <w:bottom w:w="30" w:type="dxa"/>
              <w:right w:w="20" w:type="dxa"/>
            </w:tcMar>
            <w:hideMark/>
          </w:tcPr>
          <w:p w14:paraId="23A3DF31" w14:textId="77777777" w:rsidR="00000000" w:rsidRDefault="00C1661D">
            <w:pPr>
              <w:spacing w:after="100"/>
              <w:rPr>
                <w:rFonts w:eastAsia="Times New Roman"/>
              </w:rPr>
            </w:pPr>
            <w:r>
              <w:rPr>
                <w:rFonts w:eastAsia="Times New Roman"/>
                <w:color w:val="000000"/>
                <w:sz w:val="20"/>
                <w:szCs w:val="20"/>
              </w:rPr>
              <w:t>10.43</w:t>
            </w:r>
          </w:p>
        </w:tc>
        <w:tc>
          <w:tcPr>
            <w:tcW w:w="0" w:type="auto"/>
            <w:gridSpan w:val="3"/>
            <w:tcMar>
              <w:top w:w="30" w:type="dxa"/>
              <w:left w:w="20" w:type="dxa"/>
              <w:bottom w:w="30" w:type="dxa"/>
              <w:right w:w="20" w:type="dxa"/>
            </w:tcMar>
            <w:hideMark/>
          </w:tcPr>
          <w:p w14:paraId="60B62936" w14:textId="77777777" w:rsidR="00000000" w:rsidRDefault="00C1661D">
            <w:pPr>
              <w:spacing w:after="100"/>
              <w:divId w:val="1787501060"/>
              <w:rPr>
                <w:rFonts w:eastAsia="Times New Roman"/>
              </w:rPr>
            </w:pPr>
            <w:hyperlink r:id="rId81" w:history="1">
              <w:r>
                <w:rPr>
                  <w:rStyle w:val="a3"/>
                  <w:rFonts w:eastAsia="Times New Roman"/>
                  <w:sz w:val="20"/>
                  <w:szCs w:val="20"/>
                </w:rPr>
                <w:t>Gas Supply and Delivery Service Agreement between UGI Utilities, Inc. and UGI Energy Services, LLC, effective November 1, 2021.</w:t>
              </w:r>
            </w:hyperlink>
          </w:p>
        </w:tc>
        <w:tc>
          <w:tcPr>
            <w:tcW w:w="0" w:type="auto"/>
            <w:gridSpan w:val="3"/>
            <w:tcMar>
              <w:top w:w="30" w:type="dxa"/>
              <w:left w:w="20" w:type="dxa"/>
              <w:bottom w:w="30" w:type="dxa"/>
              <w:right w:w="20" w:type="dxa"/>
            </w:tcMar>
            <w:hideMark/>
          </w:tcPr>
          <w:p w14:paraId="4757F879"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14E41D77" w14:textId="77777777" w:rsidR="00000000" w:rsidRDefault="00C1661D">
            <w:pPr>
              <w:spacing w:after="100"/>
              <w:jc w:val="center"/>
              <w:rPr>
                <w:rFonts w:eastAsia="Times New Roman"/>
              </w:rPr>
            </w:pPr>
            <w:r>
              <w:rPr>
                <w:rFonts w:eastAsia="Times New Roman"/>
                <w:color w:val="000000"/>
                <w:sz w:val="20"/>
                <w:szCs w:val="20"/>
              </w:rPr>
              <w:t>Form 10</w:t>
            </w:r>
            <w:r>
              <w:rPr>
                <w:rFonts w:eastAsia="Times New Roman"/>
                <w:color w:val="000000"/>
                <w:sz w:val="20"/>
                <w:szCs w:val="20"/>
              </w:rPr>
              <w:t>-K</w:t>
            </w:r>
            <w:r>
              <w:rPr>
                <w:rFonts w:eastAsia="Times New Roman"/>
                <w:color w:val="000000"/>
                <w:sz w:val="20"/>
                <w:szCs w:val="20"/>
              </w:rPr>
              <w:br/>
              <w:t>(9/30/21)</w:t>
            </w:r>
          </w:p>
        </w:tc>
        <w:tc>
          <w:tcPr>
            <w:tcW w:w="0" w:type="auto"/>
            <w:gridSpan w:val="3"/>
            <w:tcMar>
              <w:top w:w="30" w:type="dxa"/>
              <w:left w:w="20" w:type="dxa"/>
              <w:bottom w:w="30" w:type="dxa"/>
              <w:right w:w="20" w:type="dxa"/>
            </w:tcMar>
            <w:hideMark/>
          </w:tcPr>
          <w:p w14:paraId="0E4B1A1A" w14:textId="77777777" w:rsidR="00000000" w:rsidRDefault="00C1661D">
            <w:pPr>
              <w:spacing w:after="100"/>
              <w:rPr>
                <w:rFonts w:eastAsia="Times New Roman"/>
              </w:rPr>
            </w:pPr>
            <w:r>
              <w:rPr>
                <w:rFonts w:eastAsia="Times New Roman"/>
                <w:color w:val="000000"/>
                <w:sz w:val="20"/>
                <w:szCs w:val="20"/>
              </w:rPr>
              <w:t>10.47</w:t>
            </w:r>
          </w:p>
        </w:tc>
      </w:tr>
      <w:tr w:rsidR="00000000" w14:paraId="68D84B36" w14:textId="77777777">
        <w:trPr>
          <w:jc w:val="center"/>
        </w:trPr>
        <w:tc>
          <w:tcPr>
            <w:tcW w:w="0" w:type="auto"/>
            <w:gridSpan w:val="3"/>
            <w:tcMar>
              <w:top w:w="30" w:type="dxa"/>
              <w:left w:w="20" w:type="dxa"/>
              <w:bottom w:w="30" w:type="dxa"/>
              <w:right w:w="20" w:type="dxa"/>
            </w:tcMar>
            <w:hideMark/>
          </w:tcPr>
          <w:p w14:paraId="78B168BD" w14:textId="77777777" w:rsidR="00000000" w:rsidRDefault="00C1661D">
            <w:pPr>
              <w:spacing w:after="100"/>
              <w:rPr>
                <w:rFonts w:eastAsia="Times New Roman"/>
              </w:rPr>
            </w:pPr>
            <w:r>
              <w:rPr>
                <w:rFonts w:eastAsia="Times New Roman"/>
                <w:color w:val="000000"/>
                <w:sz w:val="20"/>
                <w:szCs w:val="20"/>
              </w:rPr>
              <w:t>10.44</w:t>
            </w:r>
          </w:p>
        </w:tc>
        <w:tc>
          <w:tcPr>
            <w:tcW w:w="0" w:type="auto"/>
            <w:gridSpan w:val="3"/>
            <w:tcMar>
              <w:top w:w="30" w:type="dxa"/>
              <w:left w:w="20" w:type="dxa"/>
              <w:bottom w:w="30" w:type="dxa"/>
              <w:right w:w="20" w:type="dxa"/>
            </w:tcMar>
            <w:hideMark/>
          </w:tcPr>
          <w:p w14:paraId="490C12EB" w14:textId="77777777" w:rsidR="00000000" w:rsidRDefault="00C1661D">
            <w:pPr>
              <w:spacing w:after="100"/>
              <w:divId w:val="537789133"/>
              <w:rPr>
                <w:rFonts w:eastAsia="Times New Roman"/>
              </w:rPr>
            </w:pPr>
            <w:hyperlink r:id="rId82" w:history="1">
              <w:r>
                <w:rPr>
                  <w:rStyle w:val="a3"/>
                  <w:rFonts w:eastAsia="Times New Roman"/>
                  <w:sz w:val="20"/>
                  <w:szCs w:val="20"/>
                </w:rPr>
                <w:t>Credit Agreement, dated October 31, 2017, by and among UGI Utilities, Inc., PNC Bank National Association, as administrative agent, The Bank of New York Mellon, as syndication agent, and certain other lenders named therein.</w:t>
              </w:r>
            </w:hyperlink>
          </w:p>
        </w:tc>
        <w:tc>
          <w:tcPr>
            <w:tcW w:w="0" w:type="auto"/>
            <w:gridSpan w:val="3"/>
            <w:tcMar>
              <w:top w:w="30" w:type="dxa"/>
              <w:left w:w="20" w:type="dxa"/>
              <w:bottom w:w="30" w:type="dxa"/>
              <w:right w:w="20" w:type="dxa"/>
            </w:tcMar>
            <w:hideMark/>
          </w:tcPr>
          <w:p w14:paraId="6F3EAFBD" w14:textId="77777777" w:rsidR="00000000" w:rsidRDefault="00C1661D">
            <w:pPr>
              <w:spacing w:after="100"/>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14:paraId="52E8D4DA"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(10/31/17</w:t>
            </w:r>
            <w:r>
              <w:rPr>
                <w:rFonts w:eastAsia="Times New Roman"/>
                <w:color w:val="000000"/>
                <w:sz w:val="20"/>
                <w:szCs w:val="20"/>
              </w:rPr>
              <w:t>)</w:t>
            </w:r>
          </w:p>
        </w:tc>
        <w:tc>
          <w:tcPr>
            <w:tcW w:w="0" w:type="auto"/>
            <w:gridSpan w:val="3"/>
            <w:tcMar>
              <w:top w:w="30" w:type="dxa"/>
              <w:left w:w="20" w:type="dxa"/>
              <w:bottom w:w="30" w:type="dxa"/>
              <w:right w:w="20" w:type="dxa"/>
            </w:tcMar>
            <w:hideMark/>
          </w:tcPr>
          <w:p w14:paraId="493A9E50" w14:textId="77777777" w:rsidR="00000000" w:rsidRDefault="00C1661D">
            <w:pPr>
              <w:spacing w:after="100"/>
              <w:rPr>
                <w:rFonts w:eastAsia="Times New Roman"/>
              </w:rPr>
            </w:pPr>
            <w:r>
              <w:rPr>
                <w:rFonts w:eastAsia="Times New Roman"/>
                <w:color w:val="000000"/>
                <w:sz w:val="20"/>
                <w:szCs w:val="20"/>
              </w:rPr>
              <w:t>10.1</w:t>
            </w:r>
          </w:p>
        </w:tc>
      </w:tr>
    </w:tbl>
    <w:p w14:paraId="4CCA42E3" w14:textId="77777777" w:rsidR="00000000" w:rsidRDefault="00C1661D">
      <w:pPr>
        <w:jc w:val="center"/>
        <w:divId w:val="1175068353"/>
        <w:rPr>
          <w:rFonts w:eastAsia="Times New Roman"/>
        </w:rPr>
      </w:pPr>
      <w:r>
        <w:rPr>
          <w:rFonts w:eastAsia="Times New Roman"/>
          <w:color w:val="000000"/>
          <w:sz w:val="20"/>
          <w:szCs w:val="20"/>
        </w:rPr>
        <w:t>81</w:t>
      </w:r>
    </w:p>
    <w:p w14:paraId="0674EA5E" w14:textId="77777777" w:rsidR="00000000" w:rsidRDefault="00C1661D">
      <w:pPr>
        <w:rPr>
          <w:rFonts w:eastAsia="Times New Roman"/>
        </w:rPr>
      </w:pPr>
      <w:r>
        <w:rPr>
          <w:rFonts w:eastAsia="Times New Roman"/>
        </w:rPr>
        <w:pict w14:anchorId="0E47C43F">
          <v:rect id="_x0000_i1108" style="width:0;height:1.5pt" o:hralign="center" o:hrstd="t" o:hr="t" fillcolor="#a0a0a0" stroked="f"/>
        </w:pict>
      </w:r>
    </w:p>
    <w:p w14:paraId="4E4FBAD7" w14:textId="77777777" w:rsidR="00000000" w:rsidRDefault="00C1661D">
      <w:pPr>
        <w:divId w:val="1184249411"/>
        <w:rPr>
          <w:rFonts w:eastAsia="Times New Roman"/>
        </w:rPr>
      </w:pPr>
      <w:hyperlink w:anchor="i3850c3c6c0104e42b9951aac2f16098a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8"/>
        <w:gridCol w:w="55"/>
        <w:gridCol w:w="1693"/>
        <w:gridCol w:w="36"/>
        <w:gridCol w:w="55"/>
        <w:gridCol w:w="550"/>
        <w:gridCol w:w="38"/>
        <w:gridCol w:w="56"/>
        <w:gridCol w:w="551"/>
        <w:gridCol w:w="37"/>
        <w:gridCol w:w="57"/>
        <w:gridCol w:w="696"/>
        <w:gridCol w:w="36"/>
      </w:tblGrid>
      <w:tr w:rsidR="00000000" w14:paraId="7A1C190E" w14:textId="77777777">
        <w:trPr>
          <w:jc w:val="center"/>
        </w:trPr>
        <w:tc>
          <w:tcPr>
            <w:tcW w:w="50" w:type="pct"/>
            <w:vAlign w:val="center"/>
            <w:hideMark/>
          </w:tcPr>
          <w:p w14:paraId="63BFA7C4" w14:textId="77777777" w:rsidR="00000000" w:rsidRDefault="00C1661D">
            <w:pPr>
              <w:rPr>
                <w:rFonts w:eastAsia="Times New Roman"/>
              </w:rPr>
            </w:pPr>
          </w:p>
        </w:tc>
        <w:tc>
          <w:tcPr>
            <w:tcW w:w="729" w:type="pct"/>
            <w:vAlign w:val="center"/>
            <w:hideMark/>
          </w:tcPr>
          <w:p w14:paraId="4A93E5FD" w14:textId="77777777" w:rsidR="00000000" w:rsidRDefault="00C1661D">
            <w:pPr>
              <w:spacing w:after="100"/>
              <w:rPr>
                <w:rFonts w:eastAsia="Times New Roman"/>
                <w:sz w:val="20"/>
                <w:szCs w:val="20"/>
              </w:rPr>
            </w:pPr>
          </w:p>
        </w:tc>
        <w:tc>
          <w:tcPr>
            <w:tcW w:w="5" w:type="pct"/>
            <w:vAlign w:val="center"/>
            <w:hideMark/>
          </w:tcPr>
          <w:p w14:paraId="26EB084F" w14:textId="77777777" w:rsidR="00000000" w:rsidRDefault="00C1661D">
            <w:pPr>
              <w:spacing w:after="100"/>
              <w:rPr>
                <w:rFonts w:eastAsia="Times New Roman"/>
                <w:sz w:val="20"/>
                <w:szCs w:val="20"/>
              </w:rPr>
            </w:pPr>
          </w:p>
        </w:tc>
        <w:tc>
          <w:tcPr>
            <w:tcW w:w="50" w:type="pct"/>
            <w:vAlign w:val="center"/>
            <w:hideMark/>
          </w:tcPr>
          <w:p w14:paraId="21AA79AC" w14:textId="77777777" w:rsidR="00000000" w:rsidRDefault="00C1661D">
            <w:pPr>
              <w:spacing w:after="100"/>
              <w:rPr>
                <w:rFonts w:eastAsia="Times New Roman"/>
                <w:sz w:val="20"/>
                <w:szCs w:val="20"/>
              </w:rPr>
            </w:pPr>
          </w:p>
        </w:tc>
        <w:tc>
          <w:tcPr>
            <w:tcW w:w="1419" w:type="pct"/>
            <w:vAlign w:val="center"/>
            <w:hideMark/>
          </w:tcPr>
          <w:p w14:paraId="240A6D17" w14:textId="77777777" w:rsidR="00000000" w:rsidRDefault="00C1661D">
            <w:pPr>
              <w:spacing w:after="100"/>
              <w:rPr>
                <w:rFonts w:eastAsia="Times New Roman"/>
                <w:sz w:val="20"/>
                <w:szCs w:val="20"/>
              </w:rPr>
            </w:pPr>
          </w:p>
        </w:tc>
        <w:tc>
          <w:tcPr>
            <w:tcW w:w="5" w:type="pct"/>
            <w:vAlign w:val="center"/>
            <w:hideMark/>
          </w:tcPr>
          <w:p w14:paraId="3F07C846" w14:textId="77777777" w:rsidR="00000000" w:rsidRDefault="00C1661D">
            <w:pPr>
              <w:spacing w:after="100"/>
              <w:rPr>
                <w:rFonts w:eastAsia="Times New Roman"/>
                <w:sz w:val="20"/>
                <w:szCs w:val="20"/>
              </w:rPr>
            </w:pPr>
          </w:p>
        </w:tc>
        <w:tc>
          <w:tcPr>
            <w:tcW w:w="50" w:type="pct"/>
            <w:vAlign w:val="center"/>
            <w:hideMark/>
          </w:tcPr>
          <w:p w14:paraId="289AF2C2" w14:textId="77777777" w:rsidR="00000000" w:rsidRDefault="00C1661D">
            <w:pPr>
              <w:spacing w:after="100"/>
              <w:rPr>
                <w:rFonts w:eastAsia="Times New Roman"/>
                <w:sz w:val="20"/>
                <w:szCs w:val="20"/>
              </w:rPr>
            </w:pPr>
          </w:p>
        </w:tc>
        <w:tc>
          <w:tcPr>
            <w:tcW w:w="1212" w:type="pct"/>
            <w:vAlign w:val="center"/>
            <w:hideMark/>
          </w:tcPr>
          <w:p w14:paraId="5B5FC156" w14:textId="77777777" w:rsidR="00000000" w:rsidRDefault="00C1661D">
            <w:pPr>
              <w:spacing w:after="100"/>
              <w:rPr>
                <w:rFonts w:eastAsia="Times New Roman"/>
                <w:sz w:val="20"/>
                <w:szCs w:val="20"/>
              </w:rPr>
            </w:pPr>
          </w:p>
        </w:tc>
        <w:tc>
          <w:tcPr>
            <w:tcW w:w="5" w:type="pct"/>
            <w:vAlign w:val="center"/>
            <w:hideMark/>
          </w:tcPr>
          <w:p w14:paraId="0388D750" w14:textId="77777777" w:rsidR="00000000" w:rsidRDefault="00C1661D">
            <w:pPr>
              <w:spacing w:after="100"/>
              <w:rPr>
                <w:rFonts w:eastAsia="Times New Roman"/>
                <w:sz w:val="20"/>
                <w:szCs w:val="20"/>
              </w:rPr>
            </w:pPr>
          </w:p>
        </w:tc>
        <w:tc>
          <w:tcPr>
            <w:tcW w:w="50" w:type="pct"/>
            <w:vAlign w:val="center"/>
            <w:hideMark/>
          </w:tcPr>
          <w:p w14:paraId="33B8CE16" w14:textId="77777777" w:rsidR="00000000" w:rsidRDefault="00C1661D">
            <w:pPr>
              <w:spacing w:after="100"/>
              <w:rPr>
                <w:rFonts w:eastAsia="Times New Roman"/>
                <w:sz w:val="20"/>
                <w:szCs w:val="20"/>
              </w:rPr>
            </w:pPr>
          </w:p>
        </w:tc>
        <w:tc>
          <w:tcPr>
            <w:tcW w:w="401" w:type="pct"/>
            <w:vAlign w:val="center"/>
            <w:hideMark/>
          </w:tcPr>
          <w:p w14:paraId="53C6FA68" w14:textId="77777777" w:rsidR="00000000" w:rsidRDefault="00C1661D">
            <w:pPr>
              <w:spacing w:after="100"/>
              <w:rPr>
                <w:rFonts w:eastAsia="Times New Roman"/>
                <w:sz w:val="20"/>
                <w:szCs w:val="20"/>
              </w:rPr>
            </w:pPr>
          </w:p>
        </w:tc>
        <w:tc>
          <w:tcPr>
            <w:tcW w:w="5" w:type="pct"/>
            <w:vAlign w:val="center"/>
            <w:hideMark/>
          </w:tcPr>
          <w:p w14:paraId="13814E83" w14:textId="77777777" w:rsidR="00000000" w:rsidRDefault="00C1661D">
            <w:pPr>
              <w:spacing w:after="100"/>
              <w:rPr>
                <w:rFonts w:eastAsia="Times New Roman"/>
                <w:sz w:val="20"/>
                <w:szCs w:val="20"/>
              </w:rPr>
            </w:pPr>
          </w:p>
        </w:tc>
        <w:tc>
          <w:tcPr>
            <w:tcW w:w="50" w:type="pct"/>
            <w:vAlign w:val="center"/>
            <w:hideMark/>
          </w:tcPr>
          <w:p w14:paraId="62ADAC30" w14:textId="77777777" w:rsidR="00000000" w:rsidRDefault="00C1661D">
            <w:pPr>
              <w:spacing w:after="100"/>
              <w:rPr>
                <w:rFonts w:eastAsia="Times New Roman"/>
                <w:sz w:val="20"/>
                <w:szCs w:val="20"/>
              </w:rPr>
            </w:pPr>
          </w:p>
        </w:tc>
        <w:tc>
          <w:tcPr>
            <w:tcW w:w="401" w:type="pct"/>
            <w:vAlign w:val="center"/>
            <w:hideMark/>
          </w:tcPr>
          <w:p w14:paraId="3BB39AE9" w14:textId="77777777" w:rsidR="00000000" w:rsidRDefault="00C1661D">
            <w:pPr>
              <w:spacing w:after="100"/>
              <w:rPr>
                <w:rFonts w:eastAsia="Times New Roman"/>
                <w:sz w:val="20"/>
                <w:szCs w:val="20"/>
              </w:rPr>
            </w:pPr>
          </w:p>
        </w:tc>
        <w:tc>
          <w:tcPr>
            <w:tcW w:w="5" w:type="pct"/>
            <w:vAlign w:val="center"/>
            <w:hideMark/>
          </w:tcPr>
          <w:p w14:paraId="744A9E94" w14:textId="77777777" w:rsidR="00000000" w:rsidRDefault="00C1661D">
            <w:pPr>
              <w:spacing w:after="100"/>
              <w:rPr>
                <w:rFonts w:eastAsia="Times New Roman"/>
                <w:sz w:val="20"/>
                <w:szCs w:val="20"/>
              </w:rPr>
            </w:pPr>
          </w:p>
        </w:tc>
        <w:tc>
          <w:tcPr>
            <w:tcW w:w="50" w:type="pct"/>
            <w:vAlign w:val="center"/>
            <w:hideMark/>
          </w:tcPr>
          <w:p w14:paraId="6DB28DF9" w14:textId="77777777" w:rsidR="00000000" w:rsidRDefault="00C1661D">
            <w:pPr>
              <w:spacing w:after="100"/>
              <w:rPr>
                <w:rFonts w:eastAsia="Times New Roman"/>
                <w:sz w:val="20"/>
                <w:szCs w:val="20"/>
              </w:rPr>
            </w:pPr>
          </w:p>
        </w:tc>
        <w:tc>
          <w:tcPr>
            <w:tcW w:w="505" w:type="pct"/>
            <w:vAlign w:val="center"/>
            <w:hideMark/>
          </w:tcPr>
          <w:p w14:paraId="75FD6D2F" w14:textId="77777777" w:rsidR="00000000" w:rsidRDefault="00C1661D">
            <w:pPr>
              <w:spacing w:after="100"/>
              <w:rPr>
                <w:rFonts w:eastAsia="Times New Roman"/>
                <w:sz w:val="20"/>
                <w:szCs w:val="20"/>
              </w:rPr>
            </w:pPr>
          </w:p>
        </w:tc>
        <w:tc>
          <w:tcPr>
            <w:tcW w:w="5" w:type="pct"/>
            <w:vAlign w:val="center"/>
            <w:hideMark/>
          </w:tcPr>
          <w:p w14:paraId="16529B4A" w14:textId="77777777" w:rsidR="00000000" w:rsidRDefault="00C1661D">
            <w:pPr>
              <w:spacing w:after="100"/>
              <w:rPr>
                <w:rFonts w:eastAsia="Times New Roman"/>
                <w:sz w:val="20"/>
                <w:szCs w:val="20"/>
              </w:rPr>
            </w:pPr>
          </w:p>
        </w:tc>
      </w:tr>
      <w:tr w:rsidR="00000000" w14:paraId="7327BAB1" w14:textId="77777777">
        <w:trPr>
          <w:jc w:val="center"/>
        </w:trPr>
        <w:tc>
          <w:tcPr>
            <w:tcW w:w="0" w:type="auto"/>
            <w:gridSpan w:val="18"/>
            <w:tcMar>
              <w:top w:w="30" w:type="dxa"/>
              <w:left w:w="20" w:type="dxa"/>
              <w:bottom w:w="30" w:type="dxa"/>
              <w:right w:w="20" w:type="dxa"/>
            </w:tcMar>
            <w:hideMark/>
          </w:tcPr>
          <w:p w14:paraId="22FA309D" w14:textId="77777777" w:rsidR="00000000" w:rsidRDefault="00C1661D">
            <w:pPr>
              <w:spacing w:after="100"/>
              <w:rPr>
                <w:rFonts w:eastAsia="Times New Roman"/>
              </w:rPr>
            </w:pPr>
            <w:r>
              <w:rPr>
                <w:rFonts w:eastAsia="Times New Roman"/>
                <w:color w:val="000000"/>
                <w:sz w:val="20"/>
                <w:szCs w:val="20"/>
              </w:rPr>
              <w:t>Incorporation by Reference</w:t>
            </w:r>
          </w:p>
        </w:tc>
      </w:tr>
      <w:tr w:rsidR="00000000" w14:paraId="060FEF25" w14:textId="77777777">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56321954" w14:textId="77777777" w:rsidR="00000000" w:rsidRDefault="00C1661D">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5B027D43" w14:textId="77777777" w:rsidR="00000000" w:rsidRDefault="00C1661D">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098C53B4" w14:textId="77777777" w:rsidR="00000000" w:rsidRDefault="00C1661D">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14:paraId="6773C421" w14:textId="77777777" w:rsidR="00000000" w:rsidRDefault="00C1661D">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5F38187A" w14:textId="77777777" w:rsidR="00000000" w:rsidRDefault="00C1661D">
            <w:pPr>
              <w:spacing w:after="100"/>
              <w:rPr>
                <w:rFonts w:eastAsia="Times New Roman"/>
              </w:rPr>
            </w:pPr>
            <w:r>
              <w:rPr>
                <w:rFonts w:eastAsia="Times New Roman"/>
                <w:color w:val="000000"/>
                <w:sz w:val="20"/>
                <w:szCs w:val="20"/>
              </w:rPr>
              <w:t>Exhibit</w:t>
            </w:r>
          </w:p>
        </w:tc>
      </w:tr>
      <w:tr w:rsidR="00000000" w14:paraId="469FD17F" w14:textId="77777777">
        <w:trPr>
          <w:jc w:val="center"/>
        </w:trPr>
        <w:tc>
          <w:tcPr>
            <w:tcW w:w="0" w:type="auto"/>
            <w:gridSpan w:val="3"/>
            <w:tcMar>
              <w:top w:w="30" w:type="dxa"/>
              <w:left w:w="20" w:type="dxa"/>
              <w:bottom w:w="30" w:type="dxa"/>
              <w:right w:w="20" w:type="dxa"/>
            </w:tcMar>
            <w:hideMark/>
          </w:tcPr>
          <w:p w14:paraId="2C56045B" w14:textId="77777777" w:rsidR="00000000" w:rsidRDefault="00C1661D">
            <w:pPr>
              <w:spacing w:after="100"/>
              <w:rPr>
                <w:rFonts w:eastAsia="Times New Roman"/>
              </w:rPr>
            </w:pPr>
            <w:r>
              <w:rPr>
                <w:rFonts w:eastAsia="Times New Roman"/>
                <w:color w:val="000000"/>
                <w:sz w:val="20"/>
                <w:szCs w:val="20"/>
              </w:rPr>
              <w:t>10.45</w:t>
            </w:r>
          </w:p>
        </w:tc>
        <w:tc>
          <w:tcPr>
            <w:tcW w:w="0" w:type="auto"/>
            <w:gridSpan w:val="3"/>
            <w:tcMar>
              <w:top w:w="30" w:type="dxa"/>
              <w:left w:w="20" w:type="dxa"/>
              <w:bottom w:w="30" w:type="dxa"/>
              <w:right w:w="20" w:type="dxa"/>
            </w:tcMar>
            <w:hideMark/>
          </w:tcPr>
          <w:p w14:paraId="7AF1ED73" w14:textId="77777777" w:rsidR="00000000" w:rsidRDefault="00C1661D">
            <w:pPr>
              <w:spacing w:after="100"/>
              <w:divId w:val="605425059"/>
              <w:rPr>
                <w:rFonts w:eastAsia="Times New Roman"/>
              </w:rPr>
            </w:pPr>
            <w:hyperlink r:id="rId83" w:history="1">
              <w:r>
                <w:rPr>
                  <w:rStyle w:val="a3"/>
                  <w:rFonts w:eastAsia="Times New Roman"/>
                  <w:sz w:val="20"/>
                  <w:szCs w:val="20"/>
                </w:rPr>
                <w:t>First Amendment to Credit Agreement, dated July 12, 2022, by and among UGI Utilities, Inc., the lenders party thereto and PNC Bank, National Association, as administ</w:t>
              </w:r>
              <w:r>
                <w:rPr>
                  <w:rStyle w:val="a3"/>
                  <w:rFonts w:eastAsia="Times New Roman"/>
                  <w:sz w:val="20"/>
                  <w:szCs w:val="20"/>
                </w:rPr>
                <w:t>rative agent.</w:t>
              </w:r>
            </w:hyperlink>
          </w:p>
        </w:tc>
        <w:tc>
          <w:tcPr>
            <w:tcW w:w="0" w:type="auto"/>
            <w:gridSpan w:val="3"/>
            <w:tcMar>
              <w:top w:w="30" w:type="dxa"/>
              <w:left w:w="20" w:type="dxa"/>
              <w:bottom w:w="30" w:type="dxa"/>
              <w:right w:w="20" w:type="dxa"/>
            </w:tcMar>
            <w:hideMark/>
          </w:tcPr>
          <w:p w14:paraId="2E2F3F2D"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6597787D"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(7/21/22)</w:t>
            </w:r>
          </w:p>
        </w:tc>
        <w:tc>
          <w:tcPr>
            <w:tcW w:w="0" w:type="auto"/>
            <w:gridSpan w:val="3"/>
            <w:tcMar>
              <w:top w:w="30" w:type="dxa"/>
              <w:left w:w="20" w:type="dxa"/>
              <w:bottom w:w="30" w:type="dxa"/>
              <w:right w:w="20" w:type="dxa"/>
            </w:tcMar>
            <w:hideMark/>
          </w:tcPr>
          <w:p w14:paraId="7EF636C3" w14:textId="77777777" w:rsidR="00000000" w:rsidRDefault="00C1661D">
            <w:pPr>
              <w:spacing w:after="100"/>
              <w:rPr>
                <w:rFonts w:eastAsia="Times New Roman"/>
              </w:rPr>
            </w:pPr>
            <w:r>
              <w:rPr>
                <w:rFonts w:eastAsia="Times New Roman"/>
                <w:color w:val="000000"/>
                <w:sz w:val="20"/>
                <w:szCs w:val="20"/>
              </w:rPr>
              <w:t>10.1</w:t>
            </w:r>
          </w:p>
        </w:tc>
      </w:tr>
      <w:tr w:rsidR="00000000" w14:paraId="2145AFCC" w14:textId="77777777">
        <w:trPr>
          <w:jc w:val="center"/>
        </w:trPr>
        <w:tc>
          <w:tcPr>
            <w:tcW w:w="0" w:type="auto"/>
            <w:gridSpan w:val="3"/>
            <w:tcMar>
              <w:top w:w="30" w:type="dxa"/>
              <w:left w:w="20" w:type="dxa"/>
              <w:bottom w:w="30" w:type="dxa"/>
              <w:right w:w="20" w:type="dxa"/>
            </w:tcMar>
            <w:hideMark/>
          </w:tcPr>
          <w:p w14:paraId="7C34DC4F" w14:textId="77777777" w:rsidR="00000000" w:rsidRDefault="00C1661D">
            <w:pPr>
              <w:spacing w:after="100"/>
              <w:rPr>
                <w:rFonts w:eastAsia="Times New Roman"/>
              </w:rPr>
            </w:pPr>
            <w:r>
              <w:rPr>
                <w:rFonts w:eastAsia="Times New Roman"/>
                <w:color w:val="000000"/>
                <w:sz w:val="20"/>
                <w:szCs w:val="20"/>
              </w:rPr>
              <w:t>10.46</w:t>
            </w:r>
          </w:p>
        </w:tc>
        <w:tc>
          <w:tcPr>
            <w:tcW w:w="0" w:type="auto"/>
            <w:gridSpan w:val="3"/>
            <w:tcMar>
              <w:top w:w="30" w:type="dxa"/>
              <w:left w:w="20" w:type="dxa"/>
              <w:bottom w:w="30" w:type="dxa"/>
              <w:right w:w="20" w:type="dxa"/>
            </w:tcMar>
            <w:hideMark/>
          </w:tcPr>
          <w:p w14:paraId="12F4C77A" w14:textId="77777777" w:rsidR="00000000" w:rsidRDefault="00C1661D">
            <w:pPr>
              <w:spacing w:after="100"/>
              <w:divId w:val="700057664"/>
              <w:rPr>
                <w:rFonts w:eastAsia="Times New Roman"/>
              </w:rPr>
            </w:pPr>
            <w:hyperlink r:id="rId84" w:history="1">
              <w:r>
                <w:rPr>
                  <w:rStyle w:val="a3"/>
                  <w:rFonts w:eastAsia="Times New Roman"/>
                  <w:sz w:val="20"/>
                  <w:szCs w:val="20"/>
                </w:rPr>
                <w:t>Credit Agreement, dated as of June 27, 2019, by and among UGI Utilities, Inc., as borrower, PNC Bank, National Association, as administrative agent, Citizens Bank, N.A., as syndication agent, and the lenders party thereto.</w:t>
              </w:r>
            </w:hyperlink>
          </w:p>
        </w:tc>
        <w:tc>
          <w:tcPr>
            <w:tcW w:w="0" w:type="auto"/>
            <w:gridSpan w:val="3"/>
            <w:tcMar>
              <w:top w:w="30" w:type="dxa"/>
              <w:left w:w="20" w:type="dxa"/>
              <w:bottom w:w="30" w:type="dxa"/>
              <w:right w:w="20" w:type="dxa"/>
            </w:tcMar>
            <w:hideMark/>
          </w:tcPr>
          <w:p w14:paraId="539541B3"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20065A94" w14:textId="77777777" w:rsidR="00000000" w:rsidRDefault="00C1661D">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r>
            <w:r>
              <w:rPr>
                <w:rFonts w:eastAsia="Times New Roman"/>
                <w:color w:val="000000"/>
                <w:sz w:val="20"/>
                <w:szCs w:val="20"/>
              </w:rPr>
              <w:t>(6/30/19)</w:t>
            </w:r>
          </w:p>
        </w:tc>
        <w:tc>
          <w:tcPr>
            <w:tcW w:w="0" w:type="auto"/>
            <w:gridSpan w:val="3"/>
            <w:tcMar>
              <w:top w:w="30" w:type="dxa"/>
              <w:left w:w="20" w:type="dxa"/>
              <w:bottom w:w="30" w:type="dxa"/>
              <w:right w:w="20" w:type="dxa"/>
            </w:tcMar>
            <w:hideMark/>
          </w:tcPr>
          <w:p w14:paraId="2ECD9E7B" w14:textId="77777777" w:rsidR="00000000" w:rsidRDefault="00C1661D">
            <w:pPr>
              <w:spacing w:after="100"/>
              <w:rPr>
                <w:rFonts w:eastAsia="Times New Roman"/>
              </w:rPr>
            </w:pPr>
            <w:r>
              <w:rPr>
                <w:rFonts w:eastAsia="Times New Roman"/>
                <w:color w:val="000000"/>
                <w:sz w:val="20"/>
                <w:szCs w:val="20"/>
              </w:rPr>
              <w:t>10.1</w:t>
            </w:r>
          </w:p>
        </w:tc>
      </w:tr>
      <w:tr w:rsidR="00000000" w14:paraId="296CB5F5" w14:textId="77777777">
        <w:trPr>
          <w:jc w:val="center"/>
        </w:trPr>
        <w:tc>
          <w:tcPr>
            <w:tcW w:w="0" w:type="auto"/>
            <w:gridSpan w:val="3"/>
            <w:tcMar>
              <w:top w:w="30" w:type="dxa"/>
              <w:left w:w="20" w:type="dxa"/>
              <w:bottom w:w="30" w:type="dxa"/>
              <w:right w:w="20" w:type="dxa"/>
            </w:tcMar>
            <w:hideMark/>
          </w:tcPr>
          <w:p w14:paraId="0975FA28" w14:textId="77777777" w:rsidR="00000000" w:rsidRDefault="00C1661D">
            <w:pPr>
              <w:spacing w:after="100"/>
              <w:rPr>
                <w:rFonts w:eastAsia="Times New Roman"/>
              </w:rPr>
            </w:pPr>
            <w:r>
              <w:rPr>
                <w:rFonts w:eastAsia="Times New Roman"/>
                <w:color w:val="000000"/>
                <w:sz w:val="20"/>
                <w:szCs w:val="20"/>
              </w:rPr>
              <w:t>10.47</w:t>
            </w:r>
          </w:p>
        </w:tc>
        <w:tc>
          <w:tcPr>
            <w:tcW w:w="0" w:type="auto"/>
            <w:gridSpan w:val="3"/>
            <w:tcMar>
              <w:top w:w="30" w:type="dxa"/>
              <w:left w:w="20" w:type="dxa"/>
              <w:bottom w:w="30" w:type="dxa"/>
              <w:right w:w="20" w:type="dxa"/>
            </w:tcMar>
            <w:hideMark/>
          </w:tcPr>
          <w:p w14:paraId="0E0A8A3B" w14:textId="77777777" w:rsidR="00000000" w:rsidRDefault="00C1661D">
            <w:pPr>
              <w:spacing w:after="100"/>
              <w:divId w:val="365759498"/>
              <w:rPr>
                <w:rFonts w:eastAsia="Times New Roman"/>
              </w:rPr>
            </w:pPr>
            <w:hyperlink r:id="rId85" w:history="1">
              <w:r>
                <w:rPr>
                  <w:rStyle w:val="a3"/>
                  <w:rFonts w:eastAsia="Times New Roman"/>
                  <w:sz w:val="20"/>
                  <w:szCs w:val="20"/>
                </w:rPr>
                <w:t>Multicurrency Facilities Agreement, effective October 25, 2018, among International, as borrower, Natixis, as agent, mandat</w:t>
              </w:r>
              <w:r>
                <w:rPr>
                  <w:rStyle w:val="a3"/>
                  <w:rFonts w:eastAsia="Times New Roman"/>
                  <w:sz w:val="20"/>
                  <w:szCs w:val="20"/>
                </w:rPr>
                <w:t>ed lead arranger, bookrunner and coordinator, Barclays Bank Plc, BNP Paribas, Credit Agricole Corporate and Investment Bank, HSBC France, ING Bank N.V., French Branch, Mediobanca International (Luxembourg) S.A., Raiffeisen Bank International AG and Societe</w:t>
              </w:r>
              <w:r>
                <w:rPr>
                  <w:rStyle w:val="a3"/>
                  <w:rFonts w:eastAsia="Times New Roman"/>
                  <w:sz w:val="20"/>
                  <w:szCs w:val="20"/>
                </w:rPr>
                <w:t xml:space="preserve"> Generale Corporate and Investment Banking, as mandated lead arrangers, and certain other lenders.</w:t>
              </w:r>
            </w:hyperlink>
          </w:p>
        </w:tc>
        <w:tc>
          <w:tcPr>
            <w:tcW w:w="0" w:type="auto"/>
            <w:gridSpan w:val="3"/>
            <w:tcMar>
              <w:top w:w="30" w:type="dxa"/>
              <w:left w:w="20" w:type="dxa"/>
              <w:bottom w:w="30" w:type="dxa"/>
              <w:right w:w="20" w:type="dxa"/>
            </w:tcMar>
            <w:hideMark/>
          </w:tcPr>
          <w:p w14:paraId="4565A7AA"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67DE015E"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(10/25/18)</w:t>
            </w:r>
          </w:p>
        </w:tc>
        <w:tc>
          <w:tcPr>
            <w:tcW w:w="0" w:type="auto"/>
            <w:gridSpan w:val="3"/>
            <w:tcMar>
              <w:top w:w="30" w:type="dxa"/>
              <w:left w:w="20" w:type="dxa"/>
              <w:bottom w:w="30" w:type="dxa"/>
              <w:right w:w="20" w:type="dxa"/>
            </w:tcMar>
            <w:hideMark/>
          </w:tcPr>
          <w:p w14:paraId="4AE76078" w14:textId="77777777" w:rsidR="00000000" w:rsidRDefault="00C1661D">
            <w:pPr>
              <w:spacing w:after="100"/>
              <w:rPr>
                <w:rFonts w:eastAsia="Times New Roman"/>
              </w:rPr>
            </w:pPr>
            <w:r>
              <w:rPr>
                <w:rFonts w:eastAsia="Times New Roman"/>
                <w:color w:val="000000"/>
                <w:sz w:val="20"/>
                <w:szCs w:val="20"/>
              </w:rPr>
              <w:t>4.2</w:t>
            </w:r>
          </w:p>
        </w:tc>
      </w:tr>
      <w:tr w:rsidR="00000000" w14:paraId="1F17312B" w14:textId="77777777">
        <w:trPr>
          <w:jc w:val="center"/>
        </w:trPr>
        <w:tc>
          <w:tcPr>
            <w:tcW w:w="0" w:type="auto"/>
            <w:gridSpan w:val="3"/>
            <w:tcMar>
              <w:top w:w="30" w:type="dxa"/>
              <w:left w:w="20" w:type="dxa"/>
              <w:bottom w:w="30" w:type="dxa"/>
              <w:right w:w="20" w:type="dxa"/>
            </w:tcMar>
            <w:hideMark/>
          </w:tcPr>
          <w:p w14:paraId="4A8D5417" w14:textId="77777777" w:rsidR="00000000" w:rsidRDefault="00C1661D">
            <w:pPr>
              <w:spacing w:after="100"/>
              <w:rPr>
                <w:rFonts w:eastAsia="Times New Roman"/>
              </w:rPr>
            </w:pPr>
            <w:r>
              <w:rPr>
                <w:rFonts w:eastAsia="Times New Roman"/>
                <w:color w:val="000000"/>
                <w:sz w:val="20"/>
                <w:szCs w:val="20"/>
              </w:rPr>
              <w:t>10.48</w:t>
            </w:r>
          </w:p>
        </w:tc>
        <w:tc>
          <w:tcPr>
            <w:tcW w:w="0" w:type="auto"/>
            <w:gridSpan w:val="3"/>
            <w:tcMar>
              <w:top w:w="30" w:type="dxa"/>
              <w:left w:w="20" w:type="dxa"/>
              <w:bottom w:w="30" w:type="dxa"/>
              <w:right w:w="20" w:type="dxa"/>
            </w:tcMar>
            <w:hideMark/>
          </w:tcPr>
          <w:p w14:paraId="2ADFD943" w14:textId="77777777" w:rsidR="00000000" w:rsidRDefault="00C1661D">
            <w:pPr>
              <w:spacing w:after="100"/>
              <w:divId w:val="1927759388"/>
              <w:rPr>
                <w:rFonts w:eastAsia="Times New Roman"/>
              </w:rPr>
            </w:pPr>
            <w:hyperlink r:id="rId86" w:history="1">
              <w:r>
                <w:rPr>
                  <w:rStyle w:val="a3"/>
                  <w:rFonts w:eastAsia="Times New Roman"/>
                  <w:sz w:val="20"/>
                  <w:szCs w:val="20"/>
                </w:rPr>
                <w:t>Credit Agreement, dated as of August 13, 2019, by and among UGI Energy Services, LLC, as borrower, Credit Suisse AG, Cayman Islands Branch, as administrative</w:t>
              </w:r>
              <w:r>
                <w:rPr>
                  <w:rStyle w:val="a3"/>
                  <w:rFonts w:eastAsia="Times New Roman"/>
                  <w:sz w:val="20"/>
                  <w:szCs w:val="20"/>
                </w:rPr>
                <w:t xml:space="preserve"> agent and collateral agent, and the lenders party thereto.</w:t>
              </w:r>
            </w:hyperlink>
          </w:p>
        </w:tc>
        <w:tc>
          <w:tcPr>
            <w:tcW w:w="0" w:type="auto"/>
            <w:gridSpan w:val="3"/>
            <w:tcMar>
              <w:top w:w="30" w:type="dxa"/>
              <w:left w:w="20" w:type="dxa"/>
              <w:bottom w:w="30" w:type="dxa"/>
              <w:right w:w="20" w:type="dxa"/>
            </w:tcMar>
            <w:hideMark/>
          </w:tcPr>
          <w:p w14:paraId="689EB02F"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2AD9FAE7" w14:textId="77777777" w:rsidR="00000000" w:rsidRDefault="00C1661D">
            <w:pPr>
              <w:spacing w:after="100"/>
              <w:jc w:val="center"/>
              <w:rPr>
                <w:rFonts w:eastAsia="Times New Roman"/>
              </w:rPr>
            </w:pPr>
            <w:r>
              <w:rPr>
                <w:rFonts w:eastAsia="Times New Roman"/>
                <w:color w:val="000000"/>
                <w:sz w:val="20"/>
                <w:szCs w:val="20"/>
              </w:rPr>
              <w:t>Form 8-K (8/13/19)</w:t>
            </w:r>
          </w:p>
        </w:tc>
        <w:tc>
          <w:tcPr>
            <w:tcW w:w="0" w:type="auto"/>
            <w:gridSpan w:val="3"/>
            <w:tcMar>
              <w:top w:w="30" w:type="dxa"/>
              <w:left w:w="20" w:type="dxa"/>
              <w:bottom w:w="30" w:type="dxa"/>
              <w:right w:w="20" w:type="dxa"/>
            </w:tcMar>
            <w:hideMark/>
          </w:tcPr>
          <w:p w14:paraId="077B451D" w14:textId="77777777" w:rsidR="00000000" w:rsidRDefault="00C1661D">
            <w:pPr>
              <w:spacing w:after="100"/>
              <w:rPr>
                <w:rFonts w:eastAsia="Times New Roman"/>
              </w:rPr>
            </w:pPr>
            <w:r>
              <w:rPr>
                <w:rFonts w:eastAsia="Times New Roman"/>
                <w:color w:val="000000"/>
                <w:sz w:val="20"/>
                <w:szCs w:val="20"/>
              </w:rPr>
              <w:t>10.1</w:t>
            </w:r>
          </w:p>
        </w:tc>
      </w:tr>
      <w:tr w:rsidR="00000000" w14:paraId="48043716" w14:textId="77777777">
        <w:trPr>
          <w:jc w:val="center"/>
        </w:trPr>
        <w:tc>
          <w:tcPr>
            <w:tcW w:w="0" w:type="auto"/>
            <w:gridSpan w:val="3"/>
            <w:tcMar>
              <w:top w:w="30" w:type="dxa"/>
              <w:left w:w="20" w:type="dxa"/>
              <w:bottom w:w="30" w:type="dxa"/>
              <w:right w:w="20" w:type="dxa"/>
            </w:tcMar>
            <w:hideMark/>
          </w:tcPr>
          <w:p w14:paraId="57C60AF9" w14:textId="77777777" w:rsidR="00000000" w:rsidRDefault="00C1661D">
            <w:pPr>
              <w:spacing w:after="100"/>
              <w:rPr>
                <w:rFonts w:eastAsia="Times New Roman"/>
              </w:rPr>
            </w:pPr>
            <w:r>
              <w:rPr>
                <w:rFonts w:eastAsia="Times New Roman"/>
                <w:color w:val="000000"/>
                <w:sz w:val="20"/>
                <w:szCs w:val="20"/>
              </w:rPr>
              <w:t>10.49</w:t>
            </w:r>
          </w:p>
        </w:tc>
        <w:tc>
          <w:tcPr>
            <w:tcW w:w="0" w:type="auto"/>
            <w:gridSpan w:val="3"/>
            <w:tcMar>
              <w:top w:w="30" w:type="dxa"/>
              <w:left w:w="20" w:type="dxa"/>
              <w:bottom w:w="30" w:type="dxa"/>
              <w:right w:w="20" w:type="dxa"/>
            </w:tcMar>
            <w:hideMark/>
          </w:tcPr>
          <w:p w14:paraId="639FCFD1" w14:textId="77777777" w:rsidR="00000000" w:rsidRDefault="00C1661D">
            <w:pPr>
              <w:spacing w:after="100"/>
              <w:divId w:val="1344475100"/>
              <w:rPr>
                <w:rFonts w:eastAsia="Times New Roman"/>
              </w:rPr>
            </w:pPr>
            <w:hyperlink r:id="rId87" w:history="1">
              <w:r>
                <w:rPr>
                  <w:rStyle w:val="a3"/>
                  <w:rFonts w:eastAsia="Times New Roman"/>
                  <w:sz w:val="20"/>
                  <w:szCs w:val="20"/>
                </w:rPr>
                <w:t>Third Amended and Restated Credit Agreement, dated as of March 6, 2020, by and among UGI Energy Services, LLC, as borrower, JPMorgan Chase Bank, N.A</w:t>
              </w:r>
              <w:r>
                <w:rPr>
                  <w:rStyle w:val="a3"/>
                  <w:rFonts w:eastAsia="Times New Roman"/>
                  <w:sz w:val="20"/>
                  <w:szCs w:val="20"/>
                </w:rPr>
                <w:t>., as administrative agent, PNC Bank, National Association, as syndication agent, and Wells Fargo Bank, National Association, as documentation agent.</w:t>
              </w:r>
            </w:hyperlink>
          </w:p>
        </w:tc>
        <w:tc>
          <w:tcPr>
            <w:tcW w:w="0" w:type="auto"/>
            <w:gridSpan w:val="3"/>
            <w:tcMar>
              <w:top w:w="30" w:type="dxa"/>
              <w:left w:w="20" w:type="dxa"/>
              <w:bottom w:w="30" w:type="dxa"/>
              <w:right w:w="20" w:type="dxa"/>
            </w:tcMar>
            <w:hideMark/>
          </w:tcPr>
          <w:p w14:paraId="04F46B35"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2FC18168"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(3/6/20)</w:t>
            </w:r>
          </w:p>
        </w:tc>
        <w:tc>
          <w:tcPr>
            <w:tcW w:w="0" w:type="auto"/>
            <w:gridSpan w:val="3"/>
            <w:tcMar>
              <w:top w:w="30" w:type="dxa"/>
              <w:left w:w="20" w:type="dxa"/>
              <w:bottom w:w="30" w:type="dxa"/>
              <w:right w:w="20" w:type="dxa"/>
            </w:tcMar>
            <w:hideMark/>
          </w:tcPr>
          <w:p w14:paraId="2D8E529E" w14:textId="77777777" w:rsidR="00000000" w:rsidRDefault="00C1661D">
            <w:pPr>
              <w:spacing w:after="100"/>
              <w:rPr>
                <w:rFonts w:eastAsia="Times New Roman"/>
              </w:rPr>
            </w:pPr>
            <w:r>
              <w:rPr>
                <w:rFonts w:eastAsia="Times New Roman"/>
                <w:color w:val="000000"/>
                <w:sz w:val="20"/>
                <w:szCs w:val="20"/>
              </w:rPr>
              <w:t>10.1</w:t>
            </w:r>
          </w:p>
        </w:tc>
      </w:tr>
    </w:tbl>
    <w:p w14:paraId="64C22FF7" w14:textId="77777777" w:rsidR="00000000" w:rsidRDefault="00C1661D">
      <w:pPr>
        <w:jc w:val="center"/>
        <w:divId w:val="444690466"/>
        <w:rPr>
          <w:rFonts w:eastAsia="Times New Roman"/>
        </w:rPr>
      </w:pPr>
      <w:r>
        <w:rPr>
          <w:rFonts w:eastAsia="Times New Roman"/>
          <w:color w:val="000000"/>
          <w:sz w:val="20"/>
          <w:szCs w:val="20"/>
        </w:rPr>
        <w:t>82</w:t>
      </w:r>
    </w:p>
    <w:p w14:paraId="08B702EE" w14:textId="77777777" w:rsidR="00000000" w:rsidRDefault="00C1661D">
      <w:pPr>
        <w:rPr>
          <w:rFonts w:eastAsia="Times New Roman"/>
        </w:rPr>
      </w:pPr>
      <w:r>
        <w:rPr>
          <w:rFonts w:eastAsia="Times New Roman"/>
        </w:rPr>
        <w:pict w14:anchorId="72405D15">
          <v:rect id="_x0000_i1109" style="width:0;height:1.5pt" o:hralign="center" o:hrstd="t" o:hr="t" fillcolor="#a0a0a0" stroked="f"/>
        </w:pict>
      </w:r>
    </w:p>
    <w:p w14:paraId="6FF82306" w14:textId="77777777" w:rsidR="00000000" w:rsidRDefault="00C1661D">
      <w:pPr>
        <w:divId w:val="1922179583"/>
        <w:rPr>
          <w:rFonts w:eastAsia="Times New Roman"/>
        </w:rPr>
      </w:pPr>
      <w:hyperlink w:anchor="i3850c3c6c0104e42b9951aac2f16098a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7"/>
        <w:gridCol w:w="55"/>
        <w:gridCol w:w="1693"/>
        <w:gridCol w:w="36"/>
        <w:gridCol w:w="55"/>
        <w:gridCol w:w="550"/>
        <w:gridCol w:w="40"/>
        <w:gridCol w:w="55"/>
        <w:gridCol w:w="550"/>
        <w:gridCol w:w="38"/>
        <w:gridCol w:w="57"/>
        <w:gridCol w:w="696"/>
        <w:gridCol w:w="36"/>
      </w:tblGrid>
      <w:tr w:rsidR="00000000" w14:paraId="2FE07A07" w14:textId="77777777">
        <w:trPr>
          <w:jc w:val="center"/>
        </w:trPr>
        <w:tc>
          <w:tcPr>
            <w:tcW w:w="50" w:type="pct"/>
            <w:vAlign w:val="center"/>
            <w:hideMark/>
          </w:tcPr>
          <w:p w14:paraId="1D6490B9" w14:textId="77777777" w:rsidR="00000000" w:rsidRDefault="00C1661D">
            <w:pPr>
              <w:rPr>
                <w:rFonts w:eastAsia="Times New Roman"/>
              </w:rPr>
            </w:pPr>
          </w:p>
        </w:tc>
        <w:tc>
          <w:tcPr>
            <w:tcW w:w="729" w:type="pct"/>
            <w:vAlign w:val="center"/>
            <w:hideMark/>
          </w:tcPr>
          <w:p w14:paraId="3610C048" w14:textId="77777777" w:rsidR="00000000" w:rsidRDefault="00C1661D">
            <w:pPr>
              <w:spacing w:after="100"/>
              <w:rPr>
                <w:rFonts w:eastAsia="Times New Roman"/>
                <w:sz w:val="20"/>
                <w:szCs w:val="20"/>
              </w:rPr>
            </w:pPr>
          </w:p>
        </w:tc>
        <w:tc>
          <w:tcPr>
            <w:tcW w:w="5" w:type="pct"/>
            <w:vAlign w:val="center"/>
            <w:hideMark/>
          </w:tcPr>
          <w:p w14:paraId="3BAD510A" w14:textId="77777777" w:rsidR="00000000" w:rsidRDefault="00C1661D">
            <w:pPr>
              <w:spacing w:after="100"/>
              <w:rPr>
                <w:rFonts w:eastAsia="Times New Roman"/>
                <w:sz w:val="20"/>
                <w:szCs w:val="20"/>
              </w:rPr>
            </w:pPr>
          </w:p>
        </w:tc>
        <w:tc>
          <w:tcPr>
            <w:tcW w:w="50" w:type="pct"/>
            <w:vAlign w:val="center"/>
            <w:hideMark/>
          </w:tcPr>
          <w:p w14:paraId="030AC008" w14:textId="77777777" w:rsidR="00000000" w:rsidRDefault="00C1661D">
            <w:pPr>
              <w:spacing w:after="100"/>
              <w:rPr>
                <w:rFonts w:eastAsia="Times New Roman"/>
                <w:sz w:val="20"/>
                <w:szCs w:val="20"/>
              </w:rPr>
            </w:pPr>
          </w:p>
        </w:tc>
        <w:tc>
          <w:tcPr>
            <w:tcW w:w="1419" w:type="pct"/>
            <w:vAlign w:val="center"/>
            <w:hideMark/>
          </w:tcPr>
          <w:p w14:paraId="4E75ACC0" w14:textId="77777777" w:rsidR="00000000" w:rsidRDefault="00C1661D">
            <w:pPr>
              <w:spacing w:after="100"/>
              <w:rPr>
                <w:rFonts w:eastAsia="Times New Roman"/>
                <w:sz w:val="20"/>
                <w:szCs w:val="20"/>
              </w:rPr>
            </w:pPr>
          </w:p>
        </w:tc>
        <w:tc>
          <w:tcPr>
            <w:tcW w:w="5" w:type="pct"/>
            <w:vAlign w:val="center"/>
            <w:hideMark/>
          </w:tcPr>
          <w:p w14:paraId="13712449" w14:textId="77777777" w:rsidR="00000000" w:rsidRDefault="00C1661D">
            <w:pPr>
              <w:spacing w:after="100"/>
              <w:rPr>
                <w:rFonts w:eastAsia="Times New Roman"/>
                <w:sz w:val="20"/>
                <w:szCs w:val="20"/>
              </w:rPr>
            </w:pPr>
          </w:p>
        </w:tc>
        <w:tc>
          <w:tcPr>
            <w:tcW w:w="50" w:type="pct"/>
            <w:vAlign w:val="center"/>
            <w:hideMark/>
          </w:tcPr>
          <w:p w14:paraId="7689C987" w14:textId="77777777" w:rsidR="00000000" w:rsidRDefault="00C1661D">
            <w:pPr>
              <w:spacing w:after="100"/>
              <w:rPr>
                <w:rFonts w:eastAsia="Times New Roman"/>
                <w:sz w:val="20"/>
                <w:szCs w:val="20"/>
              </w:rPr>
            </w:pPr>
          </w:p>
        </w:tc>
        <w:tc>
          <w:tcPr>
            <w:tcW w:w="1212" w:type="pct"/>
            <w:vAlign w:val="center"/>
            <w:hideMark/>
          </w:tcPr>
          <w:p w14:paraId="1F05250C" w14:textId="77777777" w:rsidR="00000000" w:rsidRDefault="00C1661D">
            <w:pPr>
              <w:spacing w:after="100"/>
              <w:rPr>
                <w:rFonts w:eastAsia="Times New Roman"/>
                <w:sz w:val="20"/>
                <w:szCs w:val="20"/>
              </w:rPr>
            </w:pPr>
          </w:p>
        </w:tc>
        <w:tc>
          <w:tcPr>
            <w:tcW w:w="5" w:type="pct"/>
            <w:vAlign w:val="center"/>
            <w:hideMark/>
          </w:tcPr>
          <w:p w14:paraId="236B1182" w14:textId="77777777" w:rsidR="00000000" w:rsidRDefault="00C1661D">
            <w:pPr>
              <w:spacing w:after="100"/>
              <w:rPr>
                <w:rFonts w:eastAsia="Times New Roman"/>
                <w:sz w:val="20"/>
                <w:szCs w:val="20"/>
              </w:rPr>
            </w:pPr>
          </w:p>
        </w:tc>
        <w:tc>
          <w:tcPr>
            <w:tcW w:w="50" w:type="pct"/>
            <w:vAlign w:val="center"/>
            <w:hideMark/>
          </w:tcPr>
          <w:p w14:paraId="5D8B5B07" w14:textId="77777777" w:rsidR="00000000" w:rsidRDefault="00C1661D">
            <w:pPr>
              <w:spacing w:after="100"/>
              <w:rPr>
                <w:rFonts w:eastAsia="Times New Roman"/>
                <w:sz w:val="20"/>
                <w:szCs w:val="20"/>
              </w:rPr>
            </w:pPr>
          </w:p>
        </w:tc>
        <w:tc>
          <w:tcPr>
            <w:tcW w:w="401" w:type="pct"/>
            <w:vAlign w:val="center"/>
            <w:hideMark/>
          </w:tcPr>
          <w:p w14:paraId="462FFB3A" w14:textId="77777777" w:rsidR="00000000" w:rsidRDefault="00C1661D">
            <w:pPr>
              <w:spacing w:after="100"/>
              <w:rPr>
                <w:rFonts w:eastAsia="Times New Roman"/>
                <w:sz w:val="20"/>
                <w:szCs w:val="20"/>
              </w:rPr>
            </w:pPr>
          </w:p>
        </w:tc>
        <w:tc>
          <w:tcPr>
            <w:tcW w:w="5" w:type="pct"/>
            <w:vAlign w:val="center"/>
            <w:hideMark/>
          </w:tcPr>
          <w:p w14:paraId="39C5B830" w14:textId="77777777" w:rsidR="00000000" w:rsidRDefault="00C1661D">
            <w:pPr>
              <w:spacing w:after="100"/>
              <w:rPr>
                <w:rFonts w:eastAsia="Times New Roman"/>
                <w:sz w:val="20"/>
                <w:szCs w:val="20"/>
              </w:rPr>
            </w:pPr>
          </w:p>
        </w:tc>
        <w:tc>
          <w:tcPr>
            <w:tcW w:w="50" w:type="pct"/>
            <w:vAlign w:val="center"/>
            <w:hideMark/>
          </w:tcPr>
          <w:p w14:paraId="7137D44A" w14:textId="77777777" w:rsidR="00000000" w:rsidRDefault="00C1661D">
            <w:pPr>
              <w:spacing w:after="100"/>
              <w:rPr>
                <w:rFonts w:eastAsia="Times New Roman"/>
                <w:sz w:val="20"/>
                <w:szCs w:val="20"/>
              </w:rPr>
            </w:pPr>
          </w:p>
        </w:tc>
        <w:tc>
          <w:tcPr>
            <w:tcW w:w="401" w:type="pct"/>
            <w:vAlign w:val="center"/>
            <w:hideMark/>
          </w:tcPr>
          <w:p w14:paraId="05D80655" w14:textId="77777777" w:rsidR="00000000" w:rsidRDefault="00C1661D">
            <w:pPr>
              <w:spacing w:after="100"/>
              <w:rPr>
                <w:rFonts w:eastAsia="Times New Roman"/>
                <w:sz w:val="20"/>
                <w:szCs w:val="20"/>
              </w:rPr>
            </w:pPr>
          </w:p>
        </w:tc>
        <w:tc>
          <w:tcPr>
            <w:tcW w:w="5" w:type="pct"/>
            <w:vAlign w:val="center"/>
            <w:hideMark/>
          </w:tcPr>
          <w:p w14:paraId="4B77B0A3" w14:textId="77777777" w:rsidR="00000000" w:rsidRDefault="00C1661D">
            <w:pPr>
              <w:spacing w:after="100"/>
              <w:rPr>
                <w:rFonts w:eastAsia="Times New Roman"/>
                <w:sz w:val="20"/>
                <w:szCs w:val="20"/>
              </w:rPr>
            </w:pPr>
          </w:p>
        </w:tc>
        <w:tc>
          <w:tcPr>
            <w:tcW w:w="50" w:type="pct"/>
            <w:vAlign w:val="center"/>
            <w:hideMark/>
          </w:tcPr>
          <w:p w14:paraId="49C03B2D" w14:textId="77777777" w:rsidR="00000000" w:rsidRDefault="00C1661D">
            <w:pPr>
              <w:spacing w:after="100"/>
              <w:rPr>
                <w:rFonts w:eastAsia="Times New Roman"/>
                <w:sz w:val="20"/>
                <w:szCs w:val="20"/>
              </w:rPr>
            </w:pPr>
          </w:p>
        </w:tc>
        <w:tc>
          <w:tcPr>
            <w:tcW w:w="505" w:type="pct"/>
            <w:vAlign w:val="center"/>
            <w:hideMark/>
          </w:tcPr>
          <w:p w14:paraId="6EAAFEA4" w14:textId="77777777" w:rsidR="00000000" w:rsidRDefault="00C1661D">
            <w:pPr>
              <w:spacing w:after="100"/>
              <w:rPr>
                <w:rFonts w:eastAsia="Times New Roman"/>
                <w:sz w:val="20"/>
                <w:szCs w:val="20"/>
              </w:rPr>
            </w:pPr>
          </w:p>
        </w:tc>
        <w:tc>
          <w:tcPr>
            <w:tcW w:w="5" w:type="pct"/>
            <w:vAlign w:val="center"/>
            <w:hideMark/>
          </w:tcPr>
          <w:p w14:paraId="30F7DCDB" w14:textId="77777777" w:rsidR="00000000" w:rsidRDefault="00C1661D">
            <w:pPr>
              <w:spacing w:after="100"/>
              <w:rPr>
                <w:rFonts w:eastAsia="Times New Roman"/>
                <w:sz w:val="20"/>
                <w:szCs w:val="20"/>
              </w:rPr>
            </w:pPr>
          </w:p>
        </w:tc>
      </w:tr>
      <w:tr w:rsidR="00000000" w14:paraId="543994D2" w14:textId="77777777">
        <w:trPr>
          <w:jc w:val="center"/>
        </w:trPr>
        <w:tc>
          <w:tcPr>
            <w:tcW w:w="0" w:type="auto"/>
            <w:gridSpan w:val="18"/>
            <w:tcMar>
              <w:top w:w="30" w:type="dxa"/>
              <w:left w:w="20" w:type="dxa"/>
              <w:bottom w:w="30" w:type="dxa"/>
              <w:right w:w="20" w:type="dxa"/>
            </w:tcMar>
            <w:hideMark/>
          </w:tcPr>
          <w:p w14:paraId="51B6286C" w14:textId="77777777" w:rsidR="00000000" w:rsidRDefault="00C1661D">
            <w:pPr>
              <w:spacing w:after="100"/>
              <w:rPr>
                <w:rFonts w:eastAsia="Times New Roman"/>
              </w:rPr>
            </w:pPr>
            <w:r>
              <w:rPr>
                <w:rFonts w:eastAsia="Times New Roman"/>
                <w:color w:val="000000"/>
                <w:sz w:val="20"/>
                <w:szCs w:val="20"/>
              </w:rPr>
              <w:t>Incorporation by Reference</w:t>
            </w:r>
          </w:p>
        </w:tc>
      </w:tr>
      <w:tr w:rsidR="00000000" w14:paraId="383E2AD3" w14:textId="77777777">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400F111C" w14:textId="77777777" w:rsidR="00000000" w:rsidRDefault="00C1661D">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1D102A54" w14:textId="77777777" w:rsidR="00000000" w:rsidRDefault="00C1661D">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1034931D" w14:textId="77777777" w:rsidR="00000000" w:rsidRDefault="00C1661D">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14:paraId="4BFC74A9" w14:textId="77777777" w:rsidR="00000000" w:rsidRDefault="00C1661D">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2F1448EB" w14:textId="77777777" w:rsidR="00000000" w:rsidRDefault="00C1661D">
            <w:pPr>
              <w:spacing w:after="100"/>
              <w:rPr>
                <w:rFonts w:eastAsia="Times New Roman"/>
              </w:rPr>
            </w:pPr>
            <w:r>
              <w:rPr>
                <w:rFonts w:eastAsia="Times New Roman"/>
                <w:color w:val="000000"/>
                <w:sz w:val="20"/>
                <w:szCs w:val="20"/>
              </w:rPr>
              <w:t>Exhibit</w:t>
            </w:r>
          </w:p>
        </w:tc>
      </w:tr>
      <w:tr w:rsidR="00000000" w14:paraId="29E06104" w14:textId="77777777">
        <w:trPr>
          <w:jc w:val="center"/>
        </w:trPr>
        <w:tc>
          <w:tcPr>
            <w:tcW w:w="0" w:type="auto"/>
            <w:gridSpan w:val="3"/>
            <w:tcMar>
              <w:top w:w="30" w:type="dxa"/>
              <w:left w:w="20" w:type="dxa"/>
              <w:bottom w:w="30" w:type="dxa"/>
              <w:right w:w="20" w:type="dxa"/>
            </w:tcMar>
            <w:hideMark/>
          </w:tcPr>
          <w:p w14:paraId="43FDB71F" w14:textId="77777777" w:rsidR="00000000" w:rsidRDefault="00C1661D">
            <w:pPr>
              <w:spacing w:after="100"/>
              <w:rPr>
                <w:rFonts w:eastAsia="Times New Roman"/>
              </w:rPr>
            </w:pPr>
            <w:r>
              <w:rPr>
                <w:rFonts w:eastAsia="Times New Roman"/>
                <w:color w:val="000000"/>
                <w:sz w:val="20"/>
                <w:szCs w:val="20"/>
              </w:rPr>
              <w:t>10.50</w:t>
            </w:r>
          </w:p>
        </w:tc>
        <w:tc>
          <w:tcPr>
            <w:tcW w:w="0" w:type="auto"/>
            <w:gridSpan w:val="3"/>
            <w:tcMar>
              <w:top w:w="30" w:type="dxa"/>
              <w:left w:w="20" w:type="dxa"/>
              <w:bottom w:w="30" w:type="dxa"/>
              <w:right w:w="20" w:type="dxa"/>
            </w:tcMar>
            <w:hideMark/>
          </w:tcPr>
          <w:p w14:paraId="7766EB43" w14:textId="77777777" w:rsidR="00000000" w:rsidRDefault="00C1661D">
            <w:pPr>
              <w:spacing w:after="100"/>
              <w:divId w:val="930967419"/>
              <w:rPr>
                <w:rFonts w:eastAsia="Times New Roman"/>
              </w:rPr>
            </w:pPr>
            <w:hyperlink r:id="rId88" w:history="1">
              <w:r>
                <w:rPr>
                  <w:rStyle w:val="a3"/>
                  <w:rFonts w:eastAsia="Times New Roman"/>
                  <w:sz w:val="20"/>
                  <w:szCs w:val="20"/>
                </w:rPr>
                <w:t>Amended and Restated Credit Agreement, dated as of May 4, 2021, by and among UGI Corporation and JPMorgan Chase Bank, N.A., as administrative agent, Citi</w:t>
              </w:r>
              <w:r>
                <w:rPr>
                  <w:rStyle w:val="a3"/>
                  <w:rFonts w:eastAsia="Times New Roman"/>
                  <w:sz w:val="20"/>
                  <w:szCs w:val="20"/>
                </w:rPr>
                <w:t>zens Bank, N.A., PNC Bank, National Association and Wells Fargo Bank, National Association, as co-documentation agents, and the other financial institutions from time to time party thereto.</w:t>
              </w:r>
            </w:hyperlink>
          </w:p>
        </w:tc>
        <w:tc>
          <w:tcPr>
            <w:tcW w:w="0" w:type="auto"/>
            <w:gridSpan w:val="3"/>
            <w:tcMar>
              <w:top w:w="30" w:type="dxa"/>
              <w:left w:w="20" w:type="dxa"/>
              <w:bottom w:w="30" w:type="dxa"/>
              <w:right w:w="20" w:type="dxa"/>
            </w:tcMar>
            <w:hideMark/>
          </w:tcPr>
          <w:p w14:paraId="425C62B9"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6D4436EF"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(5/4/21)</w:t>
            </w:r>
          </w:p>
        </w:tc>
        <w:tc>
          <w:tcPr>
            <w:tcW w:w="0" w:type="auto"/>
            <w:gridSpan w:val="3"/>
            <w:tcMar>
              <w:top w:w="30" w:type="dxa"/>
              <w:left w:w="20" w:type="dxa"/>
              <w:bottom w:w="30" w:type="dxa"/>
              <w:right w:w="20" w:type="dxa"/>
            </w:tcMar>
            <w:hideMark/>
          </w:tcPr>
          <w:p w14:paraId="6CFC65F5" w14:textId="77777777" w:rsidR="00000000" w:rsidRDefault="00C1661D">
            <w:pPr>
              <w:spacing w:after="100"/>
              <w:rPr>
                <w:rFonts w:eastAsia="Times New Roman"/>
              </w:rPr>
            </w:pPr>
            <w:r>
              <w:rPr>
                <w:rFonts w:eastAsia="Times New Roman"/>
                <w:color w:val="000000"/>
                <w:sz w:val="20"/>
                <w:szCs w:val="20"/>
              </w:rPr>
              <w:t>10.1</w:t>
            </w:r>
          </w:p>
        </w:tc>
      </w:tr>
      <w:tr w:rsidR="00000000" w14:paraId="178F7981" w14:textId="77777777">
        <w:trPr>
          <w:jc w:val="center"/>
        </w:trPr>
        <w:tc>
          <w:tcPr>
            <w:tcW w:w="0" w:type="auto"/>
            <w:gridSpan w:val="3"/>
            <w:tcMar>
              <w:top w:w="30" w:type="dxa"/>
              <w:left w:w="20" w:type="dxa"/>
              <w:bottom w:w="30" w:type="dxa"/>
              <w:right w:w="20" w:type="dxa"/>
            </w:tcMar>
            <w:hideMark/>
          </w:tcPr>
          <w:p w14:paraId="1FF6976B" w14:textId="77777777" w:rsidR="00000000" w:rsidRDefault="00C1661D">
            <w:pPr>
              <w:spacing w:after="100"/>
              <w:rPr>
                <w:rFonts w:eastAsia="Times New Roman"/>
              </w:rPr>
            </w:pPr>
            <w:r>
              <w:rPr>
                <w:rFonts w:eastAsia="Times New Roman"/>
                <w:color w:val="000000"/>
                <w:sz w:val="20"/>
                <w:szCs w:val="20"/>
              </w:rPr>
              <w:t>10.51</w:t>
            </w:r>
          </w:p>
        </w:tc>
        <w:tc>
          <w:tcPr>
            <w:tcW w:w="0" w:type="auto"/>
            <w:gridSpan w:val="3"/>
            <w:tcMar>
              <w:top w:w="30" w:type="dxa"/>
              <w:left w:w="20" w:type="dxa"/>
              <w:bottom w:w="30" w:type="dxa"/>
              <w:right w:w="20" w:type="dxa"/>
            </w:tcMar>
            <w:hideMark/>
          </w:tcPr>
          <w:p w14:paraId="521BA9DA" w14:textId="77777777" w:rsidR="00000000" w:rsidRDefault="00C1661D">
            <w:pPr>
              <w:spacing w:after="100"/>
              <w:divId w:val="1733964330"/>
              <w:rPr>
                <w:rFonts w:eastAsia="Times New Roman"/>
              </w:rPr>
            </w:pPr>
            <w:hyperlink r:id="rId89" w:history="1">
              <w:r>
                <w:rPr>
                  <w:rStyle w:val="a3"/>
                  <w:rFonts w:eastAsia="Times New Roman"/>
                  <w:sz w:val="20"/>
                  <w:szCs w:val="20"/>
                </w:rPr>
                <w:t>First Amendment to the Amended and Restated Credit Agreement, dated as of June 23, 2021, by and among UGI Corporation, as borrower, JPMorgan Ch</w:t>
              </w:r>
              <w:r>
                <w:rPr>
                  <w:rStyle w:val="a3"/>
                  <w:rFonts w:eastAsia="Times New Roman"/>
                  <w:sz w:val="20"/>
                  <w:szCs w:val="20"/>
                </w:rPr>
                <w:t>ase Bank, N.A., as administrative agent, and the lenders party thereto.</w:t>
              </w:r>
            </w:hyperlink>
          </w:p>
        </w:tc>
        <w:tc>
          <w:tcPr>
            <w:tcW w:w="0" w:type="auto"/>
            <w:gridSpan w:val="3"/>
            <w:tcMar>
              <w:top w:w="30" w:type="dxa"/>
              <w:left w:w="20" w:type="dxa"/>
              <w:bottom w:w="30" w:type="dxa"/>
              <w:right w:w="20" w:type="dxa"/>
            </w:tcMar>
            <w:hideMark/>
          </w:tcPr>
          <w:p w14:paraId="0A500310"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3A9241BF" w14:textId="77777777" w:rsidR="00000000" w:rsidRDefault="00C1661D">
            <w:pPr>
              <w:spacing w:after="100"/>
              <w:jc w:val="center"/>
              <w:rPr>
                <w:rFonts w:eastAsia="Times New Roman"/>
              </w:rPr>
            </w:pPr>
            <w:r>
              <w:rPr>
                <w:rFonts w:eastAsia="Times New Roman"/>
                <w:color w:val="000000"/>
                <w:sz w:val="20"/>
                <w:szCs w:val="20"/>
              </w:rPr>
              <w:t>Form 10-Q</w:t>
            </w:r>
            <w:r>
              <w:rPr>
                <w:rFonts w:eastAsia="Times New Roman"/>
                <w:color w:val="000000"/>
                <w:sz w:val="20"/>
                <w:szCs w:val="20"/>
              </w:rPr>
              <w:br/>
              <w:t>(6/30/21)</w:t>
            </w:r>
          </w:p>
        </w:tc>
        <w:tc>
          <w:tcPr>
            <w:tcW w:w="0" w:type="auto"/>
            <w:gridSpan w:val="3"/>
            <w:tcMar>
              <w:top w:w="30" w:type="dxa"/>
              <w:left w:w="20" w:type="dxa"/>
              <w:bottom w:w="30" w:type="dxa"/>
              <w:right w:w="20" w:type="dxa"/>
            </w:tcMar>
            <w:hideMark/>
          </w:tcPr>
          <w:p w14:paraId="17F11A6D" w14:textId="77777777" w:rsidR="00000000" w:rsidRDefault="00C1661D">
            <w:pPr>
              <w:spacing w:after="100"/>
              <w:rPr>
                <w:rFonts w:eastAsia="Times New Roman"/>
              </w:rPr>
            </w:pPr>
            <w:r>
              <w:rPr>
                <w:rFonts w:eastAsia="Times New Roman"/>
                <w:color w:val="000000"/>
                <w:sz w:val="20"/>
                <w:szCs w:val="20"/>
              </w:rPr>
              <w:t>10.6</w:t>
            </w:r>
          </w:p>
        </w:tc>
      </w:tr>
      <w:tr w:rsidR="00000000" w14:paraId="0906799A" w14:textId="77777777">
        <w:trPr>
          <w:jc w:val="center"/>
        </w:trPr>
        <w:tc>
          <w:tcPr>
            <w:tcW w:w="0" w:type="auto"/>
            <w:gridSpan w:val="3"/>
            <w:tcMar>
              <w:top w:w="30" w:type="dxa"/>
              <w:left w:w="20" w:type="dxa"/>
              <w:bottom w:w="30" w:type="dxa"/>
              <w:right w:w="20" w:type="dxa"/>
            </w:tcMar>
            <w:hideMark/>
          </w:tcPr>
          <w:p w14:paraId="7634FC49" w14:textId="77777777" w:rsidR="00000000" w:rsidRDefault="00C1661D">
            <w:pPr>
              <w:spacing w:after="100"/>
              <w:rPr>
                <w:rFonts w:eastAsia="Times New Roman"/>
              </w:rPr>
            </w:pPr>
            <w:r>
              <w:rPr>
                <w:rFonts w:eastAsia="Times New Roman"/>
                <w:color w:val="000000"/>
                <w:sz w:val="20"/>
                <w:szCs w:val="20"/>
              </w:rPr>
              <w:t>10.52</w:t>
            </w:r>
          </w:p>
        </w:tc>
        <w:tc>
          <w:tcPr>
            <w:tcW w:w="0" w:type="auto"/>
            <w:gridSpan w:val="3"/>
            <w:tcMar>
              <w:top w:w="30" w:type="dxa"/>
              <w:left w:w="20" w:type="dxa"/>
              <w:bottom w:w="30" w:type="dxa"/>
              <w:right w:w="20" w:type="dxa"/>
            </w:tcMar>
            <w:hideMark/>
          </w:tcPr>
          <w:p w14:paraId="69BF8616" w14:textId="77777777" w:rsidR="00000000" w:rsidRDefault="00C1661D">
            <w:pPr>
              <w:spacing w:after="100"/>
              <w:divId w:val="96366064"/>
              <w:rPr>
                <w:rFonts w:eastAsia="Times New Roman"/>
              </w:rPr>
            </w:pPr>
            <w:hyperlink r:id="rId90" w:history="1">
              <w:r>
                <w:rPr>
                  <w:rStyle w:val="a3"/>
                  <w:rFonts w:eastAsia="Times New Roman"/>
                  <w:sz w:val="20"/>
                  <w:szCs w:val="20"/>
                </w:rPr>
                <w:t xml:space="preserve">Credit Agreement, dated as of September 28, 2022, by and among AmeriGas Propane, L.P., AmeriGas Propane, Inc., the lenders from time to time party thereto and </w:t>
              </w:r>
              <w:r>
                <w:rPr>
                  <w:rStyle w:val="a3"/>
                  <w:rFonts w:eastAsia="Times New Roman"/>
                  <w:sz w:val="20"/>
                  <w:szCs w:val="20"/>
                </w:rPr>
                <w:t>Wells Fargo Bank, National Association, as administrative agent.</w:t>
              </w:r>
            </w:hyperlink>
          </w:p>
        </w:tc>
        <w:tc>
          <w:tcPr>
            <w:tcW w:w="0" w:type="auto"/>
            <w:gridSpan w:val="3"/>
            <w:tcMar>
              <w:top w:w="30" w:type="dxa"/>
              <w:left w:w="20" w:type="dxa"/>
              <w:bottom w:w="30" w:type="dxa"/>
              <w:right w:w="20" w:type="dxa"/>
            </w:tcMar>
            <w:hideMark/>
          </w:tcPr>
          <w:p w14:paraId="7387E6B6"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3FAAC376"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(9/28/22)</w:t>
            </w:r>
          </w:p>
        </w:tc>
        <w:tc>
          <w:tcPr>
            <w:tcW w:w="0" w:type="auto"/>
            <w:gridSpan w:val="3"/>
            <w:tcMar>
              <w:top w:w="30" w:type="dxa"/>
              <w:left w:w="20" w:type="dxa"/>
              <w:bottom w:w="30" w:type="dxa"/>
              <w:right w:w="20" w:type="dxa"/>
            </w:tcMar>
            <w:hideMark/>
          </w:tcPr>
          <w:p w14:paraId="15195CB6" w14:textId="77777777" w:rsidR="00000000" w:rsidRDefault="00C1661D">
            <w:pPr>
              <w:spacing w:after="100"/>
              <w:rPr>
                <w:rFonts w:eastAsia="Times New Roman"/>
              </w:rPr>
            </w:pPr>
            <w:r>
              <w:rPr>
                <w:rFonts w:eastAsia="Times New Roman"/>
                <w:color w:val="000000"/>
                <w:sz w:val="20"/>
                <w:szCs w:val="20"/>
              </w:rPr>
              <w:t>10.1</w:t>
            </w:r>
          </w:p>
        </w:tc>
      </w:tr>
      <w:tr w:rsidR="00000000" w14:paraId="74E14738" w14:textId="77777777">
        <w:trPr>
          <w:jc w:val="center"/>
        </w:trPr>
        <w:tc>
          <w:tcPr>
            <w:tcW w:w="0" w:type="auto"/>
            <w:gridSpan w:val="3"/>
            <w:tcMar>
              <w:top w:w="30" w:type="dxa"/>
              <w:left w:w="20" w:type="dxa"/>
              <w:bottom w:w="30" w:type="dxa"/>
              <w:right w:w="20" w:type="dxa"/>
            </w:tcMar>
            <w:hideMark/>
          </w:tcPr>
          <w:p w14:paraId="5873C75C" w14:textId="77777777" w:rsidR="00000000" w:rsidRDefault="00C1661D">
            <w:pPr>
              <w:spacing w:after="100"/>
              <w:rPr>
                <w:rFonts w:eastAsia="Times New Roman"/>
              </w:rPr>
            </w:pPr>
            <w:r>
              <w:rPr>
                <w:rFonts w:eastAsia="Times New Roman"/>
                <w:color w:val="000000"/>
                <w:sz w:val="20"/>
                <w:szCs w:val="20"/>
              </w:rPr>
              <w:t>10.53</w:t>
            </w:r>
          </w:p>
        </w:tc>
        <w:tc>
          <w:tcPr>
            <w:tcW w:w="0" w:type="auto"/>
            <w:gridSpan w:val="3"/>
            <w:tcMar>
              <w:top w:w="30" w:type="dxa"/>
              <w:left w:w="20" w:type="dxa"/>
              <w:bottom w:w="30" w:type="dxa"/>
              <w:right w:w="20" w:type="dxa"/>
            </w:tcMar>
            <w:hideMark/>
          </w:tcPr>
          <w:p w14:paraId="6CB3FA06" w14:textId="77777777" w:rsidR="00000000" w:rsidRDefault="00C1661D">
            <w:pPr>
              <w:spacing w:after="100"/>
              <w:divId w:val="1147819488"/>
              <w:rPr>
                <w:rFonts w:eastAsia="Times New Roman"/>
              </w:rPr>
            </w:pPr>
            <w:hyperlink r:id="rId91" w:history="1">
              <w:r>
                <w:rPr>
                  <w:rStyle w:val="a3"/>
                  <w:rFonts w:eastAsia="Times New Roman"/>
                  <w:sz w:val="20"/>
                  <w:szCs w:val="20"/>
                </w:rPr>
                <w:t xml:space="preserve">Third Amendment to Third Amended and Restated </w:t>
              </w:r>
              <w:r>
                <w:rPr>
                  <w:rStyle w:val="a3"/>
                  <w:rFonts w:eastAsia="Times New Roman"/>
                  <w:sz w:val="20"/>
                  <w:szCs w:val="20"/>
                </w:rPr>
                <w:t>Credit Agreement, dated as of October 20, 2022, by and among Mountaineer Gas Company, as borrower, the lenders party thereto and Truist Bank, as administrative agent, letter of credit issuer and swing line lender</w:t>
              </w:r>
            </w:hyperlink>
          </w:p>
        </w:tc>
        <w:tc>
          <w:tcPr>
            <w:tcW w:w="0" w:type="auto"/>
            <w:gridSpan w:val="3"/>
            <w:tcMar>
              <w:top w:w="30" w:type="dxa"/>
              <w:left w:w="20" w:type="dxa"/>
              <w:bottom w:w="30" w:type="dxa"/>
              <w:right w:w="20" w:type="dxa"/>
            </w:tcMar>
            <w:hideMark/>
          </w:tcPr>
          <w:p w14:paraId="4F8B9DB5"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3A2E0764" w14:textId="77777777" w:rsidR="00000000" w:rsidRDefault="00C1661D">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(10/20/22)</w:t>
            </w:r>
          </w:p>
        </w:tc>
        <w:tc>
          <w:tcPr>
            <w:tcW w:w="0" w:type="auto"/>
            <w:gridSpan w:val="3"/>
            <w:tcMar>
              <w:top w:w="30" w:type="dxa"/>
              <w:left w:w="20" w:type="dxa"/>
              <w:bottom w:w="30" w:type="dxa"/>
              <w:right w:w="20" w:type="dxa"/>
            </w:tcMar>
            <w:hideMark/>
          </w:tcPr>
          <w:p w14:paraId="12DE4A9E" w14:textId="77777777" w:rsidR="00000000" w:rsidRDefault="00C1661D">
            <w:pPr>
              <w:spacing w:after="100"/>
              <w:rPr>
                <w:rFonts w:eastAsia="Times New Roman"/>
              </w:rPr>
            </w:pPr>
            <w:r>
              <w:rPr>
                <w:rFonts w:eastAsia="Times New Roman"/>
                <w:color w:val="000000"/>
                <w:sz w:val="20"/>
                <w:szCs w:val="20"/>
              </w:rPr>
              <w:t>10.1</w:t>
            </w:r>
          </w:p>
        </w:tc>
      </w:tr>
      <w:tr w:rsidR="00000000" w14:paraId="5C78E72D" w14:textId="77777777">
        <w:trPr>
          <w:jc w:val="center"/>
        </w:trPr>
        <w:tc>
          <w:tcPr>
            <w:tcW w:w="0" w:type="auto"/>
            <w:gridSpan w:val="3"/>
            <w:tcMar>
              <w:top w:w="30" w:type="dxa"/>
              <w:left w:w="20" w:type="dxa"/>
              <w:bottom w:w="30" w:type="dxa"/>
              <w:right w:w="20" w:type="dxa"/>
            </w:tcMar>
            <w:hideMark/>
          </w:tcPr>
          <w:p w14:paraId="0176158D" w14:textId="77777777" w:rsidR="00000000" w:rsidRDefault="00C1661D">
            <w:pPr>
              <w:spacing w:after="100"/>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hideMark/>
          </w:tcPr>
          <w:p w14:paraId="2A256C69" w14:textId="77777777" w:rsidR="00000000" w:rsidRDefault="00C1661D">
            <w:pPr>
              <w:spacing w:after="100"/>
              <w:divId w:val="427390995"/>
              <w:rPr>
                <w:rFonts w:eastAsia="Times New Roman"/>
              </w:rPr>
            </w:pPr>
            <w:hyperlink r:id="rId92" w:history="1">
              <w:r>
                <w:rPr>
                  <w:rStyle w:val="a3"/>
                  <w:rFonts w:eastAsia="Times New Roman"/>
                  <w:sz w:val="20"/>
                  <w:szCs w:val="20"/>
                </w:rPr>
                <w:t>Code of Business Conduct and Ethics.</w:t>
              </w:r>
            </w:hyperlink>
          </w:p>
        </w:tc>
        <w:tc>
          <w:tcPr>
            <w:tcW w:w="0" w:type="auto"/>
            <w:gridSpan w:val="3"/>
            <w:tcMar>
              <w:top w:w="30" w:type="dxa"/>
              <w:left w:w="20" w:type="dxa"/>
              <w:bottom w:w="30" w:type="dxa"/>
              <w:right w:w="20" w:type="dxa"/>
            </w:tcMar>
            <w:hideMark/>
          </w:tcPr>
          <w:p w14:paraId="78BCB5BC" w14:textId="77777777" w:rsidR="00000000" w:rsidRDefault="00C1661D">
            <w:pPr>
              <w:spacing w:after="100"/>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14:paraId="7A94DE79" w14:textId="77777777" w:rsidR="00000000" w:rsidRDefault="00C1661D">
            <w:pPr>
              <w:spacing w:after="100"/>
              <w:jc w:val="center"/>
              <w:rPr>
                <w:rFonts w:eastAsia="Times New Roman"/>
              </w:rPr>
            </w:pPr>
            <w:r>
              <w:rPr>
                <w:rFonts w:eastAsia="Times New Roman"/>
                <w:color w:val="000000"/>
                <w:sz w:val="20"/>
                <w:szCs w:val="20"/>
              </w:rPr>
              <w:t>Form 10-K</w:t>
            </w:r>
            <w:r>
              <w:rPr>
                <w:rFonts w:eastAsia="Times New Roman"/>
                <w:color w:val="000000"/>
                <w:sz w:val="20"/>
                <w:szCs w:val="20"/>
              </w:rPr>
              <w:br/>
              <w:t>(9/30/21)</w:t>
            </w:r>
          </w:p>
        </w:tc>
        <w:tc>
          <w:tcPr>
            <w:tcW w:w="0" w:type="auto"/>
            <w:gridSpan w:val="3"/>
            <w:tcMar>
              <w:top w:w="30" w:type="dxa"/>
              <w:left w:w="20" w:type="dxa"/>
              <w:bottom w:w="30" w:type="dxa"/>
              <w:right w:w="20" w:type="dxa"/>
            </w:tcMar>
            <w:hideMark/>
          </w:tcPr>
          <w:p w14:paraId="3C27C337" w14:textId="77777777" w:rsidR="00000000" w:rsidRDefault="00C1661D">
            <w:pPr>
              <w:spacing w:after="100"/>
              <w:rPr>
                <w:rFonts w:eastAsia="Times New Roman"/>
              </w:rPr>
            </w:pPr>
            <w:r>
              <w:rPr>
                <w:rFonts w:eastAsia="Times New Roman"/>
                <w:color w:val="000000"/>
                <w:sz w:val="20"/>
                <w:szCs w:val="20"/>
              </w:rPr>
              <w:t>14</w:t>
            </w:r>
          </w:p>
        </w:tc>
      </w:tr>
      <w:tr w:rsidR="00000000" w14:paraId="56854ADE" w14:textId="77777777">
        <w:trPr>
          <w:jc w:val="center"/>
        </w:trPr>
        <w:tc>
          <w:tcPr>
            <w:tcW w:w="0" w:type="auto"/>
            <w:gridSpan w:val="3"/>
            <w:tcMar>
              <w:top w:w="30" w:type="dxa"/>
              <w:left w:w="20" w:type="dxa"/>
              <w:bottom w:w="30" w:type="dxa"/>
              <w:right w:w="20" w:type="dxa"/>
            </w:tcMar>
            <w:hideMark/>
          </w:tcPr>
          <w:p w14:paraId="25498D27" w14:textId="77777777" w:rsidR="00000000" w:rsidRDefault="00C1661D">
            <w:pPr>
              <w:spacing w:after="100"/>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vAlign w:val="bottom"/>
            <w:hideMark/>
          </w:tcPr>
          <w:p w14:paraId="11B8E8EA" w14:textId="77777777" w:rsidR="00000000" w:rsidRDefault="00C1661D">
            <w:pPr>
              <w:spacing w:after="100"/>
              <w:divId w:val="236331315"/>
              <w:rPr>
                <w:rFonts w:eastAsia="Times New Roman"/>
              </w:rPr>
            </w:pPr>
            <w:hyperlink r:id="rId93" w:history="1">
              <w:r>
                <w:rPr>
                  <w:rStyle w:val="a3"/>
                  <w:rFonts w:eastAsia="Times New Roman"/>
                  <w:sz w:val="20"/>
                  <w:szCs w:val="20"/>
                </w:rPr>
                <w:t>Subsidiaries of the Registrant.</w:t>
              </w:r>
            </w:hyperlink>
          </w:p>
        </w:tc>
        <w:tc>
          <w:tcPr>
            <w:tcW w:w="0" w:type="auto"/>
            <w:gridSpan w:val="3"/>
            <w:tcMar>
              <w:top w:w="0" w:type="dxa"/>
              <w:left w:w="20" w:type="dxa"/>
              <w:bottom w:w="0" w:type="dxa"/>
              <w:right w:w="20" w:type="dxa"/>
            </w:tcMar>
            <w:vAlign w:val="center"/>
            <w:hideMark/>
          </w:tcPr>
          <w:p w14:paraId="7DCC0104" w14:textId="77777777" w:rsidR="00000000" w:rsidRDefault="00C1661D">
            <w:pPr>
              <w:spacing w:after="100"/>
              <w:rPr>
                <w:rFonts w:eastAsia="Times New Roman"/>
              </w:rPr>
            </w:pPr>
          </w:p>
        </w:tc>
        <w:tc>
          <w:tcPr>
            <w:tcW w:w="0" w:type="auto"/>
            <w:gridSpan w:val="6"/>
            <w:tcMar>
              <w:top w:w="0" w:type="dxa"/>
              <w:left w:w="20" w:type="dxa"/>
              <w:bottom w:w="0" w:type="dxa"/>
              <w:right w:w="20" w:type="dxa"/>
            </w:tcMar>
            <w:vAlign w:val="center"/>
            <w:hideMark/>
          </w:tcPr>
          <w:p w14:paraId="164FF682"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B09D0A" w14:textId="77777777" w:rsidR="00000000" w:rsidRDefault="00C1661D">
            <w:pPr>
              <w:spacing w:after="100"/>
              <w:rPr>
                <w:rFonts w:eastAsia="Times New Roman"/>
                <w:sz w:val="20"/>
                <w:szCs w:val="20"/>
              </w:rPr>
            </w:pPr>
          </w:p>
        </w:tc>
      </w:tr>
      <w:tr w:rsidR="00000000" w14:paraId="21309C6A" w14:textId="77777777">
        <w:trPr>
          <w:jc w:val="center"/>
        </w:trPr>
        <w:tc>
          <w:tcPr>
            <w:tcW w:w="0" w:type="auto"/>
            <w:gridSpan w:val="3"/>
            <w:tcMar>
              <w:top w:w="30" w:type="dxa"/>
              <w:left w:w="20" w:type="dxa"/>
              <w:bottom w:w="30" w:type="dxa"/>
              <w:right w:w="20" w:type="dxa"/>
            </w:tcMar>
            <w:hideMark/>
          </w:tcPr>
          <w:p w14:paraId="5296165E" w14:textId="77777777" w:rsidR="00000000" w:rsidRDefault="00C1661D">
            <w:pPr>
              <w:spacing w:after="100"/>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hideMark/>
          </w:tcPr>
          <w:p w14:paraId="62E4E751" w14:textId="77777777" w:rsidR="00000000" w:rsidRDefault="00C1661D">
            <w:pPr>
              <w:spacing w:after="100"/>
              <w:divId w:val="673801092"/>
              <w:rPr>
                <w:rFonts w:eastAsia="Times New Roman"/>
              </w:rPr>
            </w:pPr>
            <w:hyperlink r:id="rId94" w:history="1">
              <w:r>
                <w:rPr>
                  <w:rStyle w:val="a3"/>
                  <w:rFonts w:eastAsia="Times New Roman"/>
                  <w:sz w:val="20"/>
                  <w:szCs w:val="20"/>
                </w:rPr>
                <w:t>Consent of Ernst &amp; Young LLP</w:t>
              </w:r>
            </w:hyperlink>
          </w:p>
        </w:tc>
        <w:tc>
          <w:tcPr>
            <w:tcW w:w="0" w:type="auto"/>
            <w:gridSpan w:val="3"/>
            <w:tcMar>
              <w:top w:w="0" w:type="dxa"/>
              <w:left w:w="20" w:type="dxa"/>
              <w:bottom w:w="0" w:type="dxa"/>
              <w:right w:w="20" w:type="dxa"/>
            </w:tcMar>
            <w:vAlign w:val="center"/>
            <w:hideMark/>
          </w:tcPr>
          <w:p w14:paraId="028B0019" w14:textId="77777777" w:rsidR="00000000" w:rsidRDefault="00C1661D">
            <w:pPr>
              <w:spacing w:after="100"/>
              <w:rPr>
                <w:rFonts w:eastAsia="Times New Roman"/>
              </w:rPr>
            </w:pPr>
          </w:p>
        </w:tc>
        <w:tc>
          <w:tcPr>
            <w:tcW w:w="0" w:type="auto"/>
            <w:gridSpan w:val="6"/>
            <w:tcMar>
              <w:top w:w="0" w:type="dxa"/>
              <w:left w:w="20" w:type="dxa"/>
              <w:bottom w:w="0" w:type="dxa"/>
              <w:right w:w="20" w:type="dxa"/>
            </w:tcMar>
            <w:vAlign w:val="center"/>
            <w:hideMark/>
          </w:tcPr>
          <w:p w14:paraId="298F6140"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92A77F" w14:textId="77777777" w:rsidR="00000000" w:rsidRDefault="00C1661D">
            <w:pPr>
              <w:spacing w:after="100"/>
              <w:rPr>
                <w:rFonts w:eastAsia="Times New Roman"/>
                <w:sz w:val="20"/>
                <w:szCs w:val="20"/>
              </w:rPr>
            </w:pPr>
          </w:p>
        </w:tc>
      </w:tr>
      <w:tr w:rsidR="00000000" w14:paraId="2516CF63" w14:textId="77777777">
        <w:trPr>
          <w:jc w:val="center"/>
        </w:trPr>
        <w:tc>
          <w:tcPr>
            <w:tcW w:w="0" w:type="auto"/>
            <w:gridSpan w:val="3"/>
            <w:tcMar>
              <w:top w:w="30" w:type="dxa"/>
              <w:left w:w="20" w:type="dxa"/>
              <w:bottom w:w="30" w:type="dxa"/>
              <w:right w:w="20" w:type="dxa"/>
            </w:tcMar>
            <w:hideMark/>
          </w:tcPr>
          <w:p w14:paraId="60ED49ED" w14:textId="77777777" w:rsidR="00000000" w:rsidRDefault="00C1661D">
            <w:pPr>
              <w:spacing w:after="100"/>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14:paraId="0A39E484" w14:textId="77777777" w:rsidR="00000000" w:rsidRDefault="00C1661D">
            <w:pPr>
              <w:spacing w:after="100"/>
              <w:divId w:val="2008701462"/>
              <w:rPr>
                <w:rFonts w:eastAsia="Times New Roman"/>
              </w:rPr>
            </w:pPr>
            <w:hyperlink r:id="rId95" w:history="1">
              <w:r>
                <w:rPr>
                  <w:rStyle w:val="a3"/>
                  <w:rFonts w:eastAsia="Times New Roman"/>
                  <w:sz w:val="20"/>
                  <w:szCs w:val="20"/>
                </w:rPr>
                <w:t>Certification by the Chief Executive Officer relating to the Registrant’s Report on Form 10-K for the fiscal year ended September 30, 2022 pursuant to Section 302 of the Sarbanes-Oxley Act of 2002.</w:t>
              </w:r>
            </w:hyperlink>
          </w:p>
        </w:tc>
        <w:tc>
          <w:tcPr>
            <w:tcW w:w="0" w:type="auto"/>
            <w:gridSpan w:val="3"/>
            <w:tcMar>
              <w:top w:w="0" w:type="dxa"/>
              <w:left w:w="20" w:type="dxa"/>
              <w:bottom w:w="0" w:type="dxa"/>
              <w:right w:w="20" w:type="dxa"/>
            </w:tcMar>
            <w:vAlign w:val="center"/>
            <w:hideMark/>
          </w:tcPr>
          <w:p w14:paraId="6A004024" w14:textId="77777777" w:rsidR="00000000" w:rsidRDefault="00C1661D">
            <w:pPr>
              <w:spacing w:after="100"/>
              <w:rPr>
                <w:rFonts w:eastAsia="Times New Roman"/>
              </w:rPr>
            </w:pPr>
          </w:p>
        </w:tc>
        <w:tc>
          <w:tcPr>
            <w:tcW w:w="0" w:type="auto"/>
            <w:gridSpan w:val="6"/>
            <w:tcMar>
              <w:top w:w="0" w:type="dxa"/>
              <w:left w:w="20" w:type="dxa"/>
              <w:bottom w:w="0" w:type="dxa"/>
              <w:right w:w="20" w:type="dxa"/>
            </w:tcMar>
            <w:vAlign w:val="center"/>
            <w:hideMark/>
          </w:tcPr>
          <w:p w14:paraId="26A99B04"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ACBE8B" w14:textId="77777777" w:rsidR="00000000" w:rsidRDefault="00C1661D">
            <w:pPr>
              <w:spacing w:after="100"/>
              <w:rPr>
                <w:rFonts w:eastAsia="Times New Roman"/>
                <w:sz w:val="20"/>
                <w:szCs w:val="20"/>
              </w:rPr>
            </w:pPr>
          </w:p>
        </w:tc>
      </w:tr>
      <w:tr w:rsidR="00000000" w14:paraId="7B6086B2" w14:textId="77777777">
        <w:trPr>
          <w:jc w:val="center"/>
        </w:trPr>
        <w:tc>
          <w:tcPr>
            <w:tcW w:w="0" w:type="auto"/>
            <w:gridSpan w:val="3"/>
            <w:tcMar>
              <w:top w:w="30" w:type="dxa"/>
              <w:left w:w="20" w:type="dxa"/>
              <w:bottom w:w="30" w:type="dxa"/>
              <w:right w:w="20" w:type="dxa"/>
            </w:tcMar>
            <w:hideMark/>
          </w:tcPr>
          <w:p w14:paraId="771ECA39" w14:textId="77777777" w:rsidR="00000000" w:rsidRDefault="00C1661D">
            <w:pPr>
              <w:spacing w:after="100"/>
              <w:rPr>
                <w:rFonts w:eastAsia="Times New Roman"/>
              </w:rPr>
            </w:pPr>
            <w:r>
              <w:rPr>
                <w:rFonts w:eastAsia="Times New Roman"/>
                <w:color w:val="000000"/>
                <w:sz w:val="20"/>
                <w:szCs w:val="20"/>
              </w:rPr>
              <w:t>*3</w:t>
            </w:r>
            <w:r>
              <w:rPr>
                <w:rFonts w:eastAsia="Times New Roman"/>
                <w:color w:val="000000"/>
                <w:sz w:val="20"/>
                <w:szCs w:val="20"/>
              </w:rPr>
              <w:t>1.2</w:t>
            </w:r>
          </w:p>
        </w:tc>
        <w:tc>
          <w:tcPr>
            <w:tcW w:w="0" w:type="auto"/>
            <w:gridSpan w:val="3"/>
            <w:tcMar>
              <w:top w:w="30" w:type="dxa"/>
              <w:left w:w="20" w:type="dxa"/>
              <w:bottom w:w="30" w:type="dxa"/>
              <w:right w:w="20" w:type="dxa"/>
            </w:tcMar>
            <w:hideMark/>
          </w:tcPr>
          <w:p w14:paraId="7340F4ED" w14:textId="77777777" w:rsidR="00000000" w:rsidRDefault="00C1661D">
            <w:pPr>
              <w:spacing w:after="100"/>
              <w:divId w:val="580331969"/>
              <w:rPr>
                <w:rFonts w:eastAsia="Times New Roman"/>
              </w:rPr>
            </w:pPr>
            <w:hyperlink r:id="rId96" w:history="1">
              <w:r>
                <w:rPr>
                  <w:rStyle w:val="a3"/>
                  <w:rFonts w:eastAsia="Times New Roman"/>
                  <w:sz w:val="20"/>
                  <w:szCs w:val="20"/>
                </w:rPr>
                <w:t>Certification by the Chief Financial Officer relating to the Registrant’s Report on Form 10-K for the fiscal year ended September 30, 202</w:t>
              </w:r>
            </w:hyperlink>
            <w:hyperlink r:id="rId97" w:history="1">
              <w:r>
                <w:rPr>
                  <w:rStyle w:val="a3"/>
                  <w:rFonts w:eastAsia="Times New Roman"/>
                  <w:sz w:val="20"/>
                  <w:szCs w:val="20"/>
                </w:rPr>
                <w:t>2</w:t>
              </w:r>
            </w:hyperlink>
            <w:hyperlink r:id="rId98" w:history="1">
              <w:r>
                <w:rPr>
                  <w:rStyle w:val="a3"/>
                  <w:rFonts w:eastAsia="Times New Roman"/>
                  <w:sz w:val="20"/>
                  <w:szCs w:val="20"/>
                </w:rPr>
                <w:t xml:space="preserve"> pursuant to Section 302 of the Sarbanes-Oxley Act of 2002.</w:t>
              </w:r>
            </w:hyperlink>
          </w:p>
        </w:tc>
        <w:tc>
          <w:tcPr>
            <w:tcW w:w="0" w:type="auto"/>
            <w:gridSpan w:val="3"/>
            <w:tcMar>
              <w:top w:w="0" w:type="dxa"/>
              <w:left w:w="20" w:type="dxa"/>
              <w:bottom w:w="0" w:type="dxa"/>
              <w:right w:w="20" w:type="dxa"/>
            </w:tcMar>
            <w:vAlign w:val="center"/>
            <w:hideMark/>
          </w:tcPr>
          <w:p w14:paraId="1E010AA1" w14:textId="77777777" w:rsidR="00000000" w:rsidRDefault="00C1661D">
            <w:pPr>
              <w:spacing w:after="100"/>
              <w:rPr>
                <w:rFonts w:eastAsia="Times New Roman"/>
              </w:rPr>
            </w:pPr>
          </w:p>
        </w:tc>
        <w:tc>
          <w:tcPr>
            <w:tcW w:w="0" w:type="auto"/>
            <w:gridSpan w:val="6"/>
            <w:tcMar>
              <w:top w:w="0" w:type="dxa"/>
              <w:left w:w="20" w:type="dxa"/>
              <w:bottom w:w="0" w:type="dxa"/>
              <w:right w:w="20" w:type="dxa"/>
            </w:tcMar>
            <w:vAlign w:val="center"/>
            <w:hideMark/>
          </w:tcPr>
          <w:p w14:paraId="290196EF"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081D80" w14:textId="77777777" w:rsidR="00000000" w:rsidRDefault="00C1661D">
            <w:pPr>
              <w:spacing w:after="100"/>
              <w:rPr>
                <w:rFonts w:eastAsia="Times New Roman"/>
                <w:sz w:val="20"/>
                <w:szCs w:val="20"/>
              </w:rPr>
            </w:pPr>
          </w:p>
        </w:tc>
      </w:tr>
    </w:tbl>
    <w:p w14:paraId="411C5AA4" w14:textId="77777777" w:rsidR="00000000" w:rsidRDefault="00C1661D">
      <w:pPr>
        <w:jc w:val="center"/>
        <w:divId w:val="595986785"/>
        <w:rPr>
          <w:rFonts w:eastAsia="Times New Roman"/>
        </w:rPr>
      </w:pPr>
      <w:r>
        <w:rPr>
          <w:rFonts w:eastAsia="Times New Roman"/>
          <w:color w:val="000000"/>
          <w:sz w:val="20"/>
          <w:szCs w:val="20"/>
        </w:rPr>
        <w:t>83</w:t>
      </w:r>
    </w:p>
    <w:p w14:paraId="77CE28B5" w14:textId="77777777" w:rsidR="00000000" w:rsidRDefault="00C1661D">
      <w:pPr>
        <w:rPr>
          <w:rFonts w:eastAsia="Times New Roman"/>
        </w:rPr>
      </w:pPr>
      <w:r>
        <w:rPr>
          <w:rFonts w:eastAsia="Times New Roman"/>
        </w:rPr>
        <w:pict w14:anchorId="2A3FD150">
          <v:rect id="_x0000_i1110" style="width:0;height:1.5pt" o:hralign="center" o:hrstd="t" o:hr="t" fillcolor="#a0a0a0" stroked="f"/>
        </w:pict>
      </w:r>
    </w:p>
    <w:p w14:paraId="3AFC8D82" w14:textId="77777777" w:rsidR="00000000" w:rsidRDefault="00C1661D">
      <w:pPr>
        <w:divId w:val="1679652884"/>
        <w:rPr>
          <w:rFonts w:eastAsia="Times New Roman"/>
        </w:rPr>
      </w:pPr>
      <w:hyperlink w:anchor="i3850c3c6c0104e42b9951aac2f16098a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7"/>
        <w:gridCol w:w="1010"/>
        <w:gridCol w:w="39"/>
        <w:gridCol w:w="55"/>
        <w:gridCol w:w="1985"/>
        <w:gridCol w:w="37"/>
        <w:gridCol w:w="55"/>
        <w:gridCol w:w="1693"/>
        <w:gridCol w:w="36"/>
        <w:gridCol w:w="55"/>
        <w:gridCol w:w="551"/>
        <w:gridCol w:w="37"/>
        <w:gridCol w:w="56"/>
        <w:gridCol w:w="551"/>
        <w:gridCol w:w="36"/>
        <w:gridCol w:w="57"/>
        <w:gridCol w:w="696"/>
        <w:gridCol w:w="36"/>
      </w:tblGrid>
      <w:tr w:rsidR="00000000" w14:paraId="654F88C3" w14:textId="77777777">
        <w:trPr>
          <w:jc w:val="center"/>
        </w:trPr>
        <w:tc>
          <w:tcPr>
            <w:tcW w:w="50" w:type="pct"/>
            <w:vAlign w:val="center"/>
            <w:hideMark/>
          </w:tcPr>
          <w:p w14:paraId="05CD817B" w14:textId="77777777" w:rsidR="00000000" w:rsidRDefault="00C1661D">
            <w:pPr>
              <w:rPr>
                <w:rFonts w:eastAsia="Times New Roman"/>
              </w:rPr>
            </w:pPr>
          </w:p>
        </w:tc>
        <w:tc>
          <w:tcPr>
            <w:tcW w:w="729" w:type="pct"/>
            <w:vAlign w:val="center"/>
            <w:hideMark/>
          </w:tcPr>
          <w:p w14:paraId="37ED0993" w14:textId="77777777" w:rsidR="00000000" w:rsidRDefault="00C1661D">
            <w:pPr>
              <w:spacing w:after="100"/>
              <w:rPr>
                <w:rFonts w:eastAsia="Times New Roman"/>
                <w:sz w:val="20"/>
                <w:szCs w:val="20"/>
              </w:rPr>
            </w:pPr>
          </w:p>
        </w:tc>
        <w:tc>
          <w:tcPr>
            <w:tcW w:w="5" w:type="pct"/>
            <w:vAlign w:val="center"/>
            <w:hideMark/>
          </w:tcPr>
          <w:p w14:paraId="1B952798" w14:textId="77777777" w:rsidR="00000000" w:rsidRDefault="00C1661D">
            <w:pPr>
              <w:spacing w:after="100"/>
              <w:rPr>
                <w:rFonts w:eastAsia="Times New Roman"/>
                <w:sz w:val="20"/>
                <w:szCs w:val="20"/>
              </w:rPr>
            </w:pPr>
          </w:p>
        </w:tc>
        <w:tc>
          <w:tcPr>
            <w:tcW w:w="50" w:type="pct"/>
            <w:vAlign w:val="center"/>
            <w:hideMark/>
          </w:tcPr>
          <w:p w14:paraId="441CA7DE" w14:textId="77777777" w:rsidR="00000000" w:rsidRDefault="00C1661D">
            <w:pPr>
              <w:spacing w:after="100"/>
              <w:rPr>
                <w:rFonts w:eastAsia="Times New Roman"/>
                <w:sz w:val="20"/>
                <w:szCs w:val="20"/>
              </w:rPr>
            </w:pPr>
          </w:p>
        </w:tc>
        <w:tc>
          <w:tcPr>
            <w:tcW w:w="1419" w:type="pct"/>
            <w:vAlign w:val="center"/>
            <w:hideMark/>
          </w:tcPr>
          <w:p w14:paraId="1A60CB97" w14:textId="77777777" w:rsidR="00000000" w:rsidRDefault="00C1661D">
            <w:pPr>
              <w:spacing w:after="100"/>
              <w:rPr>
                <w:rFonts w:eastAsia="Times New Roman"/>
                <w:sz w:val="20"/>
                <w:szCs w:val="20"/>
              </w:rPr>
            </w:pPr>
          </w:p>
        </w:tc>
        <w:tc>
          <w:tcPr>
            <w:tcW w:w="5" w:type="pct"/>
            <w:vAlign w:val="center"/>
            <w:hideMark/>
          </w:tcPr>
          <w:p w14:paraId="0E6F0E77" w14:textId="77777777" w:rsidR="00000000" w:rsidRDefault="00C1661D">
            <w:pPr>
              <w:spacing w:after="100"/>
              <w:rPr>
                <w:rFonts w:eastAsia="Times New Roman"/>
                <w:sz w:val="20"/>
                <w:szCs w:val="20"/>
              </w:rPr>
            </w:pPr>
          </w:p>
        </w:tc>
        <w:tc>
          <w:tcPr>
            <w:tcW w:w="50" w:type="pct"/>
            <w:vAlign w:val="center"/>
            <w:hideMark/>
          </w:tcPr>
          <w:p w14:paraId="558A9DF5" w14:textId="77777777" w:rsidR="00000000" w:rsidRDefault="00C1661D">
            <w:pPr>
              <w:spacing w:after="100"/>
              <w:rPr>
                <w:rFonts w:eastAsia="Times New Roman"/>
                <w:sz w:val="20"/>
                <w:szCs w:val="20"/>
              </w:rPr>
            </w:pPr>
          </w:p>
        </w:tc>
        <w:tc>
          <w:tcPr>
            <w:tcW w:w="1212" w:type="pct"/>
            <w:vAlign w:val="center"/>
            <w:hideMark/>
          </w:tcPr>
          <w:p w14:paraId="41DA98B8" w14:textId="77777777" w:rsidR="00000000" w:rsidRDefault="00C1661D">
            <w:pPr>
              <w:spacing w:after="100"/>
              <w:rPr>
                <w:rFonts w:eastAsia="Times New Roman"/>
                <w:sz w:val="20"/>
                <w:szCs w:val="20"/>
              </w:rPr>
            </w:pPr>
          </w:p>
        </w:tc>
        <w:tc>
          <w:tcPr>
            <w:tcW w:w="5" w:type="pct"/>
            <w:vAlign w:val="center"/>
            <w:hideMark/>
          </w:tcPr>
          <w:p w14:paraId="7A21A714" w14:textId="77777777" w:rsidR="00000000" w:rsidRDefault="00C1661D">
            <w:pPr>
              <w:spacing w:after="100"/>
              <w:rPr>
                <w:rFonts w:eastAsia="Times New Roman"/>
                <w:sz w:val="20"/>
                <w:szCs w:val="20"/>
              </w:rPr>
            </w:pPr>
          </w:p>
        </w:tc>
        <w:tc>
          <w:tcPr>
            <w:tcW w:w="50" w:type="pct"/>
            <w:vAlign w:val="center"/>
            <w:hideMark/>
          </w:tcPr>
          <w:p w14:paraId="78139B1B" w14:textId="77777777" w:rsidR="00000000" w:rsidRDefault="00C1661D">
            <w:pPr>
              <w:spacing w:after="100"/>
              <w:rPr>
                <w:rFonts w:eastAsia="Times New Roman"/>
                <w:sz w:val="20"/>
                <w:szCs w:val="20"/>
              </w:rPr>
            </w:pPr>
          </w:p>
        </w:tc>
        <w:tc>
          <w:tcPr>
            <w:tcW w:w="401" w:type="pct"/>
            <w:vAlign w:val="center"/>
            <w:hideMark/>
          </w:tcPr>
          <w:p w14:paraId="233249EE" w14:textId="77777777" w:rsidR="00000000" w:rsidRDefault="00C1661D">
            <w:pPr>
              <w:spacing w:after="100"/>
              <w:rPr>
                <w:rFonts w:eastAsia="Times New Roman"/>
                <w:sz w:val="20"/>
                <w:szCs w:val="20"/>
              </w:rPr>
            </w:pPr>
          </w:p>
        </w:tc>
        <w:tc>
          <w:tcPr>
            <w:tcW w:w="5" w:type="pct"/>
            <w:vAlign w:val="center"/>
            <w:hideMark/>
          </w:tcPr>
          <w:p w14:paraId="5B4AF152" w14:textId="77777777" w:rsidR="00000000" w:rsidRDefault="00C1661D">
            <w:pPr>
              <w:spacing w:after="100"/>
              <w:rPr>
                <w:rFonts w:eastAsia="Times New Roman"/>
                <w:sz w:val="20"/>
                <w:szCs w:val="20"/>
              </w:rPr>
            </w:pPr>
          </w:p>
        </w:tc>
        <w:tc>
          <w:tcPr>
            <w:tcW w:w="50" w:type="pct"/>
            <w:vAlign w:val="center"/>
            <w:hideMark/>
          </w:tcPr>
          <w:p w14:paraId="6518CA07" w14:textId="77777777" w:rsidR="00000000" w:rsidRDefault="00C1661D">
            <w:pPr>
              <w:spacing w:after="100"/>
              <w:rPr>
                <w:rFonts w:eastAsia="Times New Roman"/>
                <w:sz w:val="20"/>
                <w:szCs w:val="20"/>
              </w:rPr>
            </w:pPr>
          </w:p>
        </w:tc>
        <w:tc>
          <w:tcPr>
            <w:tcW w:w="401" w:type="pct"/>
            <w:vAlign w:val="center"/>
            <w:hideMark/>
          </w:tcPr>
          <w:p w14:paraId="030B5653" w14:textId="77777777" w:rsidR="00000000" w:rsidRDefault="00C1661D">
            <w:pPr>
              <w:spacing w:after="100"/>
              <w:rPr>
                <w:rFonts w:eastAsia="Times New Roman"/>
                <w:sz w:val="20"/>
                <w:szCs w:val="20"/>
              </w:rPr>
            </w:pPr>
          </w:p>
        </w:tc>
        <w:tc>
          <w:tcPr>
            <w:tcW w:w="5" w:type="pct"/>
            <w:vAlign w:val="center"/>
            <w:hideMark/>
          </w:tcPr>
          <w:p w14:paraId="64FB5138" w14:textId="77777777" w:rsidR="00000000" w:rsidRDefault="00C1661D">
            <w:pPr>
              <w:spacing w:after="100"/>
              <w:rPr>
                <w:rFonts w:eastAsia="Times New Roman"/>
                <w:sz w:val="20"/>
                <w:szCs w:val="20"/>
              </w:rPr>
            </w:pPr>
          </w:p>
        </w:tc>
        <w:tc>
          <w:tcPr>
            <w:tcW w:w="50" w:type="pct"/>
            <w:vAlign w:val="center"/>
            <w:hideMark/>
          </w:tcPr>
          <w:p w14:paraId="1867AB7D" w14:textId="77777777" w:rsidR="00000000" w:rsidRDefault="00C1661D">
            <w:pPr>
              <w:spacing w:after="100"/>
              <w:rPr>
                <w:rFonts w:eastAsia="Times New Roman"/>
                <w:sz w:val="20"/>
                <w:szCs w:val="20"/>
              </w:rPr>
            </w:pPr>
          </w:p>
        </w:tc>
        <w:tc>
          <w:tcPr>
            <w:tcW w:w="505" w:type="pct"/>
            <w:vAlign w:val="center"/>
            <w:hideMark/>
          </w:tcPr>
          <w:p w14:paraId="5C2A923B" w14:textId="77777777" w:rsidR="00000000" w:rsidRDefault="00C1661D">
            <w:pPr>
              <w:spacing w:after="100"/>
              <w:rPr>
                <w:rFonts w:eastAsia="Times New Roman"/>
                <w:sz w:val="20"/>
                <w:szCs w:val="20"/>
              </w:rPr>
            </w:pPr>
          </w:p>
        </w:tc>
        <w:tc>
          <w:tcPr>
            <w:tcW w:w="5" w:type="pct"/>
            <w:vAlign w:val="center"/>
            <w:hideMark/>
          </w:tcPr>
          <w:p w14:paraId="6838C7A2" w14:textId="77777777" w:rsidR="00000000" w:rsidRDefault="00C1661D">
            <w:pPr>
              <w:spacing w:after="100"/>
              <w:rPr>
                <w:rFonts w:eastAsia="Times New Roman"/>
                <w:sz w:val="20"/>
                <w:szCs w:val="20"/>
              </w:rPr>
            </w:pPr>
          </w:p>
        </w:tc>
      </w:tr>
      <w:tr w:rsidR="00000000" w14:paraId="7479456C" w14:textId="77777777">
        <w:trPr>
          <w:jc w:val="center"/>
        </w:trPr>
        <w:tc>
          <w:tcPr>
            <w:tcW w:w="0" w:type="auto"/>
            <w:gridSpan w:val="18"/>
            <w:tcMar>
              <w:top w:w="30" w:type="dxa"/>
              <w:left w:w="20" w:type="dxa"/>
              <w:bottom w:w="30" w:type="dxa"/>
              <w:right w:w="20" w:type="dxa"/>
            </w:tcMar>
            <w:hideMark/>
          </w:tcPr>
          <w:p w14:paraId="373E84CC" w14:textId="77777777" w:rsidR="00000000" w:rsidRDefault="00C1661D">
            <w:pPr>
              <w:spacing w:after="100"/>
              <w:rPr>
                <w:rFonts w:eastAsia="Times New Roman"/>
              </w:rPr>
            </w:pPr>
            <w:r>
              <w:rPr>
                <w:rFonts w:eastAsia="Times New Roman"/>
                <w:color w:val="000000"/>
                <w:sz w:val="20"/>
                <w:szCs w:val="20"/>
              </w:rPr>
              <w:t>Incorporation by Reference</w:t>
            </w:r>
          </w:p>
        </w:tc>
      </w:tr>
      <w:tr w:rsidR="00000000" w14:paraId="777C707F" w14:textId="77777777">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6B692CBA" w14:textId="77777777" w:rsidR="00000000" w:rsidRDefault="00C1661D">
            <w:pPr>
              <w:spacing w:after="100"/>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3CE5DC5F" w14:textId="77777777" w:rsidR="00000000" w:rsidRDefault="00C1661D">
            <w:pPr>
              <w:spacing w:after="100"/>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59440BA4" w14:textId="77777777" w:rsidR="00000000" w:rsidRDefault="00C1661D">
            <w:pPr>
              <w:spacing w:after="100"/>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14:paraId="227F7855" w14:textId="77777777" w:rsidR="00000000" w:rsidRDefault="00C1661D">
            <w:pPr>
              <w:spacing w:after="100"/>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0F3821FC" w14:textId="77777777" w:rsidR="00000000" w:rsidRDefault="00C1661D">
            <w:pPr>
              <w:spacing w:after="100"/>
              <w:rPr>
                <w:rFonts w:eastAsia="Times New Roman"/>
              </w:rPr>
            </w:pPr>
            <w:r>
              <w:rPr>
                <w:rFonts w:eastAsia="Times New Roman"/>
                <w:color w:val="000000"/>
                <w:sz w:val="20"/>
                <w:szCs w:val="20"/>
              </w:rPr>
              <w:t>Exhibit</w:t>
            </w:r>
          </w:p>
        </w:tc>
      </w:tr>
      <w:tr w:rsidR="00000000" w14:paraId="63C18708" w14:textId="77777777">
        <w:trPr>
          <w:jc w:val="center"/>
        </w:trPr>
        <w:tc>
          <w:tcPr>
            <w:tcW w:w="0" w:type="auto"/>
            <w:gridSpan w:val="3"/>
            <w:tcMar>
              <w:top w:w="30" w:type="dxa"/>
              <w:left w:w="20" w:type="dxa"/>
              <w:bottom w:w="30" w:type="dxa"/>
              <w:right w:w="20" w:type="dxa"/>
            </w:tcMar>
            <w:hideMark/>
          </w:tcPr>
          <w:p w14:paraId="7BF4C1ED" w14:textId="77777777" w:rsidR="00000000" w:rsidRDefault="00C1661D">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14:paraId="77C0A2CC" w14:textId="77777777" w:rsidR="00000000" w:rsidRDefault="00C1661D">
            <w:pPr>
              <w:spacing w:after="100"/>
              <w:divId w:val="586353455"/>
              <w:rPr>
                <w:rFonts w:eastAsia="Times New Roman"/>
              </w:rPr>
            </w:pPr>
            <w:hyperlink r:id="rId99" w:history="1">
              <w:r>
                <w:rPr>
                  <w:rStyle w:val="a3"/>
                  <w:rFonts w:eastAsia="Times New Roman"/>
                  <w:sz w:val="20"/>
                  <w:szCs w:val="20"/>
                </w:rPr>
                <w:t>Certification by the Chief Executive Officer and the Chief Financial Officer relating to the Registrant’s Report on Form 10-K for the fiscal year ended September 30, 202</w:t>
              </w:r>
            </w:hyperlink>
            <w:hyperlink r:id="rId100" w:history="1">
              <w:r>
                <w:rPr>
                  <w:rStyle w:val="a3"/>
                  <w:rFonts w:eastAsia="Times New Roman"/>
                  <w:sz w:val="20"/>
                  <w:szCs w:val="20"/>
                </w:rPr>
                <w:t>2</w:t>
              </w:r>
            </w:hyperlink>
            <w:hyperlink r:id="rId101" w:history="1">
              <w:r>
                <w:rPr>
                  <w:rStyle w:val="a3"/>
                  <w:rFonts w:eastAsia="Times New Roman"/>
                  <w:sz w:val="20"/>
                  <w:szCs w:val="20"/>
                </w:rPr>
                <w:t>, pursuant to Section 906 of the Sarbanes-Oxley Act of 2002.</w:t>
              </w:r>
            </w:hyperlink>
          </w:p>
        </w:tc>
        <w:tc>
          <w:tcPr>
            <w:tcW w:w="0" w:type="auto"/>
            <w:gridSpan w:val="3"/>
            <w:tcMar>
              <w:top w:w="0" w:type="dxa"/>
              <w:left w:w="20" w:type="dxa"/>
              <w:bottom w:w="0" w:type="dxa"/>
              <w:right w:w="20" w:type="dxa"/>
            </w:tcMar>
            <w:vAlign w:val="center"/>
            <w:hideMark/>
          </w:tcPr>
          <w:p w14:paraId="34325622" w14:textId="77777777" w:rsidR="00000000" w:rsidRDefault="00C1661D">
            <w:pPr>
              <w:spacing w:after="100"/>
              <w:rPr>
                <w:rFonts w:eastAsia="Times New Roman"/>
              </w:rPr>
            </w:pPr>
          </w:p>
        </w:tc>
        <w:tc>
          <w:tcPr>
            <w:tcW w:w="0" w:type="auto"/>
            <w:gridSpan w:val="6"/>
            <w:tcMar>
              <w:top w:w="0" w:type="dxa"/>
              <w:left w:w="20" w:type="dxa"/>
              <w:bottom w:w="0" w:type="dxa"/>
              <w:right w:w="20" w:type="dxa"/>
            </w:tcMar>
            <w:vAlign w:val="center"/>
            <w:hideMark/>
          </w:tcPr>
          <w:p w14:paraId="0A1F3118"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AB17EB" w14:textId="77777777" w:rsidR="00000000" w:rsidRDefault="00C1661D">
            <w:pPr>
              <w:spacing w:after="100"/>
              <w:rPr>
                <w:rFonts w:eastAsia="Times New Roman"/>
                <w:sz w:val="20"/>
                <w:szCs w:val="20"/>
              </w:rPr>
            </w:pPr>
          </w:p>
        </w:tc>
      </w:tr>
      <w:tr w:rsidR="00000000" w14:paraId="4D420498" w14:textId="77777777">
        <w:trPr>
          <w:jc w:val="center"/>
        </w:trPr>
        <w:tc>
          <w:tcPr>
            <w:tcW w:w="0" w:type="auto"/>
            <w:gridSpan w:val="3"/>
            <w:tcMar>
              <w:top w:w="30" w:type="dxa"/>
              <w:left w:w="20" w:type="dxa"/>
              <w:bottom w:w="30" w:type="dxa"/>
              <w:right w:w="20" w:type="dxa"/>
            </w:tcMar>
            <w:hideMark/>
          </w:tcPr>
          <w:p w14:paraId="126636FE" w14:textId="77777777" w:rsidR="00000000" w:rsidRDefault="00C1661D">
            <w:pPr>
              <w:spacing w:after="100"/>
              <w:rPr>
                <w:rFonts w:eastAsia="Times New Roman"/>
              </w:rPr>
            </w:pPr>
            <w:r>
              <w:rPr>
                <w:rFonts w:eastAsia="Times New Roman"/>
                <w:color w:val="000000"/>
                <w:sz w:val="20"/>
                <w:szCs w:val="20"/>
              </w:rPr>
              <w:t>*101.INS</w:t>
            </w:r>
          </w:p>
        </w:tc>
        <w:tc>
          <w:tcPr>
            <w:tcW w:w="0" w:type="auto"/>
            <w:gridSpan w:val="3"/>
            <w:tcMar>
              <w:top w:w="30" w:type="dxa"/>
              <w:left w:w="20" w:type="dxa"/>
              <w:bottom w:w="30" w:type="dxa"/>
              <w:right w:w="20" w:type="dxa"/>
            </w:tcMar>
            <w:hideMark/>
          </w:tcPr>
          <w:p w14:paraId="76587620" w14:textId="77777777" w:rsidR="00000000" w:rsidRDefault="00C1661D">
            <w:pPr>
              <w:spacing w:after="100"/>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document</w:t>
            </w:r>
          </w:p>
        </w:tc>
        <w:tc>
          <w:tcPr>
            <w:tcW w:w="0" w:type="auto"/>
            <w:gridSpan w:val="3"/>
            <w:tcMar>
              <w:top w:w="0" w:type="dxa"/>
              <w:left w:w="20" w:type="dxa"/>
              <w:bottom w:w="0" w:type="dxa"/>
              <w:right w:w="20" w:type="dxa"/>
            </w:tcMar>
            <w:vAlign w:val="center"/>
            <w:hideMark/>
          </w:tcPr>
          <w:p w14:paraId="3AB8B13F" w14:textId="77777777" w:rsidR="00000000" w:rsidRDefault="00C1661D">
            <w:pPr>
              <w:spacing w:after="100"/>
              <w:rPr>
                <w:rFonts w:eastAsia="Times New Roman"/>
              </w:rPr>
            </w:pPr>
          </w:p>
        </w:tc>
        <w:tc>
          <w:tcPr>
            <w:tcW w:w="0" w:type="auto"/>
            <w:gridSpan w:val="6"/>
            <w:tcMar>
              <w:top w:w="0" w:type="dxa"/>
              <w:left w:w="20" w:type="dxa"/>
              <w:bottom w:w="0" w:type="dxa"/>
              <w:right w:w="20" w:type="dxa"/>
            </w:tcMar>
            <w:vAlign w:val="center"/>
            <w:hideMark/>
          </w:tcPr>
          <w:p w14:paraId="5A748F08"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A01B3E" w14:textId="77777777" w:rsidR="00000000" w:rsidRDefault="00C1661D">
            <w:pPr>
              <w:spacing w:after="100"/>
              <w:rPr>
                <w:rFonts w:eastAsia="Times New Roman"/>
                <w:sz w:val="20"/>
                <w:szCs w:val="20"/>
              </w:rPr>
            </w:pPr>
          </w:p>
        </w:tc>
      </w:tr>
      <w:tr w:rsidR="00000000" w14:paraId="7041500E" w14:textId="77777777">
        <w:trPr>
          <w:jc w:val="center"/>
        </w:trPr>
        <w:tc>
          <w:tcPr>
            <w:tcW w:w="0" w:type="auto"/>
            <w:gridSpan w:val="3"/>
            <w:tcMar>
              <w:top w:w="30" w:type="dxa"/>
              <w:left w:w="20" w:type="dxa"/>
              <w:bottom w:w="30" w:type="dxa"/>
              <w:right w:w="20" w:type="dxa"/>
            </w:tcMar>
            <w:hideMark/>
          </w:tcPr>
          <w:p w14:paraId="78B72AB5" w14:textId="77777777" w:rsidR="00000000" w:rsidRDefault="00C1661D">
            <w:pPr>
              <w:spacing w:after="100"/>
              <w:rPr>
                <w:rFonts w:eastAsia="Times New Roman"/>
              </w:rPr>
            </w:pPr>
            <w:r>
              <w:rPr>
                <w:rFonts w:eastAsia="Times New Roman"/>
                <w:color w:val="000000"/>
                <w:sz w:val="20"/>
                <w:szCs w:val="20"/>
              </w:rPr>
              <w:t>*101.SCH</w:t>
            </w:r>
          </w:p>
        </w:tc>
        <w:tc>
          <w:tcPr>
            <w:tcW w:w="0" w:type="auto"/>
            <w:gridSpan w:val="3"/>
            <w:tcMar>
              <w:top w:w="30" w:type="dxa"/>
              <w:left w:w="20" w:type="dxa"/>
              <w:bottom w:w="30" w:type="dxa"/>
              <w:right w:w="20" w:type="dxa"/>
            </w:tcMar>
            <w:hideMark/>
          </w:tcPr>
          <w:p w14:paraId="25EE6CBF" w14:textId="77777777" w:rsidR="00000000" w:rsidRDefault="00C1661D">
            <w:pPr>
              <w:spacing w:after="100"/>
              <w:rPr>
                <w:rFonts w:eastAsia="Times New Roman"/>
              </w:rPr>
            </w:pPr>
            <w:r>
              <w:rPr>
                <w:rFonts w:eastAsia="Times New Roman"/>
                <w:color w:val="000000"/>
                <w:sz w:val="20"/>
                <w:szCs w:val="20"/>
              </w:rPr>
              <w:t>XBRL Taxonomy Extension Schema</w:t>
            </w:r>
          </w:p>
        </w:tc>
        <w:tc>
          <w:tcPr>
            <w:tcW w:w="0" w:type="auto"/>
            <w:gridSpan w:val="3"/>
            <w:tcMar>
              <w:top w:w="0" w:type="dxa"/>
              <w:left w:w="20" w:type="dxa"/>
              <w:bottom w:w="0" w:type="dxa"/>
              <w:right w:w="20" w:type="dxa"/>
            </w:tcMar>
            <w:vAlign w:val="center"/>
            <w:hideMark/>
          </w:tcPr>
          <w:p w14:paraId="46CEB321" w14:textId="77777777" w:rsidR="00000000" w:rsidRDefault="00C1661D">
            <w:pPr>
              <w:spacing w:after="100"/>
              <w:rPr>
                <w:rFonts w:eastAsia="Times New Roman"/>
              </w:rPr>
            </w:pPr>
          </w:p>
        </w:tc>
        <w:tc>
          <w:tcPr>
            <w:tcW w:w="0" w:type="auto"/>
            <w:gridSpan w:val="6"/>
            <w:tcMar>
              <w:top w:w="0" w:type="dxa"/>
              <w:left w:w="20" w:type="dxa"/>
              <w:bottom w:w="0" w:type="dxa"/>
              <w:right w:w="20" w:type="dxa"/>
            </w:tcMar>
            <w:vAlign w:val="center"/>
            <w:hideMark/>
          </w:tcPr>
          <w:p w14:paraId="02BAC75E"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7F1479" w14:textId="77777777" w:rsidR="00000000" w:rsidRDefault="00C1661D">
            <w:pPr>
              <w:spacing w:after="100"/>
              <w:rPr>
                <w:rFonts w:eastAsia="Times New Roman"/>
                <w:sz w:val="20"/>
                <w:szCs w:val="20"/>
              </w:rPr>
            </w:pPr>
          </w:p>
        </w:tc>
      </w:tr>
      <w:tr w:rsidR="00000000" w14:paraId="0F7ECFB4" w14:textId="77777777">
        <w:trPr>
          <w:jc w:val="center"/>
        </w:trPr>
        <w:tc>
          <w:tcPr>
            <w:tcW w:w="0" w:type="auto"/>
            <w:gridSpan w:val="3"/>
            <w:tcMar>
              <w:top w:w="30" w:type="dxa"/>
              <w:left w:w="20" w:type="dxa"/>
              <w:bottom w:w="30" w:type="dxa"/>
              <w:right w:w="20" w:type="dxa"/>
            </w:tcMar>
            <w:hideMark/>
          </w:tcPr>
          <w:p w14:paraId="14A921B9" w14:textId="77777777" w:rsidR="00000000" w:rsidRDefault="00C1661D">
            <w:pPr>
              <w:spacing w:after="100"/>
              <w:rPr>
                <w:rFonts w:eastAsia="Times New Roman"/>
              </w:rPr>
            </w:pPr>
            <w:r>
              <w:rPr>
                <w:rFonts w:eastAsia="Times New Roman"/>
                <w:color w:val="000000"/>
                <w:sz w:val="20"/>
                <w:szCs w:val="20"/>
              </w:rPr>
              <w:t>*101.CAL</w:t>
            </w:r>
          </w:p>
        </w:tc>
        <w:tc>
          <w:tcPr>
            <w:tcW w:w="0" w:type="auto"/>
            <w:gridSpan w:val="3"/>
            <w:tcMar>
              <w:top w:w="30" w:type="dxa"/>
              <w:left w:w="20" w:type="dxa"/>
              <w:bottom w:w="30" w:type="dxa"/>
              <w:right w:w="20" w:type="dxa"/>
            </w:tcMar>
            <w:hideMark/>
          </w:tcPr>
          <w:p w14:paraId="377F7AC4" w14:textId="77777777" w:rsidR="00000000" w:rsidRDefault="00C1661D">
            <w:pPr>
              <w:spacing w:after="100"/>
              <w:rPr>
                <w:rFonts w:eastAsia="Times New Roman"/>
              </w:rPr>
            </w:pPr>
            <w:r>
              <w:rPr>
                <w:rFonts w:eastAsia="Times New Roman"/>
                <w:color w:val="000000"/>
                <w:sz w:val="20"/>
                <w:szCs w:val="20"/>
              </w:rPr>
              <w:t>XBRL Taxonomy Extension Calculation Linkbase</w:t>
            </w:r>
          </w:p>
        </w:tc>
        <w:tc>
          <w:tcPr>
            <w:tcW w:w="0" w:type="auto"/>
            <w:gridSpan w:val="3"/>
            <w:tcMar>
              <w:top w:w="0" w:type="dxa"/>
              <w:left w:w="20" w:type="dxa"/>
              <w:bottom w:w="0" w:type="dxa"/>
              <w:right w:w="20" w:type="dxa"/>
            </w:tcMar>
            <w:vAlign w:val="center"/>
            <w:hideMark/>
          </w:tcPr>
          <w:p w14:paraId="309592C3" w14:textId="77777777" w:rsidR="00000000" w:rsidRDefault="00C1661D">
            <w:pPr>
              <w:spacing w:after="100"/>
              <w:rPr>
                <w:rFonts w:eastAsia="Times New Roman"/>
              </w:rPr>
            </w:pPr>
          </w:p>
        </w:tc>
        <w:tc>
          <w:tcPr>
            <w:tcW w:w="0" w:type="auto"/>
            <w:gridSpan w:val="6"/>
            <w:tcMar>
              <w:top w:w="0" w:type="dxa"/>
              <w:left w:w="20" w:type="dxa"/>
              <w:bottom w:w="0" w:type="dxa"/>
              <w:right w:w="20" w:type="dxa"/>
            </w:tcMar>
            <w:vAlign w:val="center"/>
            <w:hideMark/>
          </w:tcPr>
          <w:p w14:paraId="752C0958"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6F7240" w14:textId="77777777" w:rsidR="00000000" w:rsidRDefault="00C1661D">
            <w:pPr>
              <w:spacing w:after="100"/>
              <w:rPr>
                <w:rFonts w:eastAsia="Times New Roman"/>
                <w:sz w:val="20"/>
                <w:szCs w:val="20"/>
              </w:rPr>
            </w:pPr>
          </w:p>
        </w:tc>
      </w:tr>
      <w:tr w:rsidR="00000000" w14:paraId="53DCE5F5" w14:textId="77777777">
        <w:trPr>
          <w:jc w:val="center"/>
        </w:trPr>
        <w:tc>
          <w:tcPr>
            <w:tcW w:w="0" w:type="auto"/>
            <w:gridSpan w:val="3"/>
            <w:tcMar>
              <w:top w:w="30" w:type="dxa"/>
              <w:left w:w="20" w:type="dxa"/>
              <w:bottom w:w="30" w:type="dxa"/>
              <w:right w:w="20" w:type="dxa"/>
            </w:tcMar>
            <w:hideMark/>
          </w:tcPr>
          <w:p w14:paraId="0EF2E6B0" w14:textId="77777777" w:rsidR="00000000" w:rsidRDefault="00C1661D">
            <w:pPr>
              <w:spacing w:after="100"/>
              <w:rPr>
                <w:rFonts w:eastAsia="Times New Roman"/>
              </w:rPr>
            </w:pPr>
            <w:r>
              <w:rPr>
                <w:rFonts w:eastAsia="Times New Roman"/>
                <w:color w:val="000000"/>
                <w:sz w:val="20"/>
                <w:szCs w:val="20"/>
              </w:rPr>
              <w:t>*101.DEF</w:t>
            </w:r>
          </w:p>
        </w:tc>
        <w:tc>
          <w:tcPr>
            <w:tcW w:w="0" w:type="auto"/>
            <w:gridSpan w:val="3"/>
            <w:tcMar>
              <w:top w:w="30" w:type="dxa"/>
              <w:left w:w="20" w:type="dxa"/>
              <w:bottom w:w="30" w:type="dxa"/>
              <w:right w:w="20" w:type="dxa"/>
            </w:tcMar>
            <w:hideMark/>
          </w:tcPr>
          <w:p w14:paraId="1788AD8E" w14:textId="77777777" w:rsidR="00000000" w:rsidRDefault="00C1661D">
            <w:pPr>
              <w:spacing w:after="100"/>
              <w:rPr>
                <w:rFonts w:eastAsia="Times New Roman"/>
              </w:rPr>
            </w:pPr>
            <w:r>
              <w:rPr>
                <w:rFonts w:eastAsia="Times New Roman"/>
                <w:color w:val="000000"/>
                <w:sz w:val="20"/>
                <w:szCs w:val="20"/>
              </w:rPr>
              <w:t>XBRL Taxonomy Extension Definition Linkbase</w:t>
            </w:r>
          </w:p>
        </w:tc>
        <w:tc>
          <w:tcPr>
            <w:tcW w:w="0" w:type="auto"/>
            <w:gridSpan w:val="3"/>
            <w:tcMar>
              <w:top w:w="0" w:type="dxa"/>
              <w:left w:w="20" w:type="dxa"/>
              <w:bottom w:w="0" w:type="dxa"/>
              <w:right w:w="20" w:type="dxa"/>
            </w:tcMar>
            <w:vAlign w:val="center"/>
            <w:hideMark/>
          </w:tcPr>
          <w:p w14:paraId="7176DC3A" w14:textId="77777777" w:rsidR="00000000" w:rsidRDefault="00C1661D">
            <w:pPr>
              <w:spacing w:after="100"/>
              <w:rPr>
                <w:rFonts w:eastAsia="Times New Roman"/>
              </w:rPr>
            </w:pPr>
          </w:p>
        </w:tc>
        <w:tc>
          <w:tcPr>
            <w:tcW w:w="0" w:type="auto"/>
            <w:gridSpan w:val="6"/>
            <w:tcMar>
              <w:top w:w="0" w:type="dxa"/>
              <w:left w:w="20" w:type="dxa"/>
              <w:bottom w:w="0" w:type="dxa"/>
              <w:right w:w="20" w:type="dxa"/>
            </w:tcMar>
            <w:vAlign w:val="center"/>
            <w:hideMark/>
          </w:tcPr>
          <w:p w14:paraId="77EB8D62"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9BF398" w14:textId="77777777" w:rsidR="00000000" w:rsidRDefault="00C1661D">
            <w:pPr>
              <w:spacing w:after="100"/>
              <w:rPr>
                <w:rFonts w:eastAsia="Times New Roman"/>
                <w:sz w:val="20"/>
                <w:szCs w:val="20"/>
              </w:rPr>
            </w:pPr>
          </w:p>
        </w:tc>
      </w:tr>
      <w:tr w:rsidR="00000000" w14:paraId="6677DD62" w14:textId="77777777">
        <w:trPr>
          <w:jc w:val="center"/>
        </w:trPr>
        <w:tc>
          <w:tcPr>
            <w:tcW w:w="0" w:type="auto"/>
            <w:gridSpan w:val="3"/>
            <w:tcMar>
              <w:top w:w="30" w:type="dxa"/>
              <w:left w:w="20" w:type="dxa"/>
              <w:bottom w:w="30" w:type="dxa"/>
              <w:right w:w="20" w:type="dxa"/>
            </w:tcMar>
            <w:hideMark/>
          </w:tcPr>
          <w:p w14:paraId="5C6EDCBE" w14:textId="77777777" w:rsidR="00000000" w:rsidRDefault="00C1661D">
            <w:pPr>
              <w:spacing w:after="100"/>
              <w:rPr>
                <w:rFonts w:eastAsia="Times New Roman"/>
              </w:rPr>
            </w:pPr>
            <w:r>
              <w:rPr>
                <w:rFonts w:eastAsia="Times New Roman"/>
                <w:color w:val="000000"/>
                <w:sz w:val="20"/>
                <w:szCs w:val="20"/>
              </w:rPr>
              <w:t>*101.LAB</w:t>
            </w:r>
          </w:p>
        </w:tc>
        <w:tc>
          <w:tcPr>
            <w:tcW w:w="0" w:type="auto"/>
            <w:gridSpan w:val="3"/>
            <w:tcMar>
              <w:top w:w="30" w:type="dxa"/>
              <w:left w:w="20" w:type="dxa"/>
              <w:bottom w:w="30" w:type="dxa"/>
              <w:right w:w="20" w:type="dxa"/>
            </w:tcMar>
            <w:hideMark/>
          </w:tcPr>
          <w:p w14:paraId="24173EB7" w14:textId="77777777" w:rsidR="00000000" w:rsidRDefault="00C1661D">
            <w:pPr>
              <w:spacing w:after="100"/>
              <w:rPr>
                <w:rFonts w:eastAsia="Times New Roman"/>
              </w:rPr>
            </w:pPr>
            <w:r>
              <w:rPr>
                <w:rFonts w:eastAsia="Times New Roman"/>
                <w:color w:val="000000"/>
                <w:sz w:val="20"/>
                <w:szCs w:val="20"/>
              </w:rPr>
              <w:t>XBRL Taxonomy Extension Labels Linkbase</w:t>
            </w:r>
          </w:p>
        </w:tc>
        <w:tc>
          <w:tcPr>
            <w:tcW w:w="0" w:type="auto"/>
            <w:gridSpan w:val="3"/>
            <w:tcMar>
              <w:top w:w="0" w:type="dxa"/>
              <w:left w:w="20" w:type="dxa"/>
              <w:bottom w:w="0" w:type="dxa"/>
              <w:right w:w="20" w:type="dxa"/>
            </w:tcMar>
            <w:vAlign w:val="center"/>
            <w:hideMark/>
          </w:tcPr>
          <w:p w14:paraId="2ACDB638" w14:textId="77777777" w:rsidR="00000000" w:rsidRDefault="00C1661D">
            <w:pPr>
              <w:spacing w:after="100"/>
              <w:rPr>
                <w:rFonts w:eastAsia="Times New Roman"/>
              </w:rPr>
            </w:pPr>
          </w:p>
        </w:tc>
        <w:tc>
          <w:tcPr>
            <w:tcW w:w="0" w:type="auto"/>
            <w:gridSpan w:val="6"/>
            <w:tcMar>
              <w:top w:w="0" w:type="dxa"/>
              <w:left w:w="20" w:type="dxa"/>
              <w:bottom w:w="0" w:type="dxa"/>
              <w:right w:w="20" w:type="dxa"/>
            </w:tcMar>
            <w:vAlign w:val="center"/>
            <w:hideMark/>
          </w:tcPr>
          <w:p w14:paraId="30D43D9D"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4C7D83" w14:textId="77777777" w:rsidR="00000000" w:rsidRDefault="00C1661D">
            <w:pPr>
              <w:spacing w:after="100"/>
              <w:rPr>
                <w:rFonts w:eastAsia="Times New Roman"/>
                <w:sz w:val="20"/>
                <w:szCs w:val="20"/>
              </w:rPr>
            </w:pPr>
          </w:p>
        </w:tc>
      </w:tr>
      <w:tr w:rsidR="00000000" w14:paraId="3AA92878" w14:textId="77777777">
        <w:trPr>
          <w:jc w:val="center"/>
        </w:trPr>
        <w:tc>
          <w:tcPr>
            <w:tcW w:w="0" w:type="auto"/>
            <w:gridSpan w:val="3"/>
            <w:tcMar>
              <w:top w:w="30" w:type="dxa"/>
              <w:left w:w="20" w:type="dxa"/>
              <w:bottom w:w="30" w:type="dxa"/>
              <w:right w:w="20" w:type="dxa"/>
            </w:tcMar>
            <w:hideMark/>
          </w:tcPr>
          <w:p w14:paraId="1F74EDCB" w14:textId="77777777" w:rsidR="00000000" w:rsidRDefault="00C1661D">
            <w:pPr>
              <w:spacing w:after="100"/>
              <w:rPr>
                <w:rFonts w:eastAsia="Times New Roman"/>
              </w:rPr>
            </w:pPr>
            <w:r>
              <w:rPr>
                <w:rFonts w:eastAsia="Times New Roman"/>
                <w:color w:val="000000"/>
                <w:sz w:val="20"/>
                <w:szCs w:val="20"/>
              </w:rPr>
              <w:t>*101.PRE</w:t>
            </w:r>
          </w:p>
        </w:tc>
        <w:tc>
          <w:tcPr>
            <w:tcW w:w="0" w:type="auto"/>
            <w:gridSpan w:val="3"/>
            <w:tcMar>
              <w:top w:w="30" w:type="dxa"/>
              <w:left w:w="20" w:type="dxa"/>
              <w:bottom w:w="30" w:type="dxa"/>
              <w:right w:w="20" w:type="dxa"/>
            </w:tcMar>
            <w:hideMark/>
          </w:tcPr>
          <w:p w14:paraId="63D33B84" w14:textId="77777777" w:rsidR="00000000" w:rsidRDefault="00C1661D">
            <w:pPr>
              <w:spacing w:after="100"/>
              <w:rPr>
                <w:rFonts w:eastAsia="Times New Roman"/>
              </w:rPr>
            </w:pPr>
            <w:r>
              <w:rPr>
                <w:rFonts w:eastAsia="Times New Roman"/>
                <w:color w:val="000000"/>
                <w:sz w:val="20"/>
                <w:szCs w:val="20"/>
              </w:rPr>
              <w:t>XBRL Taxonomy Extension Presentation Linkbase</w:t>
            </w:r>
          </w:p>
        </w:tc>
        <w:tc>
          <w:tcPr>
            <w:tcW w:w="0" w:type="auto"/>
            <w:gridSpan w:val="3"/>
            <w:tcMar>
              <w:top w:w="0" w:type="dxa"/>
              <w:left w:w="20" w:type="dxa"/>
              <w:bottom w:w="0" w:type="dxa"/>
              <w:right w:w="20" w:type="dxa"/>
            </w:tcMar>
            <w:vAlign w:val="center"/>
            <w:hideMark/>
          </w:tcPr>
          <w:p w14:paraId="399F2EB0" w14:textId="77777777" w:rsidR="00000000" w:rsidRDefault="00C1661D">
            <w:pPr>
              <w:spacing w:after="100"/>
              <w:rPr>
                <w:rFonts w:eastAsia="Times New Roman"/>
              </w:rPr>
            </w:pPr>
          </w:p>
        </w:tc>
        <w:tc>
          <w:tcPr>
            <w:tcW w:w="0" w:type="auto"/>
            <w:gridSpan w:val="6"/>
            <w:tcMar>
              <w:top w:w="0" w:type="dxa"/>
              <w:left w:w="20" w:type="dxa"/>
              <w:bottom w:w="0" w:type="dxa"/>
              <w:right w:w="20" w:type="dxa"/>
            </w:tcMar>
            <w:vAlign w:val="center"/>
            <w:hideMark/>
          </w:tcPr>
          <w:p w14:paraId="2ACEF9D2"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52A5A2" w14:textId="77777777" w:rsidR="00000000" w:rsidRDefault="00C1661D">
            <w:pPr>
              <w:spacing w:after="100"/>
              <w:rPr>
                <w:rFonts w:eastAsia="Times New Roman"/>
                <w:sz w:val="20"/>
                <w:szCs w:val="20"/>
              </w:rPr>
            </w:pPr>
          </w:p>
        </w:tc>
      </w:tr>
    </w:tbl>
    <w:p w14:paraId="06825DA9" w14:textId="77777777" w:rsidR="00000000" w:rsidRDefault="00C1661D">
      <w:pPr>
        <w:jc w:val="both"/>
        <w:rPr>
          <w:rFonts w:eastAsia="Times New Roman"/>
        </w:rPr>
      </w:pPr>
    </w:p>
    <w:p w14:paraId="524FDC9B" w14:textId="77777777" w:rsidR="00000000" w:rsidRDefault="00C1661D">
      <w:pPr>
        <w:ind w:hanging="405"/>
        <w:jc w:val="both"/>
        <w:rPr>
          <w:rFonts w:eastAsia="Times New Roman"/>
        </w:rPr>
      </w:pPr>
      <w:r>
        <w:rPr>
          <w:rFonts w:eastAsia="Times New Roman"/>
          <w:color w:val="000000"/>
          <w:sz w:val="20"/>
          <w:szCs w:val="20"/>
        </w:rPr>
        <w:t xml:space="preserve">*    Filed herewith. </w:t>
      </w:r>
    </w:p>
    <w:p w14:paraId="5CCF19B2" w14:textId="77777777" w:rsidR="00000000" w:rsidRDefault="00C1661D">
      <w:pPr>
        <w:ind w:hanging="405"/>
        <w:jc w:val="both"/>
        <w:rPr>
          <w:rFonts w:eastAsia="Times New Roman"/>
        </w:rPr>
      </w:pPr>
      <w:r>
        <w:rPr>
          <w:rFonts w:eastAsia="Times New Roman"/>
          <w:color w:val="000000"/>
          <w:sz w:val="20"/>
          <w:szCs w:val="20"/>
        </w:rPr>
        <w:t>**    </w:t>
      </w:r>
      <w:r>
        <w:rPr>
          <w:rFonts w:eastAsia="Times New Roman"/>
          <w:color w:val="000000"/>
          <w:sz w:val="20"/>
          <w:szCs w:val="20"/>
        </w:rPr>
        <w:t>As required by Item 15(a)(3), this exhibit is identified as a compensatory plan or arrangement.</w:t>
      </w:r>
    </w:p>
    <w:p w14:paraId="1019B761" w14:textId="77777777" w:rsidR="00000000" w:rsidRDefault="00C1661D">
      <w:pPr>
        <w:divId w:val="1412192390"/>
        <w:rPr>
          <w:rFonts w:eastAsia="Times New Roman"/>
        </w:rPr>
      </w:pPr>
    </w:p>
    <w:p w14:paraId="459CC56D" w14:textId="77777777" w:rsidR="00000000" w:rsidRDefault="00C1661D">
      <w:pPr>
        <w:divId w:val="1027605512"/>
        <w:rPr>
          <w:rFonts w:eastAsia="Times New Roman"/>
        </w:rPr>
      </w:pPr>
    </w:p>
    <w:p w14:paraId="2A4EC17D" w14:textId="77777777" w:rsidR="00000000" w:rsidRDefault="00C1661D">
      <w:pPr>
        <w:divId w:val="959920952"/>
        <w:rPr>
          <w:rFonts w:eastAsia="Times New Roman"/>
        </w:rPr>
      </w:pPr>
      <w:r>
        <w:rPr>
          <w:rFonts w:eastAsia="Times New Roman"/>
          <w:b/>
          <w:bCs/>
          <w:color w:val="000000"/>
          <w:sz w:val="20"/>
          <w:szCs w:val="20"/>
        </w:rPr>
        <w:t>ITEM 16. FORM 10-K SUMMARY</w:t>
      </w:r>
    </w:p>
    <w:p w14:paraId="2A61988D" w14:textId="77777777" w:rsidR="00000000" w:rsidRDefault="00C1661D">
      <w:pPr>
        <w:divId w:val="1599437721"/>
        <w:rPr>
          <w:rFonts w:eastAsia="Times New Roman"/>
        </w:rPr>
      </w:pPr>
      <w:r>
        <w:rPr>
          <w:rFonts w:eastAsia="Times New Roman"/>
          <w:color w:val="000000"/>
          <w:sz w:val="20"/>
          <w:szCs w:val="20"/>
        </w:rPr>
        <w:t>None.</w:t>
      </w:r>
    </w:p>
    <w:p w14:paraId="7D261F47" w14:textId="77777777" w:rsidR="00000000" w:rsidRDefault="00C1661D">
      <w:pPr>
        <w:divId w:val="1307273131"/>
        <w:rPr>
          <w:rFonts w:eastAsia="Times New Roman"/>
        </w:rPr>
      </w:pPr>
    </w:p>
    <w:p w14:paraId="3A8AE0A1" w14:textId="77777777" w:rsidR="00000000" w:rsidRDefault="00C1661D">
      <w:pPr>
        <w:jc w:val="center"/>
        <w:divId w:val="826435218"/>
        <w:rPr>
          <w:rFonts w:eastAsia="Times New Roman"/>
        </w:rPr>
      </w:pPr>
      <w:r>
        <w:rPr>
          <w:rFonts w:eastAsia="Times New Roman"/>
          <w:color w:val="000000"/>
          <w:sz w:val="20"/>
          <w:szCs w:val="20"/>
        </w:rPr>
        <w:t>84</w:t>
      </w:r>
    </w:p>
    <w:p w14:paraId="7CD84173" w14:textId="77777777" w:rsidR="00000000" w:rsidRDefault="00C1661D">
      <w:pPr>
        <w:rPr>
          <w:rFonts w:eastAsia="Times New Roman"/>
        </w:rPr>
      </w:pPr>
      <w:r>
        <w:rPr>
          <w:rFonts w:eastAsia="Times New Roman"/>
        </w:rPr>
        <w:pict w14:anchorId="6D4DA614">
          <v:rect id="_x0000_i1111" style="width:0;height:1.5pt" o:hralign="center" o:hrstd="t" o:hr="t" fillcolor="#a0a0a0" stroked="f"/>
        </w:pict>
      </w:r>
    </w:p>
    <w:p w14:paraId="0F53C521" w14:textId="77777777" w:rsidR="00000000" w:rsidRDefault="00C1661D">
      <w:pPr>
        <w:divId w:val="199904280"/>
        <w:rPr>
          <w:rFonts w:eastAsia="Times New Roman"/>
        </w:rPr>
      </w:pPr>
      <w:hyperlink w:anchor="i3850c3c6c0104e42b9951aac2f16098a_7" w:history="1">
        <w:r>
          <w:rPr>
            <w:rStyle w:val="a3"/>
            <w:rFonts w:eastAsia="Times New Roman"/>
            <w:b/>
            <w:bCs/>
            <w:sz w:val="20"/>
            <w:szCs w:val="20"/>
          </w:rPr>
          <w:t>Table of Contents</w:t>
        </w:r>
      </w:hyperlink>
    </w:p>
    <w:p w14:paraId="1BBE2947" w14:textId="77777777" w:rsidR="00000000" w:rsidRDefault="00C1661D">
      <w:pPr>
        <w:jc w:val="center"/>
        <w:rPr>
          <w:rFonts w:eastAsia="Times New Roman"/>
        </w:rPr>
      </w:pPr>
      <w:r>
        <w:rPr>
          <w:rFonts w:eastAsia="Times New Roman"/>
          <w:b/>
          <w:bCs/>
          <w:color w:val="000000"/>
          <w:sz w:val="20"/>
          <w:szCs w:val="20"/>
        </w:rPr>
        <w:t>EXHIBIT INDEX</w:t>
      </w:r>
    </w:p>
    <w:tbl>
      <w:tblPr>
        <w:tblW w:w="4970" w:type="pct"/>
        <w:jc w:val="center"/>
        <w:tblCellMar>
          <w:top w:w="15" w:type="dxa"/>
          <w:left w:w="15" w:type="dxa"/>
          <w:bottom w:w="15" w:type="dxa"/>
          <w:right w:w="15" w:type="dxa"/>
        </w:tblCellMar>
        <w:tblLook w:val="04A0" w:firstRow="1" w:lastRow="0" w:firstColumn="1" w:lastColumn="0" w:noHBand="0" w:noVBand="1"/>
      </w:tblPr>
      <w:tblGrid>
        <w:gridCol w:w="68"/>
        <w:gridCol w:w="865"/>
        <w:gridCol w:w="38"/>
        <w:gridCol w:w="68"/>
        <w:gridCol w:w="7179"/>
        <w:gridCol w:w="38"/>
      </w:tblGrid>
      <w:tr w:rsidR="00000000" w14:paraId="03183B72" w14:textId="77777777">
        <w:trPr>
          <w:jc w:val="center"/>
        </w:trPr>
        <w:tc>
          <w:tcPr>
            <w:tcW w:w="50" w:type="pct"/>
            <w:vAlign w:val="center"/>
            <w:hideMark/>
          </w:tcPr>
          <w:p w14:paraId="69425BA9" w14:textId="77777777" w:rsidR="00000000" w:rsidRDefault="00C1661D">
            <w:pPr>
              <w:jc w:val="center"/>
              <w:rPr>
                <w:rFonts w:eastAsia="Times New Roman"/>
              </w:rPr>
            </w:pPr>
          </w:p>
        </w:tc>
        <w:tc>
          <w:tcPr>
            <w:tcW w:w="533" w:type="pct"/>
            <w:vAlign w:val="center"/>
            <w:hideMark/>
          </w:tcPr>
          <w:p w14:paraId="31C35E8D" w14:textId="77777777" w:rsidR="00000000" w:rsidRDefault="00C1661D">
            <w:pPr>
              <w:spacing w:after="100"/>
              <w:rPr>
                <w:rFonts w:eastAsia="Times New Roman"/>
                <w:sz w:val="20"/>
                <w:szCs w:val="20"/>
              </w:rPr>
            </w:pPr>
          </w:p>
        </w:tc>
        <w:tc>
          <w:tcPr>
            <w:tcW w:w="5" w:type="pct"/>
            <w:vAlign w:val="center"/>
            <w:hideMark/>
          </w:tcPr>
          <w:p w14:paraId="2F0F203D" w14:textId="77777777" w:rsidR="00000000" w:rsidRDefault="00C1661D">
            <w:pPr>
              <w:spacing w:after="100"/>
              <w:rPr>
                <w:rFonts w:eastAsia="Times New Roman"/>
                <w:sz w:val="20"/>
                <w:szCs w:val="20"/>
              </w:rPr>
            </w:pPr>
          </w:p>
        </w:tc>
        <w:tc>
          <w:tcPr>
            <w:tcW w:w="50" w:type="pct"/>
            <w:vAlign w:val="center"/>
            <w:hideMark/>
          </w:tcPr>
          <w:p w14:paraId="725495E7" w14:textId="77777777" w:rsidR="00000000" w:rsidRDefault="00C1661D">
            <w:pPr>
              <w:spacing w:after="100"/>
              <w:rPr>
                <w:rFonts w:eastAsia="Times New Roman"/>
                <w:sz w:val="20"/>
                <w:szCs w:val="20"/>
              </w:rPr>
            </w:pPr>
          </w:p>
        </w:tc>
        <w:tc>
          <w:tcPr>
            <w:tcW w:w="4356" w:type="pct"/>
            <w:vAlign w:val="center"/>
            <w:hideMark/>
          </w:tcPr>
          <w:p w14:paraId="3207C5A4" w14:textId="77777777" w:rsidR="00000000" w:rsidRDefault="00C1661D">
            <w:pPr>
              <w:spacing w:after="100"/>
              <w:rPr>
                <w:rFonts w:eastAsia="Times New Roman"/>
                <w:sz w:val="20"/>
                <w:szCs w:val="20"/>
              </w:rPr>
            </w:pPr>
          </w:p>
        </w:tc>
        <w:tc>
          <w:tcPr>
            <w:tcW w:w="5" w:type="pct"/>
            <w:vAlign w:val="center"/>
            <w:hideMark/>
          </w:tcPr>
          <w:p w14:paraId="6F35EED4" w14:textId="77777777" w:rsidR="00000000" w:rsidRDefault="00C1661D">
            <w:pPr>
              <w:spacing w:after="100"/>
              <w:rPr>
                <w:rFonts w:eastAsia="Times New Roman"/>
                <w:sz w:val="20"/>
                <w:szCs w:val="20"/>
              </w:rPr>
            </w:pPr>
          </w:p>
        </w:tc>
      </w:tr>
      <w:tr w:rsidR="00000000" w14:paraId="2983FF17" w14:textId="77777777">
        <w:trPr>
          <w:jc w:val="center"/>
        </w:trPr>
        <w:tc>
          <w:tcPr>
            <w:tcW w:w="0" w:type="auto"/>
            <w:gridSpan w:val="3"/>
            <w:tcMar>
              <w:top w:w="30" w:type="dxa"/>
              <w:left w:w="20" w:type="dxa"/>
              <w:bottom w:w="30" w:type="dxa"/>
              <w:right w:w="20" w:type="dxa"/>
            </w:tcMar>
            <w:vAlign w:val="bottom"/>
            <w:hideMark/>
          </w:tcPr>
          <w:p w14:paraId="53AD44C7" w14:textId="77777777" w:rsidR="00000000" w:rsidRDefault="00C1661D">
            <w:pPr>
              <w:spacing w:after="100"/>
              <w:rPr>
                <w:rFonts w:eastAsia="Times New Roman"/>
              </w:rPr>
            </w:pPr>
            <w:r>
              <w:rPr>
                <w:rFonts w:eastAsia="Times New Roman"/>
                <w:b/>
                <w:bCs/>
                <w:color w:val="000000"/>
                <w:sz w:val="20"/>
                <w:szCs w:val="20"/>
              </w:rPr>
              <w:t>Exhibit No.</w:t>
            </w:r>
          </w:p>
        </w:tc>
        <w:tc>
          <w:tcPr>
            <w:tcW w:w="0" w:type="auto"/>
            <w:gridSpan w:val="3"/>
            <w:tcMar>
              <w:top w:w="30" w:type="dxa"/>
              <w:left w:w="20" w:type="dxa"/>
              <w:bottom w:w="30" w:type="dxa"/>
              <w:right w:w="20" w:type="dxa"/>
            </w:tcMar>
            <w:vAlign w:val="bottom"/>
            <w:hideMark/>
          </w:tcPr>
          <w:p w14:paraId="39346142" w14:textId="77777777" w:rsidR="00000000" w:rsidRDefault="00C1661D">
            <w:pPr>
              <w:spacing w:after="100"/>
              <w:rPr>
                <w:rFonts w:eastAsia="Times New Roman"/>
              </w:rPr>
            </w:pPr>
            <w:r>
              <w:rPr>
                <w:rFonts w:eastAsia="Times New Roman"/>
                <w:b/>
                <w:bCs/>
                <w:color w:val="000000"/>
                <w:sz w:val="20"/>
                <w:szCs w:val="20"/>
              </w:rPr>
              <w:t>Description</w:t>
            </w:r>
          </w:p>
        </w:tc>
      </w:tr>
      <w:tr w:rsidR="00000000" w14:paraId="03F5453E" w14:textId="77777777">
        <w:trPr>
          <w:trHeight w:val="60"/>
          <w:jc w:val="center"/>
        </w:trPr>
        <w:tc>
          <w:tcPr>
            <w:tcW w:w="0" w:type="auto"/>
            <w:gridSpan w:val="3"/>
            <w:tcMar>
              <w:top w:w="0" w:type="dxa"/>
              <w:left w:w="20" w:type="dxa"/>
              <w:bottom w:w="0" w:type="dxa"/>
              <w:right w:w="20" w:type="dxa"/>
            </w:tcMar>
            <w:vAlign w:val="center"/>
            <w:hideMark/>
          </w:tcPr>
          <w:p w14:paraId="47DDCE3A" w14:textId="77777777" w:rsidR="00000000" w:rsidRDefault="00C1661D">
            <w:pPr>
              <w:spacing w:after="100"/>
              <w:rPr>
                <w:rFonts w:eastAsia="Times New Roman"/>
              </w:rPr>
            </w:pPr>
          </w:p>
        </w:tc>
        <w:tc>
          <w:tcPr>
            <w:tcW w:w="0" w:type="auto"/>
            <w:gridSpan w:val="3"/>
            <w:tcMar>
              <w:top w:w="0" w:type="dxa"/>
              <w:left w:w="20" w:type="dxa"/>
              <w:bottom w:w="0" w:type="dxa"/>
              <w:right w:w="20" w:type="dxa"/>
            </w:tcMar>
            <w:vAlign w:val="center"/>
            <w:hideMark/>
          </w:tcPr>
          <w:p w14:paraId="233D5BBE" w14:textId="77777777" w:rsidR="00000000" w:rsidRDefault="00C1661D">
            <w:pPr>
              <w:spacing w:after="100"/>
              <w:rPr>
                <w:rFonts w:eastAsia="Times New Roman"/>
                <w:sz w:val="20"/>
                <w:szCs w:val="20"/>
              </w:rPr>
            </w:pPr>
          </w:p>
        </w:tc>
      </w:tr>
      <w:tr w:rsidR="00000000" w14:paraId="37B41F89" w14:textId="77777777">
        <w:trPr>
          <w:jc w:val="center"/>
        </w:trPr>
        <w:tc>
          <w:tcPr>
            <w:tcW w:w="0" w:type="auto"/>
            <w:gridSpan w:val="3"/>
            <w:tcMar>
              <w:top w:w="30" w:type="dxa"/>
              <w:left w:w="20" w:type="dxa"/>
              <w:bottom w:w="30" w:type="dxa"/>
              <w:right w:w="20" w:type="dxa"/>
            </w:tcMar>
            <w:hideMark/>
          </w:tcPr>
          <w:p w14:paraId="736E1E5B" w14:textId="77777777" w:rsidR="00000000" w:rsidRDefault="00C1661D">
            <w:pPr>
              <w:spacing w:after="100"/>
              <w:rPr>
                <w:rFonts w:eastAsia="Times New Roman"/>
              </w:rPr>
            </w:pPr>
            <w:r>
              <w:rPr>
                <w:rFonts w:eastAsia="Times New Roman"/>
                <w:color w:val="000000"/>
                <w:sz w:val="20"/>
                <w:szCs w:val="20"/>
              </w:rPr>
              <w:t>10.10</w:t>
            </w:r>
          </w:p>
        </w:tc>
        <w:tc>
          <w:tcPr>
            <w:tcW w:w="0" w:type="auto"/>
            <w:gridSpan w:val="3"/>
            <w:tcMar>
              <w:top w:w="30" w:type="dxa"/>
              <w:left w:w="20" w:type="dxa"/>
              <w:bottom w:w="30" w:type="dxa"/>
              <w:right w:w="20" w:type="dxa"/>
            </w:tcMar>
            <w:hideMark/>
          </w:tcPr>
          <w:p w14:paraId="628F8A29" w14:textId="77777777" w:rsidR="00000000" w:rsidRDefault="00C1661D">
            <w:pPr>
              <w:spacing w:after="100"/>
              <w:jc w:val="both"/>
              <w:rPr>
                <w:rFonts w:eastAsia="Times New Roman"/>
              </w:rPr>
            </w:pPr>
            <w:hyperlink r:id="rId102" w:history="1">
              <w:r>
                <w:rPr>
                  <w:rStyle w:val="a3"/>
                  <w:rFonts w:eastAsia="Times New Roman"/>
                  <w:sz w:val="20"/>
                  <w:szCs w:val="20"/>
                </w:rPr>
                <w:t>UGI Corporation 2021 Incentive Award Plan, Terms and Conditions for Non-Employee Directors, effective February 1, 2021.</w:t>
              </w:r>
            </w:hyperlink>
          </w:p>
        </w:tc>
      </w:tr>
      <w:tr w:rsidR="00000000" w14:paraId="3C73BC07" w14:textId="77777777">
        <w:trPr>
          <w:trHeight w:val="60"/>
          <w:jc w:val="center"/>
        </w:trPr>
        <w:tc>
          <w:tcPr>
            <w:tcW w:w="0" w:type="auto"/>
            <w:gridSpan w:val="3"/>
            <w:tcMar>
              <w:top w:w="0" w:type="dxa"/>
              <w:left w:w="20" w:type="dxa"/>
              <w:bottom w:w="0" w:type="dxa"/>
              <w:right w:w="20" w:type="dxa"/>
            </w:tcMar>
            <w:vAlign w:val="center"/>
            <w:hideMark/>
          </w:tcPr>
          <w:p w14:paraId="142AA00A"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24A6E3C" w14:textId="77777777" w:rsidR="00000000" w:rsidRDefault="00C1661D">
            <w:pPr>
              <w:spacing w:after="100"/>
              <w:rPr>
                <w:rFonts w:eastAsia="Times New Roman"/>
                <w:sz w:val="20"/>
                <w:szCs w:val="20"/>
              </w:rPr>
            </w:pPr>
          </w:p>
        </w:tc>
      </w:tr>
      <w:tr w:rsidR="00000000" w14:paraId="1762F823" w14:textId="77777777">
        <w:trPr>
          <w:jc w:val="center"/>
        </w:trPr>
        <w:tc>
          <w:tcPr>
            <w:tcW w:w="0" w:type="auto"/>
            <w:gridSpan w:val="3"/>
            <w:tcMar>
              <w:top w:w="30" w:type="dxa"/>
              <w:left w:w="20" w:type="dxa"/>
              <w:bottom w:w="30" w:type="dxa"/>
              <w:right w:w="20" w:type="dxa"/>
            </w:tcMar>
            <w:hideMark/>
          </w:tcPr>
          <w:p w14:paraId="3F013647" w14:textId="77777777" w:rsidR="00000000" w:rsidRDefault="00C1661D">
            <w:pPr>
              <w:spacing w:after="100"/>
              <w:jc w:val="both"/>
              <w:rPr>
                <w:rFonts w:eastAsia="Times New Roman"/>
              </w:rPr>
            </w:pPr>
            <w:r>
              <w:rPr>
                <w:rFonts w:eastAsia="Times New Roman"/>
                <w:color w:val="000000"/>
                <w:sz w:val="20"/>
                <w:szCs w:val="20"/>
              </w:rPr>
              <w:t>10.17</w:t>
            </w:r>
          </w:p>
        </w:tc>
        <w:tc>
          <w:tcPr>
            <w:tcW w:w="0" w:type="auto"/>
            <w:gridSpan w:val="3"/>
            <w:tcMar>
              <w:top w:w="30" w:type="dxa"/>
              <w:left w:w="20" w:type="dxa"/>
              <w:bottom w:w="30" w:type="dxa"/>
              <w:right w:w="20" w:type="dxa"/>
            </w:tcMar>
            <w:hideMark/>
          </w:tcPr>
          <w:p w14:paraId="2C8C248D" w14:textId="77777777" w:rsidR="00000000" w:rsidRDefault="00C1661D">
            <w:pPr>
              <w:spacing w:after="100"/>
              <w:jc w:val="both"/>
              <w:rPr>
                <w:rFonts w:eastAsia="Times New Roman"/>
              </w:rPr>
            </w:pPr>
            <w:hyperlink r:id="rId103" w:history="1">
              <w:r>
                <w:rPr>
                  <w:rStyle w:val="a3"/>
                  <w:rFonts w:eastAsia="Times New Roman"/>
                  <w:sz w:val="20"/>
                  <w:szCs w:val="20"/>
                </w:rPr>
                <w:t>Form of UGI Corporation 2021 Incentive Award Plan Nonqualified Stock Option Grant Letter for Non-Employee Directors.</w:t>
              </w:r>
            </w:hyperlink>
          </w:p>
        </w:tc>
      </w:tr>
      <w:tr w:rsidR="00000000" w14:paraId="67D928DD" w14:textId="77777777">
        <w:trPr>
          <w:trHeight w:val="60"/>
          <w:jc w:val="center"/>
        </w:trPr>
        <w:tc>
          <w:tcPr>
            <w:tcW w:w="0" w:type="auto"/>
            <w:gridSpan w:val="3"/>
            <w:tcMar>
              <w:top w:w="0" w:type="dxa"/>
              <w:left w:w="20" w:type="dxa"/>
              <w:bottom w:w="0" w:type="dxa"/>
              <w:right w:w="20" w:type="dxa"/>
            </w:tcMar>
            <w:vAlign w:val="center"/>
            <w:hideMark/>
          </w:tcPr>
          <w:p w14:paraId="4AD6120F"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17F9DE6" w14:textId="77777777" w:rsidR="00000000" w:rsidRDefault="00C1661D">
            <w:pPr>
              <w:spacing w:after="100"/>
              <w:rPr>
                <w:rFonts w:eastAsia="Times New Roman"/>
                <w:sz w:val="20"/>
                <w:szCs w:val="20"/>
              </w:rPr>
            </w:pPr>
          </w:p>
        </w:tc>
      </w:tr>
      <w:tr w:rsidR="00000000" w14:paraId="653ED18B" w14:textId="77777777">
        <w:trPr>
          <w:jc w:val="center"/>
        </w:trPr>
        <w:tc>
          <w:tcPr>
            <w:tcW w:w="0" w:type="auto"/>
            <w:gridSpan w:val="3"/>
            <w:tcMar>
              <w:top w:w="30" w:type="dxa"/>
              <w:left w:w="20" w:type="dxa"/>
              <w:bottom w:w="30" w:type="dxa"/>
              <w:right w:w="20" w:type="dxa"/>
            </w:tcMar>
            <w:hideMark/>
          </w:tcPr>
          <w:p w14:paraId="11019BDA" w14:textId="77777777" w:rsidR="00000000" w:rsidRDefault="00C1661D">
            <w:pPr>
              <w:spacing w:after="100"/>
              <w:jc w:val="both"/>
              <w:rPr>
                <w:rFonts w:eastAsia="Times New Roman"/>
              </w:rPr>
            </w:pPr>
            <w:r>
              <w:rPr>
                <w:rFonts w:eastAsia="Times New Roman"/>
                <w:color w:val="000000"/>
                <w:sz w:val="20"/>
                <w:szCs w:val="20"/>
              </w:rPr>
              <w:t>10.18</w:t>
            </w:r>
          </w:p>
        </w:tc>
        <w:tc>
          <w:tcPr>
            <w:tcW w:w="0" w:type="auto"/>
            <w:gridSpan w:val="3"/>
            <w:tcMar>
              <w:top w:w="30" w:type="dxa"/>
              <w:left w:w="20" w:type="dxa"/>
              <w:bottom w:w="30" w:type="dxa"/>
              <w:right w:w="20" w:type="dxa"/>
            </w:tcMar>
            <w:hideMark/>
          </w:tcPr>
          <w:p w14:paraId="05C4AD73" w14:textId="77777777" w:rsidR="00000000" w:rsidRDefault="00C1661D">
            <w:pPr>
              <w:spacing w:after="100"/>
              <w:divId w:val="1918510578"/>
              <w:rPr>
                <w:rFonts w:eastAsia="Times New Roman"/>
              </w:rPr>
            </w:pPr>
            <w:hyperlink r:id="rId104" w:history="1">
              <w:r>
                <w:rPr>
                  <w:rStyle w:val="a3"/>
                  <w:rFonts w:eastAsia="Times New Roman"/>
                  <w:sz w:val="20"/>
                  <w:szCs w:val="20"/>
                </w:rPr>
                <w:t>Form of UGI Corporation 2021 Incentive Award Plan Restricted Stock Unit Grant Letter for Non-Employee Directors.</w:t>
              </w:r>
            </w:hyperlink>
          </w:p>
        </w:tc>
      </w:tr>
      <w:tr w:rsidR="00000000" w14:paraId="0F63C604" w14:textId="77777777">
        <w:trPr>
          <w:trHeight w:val="60"/>
          <w:jc w:val="center"/>
        </w:trPr>
        <w:tc>
          <w:tcPr>
            <w:tcW w:w="0" w:type="auto"/>
            <w:gridSpan w:val="3"/>
            <w:tcMar>
              <w:top w:w="0" w:type="dxa"/>
              <w:left w:w="20" w:type="dxa"/>
              <w:bottom w:w="0" w:type="dxa"/>
              <w:right w:w="20" w:type="dxa"/>
            </w:tcMar>
            <w:vAlign w:val="center"/>
            <w:hideMark/>
          </w:tcPr>
          <w:p w14:paraId="35F9A740" w14:textId="77777777" w:rsidR="00000000" w:rsidRDefault="00C1661D">
            <w:pPr>
              <w:spacing w:after="100"/>
              <w:rPr>
                <w:rFonts w:eastAsia="Times New Roman"/>
              </w:rPr>
            </w:pPr>
          </w:p>
        </w:tc>
        <w:tc>
          <w:tcPr>
            <w:tcW w:w="0" w:type="auto"/>
            <w:gridSpan w:val="3"/>
            <w:tcMar>
              <w:top w:w="0" w:type="dxa"/>
              <w:left w:w="20" w:type="dxa"/>
              <w:bottom w:w="0" w:type="dxa"/>
              <w:right w:w="20" w:type="dxa"/>
            </w:tcMar>
            <w:vAlign w:val="center"/>
            <w:hideMark/>
          </w:tcPr>
          <w:p w14:paraId="45920F5A" w14:textId="77777777" w:rsidR="00000000" w:rsidRDefault="00C1661D">
            <w:pPr>
              <w:spacing w:after="100"/>
              <w:rPr>
                <w:rFonts w:eastAsia="Times New Roman"/>
                <w:sz w:val="20"/>
                <w:szCs w:val="20"/>
              </w:rPr>
            </w:pPr>
          </w:p>
        </w:tc>
      </w:tr>
      <w:tr w:rsidR="00000000" w14:paraId="057B79C1" w14:textId="77777777">
        <w:trPr>
          <w:jc w:val="center"/>
        </w:trPr>
        <w:tc>
          <w:tcPr>
            <w:tcW w:w="0" w:type="auto"/>
            <w:gridSpan w:val="3"/>
            <w:tcMar>
              <w:top w:w="30" w:type="dxa"/>
              <w:left w:w="20" w:type="dxa"/>
              <w:bottom w:w="30" w:type="dxa"/>
              <w:right w:w="20" w:type="dxa"/>
            </w:tcMar>
            <w:hideMark/>
          </w:tcPr>
          <w:p w14:paraId="01B04486" w14:textId="77777777" w:rsidR="00000000" w:rsidRDefault="00C1661D">
            <w:pPr>
              <w:spacing w:after="100"/>
              <w:jc w:val="both"/>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hideMark/>
          </w:tcPr>
          <w:p w14:paraId="62417D94" w14:textId="77777777" w:rsidR="00000000" w:rsidRDefault="00C1661D">
            <w:pPr>
              <w:spacing w:after="100"/>
              <w:jc w:val="both"/>
              <w:rPr>
                <w:rFonts w:eastAsia="Times New Roman"/>
              </w:rPr>
            </w:pPr>
            <w:hyperlink r:id="rId105" w:history="1">
              <w:r>
                <w:rPr>
                  <w:rStyle w:val="a3"/>
                  <w:rFonts w:eastAsia="Times New Roman"/>
                  <w:sz w:val="20"/>
                  <w:szCs w:val="20"/>
                </w:rPr>
                <w:t>Subsidiaries of the Registrant.</w:t>
              </w:r>
            </w:hyperlink>
          </w:p>
        </w:tc>
      </w:tr>
      <w:tr w:rsidR="00000000" w14:paraId="461FBBF3" w14:textId="77777777">
        <w:trPr>
          <w:trHeight w:val="60"/>
          <w:jc w:val="center"/>
        </w:trPr>
        <w:tc>
          <w:tcPr>
            <w:tcW w:w="0" w:type="auto"/>
            <w:gridSpan w:val="3"/>
            <w:tcMar>
              <w:top w:w="0" w:type="dxa"/>
              <w:left w:w="20" w:type="dxa"/>
              <w:bottom w:w="0" w:type="dxa"/>
              <w:right w:w="20" w:type="dxa"/>
            </w:tcMar>
            <w:vAlign w:val="center"/>
            <w:hideMark/>
          </w:tcPr>
          <w:p w14:paraId="6CFA8334"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1885487" w14:textId="77777777" w:rsidR="00000000" w:rsidRDefault="00C1661D">
            <w:pPr>
              <w:spacing w:after="100"/>
              <w:rPr>
                <w:rFonts w:eastAsia="Times New Roman"/>
                <w:sz w:val="20"/>
                <w:szCs w:val="20"/>
              </w:rPr>
            </w:pPr>
          </w:p>
        </w:tc>
      </w:tr>
      <w:tr w:rsidR="00000000" w14:paraId="060466EA" w14:textId="77777777">
        <w:trPr>
          <w:jc w:val="center"/>
        </w:trPr>
        <w:tc>
          <w:tcPr>
            <w:tcW w:w="0" w:type="auto"/>
            <w:gridSpan w:val="3"/>
            <w:tcMar>
              <w:top w:w="30" w:type="dxa"/>
              <w:left w:w="20" w:type="dxa"/>
              <w:bottom w:w="30" w:type="dxa"/>
              <w:right w:w="20" w:type="dxa"/>
            </w:tcMar>
            <w:hideMark/>
          </w:tcPr>
          <w:p w14:paraId="4A7A2B40" w14:textId="77777777" w:rsidR="00000000" w:rsidRDefault="00C1661D">
            <w:pPr>
              <w:spacing w:after="100"/>
              <w:jc w:val="both"/>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hideMark/>
          </w:tcPr>
          <w:p w14:paraId="4BDA0526" w14:textId="77777777" w:rsidR="00000000" w:rsidRDefault="00C1661D">
            <w:pPr>
              <w:spacing w:after="100"/>
              <w:jc w:val="both"/>
              <w:rPr>
                <w:rFonts w:eastAsia="Times New Roman"/>
              </w:rPr>
            </w:pPr>
            <w:hyperlink r:id="rId106" w:history="1">
              <w:r>
                <w:rPr>
                  <w:rStyle w:val="a3"/>
                  <w:rFonts w:eastAsia="Times New Roman"/>
                  <w:sz w:val="20"/>
                  <w:szCs w:val="20"/>
                </w:rPr>
                <w:t>Consent of Ernst &amp; Young LLP.</w:t>
              </w:r>
            </w:hyperlink>
          </w:p>
        </w:tc>
      </w:tr>
      <w:tr w:rsidR="00000000" w14:paraId="3879DEC1" w14:textId="77777777">
        <w:trPr>
          <w:trHeight w:val="60"/>
          <w:jc w:val="center"/>
        </w:trPr>
        <w:tc>
          <w:tcPr>
            <w:tcW w:w="0" w:type="auto"/>
            <w:gridSpan w:val="3"/>
            <w:tcMar>
              <w:top w:w="0" w:type="dxa"/>
              <w:left w:w="20" w:type="dxa"/>
              <w:bottom w:w="0" w:type="dxa"/>
              <w:right w:w="20" w:type="dxa"/>
            </w:tcMar>
            <w:vAlign w:val="center"/>
            <w:hideMark/>
          </w:tcPr>
          <w:p w14:paraId="71ECC5E5"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370C673" w14:textId="77777777" w:rsidR="00000000" w:rsidRDefault="00C1661D">
            <w:pPr>
              <w:spacing w:after="100"/>
              <w:rPr>
                <w:rFonts w:eastAsia="Times New Roman"/>
                <w:sz w:val="20"/>
                <w:szCs w:val="20"/>
              </w:rPr>
            </w:pPr>
          </w:p>
        </w:tc>
      </w:tr>
      <w:tr w:rsidR="00000000" w14:paraId="4FF299ED" w14:textId="77777777">
        <w:trPr>
          <w:jc w:val="center"/>
        </w:trPr>
        <w:tc>
          <w:tcPr>
            <w:tcW w:w="0" w:type="auto"/>
            <w:gridSpan w:val="3"/>
            <w:tcMar>
              <w:top w:w="30" w:type="dxa"/>
              <w:left w:w="20" w:type="dxa"/>
              <w:bottom w:w="30" w:type="dxa"/>
              <w:right w:w="20" w:type="dxa"/>
            </w:tcMar>
            <w:hideMark/>
          </w:tcPr>
          <w:p w14:paraId="366355B3" w14:textId="77777777" w:rsidR="00000000" w:rsidRDefault="00C1661D">
            <w:pPr>
              <w:spacing w:after="100"/>
              <w:jc w:val="both"/>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14:paraId="1BDB87BA" w14:textId="77777777" w:rsidR="00000000" w:rsidRDefault="00C1661D">
            <w:pPr>
              <w:spacing w:after="100"/>
              <w:jc w:val="both"/>
              <w:rPr>
                <w:rFonts w:eastAsia="Times New Roman"/>
              </w:rPr>
            </w:pPr>
            <w:hyperlink r:id="rId107" w:history="1">
              <w:r>
                <w:rPr>
                  <w:rStyle w:val="a3"/>
                  <w:rFonts w:eastAsia="Times New Roman"/>
                  <w:sz w:val="20"/>
                  <w:szCs w:val="20"/>
                </w:rPr>
                <w:t>Certification by the Chief Executive Officer relating to the Registrant’s Report on Form 10-K for the fiscal year ended September 30, 2022 pursuant to Section 302 of the Sarbanes-Oxley Act of 2002.</w:t>
              </w:r>
            </w:hyperlink>
          </w:p>
        </w:tc>
      </w:tr>
      <w:tr w:rsidR="00000000" w14:paraId="0FE276B0" w14:textId="77777777">
        <w:trPr>
          <w:trHeight w:val="60"/>
          <w:jc w:val="center"/>
        </w:trPr>
        <w:tc>
          <w:tcPr>
            <w:tcW w:w="0" w:type="auto"/>
            <w:gridSpan w:val="3"/>
            <w:tcMar>
              <w:top w:w="0" w:type="dxa"/>
              <w:left w:w="20" w:type="dxa"/>
              <w:bottom w:w="0" w:type="dxa"/>
              <w:right w:w="20" w:type="dxa"/>
            </w:tcMar>
            <w:vAlign w:val="center"/>
            <w:hideMark/>
          </w:tcPr>
          <w:p w14:paraId="2907EB25"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FD4C04F" w14:textId="77777777" w:rsidR="00000000" w:rsidRDefault="00C1661D">
            <w:pPr>
              <w:spacing w:after="100"/>
              <w:rPr>
                <w:rFonts w:eastAsia="Times New Roman"/>
                <w:sz w:val="20"/>
                <w:szCs w:val="20"/>
              </w:rPr>
            </w:pPr>
          </w:p>
        </w:tc>
      </w:tr>
      <w:tr w:rsidR="00000000" w14:paraId="55B4EEFF" w14:textId="77777777">
        <w:trPr>
          <w:jc w:val="center"/>
        </w:trPr>
        <w:tc>
          <w:tcPr>
            <w:tcW w:w="0" w:type="auto"/>
            <w:gridSpan w:val="3"/>
            <w:tcMar>
              <w:top w:w="30" w:type="dxa"/>
              <w:left w:w="20" w:type="dxa"/>
              <w:bottom w:w="30" w:type="dxa"/>
              <w:right w:w="20" w:type="dxa"/>
            </w:tcMar>
            <w:hideMark/>
          </w:tcPr>
          <w:p w14:paraId="7DEFE532" w14:textId="77777777" w:rsidR="00000000" w:rsidRDefault="00C1661D">
            <w:pPr>
              <w:spacing w:after="100"/>
              <w:jc w:val="both"/>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14:paraId="7738B642" w14:textId="77777777" w:rsidR="00000000" w:rsidRDefault="00C1661D">
            <w:pPr>
              <w:spacing w:after="100"/>
              <w:jc w:val="both"/>
              <w:rPr>
                <w:rFonts w:eastAsia="Times New Roman"/>
              </w:rPr>
            </w:pPr>
            <w:hyperlink r:id="rId108" w:history="1">
              <w:r>
                <w:rPr>
                  <w:rStyle w:val="a3"/>
                  <w:rFonts w:eastAsia="Times New Roman"/>
                  <w:sz w:val="20"/>
                  <w:szCs w:val="20"/>
                </w:rPr>
                <w:t>Certification by the Chief Financial Officer relating to the Registrant’s Report on Form 10-K for the fiscal year ended September 30, 2022 pursuant to Section 302 of the Sarbanes-Oxley Act of 2002.</w:t>
              </w:r>
            </w:hyperlink>
          </w:p>
        </w:tc>
      </w:tr>
      <w:tr w:rsidR="00000000" w14:paraId="024A6C7C" w14:textId="77777777">
        <w:trPr>
          <w:trHeight w:val="60"/>
          <w:jc w:val="center"/>
        </w:trPr>
        <w:tc>
          <w:tcPr>
            <w:tcW w:w="0" w:type="auto"/>
            <w:gridSpan w:val="3"/>
            <w:tcMar>
              <w:top w:w="0" w:type="dxa"/>
              <w:left w:w="20" w:type="dxa"/>
              <w:bottom w:w="0" w:type="dxa"/>
              <w:right w:w="20" w:type="dxa"/>
            </w:tcMar>
            <w:vAlign w:val="center"/>
            <w:hideMark/>
          </w:tcPr>
          <w:p w14:paraId="19419191"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37A34DB" w14:textId="77777777" w:rsidR="00000000" w:rsidRDefault="00C1661D">
            <w:pPr>
              <w:spacing w:after="100"/>
              <w:rPr>
                <w:rFonts w:eastAsia="Times New Roman"/>
                <w:sz w:val="20"/>
                <w:szCs w:val="20"/>
              </w:rPr>
            </w:pPr>
          </w:p>
        </w:tc>
      </w:tr>
      <w:tr w:rsidR="00000000" w14:paraId="19D1D11C" w14:textId="77777777">
        <w:trPr>
          <w:jc w:val="center"/>
        </w:trPr>
        <w:tc>
          <w:tcPr>
            <w:tcW w:w="0" w:type="auto"/>
            <w:gridSpan w:val="3"/>
            <w:tcMar>
              <w:top w:w="30" w:type="dxa"/>
              <w:left w:w="20" w:type="dxa"/>
              <w:bottom w:w="30" w:type="dxa"/>
              <w:right w:w="20" w:type="dxa"/>
            </w:tcMar>
            <w:hideMark/>
          </w:tcPr>
          <w:p w14:paraId="7C3089FD" w14:textId="77777777" w:rsidR="00000000" w:rsidRDefault="00C1661D">
            <w:pPr>
              <w:spacing w:after="100"/>
              <w:jc w:val="both"/>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14:paraId="6D2AB0E9" w14:textId="77777777" w:rsidR="00000000" w:rsidRDefault="00C1661D">
            <w:pPr>
              <w:spacing w:after="100"/>
              <w:jc w:val="both"/>
              <w:rPr>
                <w:rFonts w:eastAsia="Times New Roman"/>
              </w:rPr>
            </w:pPr>
            <w:hyperlink r:id="rId109" w:history="1">
              <w:r>
                <w:rPr>
                  <w:rStyle w:val="a3"/>
                  <w:rFonts w:eastAsia="Times New Roman"/>
                  <w:sz w:val="20"/>
                  <w:szCs w:val="20"/>
                </w:rPr>
                <w:t>Certification by the Chief Executive Officer and the Chief Financial Officer relating to the Registrant’s Report on Form 10-K for the fiscal year ended September 30, 2022, pursuant to Section 906 of the Sarbanes-Oxle</w:t>
              </w:r>
              <w:r>
                <w:rPr>
                  <w:rStyle w:val="a3"/>
                  <w:rFonts w:eastAsia="Times New Roman"/>
                  <w:sz w:val="20"/>
                  <w:szCs w:val="20"/>
                </w:rPr>
                <w:t>y Act of 2002.</w:t>
              </w:r>
            </w:hyperlink>
          </w:p>
        </w:tc>
      </w:tr>
      <w:tr w:rsidR="00000000" w14:paraId="18A0B95F" w14:textId="77777777">
        <w:trPr>
          <w:trHeight w:val="60"/>
          <w:jc w:val="center"/>
        </w:trPr>
        <w:tc>
          <w:tcPr>
            <w:tcW w:w="0" w:type="auto"/>
            <w:gridSpan w:val="3"/>
            <w:tcMar>
              <w:top w:w="0" w:type="dxa"/>
              <w:left w:w="20" w:type="dxa"/>
              <w:bottom w:w="0" w:type="dxa"/>
              <w:right w:w="20" w:type="dxa"/>
            </w:tcMar>
            <w:vAlign w:val="center"/>
            <w:hideMark/>
          </w:tcPr>
          <w:p w14:paraId="214FD965"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F53B057" w14:textId="77777777" w:rsidR="00000000" w:rsidRDefault="00C1661D">
            <w:pPr>
              <w:spacing w:after="100"/>
              <w:rPr>
                <w:rFonts w:eastAsia="Times New Roman"/>
                <w:sz w:val="20"/>
                <w:szCs w:val="20"/>
              </w:rPr>
            </w:pPr>
          </w:p>
        </w:tc>
      </w:tr>
      <w:tr w:rsidR="00000000" w14:paraId="19BB6644" w14:textId="77777777">
        <w:trPr>
          <w:jc w:val="center"/>
        </w:trPr>
        <w:tc>
          <w:tcPr>
            <w:tcW w:w="0" w:type="auto"/>
            <w:gridSpan w:val="3"/>
            <w:tcMar>
              <w:top w:w="30" w:type="dxa"/>
              <w:left w:w="20" w:type="dxa"/>
              <w:bottom w:w="30" w:type="dxa"/>
              <w:right w:w="20" w:type="dxa"/>
            </w:tcMar>
            <w:hideMark/>
          </w:tcPr>
          <w:p w14:paraId="68F43B17" w14:textId="77777777" w:rsidR="00000000" w:rsidRDefault="00C1661D">
            <w:pPr>
              <w:spacing w:after="100"/>
              <w:jc w:val="both"/>
              <w:rPr>
                <w:rFonts w:eastAsia="Times New Roman"/>
              </w:rPr>
            </w:pPr>
            <w:r>
              <w:rPr>
                <w:rFonts w:eastAsia="Times New Roman"/>
                <w:color w:val="000000"/>
                <w:sz w:val="20"/>
                <w:szCs w:val="20"/>
              </w:rPr>
              <w:t>101.INS</w:t>
            </w:r>
          </w:p>
        </w:tc>
        <w:tc>
          <w:tcPr>
            <w:tcW w:w="0" w:type="auto"/>
            <w:gridSpan w:val="3"/>
            <w:tcMar>
              <w:top w:w="30" w:type="dxa"/>
              <w:left w:w="20" w:type="dxa"/>
              <w:bottom w:w="30" w:type="dxa"/>
              <w:right w:w="20" w:type="dxa"/>
            </w:tcMar>
            <w:hideMark/>
          </w:tcPr>
          <w:p w14:paraId="7C8BC96D" w14:textId="77777777" w:rsidR="00000000" w:rsidRDefault="00C1661D">
            <w:pPr>
              <w:spacing w:after="100"/>
              <w:jc w:val="both"/>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document</w:t>
            </w:r>
          </w:p>
        </w:tc>
      </w:tr>
      <w:tr w:rsidR="00000000" w14:paraId="215918A1" w14:textId="77777777">
        <w:trPr>
          <w:trHeight w:val="60"/>
          <w:jc w:val="center"/>
        </w:trPr>
        <w:tc>
          <w:tcPr>
            <w:tcW w:w="0" w:type="auto"/>
            <w:gridSpan w:val="3"/>
            <w:tcMar>
              <w:top w:w="0" w:type="dxa"/>
              <w:left w:w="20" w:type="dxa"/>
              <w:bottom w:w="0" w:type="dxa"/>
              <w:right w:w="20" w:type="dxa"/>
            </w:tcMar>
            <w:vAlign w:val="center"/>
            <w:hideMark/>
          </w:tcPr>
          <w:p w14:paraId="454F085C"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4007A1B" w14:textId="77777777" w:rsidR="00000000" w:rsidRDefault="00C1661D">
            <w:pPr>
              <w:spacing w:after="100"/>
              <w:rPr>
                <w:rFonts w:eastAsia="Times New Roman"/>
                <w:sz w:val="20"/>
                <w:szCs w:val="20"/>
              </w:rPr>
            </w:pPr>
          </w:p>
        </w:tc>
      </w:tr>
      <w:tr w:rsidR="00000000" w14:paraId="00CD4DFA" w14:textId="77777777">
        <w:trPr>
          <w:jc w:val="center"/>
        </w:trPr>
        <w:tc>
          <w:tcPr>
            <w:tcW w:w="0" w:type="auto"/>
            <w:gridSpan w:val="3"/>
            <w:tcMar>
              <w:top w:w="30" w:type="dxa"/>
              <w:left w:w="20" w:type="dxa"/>
              <w:bottom w:w="30" w:type="dxa"/>
              <w:right w:w="20" w:type="dxa"/>
            </w:tcMar>
            <w:hideMark/>
          </w:tcPr>
          <w:p w14:paraId="7212A284" w14:textId="77777777" w:rsidR="00000000" w:rsidRDefault="00C1661D">
            <w:pPr>
              <w:spacing w:after="100"/>
              <w:jc w:val="both"/>
              <w:rPr>
                <w:rFonts w:eastAsia="Times New Roman"/>
              </w:rPr>
            </w:pPr>
            <w:r>
              <w:rPr>
                <w:rFonts w:eastAsia="Times New Roman"/>
                <w:color w:val="000000"/>
                <w:sz w:val="20"/>
                <w:szCs w:val="20"/>
              </w:rPr>
              <w:t>101.SCH</w:t>
            </w:r>
          </w:p>
        </w:tc>
        <w:tc>
          <w:tcPr>
            <w:tcW w:w="0" w:type="auto"/>
            <w:gridSpan w:val="3"/>
            <w:tcMar>
              <w:top w:w="30" w:type="dxa"/>
              <w:left w:w="20" w:type="dxa"/>
              <w:bottom w:w="30" w:type="dxa"/>
              <w:right w:w="20" w:type="dxa"/>
            </w:tcMar>
            <w:hideMark/>
          </w:tcPr>
          <w:p w14:paraId="4FF18D79" w14:textId="77777777" w:rsidR="00000000" w:rsidRDefault="00C1661D">
            <w:pPr>
              <w:spacing w:after="100"/>
              <w:jc w:val="both"/>
              <w:rPr>
                <w:rFonts w:eastAsia="Times New Roman"/>
              </w:rPr>
            </w:pPr>
            <w:r>
              <w:rPr>
                <w:rFonts w:eastAsia="Times New Roman"/>
                <w:color w:val="000000"/>
                <w:sz w:val="20"/>
                <w:szCs w:val="20"/>
              </w:rPr>
              <w:t>XBRL Taxonomy Extension Schema</w:t>
            </w:r>
          </w:p>
        </w:tc>
      </w:tr>
      <w:tr w:rsidR="00000000" w14:paraId="13BBF32E" w14:textId="77777777">
        <w:trPr>
          <w:trHeight w:val="60"/>
          <w:jc w:val="center"/>
        </w:trPr>
        <w:tc>
          <w:tcPr>
            <w:tcW w:w="0" w:type="auto"/>
            <w:gridSpan w:val="3"/>
            <w:tcMar>
              <w:top w:w="0" w:type="dxa"/>
              <w:left w:w="20" w:type="dxa"/>
              <w:bottom w:w="0" w:type="dxa"/>
              <w:right w:w="20" w:type="dxa"/>
            </w:tcMar>
            <w:vAlign w:val="center"/>
            <w:hideMark/>
          </w:tcPr>
          <w:p w14:paraId="5F351C53"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38C9850" w14:textId="77777777" w:rsidR="00000000" w:rsidRDefault="00C1661D">
            <w:pPr>
              <w:spacing w:after="100"/>
              <w:rPr>
                <w:rFonts w:eastAsia="Times New Roman"/>
                <w:sz w:val="20"/>
                <w:szCs w:val="20"/>
              </w:rPr>
            </w:pPr>
          </w:p>
        </w:tc>
      </w:tr>
      <w:tr w:rsidR="00000000" w14:paraId="7C971316" w14:textId="77777777">
        <w:trPr>
          <w:jc w:val="center"/>
        </w:trPr>
        <w:tc>
          <w:tcPr>
            <w:tcW w:w="0" w:type="auto"/>
            <w:gridSpan w:val="3"/>
            <w:tcMar>
              <w:top w:w="30" w:type="dxa"/>
              <w:left w:w="20" w:type="dxa"/>
              <w:bottom w:w="30" w:type="dxa"/>
              <w:right w:w="20" w:type="dxa"/>
            </w:tcMar>
            <w:hideMark/>
          </w:tcPr>
          <w:p w14:paraId="2C6CF571" w14:textId="77777777" w:rsidR="00000000" w:rsidRDefault="00C1661D">
            <w:pPr>
              <w:spacing w:after="100"/>
              <w:jc w:val="both"/>
              <w:rPr>
                <w:rFonts w:eastAsia="Times New Roman"/>
              </w:rPr>
            </w:pPr>
            <w:r>
              <w:rPr>
                <w:rFonts w:eastAsia="Times New Roman"/>
                <w:color w:val="000000"/>
                <w:sz w:val="20"/>
                <w:szCs w:val="20"/>
              </w:rPr>
              <w:t>101.CAL</w:t>
            </w:r>
          </w:p>
        </w:tc>
        <w:tc>
          <w:tcPr>
            <w:tcW w:w="0" w:type="auto"/>
            <w:gridSpan w:val="3"/>
            <w:tcMar>
              <w:top w:w="30" w:type="dxa"/>
              <w:left w:w="20" w:type="dxa"/>
              <w:bottom w:w="30" w:type="dxa"/>
              <w:right w:w="20" w:type="dxa"/>
            </w:tcMar>
            <w:hideMark/>
          </w:tcPr>
          <w:p w14:paraId="6B10BFB2" w14:textId="77777777" w:rsidR="00000000" w:rsidRDefault="00C1661D">
            <w:pPr>
              <w:spacing w:after="100"/>
              <w:jc w:val="both"/>
              <w:rPr>
                <w:rFonts w:eastAsia="Times New Roman"/>
              </w:rPr>
            </w:pPr>
            <w:r>
              <w:rPr>
                <w:rFonts w:eastAsia="Times New Roman"/>
                <w:color w:val="000000"/>
                <w:sz w:val="20"/>
                <w:szCs w:val="20"/>
              </w:rPr>
              <w:t>XBRL Taxonomy Extension Calculation Linkbase</w:t>
            </w:r>
          </w:p>
        </w:tc>
      </w:tr>
      <w:tr w:rsidR="00000000" w14:paraId="2FE1274F" w14:textId="77777777">
        <w:trPr>
          <w:trHeight w:val="60"/>
          <w:jc w:val="center"/>
        </w:trPr>
        <w:tc>
          <w:tcPr>
            <w:tcW w:w="0" w:type="auto"/>
            <w:gridSpan w:val="3"/>
            <w:tcMar>
              <w:top w:w="0" w:type="dxa"/>
              <w:left w:w="20" w:type="dxa"/>
              <w:bottom w:w="0" w:type="dxa"/>
              <w:right w:w="20" w:type="dxa"/>
            </w:tcMar>
            <w:vAlign w:val="center"/>
            <w:hideMark/>
          </w:tcPr>
          <w:p w14:paraId="4AC423E9"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1A2714B" w14:textId="77777777" w:rsidR="00000000" w:rsidRDefault="00C1661D">
            <w:pPr>
              <w:spacing w:after="100"/>
              <w:rPr>
                <w:rFonts w:eastAsia="Times New Roman"/>
                <w:sz w:val="20"/>
                <w:szCs w:val="20"/>
              </w:rPr>
            </w:pPr>
          </w:p>
        </w:tc>
      </w:tr>
      <w:tr w:rsidR="00000000" w14:paraId="7DB798BF" w14:textId="77777777">
        <w:trPr>
          <w:jc w:val="center"/>
        </w:trPr>
        <w:tc>
          <w:tcPr>
            <w:tcW w:w="0" w:type="auto"/>
            <w:gridSpan w:val="3"/>
            <w:tcMar>
              <w:top w:w="30" w:type="dxa"/>
              <w:left w:w="20" w:type="dxa"/>
              <w:bottom w:w="30" w:type="dxa"/>
              <w:right w:w="20" w:type="dxa"/>
            </w:tcMar>
            <w:hideMark/>
          </w:tcPr>
          <w:p w14:paraId="6BADCC1A" w14:textId="77777777" w:rsidR="00000000" w:rsidRDefault="00C1661D">
            <w:pPr>
              <w:spacing w:after="100"/>
              <w:jc w:val="both"/>
              <w:rPr>
                <w:rFonts w:eastAsia="Times New Roman"/>
              </w:rPr>
            </w:pPr>
            <w:r>
              <w:rPr>
                <w:rFonts w:eastAsia="Times New Roman"/>
                <w:color w:val="000000"/>
                <w:sz w:val="20"/>
                <w:szCs w:val="20"/>
              </w:rPr>
              <w:t>101.DEF</w:t>
            </w:r>
          </w:p>
        </w:tc>
        <w:tc>
          <w:tcPr>
            <w:tcW w:w="0" w:type="auto"/>
            <w:gridSpan w:val="3"/>
            <w:tcMar>
              <w:top w:w="30" w:type="dxa"/>
              <w:left w:w="20" w:type="dxa"/>
              <w:bottom w:w="30" w:type="dxa"/>
              <w:right w:w="20" w:type="dxa"/>
            </w:tcMar>
            <w:hideMark/>
          </w:tcPr>
          <w:p w14:paraId="057BE973" w14:textId="77777777" w:rsidR="00000000" w:rsidRDefault="00C1661D">
            <w:pPr>
              <w:spacing w:after="100"/>
              <w:jc w:val="both"/>
              <w:rPr>
                <w:rFonts w:eastAsia="Times New Roman"/>
              </w:rPr>
            </w:pPr>
            <w:r>
              <w:rPr>
                <w:rFonts w:eastAsia="Times New Roman"/>
                <w:color w:val="000000"/>
                <w:sz w:val="20"/>
                <w:szCs w:val="20"/>
              </w:rPr>
              <w:t>XBRL Taxonomy Extension Definition Linkbase</w:t>
            </w:r>
          </w:p>
        </w:tc>
      </w:tr>
      <w:tr w:rsidR="00000000" w14:paraId="3A1174C7" w14:textId="77777777">
        <w:trPr>
          <w:trHeight w:val="60"/>
          <w:jc w:val="center"/>
        </w:trPr>
        <w:tc>
          <w:tcPr>
            <w:tcW w:w="0" w:type="auto"/>
            <w:gridSpan w:val="3"/>
            <w:tcMar>
              <w:top w:w="0" w:type="dxa"/>
              <w:left w:w="20" w:type="dxa"/>
              <w:bottom w:w="0" w:type="dxa"/>
              <w:right w:w="20" w:type="dxa"/>
            </w:tcMar>
            <w:vAlign w:val="center"/>
            <w:hideMark/>
          </w:tcPr>
          <w:p w14:paraId="076BCB88"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D6BC280" w14:textId="77777777" w:rsidR="00000000" w:rsidRDefault="00C1661D">
            <w:pPr>
              <w:spacing w:after="100"/>
              <w:rPr>
                <w:rFonts w:eastAsia="Times New Roman"/>
                <w:sz w:val="20"/>
                <w:szCs w:val="20"/>
              </w:rPr>
            </w:pPr>
          </w:p>
        </w:tc>
      </w:tr>
      <w:tr w:rsidR="00000000" w14:paraId="53190A99" w14:textId="77777777">
        <w:trPr>
          <w:jc w:val="center"/>
        </w:trPr>
        <w:tc>
          <w:tcPr>
            <w:tcW w:w="0" w:type="auto"/>
            <w:gridSpan w:val="3"/>
            <w:tcMar>
              <w:top w:w="30" w:type="dxa"/>
              <w:left w:w="20" w:type="dxa"/>
              <w:bottom w:w="30" w:type="dxa"/>
              <w:right w:w="20" w:type="dxa"/>
            </w:tcMar>
            <w:hideMark/>
          </w:tcPr>
          <w:p w14:paraId="4AB9CCAF" w14:textId="77777777" w:rsidR="00000000" w:rsidRDefault="00C1661D">
            <w:pPr>
              <w:spacing w:after="100"/>
              <w:jc w:val="both"/>
              <w:rPr>
                <w:rFonts w:eastAsia="Times New Roman"/>
              </w:rPr>
            </w:pPr>
            <w:r>
              <w:rPr>
                <w:rFonts w:eastAsia="Times New Roman"/>
                <w:color w:val="000000"/>
                <w:sz w:val="20"/>
                <w:szCs w:val="20"/>
              </w:rPr>
              <w:t>101.LAB</w:t>
            </w:r>
          </w:p>
        </w:tc>
        <w:tc>
          <w:tcPr>
            <w:tcW w:w="0" w:type="auto"/>
            <w:gridSpan w:val="3"/>
            <w:tcMar>
              <w:top w:w="30" w:type="dxa"/>
              <w:left w:w="20" w:type="dxa"/>
              <w:bottom w:w="30" w:type="dxa"/>
              <w:right w:w="20" w:type="dxa"/>
            </w:tcMar>
            <w:hideMark/>
          </w:tcPr>
          <w:p w14:paraId="54EE3FF9" w14:textId="77777777" w:rsidR="00000000" w:rsidRDefault="00C1661D">
            <w:pPr>
              <w:spacing w:after="100"/>
              <w:jc w:val="both"/>
              <w:rPr>
                <w:rFonts w:eastAsia="Times New Roman"/>
              </w:rPr>
            </w:pPr>
            <w:r>
              <w:rPr>
                <w:rFonts w:eastAsia="Times New Roman"/>
                <w:color w:val="000000"/>
                <w:sz w:val="20"/>
                <w:szCs w:val="20"/>
              </w:rPr>
              <w:t>XBRL Taxonomy Extension Labels Linkbase</w:t>
            </w:r>
          </w:p>
        </w:tc>
      </w:tr>
      <w:tr w:rsidR="00000000" w14:paraId="16F696CA" w14:textId="77777777">
        <w:trPr>
          <w:trHeight w:val="60"/>
          <w:jc w:val="center"/>
        </w:trPr>
        <w:tc>
          <w:tcPr>
            <w:tcW w:w="0" w:type="auto"/>
            <w:gridSpan w:val="3"/>
            <w:tcMar>
              <w:top w:w="0" w:type="dxa"/>
              <w:left w:w="20" w:type="dxa"/>
              <w:bottom w:w="0" w:type="dxa"/>
              <w:right w:w="20" w:type="dxa"/>
            </w:tcMar>
            <w:vAlign w:val="center"/>
            <w:hideMark/>
          </w:tcPr>
          <w:p w14:paraId="02B872F1"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91E357B" w14:textId="77777777" w:rsidR="00000000" w:rsidRDefault="00C1661D">
            <w:pPr>
              <w:spacing w:after="100"/>
              <w:rPr>
                <w:rFonts w:eastAsia="Times New Roman"/>
                <w:sz w:val="20"/>
                <w:szCs w:val="20"/>
              </w:rPr>
            </w:pPr>
          </w:p>
        </w:tc>
      </w:tr>
      <w:tr w:rsidR="00000000" w14:paraId="7A5B756E" w14:textId="77777777">
        <w:trPr>
          <w:jc w:val="center"/>
        </w:trPr>
        <w:tc>
          <w:tcPr>
            <w:tcW w:w="0" w:type="auto"/>
            <w:gridSpan w:val="3"/>
            <w:tcMar>
              <w:top w:w="30" w:type="dxa"/>
              <w:left w:w="20" w:type="dxa"/>
              <w:bottom w:w="30" w:type="dxa"/>
              <w:right w:w="20" w:type="dxa"/>
            </w:tcMar>
            <w:hideMark/>
          </w:tcPr>
          <w:p w14:paraId="0D038B8B" w14:textId="77777777" w:rsidR="00000000" w:rsidRDefault="00C1661D">
            <w:pPr>
              <w:spacing w:after="100"/>
              <w:jc w:val="both"/>
              <w:rPr>
                <w:rFonts w:eastAsia="Times New Roman"/>
              </w:rPr>
            </w:pPr>
            <w:r>
              <w:rPr>
                <w:rFonts w:eastAsia="Times New Roman"/>
                <w:color w:val="000000"/>
                <w:sz w:val="20"/>
                <w:szCs w:val="20"/>
              </w:rPr>
              <w:t>101.PRE</w:t>
            </w:r>
          </w:p>
        </w:tc>
        <w:tc>
          <w:tcPr>
            <w:tcW w:w="0" w:type="auto"/>
            <w:gridSpan w:val="3"/>
            <w:tcMar>
              <w:top w:w="30" w:type="dxa"/>
              <w:left w:w="20" w:type="dxa"/>
              <w:bottom w:w="30" w:type="dxa"/>
              <w:right w:w="20" w:type="dxa"/>
            </w:tcMar>
            <w:hideMark/>
          </w:tcPr>
          <w:p w14:paraId="5C0D03E6" w14:textId="77777777" w:rsidR="00000000" w:rsidRDefault="00C1661D">
            <w:pPr>
              <w:spacing w:after="100"/>
              <w:jc w:val="both"/>
              <w:rPr>
                <w:rFonts w:eastAsia="Times New Roman"/>
              </w:rPr>
            </w:pPr>
            <w:r>
              <w:rPr>
                <w:rFonts w:eastAsia="Times New Roman"/>
                <w:color w:val="000000"/>
                <w:sz w:val="20"/>
                <w:szCs w:val="20"/>
              </w:rPr>
              <w:t>XBRL Taxonomy Extension Presentation Linkbase</w:t>
            </w:r>
          </w:p>
        </w:tc>
      </w:tr>
    </w:tbl>
    <w:p w14:paraId="21B4E5DD" w14:textId="77777777" w:rsidR="00000000" w:rsidRDefault="00C1661D">
      <w:pPr>
        <w:jc w:val="center"/>
        <w:divId w:val="696202320"/>
        <w:rPr>
          <w:rFonts w:eastAsia="Times New Roman"/>
        </w:rPr>
      </w:pPr>
      <w:r>
        <w:rPr>
          <w:rFonts w:eastAsia="Times New Roman"/>
          <w:color w:val="000000"/>
          <w:sz w:val="20"/>
          <w:szCs w:val="20"/>
        </w:rPr>
        <w:t>85</w:t>
      </w:r>
    </w:p>
    <w:p w14:paraId="33E30E27" w14:textId="77777777" w:rsidR="00000000" w:rsidRDefault="00C1661D">
      <w:pPr>
        <w:rPr>
          <w:rFonts w:eastAsia="Times New Roman"/>
        </w:rPr>
      </w:pPr>
      <w:r>
        <w:rPr>
          <w:rFonts w:eastAsia="Times New Roman"/>
        </w:rPr>
        <w:pict w14:anchorId="56E93A0F">
          <v:rect id="_x0000_i1112" style="width:0;height:1.5pt" o:hralign="center" o:hrstd="t" o:hr="t" fillcolor="#a0a0a0" stroked="f"/>
        </w:pict>
      </w:r>
    </w:p>
    <w:p w14:paraId="28A2B0DB" w14:textId="77777777" w:rsidR="00000000" w:rsidRDefault="00C1661D">
      <w:pPr>
        <w:divId w:val="411322500"/>
        <w:rPr>
          <w:rFonts w:eastAsia="Times New Roman"/>
        </w:rPr>
      </w:pPr>
      <w:hyperlink w:anchor="i3850c3c6c0104e42b9951aac2f16098a_7" w:history="1">
        <w:r>
          <w:rPr>
            <w:rStyle w:val="a3"/>
            <w:rFonts w:eastAsia="Times New Roman"/>
            <w:b/>
            <w:bCs/>
            <w:sz w:val="20"/>
            <w:szCs w:val="20"/>
          </w:rPr>
          <w:t>Table of Contents</w:t>
        </w:r>
      </w:hyperlink>
    </w:p>
    <w:p w14:paraId="04678E5D" w14:textId="77777777" w:rsidR="00000000" w:rsidRDefault="00C1661D">
      <w:pPr>
        <w:jc w:val="center"/>
        <w:rPr>
          <w:rFonts w:eastAsia="Times New Roman"/>
        </w:rPr>
      </w:pPr>
      <w:r>
        <w:rPr>
          <w:rFonts w:eastAsia="Times New Roman"/>
          <w:b/>
          <w:bCs/>
          <w:color w:val="000000"/>
          <w:sz w:val="20"/>
          <w:szCs w:val="20"/>
        </w:rPr>
        <w:t>SIGNATURES</w:t>
      </w:r>
    </w:p>
    <w:p w14:paraId="13CD403B" w14:textId="77777777" w:rsidR="00000000" w:rsidRDefault="00C1661D">
      <w:pPr>
        <w:jc w:val="both"/>
        <w:divId w:val="1806704124"/>
        <w:rPr>
          <w:rFonts w:eastAsia="Times New Roman"/>
        </w:rPr>
      </w:pPr>
      <w:r>
        <w:rPr>
          <w:rFonts w:eastAsia="Times New Roman"/>
          <w:color w:val="000000"/>
          <w:sz w:val="20"/>
          <w:szCs w:val="20"/>
        </w:rPr>
        <w:t>Pursuant to the requirements of Section 13 or 15(d) of the Securities Exchange Act of 1934, the Registrant has duly caused this Repor</w:t>
      </w:r>
      <w:r>
        <w:rPr>
          <w:rFonts w:eastAsia="Times New Roman"/>
          <w:color w:val="000000"/>
          <w:sz w:val="20"/>
          <w:szCs w:val="20"/>
        </w:rPr>
        <w:t>t to be signed on its behalf by the undersigned, thereunto duly authorized.</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557"/>
        <w:gridCol w:w="36"/>
        <w:gridCol w:w="36"/>
        <w:gridCol w:w="4515"/>
        <w:gridCol w:w="36"/>
        <w:gridCol w:w="36"/>
        <w:gridCol w:w="378"/>
        <w:gridCol w:w="36"/>
        <w:gridCol w:w="36"/>
        <w:gridCol w:w="4522"/>
        <w:gridCol w:w="36"/>
      </w:tblGrid>
      <w:tr w:rsidR="00000000" w14:paraId="0E66C264" w14:textId="77777777">
        <w:trPr>
          <w:jc w:val="center"/>
        </w:trPr>
        <w:tc>
          <w:tcPr>
            <w:tcW w:w="20" w:type="dxa"/>
            <w:vAlign w:val="center"/>
            <w:hideMark/>
          </w:tcPr>
          <w:p w14:paraId="4425E4FC" w14:textId="77777777" w:rsidR="00000000" w:rsidRDefault="00C1661D">
            <w:pPr>
              <w:jc w:val="both"/>
              <w:rPr>
                <w:rFonts w:eastAsia="Times New Roman"/>
              </w:rPr>
            </w:pPr>
          </w:p>
        </w:tc>
        <w:tc>
          <w:tcPr>
            <w:tcW w:w="560" w:type="dxa"/>
            <w:vAlign w:val="center"/>
            <w:hideMark/>
          </w:tcPr>
          <w:p w14:paraId="7CCE714F" w14:textId="77777777" w:rsidR="00000000" w:rsidRDefault="00C1661D">
            <w:pPr>
              <w:spacing w:after="100"/>
              <w:rPr>
                <w:rFonts w:eastAsia="Times New Roman"/>
                <w:sz w:val="20"/>
                <w:szCs w:val="20"/>
              </w:rPr>
            </w:pPr>
          </w:p>
        </w:tc>
        <w:tc>
          <w:tcPr>
            <w:tcW w:w="20" w:type="dxa"/>
            <w:vAlign w:val="center"/>
            <w:hideMark/>
          </w:tcPr>
          <w:p w14:paraId="16DDD4C5" w14:textId="77777777" w:rsidR="00000000" w:rsidRDefault="00C1661D">
            <w:pPr>
              <w:spacing w:after="100"/>
              <w:rPr>
                <w:rFonts w:eastAsia="Times New Roman"/>
                <w:sz w:val="20"/>
                <w:szCs w:val="20"/>
              </w:rPr>
            </w:pPr>
          </w:p>
        </w:tc>
        <w:tc>
          <w:tcPr>
            <w:tcW w:w="20" w:type="dxa"/>
            <w:vAlign w:val="center"/>
            <w:hideMark/>
          </w:tcPr>
          <w:p w14:paraId="573840CA" w14:textId="77777777" w:rsidR="00000000" w:rsidRDefault="00C1661D">
            <w:pPr>
              <w:spacing w:after="100"/>
              <w:rPr>
                <w:rFonts w:eastAsia="Times New Roman"/>
                <w:sz w:val="20"/>
                <w:szCs w:val="20"/>
              </w:rPr>
            </w:pPr>
          </w:p>
        </w:tc>
        <w:tc>
          <w:tcPr>
            <w:tcW w:w="4580" w:type="dxa"/>
            <w:vAlign w:val="center"/>
            <w:hideMark/>
          </w:tcPr>
          <w:p w14:paraId="241A5A34" w14:textId="77777777" w:rsidR="00000000" w:rsidRDefault="00C1661D">
            <w:pPr>
              <w:spacing w:after="100"/>
              <w:rPr>
                <w:rFonts w:eastAsia="Times New Roman"/>
                <w:sz w:val="20"/>
                <w:szCs w:val="20"/>
              </w:rPr>
            </w:pPr>
          </w:p>
        </w:tc>
        <w:tc>
          <w:tcPr>
            <w:tcW w:w="20" w:type="dxa"/>
            <w:vAlign w:val="center"/>
            <w:hideMark/>
          </w:tcPr>
          <w:p w14:paraId="2203480C" w14:textId="77777777" w:rsidR="00000000" w:rsidRDefault="00C1661D">
            <w:pPr>
              <w:spacing w:after="100"/>
              <w:rPr>
                <w:rFonts w:eastAsia="Times New Roman"/>
                <w:sz w:val="20"/>
                <w:szCs w:val="20"/>
              </w:rPr>
            </w:pPr>
          </w:p>
        </w:tc>
        <w:tc>
          <w:tcPr>
            <w:tcW w:w="20" w:type="dxa"/>
            <w:vAlign w:val="center"/>
            <w:hideMark/>
          </w:tcPr>
          <w:p w14:paraId="72EFAEF3" w14:textId="77777777" w:rsidR="00000000" w:rsidRDefault="00C1661D">
            <w:pPr>
              <w:spacing w:after="100"/>
              <w:rPr>
                <w:rFonts w:eastAsia="Times New Roman"/>
                <w:sz w:val="20"/>
                <w:szCs w:val="20"/>
              </w:rPr>
            </w:pPr>
          </w:p>
        </w:tc>
        <w:tc>
          <w:tcPr>
            <w:tcW w:w="380" w:type="dxa"/>
            <w:vAlign w:val="center"/>
            <w:hideMark/>
          </w:tcPr>
          <w:p w14:paraId="7017A220" w14:textId="77777777" w:rsidR="00000000" w:rsidRDefault="00C1661D">
            <w:pPr>
              <w:spacing w:after="100"/>
              <w:rPr>
                <w:rFonts w:eastAsia="Times New Roman"/>
                <w:sz w:val="20"/>
                <w:szCs w:val="20"/>
              </w:rPr>
            </w:pPr>
          </w:p>
        </w:tc>
        <w:tc>
          <w:tcPr>
            <w:tcW w:w="20" w:type="dxa"/>
            <w:vAlign w:val="center"/>
            <w:hideMark/>
          </w:tcPr>
          <w:p w14:paraId="55B39D96" w14:textId="77777777" w:rsidR="00000000" w:rsidRDefault="00C1661D">
            <w:pPr>
              <w:spacing w:after="100"/>
              <w:rPr>
                <w:rFonts w:eastAsia="Times New Roman"/>
                <w:sz w:val="20"/>
                <w:szCs w:val="20"/>
              </w:rPr>
            </w:pPr>
          </w:p>
        </w:tc>
        <w:tc>
          <w:tcPr>
            <w:tcW w:w="20" w:type="dxa"/>
            <w:vAlign w:val="center"/>
            <w:hideMark/>
          </w:tcPr>
          <w:p w14:paraId="66B155FC" w14:textId="77777777" w:rsidR="00000000" w:rsidRDefault="00C1661D">
            <w:pPr>
              <w:spacing w:after="100"/>
              <w:rPr>
                <w:rFonts w:eastAsia="Times New Roman"/>
                <w:sz w:val="20"/>
                <w:szCs w:val="20"/>
              </w:rPr>
            </w:pPr>
          </w:p>
        </w:tc>
        <w:tc>
          <w:tcPr>
            <w:tcW w:w="4580" w:type="dxa"/>
            <w:vAlign w:val="center"/>
            <w:hideMark/>
          </w:tcPr>
          <w:p w14:paraId="3C3CA43A" w14:textId="77777777" w:rsidR="00000000" w:rsidRDefault="00C1661D">
            <w:pPr>
              <w:spacing w:after="100"/>
              <w:rPr>
                <w:rFonts w:eastAsia="Times New Roman"/>
                <w:sz w:val="20"/>
                <w:szCs w:val="20"/>
              </w:rPr>
            </w:pPr>
          </w:p>
        </w:tc>
        <w:tc>
          <w:tcPr>
            <w:tcW w:w="20" w:type="dxa"/>
            <w:vAlign w:val="center"/>
            <w:hideMark/>
          </w:tcPr>
          <w:p w14:paraId="7D750C53" w14:textId="77777777" w:rsidR="00000000" w:rsidRDefault="00C1661D">
            <w:pPr>
              <w:spacing w:after="100"/>
              <w:rPr>
                <w:rFonts w:eastAsia="Times New Roman"/>
                <w:sz w:val="20"/>
                <w:szCs w:val="20"/>
              </w:rPr>
            </w:pPr>
          </w:p>
        </w:tc>
      </w:tr>
      <w:tr w:rsidR="00000000" w14:paraId="2197C54E" w14:textId="77777777">
        <w:trPr>
          <w:jc w:val="center"/>
        </w:trPr>
        <w:tc>
          <w:tcPr>
            <w:tcW w:w="0" w:type="auto"/>
            <w:gridSpan w:val="3"/>
            <w:vAlign w:val="center"/>
            <w:hideMark/>
          </w:tcPr>
          <w:p w14:paraId="173C4215" w14:textId="77777777" w:rsidR="00000000" w:rsidRDefault="00C1661D">
            <w:pPr>
              <w:spacing w:after="100"/>
              <w:rPr>
                <w:rFonts w:eastAsia="Times New Roman"/>
                <w:sz w:val="20"/>
                <w:szCs w:val="20"/>
              </w:rPr>
            </w:pPr>
          </w:p>
        </w:tc>
        <w:tc>
          <w:tcPr>
            <w:tcW w:w="0" w:type="auto"/>
            <w:gridSpan w:val="3"/>
            <w:vAlign w:val="center"/>
            <w:hideMark/>
          </w:tcPr>
          <w:p w14:paraId="7DBFEB9A" w14:textId="77777777" w:rsidR="00000000" w:rsidRDefault="00C1661D">
            <w:pPr>
              <w:spacing w:after="100"/>
              <w:rPr>
                <w:rFonts w:eastAsia="Times New Roman"/>
                <w:sz w:val="20"/>
                <w:szCs w:val="20"/>
              </w:rPr>
            </w:pPr>
          </w:p>
        </w:tc>
        <w:tc>
          <w:tcPr>
            <w:tcW w:w="0" w:type="auto"/>
            <w:gridSpan w:val="3"/>
            <w:vAlign w:val="center"/>
            <w:hideMark/>
          </w:tcPr>
          <w:p w14:paraId="46BE7A31" w14:textId="77777777" w:rsidR="00000000" w:rsidRDefault="00C1661D">
            <w:pPr>
              <w:spacing w:after="100"/>
              <w:rPr>
                <w:rFonts w:eastAsia="Times New Roman"/>
                <w:sz w:val="20"/>
                <w:szCs w:val="20"/>
              </w:rPr>
            </w:pPr>
          </w:p>
        </w:tc>
        <w:tc>
          <w:tcPr>
            <w:tcW w:w="0" w:type="auto"/>
            <w:gridSpan w:val="3"/>
            <w:vAlign w:val="center"/>
            <w:hideMark/>
          </w:tcPr>
          <w:p w14:paraId="14627E66" w14:textId="77777777" w:rsidR="00000000" w:rsidRDefault="00C1661D">
            <w:pPr>
              <w:spacing w:after="100"/>
              <w:rPr>
                <w:rFonts w:eastAsia="Times New Roman"/>
                <w:sz w:val="20"/>
                <w:szCs w:val="20"/>
              </w:rPr>
            </w:pPr>
          </w:p>
        </w:tc>
      </w:tr>
      <w:tr w:rsidR="00000000" w14:paraId="66BDF874" w14:textId="77777777">
        <w:trPr>
          <w:trHeight w:val="480"/>
          <w:jc w:val="center"/>
        </w:trPr>
        <w:tc>
          <w:tcPr>
            <w:tcW w:w="0" w:type="auto"/>
            <w:gridSpan w:val="3"/>
            <w:tcMar>
              <w:top w:w="0" w:type="dxa"/>
              <w:left w:w="20" w:type="dxa"/>
              <w:bottom w:w="0" w:type="dxa"/>
              <w:right w:w="20" w:type="dxa"/>
            </w:tcMar>
            <w:vAlign w:val="center"/>
            <w:hideMark/>
          </w:tcPr>
          <w:p w14:paraId="5679084B"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3FFF9B" w14:textId="77777777" w:rsidR="00000000" w:rsidRDefault="00C1661D">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3E3DDFC2" w14:textId="77777777" w:rsidR="00000000" w:rsidRDefault="00C1661D">
            <w:pPr>
              <w:spacing w:after="100"/>
              <w:rPr>
                <w:rFonts w:eastAsia="Times New Roman"/>
              </w:rPr>
            </w:pPr>
            <w:r>
              <w:rPr>
                <w:rFonts w:eastAsia="Times New Roman"/>
                <w:b/>
                <w:bCs/>
                <w:color w:val="000000"/>
                <w:sz w:val="20"/>
                <w:szCs w:val="20"/>
              </w:rPr>
              <w:t>UGI CORPORATION</w:t>
            </w:r>
          </w:p>
        </w:tc>
      </w:tr>
      <w:tr w:rsidR="00000000" w14:paraId="31BBE194" w14:textId="77777777">
        <w:trPr>
          <w:trHeight w:val="300"/>
          <w:jc w:val="center"/>
        </w:trPr>
        <w:tc>
          <w:tcPr>
            <w:tcW w:w="0" w:type="auto"/>
            <w:gridSpan w:val="3"/>
            <w:tcMar>
              <w:top w:w="30" w:type="dxa"/>
              <w:left w:w="20" w:type="dxa"/>
              <w:bottom w:w="30" w:type="dxa"/>
              <w:right w:w="20" w:type="dxa"/>
            </w:tcMar>
            <w:vAlign w:val="bottom"/>
            <w:hideMark/>
          </w:tcPr>
          <w:p w14:paraId="20F17852" w14:textId="77777777" w:rsidR="00000000" w:rsidRDefault="00C1661D">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14:paraId="6AA1B721" w14:textId="77777777" w:rsidR="00000000" w:rsidRDefault="00C1661D">
            <w:pPr>
              <w:spacing w:after="100"/>
              <w:rPr>
                <w:rFonts w:eastAsia="Times New Roman"/>
              </w:rPr>
            </w:pPr>
            <w:r>
              <w:rPr>
                <w:rFonts w:eastAsia="Times New Roman"/>
                <w:color w:val="000000"/>
                <w:sz w:val="20"/>
                <w:szCs w:val="20"/>
              </w:rPr>
              <w:t>November 21, 2022</w:t>
            </w:r>
          </w:p>
        </w:tc>
        <w:tc>
          <w:tcPr>
            <w:tcW w:w="0" w:type="auto"/>
            <w:gridSpan w:val="3"/>
            <w:tcMar>
              <w:top w:w="30" w:type="dxa"/>
              <w:left w:w="20" w:type="dxa"/>
              <w:bottom w:w="30" w:type="dxa"/>
              <w:right w:w="20" w:type="dxa"/>
            </w:tcMar>
            <w:hideMark/>
          </w:tcPr>
          <w:p w14:paraId="58FB68EB" w14:textId="77777777" w:rsidR="00000000" w:rsidRDefault="00C1661D">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3FF4E9D8" w14:textId="77777777" w:rsidR="00000000" w:rsidRDefault="00C1661D">
            <w:pPr>
              <w:spacing w:after="100"/>
              <w:rPr>
                <w:rFonts w:eastAsia="Times New Roman"/>
              </w:rPr>
            </w:pPr>
            <w:r>
              <w:rPr>
                <w:rFonts w:eastAsia="Times New Roman"/>
                <w:color w:val="000000"/>
                <w:sz w:val="20"/>
                <w:szCs w:val="20"/>
              </w:rPr>
              <w:t>/s/ Ted J. Jastrzebski</w:t>
            </w:r>
          </w:p>
        </w:tc>
      </w:tr>
      <w:tr w:rsidR="00000000" w14:paraId="7844C0CE" w14:textId="77777777">
        <w:trPr>
          <w:trHeight w:val="700"/>
          <w:jc w:val="center"/>
        </w:trPr>
        <w:tc>
          <w:tcPr>
            <w:tcW w:w="0" w:type="auto"/>
            <w:gridSpan w:val="3"/>
            <w:tcMar>
              <w:top w:w="30" w:type="dxa"/>
              <w:left w:w="20" w:type="dxa"/>
              <w:bottom w:w="30" w:type="dxa"/>
              <w:right w:w="20" w:type="dxa"/>
            </w:tcMar>
            <w:vAlign w:val="bottom"/>
            <w:hideMark/>
          </w:tcPr>
          <w:p w14:paraId="0FC9CA01"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B5736AB"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6BD921B3"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3EEB93B" w14:textId="77777777" w:rsidR="00000000" w:rsidRDefault="00C1661D">
            <w:pPr>
              <w:spacing w:after="100"/>
              <w:rPr>
                <w:rFonts w:eastAsia="Times New Roman"/>
              </w:rPr>
            </w:pPr>
            <w:r>
              <w:rPr>
                <w:rFonts w:eastAsia="Times New Roman"/>
                <w:color w:val="000000"/>
                <w:sz w:val="20"/>
                <w:szCs w:val="20"/>
              </w:rPr>
              <w:t>Ted J. Jastrzebski</w:t>
            </w:r>
            <w:r>
              <w:rPr>
                <w:rFonts w:eastAsia="Times New Roman"/>
                <w:color w:val="000000"/>
                <w:sz w:val="20"/>
                <w:szCs w:val="20"/>
              </w:rPr>
              <w:br/>
            </w:r>
            <w:r>
              <w:rPr>
                <w:rFonts w:eastAsia="Times New Roman"/>
                <w:color w:val="000000"/>
                <w:sz w:val="20"/>
                <w:szCs w:val="20"/>
              </w:rPr>
              <w:t>Chief Financial Officer </w:t>
            </w:r>
          </w:p>
        </w:tc>
      </w:tr>
    </w:tbl>
    <w:p w14:paraId="00A59DC5" w14:textId="77777777" w:rsidR="00000000" w:rsidRDefault="00C1661D">
      <w:pPr>
        <w:divId w:val="984430345"/>
        <w:rPr>
          <w:rFonts w:eastAsia="Times New Roman"/>
        </w:rPr>
      </w:pPr>
    </w:p>
    <w:p w14:paraId="6CA236A7" w14:textId="77777777" w:rsidR="00000000" w:rsidRDefault="00C1661D">
      <w:pPr>
        <w:jc w:val="both"/>
        <w:rPr>
          <w:rFonts w:eastAsia="Times New Roman"/>
        </w:rPr>
      </w:pPr>
      <w:r>
        <w:rPr>
          <w:rFonts w:eastAsia="Times New Roman"/>
          <w:color w:val="000000"/>
          <w:sz w:val="20"/>
          <w:szCs w:val="20"/>
        </w:rPr>
        <w:t>Pursuant to the requirements of the Securities Exchange Act of 1934, this Report has been signed below on November 21, 2022, by the following persons on behalf of the Registrant in the capacities indicated.</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3770"/>
        <w:gridCol w:w="36"/>
        <w:gridCol w:w="36"/>
        <w:gridCol w:w="286"/>
        <w:gridCol w:w="36"/>
        <w:gridCol w:w="52"/>
        <w:gridCol w:w="5941"/>
        <w:gridCol w:w="52"/>
      </w:tblGrid>
      <w:tr w:rsidR="00000000" w14:paraId="5AF7B697" w14:textId="77777777">
        <w:trPr>
          <w:jc w:val="center"/>
        </w:trPr>
        <w:tc>
          <w:tcPr>
            <w:tcW w:w="20" w:type="dxa"/>
            <w:vAlign w:val="center"/>
            <w:hideMark/>
          </w:tcPr>
          <w:p w14:paraId="26178554" w14:textId="77777777" w:rsidR="00000000" w:rsidRDefault="00C1661D">
            <w:pPr>
              <w:jc w:val="both"/>
              <w:rPr>
                <w:rFonts w:eastAsia="Times New Roman"/>
              </w:rPr>
            </w:pPr>
          </w:p>
        </w:tc>
        <w:tc>
          <w:tcPr>
            <w:tcW w:w="4865" w:type="dxa"/>
            <w:vAlign w:val="center"/>
            <w:hideMark/>
          </w:tcPr>
          <w:p w14:paraId="6F62B2AB" w14:textId="77777777" w:rsidR="00000000" w:rsidRDefault="00C1661D">
            <w:pPr>
              <w:spacing w:after="100"/>
              <w:rPr>
                <w:rFonts w:eastAsia="Times New Roman"/>
                <w:sz w:val="20"/>
                <w:szCs w:val="20"/>
              </w:rPr>
            </w:pPr>
          </w:p>
        </w:tc>
        <w:tc>
          <w:tcPr>
            <w:tcW w:w="20" w:type="dxa"/>
            <w:vAlign w:val="center"/>
            <w:hideMark/>
          </w:tcPr>
          <w:p w14:paraId="386D2B14" w14:textId="77777777" w:rsidR="00000000" w:rsidRDefault="00C1661D">
            <w:pPr>
              <w:spacing w:after="100"/>
              <w:rPr>
                <w:rFonts w:eastAsia="Times New Roman"/>
                <w:sz w:val="20"/>
                <w:szCs w:val="20"/>
              </w:rPr>
            </w:pPr>
          </w:p>
        </w:tc>
        <w:tc>
          <w:tcPr>
            <w:tcW w:w="20" w:type="dxa"/>
            <w:vAlign w:val="center"/>
            <w:hideMark/>
          </w:tcPr>
          <w:p w14:paraId="4F1A79E7" w14:textId="77777777" w:rsidR="00000000" w:rsidRDefault="00C1661D">
            <w:pPr>
              <w:spacing w:after="100"/>
              <w:rPr>
                <w:rFonts w:eastAsia="Times New Roman"/>
                <w:sz w:val="20"/>
                <w:szCs w:val="20"/>
              </w:rPr>
            </w:pPr>
          </w:p>
        </w:tc>
        <w:tc>
          <w:tcPr>
            <w:tcW w:w="380" w:type="dxa"/>
            <w:vAlign w:val="center"/>
            <w:hideMark/>
          </w:tcPr>
          <w:p w14:paraId="45C37260" w14:textId="77777777" w:rsidR="00000000" w:rsidRDefault="00C1661D">
            <w:pPr>
              <w:spacing w:after="100"/>
              <w:rPr>
                <w:rFonts w:eastAsia="Times New Roman"/>
                <w:sz w:val="20"/>
                <w:szCs w:val="20"/>
              </w:rPr>
            </w:pPr>
          </w:p>
        </w:tc>
        <w:tc>
          <w:tcPr>
            <w:tcW w:w="20" w:type="dxa"/>
            <w:vAlign w:val="center"/>
            <w:hideMark/>
          </w:tcPr>
          <w:p w14:paraId="7607B672" w14:textId="77777777" w:rsidR="00000000" w:rsidRDefault="00C1661D">
            <w:pPr>
              <w:spacing w:after="100"/>
              <w:rPr>
                <w:rFonts w:eastAsia="Times New Roman"/>
                <w:sz w:val="20"/>
                <w:szCs w:val="20"/>
              </w:rPr>
            </w:pPr>
          </w:p>
        </w:tc>
        <w:tc>
          <w:tcPr>
            <w:tcW w:w="20" w:type="dxa"/>
            <w:vAlign w:val="center"/>
            <w:hideMark/>
          </w:tcPr>
          <w:p w14:paraId="20EF30FF" w14:textId="77777777" w:rsidR="00000000" w:rsidRDefault="00C1661D">
            <w:pPr>
              <w:spacing w:after="100"/>
              <w:rPr>
                <w:rFonts w:eastAsia="Times New Roman"/>
                <w:sz w:val="20"/>
                <w:szCs w:val="20"/>
              </w:rPr>
            </w:pPr>
          </w:p>
        </w:tc>
        <w:tc>
          <w:tcPr>
            <w:tcW w:w="4880" w:type="dxa"/>
            <w:vAlign w:val="center"/>
            <w:hideMark/>
          </w:tcPr>
          <w:p w14:paraId="13376A9A" w14:textId="77777777" w:rsidR="00000000" w:rsidRDefault="00C1661D">
            <w:pPr>
              <w:spacing w:after="100"/>
              <w:rPr>
                <w:rFonts w:eastAsia="Times New Roman"/>
                <w:sz w:val="20"/>
                <w:szCs w:val="20"/>
              </w:rPr>
            </w:pPr>
          </w:p>
        </w:tc>
        <w:tc>
          <w:tcPr>
            <w:tcW w:w="20" w:type="dxa"/>
            <w:vAlign w:val="center"/>
            <w:hideMark/>
          </w:tcPr>
          <w:p w14:paraId="50013FC1" w14:textId="77777777" w:rsidR="00000000" w:rsidRDefault="00C1661D">
            <w:pPr>
              <w:spacing w:after="100"/>
              <w:rPr>
                <w:rFonts w:eastAsia="Times New Roman"/>
                <w:sz w:val="20"/>
                <w:szCs w:val="20"/>
              </w:rPr>
            </w:pPr>
          </w:p>
        </w:tc>
      </w:tr>
      <w:tr w:rsidR="00000000" w14:paraId="385B66EE" w14:textId="77777777">
        <w:trPr>
          <w:trHeight w:val="280"/>
          <w:jc w:val="center"/>
        </w:trPr>
        <w:tc>
          <w:tcPr>
            <w:tcW w:w="0" w:type="auto"/>
            <w:gridSpan w:val="3"/>
            <w:tcMar>
              <w:top w:w="30" w:type="dxa"/>
              <w:left w:w="20" w:type="dxa"/>
              <w:bottom w:w="30" w:type="dxa"/>
              <w:right w:w="20" w:type="dxa"/>
            </w:tcMar>
            <w:vAlign w:val="bottom"/>
            <w:hideMark/>
          </w:tcPr>
          <w:p w14:paraId="6C2492C6" w14:textId="77777777" w:rsidR="00000000" w:rsidRDefault="00C1661D">
            <w:pPr>
              <w:spacing w:after="100"/>
              <w:rPr>
                <w:rFonts w:eastAsia="Times New Roman"/>
              </w:rPr>
            </w:pPr>
            <w:r>
              <w:rPr>
                <w:rFonts w:eastAsia="Times New Roman"/>
                <w:b/>
                <w:bCs/>
                <w:color w:val="000000"/>
                <w:sz w:val="20"/>
                <w:szCs w:val="20"/>
              </w:rPr>
              <w:t>Signature</w:t>
            </w:r>
          </w:p>
        </w:tc>
        <w:tc>
          <w:tcPr>
            <w:tcW w:w="0" w:type="auto"/>
            <w:gridSpan w:val="3"/>
            <w:tcMar>
              <w:top w:w="30" w:type="dxa"/>
              <w:left w:w="20" w:type="dxa"/>
              <w:bottom w:w="30" w:type="dxa"/>
              <w:right w:w="20" w:type="dxa"/>
            </w:tcMar>
            <w:vAlign w:val="bottom"/>
            <w:hideMark/>
          </w:tcPr>
          <w:p w14:paraId="521FA08D"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25F2D59" w14:textId="77777777" w:rsidR="00000000" w:rsidRDefault="00C1661D">
            <w:pPr>
              <w:spacing w:after="100"/>
              <w:jc w:val="center"/>
              <w:rPr>
                <w:rFonts w:eastAsia="Times New Roman"/>
              </w:rPr>
            </w:pPr>
            <w:r>
              <w:rPr>
                <w:rFonts w:eastAsia="Times New Roman"/>
                <w:b/>
                <w:bCs/>
                <w:color w:val="000000"/>
                <w:sz w:val="20"/>
                <w:szCs w:val="20"/>
              </w:rPr>
              <w:t>Title</w:t>
            </w:r>
          </w:p>
        </w:tc>
      </w:tr>
      <w:tr w:rsidR="00000000" w14:paraId="7D9F87FD" w14:textId="77777777">
        <w:trPr>
          <w:trHeight w:val="280"/>
          <w:jc w:val="center"/>
        </w:trPr>
        <w:tc>
          <w:tcPr>
            <w:tcW w:w="0" w:type="auto"/>
            <w:gridSpan w:val="3"/>
            <w:tcBorders>
              <w:top w:val="single" w:sz="8" w:space="0" w:color="000000"/>
            </w:tcBorders>
            <w:tcMar>
              <w:top w:w="30" w:type="dxa"/>
              <w:left w:w="20" w:type="dxa"/>
              <w:bottom w:w="30" w:type="dxa"/>
              <w:right w:w="20" w:type="dxa"/>
            </w:tcMar>
            <w:hideMark/>
          </w:tcPr>
          <w:p w14:paraId="258889C3"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219B464"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14:paraId="2F2A1CCC" w14:textId="77777777" w:rsidR="00000000" w:rsidRDefault="00C1661D">
            <w:pPr>
              <w:spacing w:after="100"/>
              <w:rPr>
                <w:rFonts w:eastAsia="Times New Roman"/>
              </w:rPr>
            </w:pPr>
            <w:r>
              <w:rPr>
                <w:rFonts w:eastAsia="Times New Roman"/>
                <w:color w:val="000000"/>
                <w:sz w:val="20"/>
                <w:szCs w:val="20"/>
              </w:rPr>
              <w:t> </w:t>
            </w:r>
          </w:p>
        </w:tc>
      </w:tr>
      <w:tr w:rsidR="00000000" w14:paraId="1655FD9C" w14:textId="77777777">
        <w:trPr>
          <w:trHeight w:val="280"/>
          <w:jc w:val="center"/>
        </w:trPr>
        <w:tc>
          <w:tcPr>
            <w:tcW w:w="0" w:type="auto"/>
            <w:gridSpan w:val="3"/>
            <w:tcMar>
              <w:top w:w="30" w:type="dxa"/>
              <w:left w:w="20" w:type="dxa"/>
              <w:bottom w:w="30" w:type="dxa"/>
              <w:right w:w="20" w:type="dxa"/>
            </w:tcMar>
            <w:vAlign w:val="bottom"/>
            <w:hideMark/>
          </w:tcPr>
          <w:p w14:paraId="6C30E97F" w14:textId="77777777" w:rsidR="00000000" w:rsidRDefault="00C1661D">
            <w:pPr>
              <w:spacing w:after="100"/>
              <w:rPr>
                <w:rFonts w:eastAsia="Times New Roman"/>
              </w:rPr>
            </w:pPr>
            <w:r>
              <w:rPr>
                <w:rFonts w:eastAsia="Times New Roman"/>
                <w:color w:val="000000"/>
                <w:sz w:val="20"/>
                <w:szCs w:val="20"/>
              </w:rPr>
              <w:t>/s/ Roger Perreault</w:t>
            </w:r>
          </w:p>
        </w:tc>
        <w:tc>
          <w:tcPr>
            <w:tcW w:w="0" w:type="auto"/>
            <w:gridSpan w:val="3"/>
            <w:tcMar>
              <w:top w:w="30" w:type="dxa"/>
              <w:left w:w="20" w:type="dxa"/>
              <w:bottom w:w="30" w:type="dxa"/>
              <w:right w:w="20" w:type="dxa"/>
            </w:tcMar>
            <w:vAlign w:val="bottom"/>
            <w:hideMark/>
          </w:tcPr>
          <w:p w14:paraId="2B7A9F41" w14:textId="77777777" w:rsidR="00000000" w:rsidRDefault="00C1661D">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14:paraId="1A3C4CAB" w14:textId="77777777" w:rsidR="00000000" w:rsidRDefault="00C1661D">
            <w:pPr>
              <w:spacing w:after="100"/>
              <w:rPr>
                <w:rFonts w:eastAsia="Times New Roman"/>
              </w:rPr>
            </w:pPr>
            <w:r>
              <w:rPr>
                <w:rFonts w:eastAsia="Times New Roman"/>
                <w:color w:val="000000"/>
                <w:sz w:val="20"/>
                <w:szCs w:val="20"/>
              </w:rPr>
              <w:t>President and Chief Executive Officer</w:t>
            </w:r>
            <w:r>
              <w:rPr>
                <w:rFonts w:eastAsia="Times New Roman"/>
                <w:color w:val="000000"/>
                <w:sz w:val="20"/>
                <w:szCs w:val="20"/>
              </w:rPr>
              <w:br/>
              <w:t>(Principal Executive Officer) and Director</w:t>
            </w:r>
          </w:p>
        </w:tc>
      </w:tr>
      <w:tr w:rsidR="00000000" w14:paraId="5F00CB9C" w14:textId="77777777">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14:paraId="7BEF1A11" w14:textId="77777777" w:rsidR="00000000" w:rsidRDefault="00C1661D">
            <w:pPr>
              <w:spacing w:after="100"/>
              <w:rPr>
                <w:rFonts w:eastAsia="Times New Roman"/>
              </w:rPr>
            </w:pPr>
            <w:r>
              <w:rPr>
                <w:rFonts w:eastAsia="Times New Roman"/>
                <w:color w:val="000000"/>
                <w:sz w:val="20"/>
                <w:szCs w:val="20"/>
              </w:rPr>
              <w:t>Roger Perreault</w:t>
            </w:r>
          </w:p>
        </w:tc>
        <w:tc>
          <w:tcPr>
            <w:tcW w:w="0" w:type="auto"/>
            <w:gridSpan w:val="3"/>
            <w:tcMar>
              <w:top w:w="0" w:type="dxa"/>
              <w:left w:w="20" w:type="dxa"/>
              <w:bottom w:w="0" w:type="dxa"/>
              <w:right w:w="20" w:type="dxa"/>
            </w:tcMar>
            <w:vAlign w:val="center"/>
            <w:hideMark/>
          </w:tcPr>
          <w:p w14:paraId="1EC7FA8F" w14:textId="77777777" w:rsidR="00000000" w:rsidRDefault="00C1661D">
            <w:pPr>
              <w:spacing w:after="100"/>
              <w:rPr>
                <w:rFonts w:eastAsia="Times New Roman"/>
              </w:rPr>
            </w:pPr>
          </w:p>
        </w:tc>
        <w:tc>
          <w:tcPr>
            <w:tcW w:w="0" w:type="auto"/>
            <w:gridSpan w:val="3"/>
            <w:vMerge/>
            <w:vAlign w:val="center"/>
            <w:hideMark/>
          </w:tcPr>
          <w:p w14:paraId="78E40781" w14:textId="77777777" w:rsidR="00000000" w:rsidRDefault="00C1661D">
            <w:pPr>
              <w:spacing w:after="100"/>
              <w:rPr>
                <w:rFonts w:eastAsia="Times New Roman"/>
              </w:rPr>
            </w:pPr>
          </w:p>
        </w:tc>
      </w:tr>
      <w:tr w:rsidR="00000000" w14:paraId="21E50853" w14:textId="77777777">
        <w:trPr>
          <w:trHeight w:val="60"/>
          <w:jc w:val="center"/>
        </w:trPr>
        <w:tc>
          <w:tcPr>
            <w:tcW w:w="0" w:type="auto"/>
            <w:gridSpan w:val="3"/>
            <w:tcMar>
              <w:top w:w="0" w:type="dxa"/>
              <w:left w:w="20" w:type="dxa"/>
              <w:bottom w:w="0" w:type="dxa"/>
              <w:right w:w="20" w:type="dxa"/>
            </w:tcMar>
            <w:vAlign w:val="center"/>
            <w:hideMark/>
          </w:tcPr>
          <w:p w14:paraId="3C90014E"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8EDACF"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6D305C" w14:textId="77777777" w:rsidR="00000000" w:rsidRDefault="00C1661D">
            <w:pPr>
              <w:spacing w:after="100"/>
              <w:rPr>
                <w:rFonts w:eastAsia="Times New Roman"/>
                <w:sz w:val="20"/>
                <w:szCs w:val="20"/>
              </w:rPr>
            </w:pPr>
          </w:p>
        </w:tc>
      </w:tr>
      <w:tr w:rsidR="00000000" w14:paraId="013E2987" w14:textId="77777777">
        <w:trPr>
          <w:trHeight w:val="280"/>
          <w:jc w:val="center"/>
        </w:trPr>
        <w:tc>
          <w:tcPr>
            <w:tcW w:w="0" w:type="auto"/>
            <w:gridSpan w:val="3"/>
            <w:tcMar>
              <w:top w:w="30" w:type="dxa"/>
              <w:left w:w="20" w:type="dxa"/>
              <w:bottom w:w="30" w:type="dxa"/>
              <w:right w:w="20" w:type="dxa"/>
            </w:tcMar>
            <w:vAlign w:val="bottom"/>
            <w:hideMark/>
          </w:tcPr>
          <w:p w14:paraId="6A7D15E4" w14:textId="77777777" w:rsidR="00000000" w:rsidRDefault="00C1661D">
            <w:pPr>
              <w:spacing w:after="100"/>
              <w:rPr>
                <w:rFonts w:eastAsia="Times New Roman"/>
              </w:rPr>
            </w:pPr>
            <w:r>
              <w:rPr>
                <w:rFonts w:eastAsia="Times New Roman"/>
                <w:color w:val="000000"/>
                <w:sz w:val="20"/>
                <w:szCs w:val="20"/>
              </w:rPr>
              <w:t>/s/ Ted J. Jastrzebski</w:t>
            </w:r>
          </w:p>
        </w:tc>
        <w:tc>
          <w:tcPr>
            <w:tcW w:w="0" w:type="auto"/>
            <w:gridSpan w:val="3"/>
            <w:tcMar>
              <w:top w:w="30" w:type="dxa"/>
              <w:left w:w="20" w:type="dxa"/>
              <w:bottom w:w="30" w:type="dxa"/>
              <w:right w:w="20" w:type="dxa"/>
            </w:tcMar>
            <w:vAlign w:val="bottom"/>
            <w:hideMark/>
          </w:tcPr>
          <w:p w14:paraId="5BBDBF71" w14:textId="77777777" w:rsidR="00000000" w:rsidRDefault="00C1661D">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14:paraId="1966364F" w14:textId="77777777" w:rsidR="00000000" w:rsidRDefault="00C1661D">
            <w:pPr>
              <w:spacing w:after="100"/>
              <w:rPr>
                <w:rFonts w:eastAsia="Times New Roman"/>
              </w:rPr>
            </w:pPr>
            <w:r>
              <w:rPr>
                <w:rFonts w:eastAsia="Times New Roman"/>
                <w:color w:val="000000"/>
                <w:sz w:val="20"/>
                <w:szCs w:val="20"/>
              </w:rPr>
              <w:t>Chief Financial Officer (Principal Financial Officer)</w:t>
            </w:r>
          </w:p>
        </w:tc>
      </w:tr>
      <w:tr w:rsidR="00000000" w14:paraId="7364274A" w14:textId="77777777">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14:paraId="48CBD5B1" w14:textId="77777777" w:rsidR="00000000" w:rsidRDefault="00C1661D">
            <w:pPr>
              <w:spacing w:after="100"/>
              <w:rPr>
                <w:rFonts w:eastAsia="Times New Roman"/>
              </w:rPr>
            </w:pPr>
            <w:r>
              <w:rPr>
                <w:rFonts w:eastAsia="Times New Roman"/>
                <w:color w:val="000000"/>
                <w:sz w:val="20"/>
                <w:szCs w:val="20"/>
              </w:rPr>
              <w:t>Ted J. Jastrzebski</w:t>
            </w:r>
          </w:p>
        </w:tc>
        <w:tc>
          <w:tcPr>
            <w:tcW w:w="0" w:type="auto"/>
            <w:gridSpan w:val="3"/>
            <w:tcMar>
              <w:top w:w="0" w:type="dxa"/>
              <w:left w:w="20" w:type="dxa"/>
              <w:bottom w:w="0" w:type="dxa"/>
              <w:right w:w="20" w:type="dxa"/>
            </w:tcMar>
            <w:vAlign w:val="center"/>
            <w:hideMark/>
          </w:tcPr>
          <w:p w14:paraId="4ED1C33D" w14:textId="77777777" w:rsidR="00000000" w:rsidRDefault="00C1661D">
            <w:pPr>
              <w:spacing w:after="100"/>
              <w:rPr>
                <w:rFonts w:eastAsia="Times New Roman"/>
              </w:rPr>
            </w:pPr>
          </w:p>
        </w:tc>
        <w:tc>
          <w:tcPr>
            <w:tcW w:w="0" w:type="auto"/>
            <w:gridSpan w:val="3"/>
            <w:vMerge/>
            <w:vAlign w:val="center"/>
            <w:hideMark/>
          </w:tcPr>
          <w:p w14:paraId="603BDB97" w14:textId="77777777" w:rsidR="00000000" w:rsidRDefault="00C1661D">
            <w:pPr>
              <w:spacing w:after="100"/>
              <w:rPr>
                <w:rFonts w:eastAsia="Times New Roman"/>
              </w:rPr>
            </w:pPr>
          </w:p>
        </w:tc>
      </w:tr>
      <w:tr w:rsidR="00000000" w14:paraId="7C998FA9" w14:textId="77777777">
        <w:trPr>
          <w:trHeight w:val="60"/>
          <w:jc w:val="center"/>
        </w:trPr>
        <w:tc>
          <w:tcPr>
            <w:tcW w:w="0" w:type="auto"/>
            <w:gridSpan w:val="3"/>
            <w:tcMar>
              <w:top w:w="0" w:type="dxa"/>
              <w:left w:w="20" w:type="dxa"/>
              <w:bottom w:w="0" w:type="dxa"/>
              <w:right w:w="20" w:type="dxa"/>
            </w:tcMar>
            <w:vAlign w:val="center"/>
            <w:hideMark/>
          </w:tcPr>
          <w:p w14:paraId="64443040"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FBF685"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2D1C0B" w14:textId="77777777" w:rsidR="00000000" w:rsidRDefault="00C1661D">
            <w:pPr>
              <w:spacing w:after="100"/>
              <w:rPr>
                <w:rFonts w:eastAsia="Times New Roman"/>
                <w:sz w:val="20"/>
                <w:szCs w:val="20"/>
              </w:rPr>
            </w:pPr>
          </w:p>
        </w:tc>
      </w:tr>
      <w:tr w:rsidR="00000000" w14:paraId="43FD3373" w14:textId="77777777">
        <w:trPr>
          <w:trHeight w:val="280"/>
          <w:jc w:val="center"/>
        </w:trPr>
        <w:tc>
          <w:tcPr>
            <w:tcW w:w="0" w:type="auto"/>
            <w:gridSpan w:val="3"/>
            <w:tcMar>
              <w:top w:w="30" w:type="dxa"/>
              <w:left w:w="20" w:type="dxa"/>
              <w:bottom w:w="30" w:type="dxa"/>
              <w:right w:w="20" w:type="dxa"/>
            </w:tcMar>
            <w:vAlign w:val="bottom"/>
            <w:hideMark/>
          </w:tcPr>
          <w:p w14:paraId="2A29330B" w14:textId="77777777" w:rsidR="00000000" w:rsidRDefault="00C1661D">
            <w:pPr>
              <w:spacing w:after="100"/>
              <w:rPr>
                <w:rFonts w:eastAsia="Times New Roman"/>
              </w:rPr>
            </w:pPr>
            <w:r>
              <w:rPr>
                <w:rFonts w:eastAsia="Times New Roman"/>
                <w:color w:val="000000"/>
                <w:sz w:val="20"/>
                <w:szCs w:val="20"/>
              </w:rPr>
              <w:t>/s/ Jean Felix Tematio Dontsop</w:t>
            </w:r>
          </w:p>
        </w:tc>
        <w:tc>
          <w:tcPr>
            <w:tcW w:w="0" w:type="auto"/>
            <w:gridSpan w:val="3"/>
            <w:tcMar>
              <w:top w:w="30" w:type="dxa"/>
              <w:left w:w="20" w:type="dxa"/>
              <w:bottom w:w="30" w:type="dxa"/>
              <w:right w:w="20" w:type="dxa"/>
            </w:tcMar>
            <w:vAlign w:val="bottom"/>
            <w:hideMark/>
          </w:tcPr>
          <w:p w14:paraId="0997EF29" w14:textId="77777777" w:rsidR="00000000" w:rsidRDefault="00C1661D">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hideMark/>
          </w:tcPr>
          <w:p w14:paraId="24BEBA48" w14:textId="77777777" w:rsidR="00000000" w:rsidRDefault="00C1661D">
            <w:pPr>
              <w:spacing w:after="100"/>
              <w:rPr>
                <w:rFonts w:eastAsia="Times New Roman"/>
              </w:rPr>
            </w:pPr>
            <w:r>
              <w:rPr>
                <w:rFonts w:eastAsia="Times New Roman"/>
                <w:color w:val="000000"/>
                <w:sz w:val="20"/>
                <w:szCs w:val="20"/>
              </w:rPr>
              <w:t>Vice President, Chief Accounting Officer and Corporate Controller (Principal Accounting Officer)</w:t>
            </w:r>
          </w:p>
        </w:tc>
      </w:tr>
      <w:tr w:rsidR="00000000" w14:paraId="48CA6256" w14:textId="77777777">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14:paraId="63AB8DB4" w14:textId="77777777" w:rsidR="00000000" w:rsidRDefault="00C1661D">
            <w:pPr>
              <w:spacing w:after="100"/>
              <w:rPr>
                <w:rFonts w:eastAsia="Times New Roman"/>
              </w:rPr>
            </w:pPr>
            <w:r>
              <w:rPr>
                <w:rFonts w:eastAsia="Times New Roman"/>
                <w:color w:val="000000"/>
                <w:sz w:val="20"/>
                <w:szCs w:val="20"/>
              </w:rPr>
              <w:t>Jean Felix Tematio Dontsop</w:t>
            </w:r>
          </w:p>
        </w:tc>
        <w:tc>
          <w:tcPr>
            <w:tcW w:w="0" w:type="auto"/>
            <w:gridSpan w:val="3"/>
            <w:tcMar>
              <w:top w:w="0" w:type="dxa"/>
              <w:left w:w="20" w:type="dxa"/>
              <w:bottom w:w="0" w:type="dxa"/>
              <w:right w:w="20" w:type="dxa"/>
            </w:tcMar>
            <w:vAlign w:val="center"/>
            <w:hideMark/>
          </w:tcPr>
          <w:p w14:paraId="476824CE" w14:textId="77777777" w:rsidR="00000000" w:rsidRDefault="00C1661D">
            <w:pPr>
              <w:spacing w:after="100"/>
              <w:rPr>
                <w:rFonts w:eastAsia="Times New Roman"/>
              </w:rPr>
            </w:pPr>
          </w:p>
        </w:tc>
        <w:tc>
          <w:tcPr>
            <w:tcW w:w="0" w:type="auto"/>
            <w:gridSpan w:val="3"/>
            <w:vMerge/>
            <w:vAlign w:val="center"/>
            <w:hideMark/>
          </w:tcPr>
          <w:p w14:paraId="0158DAB1" w14:textId="77777777" w:rsidR="00000000" w:rsidRDefault="00C1661D">
            <w:pPr>
              <w:spacing w:after="100"/>
              <w:rPr>
                <w:rFonts w:eastAsia="Times New Roman"/>
              </w:rPr>
            </w:pPr>
          </w:p>
        </w:tc>
      </w:tr>
      <w:tr w:rsidR="00000000" w14:paraId="283EA604" w14:textId="77777777">
        <w:trPr>
          <w:trHeight w:val="60"/>
          <w:jc w:val="center"/>
        </w:trPr>
        <w:tc>
          <w:tcPr>
            <w:tcW w:w="0" w:type="auto"/>
            <w:gridSpan w:val="3"/>
            <w:tcMar>
              <w:top w:w="0" w:type="dxa"/>
              <w:left w:w="20" w:type="dxa"/>
              <w:bottom w:w="0" w:type="dxa"/>
              <w:right w:w="20" w:type="dxa"/>
            </w:tcMar>
            <w:vAlign w:val="center"/>
            <w:hideMark/>
          </w:tcPr>
          <w:p w14:paraId="172B5344"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26045C"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822126" w14:textId="77777777" w:rsidR="00000000" w:rsidRDefault="00C1661D">
            <w:pPr>
              <w:spacing w:after="100"/>
              <w:rPr>
                <w:rFonts w:eastAsia="Times New Roman"/>
                <w:sz w:val="20"/>
                <w:szCs w:val="20"/>
              </w:rPr>
            </w:pPr>
          </w:p>
        </w:tc>
      </w:tr>
      <w:tr w:rsidR="00000000" w14:paraId="2D125941" w14:textId="77777777">
        <w:trPr>
          <w:trHeight w:val="280"/>
          <w:jc w:val="center"/>
        </w:trPr>
        <w:tc>
          <w:tcPr>
            <w:tcW w:w="0" w:type="auto"/>
            <w:gridSpan w:val="3"/>
            <w:tcMar>
              <w:top w:w="30" w:type="dxa"/>
              <w:left w:w="20" w:type="dxa"/>
              <w:bottom w:w="30" w:type="dxa"/>
              <w:right w:w="20" w:type="dxa"/>
            </w:tcMar>
            <w:vAlign w:val="bottom"/>
            <w:hideMark/>
          </w:tcPr>
          <w:p w14:paraId="0673C0FF" w14:textId="77777777" w:rsidR="00000000" w:rsidRDefault="00C1661D">
            <w:pPr>
              <w:spacing w:after="100"/>
              <w:rPr>
                <w:rFonts w:eastAsia="Times New Roman"/>
              </w:rPr>
            </w:pPr>
            <w:r>
              <w:rPr>
                <w:rFonts w:eastAsia="Times New Roman"/>
                <w:color w:val="000000"/>
                <w:sz w:val="20"/>
                <w:szCs w:val="20"/>
              </w:rPr>
              <w:t>/s/ Frank S. Hermance</w:t>
            </w:r>
          </w:p>
        </w:tc>
        <w:tc>
          <w:tcPr>
            <w:tcW w:w="0" w:type="auto"/>
            <w:gridSpan w:val="3"/>
            <w:tcMar>
              <w:top w:w="0" w:type="dxa"/>
              <w:left w:w="20" w:type="dxa"/>
              <w:bottom w:w="0" w:type="dxa"/>
              <w:right w:w="20" w:type="dxa"/>
            </w:tcMar>
            <w:vAlign w:val="center"/>
            <w:hideMark/>
          </w:tcPr>
          <w:p w14:paraId="21BFAC70" w14:textId="77777777" w:rsidR="00000000" w:rsidRDefault="00C1661D">
            <w:pPr>
              <w:spacing w:after="100"/>
              <w:rPr>
                <w:rFonts w:eastAsia="Times New Roman"/>
              </w:rPr>
            </w:pPr>
          </w:p>
        </w:tc>
        <w:tc>
          <w:tcPr>
            <w:tcW w:w="0" w:type="auto"/>
            <w:gridSpan w:val="3"/>
            <w:vMerge w:val="restart"/>
            <w:tcMar>
              <w:top w:w="30" w:type="dxa"/>
              <w:left w:w="20" w:type="dxa"/>
              <w:bottom w:w="30" w:type="dxa"/>
              <w:right w:w="20" w:type="dxa"/>
            </w:tcMar>
            <w:hideMark/>
          </w:tcPr>
          <w:p w14:paraId="51470832" w14:textId="77777777" w:rsidR="00000000" w:rsidRDefault="00C1661D">
            <w:pPr>
              <w:spacing w:after="100"/>
              <w:rPr>
                <w:rFonts w:eastAsia="Times New Roman"/>
              </w:rPr>
            </w:pPr>
            <w:r>
              <w:rPr>
                <w:rFonts w:eastAsia="Times New Roman"/>
                <w:color w:val="000000"/>
                <w:sz w:val="20"/>
                <w:szCs w:val="20"/>
              </w:rPr>
              <w:t>Chairman and Director</w:t>
            </w:r>
          </w:p>
        </w:tc>
      </w:tr>
      <w:tr w:rsidR="00000000" w14:paraId="165679DE" w14:textId="77777777">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14:paraId="33F6EC74" w14:textId="77777777" w:rsidR="00000000" w:rsidRDefault="00C1661D">
            <w:pPr>
              <w:spacing w:after="100"/>
              <w:rPr>
                <w:rFonts w:eastAsia="Times New Roman"/>
              </w:rPr>
            </w:pPr>
            <w:r>
              <w:rPr>
                <w:rFonts w:eastAsia="Times New Roman"/>
                <w:color w:val="000000"/>
                <w:sz w:val="20"/>
                <w:szCs w:val="20"/>
              </w:rPr>
              <w:t>Frank S. Hermance</w:t>
            </w:r>
          </w:p>
        </w:tc>
        <w:tc>
          <w:tcPr>
            <w:tcW w:w="0" w:type="auto"/>
            <w:gridSpan w:val="3"/>
            <w:tcMar>
              <w:top w:w="0" w:type="dxa"/>
              <w:left w:w="20" w:type="dxa"/>
              <w:bottom w:w="0" w:type="dxa"/>
              <w:right w:w="20" w:type="dxa"/>
            </w:tcMar>
            <w:vAlign w:val="center"/>
            <w:hideMark/>
          </w:tcPr>
          <w:p w14:paraId="22D9EFD1" w14:textId="77777777" w:rsidR="00000000" w:rsidRDefault="00C1661D">
            <w:pPr>
              <w:spacing w:after="100"/>
              <w:rPr>
                <w:rFonts w:eastAsia="Times New Roman"/>
              </w:rPr>
            </w:pPr>
          </w:p>
        </w:tc>
        <w:tc>
          <w:tcPr>
            <w:tcW w:w="0" w:type="auto"/>
            <w:gridSpan w:val="3"/>
            <w:vMerge/>
            <w:vAlign w:val="center"/>
            <w:hideMark/>
          </w:tcPr>
          <w:p w14:paraId="1DD1D7F4" w14:textId="77777777" w:rsidR="00000000" w:rsidRDefault="00C1661D">
            <w:pPr>
              <w:spacing w:after="100"/>
              <w:rPr>
                <w:rFonts w:eastAsia="Times New Roman"/>
              </w:rPr>
            </w:pPr>
          </w:p>
        </w:tc>
      </w:tr>
      <w:tr w:rsidR="00000000" w14:paraId="1E295F00" w14:textId="77777777">
        <w:trPr>
          <w:trHeight w:val="60"/>
          <w:jc w:val="center"/>
        </w:trPr>
        <w:tc>
          <w:tcPr>
            <w:tcW w:w="0" w:type="auto"/>
            <w:gridSpan w:val="3"/>
            <w:tcMar>
              <w:top w:w="0" w:type="dxa"/>
              <w:left w:w="20" w:type="dxa"/>
              <w:bottom w:w="0" w:type="dxa"/>
              <w:right w:w="20" w:type="dxa"/>
            </w:tcMar>
            <w:vAlign w:val="center"/>
            <w:hideMark/>
          </w:tcPr>
          <w:p w14:paraId="0E8E0567"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720C64"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525F93" w14:textId="77777777" w:rsidR="00000000" w:rsidRDefault="00C1661D">
            <w:pPr>
              <w:spacing w:after="100"/>
              <w:rPr>
                <w:rFonts w:eastAsia="Times New Roman"/>
                <w:sz w:val="20"/>
                <w:szCs w:val="20"/>
              </w:rPr>
            </w:pPr>
          </w:p>
        </w:tc>
      </w:tr>
      <w:tr w:rsidR="00000000" w14:paraId="0E3933A3" w14:textId="77777777">
        <w:trPr>
          <w:trHeight w:val="280"/>
          <w:jc w:val="center"/>
        </w:trPr>
        <w:tc>
          <w:tcPr>
            <w:tcW w:w="0" w:type="auto"/>
            <w:gridSpan w:val="3"/>
            <w:tcMar>
              <w:top w:w="30" w:type="dxa"/>
              <w:left w:w="20" w:type="dxa"/>
              <w:bottom w:w="30" w:type="dxa"/>
              <w:right w:w="20" w:type="dxa"/>
            </w:tcMar>
            <w:vAlign w:val="bottom"/>
            <w:hideMark/>
          </w:tcPr>
          <w:p w14:paraId="342E3940" w14:textId="77777777" w:rsidR="00000000" w:rsidRDefault="00C1661D">
            <w:pPr>
              <w:spacing w:after="100"/>
              <w:rPr>
                <w:rFonts w:eastAsia="Times New Roman"/>
              </w:rPr>
            </w:pPr>
            <w:r>
              <w:rPr>
                <w:rFonts w:eastAsia="Times New Roman"/>
                <w:color w:val="000000"/>
                <w:sz w:val="20"/>
                <w:szCs w:val="20"/>
              </w:rPr>
              <w:t>/s/ M. Shawn Bort</w:t>
            </w:r>
          </w:p>
        </w:tc>
        <w:tc>
          <w:tcPr>
            <w:tcW w:w="0" w:type="auto"/>
            <w:gridSpan w:val="3"/>
            <w:tcMar>
              <w:top w:w="30" w:type="dxa"/>
              <w:left w:w="20" w:type="dxa"/>
              <w:bottom w:w="30" w:type="dxa"/>
              <w:right w:w="20" w:type="dxa"/>
            </w:tcMar>
            <w:vAlign w:val="bottom"/>
            <w:hideMark/>
          </w:tcPr>
          <w:p w14:paraId="6C571334" w14:textId="77777777" w:rsidR="00000000" w:rsidRDefault="00C1661D">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hideMark/>
          </w:tcPr>
          <w:p w14:paraId="6388B29E" w14:textId="77777777" w:rsidR="00000000" w:rsidRDefault="00C1661D">
            <w:pPr>
              <w:spacing w:after="100"/>
              <w:rPr>
                <w:rFonts w:eastAsia="Times New Roman"/>
              </w:rPr>
            </w:pPr>
            <w:r>
              <w:rPr>
                <w:rFonts w:eastAsia="Times New Roman"/>
                <w:color w:val="000000"/>
                <w:sz w:val="20"/>
                <w:szCs w:val="20"/>
              </w:rPr>
              <w:t>Director</w:t>
            </w:r>
          </w:p>
        </w:tc>
      </w:tr>
      <w:tr w:rsidR="00000000" w14:paraId="120FF84F" w14:textId="77777777">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14:paraId="437EBEB2" w14:textId="77777777" w:rsidR="00000000" w:rsidRDefault="00C1661D">
            <w:pPr>
              <w:spacing w:after="100"/>
              <w:rPr>
                <w:rFonts w:eastAsia="Times New Roman"/>
              </w:rPr>
            </w:pPr>
            <w:r>
              <w:rPr>
                <w:rFonts w:eastAsia="Times New Roman"/>
                <w:color w:val="000000"/>
                <w:sz w:val="20"/>
                <w:szCs w:val="20"/>
              </w:rPr>
              <w:t>M. Shawn Bort</w:t>
            </w:r>
          </w:p>
        </w:tc>
        <w:tc>
          <w:tcPr>
            <w:tcW w:w="0" w:type="auto"/>
            <w:gridSpan w:val="3"/>
            <w:tcMar>
              <w:top w:w="0" w:type="dxa"/>
              <w:left w:w="20" w:type="dxa"/>
              <w:bottom w:w="0" w:type="dxa"/>
              <w:right w:w="20" w:type="dxa"/>
            </w:tcMar>
            <w:vAlign w:val="center"/>
            <w:hideMark/>
          </w:tcPr>
          <w:p w14:paraId="70667B44" w14:textId="77777777" w:rsidR="00000000" w:rsidRDefault="00C1661D">
            <w:pPr>
              <w:spacing w:after="100"/>
              <w:rPr>
                <w:rFonts w:eastAsia="Times New Roman"/>
              </w:rPr>
            </w:pPr>
          </w:p>
        </w:tc>
        <w:tc>
          <w:tcPr>
            <w:tcW w:w="0" w:type="auto"/>
            <w:gridSpan w:val="3"/>
            <w:vMerge/>
            <w:vAlign w:val="center"/>
            <w:hideMark/>
          </w:tcPr>
          <w:p w14:paraId="2693E048" w14:textId="77777777" w:rsidR="00000000" w:rsidRDefault="00C1661D">
            <w:pPr>
              <w:spacing w:after="100"/>
              <w:rPr>
                <w:rFonts w:eastAsia="Times New Roman"/>
              </w:rPr>
            </w:pPr>
          </w:p>
        </w:tc>
      </w:tr>
      <w:tr w:rsidR="00000000" w14:paraId="2E5FED52" w14:textId="77777777">
        <w:trPr>
          <w:trHeight w:val="60"/>
          <w:jc w:val="center"/>
        </w:trPr>
        <w:tc>
          <w:tcPr>
            <w:tcW w:w="0" w:type="auto"/>
            <w:gridSpan w:val="3"/>
            <w:tcMar>
              <w:top w:w="0" w:type="dxa"/>
              <w:left w:w="20" w:type="dxa"/>
              <w:bottom w:w="0" w:type="dxa"/>
              <w:right w:w="20" w:type="dxa"/>
            </w:tcMar>
            <w:vAlign w:val="center"/>
            <w:hideMark/>
          </w:tcPr>
          <w:p w14:paraId="09B5B37D"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B36C26"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48A7F2" w14:textId="77777777" w:rsidR="00000000" w:rsidRDefault="00C1661D">
            <w:pPr>
              <w:spacing w:after="100"/>
              <w:rPr>
                <w:rFonts w:eastAsia="Times New Roman"/>
                <w:sz w:val="20"/>
                <w:szCs w:val="20"/>
              </w:rPr>
            </w:pPr>
          </w:p>
        </w:tc>
      </w:tr>
      <w:tr w:rsidR="00000000" w14:paraId="3CD3B78A" w14:textId="77777777">
        <w:trPr>
          <w:trHeight w:val="280"/>
          <w:jc w:val="center"/>
        </w:trPr>
        <w:tc>
          <w:tcPr>
            <w:tcW w:w="0" w:type="auto"/>
            <w:gridSpan w:val="3"/>
            <w:tcMar>
              <w:top w:w="30" w:type="dxa"/>
              <w:left w:w="20" w:type="dxa"/>
              <w:bottom w:w="30" w:type="dxa"/>
              <w:right w:w="20" w:type="dxa"/>
            </w:tcMar>
            <w:vAlign w:val="bottom"/>
            <w:hideMark/>
          </w:tcPr>
          <w:p w14:paraId="312026C0" w14:textId="77777777" w:rsidR="00000000" w:rsidRDefault="00C1661D">
            <w:pPr>
              <w:spacing w:after="100"/>
              <w:rPr>
                <w:rFonts w:eastAsia="Times New Roman"/>
              </w:rPr>
            </w:pPr>
            <w:r>
              <w:rPr>
                <w:rFonts w:eastAsia="Times New Roman"/>
                <w:color w:val="000000"/>
                <w:sz w:val="20"/>
                <w:szCs w:val="20"/>
              </w:rPr>
              <w:t>/s/ Theodore A. Dosch</w:t>
            </w:r>
          </w:p>
        </w:tc>
        <w:tc>
          <w:tcPr>
            <w:tcW w:w="0" w:type="auto"/>
            <w:gridSpan w:val="3"/>
            <w:tcMar>
              <w:top w:w="0" w:type="dxa"/>
              <w:left w:w="20" w:type="dxa"/>
              <w:bottom w:w="0" w:type="dxa"/>
              <w:right w:w="20" w:type="dxa"/>
            </w:tcMar>
            <w:vAlign w:val="center"/>
            <w:hideMark/>
          </w:tcPr>
          <w:p w14:paraId="397B63ED" w14:textId="77777777" w:rsidR="00000000" w:rsidRDefault="00C1661D">
            <w:pPr>
              <w:spacing w:after="100"/>
              <w:rPr>
                <w:rFonts w:eastAsia="Times New Roman"/>
              </w:rPr>
            </w:pPr>
          </w:p>
        </w:tc>
        <w:tc>
          <w:tcPr>
            <w:tcW w:w="0" w:type="auto"/>
            <w:gridSpan w:val="3"/>
            <w:vMerge w:val="restart"/>
            <w:tcMar>
              <w:top w:w="30" w:type="dxa"/>
              <w:left w:w="20" w:type="dxa"/>
              <w:bottom w:w="30" w:type="dxa"/>
              <w:right w:w="20" w:type="dxa"/>
            </w:tcMar>
            <w:hideMark/>
          </w:tcPr>
          <w:p w14:paraId="4DB53C36" w14:textId="77777777" w:rsidR="00000000" w:rsidRDefault="00C1661D">
            <w:pPr>
              <w:spacing w:after="100"/>
              <w:rPr>
                <w:rFonts w:eastAsia="Times New Roman"/>
              </w:rPr>
            </w:pPr>
            <w:r>
              <w:rPr>
                <w:rFonts w:eastAsia="Times New Roman"/>
                <w:color w:val="000000"/>
                <w:sz w:val="20"/>
                <w:szCs w:val="20"/>
              </w:rPr>
              <w:t>Director</w:t>
            </w:r>
          </w:p>
        </w:tc>
      </w:tr>
      <w:tr w:rsidR="00000000" w14:paraId="4FE99811" w14:textId="77777777">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14:paraId="2134ED65" w14:textId="77777777" w:rsidR="00000000" w:rsidRDefault="00C1661D">
            <w:pPr>
              <w:spacing w:after="100"/>
              <w:rPr>
                <w:rFonts w:eastAsia="Times New Roman"/>
              </w:rPr>
            </w:pPr>
            <w:r>
              <w:rPr>
                <w:rFonts w:eastAsia="Times New Roman"/>
                <w:color w:val="000000"/>
                <w:sz w:val="20"/>
                <w:szCs w:val="20"/>
              </w:rPr>
              <w:t>Theodore A. Dosch</w:t>
            </w:r>
          </w:p>
        </w:tc>
        <w:tc>
          <w:tcPr>
            <w:tcW w:w="0" w:type="auto"/>
            <w:gridSpan w:val="3"/>
            <w:tcMar>
              <w:top w:w="0" w:type="dxa"/>
              <w:left w:w="20" w:type="dxa"/>
              <w:bottom w:w="0" w:type="dxa"/>
              <w:right w:w="20" w:type="dxa"/>
            </w:tcMar>
            <w:vAlign w:val="center"/>
            <w:hideMark/>
          </w:tcPr>
          <w:p w14:paraId="06840161" w14:textId="77777777" w:rsidR="00000000" w:rsidRDefault="00C1661D">
            <w:pPr>
              <w:spacing w:after="100"/>
              <w:rPr>
                <w:rFonts w:eastAsia="Times New Roman"/>
              </w:rPr>
            </w:pPr>
          </w:p>
        </w:tc>
        <w:tc>
          <w:tcPr>
            <w:tcW w:w="0" w:type="auto"/>
            <w:gridSpan w:val="3"/>
            <w:vMerge/>
            <w:vAlign w:val="center"/>
            <w:hideMark/>
          </w:tcPr>
          <w:p w14:paraId="113596DF" w14:textId="77777777" w:rsidR="00000000" w:rsidRDefault="00C1661D">
            <w:pPr>
              <w:spacing w:after="100"/>
              <w:rPr>
                <w:rFonts w:eastAsia="Times New Roman"/>
              </w:rPr>
            </w:pPr>
          </w:p>
        </w:tc>
      </w:tr>
      <w:tr w:rsidR="00000000" w14:paraId="5B11B8FA" w14:textId="77777777">
        <w:trPr>
          <w:trHeight w:val="60"/>
          <w:jc w:val="center"/>
        </w:trPr>
        <w:tc>
          <w:tcPr>
            <w:tcW w:w="0" w:type="auto"/>
            <w:gridSpan w:val="3"/>
            <w:tcMar>
              <w:top w:w="0" w:type="dxa"/>
              <w:left w:w="20" w:type="dxa"/>
              <w:bottom w:w="0" w:type="dxa"/>
              <w:right w:w="20" w:type="dxa"/>
            </w:tcMar>
            <w:vAlign w:val="center"/>
            <w:hideMark/>
          </w:tcPr>
          <w:p w14:paraId="4F7BA0B6"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D14C78"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6F7613" w14:textId="77777777" w:rsidR="00000000" w:rsidRDefault="00C1661D">
            <w:pPr>
              <w:spacing w:after="100"/>
              <w:rPr>
                <w:rFonts w:eastAsia="Times New Roman"/>
                <w:sz w:val="20"/>
                <w:szCs w:val="20"/>
              </w:rPr>
            </w:pPr>
          </w:p>
        </w:tc>
      </w:tr>
      <w:tr w:rsidR="00000000" w14:paraId="390BB0F7" w14:textId="77777777">
        <w:trPr>
          <w:trHeight w:val="280"/>
          <w:jc w:val="center"/>
        </w:trPr>
        <w:tc>
          <w:tcPr>
            <w:tcW w:w="0" w:type="auto"/>
            <w:gridSpan w:val="3"/>
            <w:tcMar>
              <w:top w:w="30" w:type="dxa"/>
              <w:left w:w="20" w:type="dxa"/>
              <w:bottom w:w="30" w:type="dxa"/>
              <w:right w:w="20" w:type="dxa"/>
            </w:tcMar>
            <w:vAlign w:val="bottom"/>
            <w:hideMark/>
          </w:tcPr>
          <w:p w14:paraId="51F2353F" w14:textId="77777777" w:rsidR="00000000" w:rsidRDefault="00C1661D">
            <w:pPr>
              <w:spacing w:after="100"/>
              <w:rPr>
                <w:rFonts w:eastAsia="Times New Roman"/>
              </w:rPr>
            </w:pPr>
            <w:r>
              <w:rPr>
                <w:rFonts w:eastAsia="Times New Roman"/>
                <w:color w:val="000000"/>
                <w:sz w:val="20"/>
                <w:szCs w:val="20"/>
              </w:rPr>
              <w:t>/s/ Alan N. Harris</w:t>
            </w:r>
          </w:p>
        </w:tc>
        <w:tc>
          <w:tcPr>
            <w:tcW w:w="0" w:type="auto"/>
            <w:gridSpan w:val="3"/>
            <w:tcMar>
              <w:top w:w="0" w:type="dxa"/>
              <w:left w:w="20" w:type="dxa"/>
              <w:bottom w:w="0" w:type="dxa"/>
              <w:right w:w="20" w:type="dxa"/>
            </w:tcMar>
            <w:vAlign w:val="center"/>
            <w:hideMark/>
          </w:tcPr>
          <w:p w14:paraId="53F19757" w14:textId="77777777" w:rsidR="00000000" w:rsidRDefault="00C1661D">
            <w:pPr>
              <w:spacing w:after="100"/>
              <w:rPr>
                <w:rFonts w:eastAsia="Times New Roman"/>
              </w:rPr>
            </w:pPr>
          </w:p>
        </w:tc>
        <w:tc>
          <w:tcPr>
            <w:tcW w:w="0" w:type="auto"/>
            <w:gridSpan w:val="3"/>
            <w:vMerge w:val="restart"/>
            <w:tcMar>
              <w:top w:w="30" w:type="dxa"/>
              <w:left w:w="20" w:type="dxa"/>
              <w:bottom w:w="30" w:type="dxa"/>
              <w:right w:w="20" w:type="dxa"/>
            </w:tcMar>
            <w:hideMark/>
          </w:tcPr>
          <w:p w14:paraId="7647BC32" w14:textId="77777777" w:rsidR="00000000" w:rsidRDefault="00C1661D">
            <w:pPr>
              <w:spacing w:after="100"/>
              <w:rPr>
                <w:rFonts w:eastAsia="Times New Roman"/>
              </w:rPr>
            </w:pPr>
            <w:r>
              <w:rPr>
                <w:rFonts w:eastAsia="Times New Roman"/>
                <w:color w:val="000000"/>
                <w:sz w:val="20"/>
                <w:szCs w:val="20"/>
              </w:rPr>
              <w:t>Director</w:t>
            </w:r>
          </w:p>
        </w:tc>
      </w:tr>
      <w:tr w:rsidR="00000000" w14:paraId="75232559" w14:textId="77777777">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14:paraId="1090D5AA" w14:textId="77777777" w:rsidR="00000000" w:rsidRDefault="00C1661D">
            <w:pPr>
              <w:spacing w:after="100"/>
              <w:rPr>
                <w:rFonts w:eastAsia="Times New Roman"/>
              </w:rPr>
            </w:pPr>
            <w:r>
              <w:rPr>
                <w:rFonts w:eastAsia="Times New Roman"/>
                <w:color w:val="000000"/>
                <w:sz w:val="20"/>
                <w:szCs w:val="20"/>
              </w:rPr>
              <w:t>Alan N. Harris</w:t>
            </w:r>
          </w:p>
        </w:tc>
        <w:tc>
          <w:tcPr>
            <w:tcW w:w="0" w:type="auto"/>
            <w:gridSpan w:val="3"/>
            <w:tcMar>
              <w:top w:w="0" w:type="dxa"/>
              <w:left w:w="20" w:type="dxa"/>
              <w:bottom w:w="0" w:type="dxa"/>
              <w:right w:w="20" w:type="dxa"/>
            </w:tcMar>
            <w:vAlign w:val="center"/>
            <w:hideMark/>
          </w:tcPr>
          <w:p w14:paraId="1F619DBF" w14:textId="77777777" w:rsidR="00000000" w:rsidRDefault="00C1661D">
            <w:pPr>
              <w:spacing w:after="100"/>
              <w:rPr>
                <w:rFonts w:eastAsia="Times New Roman"/>
              </w:rPr>
            </w:pPr>
          </w:p>
        </w:tc>
        <w:tc>
          <w:tcPr>
            <w:tcW w:w="0" w:type="auto"/>
            <w:gridSpan w:val="3"/>
            <w:vMerge/>
            <w:vAlign w:val="center"/>
            <w:hideMark/>
          </w:tcPr>
          <w:p w14:paraId="7EED6AB2" w14:textId="77777777" w:rsidR="00000000" w:rsidRDefault="00C1661D">
            <w:pPr>
              <w:spacing w:after="100"/>
              <w:rPr>
                <w:rFonts w:eastAsia="Times New Roman"/>
              </w:rPr>
            </w:pPr>
          </w:p>
        </w:tc>
      </w:tr>
      <w:tr w:rsidR="00000000" w14:paraId="292475F8" w14:textId="77777777">
        <w:trPr>
          <w:trHeight w:val="60"/>
          <w:jc w:val="center"/>
        </w:trPr>
        <w:tc>
          <w:tcPr>
            <w:tcW w:w="0" w:type="auto"/>
            <w:gridSpan w:val="3"/>
            <w:tcMar>
              <w:top w:w="0" w:type="dxa"/>
              <w:left w:w="20" w:type="dxa"/>
              <w:bottom w:w="0" w:type="dxa"/>
              <w:right w:w="20" w:type="dxa"/>
            </w:tcMar>
            <w:vAlign w:val="center"/>
            <w:hideMark/>
          </w:tcPr>
          <w:p w14:paraId="605CBCBE"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C1B723"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9BAC0F" w14:textId="77777777" w:rsidR="00000000" w:rsidRDefault="00C1661D">
            <w:pPr>
              <w:spacing w:after="100"/>
              <w:rPr>
                <w:rFonts w:eastAsia="Times New Roman"/>
                <w:sz w:val="20"/>
                <w:szCs w:val="20"/>
              </w:rPr>
            </w:pPr>
          </w:p>
        </w:tc>
      </w:tr>
      <w:tr w:rsidR="00000000" w14:paraId="195A0A20" w14:textId="77777777">
        <w:trPr>
          <w:trHeight w:val="280"/>
          <w:jc w:val="center"/>
        </w:trPr>
        <w:tc>
          <w:tcPr>
            <w:tcW w:w="0" w:type="auto"/>
            <w:gridSpan w:val="3"/>
            <w:tcMar>
              <w:top w:w="30" w:type="dxa"/>
              <w:left w:w="20" w:type="dxa"/>
              <w:bottom w:w="30" w:type="dxa"/>
              <w:right w:w="20" w:type="dxa"/>
            </w:tcMar>
            <w:vAlign w:val="bottom"/>
            <w:hideMark/>
          </w:tcPr>
          <w:p w14:paraId="76CE7F9D" w14:textId="77777777" w:rsidR="00000000" w:rsidRDefault="00C1661D">
            <w:pPr>
              <w:spacing w:after="100"/>
              <w:rPr>
                <w:rFonts w:eastAsia="Times New Roman"/>
              </w:rPr>
            </w:pPr>
            <w:r>
              <w:rPr>
                <w:rFonts w:eastAsia="Times New Roman"/>
                <w:color w:val="000000"/>
                <w:sz w:val="20"/>
                <w:szCs w:val="20"/>
              </w:rPr>
              <w:t>/s/ Mario Longhi</w:t>
            </w:r>
          </w:p>
        </w:tc>
        <w:tc>
          <w:tcPr>
            <w:tcW w:w="0" w:type="auto"/>
            <w:gridSpan w:val="3"/>
            <w:tcMar>
              <w:top w:w="0" w:type="dxa"/>
              <w:left w:w="20" w:type="dxa"/>
              <w:bottom w:w="0" w:type="dxa"/>
              <w:right w:w="20" w:type="dxa"/>
            </w:tcMar>
            <w:vAlign w:val="center"/>
            <w:hideMark/>
          </w:tcPr>
          <w:p w14:paraId="6B0296AE" w14:textId="77777777" w:rsidR="00000000" w:rsidRDefault="00C1661D">
            <w:pPr>
              <w:spacing w:after="100"/>
              <w:rPr>
                <w:rFonts w:eastAsia="Times New Roman"/>
              </w:rPr>
            </w:pPr>
          </w:p>
        </w:tc>
        <w:tc>
          <w:tcPr>
            <w:tcW w:w="0" w:type="auto"/>
            <w:gridSpan w:val="3"/>
            <w:vMerge w:val="restart"/>
            <w:tcMar>
              <w:top w:w="30" w:type="dxa"/>
              <w:left w:w="20" w:type="dxa"/>
              <w:bottom w:w="30" w:type="dxa"/>
              <w:right w:w="20" w:type="dxa"/>
            </w:tcMar>
            <w:hideMark/>
          </w:tcPr>
          <w:p w14:paraId="5D5B79BC" w14:textId="77777777" w:rsidR="00000000" w:rsidRDefault="00C1661D">
            <w:pPr>
              <w:spacing w:after="100"/>
              <w:rPr>
                <w:rFonts w:eastAsia="Times New Roman"/>
              </w:rPr>
            </w:pPr>
            <w:r>
              <w:rPr>
                <w:rFonts w:eastAsia="Times New Roman"/>
                <w:color w:val="000000"/>
                <w:sz w:val="20"/>
                <w:szCs w:val="20"/>
              </w:rPr>
              <w:t>Director</w:t>
            </w:r>
          </w:p>
        </w:tc>
      </w:tr>
      <w:tr w:rsidR="00000000" w14:paraId="725DAD12" w14:textId="77777777">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14:paraId="2E432586" w14:textId="77777777" w:rsidR="00000000" w:rsidRDefault="00C1661D">
            <w:pPr>
              <w:spacing w:after="100"/>
              <w:rPr>
                <w:rFonts w:eastAsia="Times New Roman"/>
              </w:rPr>
            </w:pPr>
            <w:r>
              <w:rPr>
                <w:rFonts w:eastAsia="Times New Roman"/>
                <w:color w:val="000000"/>
                <w:sz w:val="20"/>
                <w:szCs w:val="20"/>
              </w:rPr>
              <w:t>Mario Longhi</w:t>
            </w:r>
          </w:p>
        </w:tc>
        <w:tc>
          <w:tcPr>
            <w:tcW w:w="0" w:type="auto"/>
            <w:gridSpan w:val="3"/>
            <w:tcMar>
              <w:top w:w="0" w:type="dxa"/>
              <w:left w:w="20" w:type="dxa"/>
              <w:bottom w:w="0" w:type="dxa"/>
              <w:right w:w="20" w:type="dxa"/>
            </w:tcMar>
            <w:vAlign w:val="center"/>
            <w:hideMark/>
          </w:tcPr>
          <w:p w14:paraId="61034C7C" w14:textId="77777777" w:rsidR="00000000" w:rsidRDefault="00C1661D">
            <w:pPr>
              <w:spacing w:after="100"/>
              <w:rPr>
                <w:rFonts w:eastAsia="Times New Roman"/>
              </w:rPr>
            </w:pPr>
          </w:p>
        </w:tc>
        <w:tc>
          <w:tcPr>
            <w:tcW w:w="0" w:type="auto"/>
            <w:gridSpan w:val="3"/>
            <w:vMerge/>
            <w:vAlign w:val="center"/>
            <w:hideMark/>
          </w:tcPr>
          <w:p w14:paraId="569A23D6" w14:textId="77777777" w:rsidR="00000000" w:rsidRDefault="00C1661D">
            <w:pPr>
              <w:spacing w:after="100"/>
              <w:rPr>
                <w:rFonts w:eastAsia="Times New Roman"/>
              </w:rPr>
            </w:pPr>
          </w:p>
        </w:tc>
      </w:tr>
      <w:tr w:rsidR="00000000" w14:paraId="3CD298C9" w14:textId="77777777">
        <w:trPr>
          <w:trHeight w:val="60"/>
          <w:jc w:val="center"/>
        </w:trPr>
        <w:tc>
          <w:tcPr>
            <w:tcW w:w="0" w:type="auto"/>
            <w:gridSpan w:val="3"/>
            <w:tcMar>
              <w:top w:w="0" w:type="dxa"/>
              <w:left w:w="20" w:type="dxa"/>
              <w:bottom w:w="0" w:type="dxa"/>
              <w:right w:w="20" w:type="dxa"/>
            </w:tcMar>
            <w:vAlign w:val="center"/>
            <w:hideMark/>
          </w:tcPr>
          <w:p w14:paraId="0EC56DB3"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0E1DB4"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966CA5" w14:textId="77777777" w:rsidR="00000000" w:rsidRDefault="00C1661D">
            <w:pPr>
              <w:spacing w:after="100"/>
              <w:rPr>
                <w:rFonts w:eastAsia="Times New Roman"/>
                <w:sz w:val="20"/>
                <w:szCs w:val="20"/>
              </w:rPr>
            </w:pPr>
          </w:p>
        </w:tc>
      </w:tr>
      <w:tr w:rsidR="00000000" w14:paraId="35E2C815" w14:textId="77777777">
        <w:trPr>
          <w:trHeight w:val="280"/>
          <w:jc w:val="center"/>
        </w:trPr>
        <w:tc>
          <w:tcPr>
            <w:tcW w:w="0" w:type="auto"/>
            <w:gridSpan w:val="3"/>
            <w:tcMar>
              <w:top w:w="30" w:type="dxa"/>
              <w:left w:w="20" w:type="dxa"/>
              <w:bottom w:w="30" w:type="dxa"/>
              <w:right w:w="20" w:type="dxa"/>
            </w:tcMar>
            <w:vAlign w:val="bottom"/>
            <w:hideMark/>
          </w:tcPr>
          <w:p w14:paraId="763C1C40" w14:textId="77777777" w:rsidR="00000000" w:rsidRDefault="00C1661D">
            <w:pPr>
              <w:spacing w:after="100"/>
              <w:rPr>
                <w:rFonts w:eastAsia="Times New Roman"/>
              </w:rPr>
            </w:pPr>
            <w:r>
              <w:rPr>
                <w:rFonts w:eastAsia="Times New Roman"/>
                <w:color w:val="000000"/>
                <w:sz w:val="20"/>
                <w:szCs w:val="20"/>
              </w:rPr>
              <w:t>/s/ William J. Marrazzo</w:t>
            </w:r>
          </w:p>
        </w:tc>
        <w:tc>
          <w:tcPr>
            <w:tcW w:w="0" w:type="auto"/>
            <w:gridSpan w:val="3"/>
            <w:tcMar>
              <w:top w:w="0" w:type="dxa"/>
              <w:left w:w="20" w:type="dxa"/>
              <w:bottom w:w="0" w:type="dxa"/>
              <w:right w:w="20" w:type="dxa"/>
            </w:tcMar>
            <w:vAlign w:val="center"/>
            <w:hideMark/>
          </w:tcPr>
          <w:p w14:paraId="7B14BD28" w14:textId="77777777" w:rsidR="00000000" w:rsidRDefault="00C1661D">
            <w:pPr>
              <w:spacing w:after="100"/>
              <w:rPr>
                <w:rFonts w:eastAsia="Times New Roman"/>
              </w:rPr>
            </w:pPr>
          </w:p>
        </w:tc>
        <w:tc>
          <w:tcPr>
            <w:tcW w:w="0" w:type="auto"/>
            <w:gridSpan w:val="3"/>
            <w:vMerge w:val="restart"/>
            <w:tcMar>
              <w:top w:w="30" w:type="dxa"/>
              <w:left w:w="20" w:type="dxa"/>
              <w:bottom w:w="30" w:type="dxa"/>
              <w:right w:w="20" w:type="dxa"/>
            </w:tcMar>
            <w:hideMark/>
          </w:tcPr>
          <w:p w14:paraId="65A995C0" w14:textId="77777777" w:rsidR="00000000" w:rsidRDefault="00C1661D">
            <w:pPr>
              <w:spacing w:after="100"/>
              <w:rPr>
                <w:rFonts w:eastAsia="Times New Roman"/>
              </w:rPr>
            </w:pPr>
            <w:r>
              <w:rPr>
                <w:rFonts w:eastAsia="Times New Roman"/>
                <w:color w:val="000000"/>
                <w:sz w:val="20"/>
                <w:szCs w:val="20"/>
              </w:rPr>
              <w:t>Director</w:t>
            </w:r>
          </w:p>
        </w:tc>
      </w:tr>
      <w:tr w:rsidR="00000000" w14:paraId="77246BDF" w14:textId="77777777">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14:paraId="5822A598" w14:textId="77777777" w:rsidR="00000000" w:rsidRDefault="00C1661D">
            <w:pPr>
              <w:spacing w:after="100"/>
              <w:rPr>
                <w:rFonts w:eastAsia="Times New Roman"/>
              </w:rPr>
            </w:pPr>
            <w:r>
              <w:rPr>
                <w:rFonts w:eastAsia="Times New Roman"/>
                <w:color w:val="000000"/>
                <w:sz w:val="20"/>
                <w:szCs w:val="20"/>
              </w:rPr>
              <w:t>William J. Marrazzo</w:t>
            </w:r>
          </w:p>
        </w:tc>
        <w:tc>
          <w:tcPr>
            <w:tcW w:w="0" w:type="auto"/>
            <w:gridSpan w:val="3"/>
            <w:tcMar>
              <w:top w:w="0" w:type="dxa"/>
              <w:left w:w="20" w:type="dxa"/>
              <w:bottom w:w="0" w:type="dxa"/>
              <w:right w:w="20" w:type="dxa"/>
            </w:tcMar>
            <w:vAlign w:val="center"/>
            <w:hideMark/>
          </w:tcPr>
          <w:p w14:paraId="44379B80" w14:textId="77777777" w:rsidR="00000000" w:rsidRDefault="00C1661D">
            <w:pPr>
              <w:spacing w:after="100"/>
              <w:rPr>
                <w:rFonts w:eastAsia="Times New Roman"/>
              </w:rPr>
            </w:pPr>
          </w:p>
        </w:tc>
        <w:tc>
          <w:tcPr>
            <w:tcW w:w="0" w:type="auto"/>
            <w:gridSpan w:val="3"/>
            <w:vMerge/>
            <w:vAlign w:val="center"/>
            <w:hideMark/>
          </w:tcPr>
          <w:p w14:paraId="24554AD4" w14:textId="77777777" w:rsidR="00000000" w:rsidRDefault="00C1661D">
            <w:pPr>
              <w:spacing w:after="100"/>
              <w:rPr>
                <w:rFonts w:eastAsia="Times New Roman"/>
              </w:rPr>
            </w:pPr>
          </w:p>
        </w:tc>
      </w:tr>
      <w:tr w:rsidR="00000000" w14:paraId="427AE2F4" w14:textId="77777777">
        <w:trPr>
          <w:trHeight w:val="60"/>
          <w:jc w:val="center"/>
        </w:trPr>
        <w:tc>
          <w:tcPr>
            <w:tcW w:w="0" w:type="auto"/>
            <w:gridSpan w:val="3"/>
            <w:tcMar>
              <w:top w:w="0" w:type="dxa"/>
              <w:left w:w="20" w:type="dxa"/>
              <w:bottom w:w="0" w:type="dxa"/>
              <w:right w:w="20" w:type="dxa"/>
            </w:tcMar>
            <w:vAlign w:val="center"/>
            <w:hideMark/>
          </w:tcPr>
          <w:p w14:paraId="4B4B4771"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009697"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9DDED9" w14:textId="77777777" w:rsidR="00000000" w:rsidRDefault="00C1661D">
            <w:pPr>
              <w:spacing w:after="100"/>
              <w:rPr>
                <w:rFonts w:eastAsia="Times New Roman"/>
                <w:sz w:val="20"/>
                <w:szCs w:val="20"/>
              </w:rPr>
            </w:pPr>
          </w:p>
        </w:tc>
      </w:tr>
      <w:tr w:rsidR="00000000" w14:paraId="4A6C9EF1" w14:textId="77777777">
        <w:trPr>
          <w:trHeight w:val="280"/>
          <w:jc w:val="center"/>
        </w:trPr>
        <w:tc>
          <w:tcPr>
            <w:tcW w:w="0" w:type="auto"/>
            <w:gridSpan w:val="3"/>
            <w:tcMar>
              <w:top w:w="30" w:type="dxa"/>
              <w:left w:w="20" w:type="dxa"/>
              <w:bottom w:w="30" w:type="dxa"/>
              <w:right w:w="20" w:type="dxa"/>
            </w:tcMar>
            <w:vAlign w:val="bottom"/>
            <w:hideMark/>
          </w:tcPr>
          <w:p w14:paraId="7F618659" w14:textId="77777777" w:rsidR="00000000" w:rsidRDefault="00C1661D">
            <w:pPr>
              <w:spacing w:after="100"/>
              <w:rPr>
                <w:rFonts w:eastAsia="Times New Roman"/>
              </w:rPr>
            </w:pPr>
            <w:r>
              <w:rPr>
                <w:rFonts w:eastAsia="Times New Roman"/>
                <w:color w:val="000000"/>
                <w:sz w:val="20"/>
                <w:szCs w:val="20"/>
              </w:rPr>
              <w:t>/s/ Cindy J. Miller</w:t>
            </w:r>
          </w:p>
        </w:tc>
        <w:tc>
          <w:tcPr>
            <w:tcW w:w="0" w:type="auto"/>
            <w:gridSpan w:val="3"/>
            <w:tcMar>
              <w:top w:w="30" w:type="dxa"/>
              <w:left w:w="20" w:type="dxa"/>
              <w:bottom w:w="30" w:type="dxa"/>
              <w:right w:w="20" w:type="dxa"/>
            </w:tcMar>
            <w:vAlign w:val="bottom"/>
            <w:hideMark/>
          </w:tcPr>
          <w:p w14:paraId="5B6C111F" w14:textId="77777777" w:rsidR="00000000" w:rsidRDefault="00C1661D">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hideMark/>
          </w:tcPr>
          <w:p w14:paraId="5BD9B7CA" w14:textId="77777777" w:rsidR="00000000" w:rsidRDefault="00C1661D">
            <w:pPr>
              <w:spacing w:after="100"/>
              <w:rPr>
                <w:rFonts w:eastAsia="Times New Roman"/>
              </w:rPr>
            </w:pPr>
            <w:r>
              <w:rPr>
                <w:rFonts w:eastAsia="Times New Roman"/>
                <w:color w:val="000000"/>
                <w:sz w:val="20"/>
                <w:szCs w:val="20"/>
              </w:rPr>
              <w:t>Director</w:t>
            </w:r>
          </w:p>
        </w:tc>
      </w:tr>
      <w:tr w:rsidR="00000000" w14:paraId="7240267A" w14:textId="77777777">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14:paraId="441A663B" w14:textId="77777777" w:rsidR="00000000" w:rsidRDefault="00C1661D">
            <w:pPr>
              <w:spacing w:after="100"/>
              <w:rPr>
                <w:rFonts w:eastAsia="Times New Roman"/>
              </w:rPr>
            </w:pPr>
            <w:r>
              <w:rPr>
                <w:rFonts w:eastAsia="Times New Roman"/>
                <w:color w:val="000000"/>
                <w:sz w:val="20"/>
                <w:szCs w:val="20"/>
              </w:rPr>
              <w:t>Cindy J. Miller</w:t>
            </w:r>
          </w:p>
        </w:tc>
        <w:tc>
          <w:tcPr>
            <w:tcW w:w="0" w:type="auto"/>
            <w:gridSpan w:val="3"/>
            <w:tcMar>
              <w:top w:w="0" w:type="dxa"/>
              <w:left w:w="20" w:type="dxa"/>
              <w:bottom w:w="0" w:type="dxa"/>
              <w:right w:w="20" w:type="dxa"/>
            </w:tcMar>
            <w:vAlign w:val="center"/>
            <w:hideMark/>
          </w:tcPr>
          <w:p w14:paraId="43D0C7BD" w14:textId="77777777" w:rsidR="00000000" w:rsidRDefault="00C1661D">
            <w:pPr>
              <w:spacing w:after="100"/>
              <w:rPr>
                <w:rFonts w:eastAsia="Times New Roman"/>
              </w:rPr>
            </w:pPr>
          </w:p>
        </w:tc>
        <w:tc>
          <w:tcPr>
            <w:tcW w:w="0" w:type="auto"/>
            <w:gridSpan w:val="3"/>
            <w:vMerge/>
            <w:vAlign w:val="center"/>
            <w:hideMark/>
          </w:tcPr>
          <w:p w14:paraId="3B8B837D" w14:textId="77777777" w:rsidR="00000000" w:rsidRDefault="00C1661D">
            <w:pPr>
              <w:spacing w:after="100"/>
              <w:rPr>
                <w:rFonts w:eastAsia="Times New Roman"/>
              </w:rPr>
            </w:pPr>
          </w:p>
        </w:tc>
      </w:tr>
      <w:tr w:rsidR="00000000" w14:paraId="506BD16D" w14:textId="77777777">
        <w:trPr>
          <w:trHeight w:val="60"/>
          <w:jc w:val="center"/>
        </w:trPr>
        <w:tc>
          <w:tcPr>
            <w:tcW w:w="0" w:type="auto"/>
            <w:gridSpan w:val="3"/>
            <w:tcMar>
              <w:top w:w="0" w:type="dxa"/>
              <w:left w:w="20" w:type="dxa"/>
              <w:bottom w:w="0" w:type="dxa"/>
              <w:right w:w="20" w:type="dxa"/>
            </w:tcMar>
            <w:vAlign w:val="center"/>
            <w:hideMark/>
          </w:tcPr>
          <w:p w14:paraId="22110EE2"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74B19F" w14:textId="77777777" w:rsidR="00000000" w:rsidRDefault="00C1661D">
            <w:pPr>
              <w:spacing w:after="100"/>
              <w:rPr>
                <w:rFonts w:eastAsia="Times New Roman"/>
                <w:sz w:val="20"/>
                <w:szCs w:val="20"/>
              </w:rPr>
            </w:pPr>
          </w:p>
        </w:tc>
        <w:tc>
          <w:tcPr>
            <w:tcW w:w="0" w:type="auto"/>
            <w:gridSpan w:val="3"/>
            <w:vMerge w:val="restart"/>
            <w:tcMar>
              <w:top w:w="30" w:type="dxa"/>
              <w:left w:w="20" w:type="dxa"/>
              <w:bottom w:w="30" w:type="dxa"/>
              <w:right w:w="20" w:type="dxa"/>
            </w:tcMar>
            <w:hideMark/>
          </w:tcPr>
          <w:p w14:paraId="2ECED91C" w14:textId="77777777" w:rsidR="00000000" w:rsidRDefault="00C1661D">
            <w:pPr>
              <w:spacing w:after="100"/>
              <w:rPr>
                <w:rFonts w:eastAsia="Times New Roman"/>
              </w:rPr>
            </w:pPr>
            <w:r>
              <w:rPr>
                <w:rFonts w:eastAsia="Times New Roman"/>
                <w:color w:val="000000"/>
                <w:sz w:val="20"/>
                <w:szCs w:val="20"/>
              </w:rPr>
              <w:t>Director</w:t>
            </w:r>
          </w:p>
        </w:tc>
      </w:tr>
      <w:tr w:rsidR="00000000" w14:paraId="37203A66" w14:textId="77777777">
        <w:trPr>
          <w:trHeight w:val="280"/>
          <w:jc w:val="center"/>
        </w:trPr>
        <w:tc>
          <w:tcPr>
            <w:tcW w:w="0" w:type="auto"/>
            <w:gridSpan w:val="3"/>
            <w:tcMar>
              <w:top w:w="30" w:type="dxa"/>
              <w:left w:w="20" w:type="dxa"/>
              <w:bottom w:w="30" w:type="dxa"/>
              <w:right w:w="20" w:type="dxa"/>
            </w:tcMar>
            <w:vAlign w:val="bottom"/>
            <w:hideMark/>
          </w:tcPr>
          <w:p w14:paraId="534E1CA9" w14:textId="77777777" w:rsidR="00000000" w:rsidRDefault="00C1661D">
            <w:pPr>
              <w:spacing w:after="100"/>
              <w:rPr>
                <w:rFonts w:eastAsia="Times New Roman"/>
              </w:rPr>
            </w:pPr>
            <w:r>
              <w:rPr>
                <w:rFonts w:eastAsia="Times New Roman"/>
                <w:color w:val="000000"/>
                <w:sz w:val="20"/>
                <w:szCs w:val="20"/>
              </w:rPr>
              <w:t>/s/ Kelly A. Romano</w:t>
            </w:r>
          </w:p>
        </w:tc>
        <w:tc>
          <w:tcPr>
            <w:tcW w:w="0" w:type="auto"/>
            <w:gridSpan w:val="3"/>
            <w:tcMar>
              <w:top w:w="0" w:type="dxa"/>
              <w:left w:w="20" w:type="dxa"/>
              <w:bottom w:w="0" w:type="dxa"/>
              <w:right w:w="20" w:type="dxa"/>
            </w:tcMar>
            <w:vAlign w:val="center"/>
            <w:hideMark/>
          </w:tcPr>
          <w:p w14:paraId="76AE65F8" w14:textId="77777777" w:rsidR="00000000" w:rsidRDefault="00C1661D">
            <w:pPr>
              <w:spacing w:after="100"/>
              <w:rPr>
                <w:rFonts w:eastAsia="Times New Roman"/>
              </w:rPr>
            </w:pPr>
          </w:p>
        </w:tc>
        <w:tc>
          <w:tcPr>
            <w:tcW w:w="0" w:type="auto"/>
            <w:gridSpan w:val="3"/>
            <w:vMerge/>
            <w:vAlign w:val="center"/>
            <w:hideMark/>
          </w:tcPr>
          <w:p w14:paraId="1B8ACE7C" w14:textId="77777777" w:rsidR="00000000" w:rsidRDefault="00C1661D">
            <w:pPr>
              <w:spacing w:after="100"/>
              <w:rPr>
                <w:rFonts w:eastAsia="Times New Roman"/>
              </w:rPr>
            </w:pPr>
          </w:p>
        </w:tc>
      </w:tr>
      <w:tr w:rsidR="00000000" w14:paraId="534E195D" w14:textId="77777777">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14:paraId="6A6D1C3D" w14:textId="77777777" w:rsidR="00000000" w:rsidRDefault="00C1661D">
            <w:pPr>
              <w:spacing w:after="100"/>
              <w:rPr>
                <w:rFonts w:eastAsia="Times New Roman"/>
              </w:rPr>
            </w:pPr>
            <w:r>
              <w:rPr>
                <w:rFonts w:eastAsia="Times New Roman"/>
                <w:color w:val="000000"/>
                <w:sz w:val="20"/>
                <w:szCs w:val="20"/>
              </w:rPr>
              <w:t>Kelly A. Romano</w:t>
            </w:r>
          </w:p>
        </w:tc>
        <w:tc>
          <w:tcPr>
            <w:tcW w:w="0" w:type="auto"/>
            <w:gridSpan w:val="3"/>
            <w:tcMar>
              <w:top w:w="0" w:type="dxa"/>
              <w:left w:w="20" w:type="dxa"/>
              <w:bottom w:w="0" w:type="dxa"/>
              <w:right w:w="20" w:type="dxa"/>
            </w:tcMar>
            <w:vAlign w:val="center"/>
            <w:hideMark/>
          </w:tcPr>
          <w:p w14:paraId="76E15169" w14:textId="77777777" w:rsidR="00000000" w:rsidRDefault="00C1661D">
            <w:pPr>
              <w:spacing w:after="100"/>
              <w:rPr>
                <w:rFonts w:eastAsia="Times New Roman"/>
              </w:rPr>
            </w:pPr>
          </w:p>
        </w:tc>
        <w:tc>
          <w:tcPr>
            <w:tcW w:w="0" w:type="auto"/>
            <w:gridSpan w:val="3"/>
            <w:vMerge/>
            <w:vAlign w:val="center"/>
            <w:hideMark/>
          </w:tcPr>
          <w:p w14:paraId="3CFD0FA6" w14:textId="77777777" w:rsidR="00000000" w:rsidRDefault="00C1661D">
            <w:pPr>
              <w:spacing w:after="100"/>
              <w:rPr>
                <w:rFonts w:eastAsia="Times New Roman"/>
              </w:rPr>
            </w:pPr>
          </w:p>
        </w:tc>
      </w:tr>
      <w:tr w:rsidR="00000000" w14:paraId="7095D35C" w14:textId="77777777">
        <w:trPr>
          <w:trHeight w:val="60"/>
          <w:jc w:val="center"/>
        </w:trPr>
        <w:tc>
          <w:tcPr>
            <w:tcW w:w="0" w:type="auto"/>
            <w:gridSpan w:val="3"/>
            <w:tcMar>
              <w:top w:w="0" w:type="dxa"/>
              <w:left w:w="20" w:type="dxa"/>
              <w:bottom w:w="0" w:type="dxa"/>
              <w:right w:w="20" w:type="dxa"/>
            </w:tcMar>
            <w:vAlign w:val="center"/>
            <w:hideMark/>
          </w:tcPr>
          <w:p w14:paraId="762FD841"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881CCB"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C54FDF" w14:textId="77777777" w:rsidR="00000000" w:rsidRDefault="00C1661D">
            <w:pPr>
              <w:spacing w:after="100"/>
              <w:rPr>
                <w:rFonts w:eastAsia="Times New Roman"/>
                <w:sz w:val="20"/>
                <w:szCs w:val="20"/>
              </w:rPr>
            </w:pPr>
          </w:p>
        </w:tc>
      </w:tr>
      <w:tr w:rsidR="00000000" w14:paraId="0C0912DE" w14:textId="77777777">
        <w:trPr>
          <w:trHeight w:val="280"/>
          <w:jc w:val="center"/>
        </w:trPr>
        <w:tc>
          <w:tcPr>
            <w:tcW w:w="0" w:type="auto"/>
            <w:gridSpan w:val="3"/>
            <w:tcMar>
              <w:top w:w="30" w:type="dxa"/>
              <w:left w:w="20" w:type="dxa"/>
              <w:bottom w:w="30" w:type="dxa"/>
              <w:right w:w="20" w:type="dxa"/>
            </w:tcMar>
            <w:vAlign w:val="bottom"/>
            <w:hideMark/>
          </w:tcPr>
          <w:p w14:paraId="3EDA56D9" w14:textId="77777777" w:rsidR="00000000" w:rsidRDefault="00C1661D">
            <w:pPr>
              <w:spacing w:after="100"/>
              <w:rPr>
                <w:rFonts w:eastAsia="Times New Roman"/>
              </w:rPr>
            </w:pPr>
            <w:r>
              <w:rPr>
                <w:rFonts w:eastAsia="Times New Roman"/>
                <w:color w:val="000000"/>
                <w:sz w:val="20"/>
                <w:szCs w:val="20"/>
              </w:rPr>
              <w:t>/s/ James B. Stallings, Jr.</w:t>
            </w:r>
          </w:p>
        </w:tc>
        <w:tc>
          <w:tcPr>
            <w:tcW w:w="0" w:type="auto"/>
            <w:gridSpan w:val="3"/>
            <w:tcMar>
              <w:top w:w="30" w:type="dxa"/>
              <w:left w:w="20" w:type="dxa"/>
              <w:bottom w:w="30" w:type="dxa"/>
              <w:right w:w="20" w:type="dxa"/>
            </w:tcMar>
            <w:vAlign w:val="bottom"/>
            <w:hideMark/>
          </w:tcPr>
          <w:p w14:paraId="5942A85C" w14:textId="77777777" w:rsidR="00000000" w:rsidRDefault="00C1661D">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hideMark/>
          </w:tcPr>
          <w:p w14:paraId="6D41AFFB" w14:textId="77777777" w:rsidR="00000000" w:rsidRDefault="00C1661D">
            <w:pPr>
              <w:spacing w:after="100"/>
              <w:rPr>
                <w:rFonts w:eastAsia="Times New Roman"/>
              </w:rPr>
            </w:pPr>
            <w:r>
              <w:rPr>
                <w:rFonts w:eastAsia="Times New Roman"/>
                <w:color w:val="000000"/>
                <w:sz w:val="20"/>
                <w:szCs w:val="20"/>
              </w:rPr>
              <w:t>Director</w:t>
            </w:r>
          </w:p>
        </w:tc>
      </w:tr>
      <w:tr w:rsidR="00000000" w14:paraId="7BED7D56" w14:textId="77777777">
        <w:trPr>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14:paraId="53258AAA" w14:textId="77777777" w:rsidR="00000000" w:rsidRDefault="00C1661D">
            <w:pPr>
              <w:spacing w:after="100"/>
              <w:rPr>
                <w:rFonts w:eastAsia="Times New Roman"/>
              </w:rPr>
            </w:pPr>
            <w:r>
              <w:rPr>
                <w:rFonts w:eastAsia="Times New Roman"/>
                <w:color w:val="000000"/>
                <w:sz w:val="20"/>
                <w:szCs w:val="20"/>
              </w:rPr>
              <w:t>James B. Stallings, Jr.</w:t>
            </w:r>
          </w:p>
        </w:tc>
        <w:tc>
          <w:tcPr>
            <w:tcW w:w="0" w:type="auto"/>
            <w:gridSpan w:val="3"/>
            <w:tcMar>
              <w:top w:w="0" w:type="dxa"/>
              <w:left w:w="20" w:type="dxa"/>
              <w:bottom w:w="0" w:type="dxa"/>
              <w:right w:w="20" w:type="dxa"/>
            </w:tcMar>
            <w:vAlign w:val="center"/>
            <w:hideMark/>
          </w:tcPr>
          <w:p w14:paraId="6245888D" w14:textId="77777777" w:rsidR="00000000" w:rsidRDefault="00C1661D">
            <w:pPr>
              <w:spacing w:after="100"/>
              <w:rPr>
                <w:rFonts w:eastAsia="Times New Roman"/>
              </w:rPr>
            </w:pPr>
          </w:p>
        </w:tc>
        <w:tc>
          <w:tcPr>
            <w:tcW w:w="0" w:type="auto"/>
            <w:gridSpan w:val="3"/>
            <w:vMerge/>
            <w:vAlign w:val="center"/>
            <w:hideMark/>
          </w:tcPr>
          <w:p w14:paraId="20947F89" w14:textId="77777777" w:rsidR="00000000" w:rsidRDefault="00C1661D">
            <w:pPr>
              <w:spacing w:after="100"/>
              <w:rPr>
                <w:rFonts w:eastAsia="Times New Roman"/>
              </w:rPr>
            </w:pPr>
          </w:p>
        </w:tc>
      </w:tr>
      <w:tr w:rsidR="00000000" w14:paraId="4A6D2528" w14:textId="77777777">
        <w:trPr>
          <w:trHeight w:val="60"/>
          <w:jc w:val="center"/>
        </w:trPr>
        <w:tc>
          <w:tcPr>
            <w:tcW w:w="0" w:type="auto"/>
            <w:gridSpan w:val="3"/>
            <w:tcMar>
              <w:top w:w="0" w:type="dxa"/>
              <w:left w:w="20" w:type="dxa"/>
              <w:bottom w:w="0" w:type="dxa"/>
              <w:right w:w="20" w:type="dxa"/>
            </w:tcMar>
            <w:vAlign w:val="center"/>
            <w:hideMark/>
          </w:tcPr>
          <w:p w14:paraId="60EE52E3"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EEB80A"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172EDA" w14:textId="77777777" w:rsidR="00000000" w:rsidRDefault="00C1661D">
            <w:pPr>
              <w:spacing w:after="100"/>
              <w:rPr>
                <w:rFonts w:eastAsia="Times New Roman"/>
                <w:sz w:val="20"/>
                <w:szCs w:val="20"/>
              </w:rPr>
            </w:pPr>
          </w:p>
        </w:tc>
      </w:tr>
      <w:tr w:rsidR="00000000" w14:paraId="046C784D" w14:textId="77777777">
        <w:trPr>
          <w:trHeight w:val="280"/>
          <w:jc w:val="center"/>
        </w:trPr>
        <w:tc>
          <w:tcPr>
            <w:tcW w:w="0" w:type="auto"/>
            <w:gridSpan w:val="3"/>
            <w:tcMar>
              <w:top w:w="30" w:type="dxa"/>
              <w:left w:w="20" w:type="dxa"/>
              <w:bottom w:w="30" w:type="dxa"/>
              <w:right w:w="20" w:type="dxa"/>
            </w:tcMar>
            <w:hideMark/>
          </w:tcPr>
          <w:p w14:paraId="58373FB4" w14:textId="77777777" w:rsidR="00000000" w:rsidRDefault="00C1661D">
            <w:pPr>
              <w:spacing w:after="100"/>
              <w:rPr>
                <w:rFonts w:eastAsia="Times New Roman"/>
              </w:rPr>
            </w:pPr>
            <w:r>
              <w:rPr>
                <w:rFonts w:eastAsia="Times New Roman"/>
                <w:color w:val="000000"/>
                <w:sz w:val="20"/>
                <w:szCs w:val="20"/>
              </w:rPr>
              <w:t>/s/ John L. Walsh</w:t>
            </w:r>
          </w:p>
        </w:tc>
        <w:tc>
          <w:tcPr>
            <w:tcW w:w="0" w:type="auto"/>
            <w:gridSpan w:val="3"/>
            <w:tcMar>
              <w:top w:w="0" w:type="dxa"/>
              <w:left w:w="20" w:type="dxa"/>
              <w:bottom w:w="0" w:type="dxa"/>
              <w:right w:w="20" w:type="dxa"/>
            </w:tcMar>
            <w:vAlign w:val="center"/>
            <w:hideMark/>
          </w:tcPr>
          <w:p w14:paraId="5A93C3DE" w14:textId="77777777" w:rsidR="00000000" w:rsidRDefault="00C1661D">
            <w:pPr>
              <w:spacing w:after="100"/>
              <w:rPr>
                <w:rFonts w:eastAsia="Times New Roman"/>
              </w:rPr>
            </w:pPr>
          </w:p>
        </w:tc>
        <w:tc>
          <w:tcPr>
            <w:tcW w:w="0" w:type="auto"/>
            <w:gridSpan w:val="3"/>
            <w:vMerge w:val="restart"/>
            <w:tcMar>
              <w:top w:w="30" w:type="dxa"/>
              <w:left w:w="20" w:type="dxa"/>
              <w:bottom w:w="30" w:type="dxa"/>
              <w:right w:w="20" w:type="dxa"/>
            </w:tcMar>
            <w:hideMark/>
          </w:tcPr>
          <w:p w14:paraId="71CDEF91" w14:textId="77777777" w:rsidR="00000000" w:rsidRDefault="00C1661D">
            <w:pPr>
              <w:spacing w:after="100"/>
              <w:rPr>
                <w:rFonts w:eastAsia="Times New Roman"/>
              </w:rPr>
            </w:pPr>
            <w:r>
              <w:rPr>
                <w:rFonts w:eastAsia="Times New Roman"/>
                <w:color w:val="000000"/>
                <w:sz w:val="20"/>
                <w:szCs w:val="20"/>
              </w:rPr>
              <w:t>Director</w:t>
            </w:r>
          </w:p>
        </w:tc>
      </w:tr>
      <w:tr w:rsidR="00000000" w14:paraId="3D03B052" w14:textId="77777777">
        <w:trPr>
          <w:trHeight w:val="280"/>
          <w:jc w:val="center"/>
        </w:trPr>
        <w:tc>
          <w:tcPr>
            <w:tcW w:w="0" w:type="auto"/>
            <w:gridSpan w:val="3"/>
            <w:tcBorders>
              <w:top w:val="single" w:sz="8" w:space="0" w:color="000000"/>
            </w:tcBorders>
            <w:tcMar>
              <w:top w:w="30" w:type="dxa"/>
              <w:left w:w="20" w:type="dxa"/>
              <w:bottom w:w="30" w:type="dxa"/>
              <w:right w:w="20" w:type="dxa"/>
            </w:tcMar>
            <w:hideMark/>
          </w:tcPr>
          <w:p w14:paraId="504FE7BB" w14:textId="77777777" w:rsidR="00000000" w:rsidRDefault="00C1661D">
            <w:pPr>
              <w:spacing w:after="100"/>
              <w:rPr>
                <w:rFonts w:eastAsia="Times New Roman"/>
              </w:rPr>
            </w:pPr>
            <w:r>
              <w:rPr>
                <w:rFonts w:eastAsia="Times New Roman"/>
                <w:color w:val="000000"/>
                <w:sz w:val="20"/>
                <w:szCs w:val="20"/>
              </w:rPr>
              <w:t>John L. Walsh</w:t>
            </w:r>
          </w:p>
        </w:tc>
        <w:tc>
          <w:tcPr>
            <w:tcW w:w="0" w:type="auto"/>
            <w:gridSpan w:val="3"/>
            <w:tcMar>
              <w:top w:w="0" w:type="dxa"/>
              <w:left w:w="20" w:type="dxa"/>
              <w:bottom w:w="0" w:type="dxa"/>
              <w:right w:w="20" w:type="dxa"/>
            </w:tcMar>
            <w:vAlign w:val="center"/>
            <w:hideMark/>
          </w:tcPr>
          <w:p w14:paraId="2479CEE5" w14:textId="77777777" w:rsidR="00000000" w:rsidRDefault="00C1661D">
            <w:pPr>
              <w:spacing w:after="100"/>
              <w:rPr>
                <w:rFonts w:eastAsia="Times New Roman"/>
              </w:rPr>
            </w:pPr>
          </w:p>
        </w:tc>
        <w:tc>
          <w:tcPr>
            <w:tcW w:w="0" w:type="auto"/>
            <w:gridSpan w:val="3"/>
            <w:vMerge/>
            <w:vAlign w:val="center"/>
            <w:hideMark/>
          </w:tcPr>
          <w:p w14:paraId="7002F87C" w14:textId="77777777" w:rsidR="00000000" w:rsidRDefault="00C1661D">
            <w:pPr>
              <w:spacing w:after="100"/>
              <w:rPr>
                <w:rFonts w:eastAsia="Times New Roman"/>
              </w:rPr>
            </w:pPr>
          </w:p>
        </w:tc>
      </w:tr>
    </w:tbl>
    <w:p w14:paraId="51901C9E" w14:textId="77777777" w:rsidR="00000000" w:rsidRDefault="00C1661D">
      <w:pPr>
        <w:divId w:val="336809709"/>
        <w:rPr>
          <w:rFonts w:eastAsia="Times New Roman"/>
        </w:rPr>
      </w:pPr>
    </w:p>
    <w:p w14:paraId="20A6C9A5" w14:textId="77777777" w:rsidR="00000000" w:rsidRDefault="00C1661D">
      <w:pPr>
        <w:jc w:val="center"/>
        <w:divId w:val="1892616450"/>
        <w:rPr>
          <w:rFonts w:eastAsia="Times New Roman"/>
        </w:rPr>
      </w:pPr>
      <w:r>
        <w:rPr>
          <w:rFonts w:eastAsia="Times New Roman"/>
          <w:color w:val="000000"/>
          <w:sz w:val="20"/>
          <w:szCs w:val="20"/>
        </w:rPr>
        <w:t>86</w:t>
      </w:r>
    </w:p>
    <w:p w14:paraId="3992762A" w14:textId="77777777" w:rsidR="00000000" w:rsidRDefault="00C1661D">
      <w:pPr>
        <w:rPr>
          <w:rFonts w:eastAsia="Times New Roman"/>
        </w:rPr>
      </w:pPr>
      <w:r>
        <w:rPr>
          <w:rFonts w:eastAsia="Times New Roman"/>
        </w:rPr>
        <w:pict w14:anchorId="4C6547C3">
          <v:rect id="_x0000_i1113" style="width:0;height:1.5pt" o:hralign="center" o:hrstd="t" o:hr="t" fillcolor="#a0a0a0" stroked="f"/>
        </w:pict>
      </w:r>
    </w:p>
    <w:p w14:paraId="42CBFE14" w14:textId="77777777" w:rsidR="00000000" w:rsidRDefault="00C1661D">
      <w:pPr>
        <w:divId w:val="1296368891"/>
        <w:rPr>
          <w:rFonts w:eastAsia="Times New Roman"/>
        </w:rPr>
      </w:pPr>
      <w:hyperlink w:anchor="i3850c3c6c0104e42b9951aac2f16098a_7" w:history="1">
        <w:r>
          <w:rPr>
            <w:rStyle w:val="a3"/>
            <w:rFonts w:eastAsia="Times New Roman"/>
            <w:b/>
            <w:bCs/>
            <w:sz w:val="20"/>
            <w:szCs w:val="20"/>
          </w:rPr>
          <w:t>Table of Contents</w:t>
        </w:r>
      </w:hyperlink>
    </w:p>
    <w:p w14:paraId="26DF106C" w14:textId="77777777" w:rsidR="00000000" w:rsidRDefault="00C1661D">
      <w:pPr>
        <w:jc w:val="center"/>
        <w:divId w:val="1687517799"/>
        <w:rPr>
          <w:rFonts w:eastAsia="Times New Roman"/>
        </w:rPr>
      </w:pPr>
      <w:r>
        <w:rPr>
          <w:rFonts w:eastAsia="Times New Roman"/>
          <w:b/>
          <w:bCs/>
          <w:color w:val="000000"/>
          <w:sz w:val="20"/>
          <w:szCs w:val="20"/>
        </w:rPr>
        <w:t>UGI CORPORATION AND SUBSIDIARIES</w:t>
      </w:r>
    </w:p>
    <w:p w14:paraId="5685B9D4" w14:textId="77777777" w:rsidR="00000000" w:rsidRDefault="00C1661D">
      <w:pPr>
        <w:jc w:val="center"/>
        <w:divId w:val="1956790177"/>
        <w:rPr>
          <w:rFonts w:eastAsia="Times New Roman"/>
        </w:rPr>
      </w:pPr>
      <w:r>
        <w:rPr>
          <w:rFonts w:eastAsia="Times New Roman"/>
          <w:color w:val="000000"/>
          <w:sz w:val="20"/>
          <w:szCs w:val="20"/>
        </w:rPr>
        <w:t>FINANCIAL INFORMATION</w:t>
      </w:r>
    </w:p>
    <w:p w14:paraId="6336D580" w14:textId="77777777" w:rsidR="00000000" w:rsidRDefault="00C1661D">
      <w:pPr>
        <w:jc w:val="center"/>
        <w:divId w:val="196357725"/>
        <w:rPr>
          <w:rFonts w:eastAsia="Times New Roman"/>
        </w:rPr>
      </w:pPr>
      <w:r>
        <w:rPr>
          <w:rFonts w:eastAsia="Times New Roman"/>
          <w:color w:val="000000"/>
          <w:sz w:val="20"/>
          <w:szCs w:val="20"/>
        </w:rPr>
        <w:t>FOR INCLUSION IN ANNUAL REPORT ON FORM 10-K</w:t>
      </w:r>
    </w:p>
    <w:p w14:paraId="49A98763" w14:textId="77777777" w:rsidR="00000000" w:rsidRDefault="00C1661D">
      <w:pPr>
        <w:jc w:val="center"/>
        <w:divId w:val="863206339"/>
        <w:rPr>
          <w:rFonts w:eastAsia="Times New Roman"/>
        </w:rPr>
      </w:pPr>
      <w:r>
        <w:rPr>
          <w:rFonts w:eastAsia="Times New Roman"/>
          <w:color w:val="000000"/>
          <w:sz w:val="20"/>
          <w:szCs w:val="20"/>
        </w:rPr>
        <w:t xml:space="preserve">YEAR ENDED SEPTEMBER 30, 2022 </w:t>
      </w:r>
    </w:p>
    <w:p w14:paraId="07BBAC6C" w14:textId="77777777" w:rsidR="00000000" w:rsidRDefault="00C1661D">
      <w:pPr>
        <w:jc w:val="center"/>
        <w:rPr>
          <w:rFonts w:eastAsia="Times New Roman"/>
        </w:rPr>
      </w:pPr>
    </w:p>
    <w:p w14:paraId="45D25B57" w14:textId="77777777" w:rsidR="00000000" w:rsidRDefault="00C1661D">
      <w:pPr>
        <w:jc w:val="center"/>
        <w:divId w:val="371611419"/>
        <w:rPr>
          <w:rFonts w:eastAsia="Times New Roman"/>
        </w:rPr>
      </w:pPr>
      <w:r>
        <w:rPr>
          <w:rFonts w:eastAsia="Times New Roman"/>
          <w:color w:val="000000"/>
          <w:sz w:val="20"/>
          <w:szCs w:val="20"/>
        </w:rPr>
        <w:t>F-1</w:t>
      </w:r>
    </w:p>
    <w:p w14:paraId="3206E39C" w14:textId="77777777" w:rsidR="00000000" w:rsidRDefault="00C1661D">
      <w:pPr>
        <w:rPr>
          <w:rFonts w:eastAsia="Times New Roman"/>
        </w:rPr>
      </w:pPr>
      <w:r>
        <w:rPr>
          <w:rFonts w:eastAsia="Times New Roman"/>
        </w:rPr>
        <w:pict w14:anchorId="647ED669">
          <v:rect id="_x0000_i1114" style="width:0;height:1.5pt" o:hralign="center" o:hrstd="t" o:hr="t" fillcolor="#a0a0a0" stroked="f"/>
        </w:pict>
      </w:r>
    </w:p>
    <w:p w14:paraId="4D56AAB1" w14:textId="77777777" w:rsidR="00000000" w:rsidRDefault="00C1661D">
      <w:pPr>
        <w:divId w:val="1230268604"/>
        <w:rPr>
          <w:rFonts w:eastAsia="Times New Roman"/>
        </w:rPr>
      </w:pPr>
      <w:hyperlink w:anchor="i3850c3c6c0104e42b9951aac2f16098a_7" w:history="1">
        <w:r>
          <w:rPr>
            <w:rStyle w:val="a3"/>
            <w:rFonts w:eastAsia="Times New Roman"/>
            <w:b/>
            <w:bCs/>
            <w:sz w:val="20"/>
            <w:szCs w:val="20"/>
          </w:rPr>
          <w:t>Table of Contents</w:t>
        </w:r>
      </w:hyperlink>
    </w:p>
    <w:p w14:paraId="10DF2C09" w14:textId="77777777" w:rsidR="00000000" w:rsidRDefault="00C1661D">
      <w:pPr>
        <w:jc w:val="center"/>
        <w:rPr>
          <w:rFonts w:eastAsia="Times New Roman"/>
        </w:rPr>
      </w:pPr>
      <w:r>
        <w:rPr>
          <w:rFonts w:eastAsia="Times New Roman"/>
          <w:color w:val="000000"/>
          <w:sz w:val="20"/>
          <w:szCs w:val="20"/>
        </w:rPr>
        <w:t>UGI CORPORATION AND SUBSIDIARIES</w:t>
      </w:r>
    </w:p>
    <w:p w14:paraId="5CA8FFAD" w14:textId="77777777" w:rsidR="00000000" w:rsidRDefault="00C1661D">
      <w:pPr>
        <w:jc w:val="center"/>
        <w:rPr>
          <w:rFonts w:eastAsia="Times New Roman"/>
        </w:rPr>
      </w:pPr>
      <w:r>
        <w:rPr>
          <w:rFonts w:eastAsia="Times New Roman"/>
          <w:color w:val="000000"/>
          <w:sz w:val="20"/>
          <w:szCs w:val="20"/>
        </w:rPr>
        <w:t>INDEX TO FINANCIAL STATEMENTS AND FINANCIAL STATEMENT SCHEDULES</w:t>
      </w:r>
    </w:p>
    <w:tbl>
      <w:tblPr>
        <w:tblW w:w="10230" w:type="dxa"/>
        <w:jc w:val="center"/>
        <w:tblCellMar>
          <w:top w:w="15" w:type="dxa"/>
          <w:left w:w="15" w:type="dxa"/>
          <w:bottom w:w="15" w:type="dxa"/>
          <w:right w:w="15" w:type="dxa"/>
        </w:tblCellMar>
        <w:tblLook w:val="04A0" w:firstRow="1" w:lastRow="0" w:firstColumn="1" w:lastColumn="0" w:noHBand="0" w:noVBand="1"/>
      </w:tblPr>
      <w:tblGrid>
        <w:gridCol w:w="36"/>
        <w:gridCol w:w="9036"/>
        <w:gridCol w:w="36"/>
        <w:gridCol w:w="36"/>
        <w:gridCol w:w="1050"/>
        <w:gridCol w:w="36"/>
      </w:tblGrid>
      <w:tr w:rsidR="00000000" w14:paraId="19981A62" w14:textId="77777777">
        <w:trPr>
          <w:jc w:val="center"/>
        </w:trPr>
        <w:tc>
          <w:tcPr>
            <w:tcW w:w="20" w:type="dxa"/>
            <w:vAlign w:val="center"/>
            <w:hideMark/>
          </w:tcPr>
          <w:p w14:paraId="5A6588B5" w14:textId="77777777" w:rsidR="00000000" w:rsidRDefault="00C1661D">
            <w:pPr>
              <w:jc w:val="center"/>
              <w:rPr>
                <w:rFonts w:eastAsia="Times New Roman"/>
              </w:rPr>
            </w:pPr>
          </w:p>
        </w:tc>
        <w:tc>
          <w:tcPr>
            <w:tcW w:w="9095" w:type="dxa"/>
            <w:vAlign w:val="center"/>
            <w:hideMark/>
          </w:tcPr>
          <w:p w14:paraId="043A6113" w14:textId="77777777" w:rsidR="00000000" w:rsidRDefault="00C1661D">
            <w:pPr>
              <w:spacing w:after="100"/>
              <w:rPr>
                <w:rFonts w:eastAsia="Times New Roman"/>
                <w:sz w:val="20"/>
                <w:szCs w:val="20"/>
              </w:rPr>
            </w:pPr>
          </w:p>
        </w:tc>
        <w:tc>
          <w:tcPr>
            <w:tcW w:w="20" w:type="dxa"/>
            <w:vAlign w:val="center"/>
            <w:hideMark/>
          </w:tcPr>
          <w:p w14:paraId="4EAAB6CC" w14:textId="77777777" w:rsidR="00000000" w:rsidRDefault="00C1661D">
            <w:pPr>
              <w:spacing w:after="100"/>
              <w:rPr>
                <w:rFonts w:eastAsia="Times New Roman"/>
                <w:sz w:val="20"/>
                <w:szCs w:val="20"/>
              </w:rPr>
            </w:pPr>
          </w:p>
        </w:tc>
        <w:tc>
          <w:tcPr>
            <w:tcW w:w="20" w:type="dxa"/>
            <w:vAlign w:val="center"/>
            <w:hideMark/>
          </w:tcPr>
          <w:p w14:paraId="06337FFD" w14:textId="77777777" w:rsidR="00000000" w:rsidRDefault="00C1661D">
            <w:pPr>
              <w:spacing w:after="100"/>
              <w:rPr>
                <w:rFonts w:eastAsia="Times New Roman"/>
                <w:sz w:val="20"/>
                <w:szCs w:val="20"/>
              </w:rPr>
            </w:pPr>
          </w:p>
        </w:tc>
        <w:tc>
          <w:tcPr>
            <w:tcW w:w="1055" w:type="dxa"/>
            <w:vAlign w:val="center"/>
            <w:hideMark/>
          </w:tcPr>
          <w:p w14:paraId="00C1B227" w14:textId="77777777" w:rsidR="00000000" w:rsidRDefault="00C1661D">
            <w:pPr>
              <w:spacing w:after="100"/>
              <w:rPr>
                <w:rFonts w:eastAsia="Times New Roman"/>
                <w:sz w:val="20"/>
                <w:szCs w:val="20"/>
              </w:rPr>
            </w:pPr>
          </w:p>
        </w:tc>
        <w:tc>
          <w:tcPr>
            <w:tcW w:w="20" w:type="dxa"/>
            <w:vAlign w:val="center"/>
            <w:hideMark/>
          </w:tcPr>
          <w:p w14:paraId="21DC4036" w14:textId="77777777" w:rsidR="00000000" w:rsidRDefault="00C1661D">
            <w:pPr>
              <w:spacing w:after="100"/>
              <w:rPr>
                <w:rFonts w:eastAsia="Times New Roman"/>
                <w:sz w:val="20"/>
                <w:szCs w:val="20"/>
              </w:rPr>
            </w:pPr>
          </w:p>
        </w:tc>
      </w:tr>
      <w:tr w:rsidR="00000000" w14:paraId="23A09AC4" w14:textId="77777777">
        <w:trPr>
          <w:trHeight w:val="300"/>
          <w:jc w:val="center"/>
        </w:trPr>
        <w:tc>
          <w:tcPr>
            <w:tcW w:w="0" w:type="auto"/>
            <w:gridSpan w:val="3"/>
            <w:tcMar>
              <w:top w:w="30" w:type="dxa"/>
              <w:left w:w="20" w:type="dxa"/>
              <w:bottom w:w="30" w:type="dxa"/>
              <w:right w:w="20" w:type="dxa"/>
            </w:tcMar>
            <w:vAlign w:val="bottom"/>
            <w:hideMark/>
          </w:tcPr>
          <w:p w14:paraId="7B38DA82"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F239890" w14:textId="77777777" w:rsidR="00000000" w:rsidRDefault="00C1661D">
            <w:pPr>
              <w:spacing w:after="100"/>
              <w:jc w:val="center"/>
              <w:rPr>
                <w:rFonts w:eastAsia="Times New Roman"/>
              </w:rPr>
            </w:pPr>
            <w:r>
              <w:rPr>
                <w:rFonts w:eastAsia="Times New Roman"/>
                <w:color w:val="000000"/>
                <w:sz w:val="20"/>
                <w:szCs w:val="20"/>
              </w:rPr>
              <w:t>Pages</w:t>
            </w:r>
          </w:p>
        </w:tc>
      </w:tr>
      <w:tr w:rsidR="00000000" w14:paraId="5AF4538A" w14:textId="77777777">
        <w:trPr>
          <w:trHeight w:val="60"/>
          <w:jc w:val="center"/>
        </w:trPr>
        <w:tc>
          <w:tcPr>
            <w:tcW w:w="0" w:type="auto"/>
            <w:gridSpan w:val="3"/>
            <w:tcMar>
              <w:top w:w="0" w:type="dxa"/>
              <w:left w:w="20" w:type="dxa"/>
              <w:bottom w:w="0" w:type="dxa"/>
              <w:right w:w="20" w:type="dxa"/>
            </w:tcMar>
            <w:vAlign w:val="center"/>
            <w:hideMark/>
          </w:tcPr>
          <w:p w14:paraId="635E0B7F" w14:textId="77777777" w:rsidR="00000000" w:rsidRDefault="00C1661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9EBED1E" w14:textId="77777777" w:rsidR="00000000" w:rsidRDefault="00C1661D">
            <w:pPr>
              <w:spacing w:after="100"/>
              <w:rPr>
                <w:rFonts w:eastAsia="Times New Roman"/>
                <w:sz w:val="20"/>
                <w:szCs w:val="20"/>
              </w:rPr>
            </w:pPr>
          </w:p>
        </w:tc>
      </w:tr>
      <w:tr w:rsidR="00000000" w14:paraId="7F73DA93" w14:textId="77777777">
        <w:trPr>
          <w:trHeight w:val="300"/>
          <w:jc w:val="center"/>
        </w:trPr>
        <w:tc>
          <w:tcPr>
            <w:tcW w:w="0" w:type="auto"/>
            <w:gridSpan w:val="3"/>
            <w:tcMar>
              <w:top w:w="30" w:type="dxa"/>
              <w:left w:w="20" w:type="dxa"/>
              <w:bottom w:w="30" w:type="dxa"/>
              <w:right w:w="20" w:type="dxa"/>
            </w:tcMar>
            <w:vAlign w:val="bottom"/>
            <w:hideMark/>
          </w:tcPr>
          <w:p w14:paraId="6A35C573" w14:textId="77777777" w:rsidR="00000000" w:rsidRDefault="00C1661D">
            <w:pPr>
              <w:spacing w:after="100"/>
              <w:divId w:val="275406754"/>
              <w:rPr>
                <w:rFonts w:eastAsia="Times New Roman"/>
              </w:rPr>
            </w:pPr>
            <w:hyperlink w:anchor="i3850c3c6c0104e42b9951aac2f16098a_136" w:history="1">
              <w:r>
                <w:rPr>
                  <w:rStyle w:val="a3"/>
                  <w:rFonts w:eastAsia="Times New Roman"/>
                  <w:sz w:val="20"/>
                  <w:szCs w:val="20"/>
                </w:rPr>
                <w:t>Management’s Annual Report on Consolidated Financial Statements and Schedules</w:t>
              </w:r>
            </w:hyperlink>
          </w:p>
        </w:tc>
        <w:tc>
          <w:tcPr>
            <w:tcW w:w="0" w:type="auto"/>
            <w:gridSpan w:val="3"/>
            <w:tcMar>
              <w:top w:w="30" w:type="dxa"/>
              <w:left w:w="20" w:type="dxa"/>
              <w:bottom w:w="30" w:type="dxa"/>
              <w:right w:w="20" w:type="dxa"/>
            </w:tcMar>
            <w:vAlign w:val="bottom"/>
            <w:hideMark/>
          </w:tcPr>
          <w:p w14:paraId="2BE4B155" w14:textId="77777777" w:rsidR="00000000" w:rsidRDefault="00C1661D">
            <w:pPr>
              <w:spacing w:after="100"/>
              <w:jc w:val="right"/>
              <w:rPr>
                <w:rFonts w:eastAsia="Times New Roman"/>
              </w:rPr>
            </w:pPr>
            <w:r>
              <w:rPr>
                <w:rFonts w:eastAsia="Times New Roman"/>
                <w:color w:val="000000"/>
                <w:sz w:val="20"/>
                <w:szCs w:val="20"/>
              </w:rPr>
              <w:t>F-</w:t>
            </w:r>
            <w:hyperlink w:anchor="i3850c3c6c0104e42b9951aac2f16098a_136" w:history="1">
              <w:r>
                <w:rPr>
                  <w:rStyle w:val="a3"/>
                  <w:rFonts w:eastAsia="Times New Roman"/>
                  <w:color w:val="000000"/>
                  <w:sz w:val="20"/>
                  <w:szCs w:val="20"/>
                  <w:u w:val="none"/>
                </w:rPr>
                <w:t>3</w:t>
              </w:r>
            </w:hyperlink>
          </w:p>
        </w:tc>
      </w:tr>
      <w:tr w:rsidR="00000000" w14:paraId="1BA23575" w14:textId="77777777">
        <w:trPr>
          <w:trHeight w:val="60"/>
          <w:jc w:val="center"/>
        </w:trPr>
        <w:tc>
          <w:tcPr>
            <w:tcW w:w="0" w:type="auto"/>
            <w:gridSpan w:val="3"/>
            <w:tcMar>
              <w:top w:w="0" w:type="dxa"/>
              <w:left w:w="20" w:type="dxa"/>
              <w:bottom w:w="0" w:type="dxa"/>
              <w:right w:w="20" w:type="dxa"/>
            </w:tcMar>
            <w:vAlign w:val="center"/>
            <w:hideMark/>
          </w:tcPr>
          <w:p w14:paraId="1A952B4C"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7AAB9AE" w14:textId="77777777" w:rsidR="00000000" w:rsidRDefault="00C1661D">
            <w:pPr>
              <w:spacing w:after="100"/>
              <w:rPr>
                <w:rFonts w:eastAsia="Times New Roman"/>
                <w:sz w:val="20"/>
                <w:szCs w:val="20"/>
              </w:rPr>
            </w:pPr>
          </w:p>
        </w:tc>
      </w:tr>
      <w:tr w:rsidR="00000000" w14:paraId="0DDE3260" w14:textId="77777777">
        <w:trPr>
          <w:trHeight w:val="300"/>
          <w:jc w:val="center"/>
        </w:trPr>
        <w:tc>
          <w:tcPr>
            <w:tcW w:w="0" w:type="auto"/>
            <w:gridSpan w:val="3"/>
            <w:tcMar>
              <w:top w:w="30" w:type="dxa"/>
              <w:left w:w="20" w:type="dxa"/>
              <w:bottom w:w="30" w:type="dxa"/>
              <w:right w:w="20" w:type="dxa"/>
            </w:tcMar>
            <w:vAlign w:val="bottom"/>
            <w:hideMark/>
          </w:tcPr>
          <w:p w14:paraId="38E99CE6" w14:textId="77777777" w:rsidR="00000000" w:rsidRDefault="00C1661D">
            <w:pPr>
              <w:spacing w:after="100"/>
              <w:divId w:val="1981568936"/>
              <w:rPr>
                <w:rFonts w:eastAsia="Times New Roman"/>
              </w:rPr>
            </w:pPr>
            <w:hyperlink w:anchor="i3850c3c6c0104e42b9951aac2f16098a_136" w:history="1">
              <w:r>
                <w:rPr>
                  <w:rStyle w:val="a3"/>
                  <w:rFonts w:eastAsia="Times New Roman"/>
                  <w:sz w:val="20"/>
                  <w:szCs w:val="20"/>
                </w:rPr>
                <w:t>Financial Statements:</w:t>
              </w:r>
            </w:hyperlink>
          </w:p>
        </w:tc>
        <w:tc>
          <w:tcPr>
            <w:tcW w:w="0" w:type="auto"/>
            <w:gridSpan w:val="3"/>
            <w:tcMar>
              <w:top w:w="30" w:type="dxa"/>
              <w:left w:w="20" w:type="dxa"/>
              <w:bottom w:w="30" w:type="dxa"/>
              <w:right w:w="20" w:type="dxa"/>
            </w:tcMar>
            <w:vAlign w:val="bottom"/>
            <w:hideMark/>
          </w:tcPr>
          <w:p w14:paraId="753503C2" w14:textId="77777777" w:rsidR="00000000" w:rsidRDefault="00C1661D">
            <w:pPr>
              <w:spacing w:after="100"/>
              <w:jc w:val="right"/>
              <w:rPr>
                <w:rFonts w:eastAsia="Times New Roman"/>
              </w:rPr>
            </w:pPr>
            <w:r>
              <w:rPr>
                <w:rFonts w:eastAsia="Times New Roman"/>
                <w:color w:val="000000"/>
                <w:sz w:val="20"/>
                <w:szCs w:val="20"/>
              </w:rPr>
              <w:t> </w:t>
            </w:r>
          </w:p>
        </w:tc>
      </w:tr>
      <w:tr w:rsidR="00000000" w14:paraId="1B58BD6A" w14:textId="77777777">
        <w:trPr>
          <w:trHeight w:val="60"/>
          <w:jc w:val="center"/>
        </w:trPr>
        <w:tc>
          <w:tcPr>
            <w:tcW w:w="0" w:type="auto"/>
            <w:gridSpan w:val="3"/>
            <w:tcMar>
              <w:top w:w="0" w:type="dxa"/>
              <w:left w:w="20" w:type="dxa"/>
              <w:bottom w:w="0" w:type="dxa"/>
              <w:right w:w="20" w:type="dxa"/>
            </w:tcMar>
            <w:vAlign w:val="center"/>
            <w:hideMark/>
          </w:tcPr>
          <w:p w14:paraId="203F3AF5"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4C597AE" w14:textId="77777777" w:rsidR="00000000" w:rsidRDefault="00C1661D">
            <w:pPr>
              <w:spacing w:after="100"/>
              <w:rPr>
                <w:rFonts w:eastAsia="Times New Roman"/>
                <w:sz w:val="20"/>
                <w:szCs w:val="20"/>
              </w:rPr>
            </w:pPr>
          </w:p>
        </w:tc>
      </w:tr>
      <w:tr w:rsidR="00000000" w14:paraId="6595CF0F" w14:textId="77777777">
        <w:trPr>
          <w:trHeight w:val="480"/>
          <w:jc w:val="center"/>
        </w:trPr>
        <w:tc>
          <w:tcPr>
            <w:tcW w:w="0" w:type="auto"/>
            <w:gridSpan w:val="3"/>
            <w:tcMar>
              <w:top w:w="30" w:type="dxa"/>
              <w:left w:w="20" w:type="dxa"/>
              <w:bottom w:w="30" w:type="dxa"/>
              <w:right w:w="20" w:type="dxa"/>
            </w:tcMar>
            <w:vAlign w:val="bottom"/>
            <w:hideMark/>
          </w:tcPr>
          <w:p w14:paraId="36673EC2" w14:textId="77777777" w:rsidR="00000000" w:rsidRDefault="00C1661D">
            <w:pPr>
              <w:spacing w:after="100"/>
              <w:divId w:val="1488130447"/>
              <w:rPr>
                <w:rFonts w:eastAsia="Times New Roman"/>
              </w:rPr>
            </w:pPr>
            <w:hyperlink w:anchor="i3850c3c6c0104e42b9951aac2f16098a_139" w:history="1">
              <w:r>
                <w:rPr>
                  <w:rStyle w:val="a3"/>
                  <w:rFonts w:eastAsia="Times New Roman"/>
                  <w:sz w:val="20"/>
                  <w:szCs w:val="20"/>
                </w:rPr>
                <w:t>Report of Independent Registered Public Accounting Firm (on Consolidated Financial Statements and Schedules)</w:t>
              </w:r>
            </w:hyperlink>
          </w:p>
        </w:tc>
        <w:tc>
          <w:tcPr>
            <w:tcW w:w="0" w:type="auto"/>
            <w:gridSpan w:val="3"/>
            <w:tcMar>
              <w:top w:w="30" w:type="dxa"/>
              <w:left w:w="20" w:type="dxa"/>
              <w:bottom w:w="30" w:type="dxa"/>
              <w:right w:w="20" w:type="dxa"/>
            </w:tcMar>
            <w:vAlign w:val="bottom"/>
            <w:hideMark/>
          </w:tcPr>
          <w:p w14:paraId="31DF7B9C" w14:textId="77777777" w:rsidR="00000000" w:rsidRDefault="00C1661D">
            <w:pPr>
              <w:spacing w:after="100"/>
              <w:jc w:val="right"/>
              <w:rPr>
                <w:rFonts w:eastAsia="Times New Roman"/>
              </w:rPr>
            </w:pPr>
            <w:r>
              <w:rPr>
                <w:rFonts w:eastAsia="Times New Roman"/>
                <w:color w:val="000000"/>
                <w:sz w:val="20"/>
                <w:szCs w:val="20"/>
              </w:rPr>
              <w:t>F-</w:t>
            </w:r>
            <w:hyperlink w:anchor="i3850c3c6c0104e42b9951aac2f16098a_139" w:history="1">
              <w:r>
                <w:rPr>
                  <w:rStyle w:val="a3"/>
                  <w:rFonts w:eastAsia="Times New Roman"/>
                  <w:color w:val="000000"/>
                  <w:sz w:val="20"/>
                  <w:szCs w:val="20"/>
                  <w:u w:val="none"/>
                </w:rPr>
                <w:t>4</w:t>
              </w:r>
            </w:hyperlink>
          </w:p>
        </w:tc>
      </w:tr>
      <w:tr w:rsidR="00000000" w14:paraId="7F478B94" w14:textId="77777777">
        <w:trPr>
          <w:trHeight w:val="60"/>
          <w:jc w:val="center"/>
        </w:trPr>
        <w:tc>
          <w:tcPr>
            <w:tcW w:w="0" w:type="auto"/>
            <w:gridSpan w:val="3"/>
            <w:tcMar>
              <w:top w:w="0" w:type="dxa"/>
              <w:left w:w="20" w:type="dxa"/>
              <w:bottom w:w="0" w:type="dxa"/>
              <w:right w:w="20" w:type="dxa"/>
            </w:tcMar>
            <w:vAlign w:val="center"/>
            <w:hideMark/>
          </w:tcPr>
          <w:p w14:paraId="3F3565EA"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E939852" w14:textId="77777777" w:rsidR="00000000" w:rsidRDefault="00C1661D">
            <w:pPr>
              <w:spacing w:after="100"/>
              <w:rPr>
                <w:rFonts w:eastAsia="Times New Roman"/>
                <w:sz w:val="20"/>
                <w:szCs w:val="20"/>
              </w:rPr>
            </w:pPr>
          </w:p>
        </w:tc>
      </w:tr>
      <w:tr w:rsidR="00000000" w14:paraId="50EC995A" w14:textId="77777777">
        <w:trPr>
          <w:trHeight w:val="300"/>
          <w:jc w:val="center"/>
        </w:trPr>
        <w:tc>
          <w:tcPr>
            <w:tcW w:w="0" w:type="auto"/>
            <w:gridSpan w:val="3"/>
            <w:tcMar>
              <w:top w:w="30" w:type="dxa"/>
              <w:left w:w="20" w:type="dxa"/>
              <w:bottom w:w="30" w:type="dxa"/>
              <w:right w:w="20" w:type="dxa"/>
            </w:tcMar>
            <w:vAlign w:val="bottom"/>
            <w:hideMark/>
          </w:tcPr>
          <w:p w14:paraId="76C2AE77" w14:textId="77777777" w:rsidR="00000000" w:rsidRDefault="00C1661D">
            <w:pPr>
              <w:spacing w:after="100"/>
              <w:divId w:val="971711613"/>
              <w:rPr>
                <w:rFonts w:eastAsia="Times New Roman"/>
              </w:rPr>
            </w:pPr>
            <w:hyperlink w:anchor="i3850c3c6c0104e42b9951aac2f16098a_142" w:history="1">
              <w:r>
                <w:rPr>
                  <w:rStyle w:val="a3"/>
                  <w:rFonts w:eastAsia="Times New Roman"/>
                  <w:sz w:val="20"/>
                  <w:szCs w:val="20"/>
                </w:rPr>
                <w:t>Consolidate</w:t>
              </w:r>
              <w:r>
                <w:rPr>
                  <w:rStyle w:val="a3"/>
                  <w:rFonts w:eastAsia="Times New Roman"/>
                  <w:sz w:val="20"/>
                  <w:szCs w:val="20"/>
                </w:rPr>
                <w:t>d Balance Sheets as of September 30, 2022 and 2021</w:t>
              </w:r>
            </w:hyperlink>
          </w:p>
        </w:tc>
        <w:tc>
          <w:tcPr>
            <w:tcW w:w="0" w:type="auto"/>
            <w:gridSpan w:val="3"/>
            <w:tcMar>
              <w:top w:w="30" w:type="dxa"/>
              <w:left w:w="20" w:type="dxa"/>
              <w:bottom w:w="30" w:type="dxa"/>
              <w:right w:w="20" w:type="dxa"/>
            </w:tcMar>
            <w:vAlign w:val="bottom"/>
            <w:hideMark/>
          </w:tcPr>
          <w:p w14:paraId="25ABF542" w14:textId="77777777" w:rsidR="00000000" w:rsidRDefault="00C1661D">
            <w:pPr>
              <w:spacing w:after="100"/>
              <w:jc w:val="right"/>
              <w:rPr>
                <w:rFonts w:eastAsia="Times New Roman"/>
              </w:rPr>
            </w:pPr>
            <w:r>
              <w:rPr>
                <w:rFonts w:eastAsia="Times New Roman"/>
                <w:color w:val="000000"/>
                <w:sz w:val="20"/>
                <w:szCs w:val="20"/>
              </w:rPr>
              <w:t>F-</w:t>
            </w:r>
            <w:hyperlink w:anchor="i3850c3c6c0104e42b9951aac2f16098a_142" w:history="1">
              <w:r>
                <w:rPr>
                  <w:rStyle w:val="a3"/>
                  <w:rFonts w:eastAsia="Times New Roman"/>
                  <w:color w:val="000000"/>
                  <w:sz w:val="20"/>
                  <w:szCs w:val="20"/>
                  <w:u w:val="none"/>
                </w:rPr>
                <w:t>6</w:t>
              </w:r>
            </w:hyperlink>
          </w:p>
        </w:tc>
      </w:tr>
      <w:tr w:rsidR="00000000" w14:paraId="0116984E" w14:textId="77777777">
        <w:trPr>
          <w:trHeight w:val="60"/>
          <w:jc w:val="center"/>
        </w:trPr>
        <w:tc>
          <w:tcPr>
            <w:tcW w:w="0" w:type="auto"/>
            <w:gridSpan w:val="3"/>
            <w:tcMar>
              <w:top w:w="0" w:type="dxa"/>
              <w:left w:w="20" w:type="dxa"/>
              <w:bottom w:w="0" w:type="dxa"/>
              <w:right w:w="20" w:type="dxa"/>
            </w:tcMar>
            <w:vAlign w:val="center"/>
            <w:hideMark/>
          </w:tcPr>
          <w:p w14:paraId="1FC3EA43"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9FEDAA4" w14:textId="77777777" w:rsidR="00000000" w:rsidRDefault="00C1661D">
            <w:pPr>
              <w:spacing w:after="100"/>
              <w:rPr>
                <w:rFonts w:eastAsia="Times New Roman"/>
                <w:sz w:val="20"/>
                <w:szCs w:val="20"/>
              </w:rPr>
            </w:pPr>
          </w:p>
        </w:tc>
      </w:tr>
      <w:tr w:rsidR="00000000" w14:paraId="380938E4" w14:textId="77777777">
        <w:trPr>
          <w:trHeight w:val="300"/>
          <w:jc w:val="center"/>
        </w:trPr>
        <w:tc>
          <w:tcPr>
            <w:tcW w:w="0" w:type="auto"/>
            <w:gridSpan w:val="3"/>
            <w:tcMar>
              <w:top w:w="30" w:type="dxa"/>
              <w:left w:w="20" w:type="dxa"/>
              <w:bottom w:w="30" w:type="dxa"/>
              <w:right w:w="20" w:type="dxa"/>
            </w:tcMar>
            <w:vAlign w:val="bottom"/>
            <w:hideMark/>
          </w:tcPr>
          <w:p w14:paraId="5ADD89D4" w14:textId="77777777" w:rsidR="00000000" w:rsidRDefault="00C1661D">
            <w:pPr>
              <w:spacing w:after="100"/>
              <w:divId w:val="1549146609"/>
              <w:rPr>
                <w:rFonts w:eastAsia="Times New Roman"/>
              </w:rPr>
            </w:pPr>
            <w:hyperlink w:anchor="i3850c3c6c0104e42b9951aac2f16098a_145" w:history="1">
              <w:r>
                <w:rPr>
                  <w:rStyle w:val="a3"/>
                  <w:rFonts w:eastAsia="Times New Roman"/>
                  <w:sz w:val="20"/>
                  <w:szCs w:val="20"/>
                </w:rPr>
                <w:t>Consolidated Statements of Income for the years ended September 30, 2022, 2021 and 2020</w:t>
              </w:r>
            </w:hyperlink>
          </w:p>
        </w:tc>
        <w:tc>
          <w:tcPr>
            <w:tcW w:w="0" w:type="auto"/>
            <w:gridSpan w:val="3"/>
            <w:tcMar>
              <w:top w:w="30" w:type="dxa"/>
              <w:left w:w="20" w:type="dxa"/>
              <w:bottom w:w="30" w:type="dxa"/>
              <w:right w:w="20" w:type="dxa"/>
            </w:tcMar>
            <w:vAlign w:val="bottom"/>
            <w:hideMark/>
          </w:tcPr>
          <w:p w14:paraId="7FFD6B45" w14:textId="77777777" w:rsidR="00000000" w:rsidRDefault="00C1661D">
            <w:pPr>
              <w:spacing w:after="100"/>
              <w:jc w:val="right"/>
              <w:rPr>
                <w:rFonts w:eastAsia="Times New Roman"/>
              </w:rPr>
            </w:pPr>
            <w:r>
              <w:rPr>
                <w:rFonts w:eastAsia="Times New Roman"/>
                <w:color w:val="000000"/>
                <w:sz w:val="20"/>
                <w:szCs w:val="20"/>
              </w:rPr>
              <w:t>F-</w:t>
            </w:r>
            <w:hyperlink w:anchor="i3850c3c6c0104e42b9951aac2f16098a_145" w:history="1">
              <w:r>
                <w:rPr>
                  <w:rStyle w:val="a3"/>
                  <w:rFonts w:eastAsia="Times New Roman"/>
                  <w:color w:val="000000"/>
                  <w:sz w:val="20"/>
                  <w:szCs w:val="20"/>
                  <w:u w:val="none"/>
                </w:rPr>
                <w:t>7</w:t>
              </w:r>
            </w:hyperlink>
          </w:p>
        </w:tc>
      </w:tr>
      <w:tr w:rsidR="00000000" w14:paraId="679BFDD3" w14:textId="77777777">
        <w:trPr>
          <w:trHeight w:val="60"/>
          <w:jc w:val="center"/>
        </w:trPr>
        <w:tc>
          <w:tcPr>
            <w:tcW w:w="0" w:type="auto"/>
            <w:gridSpan w:val="3"/>
            <w:tcMar>
              <w:top w:w="0" w:type="dxa"/>
              <w:left w:w="20" w:type="dxa"/>
              <w:bottom w:w="0" w:type="dxa"/>
              <w:right w:w="20" w:type="dxa"/>
            </w:tcMar>
            <w:vAlign w:val="center"/>
            <w:hideMark/>
          </w:tcPr>
          <w:p w14:paraId="54D8625C"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C4253F8" w14:textId="77777777" w:rsidR="00000000" w:rsidRDefault="00C1661D">
            <w:pPr>
              <w:spacing w:after="100"/>
              <w:rPr>
                <w:rFonts w:eastAsia="Times New Roman"/>
                <w:sz w:val="20"/>
                <w:szCs w:val="20"/>
              </w:rPr>
            </w:pPr>
          </w:p>
        </w:tc>
      </w:tr>
      <w:tr w:rsidR="00000000" w14:paraId="334D3034" w14:textId="77777777">
        <w:trPr>
          <w:trHeight w:val="300"/>
          <w:jc w:val="center"/>
        </w:trPr>
        <w:tc>
          <w:tcPr>
            <w:tcW w:w="0" w:type="auto"/>
            <w:gridSpan w:val="3"/>
            <w:tcMar>
              <w:top w:w="30" w:type="dxa"/>
              <w:left w:w="20" w:type="dxa"/>
              <w:bottom w:w="30" w:type="dxa"/>
              <w:right w:w="20" w:type="dxa"/>
            </w:tcMar>
            <w:vAlign w:val="bottom"/>
            <w:hideMark/>
          </w:tcPr>
          <w:p w14:paraId="66657259" w14:textId="77777777" w:rsidR="00000000" w:rsidRDefault="00C1661D">
            <w:pPr>
              <w:spacing w:after="100"/>
              <w:divId w:val="1249267689"/>
              <w:rPr>
                <w:rFonts w:eastAsia="Times New Roman"/>
              </w:rPr>
            </w:pPr>
            <w:hyperlink w:anchor="i3850c3c6c0104e42b9951aac2f16098a_148" w:history="1">
              <w:r>
                <w:rPr>
                  <w:rStyle w:val="a3"/>
                  <w:rFonts w:eastAsia="Times New Roman"/>
                  <w:sz w:val="20"/>
                  <w:szCs w:val="20"/>
                </w:rPr>
                <w:t>Consolidated Statements of Compr</w:t>
              </w:r>
              <w:r>
                <w:rPr>
                  <w:rStyle w:val="a3"/>
                  <w:rFonts w:eastAsia="Times New Roman"/>
                  <w:sz w:val="20"/>
                  <w:szCs w:val="20"/>
                </w:rPr>
                <w:t>ehensive Income for the years ended September 30, 2022, 2021 and 2020</w:t>
              </w:r>
            </w:hyperlink>
          </w:p>
        </w:tc>
        <w:tc>
          <w:tcPr>
            <w:tcW w:w="0" w:type="auto"/>
            <w:gridSpan w:val="3"/>
            <w:tcMar>
              <w:top w:w="30" w:type="dxa"/>
              <w:left w:w="20" w:type="dxa"/>
              <w:bottom w:w="30" w:type="dxa"/>
              <w:right w:w="20" w:type="dxa"/>
            </w:tcMar>
            <w:vAlign w:val="bottom"/>
            <w:hideMark/>
          </w:tcPr>
          <w:p w14:paraId="5CE0B358" w14:textId="77777777" w:rsidR="00000000" w:rsidRDefault="00C1661D">
            <w:pPr>
              <w:spacing w:after="100"/>
              <w:jc w:val="right"/>
              <w:rPr>
                <w:rFonts w:eastAsia="Times New Roman"/>
              </w:rPr>
            </w:pPr>
            <w:r>
              <w:rPr>
                <w:rFonts w:eastAsia="Times New Roman"/>
                <w:color w:val="000000"/>
                <w:sz w:val="20"/>
                <w:szCs w:val="20"/>
              </w:rPr>
              <w:t>F-</w:t>
            </w:r>
            <w:hyperlink w:anchor="i3850c3c6c0104e42b9951aac2f16098a_148" w:history="1">
              <w:r>
                <w:rPr>
                  <w:rStyle w:val="a3"/>
                  <w:rFonts w:eastAsia="Times New Roman"/>
                  <w:color w:val="000000"/>
                  <w:sz w:val="20"/>
                  <w:szCs w:val="20"/>
                  <w:u w:val="none"/>
                </w:rPr>
                <w:t>8</w:t>
              </w:r>
            </w:hyperlink>
          </w:p>
        </w:tc>
      </w:tr>
      <w:tr w:rsidR="00000000" w14:paraId="00548C9B" w14:textId="77777777">
        <w:trPr>
          <w:trHeight w:val="60"/>
          <w:jc w:val="center"/>
        </w:trPr>
        <w:tc>
          <w:tcPr>
            <w:tcW w:w="0" w:type="auto"/>
            <w:gridSpan w:val="3"/>
            <w:tcMar>
              <w:top w:w="0" w:type="dxa"/>
              <w:left w:w="20" w:type="dxa"/>
              <w:bottom w:w="0" w:type="dxa"/>
              <w:right w:w="20" w:type="dxa"/>
            </w:tcMar>
            <w:vAlign w:val="center"/>
            <w:hideMark/>
          </w:tcPr>
          <w:p w14:paraId="333F10AF"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56FE298" w14:textId="77777777" w:rsidR="00000000" w:rsidRDefault="00C1661D">
            <w:pPr>
              <w:spacing w:after="100"/>
              <w:rPr>
                <w:rFonts w:eastAsia="Times New Roman"/>
                <w:sz w:val="20"/>
                <w:szCs w:val="20"/>
              </w:rPr>
            </w:pPr>
          </w:p>
        </w:tc>
      </w:tr>
      <w:tr w:rsidR="00000000" w14:paraId="6E836B90" w14:textId="77777777">
        <w:trPr>
          <w:trHeight w:val="300"/>
          <w:jc w:val="center"/>
        </w:trPr>
        <w:tc>
          <w:tcPr>
            <w:tcW w:w="0" w:type="auto"/>
            <w:gridSpan w:val="3"/>
            <w:tcMar>
              <w:top w:w="30" w:type="dxa"/>
              <w:left w:w="20" w:type="dxa"/>
              <w:bottom w:w="30" w:type="dxa"/>
              <w:right w:w="20" w:type="dxa"/>
            </w:tcMar>
            <w:vAlign w:val="bottom"/>
            <w:hideMark/>
          </w:tcPr>
          <w:p w14:paraId="46A2D04E" w14:textId="77777777" w:rsidR="00000000" w:rsidRDefault="00C1661D">
            <w:pPr>
              <w:spacing w:after="100"/>
              <w:divId w:val="754127467"/>
              <w:rPr>
                <w:rFonts w:eastAsia="Times New Roman"/>
              </w:rPr>
            </w:pPr>
            <w:hyperlink w:anchor="i3850c3c6c0104e42b9951aac2f16098a_151" w:history="1">
              <w:r>
                <w:rPr>
                  <w:rStyle w:val="a3"/>
                  <w:rFonts w:eastAsia="Times New Roman"/>
                  <w:sz w:val="20"/>
                  <w:szCs w:val="20"/>
                </w:rPr>
                <w:t>Consolidated Statements of Cash Flows for the years ended September 30, 2022, 2021 and 2020</w:t>
              </w:r>
            </w:hyperlink>
          </w:p>
        </w:tc>
        <w:tc>
          <w:tcPr>
            <w:tcW w:w="0" w:type="auto"/>
            <w:gridSpan w:val="3"/>
            <w:tcMar>
              <w:top w:w="30" w:type="dxa"/>
              <w:left w:w="20" w:type="dxa"/>
              <w:bottom w:w="30" w:type="dxa"/>
              <w:right w:w="20" w:type="dxa"/>
            </w:tcMar>
            <w:vAlign w:val="bottom"/>
            <w:hideMark/>
          </w:tcPr>
          <w:p w14:paraId="6F1E0A70" w14:textId="77777777" w:rsidR="00000000" w:rsidRDefault="00C1661D">
            <w:pPr>
              <w:spacing w:after="100"/>
              <w:jc w:val="right"/>
              <w:rPr>
                <w:rFonts w:eastAsia="Times New Roman"/>
              </w:rPr>
            </w:pPr>
            <w:r>
              <w:rPr>
                <w:rFonts w:eastAsia="Times New Roman"/>
                <w:color w:val="000000"/>
                <w:sz w:val="20"/>
                <w:szCs w:val="20"/>
              </w:rPr>
              <w:t>F-</w:t>
            </w:r>
            <w:hyperlink w:anchor="i3850c3c6c0104e42b9951aac2f16098a_151" w:history="1">
              <w:r>
                <w:rPr>
                  <w:rStyle w:val="a3"/>
                  <w:rFonts w:eastAsia="Times New Roman"/>
                  <w:color w:val="000000"/>
                  <w:sz w:val="20"/>
                  <w:szCs w:val="20"/>
                  <w:u w:val="none"/>
                </w:rPr>
                <w:t>9</w:t>
              </w:r>
            </w:hyperlink>
          </w:p>
        </w:tc>
      </w:tr>
      <w:tr w:rsidR="00000000" w14:paraId="11DE23C1" w14:textId="77777777">
        <w:trPr>
          <w:trHeight w:val="60"/>
          <w:jc w:val="center"/>
        </w:trPr>
        <w:tc>
          <w:tcPr>
            <w:tcW w:w="0" w:type="auto"/>
            <w:gridSpan w:val="3"/>
            <w:tcMar>
              <w:top w:w="0" w:type="dxa"/>
              <w:left w:w="20" w:type="dxa"/>
              <w:bottom w:w="0" w:type="dxa"/>
              <w:right w:w="20" w:type="dxa"/>
            </w:tcMar>
            <w:vAlign w:val="center"/>
            <w:hideMark/>
          </w:tcPr>
          <w:p w14:paraId="42C25D56"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58386FB" w14:textId="77777777" w:rsidR="00000000" w:rsidRDefault="00C1661D">
            <w:pPr>
              <w:spacing w:after="100"/>
              <w:rPr>
                <w:rFonts w:eastAsia="Times New Roman"/>
                <w:sz w:val="20"/>
                <w:szCs w:val="20"/>
              </w:rPr>
            </w:pPr>
          </w:p>
        </w:tc>
      </w:tr>
      <w:tr w:rsidR="00000000" w14:paraId="50515145" w14:textId="77777777">
        <w:trPr>
          <w:trHeight w:val="300"/>
          <w:jc w:val="center"/>
        </w:trPr>
        <w:tc>
          <w:tcPr>
            <w:tcW w:w="0" w:type="auto"/>
            <w:gridSpan w:val="3"/>
            <w:tcMar>
              <w:top w:w="30" w:type="dxa"/>
              <w:left w:w="20" w:type="dxa"/>
              <w:bottom w:w="30" w:type="dxa"/>
              <w:right w:w="20" w:type="dxa"/>
            </w:tcMar>
            <w:vAlign w:val="bottom"/>
            <w:hideMark/>
          </w:tcPr>
          <w:p w14:paraId="120E4B0E" w14:textId="77777777" w:rsidR="00000000" w:rsidRDefault="00C1661D">
            <w:pPr>
              <w:spacing w:after="100"/>
              <w:divId w:val="552884430"/>
              <w:rPr>
                <w:rFonts w:eastAsia="Times New Roman"/>
              </w:rPr>
            </w:pPr>
            <w:hyperlink w:anchor="i3850c3c6c0104e42b9951aac2f16098a_154" w:history="1">
              <w:r>
                <w:rPr>
                  <w:rStyle w:val="a3"/>
                  <w:rFonts w:eastAsia="Times New Roman"/>
                  <w:sz w:val="20"/>
                  <w:szCs w:val="20"/>
                </w:rPr>
                <w:t>Consolidated Statements of C</w:t>
              </w:r>
              <w:r>
                <w:rPr>
                  <w:rStyle w:val="a3"/>
                  <w:rFonts w:eastAsia="Times New Roman"/>
                  <w:sz w:val="20"/>
                  <w:szCs w:val="20"/>
                </w:rPr>
                <w:t>hanges in Equity for the years ended September 30, 2022, 2021 and 2020</w:t>
              </w:r>
            </w:hyperlink>
          </w:p>
        </w:tc>
        <w:tc>
          <w:tcPr>
            <w:tcW w:w="0" w:type="auto"/>
            <w:gridSpan w:val="3"/>
            <w:tcMar>
              <w:top w:w="30" w:type="dxa"/>
              <w:left w:w="20" w:type="dxa"/>
              <w:bottom w:w="30" w:type="dxa"/>
              <w:right w:w="20" w:type="dxa"/>
            </w:tcMar>
            <w:vAlign w:val="bottom"/>
            <w:hideMark/>
          </w:tcPr>
          <w:p w14:paraId="49620471" w14:textId="77777777" w:rsidR="00000000" w:rsidRDefault="00C1661D">
            <w:pPr>
              <w:spacing w:after="100"/>
              <w:jc w:val="right"/>
              <w:rPr>
                <w:rFonts w:eastAsia="Times New Roman"/>
              </w:rPr>
            </w:pPr>
            <w:r>
              <w:rPr>
                <w:rFonts w:eastAsia="Times New Roman"/>
                <w:color w:val="000000"/>
                <w:sz w:val="20"/>
                <w:szCs w:val="20"/>
              </w:rPr>
              <w:t>F-</w:t>
            </w:r>
            <w:hyperlink w:anchor="i3850c3c6c0104e42b9951aac2f16098a_154" w:history="1">
              <w:r>
                <w:rPr>
                  <w:rStyle w:val="a3"/>
                  <w:rFonts w:eastAsia="Times New Roman"/>
                  <w:color w:val="000000"/>
                  <w:sz w:val="20"/>
                  <w:szCs w:val="20"/>
                  <w:u w:val="none"/>
                </w:rPr>
                <w:t>10</w:t>
              </w:r>
            </w:hyperlink>
          </w:p>
        </w:tc>
      </w:tr>
      <w:tr w:rsidR="00000000" w14:paraId="4056C335" w14:textId="77777777">
        <w:trPr>
          <w:trHeight w:val="60"/>
          <w:jc w:val="center"/>
        </w:trPr>
        <w:tc>
          <w:tcPr>
            <w:tcW w:w="0" w:type="auto"/>
            <w:gridSpan w:val="3"/>
            <w:tcMar>
              <w:top w:w="0" w:type="dxa"/>
              <w:left w:w="20" w:type="dxa"/>
              <w:bottom w:w="0" w:type="dxa"/>
              <w:right w:w="20" w:type="dxa"/>
            </w:tcMar>
            <w:vAlign w:val="center"/>
            <w:hideMark/>
          </w:tcPr>
          <w:p w14:paraId="5AA7A552"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C7E3226" w14:textId="77777777" w:rsidR="00000000" w:rsidRDefault="00C1661D">
            <w:pPr>
              <w:spacing w:after="100"/>
              <w:rPr>
                <w:rFonts w:eastAsia="Times New Roman"/>
                <w:sz w:val="20"/>
                <w:szCs w:val="20"/>
              </w:rPr>
            </w:pPr>
          </w:p>
        </w:tc>
      </w:tr>
      <w:tr w:rsidR="00000000" w14:paraId="1DBB6487" w14:textId="77777777">
        <w:trPr>
          <w:trHeight w:val="300"/>
          <w:jc w:val="center"/>
        </w:trPr>
        <w:tc>
          <w:tcPr>
            <w:tcW w:w="0" w:type="auto"/>
            <w:gridSpan w:val="3"/>
            <w:tcMar>
              <w:top w:w="30" w:type="dxa"/>
              <w:left w:w="20" w:type="dxa"/>
              <w:bottom w:w="30" w:type="dxa"/>
              <w:right w:w="20" w:type="dxa"/>
            </w:tcMar>
            <w:vAlign w:val="bottom"/>
            <w:hideMark/>
          </w:tcPr>
          <w:p w14:paraId="5B8B9534" w14:textId="77777777" w:rsidR="00000000" w:rsidRDefault="00C1661D">
            <w:pPr>
              <w:spacing w:after="100"/>
              <w:divId w:val="1799562688"/>
              <w:rPr>
                <w:rFonts w:eastAsia="Times New Roman"/>
              </w:rPr>
            </w:pPr>
            <w:hyperlink w:anchor="i3850c3c6c0104e42b9951aac2f16098a_157"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14:paraId="14E7DAA3" w14:textId="77777777" w:rsidR="00000000" w:rsidRDefault="00C1661D">
            <w:pPr>
              <w:spacing w:after="100"/>
              <w:jc w:val="right"/>
              <w:rPr>
                <w:rFonts w:eastAsia="Times New Roman"/>
              </w:rPr>
            </w:pPr>
            <w:r>
              <w:rPr>
                <w:rFonts w:eastAsia="Times New Roman"/>
                <w:color w:val="000000"/>
                <w:sz w:val="20"/>
                <w:szCs w:val="20"/>
              </w:rPr>
              <w:t>F-</w:t>
            </w:r>
            <w:hyperlink w:anchor="i3850c3c6c0104e42b9951aac2f16098a_157" w:history="1">
              <w:r>
                <w:rPr>
                  <w:rStyle w:val="a3"/>
                  <w:rFonts w:eastAsia="Times New Roman"/>
                  <w:color w:val="000000"/>
                  <w:sz w:val="20"/>
                  <w:szCs w:val="20"/>
                  <w:u w:val="none"/>
                </w:rPr>
                <w:t>11</w:t>
              </w:r>
            </w:hyperlink>
          </w:p>
        </w:tc>
      </w:tr>
      <w:tr w:rsidR="00000000" w14:paraId="4845B151" w14:textId="77777777">
        <w:trPr>
          <w:trHeight w:val="60"/>
          <w:jc w:val="center"/>
        </w:trPr>
        <w:tc>
          <w:tcPr>
            <w:tcW w:w="0" w:type="auto"/>
            <w:gridSpan w:val="3"/>
            <w:tcMar>
              <w:top w:w="0" w:type="dxa"/>
              <w:left w:w="20" w:type="dxa"/>
              <w:bottom w:w="0" w:type="dxa"/>
              <w:right w:w="20" w:type="dxa"/>
            </w:tcMar>
            <w:vAlign w:val="center"/>
            <w:hideMark/>
          </w:tcPr>
          <w:p w14:paraId="390C4332"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67A98D4" w14:textId="77777777" w:rsidR="00000000" w:rsidRDefault="00C1661D">
            <w:pPr>
              <w:spacing w:after="100"/>
              <w:rPr>
                <w:rFonts w:eastAsia="Times New Roman"/>
                <w:sz w:val="20"/>
                <w:szCs w:val="20"/>
              </w:rPr>
            </w:pPr>
          </w:p>
        </w:tc>
      </w:tr>
      <w:tr w:rsidR="00000000" w14:paraId="358D904B" w14:textId="77777777">
        <w:trPr>
          <w:trHeight w:val="300"/>
          <w:jc w:val="center"/>
        </w:trPr>
        <w:tc>
          <w:tcPr>
            <w:tcW w:w="0" w:type="auto"/>
            <w:gridSpan w:val="3"/>
            <w:tcMar>
              <w:top w:w="30" w:type="dxa"/>
              <w:left w:w="20" w:type="dxa"/>
              <w:bottom w:w="30" w:type="dxa"/>
              <w:right w:w="20" w:type="dxa"/>
            </w:tcMar>
            <w:vAlign w:val="bottom"/>
            <w:hideMark/>
          </w:tcPr>
          <w:p w14:paraId="34B04206" w14:textId="77777777" w:rsidR="00000000" w:rsidRDefault="00C1661D">
            <w:pPr>
              <w:spacing w:after="100"/>
              <w:rPr>
                <w:rFonts w:eastAsia="Times New Roman"/>
              </w:rPr>
            </w:pPr>
            <w:r>
              <w:rPr>
                <w:rFonts w:eastAsia="Times New Roman"/>
                <w:color w:val="000000"/>
                <w:sz w:val="20"/>
                <w:szCs w:val="20"/>
              </w:rPr>
              <w:t>Financial Statement Schedules:</w:t>
            </w:r>
          </w:p>
        </w:tc>
        <w:tc>
          <w:tcPr>
            <w:tcW w:w="0" w:type="auto"/>
            <w:gridSpan w:val="3"/>
            <w:tcMar>
              <w:top w:w="30" w:type="dxa"/>
              <w:left w:w="20" w:type="dxa"/>
              <w:bottom w:w="30" w:type="dxa"/>
              <w:right w:w="20" w:type="dxa"/>
            </w:tcMar>
            <w:vAlign w:val="bottom"/>
            <w:hideMark/>
          </w:tcPr>
          <w:p w14:paraId="68E1B299" w14:textId="77777777" w:rsidR="00000000" w:rsidRDefault="00C1661D">
            <w:pPr>
              <w:spacing w:after="100"/>
              <w:jc w:val="right"/>
              <w:rPr>
                <w:rFonts w:eastAsia="Times New Roman"/>
              </w:rPr>
            </w:pPr>
            <w:r>
              <w:rPr>
                <w:rFonts w:eastAsia="Times New Roman"/>
                <w:color w:val="000000"/>
                <w:sz w:val="20"/>
                <w:szCs w:val="20"/>
              </w:rPr>
              <w:t> </w:t>
            </w:r>
          </w:p>
        </w:tc>
      </w:tr>
      <w:tr w:rsidR="00000000" w14:paraId="3D61E640" w14:textId="77777777">
        <w:trPr>
          <w:trHeight w:val="60"/>
          <w:jc w:val="center"/>
        </w:trPr>
        <w:tc>
          <w:tcPr>
            <w:tcW w:w="0" w:type="auto"/>
            <w:gridSpan w:val="3"/>
            <w:tcMar>
              <w:top w:w="0" w:type="dxa"/>
              <w:left w:w="20" w:type="dxa"/>
              <w:bottom w:w="0" w:type="dxa"/>
              <w:right w:w="20" w:type="dxa"/>
            </w:tcMar>
            <w:vAlign w:val="center"/>
            <w:hideMark/>
          </w:tcPr>
          <w:p w14:paraId="12E558A1"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385C1A1" w14:textId="77777777" w:rsidR="00000000" w:rsidRDefault="00C1661D">
            <w:pPr>
              <w:spacing w:after="100"/>
              <w:rPr>
                <w:rFonts w:eastAsia="Times New Roman"/>
                <w:sz w:val="20"/>
                <w:szCs w:val="20"/>
              </w:rPr>
            </w:pPr>
          </w:p>
        </w:tc>
      </w:tr>
      <w:tr w:rsidR="00000000" w14:paraId="654C1B94" w14:textId="77777777">
        <w:trPr>
          <w:trHeight w:val="300"/>
          <w:jc w:val="center"/>
        </w:trPr>
        <w:tc>
          <w:tcPr>
            <w:tcW w:w="0" w:type="auto"/>
            <w:gridSpan w:val="3"/>
            <w:tcMar>
              <w:top w:w="30" w:type="dxa"/>
              <w:left w:w="155" w:type="dxa"/>
              <w:bottom w:w="30" w:type="dxa"/>
              <w:right w:w="20" w:type="dxa"/>
            </w:tcMar>
            <w:vAlign w:val="bottom"/>
            <w:hideMark/>
          </w:tcPr>
          <w:p w14:paraId="6FCAF7E5" w14:textId="77777777" w:rsidR="00000000" w:rsidRDefault="00C1661D">
            <w:pPr>
              <w:spacing w:after="100"/>
              <w:rPr>
                <w:rFonts w:eastAsia="Times New Roman"/>
              </w:rPr>
            </w:pPr>
            <w:r>
              <w:rPr>
                <w:rFonts w:eastAsia="Times New Roman"/>
                <w:color w:val="000000"/>
                <w:sz w:val="20"/>
                <w:szCs w:val="20"/>
              </w:rPr>
              <w:t>For the years ended September 30, 2022, 2021 and 2020:</w:t>
            </w:r>
          </w:p>
        </w:tc>
        <w:tc>
          <w:tcPr>
            <w:tcW w:w="0" w:type="auto"/>
            <w:gridSpan w:val="3"/>
            <w:tcMar>
              <w:top w:w="30" w:type="dxa"/>
              <w:left w:w="20" w:type="dxa"/>
              <w:bottom w:w="30" w:type="dxa"/>
              <w:right w:w="20" w:type="dxa"/>
            </w:tcMar>
            <w:vAlign w:val="bottom"/>
            <w:hideMark/>
          </w:tcPr>
          <w:p w14:paraId="5894F371" w14:textId="77777777" w:rsidR="00000000" w:rsidRDefault="00C1661D">
            <w:pPr>
              <w:spacing w:after="100"/>
              <w:jc w:val="right"/>
              <w:rPr>
                <w:rFonts w:eastAsia="Times New Roman"/>
              </w:rPr>
            </w:pPr>
            <w:r>
              <w:rPr>
                <w:rFonts w:eastAsia="Times New Roman"/>
                <w:color w:val="000000"/>
                <w:sz w:val="20"/>
                <w:szCs w:val="20"/>
              </w:rPr>
              <w:t> </w:t>
            </w:r>
          </w:p>
        </w:tc>
      </w:tr>
      <w:tr w:rsidR="00000000" w14:paraId="08808AB0" w14:textId="77777777">
        <w:trPr>
          <w:trHeight w:val="60"/>
          <w:jc w:val="center"/>
        </w:trPr>
        <w:tc>
          <w:tcPr>
            <w:tcW w:w="0" w:type="auto"/>
            <w:gridSpan w:val="3"/>
            <w:tcMar>
              <w:top w:w="0" w:type="dxa"/>
              <w:left w:w="20" w:type="dxa"/>
              <w:bottom w:w="0" w:type="dxa"/>
              <w:right w:w="20" w:type="dxa"/>
            </w:tcMar>
            <w:vAlign w:val="center"/>
            <w:hideMark/>
          </w:tcPr>
          <w:p w14:paraId="33CADB54"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84CE1D6" w14:textId="77777777" w:rsidR="00000000" w:rsidRDefault="00C1661D">
            <w:pPr>
              <w:spacing w:after="100"/>
              <w:rPr>
                <w:rFonts w:eastAsia="Times New Roman"/>
                <w:sz w:val="20"/>
                <w:szCs w:val="20"/>
              </w:rPr>
            </w:pPr>
          </w:p>
        </w:tc>
      </w:tr>
      <w:tr w:rsidR="00000000" w14:paraId="4F42ED9B" w14:textId="77777777">
        <w:trPr>
          <w:trHeight w:val="300"/>
          <w:jc w:val="center"/>
        </w:trPr>
        <w:tc>
          <w:tcPr>
            <w:tcW w:w="0" w:type="auto"/>
            <w:gridSpan w:val="3"/>
            <w:tcMar>
              <w:top w:w="30" w:type="dxa"/>
              <w:left w:w="20" w:type="dxa"/>
              <w:bottom w:w="30" w:type="dxa"/>
              <w:right w:w="20" w:type="dxa"/>
            </w:tcMar>
            <w:vAlign w:val="bottom"/>
            <w:hideMark/>
          </w:tcPr>
          <w:p w14:paraId="46554167" w14:textId="77777777" w:rsidR="00000000" w:rsidRDefault="00C1661D">
            <w:pPr>
              <w:spacing w:after="100"/>
              <w:divId w:val="1147165647"/>
              <w:rPr>
                <w:rFonts w:eastAsia="Times New Roman"/>
              </w:rPr>
            </w:pPr>
            <w:hyperlink w:anchor="i3850c3c6c0104e42b9951aac2f16098a_238" w:history="1">
              <w:r>
                <w:rPr>
                  <w:rStyle w:val="a3"/>
                  <w:rFonts w:eastAsia="Times New Roman"/>
                  <w:sz w:val="20"/>
                  <w:szCs w:val="20"/>
                </w:rPr>
                <w:t xml:space="preserve">I — </w:t>
              </w:r>
              <w:r>
                <w:rPr>
                  <w:rStyle w:val="a3"/>
                  <w:rFonts w:eastAsia="Times New Roman"/>
                  <w:sz w:val="20"/>
                  <w:szCs w:val="20"/>
                </w:rPr>
                <w:t>Condensed Financial Information of Registrant (Parent Company)</w:t>
              </w:r>
            </w:hyperlink>
          </w:p>
        </w:tc>
        <w:tc>
          <w:tcPr>
            <w:tcW w:w="0" w:type="auto"/>
            <w:gridSpan w:val="3"/>
            <w:tcMar>
              <w:top w:w="30" w:type="dxa"/>
              <w:left w:w="20" w:type="dxa"/>
              <w:bottom w:w="30" w:type="dxa"/>
              <w:right w:w="20" w:type="dxa"/>
            </w:tcMar>
            <w:vAlign w:val="bottom"/>
            <w:hideMark/>
          </w:tcPr>
          <w:p w14:paraId="4FBAE07D" w14:textId="77777777" w:rsidR="00000000" w:rsidRDefault="00C1661D">
            <w:pPr>
              <w:spacing w:after="100"/>
              <w:jc w:val="right"/>
              <w:rPr>
                <w:rFonts w:eastAsia="Times New Roman"/>
              </w:rPr>
            </w:pPr>
            <w:r>
              <w:rPr>
                <w:rFonts w:eastAsia="Times New Roman"/>
                <w:color w:val="000000"/>
                <w:sz w:val="20"/>
                <w:szCs w:val="20"/>
              </w:rPr>
              <w:t>S-</w:t>
            </w:r>
            <w:hyperlink w:anchor="i3850c3c6c0104e42b9951aac2f16098a_238" w:history="1">
              <w:r>
                <w:rPr>
                  <w:rStyle w:val="a3"/>
                  <w:rFonts w:eastAsia="Times New Roman"/>
                  <w:color w:val="000000"/>
                  <w:sz w:val="20"/>
                  <w:szCs w:val="20"/>
                  <w:u w:val="none"/>
                </w:rPr>
                <w:t>1</w:t>
              </w:r>
            </w:hyperlink>
          </w:p>
        </w:tc>
      </w:tr>
      <w:tr w:rsidR="00000000" w14:paraId="056E112C" w14:textId="77777777">
        <w:trPr>
          <w:trHeight w:val="60"/>
          <w:jc w:val="center"/>
        </w:trPr>
        <w:tc>
          <w:tcPr>
            <w:tcW w:w="0" w:type="auto"/>
            <w:gridSpan w:val="3"/>
            <w:tcMar>
              <w:top w:w="0" w:type="dxa"/>
              <w:left w:w="20" w:type="dxa"/>
              <w:bottom w:w="0" w:type="dxa"/>
              <w:right w:w="20" w:type="dxa"/>
            </w:tcMar>
            <w:vAlign w:val="center"/>
            <w:hideMark/>
          </w:tcPr>
          <w:p w14:paraId="55A2371D"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B292B47" w14:textId="77777777" w:rsidR="00000000" w:rsidRDefault="00C1661D">
            <w:pPr>
              <w:spacing w:after="100"/>
              <w:rPr>
                <w:rFonts w:eastAsia="Times New Roman"/>
                <w:sz w:val="20"/>
                <w:szCs w:val="20"/>
              </w:rPr>
            </w:pPr>
          </w:p>
        </w:tc>
      </w:tr>
      <w:tr w:rsidR="00000000" w14:paraId="309C6BBE" w14:textId="77777777">
        <w:trPr>
          <w:trHeight w:val="300"/>
          <w:jc w:val="center"/>
        </w:trPr>
        <w:tc>
          <w:tcPr>
            <w:tcW w:w="0" w:type="auto"/>
            <w:gridSpan w:val="3"/>
            <w:tcMar>
              <w:top w:w="30" w:type="dxa"/>
              <w:left w:w="20" w:type="dxa"/>
              <w:bottom w:w="30" w:type="dxa"/>
              <w:right w:w="20" w:type="dxa"/>
            </w:tcMar>
            <w:vAlign w:val="bottom"/>
            <w:hideMark/>
          </w:tcPr>
          <w:p w14:paraId="6A95784F" w14:textId="77777777" w:rsidR="00000000" w:rsidRDefault="00C1661D">
            <w:pPr>
              <w:spacing w:after="100"/>
              <w:divId w:val="776220227"/>
              <w:rPr>
                <w:rFonts w:eastAsia="Times New Roman"/>
              </w:rPr>
            </w:pPr>
            <w:hyperlink w:anchor="i3850c3c6c0104e42b9951aac2f16098a_250" w:history="1">
              <w:r>
                <w:rPr>
                  <w:rStyle w:val="a3"/>
                  <w:rFonts w:eastAsia="Times New Roman"/>
                  <w:sz w:val="20"/>
                  <w:szCs w:val="20"/>
                </w:rPr>
                <w:t xml:space="preserve">II — </w:t>
              </w:r>
              <w:r>
                <w:rPr>
                  <w:rStyle w:val="a3"/>
                  <w:rFonts w:eastAsia="Times New Roman"/>
                  <w:sz w:val="20"/>
                  <w:szCs w:val="20"/>
                </w:rPr>
                <w:t>Valuation and Qualifying Accounts</w:t>
              </w:r>
            </w:hyperlink>
          </w:p>
        </w:tc>
        <w:tc>
          <w:tcPr>
            <w:tcW w:w="0" w:type="auto"/>
            <w:gridSpan w:val="3"/>
            <w:tcMar>
              <w:top w:w="30" w:type="dxa"/>
              <w:left w:w="20" w:type="dxa"/>
              <w:bottom w:w="30" w:type="dxa"/>
              <w:right w:w="20" w:type="dxa"/>
            </w:tcMar>
            <w:vAlign w:val="bottom"/>
            <w:hideMark/>
          </w:tcPr>
          <w:p w14:paraId="033558CD" w14:textId="77777777" w:rsidR="00000000" w:rsidRDefault="00C1661D">
            <w:pPr>
              <w:spacing w:after="100"/>
              <w:jc w:val="right"/>
              <w:rPr>
                <w:rFonts w:eastAsia="Times New Roman"/>
              </w:rPr>
            </w:pPr>
            <w:r>
              <w:rPr>
                <w:rFonts w:eastAsia="Times New Roman"/>
                <w:color w:val="000000"/>
                <w:sz w:val="20"/>
                <w:szCs w:val="20"/>
              </w:rPr>
              <w:t>S-</w:t>
            </w:r>
            <w:hyperlink w:anchor="i3850c3c6c0104e42b9951aac2f16098a_250" w:history="1">
              <w:r>
                <w:rPr>
                  <w:rStyle w:val="a3"/>
                  <w:rFonts w:eastAsia="Times New Roman"/>
                  <w:color w:val="000000"/>
                  <w:sz w:val="20"/>
                  <w:szCs w:val="20"/>
                  <w:u w:val="none"/>
                </w:rPr>
                <w:t>4</w:t>
              </w:r>
            </w:hyperlink>
          </w:p>
        </w:tc>
      </w:tr>
      <w:tr w:rsidR="00000000" w14:paraId="170D14BC" w14:textId="77777777">
        <w:trPr>
          <w:trHeight w:val="60"/>
          <w:jc w:val="center"/>
        </w:trPr>
        <w:tc>
          <w:tcPr>
            <w:tcW w:w="0" w:type="auto"/>
            <w:gridSpan w:val="3"/>
            <w:tcMar>
              <w:top w:w="0" w:type="dxa"/>
              <w:left w:w="20" w:type="dxa"/>
              <w:bottom w:w="0" w:type="dxa"/>
              <w:right w:w="20" w:type="dxa"/>
            </w:tcMar>
            <w:vAlign w:val="center"/>
            <w:hideMark/>
          </w:tcPr>
          <w:p w14:paraId="7BDE2580"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451894D" w14:textId="77777777" w:rsidR="00000000" w:rsidRDefault="00C1661D">
            <w:pPr>
              <w:spacing w:after="100"/>
              <w:rPr>
                <w:rFonts w:eastAsia="Times New Roman"/>
                <w:sz w:val="20"/>
                <w:szCs w:val="20"/>
              </w:rPr>
            </w:pPr>
          </w:p>
        </w:tc>
      </w:tr>
    </w:tbl>
    <w:p w14:paraId="6BE127E4" w14:textId="77777777" w:rsidR="00000000" w:rsidRDefault="00C1661D">
      <w:pPr>
        <w:jc w:val="both"/>
        <w:rPr>
          <w:rFonts w:eastAsia="Times New Roman"/>
        </w:rPr>
      </w:pPr>
    </w:p>
    <w:p w14:paraId="37C44D7D" w14:textId="77777777" w:rsidR="00000000" w:rsidRDefault="00C1661D">
      <w:pPr>
        <w:jc w:val="both"/>
        <w:rPr>
          <w:rFonts w:eastAsia="Times New Roman"/>
        </w:rPr>
      </w:pPr>
      <w:r>
        <w:rPr>
          <w:rFonts w:eastAsia="Times New Roman"/>
          <w:color w:val="000000"/>
          <w:sz w:val="20"/>
          <w:szCs w:val="20"/>
        </w:rPr>
        <w:t>We have omitted all other financial statement schedules because the required information is either (1) not present; (2) not present in amounts sufficient to require submission of the schedule; or (3) included elsewhere in the financial statements or relate</w:t>
      </w:r>
      <w:r>
        <w:rPr>
          <w:rFonts w:eastAsia="Times New Roman"/>
          <w:color w:val="000000"/>
          <w:sz w:val="20"/>
          <w:szCs w:val="20"/>
        </w:rPr>
        <w:t>d notes.</w:t>
      </w:r>
    </w:p>
    <w:p w14:paraId="00DD9166" w14:textId="77777777" w:rsidR="00000000" w:rsidRDefault="00C1661D">
      <w:pPr>
        <w:jc w:val="both"/>
        <w:rPr>
          <w:rFonts w:eastAsia="Times New Roman"/>
        </w:rPr>
      </w:pPr>
    </w:p>
    <w:p w14:paraId="4F1FB97D" w14:textId="77777777" w:rsidR="00000000" w:rsidRDefault="00C1661D">
      <w:pPr>
        <w:jc w:val="center"/>
        <w:divId w:val="1550340102"/>
        <w:rPr>
          <w:rFonts w:eastAsia="Times New Roman"/>
        </w:rPr>
      </w:pPr>
      <w:r>
        <w:rPr>
          <w:rFonts w:eastAsia="Times New Roman"/>
          <w:color w:val="000000"/>
          <w:sz w:val="20"/>
          <w:szCs w:val="20"/>
        </w:rPr>
        <w:t>F-2</w:t>
      </w:r>
    </w:p>
    <w:p w14:paraId="0F1BDC89" w14:textId="77777777" w:rsidR="00000000" w:rsidRDefault="00C1661D">
      <w:pPr>
        <w:rPr>
          <w:rFonts w:eastAsia="Times New Roman"/>
        </w:rPr>
      </w:pPr>
      <w:r>
        <w:rPr>
          <w:rFonts w:eastAsia="Times New Roman"/>
        </w:rPr>
        <w:pict w14:anchorId="70F45A6D">
          <v:rect id="_x0000_i1115" style="width:0;height:1.5pt" o:hralign="center" o:hrstd="t" o:hr="t" fillcolor="#a0a0a0" stroked="f"/>
        </w:pict>
      </w:r>
    </w:p>
    <w:p w14:paraId="3AE836D5" w14:textId="77777777" w:rsidR="00000000" w:rsidRDefault="00C1661D">
      <w:pPr>
        <w:divId w:val="2019848613"/>
        <w:rPr>
          <w:rFonts w:eastAsia="Times New Roman"/>
        </w:rPr>
      </w:pPr>
      <w:hyperlink w:anchor="i3850c3c6c0104e42b9951aac2f16098a_7" w:history="1">
        <w:r>
          <w:rPr>
            <w:rStyle w:val="a3"/>
            <w:rFonts w:eastAsia="Times New Roman"/>
            <w:b/>
            <w:bCs/>
            <w:sz w:val="20"/>
            <w:szCs w:val="20"/>
          </w:rPr>
          <w:t>Table of Contents</w:t>
        </w:r>
      </w:hyperlink>
    </w:p>
    <w:p w14:paraId="798C52A8" w14:textId="77777777" w:rsidR="00000000" w:rsidRDefault="00C1661D">
      <w:pPr>
        <w:jc w:val="both"/>
        <w:rPr>
          <w:rFonts w:eastAsia="Times New Roman"/>
        </w:rPr>
      </w:pPr>
      <w:r>
        <w:rPr>
          <w:rFonts w:eastAsia="Times New Roman"/>
          <w:b/>
          <w:bCs/>
          <w:color w:val="000000"/>
          <w:sz w:val="20"/>
          <w:szCs w:val="20"/>
        </w:rPr>
        <w:t>Management’s Annual Report on Consolidated Financial Statements and Schedules</w:t>
      </w:r>
    </w:p>
    <w:p w14:paraId="174BE999" w14:textId="77777777" w:rsidR="00000000" w:rsidRDefault="00C1661D">
      <w:pPr>
        <w:jc w:val="both"/>
        <w:divId w:val="554777440"/>
        <w:rPr>
          <w:rFonts w:eastAsia="Times New Roman"/>
        </w:rPr>
      </w:pPr>
      <w:r>
        <w:rPr>
          <w:rFonts w:eastAsia="Times New Roman"/>
          <w:color w:val="000000"/>
          <w:sz w:val="20"/>
          <w:szCs w:val="20"/>
        </w:rPr>
        <w:t>The Company’s consolidated financial statements an</w:t>
      </w:r>
      <w:r>
        <w:rPr>
          <w:rFonts w:eastAsia="Times New Roman"/>
          <w:color w:val="000000"/>
          <w:sz w:val="20"/>
          <w:szCs w:val="20"/>
        </w:rPr>
        <w:t>d other financial information contained in this Annual Report were prepared by management, which is responsible for their fairness, integrity and objectivity. The consolidated financial statements and related information were prepared in accordance with GA</w:t>
      </w:r>
      <w:r>
        <w:rPr>
          <w:rFonts w:eastAsia="Times New Roman"/>
          <w:color w:val="000000"/>
          <w:sz w:val="20"/>
          <w:szCs w:val="20"/>
        </w:rPr>
        <w:t>AP and include amounts that are based on management’s best judgments and estimates.</w:t>
      </w:r>
    </w:p>
    <w:p w14:paraId="564D6214" w14:textId="77777777" w:rsidR="00000000" w:rsidRDefault="00C1661D">
      <w:pPr>
        <w:jc w:val="both"/>
        <w:divId w:val="2025011528"/>
        <w:rPr>
          <w:rFonts w:eastAsia="Times New Roman"/>
        </w:rPr>
      </w:pPr>
      <w:r>
        <w:rPr>
          <w:rFonts w:eastAsia="Times New Roman"/>
          <w:color w:val="000000"/>
          <w:sz w:val="20"/>
          <w:szCs w:val="20"/>
        </w:rPr>
        <w:t>The Audit Committee of the Board of Directors (the “Committee”</w:t>
      </w:r>
      <w:r>
        <w:rPr>
          <w:rFonts w:eastAsia="Times New Roman"/>
          <w:color w:val="000000"/>
          <w:sz w:val="20"/>
          <w:szCs w:val="20"/>
        </w:rPr>
        <w:t>) is composed of three members, each of whom is independent and a non-employee director of the Company. The Committee is responsible for monitoring and overseeing the financial reporting process, the adequacy of internal accounting controls, and the indepe</w:t>
      </w:r>
      <w:r>
        <w:rPr>
          <w:rFonts w:eastAsia="Times New Roman"/>
          <w:color w:val="000000"/>
          <w:sz w:val="20"/>
          <w:szCs w:val="20"/>
        </w:rPr>
        <w:t>ndence and performance of the Company’s independent registered public accounting firm and internal auditors. The Committee meets regularly, with and without management present, with the independent registered public accounting firm and the internal auditor</w:t>
      </w:r>
      <w:r>
        <w:rPr>
          <w:rFonts w:eastAsia="Times New Roman"/>
          <w:color w:val="000000"/>
          <w:sz w:val="20"/>
          <w:szCs w:val="20"/>
        </w:rPr>
        <w:t>s, both of which report directly to the Committee. In addition, the Committee provides regular reports to the Board of Directors.</w:t>
      </w:r>
    </w:p>
    <w:p w14:paraId="71B88EC0" w14:textId="77777777" w:rsidR="00000000" w:rsidRDefault="00C1661D">
      <w:pPr>
        <w:divId w:val="622618004"/>
        <w:rPr>
          <w:rFonts w:eastAsia="Times New Roman"/>
        </w:rPr>
      </w:pPr>
    </w:p>
    <w:p w14:paraId="504954C2" w14:textId="77777777" w:rsidR="00000000" w:rsidRDefault="00C1661D">
      <w:pPr>
        <w:divId w:val="114570345"/>
        <w:rPr>
          <w:rFonts w:eastAsia="Times New Roman"/>
        </w:rPr>
      </w:pPr>
      <w:r>
        <w:rPr>
          <w:rFonts w:eastAsia="Times New Roman"/>
          <w:color w:val="000000"/>
          <w:sz w:val="20"/>
          <w:szCs w:val="20"/>
        </w:rPr>
        <w:t>/s/ Roger Perreault</w:t>
      </w:r>
    </w:p>
    <w:p w14:paraId="28457DCE" w14:textId="77777777" w:rsidR="00000000" w:rsidRDefault="00C1661D">
      <w:pPr>
        <w:divId w:val="1055740717"/>
        <w:rPr>
          <w:rFonts w:eastAsia="Times New Roman"/>
        </w:rPr>
      </w:pPr>
      <w:r>
        <w:rPr>
          <w:rFonts w:eastAsia="Times New Roman"/>
          <w:color w:val="000000"/>
          <w:sz w:val="20"/>
          <w:szCs w:val="20"/>
        </w:rPr>
        <w:t>Chief Executive Officer</w:t>
      </w:r>
    </w:p>
    <w:p w14:paraId="0CF80DD3" w14:textId="77777777" w:rsidR="00000000" w:rsidRDefault="00C1661D">
      <w:pPr>
        <w:divId w:val="306933001"/>
        <w:rPr>
          <w:rFonts w:eastAsia="Times New Roman"/>
        </w:rPr>
      </w:pPr>
    </w:p>
    <w:p w14:paraId="2336FDCB" w14:textId="77777777" w:rsidR="00000000" w:rsidRDefault="00C1661D">
      <w:pPr>
        <w:divId w:val="445586637"/>
        <w:rPr>
          <w:rFonts w:eastAsia="Times New Roman"/>
        </w:rPr>
      </w:pPr>
      <w:r>
        <w:rPr>
          <w:rFonts w:eastAsia="Times New Roman"/>
          <w:color w:val="000000"/>
          <w:sz w:val="20"/>
          <w:szCs w:val="20"/>
        </w:rPr>
        <w:t>/s/ Ted J. Jastrzebski</w:t>
      </w:r>
    </w:p>
    <w:p w14:paraId="0FB319AF" w14:textId="77777777" w:rsidR="00000000" w:rsidRDefault="00C1661D">
      <w:pPr>
        <w:divId w:val="1781804133"/>
        <w:rPr>
          <w:rFonts w:eastAsia="Times New Roman"/>
        </w:rPr>
      </w:pPr>
      <w:r>
        <w:rPr>
          <w:rFonts w:eastAsia="Times New Roman"/>
          <w:color w:val="000000"/>
          <w:sz w:val="20"/>
          <w:szCs w:val="20"/>
        </w:rPr>
        <w:t>Chief Financial Officer</w:t>
      </w:r>
    </w:p>
    <w:p w14:paraId="64ED063E" w14:textId="77777777" w:rsidR="00000000" w:rsidRDefault="00C1661D">
      <w:pPr>
        <w:divId w:val="898318896"/>
        <w:rPr>
          <w:rFonts w:eastAsia="Times New Roman"/>
        </w:rPr>
      </w:pPr>
    </w:p>
    <w:p w14:paraId="74157726" w14:textId="77777777" w:rsidR="00000000" w:rsidRDefault="00C1661D">
      <w:pPr>
        <w:divId w:val="1111242662"/>
        <w:rPr>
          <w:rFonts w:eastAsia="Times New Roman"/>
        </w:rPr>
      </w:pPr>
      <w:r>
        <w:rPr>
          <w:rFonts w:eastAsia="Times New Roman"/>
          <w:color w:val="000000"/>
          <w:sz w:val="20"/>
          <w:szCs w:val="20"/>
        </w:rPr>
        <w:t>/s/ Jean Felix Tematio Dontso</w:t>
      </w:r>
      <w:r>
        <w:rPr>
          <w:rFonts w:eastAsia="Times New Roman"/>
          <w:color w:val="000000"/>
          <w:sz w:val="20"/>
          <w:szCs w:val="20"/>
        </w:rPr>
        <w:t>p</w:t>
      </w:r>
    </w:p>
    <w:p w14:paraId="7688EBF4" w14:textId="77777777" w:rsidR="00000000" w:rsidRDefault="00C1661D">
      <w:pPr>
        <w:divId w:val="1947692870"/>
        <w:rPr>
          <w:rFonts w:eastAsia="Times New Roman"/>
        </w:rPr>
      </w:pPr>
      <w:r>
        <w:rPr>
          <w:rFonts w:eastAsia="Times New Roman"/>
          <w:color w:val="000000"/>
          <w:sz w:val="20"/>
          <w:szCs w:val="20"/>
        </w:rPr>
        <w:t>Chief Accounting Officer</w:t>
      </w:r>
    </w:p>
    <w:p w14:paraId="7DD0F948" w14:textId="77777777" w:rsidR="00000000" w:rsidRDefault="00C1661D">
      <w:pPr>
        <w:jc w:val="both"/>
        <w:rPr>
          <w:rFonts w:eastAsia="Times New Roman"/>
        </w:rPr>
      </w:pPr>
    </w:p>
    <w:p w14:paraId="54F832EB" w14:textId="77777777" w:rsidR="00000000" w:rsidRDefault="00C1661D">
      <w:pPr>
        <w:jc w:val="center"/>
        <w:divId w:val="1823545009"/>
        <w:rPr>
          <w:rFonts w:eastAsia="Times New Roman"/>
        </w:rPr>
      </w:pPr>
      <w:r>
        <w:rPr>
          <w:rFonts w:eastAsia="Times New Roman"/>
          <w:color w:val="000000"/>
          <w:sz w:val="20"/>
          <w:szCs w:val="20"/>
        </w:rPr>
        <w:t>F-3</w:t>
      </w:r>
    </w:p>
    <w:p w14:paraId="50C653A3" w14:textId="77777777" w:rsidR="00000000" w:rsidRDefault="00C1661D">
      <w:pPr>
        <w:rPr>
          <w:rFonts w:eastAsia="Times New Roman"/>
        </w:rPr>
      </w:pPr>
      <w:r>
        <w:rPr>
          <w:rFonts w:eastAsia="Times New Roman"/>
        </w:rPr>
        <w:pict w14:anchorId="693DF118">
          <v:rect id="_x0000_i1116" style="width:0;height:1.5pt" o:hralign="center" o:hrstd="t" o:hr="t" fillcolor="#a0a0a0" stroked="f"/>
        </w:pict>
      </w:r>
    </w:p>
    <w:p w14:paraId="63836E20" w14:textId="77777777" w:rsidR="00000000" w:rsidRDefault="00C1661D">
      <w:pPr>
        <w:divId w:val="412092228"/>
        <w:rPr>
          <w:rFonts w:eastAsia="Times New Roman"/>
        </w:rPr>
      </w:pPr>
      <w:hyperlink w:anchor="i3850c3c6c0104e42b9951aac2f16098a_7" w:history="1">
        <w:r>
          <w:rPr>
            <w:rStyle w:val="a3"/>
            <w:rFonts w:eastAsia="Times New Roman"/>
            <w:b/>
            <w:bCs/>
            <w:sz w:val="20"/>
            <w:szCs w:val="20"/>
          </w:rPr>
          <w:t>Table of Contents</w:t>
        </w:r>
      </w:hyperlink>
    </w:p>
    <w:p w14:paraId="4424C0A1" w14:textId="77777777" w:rsidR="00000000" w:rsidRDefault="00C1661D">
      <w:pPr>
        <w:jc w:val="center"/>
        <w:rPr>
          <w:rFonts w:eastAsia="Times New Roman"/>
        </w:rPr>
      </w:pPr>
      <w:r>
        <w:rPr>
          <w:rFonts w:eastAsia="Times New Roman"/>
          <w:b/>
          <w:bCs/>
          <w:color w:val="000000"/>
          <w:sz w:val="20"/>
          <w:szCs w:val="20"/>
        </w:rPr>
        <w:t>Report of Independent Registered Public Accounting Firm</w:t>
      </w:r>
    </w:p>
    <w:p w14:paraId="50FEB5C2" w14:textId="77777777" w:rsidR="00000000" w:rsidRDefault="00C1661D">
      <w:pPr>
        <w:jc w:val="center"/>
        <w:rPr>
          <w:rFonts w:eastAsia="Times New Roman"/>
        </w:rPr>
      </w:pPr>
    </w:p>
    <w:p w14:paraId="568FA213" w14:textId="77777777" w:rsidR="00000000" w:rsidRDefault="00C1661D">
      <w:pPr>
        <w:jc w:val="both"/>
        <w:divId w:val="902565274"/>
        <w:rPr>
          <w:rFonts w:eastAsia="Times New Roman"/>
        </w:rPr>
      </w:pPr>
      <w:r>
        <w:rPr>
          <w:rFonts w:eastAsia="Times New Roman"/>
          <w:color w:val="000000"/>
          <w:sz w:val="20"/>
          <w:szCs w:val="20"/>
        </w:rPr>
        <w:t>To the Stockholders and the Board of Directors of UG</w:t>
      </w:r>
      <w:r>
        <w:rPr>
          <w:rFonts w:eastAsia="Times New Roman"/>
          <w:color w:val="000000"/>
          <w:sz w:val="20"/>
          <w:szCs w:val="20"/>
        </w:rPr>
        <w:t xml:space="preserve">I Corporation </w:t>
      </w:r>
    </w:p>
    <w:p w14:paraId="5F49A17F" w14:textId="77777777" w:rsidR="00000000" w:rsidRDefault="00C1661D">
      <w:pPr>
        <w:jc w:val="both"/>
        <w:divId w:val="1530027522"/>
        <w:rPr>
          <w:rFonts w:eastAsia="Times New Roman"/>
        </w:rPr>
      </w:pPr>
      <w:r>
        <w:rPr>
          <w:rFonts w:eastAsia="Times New Roman"/>
          <w:b/>
          <w:bCs/>
          <w:color w:val="000000"/>
          <w:sz w:val="20"/>
          <w:szCs w:val="20"/>
        </w:rPr>
        <w:t xml:space="preserve">Opinion on the Financial Statements </w:t>
      </w:r>
    </w:p>
    <w:p w14:paraId="26C562E0" w14:textId="77777777" w:rsidR="00000000" w:rsidRDefault="00C1661D">
      <w:pPr>
        <w:jc w:val="both"/>
        <w:rPr>
          <w:rFonts w:eastAsia="Times New Roman"/>
        </w:rPr>
      </w:pPr>
      <w:r>
        <w:rPr>
          <w:rFonts w:eastAsia="Times New Roman"/>
          <w:color w:val="000000"/>
          <w:sz w:val="20"/>
          <w:szCs w:val="20"/>
        </w:rPr>
        <w:t>We have audited the accompanying consolidated balance sheets of UGI Corporation and subsidiaries (the Company) as of September 30, 2022 and 2021, the related consolidated statements of income, comprehensi</w:t>
      </w:r>
      <w:r>
        <w:rPr>
          <w:rFonts w:eastAsia="Times New Roman"/>
          <w:color w:val="000000"/>
          <w:sz w:val="20"/>
          <w:szCs w:val="20"/>
        </w:rPr>
        <w:t>ve income, changes in equity and cash flows for each of the three years in the period ended September 30, 2022, and the related notes and the financial statement schedules listed in the Index at Item 15(a) (collectively referred to as the “consolidated fin</w:t>
      </w:r>
      <w:r>
        <w:rPr>
          <w:rFonts w:eastAsia="Times New Roman"/>
          <w:color w:val="000000"/>
          <w:sz w:val="20"/>
          <w:szCs w:val="20"/>
        </w:rPr>
        <w:t xml:space="preserve">ancial statements”). In our opinion, the consolidated financial statements present fairly, in all material respects, the financial position of the Company at September 30, 2022 and 2021, and the results of its operations and its cash flows for each of the </w:t>
      </w:r>
      <w:r>
        <w:rPr>
          <w:rFonts w:eastAsia="Times New Roman"/>
          <w:color w:val="000000"/>
          <w:sz w:val="20"/>
          <w:szCs w:val="20"/>
        </w:rPr>
        <w:t xml:space="preserve">three years in the period ended September 30, 2022, in conformity with U.S. generally accepted accounting principles. </w:t>
      </w:r>
    </w:p>
    <w:p w14:paraId="7D6EE7C4" w14:textId="77777777" w:rsidR="00000000" w:rsidRDefault="00C1661D">
      <w:pPr>
        <w:jc w:val="both"/>
        <w:rPr>
          <w:rFonts w:eastAsia="Times New Roman"/>
        </w:rPr>
      </w:pPr>
    </w:p>
    <w:p w14:paraId="22BE337B" w14:textId="77777777" w:rsidR="00000000" w:rsidRDefault="00C1661D">
      <w:pPr>
        <w:jc w:val="both"/>
        <w:rPr>
          <w:rFonts w:eastAsia="Times New Roman"/>
        </w:rPr>
      </w:pPr>
      <w:r>
        <w:rPr>
          <w:rFonts w:eastAsia="Times New Roman"/>
          <w:color w:val="000000"/>
          <w:sz w:val="20"/>
          <w:szCs w:val="20"/>
        </w:rPr>
        <w:t>We also have audited, in accordance with the standards of the Public Company Accounting Oversight Board (United States) (PCAOB), the Co</w:t>
      </w:r>
      <w:r>
        <w:rPr>
          <w:rFonts w:eastAsia="Times New Roman"/>
          <w:color w:val="000000"/>
          <w:sz w:val="20"/>
          <w:szCs w:val="20"/>
        </w:rPr>
        <w:t>mpany's internal control over financial reporting as of September 30, 2022, based on criteria established in Internal Control-Integrated Framework issued by the Committee of Sponsoring Organizations of the Treadway Commission (2013 framework) and our repor</w:t>
      </w:r>
      <w:r>
        <w:rPr>
          <w:rFonts w:eastAsia="Times New Roman"/>
          <w:color w:val="000000"/>
          <w:sz w:val="20"/>
          <w:szCs w:val="20"/>
        </w:rPr>
        <w:t>t dated November 21, 2022, expressed an unqualified opinion thereon.</w:t>
      </w:r>
    </w:p>
    <w:p w14:paraId="75C9B119" w14:textId="77777777" w:rsidR="00000000" w:rsidRDefault="00C1661D">
      <w:pPr>
        <w:jc w:val="both"/>
        <w:rPr>
          <w:rFonts w:eastAsia="Times New Roman"/>
        </w:rPr>
      </w:pPr>
    </w:p>
    <w:p w14:paraId="559C0DDB" w14:textId="77777777" w:rsidR="00000000" w:rsidRDefault="00C1661D">
      <w:pPr>
        <w:jc w:val="both"/>
        <w:rPr>
          <w:rFonts w:eastAsia="Times New Roman"/>
        </w:rPr>
      </w:pPr>
      <w:r>
        <w:rPr>
          <w:rFonts w:eastAsia="Times New Roman"/>
          <w:b/>
          <w:bCs/>
          <w:color w:val="000000"/>
          <w:sz w:val="20"/>
          <w:szCs w:val="20"/>
        </w:rPr>
        <w:t xml:space="preserve">Basis for Opinion </w:t>
      </w:r>
    </w:p>
    <w:p w14:paraId="5ECC7B79" w14:textId="77777777" w:rsidR="00000000" w:rsidRDefault="00C1661D">
      <w:pPr>
        <w:jc w:val="both"/>
        <w:rPr>
          <w:rFonts w:eastAsia="Times New Roman"/>
        </w:rPr>
      </w:pPr>
    </w:p>
    <w:p w14:paraId="65A9C6E4" w14:textId="77777777" w:rsidR="00000000" w:rsidRDefault="00C1661D">
      <w:pPr>
        <w:jc w:val="both"/>
        <w:rPr>
          <w:rFonts w:eastAsia="Times New Roman"/>
        </w:rPr>
      </w:pPr>
      <w:r>
        <w:rPr>
          <w:rFonts w:eastAsia="Times New Roman"/>
          <w:color w:val="000000"/>
          <w:sz w:val="20"/>
          <w:szCs w:val="20"/>
        </w:rPr>
        <w:t>These financial statements are the responsibility of the Company's management. Our responsibility is to express an opinion on the Company’s financial statements based on our audits. We are a public accounting firm registered with the PCAOB and are required</w:t>
      </w:r>
      <w:r>
        <w:rPr>
          <w:rFonts w:eastAsia="Times New Roman"/>
          <w:color w:val="000000"/>
          <w:sz w:val="20"/>
          <w:szCs w:val="20"/>
        </w:rPr>
        <w:t xml:space="preserve"> to be independent with respect to the Company in accordance with the U.S. federal securities laws and the applicable rules and regulations of the Securities and Exchange Commission and the PCAOB. </w:t>
      </w:r>
    </w:p>
    <w:p w14:paraId="3D401549" w14:textId="77777777" w:rsidR="00000000" w:rsidRDefault="00C1661D">
      <w:pPr>
        <w:jc w:val="both"/>
        <w:rPr>
          <w:rFonts w:eastAsia="Times New Roman"/>
        </w:rPr>
      </w:pPr>
    </w:p>
    <w:p w14:paraId="5E7D600B" w14:textId="77777777" w:rsidR="00000000" w:rsidRDefault="00C1661D">
      <w:pPr>
        <w:jc w:val="both"/>
        <w:rPr>
          <w:rFonts w:eastAsia="Times New Roman"/>
        </w:rPr>
      </w:pPr>
      <w:r>
        <w:rPr>
          <w:rFonts w:eastAsia="Times New Roman"/>
          <w:color w:val="000000"/>
          <w:sz w:val="20"/>
          <w:szCs w:val="20"/>
        </w:rPr>
        <w:t>We conducted our audits in accordance with the standards</w:t>
      </w:r>
      <w:r>
        <w:rPr>
          <w:rFonts w:eastAsia="Times New Roman"/>
          <w:color w:val="000000"/>
          <w:sz w:val="20"/>
          <w:szCs w:val="20"/>
        </w:rPr>
        <w:t xml:space="preserve"> of the PCAOB. Those standards require that we plan and perform the audit to obtain reasonable assurance about whether the financial statements are free of material misstatement, whether due to error or fraud. Our audits included performing procedures to a</w:t>
      </w:r>
      <w:r>
        <w:rPr>
          <w:rFonts w:eastAsia="Times New Roman"/>
          <w:color w:val="000000"/>
          <w:sz w:val="20"/>
          <w:szCs w:val="20"/>
        </w:rPr>
        <w:t xml:space="preserve">ssess the risks of material misstatement of the financial statements, whether due to error or fraud, and performing procedures that respond to those risks. Such procedures included examining, on a test basis, evidence regarding the amounts and disclosures </w:t>
      </w:r>
      <w:r>
        <w:rPr>
          <w:rFonts w:eastAsia="Times New Roman"/>
          <w:color w:val="000000"/>
          <w:sz w:val="20"/>
          <w:szCs w:val="20"/>
        </w:rPr>
        <w:t>in the financial statements. Our audits also included evaluating the accounting principles used and significant estimates made by management, as well as evaluating the overall presentation of the financial statements. We believe that our audits provide a r</w:t>
      </w:r>
      <w:r>
        <w:rPr>
          <w:rFonts w:eastAsia="Times New Roman"/>
          <w:color w:val="000000"/>
          <w:sz w:val="20"/>
          <w:szCs w:val="20"/>
        </w:rPr>
        <w:t xml:space="preserve">easonable basis for our opinion. </w:t>
      </w:r>
    </w:p>
    <w:p w14:paraId="0ADA6DA0" w14:textId="77777777" w:rsidR="00000000" w:rsidRDefault="00C1661D">
      <w:pPr>
        <w:jc w:val="both"/>
        <w:rPr>
          <w:rFonts w:eastAsia="Times New Roman"/>
        </w:rPr>
      </w:pPr>
    </w:p>
    <w:p w14:paraId="78AC4E9D" w14:textId="77777777" w:rsidR="00000000" w:rsidRDefault="00C1661D">
      <w:pPr>
        <w:jc w:val="both"/>
        <w:rPr>
          <w:rFonts w:eastAsia="Times New Roman"/>
        </w:rPr>
      </w:pPr>
      <w:r>
        <w:rPr>
          <w:rFonts w:eastAsia="Times New Roman"/>
          <w:b/>
          <w:bCs/>
          <w:color w:val="000000"/>
          <w:sz w:val="20"/>
          <w:szCs w:val="20"/>
        </w:rPr>
        <w:t>Critical Audit Matter</w:t>
      </w:r>
    </w:p>
    <w:p w14:paraId="0550E5C8" w14:textId="77777777" w:rsidR="00000000" w:rsidRDefault="00C1661D">
      <w:pPr>
        <w:jc w:val="both"/>
        <w:rPr>
          <w:rFonts w:eastAsia="Times New Roman"/>
        </w:rPr>
      </w:pPr>
    </w:p>
    <w:p w14:paraId="0B8BF02B" w14:textId="77777777" w:rsidR="00000000" w:rsidRDefault="00C1661D">
      <w:pPr>
        <w:jc w:val="both"/>
        <w:rPr>
          <w:rFonts w:eastAsia="Times New Roman"/>
        </w:rPr>
      </w:pPr>
      <w:r>
        <w:rPr>
          <w:rFonts w:eastAsia="Times New Roman"/>
          <w:color w:val="000000"/>
          <w:sz w:val="20"/>
          <w:szCs w:val="20"/>
        </w:rPr>
        <w:t>The critical audit matter communicated below is a matter arising from the current period audit of the financial statements that was communicated or required to be communicated to the audit committ</w:t>
      </w:r>
      <w:r>
        <w:rPr>
          <w:rFonts w:eastAsia="Times New Roman"/>
          <w:color w:val="000000"/>
          <w:sz w:val="20"/>
          <w:szCs w:val="20"/>
        </w:rPr>
        <w:t>ee and that: (1) relates to accounts or disclosures that are material to the financial statements and (2) involved our especially challenging, subjective, or complex judgments. The communication of the critical audit matter does not alter in any way our op</w:t>
      </w:r>
      <w:r>
        <w:rPr>
          <w:rFonts w:eastAsia="Times New Roman"/>
          <w:color w:val="000000"/>
          <w:sz w:val="20"/>
          <w:szCs w:val="20"/>
        </w:rPr>
        <w:t>inion on the consolidated financial statements, taken as a whole, and we are not, by communicating the critical audit matter below, providing a separate opinion on the critical audit matter or on the accounts or disclosures to which it relates.</w:t>
      </w:r>
    </w:p>
    <w:tbl>
      <w:tblPr>
        <w:tblW w:w="4992" w:type="pct"/>
        <w:tblCellMar>
          <w:top w:w="15" w:type="dxa"/>
          <w:left w:w="15" w:type="dxa"/>
          <w:bottom w:w="15" w:type="dxa"/>
          <w:right w:w="15" w:type="dxa"/>
        </w:tblCellMar>
        <w:tblLook w:val="04A0" w:firstRow="1" w:lastRow="0" w:firstColumn="1" w:lastColumn="0" w:noHBand="0" w:noVBand="1"/>
      </w:tblPr>
      <w:tblGrid>
        <w:gridCol w:w="85"/>
        <w:gridCol w:w="892"/>
        <w:gridCol w:w="36"/>
        <w:gridCol w:w="36"/>
        <w:gridCol w:w="172"/>
        <w:gridCol w:w="36"/>
        <w:gridCol w:w="41"/>
        <w:gridCol w:w="6959"/>
        <w:gridCol w:w="36"/>
      </w:tblGrid>
      <w:tr w:rsidR="00000000" w14:paraId="2370D640" w14:textId="77777777">
        <w:trPr>
          <w:divId w:val="1927496646"/>
        </w:trPr>
        <w:tc>
          <w:tcPr>
            <w:tcW w:w="50" w:type="pct"/>
            <w:vAlign w:val="center"/>
            <w:hideMark/>
          </w:tcPr>
          <w:p w14:paraId="1289522D" w14:textId="77777777" w:rsidR="00000000" w:rsidRDefault="00C1661D">
            <w:pPr>
              <w:jc w:val="both"/>
              <w:rPr>
                <w:rFonts w:eastAsia="Times New Roman"/>
              </w:rPr>
            </w:pPr>
          </w:p>
        </w:tc>
        <w:tc>
          <w:tcPr>
            <w:tcW w:w="530" w:type="pct"/>
            <w:vAlign w:val="center"/>
            <w:hideMark/>
          </w:tcPr>
          <w:p w14:paraId="392256CC" w14:textId="77777777" w:rsidR="00000000" w:rsidRDefault="00C1661D">
            <w:pPr>
              <w:spacing w:after="100"/>
              <w:rPr>
                <w:rFonts w:eastAsia="Times New Roman"/>
                <w:sz w:val="20"/>
                <w:szCs w:val="20"/>
              </w:rPr>
            </w:pPr>
          </w:p>
        </w:tc>
        <w:tc>
          <w:tcPr>
            <w:tcW w:w="5" w:type="pct"/>
            <w:vAlign w:val="center"/>
            <w:hideMark/>
          </w:tcPr>
          <w:p w14:paraId="7568B0C4" w14:textId="77777777" w:rsidR="00000000" w:rsidRDefault="00C1661D">
            <w:pPr>
              <w:spacing w:after="100"/>
              <w:rPr>
                <w:rFonts w:eastAsia="Times New Roman"/>
                <w:sz w:val="20"/>
                <w:szCs w:val="20"/>
              </w:rPr>
            </w:pPr>
          </w:p>
        </w:tc>
        <w:tc>
          <w:tcPr>
            <w:tcW w:w="5" w:type="pct"/>
            <w:vAlign w:val="center"/>
            <w:hideMark/>
          </w:tcPr>
          <w:p w14:paraId="4C52352E" w14:textId="77777777" w:rsidR="00000000" w:rsidRDefault="00C1661D">
            <w:pPr>
              <w:spacing w:after="100"/>
              <w:rPr>
                <w:rFonts w:eastAsia="Times New Roman"/>
                <w:sz w:val="20"/>
                <w:szCs w:val="20"/>
              </w:rPr>
            </w:pPr>
          </w:p>
        </w:tc>
        <w:tc>
          <w:tcPr>
            <w:tcW w:w="129" w:type="pct"/>
            <w:vAlign w:val="center"/>
            <w:hideMark/>
          </w:tcPr>
          <w:p w14:paraId="08CF07CC" w14:textId="77777777" w:rsidR="00000000" w:rsidRDefault="00C1661D">
            <w:pPr>
              <w:spacing w:after="100"/>
              <w:rPr>
                <w:rFonts w:eastAsia="Times New Roman"/>
                <w:sz w:val="20"/>
                <w:szCs w:val="20"/>
              </w:rPr>
            </w:pPr>
          </w:p>
        </w:tc>
        <w:tc>
          <w:tcPr>
            <w:tcW w:w="5" w:type="pct"/>
            <w:vAlign w:val="center"/>
            <w:hideMark/>
          </w:tcPr>
          <w:p w14:paraId="096AC7AC" w14:textId="77777777" w:rsidR="00000000" w:rsidRDefault="00C1661D">
            <w:pPr>
              <w:spacing w:after="100"/>
              <w:rPr>
                <w:rFonts w:eastAsia="Times New Roman"/>
                <w:sz w:val="20"/>
                <w:szCs w:val="20"/>
              </w:rPr>
            </w:pPr>
          </w:p>
        </w:tc>
        <w:tc>
          <w:tcPr>
            <w:tcW w:w="50" w:type="pct"/>
            <w:vAlign w:val="center"/>
            <w:hideMark/>
          </w:tcPr>
          <w:p w14:paraId="607ACB8D" w14:textId="77777777" w:rsidR="00000000" w:rsidRDefault="00C1661D">
            <w:pPr>
              <w:spacing w:after="100"/>
              <w:rPr>
                <w:rFonts w:eastAsia="Times New Roman"/>
                <w:sz w:val="20"/>
                <w:szCs w:val="20"/>
              </w:rPr>
            </w:pPr>
          </w:p>
        </w:tc>
        <w:tc>
          <w:tcPr>
            <w:tcW w:w="4220" w:type="pct"/>
            <w:vAlign w:val="center"/>
            <w:hideMark/>
          </w:tcPr>
          <w:p w14:paraId="61DFD7A8" w14:textId="77777777" w:rsidR="00000000" w:rsidRDefault="00C1661D">
            <w:pPr>
              <w:spacing w:after="100"/>
              <w:rPr>
                <w:rFonts w:eastAsia="Times New Roman"/>
                <w:sz w:val="20"/>
                <w:szCs w:val="20"/>
              </w:rPr>
            </w:pPr>
          </w:p>
        </w:tc>
        <w:tc>
          <w:tcPr>
            <w:tcW w:w="5" w:type="pct"/>
            <w:vAlign w:val="center"/>
            <w:hideMark/>
          </w:tcPr>
          <w:p w14:paraId="63613666" w14:textId="77777777" w:rsidR="00000000" w:rsidRDefault="00C1661D">
            <w:pPr>
              <w:spacing w:after="100"/>
              <w:rPr>
                <w:rFonts w:eastAsia="Times New Roman"/>
                <w:sz w:val="20"/>
                <w:szCs w:val="20"/>
              </w:rPr>
            </w:pPr>
          </w:p>
        </w:tc>
      </w:tr>
      <w:tr w:rsidR="00000000" w14:paraId="552DB0D1" w14:textId="77777777">
        <w:trPr>
          <w:divId w:val="1927496646"/>
        </w:trPr>
        <w:tc>
          <w:tcPr>
            <w:tcW w:w="0" w:type="auto"/>
            <w:gridSpan w:val="3"/>
            <w:tcMar>
              <w:top w:w="0" w:type="dxa"/>
              <w:left w:w="20" w:type="dxa"/>
              <w:bottom w:w="0" w:type="dxa"/>
              <w:right w:w="20" w:type="dxa"/>
            </w:tcMar>
            <w:vAlign w:val="center"/>
            <w:hideMark/>
          </w:tcPr>
          <w:p w14:paraId="3AD81E02"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03F484"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hideMark/>
          </w:tcPr>
          <w:p w14:paraId="02C831DE" w14:textId="77777777" w:rsidR="00000000" w:rsidRDefault="00C1661D">
            <w:pPr>
              <w:spacing w:after="100"/>
              <w:rPr>
                <w:rFonts w:eastAsia="Times New Roman"/>
              </w:rPr>
            </w:pPr>
            <w:r>
              <w:rPr>
                <w:rFonts w:eastAsia="Times New Roman"/>
                <w:b/>
                <w:bCs/>
                <w:i/>
                <w:iCs/>
                <w:color w:val="000000"/>
                <w:sz w:val="20"/>
                <w:szCs w:val="20"/>
              </w:rPr>
              <w:t>Valuation of general liability, automobile and workers’ compensation reserves</w:t>
            </w:r>
          </w:p>
        </w:tc>
      </w:tr>
      <w:tr w:rsidR="00000000" w14:paraId="3F0024CC" w14:textId="77777777">
        <w:trPr>
          <w:divId w:val="1927496646"/>
        </w:trPr>
        <w:tc>
          <w:tcPr>
            <w:tcW w:w="0" w:type="auto"/>
            <w:gridSpan w:val="3"/>
            <w:tcMar>
              <w:top w:w="30" w:type="dxa"/>
              <w:left w:w="20" w:type="dxa"/>
              <w:bottom w:w="30" w:type="dxa"/>
              <w:right w:w="20" w:type="dxa"/>
            </w:tcMar>
            <w:hideMark/>
          </w:tcPr>
          <w:p w14:paraId="54E53158" w14:textId="77777777" w:rsidR="00000000" w:rsidRDefault="00C1661D">
            <w:pPr>
              <w:spacing w:after="100"/>
              <w:rPr>
                <w:rFonts w:eastAsia="Times New Roman"/>
              </w:rPr>
            </w:pPr>
            <w:r>
              <w:rPr>
                <w:rFonts w:eastAsia="Times New Roman"/>
                <w:i/>
                <w:iCs/>
                <w:color w:val="000000"/>
                <w:sz w:val="20"/>
                <w:szCs w:val="20"/>
              </w:rPr>
              <w:t>Description of the Matter</w:t>
            </w:r>
          </w:p>
        </w:tc>
        <w:tc>
          <w:tcPr>
            <w:tcW w:w="0" w:type="auto"/>
            <w:gridSpan w:val="3"/>
            <w:tcMar>
              <w:top w:w="0" w:type="dxa"/>
              <w:left w:w="20" w:type="dxa"/>
              <w:bottom w:w="0" w:type="dxa"/>
              <w:right w:w="20" w:type="dxa"/>
            </w:tcMar>
            <w:vAlign w:val="center"/>
            <w:hideMark/>
          </w:tcPr>
          <w:p w14:paraId="77A2F1A1" w14:textId="77777777" w:rsidR="00000000" w:rsidRDefault="00C1661D">
            <w:pPr>
              <w:spacing w:after="100"/>
              <w:rPr>
                <w:rFonts w:eastAsia="Times New Roman"/>
              </w:rPr>
            </w:pPr>
          </w:p>
        </w:tc>
        <w:tc>
          <w:tcPr>
            <w:tcW w:w="0" w:type="auto"/>
            <w:gridSpan w:val="3"/>
            <w:tcMar>
              <w:top w:w="30" w:type="dxa"/>
              <w:left w:w="20" w:type="dxa"/>
              <w:bottom w:w="30" w:type="dxa"/>
              <w:right w:w="20" w:type="dxa"/>
            </w:tcMar>
            <w:hideMark/>
          </w:tcPr>
          <w:p w14:paraId="411CA693" w14:textId="77777777" w:rsidR="00000000" w:rsidRDefault="00C1661D">
            <w:pPr>
              <w:spacing w:after="100"/>
              <w:jc w:val="both"/>
              <w:divId w:val="652150277"/>
              <w:rPr>
                <w:rFonts w:eastAsia="Times New Roman"/>
              </w:rPr>
            </w:pPr>
            <w:r>
              <w:rPr>
                <w:rFonts w:eastAsia="Times New Roman"/>
                <w:color w:val="000000"/>
                <w:sz w:val="20"/>
                <w:szCs w:val="20"/>
              </w:rPr>
              <w:t>As discussed in Note 2 to the consolidated financial statements, the Company is subject to risk of loss for general liability, automobile and workers’ compensation claims for which it obtains coverage under insurance policies that are subject to self-insur</w:t>
            </w:r>
            <w:r>
              <w:rPr>
                <w:rFonts w:eastAsia="Times New Roman"/>
                <w:color w:val="000000"/>
                <w:sz w:val="20"/>
                <w:szCs w:val="20"/>
              </w:rPr>
              <w:t>ed retentions or deductibles. The Company establishes reserves for pending and incurred but not reported claims associated with general liability, automobile and workers’ compensation when it is probable that a liability exists and the amount or range of a</w:t>
            </w:r>
            <w:r>
              <w:rPr>
                <w:rFonts w:eastAsia="Times New Roman"/>
                <w:color w:val="000000"/>
                <w:sz w:val="20"/>
                <w:szCs w:val="20"/>
              </w:rPr>
              <w:t>mounts can be reasonably estimated.</w:t>
            </w:r>
          </w:p>
          <w:p w14:paraId="032F1D43" w14:textId="77777777" w:rsidR="00000000" w:rsidRDefault="00C1661D">
            <w:pPr>
              <w:spacing w:after="100"/>
              <w:jc w:val="both"/>
              <w:rPr>
                <w:rFonts w:eastAsia="Times New Roman"/>
              </w:rPr>
            </w:pPr>
            <w:r>
              <w:rPr>
                <w:rFonts w:eastAsia="Times New Roman"/>
                <w:color w:val="000000"/>
                <w:sz w:val="20"/>
                <w:szCs w:val="20"/>
              </w:rPr>
              <w:t xml:space="preserve">Auditing the Company’s general liability, automobile and workers’ </w:t>
            </w:r>
            <w:r>
              <w:rPr>
                <w:rFonts w:eastAsia="Times New Roman"/>
                <w:color w:val="000000"/>
                <w:sz w:val="20"/>
                <w:szCs w:val="20"/>
              </w:rPr>
              <w:t>compensation reserves was complex and required us to involve our actuarial specialists due to the significant measurement uncertainty associated with the estimate and the use of actuarial methods. In addition, the reserve estimate is sensitive to significa</w:t>
            </w:r>
            <w:r>
              <w:rPr>
                <w:rFonts w:eastAsia="Times New Roman"/>
                <w:color w:val="000000"/>
                <w:sz w:val="20"/>
                <w:szCs w:val="20"/>
              </w:rPr>
              <w:t>nt management assumptions, including the loss development factors for reported claims.</w:t>
            </w:r>
          </w:p>
          <w:p w14:paraId="41824E3C" w14:textId="77777777" w:rsidR="00000000" w:rsidRDefault="00C1661D">
            <w:pPr>
              <w:spacing w:after="100"/>
              <w:jc w:val="both"/>
              <w:rPr>
                <w:rFonts w:eastAsia="Times New Roman"/>
              </w:rPr>
            </w:pPr>
          </w:p>
        </w:tc>
      </w:tr>
    </w:tbl>
    <w:p w14:paraId="03907E27" w14:textId="77777777" w:rsidR="00000000" w:rsidRDefault="00C1661D">
      <w:pPr>
        <w:jc w:val="center"/>
        <w:divId w:val="592663944"/>
        <w:rPr>
          <w:rFonts w:eastAsia="Times New Roman"/>
        </w:rPr>
      </w:pPr>
      <w:r>
        <w:rPr>
          <w:rFonts w:eastAsia="Times New Roman"/>
          <w:color w:val="000000"/>
          <w:sz w:val="20"/>
          <w:szCs w:val="20"/>
        </w:rPr>
        <w:t>F-4</w:t>
      </w:r>
    </w:p>
    <w:p w14:paraId="5944620D" w14:textId="77777777" w:rsidR="00000000" w:rsidRDefault="00C1661D">
      <w:pPr>
        <w:rPr>
          <w:rFonts w:eastAsia="Times New Roman"/>
        </w:rPr>
      </w:pPr>
      <w:r>
        <w:rPr>
          <w:rFonts w:eastAsia="Times New Roman"/>
        </w:rPr>
        <w:pict w14:anchorId="08571C55">
          <v:rect id="_x0000_i1117" style="width:0;height:1.5pt" o:hralign="center" o:hrstd="t" o:hr="t" fillcolor="#a0a0a0" stroked="f"/>
        </w:pict>
      </w:r>
    </w:p>
    <w:p w14:paraId="2F727C4B" w14:textId="77777777" w:rsidR="00000000" w:rsidRDefault="00C1661D">
      <w:pPr>
        <w:divId w:val="1085567272"/>
        <w:rPr>
          <w:rFonts w:eastAsia="Times New Roman"/>
        </w:rPr>
      </w:pPr>
      <w:hyperlink w:anchor="i3850c3c6c0104e42b9951aac2f16098a_7" w:history="1">
        <w:r>
          <w:rPr>
            <w:rStyle w:val="a3"/>
            <w:rFonts w:eastAsia="Times New Roman"/>
            <w:b/>
            <w:bCs/>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75"/>
        <w:gridCol w:w="842"/>
        <w:gridCol w:w="36"/>
        <w:gridCol w:w="36"/>
        <w:gridCol w:w="192"/>
        <w:gridCol w:w="36"/>
        <w:gridCol w:w="61"/>
        <w:gridCol w:w="6979"/>
        <w:gridCol w:w="36"/>
      </w:tblGrid>
      <w:tr w:rsidR="00000000" w14:paraId="1B954CDA" w14:textId="77777777">
        <w:trPr>
          <w:divId w:val="1518077133"/>
        </w:trPr>
        <w:tc>
          <w:tcPr>
            <w:tcW w:w="50" w:type="pct"/>
            <w:vAlign w:val="center"/>
            <w:hideMark/>
          </w:tcPr>
          <w:p w14:paraId="56170E7B" w14:textId="77777777" w:rsidR="00000000" w:rsidRDefault="00C1661D">
            <w:pPr>
              <w:rPr>
                <w:rFonts w:eastAsia="Times New Roman"/>
              </w:rPr>
            </w:pPr>
          </w:p>
        </w:tc>
        <w:tc>
          <w:tcPr>
            <w:tcW w:w="530" w:type="pct"/>
            <w:vAlign w:val="center"/>
            <w:hideMark/>
          </w:tcPr>
          <w:p w14:paraId="4D93583A" w14:textId="77777777" w:rsidR="00000000" w:rsidRDefault="00C1661D">
            <w:pPr>
              <w:spacing w:after="100"/>
              <w:rPr>
                <w:rFonts w:eastAsia="Times New Roman"/>
                <w:sz w:val="20"/>
                <w:szCs w:val="20"/>
              </w:rPr>
            </w:pPr>
          </w:p>
        </w:tc>
        <w:tc>
          <w:tcPr>
            <w:tcW w:w="5" w:type="pct"/>
            <w:vAlign w:val="center"/>
            <w:hideMark/>
          </w:tcPr>
          <w:p w14:paraId="28AC9737" w14:textId="77777777" w:rsidR="00000000" w:rsidRDefault="00C1661D">
            <w:pPr>
              <w:spacing w:after="100"/>
              <w:rPr>
                <w:rFonts w:eastAsia="Times New Roman"/>
                <w:sz w:val="20"/>
                <w:szCs w:val="20"/>
              </w:rPr>
            </w:pPr>
          </w:p>
        </w:tc>
        <w:tc>
          <w:tcPr>
            <w:tcW w:w="5" w:type="pct"/>
            <w:vAlign w:val="center"/>
            <w:hideMark/>
          </w:tcPr>
          <w:p w14:paraId="0031F346" w14:textId="77777777" w:rsidR="00000000" w:rsidRDefault="00C1661D">
            <w:pPr>
              <w:spacing w:after="100"/>
              <w:rPr>
                <w:rFonts w:eastAsia="Times New Roman"/>
                <w:sz w:val="20"/>
                <w:szCs w:val="20"/>
              </w:rPr>
            </w:pPr>
          </w:p>
        </w:tc>
        <w:tc>
          <w:tcPr>
            <w:tcW w:w="129" w:type="pct"/>
            <w:vAlign w:val="center"/>
            <w:hideMark/>
          </w:tcPr>
          <w:p w14:paraId="174E7330" w14:textId="77777777" w:rsidR="00000000" w:rsidRDefault="00C1661D">
            <w:pPr>
              <w:spacing w:after="100"/>
              <w:rPr>
                <w:rFonts w:eastAsia="Times New Roman"/>
                <w:sz w:val="20"/>
                <w:szCs w:val="20"/>
              </w:rPr>
            </w:pPr>
          </w:p>
        </w:tc>
        <w:tc>
          <w:tcPr>
            <w:tcW w:w="5" w:type="pct"/>
            <w:vAlign w:val="center"/>
            <w:hideMark/>
          </w:tcPr>
          <w:p w14:paraId="37A5B91A" w14:textId="77777777" w:rsidR="00000000" w:rsidRDefault="00C1661D">
            <w:pPr>
              <w:spacing w:after="100"/>
              <w:rPr>
                <w:rFonts w:eastAsia="Times New Roman"/>
                <w:sz w:val="20"/>
                <w:szCs w:val="20"/>
              </w:rPr>
            </w:pPr>
          </w:p>
        </w:tc>
        <w:tc>
          <w:tcPr>
            <w:tcW w:w="50" w:type="pct"/>
            <w:vAlign w:val="center"/>
            <w:hideMark/>
          </w:tcPr>
          <w:p w14:paraId="6BBAF949" w14:textId="77777777" w:rsidR="00000000" w:rsidRDefault="00C1661D">
            <w:pPr>
              <w:spacing w:after="100"/>
              <w:rPr>
                <w:rFonts w:eastAsia="Times New Roman"/>
                <w:sz w:val="20"/>
                <w:szCs w:val="20"/>
              </w:rPr>
            </w:pPr>
          </w:p>
        </w:tc>
        <w:tc>
          <w:tcPr>
            <w:tcW w:w="4220" w:type="pct"/>
            <w:vAlign w:val="center"/>
            <w:hideMark/>
          </w:tcPr>
          <w:p w14:paraId="7EFA4593" w14:textId="77777777" w:rsidR="00000000" w:rsidRDefault="00C1661D">
            <w:pPr>
              <w:spacing w:after="100"/>
              <w:rPr>
                <w:rFonts w:eastAsia="Times New Roman"/>
                <w:sz w:val="20"/>
                <w:szCs w:val="20"/>
              </w:rPr>
            </w:pPr>
          </w:p>
        </w:tc>
        <w:tc>
          <w:tcPr>
            <w:tcW w:w="5" w:type="pct"/>
            <w:vAlign w:val="center"/>
            <w:hideMark/>
          </w:tcPr>
          <w:p w14:paraId="624C1382" w14:textId="77777777" w:rsidR="00000000" w:rsidRDefault="00C1661D">
            <w:pPr>
              <w:spacing w:after="100"/>
              <w:rPr>
                <w:rFonts w:eastAsia="Times New Roman"/>
                <w:sz w:val="20"/>
                <w:szCs w:val="20"/>
              </w:rPr>
            </w:pPr>
          </w:p>
        </w:tc>
      </w:tr>
      <w:tr w:rsidR="00000000" w14:paraId="1130D882" w14:textId="77777777">
        <w:trPr>
          <w:divId w:val="1518077133"/>
        </w:trPr>
        <w:tc>
          <w:tcPr>
            <w:tcW w:w="0" w:type="auto"/>
            <w:gridSpan w:val="3"/>
            <w:tcMar>
              <w:top w:w="30" w:type="dxa"/>
              <w:left w:w="20" w:type="dxa"/>
              <w:bottom w:w="30" w:type="dxa"/>
              <w:right w:w="20" w:type="dxa"/>
            </w:tcMar>
            <w:hideMark/>
          </w:tcPr>
          <w:p w14:paraId="49B20CE1" w14:textId="77777777" w:rsidR="00000000" w:rsidRDefault="00C1661D">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0" w:type="dxa"/>
              <w:left w:w="20" w:type="dxa"/>
              <w:bottom w:w="0" w:type="dxa"/>
              <w:right w:w="20" w:type="dxa"/>
            </w:tcMar>
            <w:vAlign w:val="center"/>
            <w:hideMark/>
          </w:tcPr>
          <w:p w14:paraId="4EA4EABB" w14:textId="77777777" w:rsidR="00000000" w:rsidRDefault="00C1661D">
            <w:pPr>
              <w:spacing w:after="100"/>
              <w:rPr>
                <w:rFonts w:eastAsia="Times New Roman"/>
              </w:rPr>
            </w:pPr>
          </w:p>
        </w:tc>
        <w:tc>
          <w:tcPr>
            <w:tcW w:w="0" w:type="auto"/>
            <w:gridSpan w:val="3"/>
            <w:tcMar>
              <w:top w:w="30" w:type="dxa"/>
              <w:left w:w="20" w:type="dxa"/>
              <w:bottom w:w="30" w:type="dxa"/>
              <w:right w:w="20" w:type="dxa"/>
            </w:tcMar>
            <w:hideMark/>
          </w:tcPr>
          <w:p w14:paraId="27CDDD5B" w14:textId="77777777" w:rsidR="00000000" w:rsidRDefault="00C1661D">
            <w:pPr>
              <w:spacing w:after="100"/>
              <w:jc w:val="both"/>
              <w:divId w:val="1237545760"/>
              <w:rPr>
                <w:rFonts w:eastAsia="Times New Roman"/>
              </w:rPr>
            </w:pPr>
            <w:r>
              <w:rPr>
                <w:rFonts w:eastAsia="Times New Roman"/>
                <w:color w:val="000000"/>
                <w:sz w:val="20"/>
                <w:szCs w:val="20"/>
              </w:rPr>
              <w:t>We obtained an understanding, evaluated the design, and tested the operating effectiveness of controls over the Company’s valuation of general liability, automobile and workers’ compensation reserves. For example, we tested controls over management’s revie</w:t>
            </w:r>
            <w:r>
              <w:rPr>
                <w:rFonts w:eastAsia="Times New Roman"/>
                <w:color w:val="000000"/>
                <w:sz w:val="20"/>
                <w:szCs w:val="20"/>
              </w:rPr>
              <w:t>w of the appropriateness of the assumptions used in the calculations and the completeness and accuracy of the data underlying the reserves.</w:t>
            </w:r>
          </w:p>
          <w:p w14:paraId="1FB1A23C" w14:textId="77777777" w:rsidR="00000000" w:rsidRDefault="00C1661D">
            <w:pPr>
              <w:spacing w:after="100"/>
              <w:jc w:val="both"/>
              <w:rPr>
                <w:rFonts w:eastAsia="Times New Roman"/>
              </w:rPr>
            </w:pPr>
            <w:r>
              <w:rPr>
                <w:rFonts w:eastAsia="Times New Roman"/>
                <w:color w:val="000000"/>
                <w:sz w:val="20"/>
                <w:szCs w:val="20"/>
              </w:rPr>
              <w:t>To test the valuation of general liability, automobile and workers’ compensation reserves, our audit procedures incl</w:t>
            </w:r>
            <w:r>
              <w:rPr>
                <w:rFonts w:eastAsia="Times New Roman"/>
                <w:color w:val="000000"/>
                <w:sz w:val="20"/>
                <w:szCs w:val="20"/>
              </w:rPr>
              <w:t>uded, among others, assessing the methodologies used to estimate the reserves and testing the completeness and accuracy of the underlying data. We involved our actuarial specialists to assist in evaluating the significant assumptions and actuarial methodol</w:t>
            </w:r>
            <w:r>
              <w:rPr>
                <w:rFonts w:eastAsia="Times New Roman"/>
                <w:color w:val="000000"/>
                <w:sz w:val="20"/>
                <w:szCs w:val="20"/>
              </w:rPr>
              <w:t>ogies used by the Company to estimate the total expected losses for claims. We also performed a search for unrecorded claims reserves related to claims incurred prior to the balance sheet date through examination of subsequent payments and other supporting</w:t>
            </w:r>
            <w:r>
              <w:rPr>
                <w:rFonts w:eastAsia="Times New Roman"/>
                <w:color w:val="000000"/>
                <w:sz w:val="20"/>
                <w:szCs w:val="20"/>
              </w:rPr>
              <w:t xml:space="preserve"> documentation to determine if unrecorded claims affect the loss reserve estimation process or reserve balance.</w:t>
            </w:r>
          </w:p>
          <w:p w14:paraId="7CA997C8" w14:textId="77777777" w:rsidR="00000000" w:rsidRDefault="00C1661D">
            <w:pPr>
              <w:spacing w:after="100"/>
              <w:jc w:val="both"/>
              <w:rPr>
                <w:rFonts w:eastAsia="Times New Roman"/>
              </w:rPr>
            </w:pPr>
          </w:p>
        </w:tc>
      </w:tr>
      <w:tr w:rsidR="00000000" w14:paraId="762F4276" w14:textId="77777777">
        <w:trPr>
          <w:divId w:val="1518077133"/>
          <w:trHeight w:val="300"/>
        </w:trPr>
        <w:tc>
          <w:tcPr>
            <w:tcW w:w="0" w:type="auto"/>
            <w:gridSpan w:val="3"/>
            <w:tcMar>
              <w:top w:w="0" w:type="dxa"/>
              <w:left w:w="20" w:type="dxa"/>
              <w:bottom w:w="0" w:type="dxa"/>
              <w:right w:w="20" w:type="dxa"/>
            </w:tcMar>
            <w:vAlign w:val="center"/>
            <w:hideMark/>
          </w:tcPr>
          <w:p w14:paraId="19EEA8A7" w14:textId="77777777" w:rsidR="00000000" w:rsidRDefault="00C1661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3C8D5B2"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BB155B" w14:textId="77777777" w:rsidR="00000000" w:rsidRDefault="00C1661D">
            <w:pPr>
              <w:spacing w:after="100"/>
              <w:rPr>
                <w:rFonts w:eastAsia="Times New Roman"/>
                <w:sz w:val="20"/>
                <w:szCs w:val="20"/>
              </w:rPr>
            </w:pPr>
          </w:p>
        </w:tc>
      </w:tr>
    </w:tbl>
    <w:p w14:paraId="0E159332" w14:textId="77777777" w:rsidR="00000000" w:rsidRDefault="00C1661D">
      <w:pPr>
        <w:jc w:val="both"/>
        <w:rPr>
          <w:rFonts w:eastAsia="Times New Roman"/>
        </w:rPr>
      </w:pPr>
    </w:p>
    <w:p w14:paraId="6CBC8F0C" w14:textId="77777777" w:rsidR="00000000" w:rsidRDefault="00C1661D">
      <w:pPr>
        <w:jc w:val="both"/>
        <w:rPr>
          <w:rFonts w:eastAsia="Times New Roman"/>
        </w:rPr>
      </w:pPr>
      <w:r>
        <w:rPr>
          <w:rFonts w:eastAsia="Times New Roman"/>
          <w:color w:val="000000"/>
          <w:sz w:val="20"/>
          <w:szCs w:val="20"/>
        </w:rPr>
        <w:t>/s/ Ernst &amp; Young LLP</w:t>
      </w:r>
    </w:p>
    <w:p w14:paraId="18C8ADCE" w14:textId="77777777" w:rsidR="00000000" w:rsidRDefault="00C1661D">
      <w:pPr>
        <w:jc w:val="both"/>
        <w:rPr>
          <w:rFonts w:eastAsia="Times New Roman"/>
        </w:rPr>
      </w:pPr>
      <w:r>
        <w:rPr>
          <w:rFonts w:eastAsia="Times New Roman"/>
          <w:color w:val="000000"/>
          <w:sz w:val="20"/>
          <w:szCs w:val="20"/>
        </w:rPr>
        <w:t>We have served as the Company’s auditor since 2014.</w:t>
      </w:r>
    </w:p>
    <w:p w14:paraId="65C087C8" w14:textId="77777777" w:rsidR="00000000" w:rsidRDefault="00C1661D">
      <w:pPr>
        <w:jc w:val="both"/>
        <w:rPr>
          <w:rFonts w:eastAsia="Times New Roman"/>
        </w:rPr>
      </w:pPr>
      <w:r>
        <w:rPr>
          <w:rFonts w:eastAsia="Times New Roman"/>
          <w:color w:val="000000"/>
          <w:sz w:val="20"/>
          <w:szCs w:val="20"/>
        </w:rPr>
        <w:t>Philadelphia, Pennsylvania</w:t>
      </w:r>
    </w:p>
    <w:p w14:paraId="2625FC98" w14:textId="77777777" w:rsidR="00000000" w:rsidRDefault="00C1661D">
      <w:pPr>
        <w:divId w:val="591090883"/>
        <w:rPr>
          <w:rFonts w:eastAsia="Times New Roman"/>
        </w:rPr>
      </w:pPr>
      <w:r>
        <w:rPr>
          <w:rFonts w:eastAsia="Times New Roman"/>
          <w:color w:val="000000"/>
          <w:sz w:val="20"/>
          <w:szCs w:val="20"/>
        </w:rPr>
        <w:t>November 21, 2022</w:t>
      </w:r>
    </w:p>
    <w:p w14:paraId="1A580D24" w14:textId="77777777" w:rsidR="00000000" w:rsidRDefault="00C1661D">
      <w:pPr>
        <w:jc w:val="both"/>
        <w:rPr>
          <w:rFonts w:eastAsia="Times New Roman"/>
        </w:rPr>
      </w:pPr>
    </w:p>
    <w:p w14:paraId="3EFCE137" w14:textId="77777777" w:rsidR="00000000" w:rsidRDefault="00C1661D">
      <w:pPr>
        <w:jc w:val="both"/>
        <w:rPr>
          <w:rFonts w:eastAsia="Times New Roman"/>
        </w:rPr>
      </w:pPr>
    </w:p>
    <w:p w14:paraId="0658CB3C" w14:textId="77777777" w:rsidR="00000000" w:rsidRDefault="00C1661D">
      <w:pPr>
        <w:jc w:val="center"/>
        <w:divId w:val="1885216251"/>
        <w:rPr>
          <w:rFonts w:eastAsia="Times New Roman"/>
        </w:rPr>
      </w:pPr>
      <w:r>
        <w:rPr>
          <w:rFonts w:eastAsia="Times New Roman"/>
          <w:color w:val="000000"/>
          <w:sz w:val="20"/>
          <w:szCs w:val="20"/>
        </w:rPr>
        <w:t>F-5</w:t>
      </w:r>
    </w:p>
    <w:p w14:paraId="17795E84" w14:textId="77777777" w:rsidR="00000000" w:rsidRDefault="00C1661D">
      <w:pPr>
        <w:rPr>
          <w:rFonts w:eastAsia="Times New Roman"/>
        </w:rPr>
      </w:pPr>
      <w:r>
        <w:rPr>
          <w:rFonts w:eastAsia="Times New Roman"/>
        </w:rPr>
        <w:pict w14:anchorId="10E6B0F7">
          <v:rect id="_x0000_i1118" style="width:0;height:1.5pt" o:hralign="center" o:hrstd="t" o:hr="t" fillcolor="#a0a0a0" stroked="f"/>
        </w:pict>
      </w:r>
    </w:p>
    <w:p w14:paraId="262BBDC1" w14:textId="77777777" w:rsidR="00000000" w:rsidRDefault="00C1661D">
      <w:pPr>
        <w:divId w:val="1354266429"/>
        <w:rPr>
          <w:rFonts w:eastAsia="Times New Roman"/>
        </w:rPr>
      </w:pPr>
      <w:hyperlink w:anchor="i3850c3c6c0104e42b9951aac2f16098a_7" w:history="1">
        <w:r>
          <w:rPr>
            <w:rStyle w:val="a3"/>
            <w:rFonts w:eastAsia="Times New Roman"/>
            <w:b/>
            <w:bCs/>
            <w:sz w:val="20"/>
            <w:szCs w:val="20"/>
          </w:rPr>
          <w:t>Table of Contents</w:t>
        </w:r>
      </w:hyperlink>
    </w:p>
    <w:p w14:paraId="771B59BF" w14:textId="77777777" w:rsidR="00000000" w:rsidRDefault="00C1661D">
      <w:pPr>
        <w:jc w:val="center"/>
        <w:rPr>
          <w:rFonts w:eastAsia="Times New Roman"/>
        </w:rPr>
      </w:pPr>
      <w:r>
        <w:rPr>
          <w:rFonts w:eastAsia="Times New Roman"/>
          <w:color w:val="000000"/>
          <w:sz w:val="20"/>
          <w:szCs w:val="20"/>
        </w:rPr>
        <w:t>UGI CORPORATION AND SUBSIDIARIES</w:t>
      </w:r>
    </w:p>
    <w:p w14:paraId="6F4EDCE9" w14:textId="77777777" w:rsidR="00000000" w:rsidRDefault="00C1661D">
      <w:pPr>
        <w:ind w:firstLine="45"/>
        <w:jc w:val="center"/>
        <w:rPr>
          <w:rFonts w:eastAsia="Times New Roman"/>
        </w:rPr>
      </w:pPr>
      <w:r>
        <w:rPr>
          <w:rFonts w:eastAsia="Times New Roman"/>
          <w:color w:val="000000"/>
          <w:sz w:val="20"/>
          <w:szCs w:val="20"/>
        </w:rPr>
        <w:t>CONSOLIDATED BALANCE SHEETS</w:t>
      </w:r>
    </w:p>
    <w:p w14:paraId="3F7DBF78" w14:textId="77777777" w:rsidR="00000000" w:rsidRDefault="00C1661D">
      <w:pPr>
        <w:jc w:val="center"/>
        <w:rPr>
          <w:rFonts w:eastAsia="Times New Roman"/>
        </w:rPr>
      </w:pPr>
      <w:r>
        <w:rPr>
          <w:rFonts w:eastAsia="Times New Roman"/>
          <w:color w:val="000000"/>
          <w:sz w:val="20"/>
          <w:szCs w:val="20"/>
        </w:rPr>
        <w:t>(Millions of dollars)</w:t>
      </w:r>
    </w:p>
    <w:tbl>
      <w:tblPr>
        <w:tblW w:w="5000" w:type="pct"/>
        <w:tblCellMar>
          <w:top w:w="15" w:type="dxa"/>
          <w:left w:w="15" w:type="dxa"/>
          <w:bottom w:w="15" w:type="dxa"/>
          <w:right w:w="15" w:type="dxa"/>
        </w:tblCellMar>
        <w:tblLook w:val="04A0" w:firstRow="1" w:lastRow="0" w:firstColumn="1" w:lastColumn="0" w:noHBand="0" w:noVBand="1"/>
      </w:tblPr>
      <w:tblGrid>
        <w:gridCol w:w="44"/>
        <w:gridCol w:w="6441"/>
        <w:gridCol w:w="39"/>
        <w:gridCol w:w="110"/>
        <w:gridCol w:w="707"/>
        <w:gridCol w:w="36"/>
        <w:gridCol w:w="36"/>
        <w:gridCol w:w="36"/>
        <w:gridCol w:w="36"/>
        <w:gridCol w:w="110"/>
        <w:gridCol w:w="675"/>
        <w:gridCol w:w="36"/>
      </w:tblGrid>
      <w:tr w:rsidR="00000000" w14:paraId="5515B49D" w14:textId="77777777">
        <w:trPr>
          <w:divId w:val="1688678984"/>
        </w:trPr>
        <w:tc>
          <w:tcPr>
            <w:tcW w:w="50" w:type="pct"/>
            <w:vAlign w:val="center"/>
            <w:hideMark/>
          </w:tcPr>
          <w:p w14:paraId="56273CED" w14:textId="77777777" w:rsidR="00000000" w:rsidRDefault="00C1661D">
            <w:pPr>
              <w:jc w:val="center"/>
              <w:rPr>
                <w:rFonts w:eastAsia="Times New Roman"/>
              </w:rPr>
            </w:pPr>
          </w:p>
        </w:tc>
        <w:tc>
          <w:tcPr>
            <w:tcW w:w="3899" w:type="pct"/>
            <w:vAlign w:val="center"/>
            <w:hideMark/>
          </w:tcPr>
          <w:p w14:paraId="3A59443D" w14:textId="77777777" w:rsidR="00000000" w:rsidRDefault="00C1661D">
            <w:pPr>
              <w:spacing w:after="100"/>
              <w:rPr>
                <w:rFonts w:eastAsia="Times New Roman"/>
                <w:sz w:val="20"/>
                <w:szCs w:val="20"/>
              </w:rPr>
            </w:pPr>
          </w:p>
        </w:tc>
        <w:tc>
          <w:tcPr>
            <w:tcW w:w="5" w:type="pct"/>
            <w:vAlign w:val="center"/>
            <w:hideMark/>
          </w:tcPr>
          <w:p w14:paraId="0D9BA078" w14:textId="77777777" w:rsidR="00000000" w:rsidRDefault="00C1661D">
            <w:pPr>
              <w:spacing w:after="100"/>
              <w:rPr>
                <w:rFonts w:eastAsia="Times New Roman"/>
                <w:sz w:val="20"/>
                <w:szCs w:val="20"/>
              </w:rPr>
            </w:pPr>
          </w:p>
        </w:tc>
        <w:tc>
          <w:tcPr>
            <w:tcW w:w="50" w:type="pct"/>
            <w:vAlign w:val="center"/>
            <w:hideMark/>
          </w:tcPr>
          <w:p w14:paraId="2667D9F0" w14:textId="77777777" w:rsidR="00000000" w:rsidRDefault="00C1661D">
            <w:pPr>
              <w:spacing w:after="100"/>
              <w:rPr>
                <w:rFonts w:eastAsia="Times New Roman"/>
                <w:sz w:val="20"/>
                <w:szCs w:val="20"/>
              </w:rPr>
            </w:pPr>
          </w:p>
        </w:tc>
        <w:tc>
          <w:tcPr>
            <w:tcW w:w="449" w:type="pct"/>
            <w:vAlign w:val="center"/>
            <w:hideMark/>
          </w:tcPr>
          <w:p w14:paraId="79208475" w14:textId="77777777" w:rsidR="00000000" w:rsidRDefault="00C1661D">
            <w:pPr>
              <w:spacing w:after="100"/>
              <w:rPr>
                <w:rFonts w:eastAsia="Times New Roman"/>
                <w:sz w:val="20"/>
                <w:szCs w:val="20"/>
              </w:rPr>
            </w:pPr>
          </w:p>
        </w:tc>
        <w:tc>
          <w:tcPr>
            <w:tcW w:w="5" w:type="pct"/>
            <w:vAlign w:val="center"/>
            <w:hideMark/>
          </w:tcPr>
          <w:p w14:paraId="6F866626" w14:textId="77777777" w:rsidR="00000000" w:rsidRDefault="00C1661D">
            <w:pPr>
              <w:spacing w:after="100"/>
              <w:rPr>
                <w:rFonts w:eastAsia="Times New Roman"/>
                <w:sz w:val="20"/>
                <w:szCs w:val="20"/>
              </w:rPr>
            </w:pPr>
          </w:p>
        </w:tc>
        <w:tc>
          <w:tcPr>
            <w:tcW w:w="5" w:type="pct"/>
            <w:vAlign w:val="center"/>
            <w:hideMark/>
          </w:tcPr>
          <w:p w14:paraId="1209C481" w14:textId="77777777" w:rsidR="00000000" w:rsidRDefault="00C1661D">
            <w:pPr>
              <w:spacing w:after="100"/>
              <w:rPr>
                <w:rFonts w:eastAsia="Times New Roman"/>
                <w:sz w:val="20"/>
                <w:szCs w:val="20"/>
              </w:rPr>
            </w:pPr>
          </w:p>
        </w:tc>
        <w:tc>
          <w:tcPr>
            <w:tcW w:w="26" w:type="pct"/>
            <w:vAlign w:val="center"/>
            <w:hideMark/>
          </w:tcPr>
          <w:p w14:paraId="1BC456B7" w14:textId="77777777" w:rsidR="00000000" w:rsidRDefault="00C1661D">
            <w:pPr>
              <w:spacing w:after="100"/>
              <w:rPr>
                <w:rFonts w:eastAsia="Times New Roman"/>
                <w:sz w:val="20"/>
                <w:szCs w:val="20"/>
              </w:rPr>
            </w:pPr>
          </w:p>
        </w:tc>
        <w:tc>
          <w:tcPr>
            <w:tcW w:w="5" w:type="pct"/>
            <w:vAlign w:val="center"/>
            <w:hideMark/>
          </w:tcPr>
          <w:p w14:paraId="563F79C1" w14:textId="77777777" w:rsidR="00000000" w:rsidRDefault="00C1661D">
            <w:pPr>
              <w:spacing w:after="100"/>
              <w:rPr>
                <w:rFonts w:eastAsia="Times New Roman"/>
                <w:sz w:val="20"/>
                <w:szCs w:val="20"/>
              </w:rPr>
            </w:pPr>
          </w:p>
        </w:tc>
        <w:tc>
          <w:tcPr>
            <w:tcW w:w="50" w:type="pct"/>
            <w:vAlign w:val="center"/>
            <w:hideMark/>
          </w:tcPr>
          <w:p w14:paraId="5C2EC1B2" w14:textId="77777777" w:rsidR="00000000" w:rsidRDefault="00C1661D">
            <w:pPr>
              <w:spacing w:after="100"/>
              <w:rPr>
                <w:rFonts w:eastAsia="Times New Roman"/>
                <w:sz w:val="20"/>
                <w:szCs w:val="20"/>
              </w:rPr>
            </w:pPr>
          </w:p>
        </w:tc>
        <w:tc>
          <w:tcPr>
            <w:tcW w:w="449" w:type="pct"/>
            <w:vAlign w:val="center"/>
            <w:hideMark/>
          </w:tcPr>
          <w:p w14:paraId="08C9A8AD" w14:textId="77777777" w:rsidR="00000000" w:rsidRDefault="00C1661D">
            <w:pPr>
              <w:spacing w:after="100"/>
              <w:rPr>
                <w:rFonts w:eastAsia="Times New Roman"/>
                <w:sz w:val="20"/>
                <w:szCs w:val="20"/>
              </w:rPr>
            </w:pPr>
          </w:p>
        </w:tc>
        <w:tc>
          <w:tcPr>
            <w:tcW w:w="5" w:type="pct"/>
            <w:vAlign w:val="center"/>
            <w:hideMark/>
          </w:tcPr>
          <w:p w14:paraId="3B58B49D" w14:textId="77777777" w:rsidR="00000000" w:rsidRDefault="00C1661D">
            <w:pPr>
              <w:spacing w:after="100"/>
              <w:rPr>
                <w:rFonts w:eastAsia="Times New Roman"/>
                <w:sz w:val="20"/>
                <w:szCs w:val="20"/>
              </w:rPr>
            </w:pPr>
          </w:p>
        </w:tc>
      </w:tr>
      <w:tr w:rsidR="00000000" w14:paraId="7A5917F9" w14:textId="77777777">
        <w:trPr>
          <w:divId w:val="1688678984"/>
        </w:trPr>
        <w:tc>
          <w:tcPr>
            <w:tcW w:w="0" w:type="auto"/>
            <w:gridSpan w:val="3"/>
            <w:tcMar>
              <w:top w:w="30" w:type="dxa"/>
              <w:left w:w="20" w:type="dxa"/>
              <w:bottom w:w="30" w:type="dxa"/>
              <w:right w:w="20" w:type="dxa"/>
            </w:tcMar>
            <w:vAlign w:val="center"/>
            <w:hideMark/>
          </w:tcPr>
          <w:p w14:paraId="3CBED31C" w14:textId="77777777" w:rsidR="00000000" w:rsidRDefault="00C1661D">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14:paraId="7FB5BE79" w14:textId="77777777" w:rsidR="00000000" w:rsidRDefault="00C1661D">
            <w:pPr>
              <w:spacing w:after="100"/>
              <w:jc w:val="center"/>
              <w:rPr>
                <w:rFonts w:eastAsia="Times New Roman"/>
              </w:rPr>
            </w:pPr>
            <w:r>
              <w:rPr>
                <w:rFonts w:eastAsia="Times New Roman"/>
                <w:color w:val="000000"/>
                <w:sz w:val="18"/>
                <w:szCs w:val="18"/>
              </w:rPr>
              <w:t>September 30,</w:t>
            </w:r>
          </w:p>
        </w:tc>
      </w:tr>
      <w:tr w:rsidR="00000000" w14:paraId="43ECB27C" w14:textId="77777777">
        <w:trPr>
          <w:divId w:val="1688678984"/>
        </w:trPr>
        <w:tc>
          <w:tcPr>
            <w:tcW w:w="0" w:type="auto"/>
            <w:gridSpan w:val="3"/>
            <w:tcMar>
              <w:top w:w="30" w:type="dxa"/>
              <w:left w:w="20" w:type="dxa"/>
              <w:bottom w:w="30" w:type="dxa"/>
              <w:right w:w="20" w:type="dxa"/>
            </w:tcMar>
            <w:vAlign w:val="center"/>
            <w:hideMark/>
          </w:tcPr>
          <w:p w14:paraId="46F99A93" w14:textId="77777777" w:rsidR="00000000" w:rsidRDefault="00C1661D">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14:paraId="70ABE1A0" w14:textId="77777777" w:rsidR="00000000" w:rsidRDefault="00C1661D">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0CFBAA5E"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2DC399B6" w14:textId="77777777" w:rsidR="00000000" w:rsidRDefault="00C1661D">
            <w:pPr>
              <w:spacing w:after="100"/>
              <w:jc w:val="center"/>
              <w:rPr>
                <w:rFonts w:eastAsia="Times New Roman"/>
              </w:rPr>
            </w:pPr>
            <w:r>
              <w:rPr>
                <w:rFonts w:eastAsia="Times New Roman"/>
                <w:color w:val="000000"/>
                <w:sz w:val="18"/>
                <w:szCs w:val="18"/>
              </w:rPr>
              <w:t>2021</w:t>
            </w:r>
          </w:p>
        </w:tc>
      </w:tr>
      <w:tr w:rsidR="00000000" w14:paraId="72BAD35F" w14:textId="77777777">
        <w:trPr>
          <w:divId w:val="1688678984"/>
        </w:trPr>
        <w:tc>
          <w:tcPr>
            <w:tcW w:w="0" w:type="auto"/>
            <w:gridSpan w:val="3"/>
            <w:shd w:val="clear" w:color="auto" w:fill="CCEEFF"/>
            <w:tcMar>
              <w:top w:w="30" w:type="dxa"/>
              <w:left w:w="20" w:type="dxa"/>
              <w:bottom w:w="30" w:type="dxa"/>
              <w:right w:w="20" w:type="dxa"/>
            </w:tcMar>
            <w:vAlign w:val="center"/>
            <w:hideMark/>
          </w:tcPr>
          <w:p w14:paraId="6A8810F1" w14:textId="77777777" w:rsidR="00000000" w:rsidRDefault="00C1661D">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0FEDBD9" w14:textId="77777777" w:rsidR="00000000" w:rsidRDefault="00C1661D">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4C44D5B2"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7C6DA8C" w14:textId="77777777" w:rsidR="00000000" w:rsidRDefault="00C1661D">
            <w:pPr>
              <w:spacing w:after="100"/>
              <w:rPr>
                <w:rFonts w:eastAsia="Times New Roman"/>
              </w:rPr>
            </w:pPr>
            <w:r>
              <w:rPr>
                <w:rFonts w:eastAsia="Times New Roman"/>
                <w:color w:val="000000"/>
                <w:sz w:val="18"/>
                <w:szCs w:val="18"/>
              </w:rPr>
              <w:t> </w:t>
            </w:r>
          </w:p>
        </w:tc>
      </w:tr>
      <w:tr w:rsidR="00000000" w14:paraId="37C1E603" w14:textId="77777777">
        <w:trPr>
          <w:divId w:val="1688678984"/>
        </w:trPr>
        <w:tc>
          <w:tcPr>
            <w:tcW w:w="0" w:type="auto"/>
            <w:gridSpan w:val="3"/>
            <w:shd w:val="clear" w:color="auto" w:fill="FFFFFF"/>
            <w:tcMar>
              <w:top w:w="30" w:type="dxa"/>
              <w:left w:w="20" w:type="dxa"/>
              <w:bottom w:w="30" w:type="dxa"/>
              <w:right w:w="20" w:type="dxa"/>
            </w:tcMar>
            <w:vAlign w:val="center"/>
            <w:hideMark/>
          </w:tcPr>
          <w:p w14:paraId="044BCB4B" w14:textId="77777777" w:rsidR="00000000" w:rsidRDefault="00C1661D">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30" w:type="dxa"/>
              <w:left w:w="20" w:type="dxa"/>
              <w:bottom w:w="30" w:type="dxa"/>
              <w:right w:w="20" w:type="dxa"/>
            </w:tcMar>
            <w:vAlign w:val="center"/>
            <w:hideMark/>
          </w:tcPr>
          <w:p w14:paraId="6AC29F63" w14:textId="77777777" w:rsidR="00000000" w:rsidRDefault="00C1661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47697A12"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347CEDF7" w14:textId="77777777" w:rsidR="00000000" w:rsidRDefault="00C1661D">
            <w:pPr>
              <w:spacing w:after="100"/>
              <w:rPr>
                <w:rFonts w:eastAsia="Times New Roman"/>
              </w:rPr>
            </w:pPr>
            <w:r>
              <w:rPr>
                <w:rFonts w:eastAsia="Times New Roman"/>
                <w:color w:val="000000"/>
                <w:sz w:val="18"/>
                <w:szCs w:val="18"/>
              </w:rPr>
              <w:t> </w:t>
            </w:r>
          </w:p>
        </w:tc>
      </w:tr>
      <w:tr w:rsidR="00000000" w14:paraId="6DA727CE" w14:textId="77777777">
        <w:trPr>
          <w:divId w:val="1688678984"/>
        </w:trPr>
        <w:tc>
          <w:tcPr>
            <w:tcW w:w="0" w:type="auto"/>
            <w:gridSpan w:val="3"/>
            <w:shd w:val="clear" w:color="auto" w:fill="CCEEFF"/>
            <w:tcMar>
              <w:top w:w="30" w:type="dxa"/>
              <w:left w:w="380" w:type="dxa"/>
              <w:bottom w:w="30" w:type="dxa"/>
              <w:right w:w="20" w:type="dxa"/>
            </w:tcMar>
            <w:vAlign w:val="center"/>
            <w:hideMark/>
          </w:tcPr>
          <w:p w14:paraId="24A1CD4B" w14:textId="77777777" w:rsidR="00000000" w:rsidRDefault="00C1661D">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center"/>
            <w:hideMark/>
          </w:tcPr>
          <w:p w14:paraId="6E4D85AB"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F0DDFA4" w14:textId="77777777" w:rsidR="00000000" w:rsidRDefault="00C1661D">
            <w:pPr>
              <w:spacing w:after="100"/>
              <w:jc w:val="right"/>
              <w:rPr>
                <w:rFonts w:eastAsia="Times New Roman"/>
              </w:rPr>
            </w:pPr>
            <w:r>
              <w:rPr>
                <w:rFonts w:eastAsia="Times New Roman"/>
                <w:color w:val="000000"/>
                <w:sz w:val="18"/>
                <w:szCs w:val="18"/>
              </w:rPr>
              <w:t>405 </w:t>
            </w:r>
          </w:p>
        </w:tc>
        <w:tc>
          <w:tcPr>
            <w:tcW w:w="0" w:type="auto"/>
            <w:shd w:val="clear" w:color="auto" w:fill="CCEEFF"/>
            <w:tcMar>
              <w:top w:w="30" w:type="dxa"/>
              <w:left w:w="0" w:type="dxa"/>
              <w:bottom w:w="30" w:type="dxa"/>
              <w:right w:w="20" w:type="dxa"/>
            </w:tcMar>
            <w:vAlign w:val="center"/>
            <w:hideMark/>
          </w:tcPr>
          <w:p w14:paraId="42496D6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F78FB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5514442"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9B47D95" w14:textId="77777777" w:rsidR="00000000" w:rsidRDefault="00C1661D">
            <w:pPr>
              <w:spacing w:after="100"/>
              <w:jc w:val="right"/>
              <w:rPr>
                <w:rFonts w:eastAsia="Times New Roman"/>
              </w:rPr>
            </w:pPr>
            <w:r>
              <w:rPr>
                <w:rFonts w:eastAsia="Times New Roman"/>
                <w:color w:val="000000"/>
                <w:sz w:val="18"/>
                <w:szCs w:val="18"/>
              </w:rPr>
              <w:t>855 </w:t>
            </w:r>
          </w:p>
        </w:tc>
        <w:tc>
          <w:tcPr>
            <w:tcW w:w="0" w:type="auto"/>
            <w:shd w:val="clear" w:color="auto" w:fill="CCEEFF"/>
            <w:tcMar>
              <w:top w:w="30" w:type="dxa"/>
              <w:left w:w="0" w:type="dxa"/>
              <w:bottom w:w="30" w:type="dxa"/>
              <w:right w:w="20" w:type="dxa"/>
            </w:tcMar>
            <w:vAlign w:val="center"/>
            <w:hideMark/>
          </w:tcPr>
          <w:p w14:paraId="0C427C4C" w14:textId="77777777" w:rsidR="00000000" w:rsidRDefault="00C1661D">
            <w:pPr>
              <w:spacing w:after="100"/>
              <w:jc w:val="right"/>
              <w:rPr>
                <w:rFonts w:eastAsia="Times New Roman"/>
              </w:rPr>
            </w:pPr>
          </w:p>
        </w:tc>
      </w:tr>
      <w:tr w:rsidR="00000000" w14:paraId="3EC16904" w14:textId="77777777">
        <w:trPr>
          <w:divId w:val="1688678984"/>
        </w:trPr>
        <w:tc>
          <w:tcPr>
            <w:tcW w:w="0" w:type="auto"/>
            <w:gridSpan w:val="3"/>
            <w:shd w:val="clear" w:color="auto" w:fill="FFFFFF"/>
            <w:tcMar>
              <w:top w:w="30" w:type="dxa"/>
              <w:left w:w="380" w:type="dxa"/>
              <w:bottom w:w="30" w:type="dxa"/>
              <w:right w:w="20" w:type="dxa"/>
            </w:tcMar>
            <w:vAlign w:val="center"/>
            <w:hideMark/>
          </w:tcPr>
          <w:p w14:paraId="40AEEC84" w14:textId="77777777" w:rsidR="00000000" w:rsidRDefault="00C1661D">
            <w:pPr>
              <w:spacing w:after="100"/>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center"/>
            <w:hideMark/>
          </w:tcPr>
          <w:p w14:paraId="11B46656" w14:textId="77777777" w:rsidR="00000000" w:rsidRDefault="00C1661D">
            <w:pPr>
              <w:spacing w:after="100"/>
              <w:jc w:val="right"/>
              <w:rPr>
                <w:rFonts w:eastAsia="Times New Roman"/>
              </w:rPr>
            </w:pPr>
            <w:r>
              <w:rPr>
                <w:rFonts w:eastAsia="Times New Roman"/>
                <w:color w:val="000000"/>
                <w:sz w:val="18"/>
                <w:szCs w:val="18"/>
              </w:rPr>
              <w:t>64 </w:t>
            </w:r>
          </w:p>
        </w:tc>
        <w:tc>
          <w:tcPr>
            <w:tcW w:w="0" w:type="auto"/>
            <w:shd w:val="clear" w:color="auto" w:fill="FFFFFF"/>
            <w:tcMar>
              <w:top w:w="30" w:type="dxa"/>
              <w:left w:w="0" w:type="dxa"/>
              <w:bottom w:w="30" w:type="dxa"/>
              <w:right w:w="20" w:type="dxa"/>
            </w:tcMar>
            <w:vAlign w:val="center"/>
            <w:hideMark/>
          </w:tcPr>
          <w:p w14:paraId="50C6B7A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137C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2465FAE" w14:textId="77777777" w:rsidR="00000000" w:rsidRDefault="00C1661D">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center"/>
            <w:hideMark/>
          </w:tcPr>
          <w:p w14:paraId="40D176A5" w14:textId="77777777" w:rsidR="00000000" w:rsidRDefault="00C1661D">
            <w:pPr>
              <w:spacing w:after="100"/>
              <w:jc w:val="right"/>
              <w:rPr>
                <w:rFonts w:eastAsia="Times New Roman"/>
              </w:rPr>
            </w:pPr>
          </w:p>
        </w:tc>
      </w:tr>
      <w:tr w:rsidR="00000000" w14:paraId="4FC132CF" w14:textId="77777777">
        <w:trPr>
          <w:divId w:val="1688678984"/>
        </w:trPr>
        <w:tc>
          <w:tcPr>
            <w:tcW w:w="0" w:type="auto"/>
            <w:gridSpan w:val="3"/>
            <w:shd w:val="clear" w:color="auto" w:fill="CCEEFF"/>
            <w:tcMar>
              <w:top w:w="30" w:type="dxa"/>
              <w:left w:w="20" w:type="dxa"/>
              <w:bottom w:w="30" w:type="dxa"/>
              <w:right w:w="20" w:type="dxa"/>
            </w:tcMar>
            <w:vAlign w:val="center"/>
            <w:hideMark/>
          </w:tcPr>
          <w:p w14:paraId="1CE68676" w14:textId="77777777" w:rsidR="00000000" w:rsidRDefault="00C1661D">
            <w:pPr>
              <w:spacing w:after="100"/>
              <w:divId w:val="25562887"/>
              <w:rPr>
                <w:rFonts w:eastAsia="Times New Roman"/>
              </w:rPr>
            </w:pPr>
            <w:r>
              <w:rPr>
                <w:rFonts w:eastAsia="Times New Roman"/>
                <w:color w:val="000000"/>
                <w:sz w:val="18"/>
                <w:szCs w:val="18"/>
              </w:rPr>
              <w:t>Accounts receivable (less allowances for doubtful accounts of $64 and $53, respectively)</w:t>
            </w:r>
          </w:p>
        </w:tc>
        <w:tc>
          <w:tcPr>
            <w:tcW w:w="0" w:type="auto"/>
            <w:gridSpan w:val="2"/>
            <w:shd w:val="clear" w:color="auto" w:fill="CCEEFF"/>
            <w:tcMar>
              <w:top w:w="30" w:type="dxa"/>
              <w:left w:w="20" w:type="dxa"/>
              <w:bottom w:w="30" w:type="dxa"/>
              <w:right w:w="0" w:type="dxa"/>
            </w:tcMar>
            <w:vAlign w:val="center"/>
            <w:hideMark/>
          </w:tcPr>
          <w:p w14:paraId="52C125B2" w14:textId="77777777" w:rsidR="00000000" w:rsidRDefault="00C1661D">
            <w:pPr>
              <w:spacing w:after="100"/>
              <w:jc w:val="right"/>
              <w:rPr>
                <w:rFonts w:eastAsia="Times New Roman"/>
              </w:rPr>
            </w:pPr>
            <w:r>
              <w:rPr>
                <w:rFonts w:eastAsia="Times New Roman"/>
                <w:color w:val="000000"/>
                <w:sz w:val="18"/>
                <w:szCs w:val="18"/>
              </w:rPr>
              <w:t>1,127 </w:t>
            </w:r>
          </w:p>
        </w:tc>
        <w:tc>
          <w:tcPr>
            <w:tcW w:w="0" w:type="auto"/>
            <w:shd w:val="clear" w:color="auto" w:fill="CCEEFF"/>
            <w:tcMar>
              <w:top w:w="30" w:type="dxa"/>
              <w:left w:w="0" w:type="dxa"/>
              <w:bottom w:w="30" w:type="dxa"/>
              <w:right w:w="20" w:type="dxa"/>
            </w:tcMar>
            <w:vAlign w:val="center"/>
            <w:hideMark/>
          </w:tcPr>
          <w:p w14:paraId="56D00CC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873CC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34971C" w14:textId="77777777" w:rsidR="00000000" w:rsidRDefault="00C1661D">
            <w:pPr>
              <w:spacing w:after="100"/>
              <w:jc w:val="right"/>
              <w:rPr>
                <w:rFonts w:eastAsia="Times New Roman"/>
              </w:rPr>
            </w:pPr>
            <w:r>
              <w:rPr>
                <w:rFonts w:eastAsia="Times New Roman"/>
                <w:color w:val="000000"/>
                <w:sz w:val="18"/>
                <w:szCs w:val="18"/>
              </w:rPr>
              <w:t>880 </w:t>
            </w:r>
          </w:p>
        </w:tc>
        <w:tc>
          <w:tcPr>
            <w:tcW w:w="0" w:type="auto"/>
            <w:shd w:val="clear" w:color="auto" w:fill="CCEEFF"/>
            <w:tcMar>
              <w:top w:w="30" w:type="dxa"/>
              <w:left w:w="0" w:type="dxa"/>
              <w:bottom w:w="30" w:type="dxa"/>
              <w:right w:w="20" w:type="dxa"/>
            </w:tcMar>
            <w:vAlign w:val="center"/>
            <w:hideMark/>
          </w:tcPr>
          <w:p w14:paraId="3595D2B5" w14:textId="77777777" w:rsidR="00000000" w:rsidRDefault="00C1661D">
            <w:pPr>
              <w:spacing w:after="100"/>
              <w:jc w:val="right"/>
              <w:rPr>
                <w:rFonts w:eastAsia="Times New Roman"/>
              </w:rPr>
            </w:pPr>
          </w:p>
        </w:tc>
      </w:tr>
      <w:tr w:rsidR="00000000" w14:paraId="7EEF5219" w14:textId="77777777">
        <w:trPr>
          <w:divId w:val="1688678984"/>
        </w:trPr>
        <w:tc>
          <w:tcPr>
            <w:tcW w:w="0" w:type="auto"/>
            <w:gridSpan w:val="3"/>
            <w:shd w:val="clear" w:color="auto" w:fill="FFFFFF"/>
            <w:tcMar>
              <w:top w:w="30" w:type="dxa"/>
              <w:left w:w="380" w:type="dxa"/>
              <w:bottom w:w="30" w:type="dxa"/>
              <w:right w:w="20" w:type="dxa"/>
            </w:tcMar>
            <w:vAlign w:val="center"/>
            <w:hideMark/>
          </w:tcPr>
          <w:p w14:paraId="41C70CDC" w14:textId="77777777" w:rsidR="00000000" w:rsidRDefault="00C1661D">
            <w:pPr>
              <w:spacing w:after="100"/>
              <w:rPr>
                <w:rFonts w:eastAsia="Times New Roman"/>
              </w:rPr>
            </w:pPr>
            <w:r>
              <w:rPr>
                <w:rFonts w:eastAsia="Times New Roman"/>
                <w:color w:val="000000"/>
                <w:sz w:val="18"/>
                <w:szCs w:val="18"/>
              </w:rPr>
              <w:t>Accrued utility revenues</w:t>
            </w:r>
          </w:p>
        </w:tc>
        <w:tc>
          <w:tcPr>
            <w:tcW w:w="0" w:type="auto"/>
            <w:gridSpan w:val="2"/>
            <w:shd w:val="clear" w:color="auto" w:fill="FFFFFF"/>
            <w:tcMar>
              <w:top w:w="30" w:type="dxa"/>
              <w:left w:w="20" w:type="dxa"/>
              <w:bottom w:w="30" w:type="dxa"/>
              <w:right w:w="0" w:type="dxa"/>
            </w:tcMar>
            <w:vAlign w:val="center"/>
            <w:hideMark/>
          </w:tcPr>
          <w:p w14:paraId="0C452FB6" w14:textId="77777777" w:rsidR="00000000" w:rsidRDefault="00C1661D">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14:paraId="5544202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92332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C09DAE" w14:textId="77777777" w:rsidR="00000000" w:rsidRDefault="00C1661D">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14:paraId="086DFF7F" w14:textId="77777777" w:rsidR="00000000" w:rsidRDefault="00C1661D">
            <w:pPr>
              <w:spacing w:after="100"/>
              <w:jc w:val="right"/>
              <w:rPr>
                <w:rFonts w:eastAsia="Times New Roman"/>
              </w:rPr>
            </w:pPr>
          </w:p>
        </w:tc>
      </w:tr>
      <w:tr w:rsidR="00000000" w14:paraId="6D0A7870" w14:textId="77777777">
        <w:trPr>
          <w:divId w:val="1688678984"/>
        </w:trPr>
        <w:tc>
          <w:tcPr>
            <w:tcW w:w="0" w:type="auto"/>
            <w:gridSpan w:val="3"/>
            <w:shd w:val="clear" w:color="auto" w:fill="CCEEFF"/>
            <w:tcMar>
              <w:top w:w="30" w:type="dxa"/>
              <w:left w:w="380" w:type="dxa"/>
              <w:bottom w:w="30" w:type="dxa"/>
              <w:right w:w="20" w:type="dxa"/>
            </w:tcMar>
            <w:vAlign w:val="center"/>
            <w:hideMark/>
          </w:tcPr>
          <w:p w14:paraId="3E2D744E" w14:textId="77777777" w:rsidR="00000000" w:rsidRDefault="00C1661D">
            <w:pPr>
              <w:spacing w:after="100"/>
              <w:rPr>
                <w:rFonts w:eastAsia="Times New Roman"/>
              </w:rPr>
            </w:pPr>
            <w:r>
              <w:rPr>
                <w:rFonts w:eastAsia="Times New Roman"/>
                <w:color w:val="000000"/>
                <w:sz w:val="18"/>
                <w:szCs w:val="18"/>
              </w:rPr>
              <w:t>Income taxes receivable</w:t>
            </w:r>
          </w:p>
        </w:tc>
        <w:tc>
          <w:tcPr>
            <w:tcW w:w="0" w:type="auto"/>
            <w:gridSpan w:val="2"/>
            <w:shd w:val="clear" w:color="auto" w:fill="CCEEFF"/>
            <w:tcMar>
              <w:top w:w="30" w:type="dxa"/>
              <w:left w:w="20" w:type="dxa"/>
              <w:bottom w:w="30" w:type="dxa"/>
              <w:right w:w="0" w:type="dxa"/>
            </w:tcMar>
            <w:vAlign w:val="center"/>
            <w:hideMark/>
          </w:tcPr>
          <w:p w14:paraId="70D3AB7A" w14:textId="77777777" w:rsidR="00000000" w:rsidRDefault="00C1661D">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center"/>
            <w:hideMark/>
          </w:tcPr>
          <w:p w14:paraId="03664AA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4BA34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C442EC" w14:textId="77777777" w:rsidR="00000000" w:rsidRDefault="00C1661D">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center"/>
            <w:hideMark/>
          </w:tcPr>
          <w:p w14:paraId="6A4826EE" w14:textId="77777777" w:rsidR="00000000" w:rsidRDefault="00C1661D">
            <w:pPr>
              <w:spacing w:after="100"/>
              <w:jc w:val="right"/>
              <w:rPr>
                <w:rFonts w:eastAsia="Times New Roman"/>
              </w:rPr>
            </w:pPr>
          </w:p>
        </w:tc>
      </w:tr>
      <w:tr w:rsidR="00000000" w14:paraId="7D3FC57C" w14:textId="77777777">
        <w:trPr>
          <w:divId w:val="1688678984"/>
        </w:trPr>
        <w:tc>
          <w:tcPr>
            <w:tcW w:w="0" w:type="auto"/>
            <w:gridSpan w:val="3"/>
            <w:shd w:val="clear" w:color="auto" w:fill="FFFFFF"/>
            <w:tcMar>
              <w:top w:w="30" w:type="dxa"/>
              <w:left w:w="380" w:type="dxa"/>
              <w:bottom w:w="30" w:type="dxa"/>
              <w:right w:w="20" w:type="dxa"/>
            </w:tcMar>
            <w:vAlign w:val="center"/>
            <w:hideMark/>
          </w:tcPr>
          <w:p w14:paraId="45BB43D1" w14:textId="77777777" w:rsidR="00000000" w:rsidRDefault="00C1661D">
            <w:pPr>
              <w:spacing w:after="100"/>
              <w:rPr>
                <w:rFonts w:eastAsia="Times New Roman"/>
              </w:rPr>
            </w:pPr>
            <w:r>
              <w:rPr>
                <w:rFonts w:eastAsia="Times New Roman"/>
                <w:color w:val="000000"/>
                <w:sz w:val="18"/>
                <w:szCs w:val="18"/>
              </w:rPr>
              <w:t>Inventories</w:t>
            </w:r>
          </w:p>
        </w:tc>
        <w:tc>
          <w:tcPr>
            <w:tcW w:w="0" w:type="auto"/>
            <w:gridSpan w:val="2"/>
            <w:shd w:val="clear" w:color="auto" w:fill="FFFFFF"/>
            <w:tcMar>
              <w:top w:w="30" w:type="dxa"/>
              <w:left w:w="20" w:type="dxa"/>
              <w:bottom w:w="30" w:type="dxa"/>
              <w:right w:w="0" w:type="dxa"/>
            </w:tcMar>
            <w:vAlign w:val="center"/>
            <w:hideMark/>
          </w:tcPr>
          <w:p w14:paraId="3C258EC1" w14:textId="77777777" w:rsidR="00000000" w:rsidRDefault="00C1661D">
            <w:pPr>
              <w:spacing w:after="100"/>
              <w:jc w:val="right"/>
              <w:rPr>
                <w:rFonts w:eastAsia="Times New Roman"/>
              </w:rPr>
            </w:pPr>
            <w:r>
              <w:rPr>
                <w:rFonts w:eastAsia="Times New Roman"/>
                <w:color w:val="000000"/>
                <w:sz w:val="18"/>
                <w:szCs w:val="18"/>
              </w:rPr>
              <w:t>665 </w:t>
            </w:r>
          </w:p>
        </w:tc>
        <w:tc>
          <w:tcPr>
            <w:tcW w:w="0" w:type="auto"/>
            <w:shd w:val="clear" w:color="auto" w:fill="FFFFFF"/>
            <w:tcMar>
              <w:top w:w="30" w:type="dxa"/>
              <w:left w:w="0" w:type="dxa"/>
              <w:bottom w:w="30" w:type="dxa"/>
              <w:right w:w="20" w:type="dxa"/>
            </w:tcMar>
            <w:vAlign w:val="center"/>
            <w:hideMark/>
          </w:tcPr>
          <w:p w14:paraId="07E2563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11B4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5009DF" w14:textId="77777777" w:rsidR="00000000" w:rsidRDefault="00C1661D">
            <w:pPr>
              <w:spacing w:after="100"/>
              <w:jc w:val="right"/>
              <w:rPr>
                <w:rFonts w:eastAsia="Times New Roman"/>
              </w:rPr>
            </w:pPr>
            <w:r>
              <w:rPr>
                <w:rFonts w:eastAsia="Times New Roman"/>
                <w:color w:val="000000"/>
                <w:sz w:val="18"/>
                <w:szCs w:val="18"/>
              </w:rPr>
              <w:t>469 </w:t>
            </w:r>
          </w:p>
        </w:tc>
        <w:tc>
          <w:tcPr>
            <w:tcW w:w="0" w:type="auto"/>
            <w:shd w:val="clear" w:color="auto" w:fill="FFFFFF"/>
            <w:tcMar>
              <w:top w:w="30" w:type="dxa"/>
              <w:left w:w="0" w:type="dxa"/>
              <w:bottom w:w="30" w:type="dxa"/>
              <w:right w:w="20" w:type="dxa"/>
            </w:tcMar>
            <w:vAlign w:val="center"/>
            <w:hideMark/>
          </w:tcPr>
          <w:p w14:paraId="119787C2" w14:textId="77777777" w:rsidR="00000000" w:rsidRDefault="00C1661D">
            <w:pPr>
              <w:spacing w:after="100"/>
              <w:jc w:val="right"/>
              <w:rPr>
                <w:rFonts w:eastAsia="Times New Roman"/>
              </w:rPr>
            </w:pPr>
          </w:p>
        </w:tc>
      </w:tr>
      <w:tr w:rsidR="00000000" w14:paraId="66E9EA69" w14:textId="77777777">
        <w:trPr>
          <w:divId w:val="1688678984"/>
        </w:trPr>
        <w:tc>
          <w:tcPr>
            <w:tcW w:w="0" w:type="auto"/>
            <w:gridSpan w:val="3"/>
            <w:vAlign w:val="center"/>
            <w:hideMark/>
          </w:tcPr>
          <w:p w14:paraId="1288261A" w14:textId="77777777" w:rsidR="00000000" w:rsidRDefault="00C1661D">
            <w:pPr>
              <w:spacing w:after="100"/>
              <w:jc w:val="right"/>
              <w:rPr>
                <w:rFonts w:eastAsia="Times New Roman"/>
                <w:sz w:val="20"/>
                <w:szCs w:val="20"/>
              </w:rPr>
            </w:pPr>
          </w:p>
        </w:tc>
        <w:tc>
          <w:tcPr>
            <w:tcW w:w="0" w:type="auto"/>
            <w:gridSpan w:val="3"/>
            <w:vAlign w:val="center"/>
            <w:hideMark/>
          </w:tcPr>
          <w:p w14:paraId="0C2A7742" w14:textId="77777777" w:rsidR="00000000" w:rsidRDefault="00C1661D">
            <w:pPr>
              <w:spacing w:after="100"/>
              <w:rPr>
                <w:rFonts w:eastAsia="Times New Roman"/>
                <w:sz w:val="20"/>
                <w:szCs w:val="20"/>
              </w:rPr>
            </w:pPr>
          </w:p>
        </w:tc>
        <w:tc>
          <w:tcPr>
            <w:tcW w:w="0" w:type="auto"/>
            <w:gridSpan w:val="3"/>
            <w:vAlign w:val="center"/>
            <w:hideMark/>
          </w:tcPr>
          <w:p w14:paraId="542DE136" w14:textId="77777777" w:rsidR="00000000" w:rsidRDefault="00C1661D">
            <w:pPr>
              <w:spacing w:after="100"/>
              <w:rPr>
                <w:rFonts w:eastAsia="Times New Roman"/>
                <w:sz w:val="20"/>
                <w:szCs w:val="20"/>
              </w:rPr>
            </w:pPr>
          </w:p>
        </w:tc>
        <w:tc>
          <w:tcPr>
            <w:tcW w:w="0" w:type="auto"/>
            <w:gridSpan w:val="3"/>
            <w:vAlign w:val="center"/>
            <w:hideMark/>
          </w:tcPr>
          <w:p w14:paraId="7F25C455" w14:textId="77777777" w:rsidR="00000000" w:rsidRDefault="00C1661D">
            <w:pPr>
              <w:spacing w:after="100"/>
              <w:rPr>
                <w:rFonts w:eastAsia="Times New Roman"/>
                <w:sz w:val="20"/>
                <w:szCs w:val="20"/>
              </w:rPr>
            </w:pPr>
          </w:p>
        </w:tc>
      </w:tr>
      <w:tr w:rsidR="00000000" w14:paraId="41BCD148" w14:textId="77777777">
        <w:trPr>
          <w:divId w:val="1688678984"/>
        </w:trPr>
        <w:tc>
          <w:tcPr>
            <w:tcW w:w="0" w:type="auto"/>
            <w:gridSpan w:val="3"/>
            <w:shd w:val="clear" w:color="auto" w:fill="CCEEFF"/>
            <w:tcMar>
              <w:top w:w="30" w:type="dxa"/>
              <w:left w:w="380" w:type="dxa"/>
              <w:bottom w:w="30" w:type="dxa"/>
              <w:right w:w="20" w:type="dxa"/>
            </w:tcMar>
            <w:vAlign w:val="center"/>
            <w:hideMark/>
          </w:tcPr>
          <w:p w14:paraId="36D2AFF6" w14:textId="77777777" w:rsidR="00000000" w:rsidRDefault="00C1661D">
            <w:pPr>
              <w:spacing w:after="100"/>
              <w:rPr>
                <w:rFonts w:eastAsia="Times New Roman"/>
              </w:rPr>
            </w:pPr>
            <w:r>
              <w:rPr>
                <w:rFonts w:eastAsia="Times New Roman"/>
                <w:color w:val="000000"/>
                <w:sz w:val="18"/>
                <w:szCs w:val="18"/>
              </w:rPr>
              <w:t>Derivative instruments</w:t>
            </w:r>
          </w:p>
        </w:tc>
        <w:tc>
          <w:tcPr>
            <w:tcW w:w="0" w:type="auto"/>
            <w:gridSpan w:val="2"/>
            <w:shd w:val="clear" w:color="auto" w:fill="CCEEFF"/>
            <w:tcMar>
              <w:top w:w="30" w:type="dxa"/>
              <w:left w:w="20" w:type="dxa"/>
              <w:bottom w:w="30" w:type="dxa"/>
              <w:right w:w="0" w:type="dxa"/>
            </w:tcMar>
            <w:vAlign w:val="center"/>
            <w:hideMark/>
          </w:tcPr>
          <w:p w14:paraId="4BB546D6" w14:textId="77777777" w:rsidR="00000000" w:rsidRDefault="00C1661D">
            <w:pPr>
              <w:spacing w:after="100"/>
              <w:jc w:val="right"/>
              <w:rPr>
                <w:rFonts w:eastAsia="Times New Roman"/>
              </w:rPr>
            </w:pPr>
            <w:r>
              <w:rPr>
                <w:rFonts w:eastAsia="Times New Roman"/>
                <w:color w:val="000000"/>
                <w:sz w:val="18"/>
                <w:szCs w:val="18"/>
              </w:rPr>
              <w:t>865 </w:t>
            </w:r>
          </w:p>
        </w:tc>
        <w:tc>
          <w:tcPr>
            <w:tcW w:w="0" w:type="auto"/>
            <w:shd w:val="clear" w:color="auto" w:fill="CCEEFF"/>
            <w:tcMar>
              <w:top w:w="30" w:type="dxa"/>
              <w:left w:w="0" w:type="dxa"/>
              <w:bottom w:w="30" w:type="dxa"/>
              <w:right w:w="20" w:type="dxa"/>
            </w:tcMar>
            <w:vAlign w:val="center"/>
            <w:hideMark/>
          </w:tcPr>
          <w:p w14:paraId="046B4AC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1F546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F5FD84" w14:textId="77777777" w:rsidR="00000000" w:rsidRDefault="00C1661D">
            <w:pPr>
              <w:spacing w:after="100"/>
              <w:jc w:val="right"/>
              <w:rPr>
                <w:rFonts w:eastAsia="Times New Roman"/>
              </w:rPr>
            </w:pPr>
            <w:r>
              <w:rPr>
                <w:rFonts w:eastAsia="Times New Roman"/>
                <w:color w:val="000000"/>
                <w:sz w:val="18"/>
                <w:szCs w:val="18"/>
              </w:rPr>
              <w:t>665 </w:t>
            </w:r>
          </w:p>
        </w:tc>
        <w:tc>
          <w:tcPr>
            <w:tcW w:w="0" w:type="auto"/>
            <w:shd w:val="clear" w:color="auto" w:fill="CCEEFF"/>
            <w:tcMar>
              <w:top w:w="30" w:type="dxa"/>
              <w:left w:w="0" w:type="dxa"/>
              <w:bottom w:w="30" w:type="dxa"/>
              <w:right w:w="20" w:type="dxa"/>
            </w:tcMar>
            <w:vAlign w:val="center"/>
            <w:hideMark/>
          </w:tcPr>
          <w:p w14:paraId="0F0B5B5E" w14:textId="77777777" w:rsidR="00000000" w:rsidRDefault="00C1661D">
            <w:pPr>
              <w:spacing w:after="100"/>
              <w:jc w:val="right"/>
              <w:rPr>
                <w:rFonts w:eastAsia="Times New Roman"/>
              </w:rPr>
            </w:pPr>
          </w:p>
        </w:tc>
      </w:tr>
      <w:tr w:rsidR="00000000" w14:paraId="278D89F6" w14:textId="77777777">
        <w:trPr>
          <w:divId w:val="1688678984"/>
        </w:trPr>
        <w:tc>
          <w:tcPr>
            <w:tcW w:w="0" w:type="auto"/>
            <w:gridSpan w:val="3"/>
            <w:shd w:val="clear" w:color="auto" w:fill="FFFFFF"/>
            <w:tcMar>
              <w:top w:w="30" w:type="dxa"/>
              <w:left w:w="380" w:type="dxa"/>
              <w:bottom w:w="30" w:type="dxa"/>
              <w:right w:w="20" w:type="dxa"/>
            </w:tcMar>
            <w:vAlign w:val="center"/>
            <w:hideMark/>
          </w:tcPr>
          <w:p w14:paraId="03B5907A" w14:textId="77777777" w:rsidR="00000000" w:rsidRDefault="00C1661D">
            <w:pPr>
              <w:spacing w:after="100"/>
              <w:rPr>
                <w:rFonts w:eastAsia="Times New Roman"/>
              </w:rPr>
            </w:pPr>
            <w:r>
              <w:rPr>
                <w:rFonts w:eastAsia="Times New Roman"/>
                <w:color w:val="000000"/>
                <w:sz w:val="18"/>
                <w:szCs w:val="18"/>
              </w:rPr>
              <w:t>Prepaid expenses</w:t>
            </w:r>
          </w:p>
        </w:tc>
        <w:tc>
          <w:tcPr>
            <w:tcW w:w="0" w:type="auto"/>
            <w:gridSpan w:val="2"/>
            <w:shd w:val="clear" w:color="auto" w:fill="FFFFFF"/>
            <w:tcMar>
              <w:top w:w="30" w:type="dxa"/>
              <w:left w:w="20" w:type="dxa"/>
              <w:bottom w:w="30" w:type="dxa"/>
              <w:right w:w="0" w:type="dxa"/>
            </w:tcMar>
            <w:vAlign w:val="center"/>
            <w:hideMark/>
          </w:tcPr>
          <w:p w14:paraId="67743936" w14:textId="77777777" w:rsidR="00000000" w:rsidRDefault="00C1661D">
            <w:pPr>
              <w:spacing w:after="100"/>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center"/>
            <w:hideMark/>
          </w:tcPr>
          <w:p w14:paraId="70C3C2D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17172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E06460" w14:textId="77777777" w:rsidR="00000000" w:rsidRDefault="00C1661D">
            <w:pPr>
              <w:spacing w:after="100"/>
              <w:jc w:val="right"/>
              <w:rPr>
                <w:rFonts w:eastAsia="Times New Roman"/>
              </w:rPr>
            </w:pPr>
            <w:r>
              <w:rPr>
                <w:rFonts w:eastAsia="Times New Roman"/>
                <w:color w:val="000000"/>
                <w:sz w:val="18"/>
                <w:szCs w:val="18"/>
              </w:rPr>
              <w:t>135 </w:t>
            </w:r>
          </w:p>
        </w:tc>
        <w:tc>
          <w:tcPr>
            <w:tcW w:w="0" w:type="auto"/>
            <w:shd w:val="clear" w:color="auto" w:fill="FFFFFF"/>
            <w:tcMar>
              <w:top w:w="30" w:type="dxa"/>
              <w:left w:w="0" w:type="dxa"/>
              <w:bottom w:w="30" w:type="dxa"/>
              <w:right w:w="20" w:type="dxa"/>
            </w:tcMar>
            <w:vAlign w:val="center"/>
            <w:hideMark/>
          </w:tcPr>
          <w:p w14:paraId="7477809A" w14:textId="77777777" w:rsidR="00000000" w:rsidRDefault="00C1661D">
            <w:pPr>
              <w:spacing w:after="100"/>
              <w:jc w:val="right"/>
              <w:rPr>
                <w:rFonts w:eastAsia="Times New Roman"/>
              </w:rPr>
            </w:pPr>
          </w:p>
        </w:tc>
      </w:tr>
      <w:tr w:rsidR="00000000" w14:paraId="1A479FE0" w14:textId="77777777">
        <w:trPr>
          <w:divId w:val="1688678984"/>
        </w:trPr>
        <w:tc>
          <w:tcPr>
            <w:tcW w:w="0" w:type="auto"/>
            <w:gridSpan w:val="3"/>
            <w:shd w:val="clear" w:color="auto" w:fill="CCEEFF"/>
            <w:tcMar>
              <w:top w:w="30" w:type="dxa"/>
              <w:left w:w="20" w:type="dxa"/>
              <w:bottom w:w="30" w:type="dxa"/>
              <w:right w:w="20" w:type="dxa"/>
            </w:tcMar>
            <w:vAlign w:val="center"/>
            <w:hideMark/>
          </w:tcPr>
          <w:p w14:paraId="7BF25923" w14:textId="77777777" w:rsidR="00000000" w:rsidRDefault="00C1661D">
            <w:pPr>
              <w:spacing w:after="100"/>
              <w:divId w:val="40517342"/>
              <w:rPr>
                <w:rFonts w:eastAsia="Times New Roman"/>
              </w:rPr>
            </w:pPr>
            <w:r>
              <w:rPr>
                <w:rFonts w:eastAsia="Times New Roman"/>
                <w:color w:val="000000"/>
                <w:sz w:val="18"/>
                <w:szCs w:val="18"/>
              </w:rPr>
              <w:t>Held for sale assets (Note 25)</w:t>
            </w:r>
          </w:p>
        </w:tc>
        <w:tc>
          <w:tcPr>
            <w:tcW w:w="0" w:type="auto"/>
            <w:gridSpan w:val="2"/>
            <w:shd w:val="clear" w:color="auto" w:fill="CCEEFF"/>
            <w:tcMar>
              <w:top w:w="30" w:type="dxa"/>
              <w:left w:w="20" w:type="dxa"/>
              <w:bottom w:w="30" w:type="dxa"/>
              <w:right w:w="0" w:type="dxa"/>
            </w:tcMar>
            <w:vAlign w:val="center"/>
            <w:hideMark/>
          </w:tcPr>
          <w:p w14:paraId="1B528B74" w14:textId="77777777" w:rsidR="00000000" w:rsidRDefault="00C1661D">
            <w:pPr>
              <w:spacing w:after="100"/>
              <w:jc w:val="right"/>
              <w:rPr>
                <w:rFonts w:eastAsia="Times New Roman"/>
              </w:rPr>
            </w:pPr>
            <w:r>
              <w:rPr>
                <w:rFonts w:eastAsia="Times New Roman"/>
                <w:color w:val="000000"/>
                <w:sz w:val="18"/>
                <w:szCs w:val="18"/>
              </w:rPr>
              <w:t>295 </w:t>
            </w:r>
          </w:p>
        </w:tc>
        <w:tc>
          <w:tcPr>
            <w:tcW w:w="0" w:type="auto"/>
            <w:shd w:val="clear" w:color="auto" w:fill="CCEEFF"/>
            <w:tcMar>
              <w:top w:w="30" w:type="dxa"/>
              <w:left w:w="0" w:type="dxa"/>
              <w:bottom w:w="30" w:type="dxa"/>
              <w:right w:w="20" w:type="dxa"/>
            </w:tcMar>
            <w:vAlign w:val="center"/>
            <w:hideMark/>
          </w:tcPr>
          <w:p w14:paraId="48BC9EC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5317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E8240F"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CBC2E43" w14:textId="77777777" w:rsidR="00000000" w:rsidRDefault="00C1661D">
            <w:pPr>
              <w:spacing w:after="100"/>
              <w:jc w:val="right"/>
              <w:rPr>
                <w:rFonts w:eastAsia="Times New Roman"/>
              </w:rPr>
            </w:pPr>
          </w:p>
        </w:tc>
      </w:tr>
      <w:tr w:rsidR="00000000" w14:paraId="79E6A0A4" w14:textId="77777777">
        <w:trPr>
          <w:divId w:val="1688678984"/>
        </w:trPr>
        <w:tc>
          <w:tcPr>
            <w:tcW w:w="0" w:type="auto"/>
            <w:gridSpan w:val="3"/>
            <w:shd w:val="clear" w:color="auto" w:fill="FFFFFF"/>
            <w:tcMar>
              <w:top w:w="30" w:type="dxa"/>
              <w:left w:w="380" w:type="dxa"/>
              <w:bottom w:w="30" w:type="dxa"/>
              <w:right w:w="20" w:type="dxa"/>
            </w:tcMar>
            <w:vAlign w:val="center"/>
            <w:hideMark/>
          </w:tcPr>
          <w:p w14:paraId="48CD1E8E" w14:textId="77777777" w:rsidR="00000000" w:rsidRDefault="00C1661D">
            <w:pPr>
              <w:spacing w:after="100"/>
              <w:rPr>
                <w:rFonts w:eastAsia="Times New Roman"/>
              </w:rPr>
            </w:pPr>
            <w:r>
              <w:rPr>
                <w:rFonts w:eastAsia="Times New Roman"/>
                <w:color w:val="000000"/>
                <w:sz w:val="18"/>
                <w:szCs w:val="18"/>
              </w:rPr>
              <w:t>Other current assets</w:t>
            </w:r>
          </w:p>
        </w:tc>
        <w:tc>
          <w:tcPr>
            <w:tcW w:w="0" w:type="auto"/>
            <w:gridSpan w:val="2"/>
            <w:shd w:val="clear" w:color="auto" w:fill="FFFFFF"/>
            <w:tcMar>
              <w:top w:w="30" w:type="dxa"/>
              <w:left w:w="20" w:type="dxa"/>
              <w:bottom w:w="30" w:type="dxa"/>
              <w:right w:w="0" w:type="dxa"/>
            </w:tcMar>
            <w:vAlign w:val="center"/>
            <w:hideMark/>
          </w:tcPr>
          <w:p w14:paraId="001A00B0" w14:textId="77777777" w:rsidR="00000000" w:rsidRDefault="00C1661D">
            <w:pPr>
              <w:spacing w:after="100"/>
              <w:jc w:val="right"/>
              <w:rPr>
                <w:rFonts w:eastAsia="Times New Roman"/>
              </w:rPr>
            </w:pPr>
            <w:r>
              <w:rPr>
                <w:rFonts w:eastAsia="Times New Roman"/>
                <w:color w:val="000000"/>
                <w:sz w:val="18"/>
                <w:szCs w:val="18"/>
              </w:rPr>
              <w:t>120 </w:t>
            </w:r>
          </w:p>
        </w:tc>
        <w:tc>
          <w:tcPr>
            <w:tcW w:w="0" w:type="auto"/>
            <w:shd w:val="clear" w:color="auto" w:fill="FFFFFF"/>
            <w:tcMar>
              <w:top w:w="30" w:type="dxa"/>
              <w:left w:w="0" w:type="dxa"/>
              <w:bottom w:w="30" w:type="dxa"/>
              <w:right w:w="20" w:type="dxa"/>
            </w:tcMar>
            <w:vAlign w:val="center"/>
            <w:hideMark/>
          </w:tcPr>
          <w:p w14:paraId="0098FDE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51A04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7F64DB" w14:textId="77777777" w:rsidR="00000000" w:rsidRDefault="00C1661D">
            <w:pPr>
              <w:spacing w:after="100"/>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vAlign w:val="center"/>
            <w:hideMark/>
          </w:tcPr>
          <w:p w14:paraId="384CEB2B" w14:textId="77777777" w:rsidR="00000000" w:rsidRDefault="00C1661D">
            <w:pPr>
              <w:spacing w:after="100"/>
              <w:jc w:val="right"/>
              <w:rPr>
                <w:rFonts w:eastAsia="Times New Roman"/>
              </w:rPr>
            </w:pPr>
          </w:p>
        </w:tc>
      </w:tr>
      <w:tr w:rsidR="00000000" w14:paraId="08D75912" w14:textId="77777777">
        <w:trPr>
          <w:divId w:val="1688678984"/>
        </w:trPr>
        <w:tc>
          <w:tcPr>
            <w:tcW w:w="0" w:type="auto"/>
            <w:gridSpan w:val="3"/>
            <w:shd w:val="clear" w:color="auto" w:fill="CCEEFF"/>
            <w:tcMar>
              <w:top w:w="30" w:type="dxa"/>
              <w:left w:w="605" w:type="dxa"/>
              <w:bottom w:w="30" w:type="dxa"/>
              <w:right w:w="20" w:type="dxa"/>
            </w:tcMar>
            <w:vAlign w:val="center"/>
            <w:hideMark/>
          </w:tcPr>
          <w:p w14:paraId="1FADB37C" w14:textId="77777777" w:rsidR="00000000" w:rsidRDefault="00C1661D">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5CB51EB" w14:textId="77777777" w:rsidR="00000000" w:rsidRDefault="00C1661D">
            <w:pPr>
              <w:spacing w:after="100"/>
              <w:jc w:val="right"/>
              <w:rPr>
                <w:rFonts w:eastAsia="Times New Roman"/>
              </w:rPr>
            </w:pPr>
            <w:r>
              <w:rPr>
                <w:rFonts w:eastAsia="Times New Roman"/>
                <w:color w:val="000000"/>
                <w:sz w:val="18"/>
                <w:szCs w:val="18"/>
              </w:rPr>
              <w:t>3,802 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412953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F32797"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6427FB4" w14:textId="77777777" w:rsidR="00000000" w:rsidRDefault="00C1661D">
            <w:pPr>
              <w:spacing w:after="100"/>
              <w:jc w:val="right"/>
              <w:rPr>
                <w:rFonts w:eastAsia="Times New Roman"/>
              </w:rPr>
            </w:pPr>
            <w:r>
              <w:rPr>
                <w:rFonts w:eastAsia="Times New Roman"/>
                <w:color w:val="000000"/>
                <w:sz w:val="18"/>
                <w:szCs w:val="18"/>
              </w:rPr>
              <w:t>3,270 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02A10E8" w14:textId="77777777" w:rsidR="00000000" w:rsidRDefault="00C1661D">
            <w:pPr>
              <w:spacing w:after="100"/>
              <w:jc w:val="right"/>
              <w:rPr>
                <w:rFonts w:eastAsia="Times New Roman"/>
              </w:rPr>
            </w:pPr>
          </w:p>
        </w:tc>
      </w:tr>
      <w:tr w:rsidR="00000000" w14:paraId="017E3B00" w14:textId="77777777">
        <w:trPr>
          <w:divId w:val="1688678984"/>
        </w:trPr>
        <w:tc>
          <w:tcPr>
            <w:tcW w:w="0" w:type="auto"/>
            <w:gridSpan w:val="3"/>
            <w:shd w:val="clear" w:color="auto" w:fill="FFFFFF"/>
            <w:tcMar>
              <w:top w:w="30" w:type="dxa"/>
              <w:left w:w="20" w:type="dxa"/>
              <w:bottom w:w="30" w:type="dxa"/>
              <w:right w:w="20" w:type="dxa"/>
            </w:tcMar>
            <w:vAlign w:val="center"/>
            <w:hideMark/>
          </w:tcPr>
          <w:p w14:paraId="4880B146" w14:textId="77777777" w:rsidR="00000000" w:rsidRDefault="00C1661D">
            <w:pPr>
              <w:spacing w:after="100"/>
              <w:rPr>
                <w:rFonts w:eastAsia="Times New Roman"/>
              </w:rPr>
            </w:pPr>
            <w:r>
              <w:rPr>
                <w:rFonts w:eastAsia="Times New Roman"/>
                <w:color w:val="000000"/>
                <w:sz w:val="18"/>
                <w:szCs w:val="18"/>
              </w:rPr>
              <w:t>Property, plant and equipment</w:t>
            </w:r>
          </w:p>
        </w:tc>
        <w:tc>
          <w:tcPr>
            <w:tcW w:w="0" w:type="auto"/>
            <w:gridSpan w:val="3"/>
            <w:shd w:val="clear" w:color="auto" w:fill="FFFFFF"/>
            <w:tcMar>
              <w:top w:w="30" w:type="dxa"/>
              <w:left w:w="20" w:type="dxa"/>
              <w:bottom w:w="30" w:type="dxa"/>
              <w:right w:w="20" w:type="dxa"/>
            </w:tcMar>
            <w:vAlign w:val="center"/>
            <w:hideMark/>
          </w:tcPr>
          <w:p w14:paraId="0C1DAAF1" w14:textId="77777777" w:rsidR="00000000" w:rsidRDefault="00C1661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6933913A"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7A574851" w14:textId="77777777" w:rsidR="00000000" w:rsidRDefault="00C1661D">
            <w:pPr>
              <w:spacing w:after="100"/>
              <w:rPr>
                <w:rFonts w:eastAsia="Times New Roman"/>
              </w:rPr>
            </w:pPr>
            <w:r>
              <w:rPr>
                <w:rFonts w:eastAsia="Times New Roman"/>
                <w:color w:val="000000"/>
                <w:sz w:val="18"/>
                <w:szCs w:val="18"/>
              </w:rPr>
              <w:t> </w:t>
            </w:r>
          </w:p>
        </w:tc>
      </w:tr>
      <w:tr w:rsidR="00000000" w14:paraId="5406FD56" w14:textId="77777777">
        <w:trPr>
          <w:divId w:val="1688678984"/>
        </w:trPr>
        <w:tc>
          <w:tcPr>
            <w:tcW w:w="0" w:type="auto"/>
            <w:gridSpan w:val="3"/>
            <w:shd w:val="clear" w:color="auto" w:fill="CCEEFF"/>
            <w:tcMar>
              <w:top w:w="30" w:type="dxa"/>
              <w:left w:w="380" w:type="dxa"/>
              <w:bottom w:w="30" w:type="dxa"/>
              <w:right w:w="20" w:type="dxa"/>
            </w:tcMar>
            <w:vAlign w:val="center"/>
            <w:hideMark/>
          </w:tcPr>
          <w:p w14:paraId="62AA0DF2" w14:textId="77777777" w:rsidR="00000000" w:rsidRDefault="00C1661D">
            <w:pPr>
              <w:spacing w:after="100"/>
              <w:rPr>
                <w:rFonts w:eastAsia="Times New Roman"/>
              </w:rPr>
            </w:pPr>
            <w:r>
              <w:rPr>
                <w:rFonts w:eastAsia="Times New Roman"/>
                <w:color w:val="000000"/>
                <w:sz w:val="18"/>
                <w:szCs w:val="18"/>
              </w:rPr>
              <w:t>Non-utility</w:t>
            </w:r>
          </w:p>
        </w:tc>
        <w:tc>
          <w:tcPr>
            <w:tcW w:w="0" w:type="auto"/>
            <w:gridSpan w:val="2"/>
            <w:shd w:val="clear" w:color="auto" w:fill="CCEEFF"/>
            <w:tcMar>
              <w:top w:w="30" w:type="dxa"/>
              <w:left w:w="20" w:type="dxa"/>
              <w:bottom w:w="30" w:type="dxa"/>
              <w:right w:w="0" w:type="dxa"/>
            </w:tcMar>
            <w:vAlign w:val="center"/>
            <w:hideMark/>
          </w:tcPr>
          <w:p w14:paraId="30E5D76E" w14:textId="77777777" w:rsidR="00000000" w:rsidRDefault="00C1661D">
            <w:pPr>
              <w:spacing w:after="100"/>
              <w:jc w:val="right"/>
              <w:rPr>
                <w:rFonts w:eastAsia="Times New Roman"/>
              </w:rPr>
            </w:pPr>
            <w:r>
              <w:rPr>
                <w:rFonts w:eastAsia="Times New Roman"/>
                <w:color w:val="000000"/>
                <w:sz w:val="18"/>
                <w:szCs w:val="18"/>
              </w:rPr>
              <w:t>6,656 </w:t>
            </w:r>
          </w:p>
        </w:tc>
        <w:tc>
          <w:tcPr>
            <w:tcW w:w="0" w:type="auto"/>
            <w:shd w:val="clear" w:color="auto" w:fill="CCEEFF"/>
            <w:tcMar>
              <w:top w:w="30" w:type="dxa"/>
              <w:left w:w="0" w:type="dxa"/>
              <w:bottom w:w="30" w:type="dxa"/>
              <w:right w:w="20" w:type="dxa"/>
            </w:tcMar>
            <w:vAlign w:val="center"/>
            <w:hideMark/>
          </w:tcPr>
          <w:p w14:paraId="7C86661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072CA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48508A" w14:textId="77777777" w:rsidR="00000000" w:rsidRDefault="00C1661D">
            <w:pPr>
              <w:spacing w:after="100"/>
              <w:jc w:val="right"/>
              <w:rPr>
                <w:rFonts w:eastAsia="Times New Roman"/>
              </w:rPr>
            </w:pPr>
            <w:r>
              <w:rPr>
                <w:rFonts w:eastAsia="Times New Roman"/>
                <w:color w:val="000000"/>
                <w:sz w:val="18"/>
                <w:szCs w:val="18"/>
              </w:rPr>
              <w:t>6,486 </w:t>
            </w:r>
          </w:p>
        </w:tc>
        <w:tc>
          <w:tcPr>
            <w:tcW w:w="0" w:type="auto"/>
            <w:shd w:val="clear" w:color="auto" w:fill="CCEEFF"/>
            <w:tcMar>
              <w:top w:w="30" w:type="dxa"/>
              <w:left w:w="0" w:type="dxa"/>
              <w:bottom w:w="30" w:type="dxa"/>
              <w:right w:w="20" w:type="dxa"/>
            </w:tcMar>
            <w:vAlign w:val="center"/>
            <w:hideMark/>
          </w:tcPr>
          <w:p w14:paraId="0A46AA7C" w14:textId="77777777" w:rsidR="00000000" w:rsidRDefault="00C1661D">
            <w:pPr>
              <w:spacing w:after="100"/>
              <w:jc w:val="right"/>
              <w:rPr>
                <w:rFonts w:eastAsia="Times New Roman"/>
              </w:rPr>
            </w:pPr>
          </w:p>
        </w:tc>
      </w:tr>
      <w:tr w:rsidR="00000000" w14:paraId="08FC81EF" w14:textId="77777777">
        <w:trPr>
          <w:divId w:val="1688678984"/>
        </w:trPr>
        <w:tc>
          <w:tcPr>
            <w:tcW w:w="0" w:type="auto"/>
            <w:gridSpan w:val="3"/>
            <w:shd w:val="clear" w:color="auto" w:fill="FFFFFF"/>
            <w:tcMar>
              <w:top w:w="30" w:type="dxa"/>
              <w:left w:w="380" w:type="dxa"/>
              <w:bottom w:w="30" w:type="dxa"/>
              <w:right w:w="20" w:type="dxa"/>
            </w:tcMar>
            <w:vAlign w:val="center"/>
            <w:hideMark/>
          </w:tcPr>
          <w:p w14:paraId="2B319F1D" w14:textId="77777777" w:rsidR="00000000" w:rsidRDefault="00C1661D">
            <w:pPr>
              <w:spacing w:after="100"/>
              <w:rPr>
                <w:rFonts w:eastAsia="Times New Roman"/>
              </w:rPr>
            </w:pPr>
            <w:r>
              <w:rPr>
                <w:rFonts w:eastAsia="Times New Roman"/>
                <w:color w:val="000000"/>
                <w:sz w:val="18"/>
                <w:szCs w:val="18"/>
              </w:rPr>
              <w:t>Utility</w:t>
            </w:r>
          </w:p>
        </w:tc>
        <w:tc>
          <w:tcPr>
            <w:tcW w:w="0" w:type="auto"/>
            <w:gridSpan w:val="2"/>
            <w:shd w:val="clear" w:color="auto" w:fill="FFFFFF"/>
            <w:tcMar>
              <w:top w:w="30" w:type="dxa"/>
              <w:left w:w="20" w:type="dxa"/>
              <w:bottom w:w="30" w:type="dxa"/>
              <w:right w:w="0" w:type="dxa"/>
            </w:tcMar>
            <w:vAlign w:val="center"/>
            <w:hideMark/>
          </w:tcPr>
          <w:p w14:paraId="29B1F154" w14:textId="77777777" w:rsidR="00000000" w:rsidRDefault="00C1661D">
            <w:pPr>
              <w:spacing w:after="100"/>
              <w:jc w:val="right"/>
              <w:rPr>
                <w:rFonts w:eastAsia="Times New Roman"/>
              </w:rPr>
            </w:pPr>
            <w:r>
              <w:rPr>
                <w:rFonts w:eastAsia="Times New Roman"/>
                <w:color w:val="000000"/>
                <w:sz w:val="18"/>
                <w:szCs w:val="18"/>
              </w:rPr>
              <w:t>5,550 </w:t>
            </w:r>
          </w:p>
        </w:tc>
        <w:tc>
          <w:tcPr>
            <w:tcW w:w="0" w:type="auto"/>
            <w:shd w:val="clear" w:color="auto" w:fill="FFFFFF"/>
            <w:tcMar>
              <w:top w:w="30" w:type="dxa"/>
              <w:left w:w="0" w:type="dxa"/>
              <w:bottom w:w="30" w:type="dxa"/>
              <w:right w:w="20" w:type="dxa"/>
            </w:tcMar>
            <w:vAlign w:val="center"/>
            <w:hideMark/>
          </w:tcPr>
          <w:p w14:paraId="2A83FC8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7BBF2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611B87" w14:textId="77777777" w:rsidR="00000000" w:rsidRDefault="00C1661D">
            <w:pPr>
              <w:spacing w:after="100"/>
              <w:jc w:val="right"/>
              <w:rPr>
                <w:rFonts w:eastAsia="Times New Roman"/>
              </w:rPr>
            </w:pPr>
            <w:r>
              <w:rPr>
                <w:rFonts w:eastAsia="Times New Roman"/>
                <w:color w:val="000000"/>
                <w:sz w:val="18"/>
                <w:szCs w:val="18"/>
              </w:rPr>
              <w:t>5,022 </w:t>
            </w:r>
          </w:p>
        </w:tc>
        <w:tc>
          <w:tcPr>
            <w:tcW w:w="0" w:type="auto"/>
            <w:shd w:val="clear" w:color="auto" w:fill="FFFFFF"/>
            <w:tcMar>
              <w:top w:w="30" w:type="dxa"/>
              <w:left w:w="0" w:type="dxa"/>
              <w:bottom w:w="30" w:type="dxa"/>
              <w:right w:w="20" w:type="dxa"/>
            </w:tcMar>
            <w:vAlign w:val="center"/>
            <w:hideMark/>
          </w:tcPr>
          <w:p w14:paraId="3A69D426" w14:textId="77777777" w:rsidR="00000000" w:rsidRDefault="00C1661D">
            <w:pPr>
              <w:spacing w:after="100"/>
              <w:jc w:val="right"/>
              <w:rPr>
                <w:rFonts w:eastAsia="Times New Roman"/>
              </w:rPr>
            </w:pPr>
          </w:p>
        </w:tc>
      </w:tr>
      <w:tr w:rsidR="00000000" w14:paraId="2193944B" w14:textId="77777777">
        <w:trPr>
          <w:divId w:val="1688678984"/>
        </w:trPr>
        <w:tc>
          <w:tcPr>
            <w:tcW w:w="0" w:type="auto"/>
            <w:gridSpan w:val="3"/>
            <w:shd w:val="clear" w:color="auto" w:fill="CCEEFF"/>
            <w:tcMar>
              <w:top w:w="30" w:type="dxa"/>
              <w:left w:w="20" w:type="dxa"/>
              <w:bottom w:w="30" w:type="dxa"/>
              <w:right w:w="20" w:type="dxa"/>
            </w:tcMar>
            <w:vAlign w:val="center"/>
            <w:hideMark/>
          </w:tcPr>
          <w:p w14:paraId="5A117647" w14:textId="77777777" w:rsidR="00000000" w:rsidRDefault="00C1661D">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AF3746E" w14:textId="77777777" w:rsidR="00000000" w:rsidRDefault="00C1661D">
            <w:pPr>
              <w:spacing w:after="100"/>
              <w:jc w:val="right"/>
              <w:rPr>
                <w:rFonts w:eastAsia="Times New Roman"/>
              </w:rPr>
            </w:pPr>
            <w:r>
              <w:rPr>
                <w:rFonts w:eastAsia="Times New Roman"/>
                <w:color w:val="000000"/>
                <w:sz w:val="18"/>
                <w:szCs w:val="18"/>
              </w:rPr>
              <w:t>12,206 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8C69CB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7702F5"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EB928BF" w14:textId="77777777" w:rsidR="00000000" w:rsidRDefault="00C1661D">
            <w:pPr>
              <w:spacing w:after="100"/>
              <w:jc w:val="right"/>
              <w:rPr>
                <w:rFonts w:eastAsia="Times New Roman"/>
              </w:rPr>
            </w:pPr>
            <w:r>
              <w:rPr>
                <w:rFonts w:eastAsia="Times New Roman"/>
                <w:color w:val="000000"/>
                <w:sz w:val="18"/>
                <w:szCs w:val="18"/>
              </w:rPr>
              <w:t>11,508 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05D2CFC" w14:textId="77777777" w:rsidR="00000000" w:rsidRDefault="00C1661D">
            <w:pPr>
              <w:spacing w:after="100"/>
              <w:jc w:val="right"/>
              <w:rPr>
                <w:rFonts w:eastAsia="Times New Roman"/>
              </w:rPr>
            </w:pPr>
          </w:p>
        </w:tc>
      </w:tr>
      <w:tr w:rsidR="00000000" w14:paraId="31FDCAA6" w14:textId="77777777">
        <w:trPr>
          <w:divId w:val="1688678984"/>
        </w:trPr>
        <w:tc>
          <w:tcPr>
            <w:tcW w:w="0" w:type="auto"/>
            <w:gridSpan w:val="3"/>
            <w:shd w:val="clear" w:color="auto" w:fill="FFFFFF"/>
            <w:tcMar>
              <w:top w:w="30" w:type="dxa"/>
              <w:left w:w="380" w:type="dxa"/>
              <w:bottom w:w="30" w:type="dxa"/>
              <w:right w:w="20" w:type="dxa"/>
            </w:tcMar>
            <w:vAlign w:val="center"/>
            <w:hideMark/>
          </w:tcPr>
          <w:p w14:paraId="35ACC56F" w14:textId="77777777" w:rsidR="00000000" w:rsidRDefault="00C1661D">
            <w:pPr>
              <w:spacing w:after="100"/>
              <w:rPr>
                <w:rFonts w:eastAsia="Times New Roman"/>
              </w:rPr>
            </w:pPr>
            <w:r>
              <w:rPr>
                <w:rFonts w:eastAsia="Times New Roman"/>
                <w:color w:val="000000"/>
                <w:sz w:val="18"/>
                <w:szCs w:val="18"/>
              </w:rPr>
              <w:t>Accumulated depreciation</w:t>
            </w:r>
          </w:p>
        </w:tc>
        <w:tc>
          <w:tcPr>
            <w:tcW w:w="0" w:type="auto"/>
            <w:gridSpan w:val="2"/>
            <w:shd w:val="clear" w:color="auto" w:fill="FFFFFF"/>
            <w:tcMar>
              <w:top w:w="30" w:type="dxa"/>
              <w:left w:w="20" w:type="dxa"/>
              <w:bottom w:w="30" w:type="dxa"/>
              <w:right w:w="0" w:type="dxa"/>
            </w:tcMar>
            <w:vAlign w:val="center"/>
            <w:hideMark/>
          </w:tcPr>
          <w:p w14:paraId="401EF20A" w14:textId="77777777" w:rsidR="00000000" w:rsidRDefault="00C1661D">
            <w:pPr>
              <w:spacing w:after="100"/>
              <w:jc w:val="right"/>
              <w:rPr>
                <w:rFonts w:eastAsia="Times New Roman"/>
              </w:rPr>
            </w:pPr>
            <w:r>
              <w:rPr>
                <w:rFonts w:eastAsia="Times New Roman"/>
                <w:color w:val="000000"/>
                <w:sz w:val="18"/>
                <w:szCs w:val="18"/>
              </w:rPr>
              <w:t>(4,166)</w:t>
            </w:r>
          </w:p>
        </w:tc>
        <w:tc>
          <w:tcPr>
            <w:tcW w:w="0" w:type="auto"/>
            <w:shd w:val="clear" w:color="auto" w:fill="FFFFFF"/>
            <w:tcMar>
              <w:top w:w="30" w:type="dxa"/>
              <w:left w:w="0" w:type="dxa"/>
              <w:bottom w:w="30" w:type="dxa"/>
              <w:right w:w="20" w:type="dxa"/>
            </w:tcMar>
            <w:vAlign w:val="center"/>
            <w:hideMark/>
          </w:tcPr>
          <w:p w14:paraId="7E3844B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B2286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C5E419" w14:textId="77777777" w:rsidR="00000000" w:rsidRDefault="00C1661D">
            <w:pPr>
              <w:spacing w:after="100"/>
              <w:jc w:val="right"/>
              <w:rPr>
                <w:rFonts w:eastAsia="Times New Roman"/>
              </w:rPr>
            </w:pPr>
            <w:r>
              <w:rPr>
                <w:rFonts w:eastAsia="Times New Roman"/>
                <w:color w:val="000000"/>
                <w:sz w:val="18"/>
                <w:szCs w:val="18"/>
              </w:rPr>
              <w:t>(3,950)</w:t>
            </w:r>
          </w:p>
        </w:tc>
        <w:tc>
          <w:tcPr>
            <w:tcW w:w="0" w:type="auto"/>
            <w:shd w:val="clear" w:color="auto" w:fill="FFFFFF"/>
            <w:tcMar>
              <w:top w:w="30" w:type="dxa"/>
              <w:left w:w="0" w:type="dxa"/>
              <w:bottom w:w="30" w:type="dxa"/>
              <w:right w:w="20" w:type="dxa"/>
            </w:tcMar>
            <w:vAlign w:val="center"/>
            <w:hideMark/>
          </w:tcPr>
          <w:p w14:paraId="42CC4848" w14:textId="77777777" w:rsidR="00000000" w:rsidRDefault="00C1661D">
            <w:pPr>
              <w:spacing w:after="100"/>
              <w:jc w:val="right"/>
              <w:rPr>
                <w:rFonts w:eastAsia="Times New Roman"/>
              </w:rPr>
            </w:pPr>
          </w:p>
        </w:tc>
      </w:tr>
      <w:tr w:rsidR="00000000" w14:paraId="64852935" w14:textId="77777777">
        <w:trPr>
          <w:divId w:val="1688678984"/>
        </w:trPr>
        <w:tc>
          <w:tcPr>
            <w:tcW w:w="0" w:type="auto"/>
            <w:gridSpan w:val="3"/>
            <w:shd w:val="clear" w:color="auto" w:fill="CCEEFF"/>
            <w:tcMar>
              <w:top w:w="30" w:type="dxa"/>
              <w:left w:w="605" w:type="dxa"/>
              <w:bottom w:w="30" w:type="dxa"/>
              <w:right w:w="20" w:type="dxa"/>
            </w:tcMar>
            <w:vAlign w:val="center"/>
            <w:hideMark/>
          </w:tcPr>
          <w:p w14:paraId="70541519" w14:textId="77777777" w:rsidR="00000000" w:rsidRDefault="00C1661D">
            <w:pPr>
              <w:spacing w:after="100"/>
              <w:rPr>
                <w:rFonts w:eastAsia="Times New Roman"/>
              </w:rPr>
            </w:pPr>
            <w:r>
              <w:rPr>
                <w:rFonts w:eastAsia="Times New Roman"/>
                <w:color w:val="000000"/>
                <w:sz w:val="18"/>
                <w:szCs w:val="18"/>
              </w:rPr>
              <w:t>Net property, plant, and equipment</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4BA5545" w14:textId="77777777" w:rsidR="00000000" w:rsidRDefault="00C1661D">
            <w:pPr>
              <w:spacing w:after="100"/>
              <w:jc w:val="right"/>
              <w:rPr>
                <w:rFonts w:eastAsia="Times New Roman"/>
              </w:rPr>
            </w:pPr>
            <w:r>
              <w:rPr>
                <w:rFonts w:eastAsia="Times New Roman"/>
                <w:color w:val="000000"/>
                <w:sz w:val="18"/>
                <w:szCs w:val="18"/>
              </w:rPr>
              <w:t>8,040 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B66153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83D42"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C631738" w14:textId="77777777" w:rsidR="00000000" w:rsidRDefault="00C1661D">
            <w:pPr>
              <w:spacing w:after="100"/>
              <w:jc w:val="right"/>
              <w:rPr>
                <w:rFonts w:eastAsia="Times New Roman"/>
              </w:rPr>
            </w:pPr>
            <w:r>
              <w:rPr>
                <w:rFonts w:eastAsia="Times New Roman"/>
                <w:color w:val="000000"/>
                <w:sz w:val="18"/>
                <w:szCs w:val="18"/>
              </w:rPr>
              <w:t>7,558 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7E9E22" w14:textId="77777777" w:rsidR="00000000" w:rsidRDefault="00C1661D">
            <w:pPr>
              <w:spacing w:after="100"/>
              <w:jc w:val="right"/>
              <w:rPr>
                <w:rFonts w:eastAsia="Times New Roman"/>
              </w:rPr>
            </w:pPr>
          </w:p>
        </w:tc>
      </w:tr>
      <w:tr w:rsidR="00000000" w14:paraId="593301A3" w14:textId="77777777">
        <w:trPr>
          <w:divId w:val="1688678984"/>
        </w:trPr>
        <w:tc>
          <w:tcPr>
            <w:tcW w:w="0" w:type="auto"/>
            <w:gridSpan w:val="3"/>
            <w:shd w:val="clear" w:color="auto" w:fill="FFFFFF"/>
            <w:tcMar>
              <w:top w:w="30" w:type="dxa"/>
              <w:left w:w="20" w:type="dxa"/>
              <w:bottom w:w="30" w:type="dxa"/>
              <w:right w:w="20" w:type="dxa"/>
            </w:tcMar>
            <w:vAlign w:val="center"/>
            <w:hideMark/>
          </w:tcPr>
          <w:p w14:paraId="638AD28F" w14:textId="77777777" w:rsidR="00000000" w:rsidRDefault="00C1661D">
            <w:pPr>
              <w:spacing w:after="100"/>
              <w:rPr>
                <w:rFonts w:eastAsia="Times New Roman"/>
              </w:rPr>
            </w:pPr>
            <w:r>
              <w:rPr>
                <w:rFonts w:eastAsia="Times New Roman"/>
                <w:color w:val="000000"/>
                <w:sz w:val="18"/>
                <w:szCs w:val="18"/>
              </w:rPr>
              <w:t>Goodwill</w:t>
            </w:r>
          </w:p>
        </w:tc>
        <w:tc>
          <w:tcPr>
            <w:tcW w:w="0" w:type="auto"/>
            <w:gridSpan w:val="2"/>
            <w:shd w:val="clear" w:color="auto" w:fill="FFFFFF"/>
            <w:tcMar>
              <w:top w:w="30" w:type="dxa"/>
              <w:left w:w="20" w:type="dxa"/>
              <w:bottom w:w="30" w:type="dxa"/>
              <w:right w:w="0" w:type="dxa"/>
            </w:tcMar>
            <w:vAlign w:val="center"/>
            <w:hideMark/>
          </w:tcPr>
          <w:p w14:paraId="5FBC9EE6" w14:textId="77777777" w:rsidR="00000000" w:rsidRDefault="00C1661D">
            <w:pPr>
              <w:spacing w:after="100"/>
              <w:jc w:val="right"/>
              <w:rPr>
                <w:rFonts w:eastAsia="Times New Roman"/>
              </w:rPr>
            </w:pPr>
            <w:r>
              <w:rPr>
                <w:rFonts w:eastAsia="Times New Roman"/>
                <w:color w:val="000000"/>
                <w:sz w:val="18"/>
                <w:szCs w:val="18"/>
              </w:rPr>
              <w:t>3,612 </w:t>
            </w:r>
          </w:p>
        </w:tc>
        <w:tc>
          <w:tcPr>
            <w:tcW w:w="0" w:type="auto"/>
            <w:shd w:val="clear" w:color="auto" w:fill="FFFFFF"/>
            <w:tcMar>
              <w:top w:w="30" w:type="dxa"/>
              <w:left w:w="0" w:type="dxa"/>
              <w:bottom w:w="30" w:type="dxa"/>
              <w:right w:w="20" w:type="dxa"/>
            </w:tcMar>
            <w:vAlign w:val="center"/>
            <w:hideMark/>
          </w:tcPr>
          <w:p w14:paraId="6228CD6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D895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6AB807" w14:textId="77777777" w:rsidR="00000000" w:rsidRDefault="00C1661D">
            <w:pPr>
              <w:spacing w:after="100"/>
              <w:jc w:val="right"/>
              <w:rPr>
                <w:rFonts w:eastAsia="Times New Roman"/>
              </w:rPr>
            </w:pPr>
            <w:r>
              <w:rPr>
                <w:rFonts w:eastAsia="Times New Roman"/>
                <w:color w:val="000000"/>
                <w:sz w:val="18"/>
                <w:szCs w:val="18"/>
              </w:rPr>
              <w:t>3,770 </w:t>
            </w:r>
          </w:p>
        </w:tc>
        <w:tc>
          <w:tcPr>
            <w:tcW w:w="0" w:type="auto"/>
            <w:shd w:val="clear" w:color="auto" w:fill="FFFFFF"/>
            <w:tcMar>
              <w:top w:w="30" w:type="dxa"/>
              <w:left w:w="0" w:type="dxa"/>
              <w:bottom w:w="30" w:type="dxa"/>
              <w:right w:w="20" w:type="dxa"/>
            </w:tcMar>
            <w:vAlign w:val="center"/>
            <w:hideMark/>
          </w:tcPr>
          <w:p w14:paraId="3E22D430" w14:textId="77777777" w:rsidR="00000000" w:rsidRDefault="00C1661D">
            <w:pPr>
              <w:spacing w:after="100"/>
              <w:jc w:val="right"/>
              <w:rPr>
                <w:rFonts w:eastAsia="Times New Roman"/>
              </w:rPr>
            </w:pPr>
          </w:p>
        </w:tc>
      </w:tr>
      <w:tr w:rsidR="00000000" w14:paraId="18D0C760" w14:textId="77777777">
        <w:trPr>
          <w:divId w:val="1688678984"/>
        </w:trPr>
        <w:tc>
          <w:tcPr>
            <w:tcW w:w="0" w:type="auto"/>
            <w:gridSpan w:val="3"/>
            <w:shd w:val="clear" w:color="auto" w:fill="CCEEFF"/>
            <w:tcMar>
              <w:top w:w="30" w:type="dxa"/>
              <w:left w:w="20" w:type="dxa"/>
              <w:bottom w:w="30" w:type="dxa"/>
              <w:right w:w="20" w:type="dxa"/>
            </w:tcMar>
            <w:vAlign w:val="center"/>
            <w:hideMark/>
          </w:tcPr>
          <w:p w14:paraId="14D2C001" w14:textId="77777777" w:rsidR="00000000" w:rsidRDefault="00C1661D">
            <w:pPr>
              <w:spacing w:after="100"/>
              <w:rPr>
                <w:rFonts w:eastAsia="Times New Roman"/>
              </w:rPr>
            </w:pPr>
            <w:r>
              <w:rPr>
                <w:rFonts w:eastAsia="Times New Roman"/>
                <w:color w:val="000000"/>
                <w:sz w:val="18"/>
                <w:szCs w:val="18"/>
              </w:rPr>
              <w:t>Intangible assets, net</w:t>
            </w:r>
          </w:p>
        </w:tc>
        <w:tc>
          <w:tcPr>
            <w:tcW w:w="0" w:type="auto"/>
            <w:gridSpan w:val="2"/>
            <w:shd w:val="clear" w:color="auto" w:fill="CCEEFF"/>
            <w:tcMar>
              <w:top w:w="30" w:type="dxa"/>
              <w:left w:w="20" w:type="dxa"/>
              <w:bottom w:w="30" w:type="dxa"/>
              <w:right w:w="0" w:type="dxa"/>
            </w:tcMar>
            <w:vAlign w:val="center"/>
            <w:hideMark/>
          </w:tcPr>
          <w:p w14:paraId="741CAE84" w14:textId="77777777" w:rsidR="00000000" w:rsidRDefault="00C1661D">
            <w:pPr>
              <w:spacing w:after="100"/>
              <w:jc w:val="right"/>
              <w:rPr>
                <w:rFonts w:eastAsia="Times New Roman"/>
              </w:rPr>
            </w:pPr>
            <w:r>
              <w:rPr>
                <w:rFonts w:eastAsia="Times New Roman"/>
                <w:color w:val="000000"/>
                <w:sz w:val="18"/>
                <w:szCs w:val="18"/>
              </w:rPr>
              <w:t>500 </w:t>
            </w:r>
          </w:p>
        </w:tc>
        <w:tc>
          <w:tcPr>
            <w:tcW w:w="0" w:type="auto"/>
            <w:shd w:val="clear" w:color="auto" w:fill="CCEEFF"/>
            <w:tcMar>
              <w:top w:w="30" w:type="dxa"/>
              <w:left w:w="0" w:type="dxa"/>
              <w:bottom w:w="30" w:type="dxa"/>
              <w:right w:w="20" w:type="dxa"/>
            </w:tcMar>
            <w:vAlign w:val="center"/>
            <w:hideMark/>
          </w:tcPr>
          <w:p w14:paraId="0B5FFB1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03BA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6D6C81" w14:textId="77777777" w:rsidR="00000000" w:rsidRDefault="00C1661D">
            <w:pPr>
              <w:spacing w:after="100"/>
              <w:jc w:val="right"/>
              <w:rPr>
                <w:rFonts w:eastAsia="Times New Roman"/>
              </w:rPr>
            </w:pPr>
            <w:r>
              <w:rPr>
                <w:rFonts w:eastAsia="Times New Roman"/>
                <w:color w:val="000000"/>
                <w:sz w:val="18"/>
                <w:szCs w:val="18"/>
              </w:rPr>
              <w:t>583 </w:t>
            </w:r>
          </w:p>
        </w:tc>
        <w:tc>
          <w:tcPr>
            <w:tcW w:w="0" w:type="auto"/>
            <w:shd w:val="clear" w:color="auto" w:fill="CCEEFF"/>
            <w:tcMar>
              <w:top w:w="30" w:type="dxa"/>
              <w:left w:w="0" w:type="dxa"/>
              <w:bottom w:w="30" w:type="dxa"/>
              <w:right w:w="20" w:type="dxa"/>
            </w:tcMar>
            <w:vAlign w:val="center"/>
            <w:hideMark/>
          </w:tcPr>
          <w:p w14:paraId="3DE86E00" w14:textId="77777777" w:rsidR="00000000" w:rsidRDefault="00C1661D">
            <w:pPr>
              <w:spacing w:after="100"/>
              <w:jc w:val="right"/>
              <w:rPr>
                <w:rFonts w:eastAsia="Times New Roman"/>
              </w:rPr>
            </w:pPr>
          </w:p>
        </w:tc>
      </w:tr>
      <w:tr w:rsidR="00000000" w14:paraId="0BC93EBC" w14:textId="77777777">
        <w:trPr>
          <w:divId w:val="1688678984"/>
        </w:trPr>
        <w:tc>
          <w:tcPr>
            <w:tcW w:w="0" w:type="auto"/>
            <w:gridSpan w:val="3"/>
            <w:shd w:val="clear" w:color="auto" w:fill="FFFFFF"/>
            <w:tcMar>
              <w:top w:w="30" w:type="dxa"/>
              <w:left w:w="20" w:type="dxa"/>
              <w:bottom w:w="30" w:type="dxa"/>
              <w:right w:w="20" w:type="dxa"/>
            </w:tcMar>
            <w:vAlign w:val="center"/>
            <w:hideMark/>
          </w:tcPr>
          <w:p w14:paraId="1C7D6B65" w14:textId="77777777" w:rsidR="00000000" w:rsidRDefault="00C1661D">
            <w:pPr>
              <w:spacing w:after="100"/>
              <w:rPr>
                <w:rFonts w:eastAsia="Times New Roman"/>
              </w:rPr>
            </w:pPr>
            <w:r>
              <w:rPr>
                <w:rFonts w:eastAsia="Times New Roman"/>
                <w:color w:val="000000"/>
                <w:sz w:val="18"/>
                <w:szCs w:val="18"/>
              </w:rPr>
              <w:t>Utility regulatory assets</w:t>
            </w:r>
          </w:p>
        </w:tc>
        <w:tc>
          <w:tcPr>
            <w:tcW w:w="0" w:type="auto"/>
            <w:gridSpan w:val="2"/>
            <w:shd w:val="clear" w:color="auto" w:fill="FFFFFF"/>
            <w:tcMar>
              <w:top w:w="30" w:type="dxa"/>
              <w:left w:w="20" w:type="dxa"/>
              <w:bottom w:w="30" w:type="dxa"/>
              <w:right w:w="0" w:type="dxa"/>
            </w:tcMar>
            <w:vAlign w:val="center"/>
            <w:hideMark/>
          </w:tcPr>
          <w:p w14:paraId="128DBA0A" w14:textId="77777777" w:rsidR="00000000" w:rsidRDefault="00C1661D">
            <w:pPr>
              <w:spacing w:after="100"/>
              <w:jc w:val="right"/>
              <w:rPr>
                <w:rFonts w:eastAsia="Times New Roman"/>
              </w:rPr>
            </w:pPr>
            <w:r>
              <w:rPr>
                <w:rFonts w:eastAsia="Times New Roman"/>
                <w:color w:val="000000"/>
                <w:sz w:val="18"/>
                <w:szCs w:val="18"/>
              </w:rPr>
              <w:t>301 </w:t>
            </w:r>
          </w:p>
        </w:tc>
        <w:tc>
          <w:tcPr>
            <w:tcW w:w="0" w:type="auto"/>
            <w:shd w:val="clear" w:color="auto" w:fill="FFFFFF"/>
            <w:tcMar>
              <w:top w:w="30" w:type="dxa"/>
              <w:left w:w="0" w:type="dxa"/>
              <w:bottom w:w="30" w:type="dxa"/>
              <w:right w:w="20" w:type="dxa"/>
            </w:tcMar>
            <w:vAlign w:val="center"/>
            <w:hideMark/>
          </w:tcPr>
          <w:p w14:paraId="6226DBE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CE6D8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4CBA9F" w14:textId="77777777" w:rsidR="00000000" w:rsidRDefault="00C1661D">
            <w:pPr>
              <w:spacing w:after="100"/>
              <w:jc w:val="right"/>
              <w:rPr>
                <w:rFonts w:eastAsia="Times New Roman"/>
              </w:rPr>
            </w:pPr>
            <w:r>
              <w:rPr>
                <w:rFonts w:eastAsia="Times New Roman"/>
                <w:color w:val="000000"/>
                <w:sz w:val="18"/>
                <w:szCs w:val="18"/>
              </w:rPr>
              <w:t>373 </w:t>
            </w:r>
          </w:p>
        </w:tc>
        <w:tc>
          <w:tcPr>
            <w:tcW w:w="0" w:type="auto"/>
            <w:shd w:val="clear" w:color="auto" w:fill="FFFFFF"/>
            <w:tcMar>
              <w:top w:w="30" w:type="dxa"/>
              <w:left w:w="0" w:type="dxa"/>
              <w:bottom w:w="30" w:type="dxa"/>
              <w:right w:w="20" w:type="dxa"/>
            </w:tcMar>
            <w:vAlign w:val="center"/>
            <w:hideMark/>
          </w:tcPr>
          <w:p w14:paraId="3BA032CA" w14:textId="77777777" w:rsidR="00000000" w:rsidRDefault="00C1661D">
            <w:pPr>
              <w:spacing w:after="100"/>
              <w:jc w:val="right"/>
              <w:rPr>
                <w:rFonts w:eastAsia="Times New Roman"/>
              </w:rPr>
            </w:pPr>
          </w:p>
        </w:tc>
      </w:tr>
      <w:tr w:rsidR="00000000" w14:paraId="1FF934D9" w14:textId="77777777">
        <w:trPr>
          <w:divId w:val="1688678984"/>
        </w:trPr>
        <w:tc>
          <w:tcPr>
            <w:tcW w:w="0" w:type="auto"/>
            <w:gridSpan w:val="3"/>
            <w:shd w:val="clear" w:color="auto" w:fill="CCEEFF"/>
            <w:tcMar>
              <w:top w:w="30" w:type="dxa"/>
              <w:left w:w="20" w:type="dxa"/>
              <w:bottom w:w="30" w:type="dxa"/>
              <w:right w:w="20" w:type="dxa"/>
            </w:tcMar>
            <w:vAlign w:val="center"/>
            <w:hideMark/>
          </w:tcPr>
          <w:p w14:paraId="4278737C" w14:textId="77777777" w:rsidR="00000000" w:rsidRDefault="00C1661D">
            <w:pPr>
              <w:spacing w:after="100"/>
              <w:rPr>
                <w:rFonts w:eastAsia="Times New Roman"/>
              </w:rPr>
            </w:pPr>
            <w:r>
              <w:rPr>
                <w:rFonts w:eastAsia="Times New Roman"/>
                <w:color w:val="000000"/>
                <w:sz w:val="18"/>
                <w:szCs w:val="18"/>
              </w:rPr>
              <w:t>Derivative instruments</w:t>
            </w:r>
          </w:p>
        </w:tc>
        <w:tc>
          <w:tcPr>
            <w:tcW w:w="0" w:type="auto"/>
            <w:gridSpan w:val="2"/>
            <w:shd w:val="clear" w:color="auto" w:fill="CCEEFF"/>
            <w:tcMar>
              <w:top w:w="30" w:type="dxa"/>
              <w:left w:w="20" w:type="dxa"/>
              <w:bottom w:w="30" w:type="dxa"/>
              <w:right w:w="0" w:type="dxa"/>
            </w:tcMar>
            <w:vAlign w:val="center"/>
            <w:hideMark/>
          </w:tcPr>
          <w:p w14:paraId="21F336F0" w14:textId="77777777" w:rsidR="00000000" w:rsidRDefault="00C1661D">
            <w:pPr>
              <w:spacing w:after="100"/>
              <w:jc w:val="right"/>
              <w:rPr>
                <w:rFonts w:eastAsia="Times New Roman"/>
              </w:rPr>
            </w:pPr>
            <w:r>
              <w:rPr>
                <w:rFonts w:eastAsia="Times New Roman"/>
                <w:color w:val="000000"/>
                <w:sz w:val="18"/>
                <w:szCs w:val="18"/>
              </w:rPr>
              <w:t>565 </w:t>
            </w:r>
          </w:p>
        </w:tc>
        <w:tc>
          <w:tcPr>
            <w:tcW w:w="0" w:type="auto"/>
            <w:shd w:val="clear" w:color="auto" w:fill="CCEEFF"/>
            <w:tcMar>
              <w:top w:w="30" w:type="dxa"/>
              <w:left w:w="0" w:type="dxa"/>
              <w:bottom w:w="30" w:type="dxa"/>
              <w:right w:w="20" w:type="dxa"/>
            </w:tcMar>
            <w:vAlign w:val="center"/>
            <w:hideMark/>
          </w:tcPr>
          <w:p w14:paraId="0A8F555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C93D9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4C03DF" w14:textId="77777777" w:rsidR="00000000" w:rsidRDefault="00C1661D">
            <w:pPr>
              <w:spacing w:after="100"/>
              <w:jc w:val="right"/>
              <w:rPr>
                <w:rFonts w:eastAsia="Times New Roman"/>
              </w:rPr>
            </w:pPr>
            <w:r>
              <w:rPr>
                <w:rFonts w:eastAsia="Times New Roman"/>
                <w:color w:val="000000"/>
                <w:sz w:val="18"/>
                <w:szCs w:val="18"/>
              </w:rPr>
              <w:t>338 </w:t>
            </w:r>
          </w:p>
        </w:tc>
        <w:tc>
          <w:tcPr>
            <w:tcW w:w="0" w:type="auto"/>
            <w:shd w:val="clear" w:color="auto" w:fill="CCEEFF"/>
            <w:tcMar>
              <w:top w:w="30" w:type="dxa"/>
              <w:left w:w="0" w:type="dxa"/>
              <w:bottom w:w="30" w:type="dxa"/>
              <w:right w:w="20" w:type="dxa"/>
            </w:tcMar>
            <w:vAlign w:val="center"/>
            <w:hideMark/>
          </w:tcPr>
          <w:p w14:paraId="053D6931" w14:textId="77777777" w:rsidR="00000000" w:rsidRDefault="00C1661D">
            <w:pPr>
              <w:spacing w:after="100"/>
              <w:jc w:val="right"/>
              <w:rPr>
                <w:rFonts w:eastAsia="Times New Roman"/>
              </w:rPr>
            </w:pPr>
          </w:p>
        </w:tc>
      </w:tr>
      <w:tr w:rsidR="00000000" w14:paraId="0E21BC08" w14:textId="77777777">
        <w:trPr>
          <w:divId w:val="1688678984"/>
        </w:trPr>
        <w:tc>
          <w:tcPr>
            <w:tcW w:w="0" w:type="auto"/>
            <w:gridSpan w:val="3"/>
            <w:vAlign w:val="center"/>
            <w:hideMark/>
          </w:tcPr>
          <w:p w14:paraId="366D3D94" w14:textId="77777777" w:rsidR="00000000" w:rsidRDefault="00C1661D">
            <w:pPr>
              <w:spacing w:after="100"/>
              <w:jc w:val="right"/>
              <w:rPr>
                <w:rFonts w:eastAsia="Times New Roman"/>
                <w:sz w:val="20"/>
                <w:szCs w:val="20"/>
              </w:rPr>
            </w:pPr>
          </w:p>
        </w:tc>
        <w:tc>
          <w:tcPr>
            <w:tcW w:w="0" w:type="auto"/>
            <w:gridSpan w:val="3"/>
            <w:vAlign w:val="center"/>
            <w:hideMark/>
          </w:tcPr>
          <w:p w14:paraId="17E01AF4" w14:textId="77777777" w:rsidR="00000000" w:rsidRDefault="00C1661D">
            <w:pPr>
              <w:spacing w:after="100"/>
              <w:rPr>
                <w:rFonts w:eastAsia="Times New Roman"/>
                <w:sz w:val="20"/>
                <w:szCs w:val="20"/>
              </w:rPr>
            </w:pPr>
          </w:p>
        </w:tc>
        <w:tc>
          <w:tcPr>
            <w:tcW w:w="0" w:type="auto"/>
            <w:gridSpan w:val="3"/>
            <w:vAlign w:val="center"/>
            <w:hideMark/>
          </w:tcPr>
          <w:p w14:paraId="0B76C15C" w14:textId="77777777" w:rsidR="00000000" w:rsidRDefault="00C1661D">
            <w:pPr>
              <w:spacing w:after="100"/>
              <w:rPr>
                <w:rFonts w:eastAsia="Times New Roman"/>
                <w:sz w:val="20"/>
                <w:szCs w:val="20"/>
              </w:rPr>
            </w:pPr>
          </w:p>
        </w:tc>
        <w:tc>
          <w:tcPr>
            <w:tcW w:w="0" w:type="auto"/>
            <w:gridSpan w:val="3"/>
            <w:vAlign w:val="center"/>
            <w:hideMark/>
          </w:tcPr>
          <w:p w14:paraId="65E49B2B" w14:textId="77777777" w:rsidR="00000000" w:rsidRDefault="00C1661D">
            <w:pPr>
              <w:spacing w:after="100"/>
              <w:rPr>
                <w:rFonts w:eastAsia="Times New Roman"/>
                <w:sz w:val="20"/>
                <w:szCs w:val="20"/>
              </w:rPr>
            </w:pPr>
          </w:p>
        </w:tc>
      </w:tr>
      <w:tr w:rsidR="00000000" w14:paraId="4C114A87" w14:textId="77777777">
        <w:trPr>
          <w:divId w:val="1688678984"/>
        </w:trPr>
        <w:tc>
          <w:tcPr>
            <w:tcW w:w="0" w:type="auto"/>
            <w:gridSpan w:val="3"/>
            <w:shd w:val="clear" w:color="auto" w:fill="FFFFFF"/>
            <w:tcMar>
              <w:top w:w="30" w:type="dxa"/>
              <w:left w:w="20" w:type="dxa"/>
              <w:bottom w:w="30" w:type="dxa"/>
              <w:right w:w="20" w:type="dxa"/>
            </w:tcMar>
            <w:vAlign w:val="center"/>
            <w:hideMark/>
          </w:tcPr>
          <w:p w14:paraId="3F37389A" w14:textId="77777777" w:rsidR="00000000" w:rsidRDefault="00C1661D">
            <w:pPr>
              <w:spacing w:after="100"/>
              <w:rPr>
                <w:rFonts w:eastAsia="Times New Roman"/>
              </w:rPr>
            </w:pPr>
            <w:r>
              <w:rPr>
                <w:rFonts w:eastAsia="Times New Roman"/>
                <w:color w:val="000000"/>
                <w:sz w:val="18"/>
                <w:szCs w:val="18"/>
              </w:rPr>
              <w:t>Other assets</w:t>
            </w:r>
          </w:p>
        </w:tc>
        <w:tc>
          <w:tcPr>
            <w:tcW w:w="0" w:type="auto"/>
            <w:gridSpan w:val="2"/>
            <w:shd w:val="clear" w:color="auto" w:fill="FFFFFF"/>
            <w:tcMar>
              <w:top w:w="30" w:type="dxa"/>
              <w:left w:w="20" w:type="dxa"/>
              <w:bottom w:w="30" w:type="dxa"/>
              <w:right w:w="0" w:type="dxa"/>
            </w:tcMar>
            <w:vAlign w:val="center"/>
            <w:hideMark/>
          </w:tcPr>
          <w:p w14:paraId="4483408A" w14:textId="77777777" w:rsidR="00000000" w:rsidRDefault="00C1661D">
            <w:pPr>
              <w:spacing w:after="100"/>
              <w:jc w:val="right"/>
              <w:rPr>
                <w:rFonts w:eastAsia="Times New Roman"/>
              </w:rPr>
            </w:pPr>
            <w:r>
              <w:rPr>
                <w:rFonts w:eastAsia="Times New Roman"/>
                <w:color w:val="000000"/>
                <w:sz w:val="18"/>
                <w:szCs w:val="18"/>
              </w:rPr>
              <w:t>755 </w:t>
            </w:r>
          </w:p>
        </w:tc>
        <w:tc>
          <w:tcPr>
            <w:tcW w:w="0" w:type="auto"/>
            <w:shd w:val="clear" w:color="auto" w:fill="FFFFFF"/>
            <w:tcMar>
              <w:top w:w="30" w:type="dxa"/>
              <w:left w:w="0" w:type="dxa"/>
              <w:bottom w:w="30" w:type="dxa"/>
              <w:right w:w="20" w:type="dxa"/>
            </w:tcMar>
            <w:vAlign w:val="center"/>
            <w:hideMark/>
          </w:tcPr>
          <w:p w14:paraId="7A4FCAB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21C85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0FB268" w14:textId="77777777" w:rsidR="00000000" w:rsidRDefault="00C1661D">
            <w:pPr>
              <w:spacing w:after="100"/>
              <w:jc w:val="right"/>
              <w:rPr>
                <w:rFonts w:eastAsia="Times New Roman"/>
              </w:rPr>
            </w:pPr>
            <w:r>
              <w:rPr>
                <w:rFonts w:eastAsia="Times New Roman"/>
                <w:color w:val="000000"/>
                <w:sz w:val="18"/>
                <w:szCs w:val="18"/>
              </w:rPr>
              <w:t>831 </w:t>
            </w:r>
          </w:p>
        </w:tc>
        <w:tc>
          <w:tcPr>
            <w:tcW w:w="0" w:type="auto"/>
            <w:shd w:val="clear" w:color="auto" w:fill="FFFFFF"/>
            <w:tcMar>
              <w:top w:w="30" w:type="dxa"/>
              <w:left w:w="0" w:type="dxa"/>
              <w:bottom w:w="30" w:type="dxa"/>
              <w:right w:w="20" w:type="dxa"/>
            </w:tcMar>
            <w:vAlign w:val="center"/>
            <w:hideMark/>
          </w:tcPr>
          <w:p w14:paraId="063C22D7" w14:textId="77777777" w:rsidR="00000000" w:rsidRDefault="00C1661D">
            <w:pPr>
              <w:spacing w:after="100"/>
              <w:jc w:val="right"/>
              <w:rPr>
                <w:rFonts w:eastAsia="Times New Roman"/>
              </w:rPr>
            </w:pPr>
          </w:p>
        </w:tc>
      </w:tr>
      <w:tr w:rsidR="00000000" w14:paraId="25EBA4D1" w14:textId="77777777">
        <w:trPr>
          <w:divId w:val="1688678984"/>
        </w:trPr>
        <w:tc>
          <w:tcPr>
            <w:tcW w:w="0" w:type="auto"/>
            <w:gridSpan w:val="3"/>
            <w:shd w:val="clear" w:color="auto" w:fill="CCEEFF"/>
            <w:tcMar>
              <w:top w:w="30" w:type="dxa"/>
              <w:left w:w="605" w:type="dxa"/>
              <w:bottom w:w="30" w:type="dxa"/>
              <w:right w:w="20" w:type="dxa"/>
            </w:tcMar>
            <w:vAlign w:val="center"/>
            <w:hideMark/>
          </w:tcPr>
          <w:p w14:paraId="4E64EE44" w14:textId="77777777" w:rsidR="00000000" w:rsidRDefault="00C1661D">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1157CA6" w14:textId="77777777" w:rsidR="00000000" w:rsidRDefault="00C1661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05BACE6" w14:textId="77777777" w:rsidR="00000000" w:rsidRDefault="00C1661D">
            <w:pPr>
              <w:spacing w:after="100"/>
              <w:jc w:val="right"/>
              <w:rPr>
                <w:rFonts w:eastAsia="Times New Roman"/>
              </w:rPr>
            </w:pPr>
            <w:r>
              <w:rPr>
                <w:rFonts w:eastAsia="Times New Roman"/>
                <w:color w:val="000000"/>
                <w:sz w:val="18"/>
                <w:szCs w:val="18"/>
              </w:rPr>
              <w:t>17,575 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0496B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160BC6"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FCE7C61" w14:textId="77777777" w:rsidR="00000000" w:rsidRDefault="00C1661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F8659B8" w14:textId="77777777" w:rsidR="00000000" w:rsidRDefault="00C1661D">
            <w:pPr>
              <w:spacing w:after="100"/>
              <w:jc w:val="right"/>
              <w:rPr>
                <w:rFonts w:eastAsia="Times New Roman"/>
              </w:rPr>
            </w:pPr>
            <w:r>
              <w:rPr>
                <w:rFonts w:eastAsia="Times New Roman"/>
                <w:color w:val="000000"/>
                <w:sz w:val="18"/>
                <w:szCs w:val="18"/>
              </w:rPr>
              <w:t>16,723 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2CE8CC" w14:textId="77777777" w:rsidR="00000000" w:rsidRDefault="00C1661D">
            <w:pPr>
              <w:spacing w:after="100"/>
              <w:jc w:val="right"/>
              <w:rPr>
                <w:rFonts w:eastAsia="Times New Roman"/>
              </w:rPr>
            </w:pPr>
          </w:p>
        </w:tc>
      </w:tr>
      <w:tr w:rsidR="00000000" w14:paraId="723135DE" w14:textId="77777777">
        <w:trPr>
          <w:divId w:val="1688678984"/>
        </w:trPr>
        <w:tc>
          <w:tcPr>
            <w:tcW w:w="0" w:type="auto"/>
            <w:gridSpan w:val="3"/>
            <w:shd w:val="clear" w:color="auto" w:fill="FFFFFF"/>
            <w:tcMar>
              <w:top w:w="30" w:type="dxa"/>
              <w:left w:w="20" w:type="dxa"/>
              <w:bottom w:w="30" w:type="dxa"/>
              <w:right w:w="20" w:type="dxa"/>
            </w:tcMar>
            <w:vAlign w:val="center"/>
            <w:hideMark/>
          </w:tcPr>
          <w:p w14:paraId="5C1E9D12" w14:textId="77777777" w:rsidR="00000000" w:rsidRDefault="00C1661D">
            <w:pPr>
              <w:spacing w:after="100"/>
              <w:rPr>
                <w:rFonts w:eastAsia="Times New Roman"/>
              </w:rPr>
            </w:pPr>
            <w:r>
              <w:rPr>
                <w:rFonts w:eastAsia="Times New Roman"/>
                <w:b/>
                <w:bCs/>
                <w:color w:val="000000"/>
                <w:sz w:val="18"/>
                <w:szCs w:val="18"/>
              </w:rPr>
              <w:t>LIABILITIES AND EQUITY</w:t>
            </w:r>
          </w:p>
        </w:tc>
        <w:tc>
          <w:tcPr>
            <w:tcW w:w="0" w:type="auto"/>
            <w:gridSpan w:val="3"/>
            <w:tcBorders>
              <w:top w:val="double" w:sz="6" w:space="0" w:color="000000"/>
            </w:tcBorders>
            <w:shd w:val="clear" w:color="auto" w:fill="FFFFFF"/>
            <w:tcMar>
              <w:top w:w="30" w:type="dxa"/>
              <w:left w:w="20" w:type="dxa"/>
              <w:bottom w:w="30" w:type="dxa"/>
              <w:right w:w="20" w:type="dxa"/>
            </w:tcMar>
            <w:vAlign w:val="center"/>
            <w:hideMark/>
          </w:tcPr>
          <w:p w14:paraId="1D7CAFC1" w14:textId="77777777" w:rsidR="00000000" w:rsidRDefault="00C1661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536F4E63" w14:textId="77777777" w:rsidR="00000000" w:rsidRDefault="00C166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center"/>
            <w:hideMark/>
          </w:tcPr>
          <w:p w14:paraId="701F0C8B" w14:textId="77777777" w:rsidR="00000000" w:rsidRDefault="00C1661D">
            <w:pPr>
              <w:spacing w:after="100"/>
              <w:rPr>
                <w:rFonts w:eastAsia="Times New Roman"/>
              </w:rPr>
            </w:pPr>
            <w:r>
              <w:rPr>
                <w:rFonts w:eastAsia="Times New Roman"/>
                <w:color w:val="000000"/>
                <w:sz w:val="18"/>
                <w:szCs w:val="18"/>
              </w:rPr>
              <w:t> </w:t>
            </w:r>
          </w:p>
        </w:tc>
      </w:tr>
      <w:tr w:rsidR="00000000" w14:paraId="482FD777" w14:textId="77777777">
        <w:trPr>
          <w:divId w:val="1688678984"/>
        </w:trPr>
        <w:tc>
          <w:tcPr>
            <w:tcW w:w="0" w:type="auto"/>
            <w:gridSpan w:val="3"/>
            <w:shd w:val="clear" w:color="auto" w:fill="CCEEFF"/>
            <w:tcMar>
              <w:top w:w="30" w:type="dxa"/>
              <w:left w:w="20" w:type="dxa"/>
              <w:bottom w:w="30" w:type="dxa"/>
              <w:right w:w="20" w:type="dxa"/>
            </w:tcMar>
            <w:vAlign w:val="center"/>
            <w:hideMark/>
          </w:tcPr>
          <w:p w14:paraId="64EC6BC6" w14:textId="77777777" w:rsidR="00000000" w:rsidRDefault="00C1661D">
            <w:pPr>
              <w:spacing w:after="100"/>
              <w:rPr>
                <w:rFonts w:eastAsia="Times New Roman"/>
              </w:rPr>
            </w:pPr>
            <w:r>
              <w:rPr>
                <w:rFonts w:eastAsia="Times New Roman"/>
                <w:color w:val="000000"/>
                <w:sz w:val="18"/>
                <w:szCs w:val="18"/>
              </w:rPr>
              <w:t>Current liabilities</w:t>
            </w:r>
          </w:p>
        </w:tc>
        <w:tc>
          <w:tcPr>
            <w:tcW w:w="0" w:type="auto"/>
            <w:gridSpan w:val="3"/>
            <w:shd w:val="clear" w:color="auto" w:fill="CCEEFF"/>
            <w:tcMar>
              <w:top w:w="30" w:type="dxa"/>
              <w:left w:w="20" w:type="dxa"/>
              <w:bottom w:w="30" w:type="dxa"/>
              <w:right w:w="20" w:type="dxa"/>
            </w:tcMar>
            <w:vAlign w:val="center"/>
            <w:hideMark/>
          </w:tcPr>
          <w:p w14:paraId="5CEF7AF2" w14:textId="77777777" w:rsidR="00000000" w:rsidRDefault="00C1661D">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6A4C84F5"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14958C30" w14:textId="77777777" w:rsidR="00000000" w:rsidRDefault="00C1661D">
            <w:pPr>
              <w:spacing w:after="100"/>
              <w:rPr>
                <w:rFonts w:eastAsia="Times New Roman"/>
              </w:rPr>
            </w:pPr>
            <w:r>
              <w:rPr>
                <w:rFonts w:eastAsia="Times New Roman"/>
                <w:color w:val="000000"/>
                <w:sz w:val="18"/>
                <w:szCs w:val="18"/>
              </w:rPr>
              <w:t> </w:t>
            </w:r>
          </w:p>
        </w:tc>
      </w:tr>
      <w:tr w:rsidR="00000000" w14:paraId="4387A53F" w14:textId="77777777">
        <w:trPr>
          <w:divId w:val="1688678984"/>
        </w:trPr>
        <w:tc>
          <w:tcPr>
            <w:tcW w:w="0" w:type="auto"/>
            <w:gridSpan w:val="3"/>
            <w:shd w:val="clear" w:color="auto" w:fill="FFFFFF"/>
            <w:tcMar>
              <w:top w:w="30" w:type="dxa"/>
              <w:left w:w="380" w:type="dxa"/>
              <w:bottom w:w="30" w:type="dxa"/>
              <w:right w:w="20" w:type="dxa"/>
            </w:tcMar>
            <w:vAlign w:val="center"/>
            <w:hideMark/>
          </w:tcPr>
          <w:p w14:paraId="6E69DBC0" w14:textId="77777777" w:rsidR="00000000" w:rsidRDefault="00C1661D">
            <w:pPr>
              <w:spacing w:after="100"/>
              <w:rPr>
                <w:rFonts w:eastAsia="Times New Roman"/>
              </w:rPr>
            </w:pPr>
            <w:r>
              <w:rPr>
                <w:rFonts w:eastAsia="Times New Roman"/>
                <w:color w:val="000000"/>
                <w:sz w:val="18"/>
                <w:szCs w:val="18"/>
              </w:rPr>
              <w:t>Current maturities of long-term debt</w:t>
            </w:r>
          </w:p>
        </w:tc>
        <w:tc>
          <w:tcPr>
            <w:tcW w:w="0" w:type="auto"/>
            <w:shd w:val="clear" w:color="auto" w:fill="FFFFFF"/>
            <w:tcMar>
              <w:top w:w="30" w:type="dxa"/>
              <w:left w:w="20" w:type="dxa"/>
              <w:bottom w:w="30" w:type="dxa"/>
              <w:right w:w="0" w:type="dxa"/>
            </w:tcMar>
            <w:vAlign w:val="center"/>
            <w:hideMark/>
          </w:tcPr>
          <w:p w14:paraId="6E2047B0"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76B1D5A" w14:textId="77777777" w:rsidR="00000000" w:rsidRDefault="00C1661D">
            <w:pPr>
              <w:spacing w:after="100"/>
              <w:jc w:val="right"/>
              <w:rPr>
                <w:rFonts w:eastAsia="Times New Roman"/>
              </w:rPr>
            </w:pPr>
            <w:r>
              <w:rPr>
                <w:rFonts w:eastAsia="Times New Roman"/>
                <w:color w:val="000000"/>
                <w:sz w:val="18"/>
                <w:szCs w:val="18"/>
              </w:rPr>
              <w:t>149 </w:t>
            </w:r>
          </w:p>
        </w:tc>
        <w:tc>
          <w:tcPr>
            <w:tcW w:w="0" w:type="auto"/>
            <w:shd w:val="clear" w:color="auto" w:fill="FFFFFF"/>
            <w:tcMar>
              <w:top w:w="30" w:type="dxa"/>
              <w:left w:w="0" w:type="dxa"/>
              <w:bottom w:w="30" w:type="dxa"/>
              <w:right w:w="20" w:type="dxa"/>
            </w:tcMar>
            <w:vAlign w:val="center"/>
            <w:hideMark/>
          </w:tcPr>
          <w:p w14:paraId="1351EDA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15C42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311F7E2"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35F8765" w14:textId="77777777" w:rsidR="00000000" w:rsidRDefault="00C1661D">
            <w:pPr>
              <w:spacing w:after="100"/>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center"/>
            <w:hideMark/>
          </w:tcPr>
          <w:p w14:paraId="42DA15EB" w14:textId="77777777" w:rsidR="00000000" w:rsidRDefault="00C1661D">
            <w:pPr>
              <w:spacing w:after="100"/>
              <w:jc w:val="right"/>
              <w:rPr>
                <w:rFonts w:eastAsia="Times New Roman"/>
              </w:rPr>
            </w:pPr>
          </w:p>
        </w:tc>
      </w:tr>
      <w:tr w:rsidR="00000000" w14:paraId="4B789A23" w14:textId="77777777">
        <w:trPr>
          <w:divId w:val="1688678984"/>
        </w:trPr>
        <w:tc>
          <w:tcPr>
            <w:tcW w:w="0" w:type="auto"/>
            <w:gridSpan w:val="3"/>
            <w:shd w:val="clear" w:color="auto" w:fill="CCEEFF"/>
            <w:tcMar>
              <w:top w:w="30" w:type="dxa"/>
              <w:left w:w="380" w:type="dxa"/>
              <w:bottom w:w="30" w:type="dxa"/>
              <w:right w:w="20" w:type="dxa"/>
            </w:tcMar>
            <w:vAlign w:val="center"/>
            <w:hideMark/>
          </w:tcPr>
          <w:p w14:paraId="45DB49AA" w14:textId="77777777" w:rsidR="00000000" w:rsidRDefault="00C1661D">
            <w:pPr>
              <w:spacing w:after="100"/>
              <w:rPr>
                <w:rFonts w:eastAsia="Times New Roman"/>
              </w:rPr>
            </w:pPr>
            <w:r>
              <w:rPr>
                <w:rFonts w:eastAsia="Times New Roman"/>
                <w:color w:val="000000"/>
                <w:sz w:val="18"/>
                <w:szCs w:val="18"/>
              </w:rPr>
              <w:t>Short-term borrowings</w:t>
            </w:r>
          </w:p>
        </w:tc>
        <w:tc>
          <w:tcPr>
            <w:tcW w:w="0" w:type="auto"/>
            <w:gridSpan w:val="2"/>
            <w:shd w:val="clear" w:color="auto" w:fill="CCEEFF"/>
            <w:tcMar>
              <w:top w:w="30" w:type="dxa"/>
              <w:left w:w="20" w:type="dxa"/>
              <w:bottom w:w="30" w:type="dxa"/>
              <w:right w:w="0" w:type="dxa"/>
            </w:tcMar>
            <w:vAlign w:val="center"/>
            <w:hideMark/>
          </w:tcPr>
          <w:p w14:paraId="08A5C831" w14:textId="77777777" w:rsidR="00000000" w:rsidRDefault="00C1661D">
            <w:pPr>
              <w:spacing w:after="100"/>
              <w:jc w:val="right"/>
              <w:rPr>
                <w:rFonts w:eastAsia="Times New Roman"/>
              </w:rPr>
            </w:pPr>
            <w:r>
              <w:rPr>
                <w:rFonts w:eastAsia="Times New Roman"/>
                <w:color w:val="000000"/>
                <w:sz w:val="18"/>
                <w:szCs w:val="18"/>
              </w:rPr>
              <w:t>368 </w:t>
            </w:r>
          </w:p>
        </w:tc>
        <w:tc>
          <w:tcPr>
            <w:tcW w:w="0" w:type="auto"/>
            <w:shd w:val="clear" w:color="auto" w:fill="CCEEFF"/>
            <w:tcMar>
              <w:top w:w="30" w:type="dxa"/>
              <w:left w:w="0" w:type="dxa"/>
              <w:bottom w:w="30" w:type="dxa"/>
              <w:right w:w="20" w:type="dxa"/>
            </w:tcMar>
            <w:vAlign w:val="center"/>
            <w:hideMark/>
          </w:tcPr>
          <w:p w14:paraId="5AFDB39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DEFBF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74622E" w14:textId="77777777" w:rsidR="00000000" w:rsidRDefault="00C1661D">
            <w:pPr>
              <w:spacing w:after="100"/>
              <w:jc w:val="right"/>
              <w:rPr>
                <w:rFonts w:eastAsia="Times New Roman"/>
              </w:rPr>
            </w:pPr>
            <w:r>
              <w:rPr>
                <w:rFonts w:eastAsia="Times New Roman"/>
                <w:color w:val="000000"/>
                <w:sz w:val="18"/>
                <w:szCs w:val="18"/>
              </w:rPr>
              <w:t>367 </w:t>
            </w:r>
          </w:p>
        </w:tc>
        <w:tc>
          <w:tcPr>
            <w:tcW w:w="0" w:type="auto"/>
            <w:shd w:val="clear" w:color="auto" w:fill="CCEEFF"/>
            <w:tcMar>
              <w:top w:w="30" w:type="dxa"/>
              <w:left w:w="0" w:type="dxa"/>
              <w:bottom w:w="30" w:type="dxa"/>
              <w:right w:w="20" w:type="dxa"/>
            </w:tcMar>
            <w:vAlign w:val="center"/>
            <w:hideMark/>
          </w:tcPr>
          <w:p w14:paraId="75E774CC" w14:textId="77777777" w:rsidR="00000000" w:rsidRDefault="00C1661D">
            <w:pPr>
              <w:spacing w:after="100"/>
              <w:jc w:val="right"/>
              <w:rPr>
                <w:rFonts w:eastAsia="Times New Roman"/>
              </w:rPr>
            </w:pPr>
          </w:p>
        </w:tc>
      </w:tr>
      <w:tr w:rsidR="00000000" w14:paraId="0C6A45C7" w14:textId="77777777">
        <w:trPr>
          <w:divId w:val="1688678984"/>
        </w:trPr>
        <w:tc>
          <w:tcPr>
            <w:tcW w:w="0" w:type="auto"/>
            <w:gridSpan w:val="3"/>
            <w:shd w:val="clear" w:color="auto" w:fill="FFFFFF"/>
            <w:tcMar>
              <w:top w:w="30" w:type="dxa"/>
              <w:left w:w="380" w:type="dxa"/>
              <w:bottom w:w="30" w:type="dxa"/>
              <w:right w:w="20" w:type="dxa"/>
            </w:tcMar>
            <w:vAlign w:val="center"/>
            <w:hideMark/>
          </w:tcPr>
          <w:p w14:paraId="6CBE1D6F" w14:textId="77777777" w:rsidR="00000000" w:rsidRDefault="00C1661D">
            <w:pPr>
              <w:spacing w:after="100"/>
              <w:rPr>
                <w:rFonts w:eastAsia="Times New Roman"/>
              </w:rPr>
            </w:pPr>
            <w:r>
              <w:rPr>
                <w:rFonts w:eastAsia="Times New Roman"/>
                <w:color w:val="000000"/>
                <w:sz w:val="18"/>
                <w:szCs w:val="18"/>
              </w:rPr>
              <w:t>Accounts payable</w:t>
            </w:r>
          </w:p>
        </w:tc>
        <w:tc>
          <w:tcPr>
            <w:tcW w:w="0" w:type="auto"/>
            <w:gridSpan w:val="2"/>
            <w:shd w:val="clear" w:color="auto" w:fill="FFFFFF"/>
            <w:tcMar>
              <w:top w:w="30" w:type="dxa"/>
              <w:left w:w="20" w:type="dxa"/>
              <w:bottom w:w="30" w:type="dxa"/>
              <w:right w:w="0" w:type="dxa"/>
            </w:tcMar>
            <w:vAlign w:val="center"/>
            <w:hideMark/>
          </w:tcPr>
          <w:p w14:paraId="547C1AAB" w14:textId="77777777" w:rsidR="00000000" w:rsidRDefault="00C1661D">
            <w:pPr>
              <w:spacing w:after="100"/>
              <w:jc w:val="right"/>
              <w:rPr>
                <w:rFonts w:eastAsia="Times New Roman"/>
              </w:rPr>
            </w:pPr>
            <w:r>
              <w:rPr>
                <w:rFonts w:eastAsia="Times New Roman"/>
                <w:color w:val="000000"/>
                <w:sz w:val="18"/>
                <w:szCs w:val="18"/>
              </w:rPr>
              <w:t>891 </w:t>
            </w:r>
          </w:p>
        </w:tc>
        <w:tc>
          <w:tcPr>
            <w:tcW w:w="0" w:type="auto"/>
            <w:shd w:val="clear" w:color="auto" w:fill="FFFFFF"/>
            <w:tcMar>
              <w:top w:w="30" w:type="dxa"/>
              <w:left w:w="0" w:type="dxa"/>
              <w:bottom w:w="30" w:type="dxa"/>
              <w:right w:w="20" w:type="dxa"/>
            </w:tcMar>
            <w:vAlign w:val="center"/>
            <w:hideMark/>
          </w:tcPr>
          <w:p w14:paraId="3817E8F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51133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5AE366" w14:textId="77777777" w:rsidR="00000000" w:rsidRDefault="00C1661D">
            <w:pPr>
              <w:spacing w:after="100"/>
              <w:jc w:val="right"/>
              <w:rPr>
                <w:rFonts w:eastAsia="Times New Roman"/>
              </w:rPr>
            </w:pPr>
            <w:r>
              <w:rPr>
                <w:rFonts w:eastAsia="Times New Roman"/>
                <w:color w:val="000000"/>
                <w:sz w:val="18"/>
                <w:szCs w:val="18"/>
              </w:rPr>
              <w:t>837 </w:t>
            </w:r>
          </w:p>
        </w:tc>
        <w:tc>
          <w:tcPr>
            <w:tcW w:w="0" w:type="auto"/>
            <w:shd w:val="clear" w:color="auto" w:fill="FFFFFF"/>
            <w:tcMar>
              <w:top w:w="30" w:type="dxa"/>
              <w:left w:w="0" w:type="dxa"/>
              <w:bottom w:w="30" w:type="dxa"/>
              <w:right w:w="20" w:type="dxa"/>
            </w:tcMar>
            <w:vAlign w:val="center"/>
            <w:hideMark/>
          </w:tcPr>
          <w:p w14:paraId="1ED27F4C" w14:textId="77777777" w:rsidR="00000000" w:rsidRDefault="00C1661D">
            <w:pPr>
              <w:spacing w:after="100"/>
              <w:jc w:val="right"/>
              <w:rPr>
                <w:rFonts w:eastAsia="Times New Roman"/>
              </w:rPr>
            </w:pPr>
          </w:p>
        </w:tc>
      </w:tr>
      <w:tr w:rsidR="00000000" w14:paraId="6367851A" w14:textId="77777777">
        <w:trPr>
          <w:divId w:val="1688678984"/>
        </w:trPr>
        <w:tc>
          <w:tcPr>
            <w:tcW w:w="0" w:type="auto"/>
            <w:gridSpan w:val="3"/>
            <w:shd w:val="clear" w:color="auto" w:fill="CCEEFF"/>
            <w:tcMar>
              <w:top w:w="30" w:type="dxa"/>
              <w:left w:w="380" w:type="dxa"/>
              <w:bottom w:w="30" w:type="dxa"/>
              <w:right w:w="20" w:type="dxa"/>
            </w:tcMar>
            <w:vAlign w:val="center"/>
            <w:hideMark/>
          </w:tcPr>
          <w:p w14:paraId="64039B7D" w14:textId="77777777" w:rsidR="00000000" w:rsidRDefault="00C1661D">
            <w:pPr>
              <w:spacing w:after="100"/>
              <w:rPr>
                <w:rFonts w:eastAsia="Times New Roman"/>
              </w:rPr>
            </w:pPr>
            <w:r>
              <w:rPr>
                <w:rFonts w:eastAsia="Times New Roman"/>
                <w:color w:val="000000"/>
                <w:sz w:val="18"/>
                <w:szCs w:val="18"/>
              </w:rPr>
              <w:t>Employee compensation and benefits accrued</w:t>
            </w:r>
          </w:p>
        </w:tc>
        <w:tc>
          <w:tcPr>
            <w:tcW w:w="0" w:type="auto"/>
            <w:gridSpan w:val="2"/>
            <w:shd w:val="clear" w:color="auto" w:fill="CCEEFF"/>
            <w:tcMar>
              <w:top w:w="30" w:type="dxa"/>
              <w:left w:w="20" w:type="dxa"/>
              <w:bottom w:w="30" w:type="dxa"/>
              <w:right w:w="0" w:type="dxa"/>
            </w:tcMar>
            <w:vAlign w:val="center"/>
            <w:hideMark/>
          </w:tcPr>
          <w:p w14:paraId="7970ED16" w14:textId="77777777" w:rsidR="00000000" w:rsidRDefault="00C1661D">
            <w:pPr>
              <w:spacing w:after="100"/>
              <w:jc w:val="right"/>
              <w:rPr>
                <w:rFonts w:eastAsia="Times New Roman"/>
              </w:rPr>
            </w:pPr>
            <w:r>
              <w:rPr>
                <w:rFonts w:eastAsia="Times New Roman"/>
                <w:color w:val="000000"/>
                <w:sz w:val="18"/>
                <w:szCs w:val="18"/>
              </w:rPr>
              <w:t>147 </w:t>
            </w:r>
          </w:p>
        </w:tc>
        <w:tc>
          <w:tcPr>
            <w:tcW w:w="0" w:type="auto"/>
            <w:shd w:val="clear" w:color="auto" w:fill="CCEEFF"/>
            <w:tcMar>
              <w:top w:w="30" w:type="dxa"/>
              <w:left w:w="0" w:type="dxa"/>
              <w:bottom w:w="30" w:type="dxa"/>
              <w:right w:w="20" w:type="dxa"/>
            </w:tcMar>
            <w:vAlign w:val="center"/>
            <w:hideMark/>
          </w:tcPr>
          <w:p w14:paraId="7C446DA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FD23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A0A8DB" w14:textId="77777777" w:rsidR="00000000" w:rsidRDefault="00C1661D">
            <w:pPr>
              <w:spacing w:after="100"/>
              <w:jc w:val="right"/>
              <w:rPr>
                <w:rFonts w:eastAsia="Times New Roman"/>
              </w:rPr>
            </w:pPr>
            <w:r>
              <w:rPr>
                <w:rFonts w:eastAsia="Times New Roman"/>
                <w:color w:val="000000"/>
                <w:sz w:val="18"/>
                <w:szCs w:val="18"/>
              </w:rPr>
              <w:t>181 </w:t>
            </w:r>
          </w:p>
        </w:tc>
        <w:tc>
          <w:tcPr>
            <w:tcW w:w="0" w:type="auto"/>
            <w:shd w:val="clear" w:color="auto" w:fill="CCEEFF"/>
            <w:tcMar>
              <w:top w:w="30" w:type="dxa"/>
              <w:left w:w="0" w:type="dxa"/>
              <w:bottom w:w="30" w:type="dxa"/>
              <w:right w:w="20" w:type="dxa"/>
            </w:tcMar>
            <w:vAlign w:val="center"/>
            <w:hideMark/>
          </w:tcPr>
          <w:p w14:paraId="677A8C5C" w14:textId="77777777" w:rsidR="00000000" w:rsidRDefault="00C1661D">
            <w:pPr>
              <w:spacing w:after="100"/>
              <w:jc w:val="right"/>
              <w:rPr>
                <w:rFonts w:eastAsia="Times New Roman"/>
              </w:rPr>
            </w:pPr>
          </w:p>
        </w:tc>
      </w:tr>
      <w:tr w:rsidR="00000000" w14:paraId="2CF9FAFB" w14:textId="77777777">
        <w:trPr>
          <w:divId w:val="1688678984"/>
        </w:trPr>
        <w:tc>
          <w:tcPr>
            <w:tcW w:w="0" w:type="auto"/>
            <w:gridSpan w:val="3"/>
            <w:shd w:val="clear" w:color="auto" w:fill="FFFFFF"/>
            <w:tcMar>
              <w:top w:w="30" w:type="dxa"/>
              <w:left w:w="380" w:type="dxa"/>
              <w:bottom w:w="30" w:type="dxa"/>
              <w:right w:w="20" w:type="dxa"/>
            </w:tcMar>
            <w:vAlign w:val="center"/>
            <w:hideMark/>
          </w:tcPr>
          <w:p w14:paraId="156A34ED" w14:textId="77777777" w:rsidR="00000000" w:rsidRDefault="00C1661D">
            <w:pPr>
              <w:spacing w:after="100"/>
              <w:rPr>
                <w:rFonts w:eastAsia="Times New Roman"/>
              </w:rPr>
            </w:pPr>
            <w:r>
              <w:rPr>
                <w:rFonts w:eastAsia="Times New Roman"/>
                <w:color w:val="000000"/>
                <w:sz w:val="18"/>
                <w:szCs w:val="18"/>
              </w:rPr>
              <w:t>Deposits and advances</w:t>
            </w:r>
          </w:p>
        </w:tc>
        <w:tc>
          <w:tcPr>
            <w:tcW w:w="0" w:type="auto"/>
            <w:gridSpan w:val="2"/>
            <w:shd w:val="clear" w:color="auto" w:fill="FFFFFF"/>
            <w:tcMar>
              <w:top w:w="30" w:type="dxa"/>
              <w:left w:w="20" w:type="dxa"/>
              <w:bottom w:w="30" w:type="dxa"/>
              <w:right w:w="0" w:type="dxa"/>
            </w:tcMar>
            <w:vAlign w:val="center"/>
            <w:hideMark/>
          </w:tcPr>
          <w:p w14:paraId="267D32F4" w14:textId="77777777" w:rsidR="00000000" w:rsidRDefault="00C1661D">
            <w:pPr>
              <w:spacing w:after="100"/>
              <w:jc w:val="right"/>
              <w:rPr>
                <w:rFonts w:eastAsia="Times New Roman"/>
              </w:rPr>
            </w:pPr>
            <w:r>
              <w:rPr>
                <w:rFonts w:eastAsia="Times New Roman"/>
                <w:color w:val="000000"/>
                <w:sz w:val="18"/>
                <w:szCs w:val="18"/>
              </w:rPr>
              <w:t>225 </w:t>
            </w:r>
          </w:p>
        </w:tc>
        <w:tc>
          <w:tcPr>
            <w:tcW w:w="0" w:type="auto"/>
            <w:shd w:val="clear" w:color="auto" w:fill="FFFFFF"/>
            <w:tcMar>
              <w:top w:w="30" w:type="dxa"/>
              <w:left w:w="0" w:type="dxa"/>
              <w:bottom w:w="30" w:type="dxa"/>
              <w:right w:w="20" w:type="dxa"/>
            </w:tcMar>
            <w:vAlign w:val="center"/>
            <w:hideMark/>
          </w:tcPr>
          <w:p w14:paraId="2C187FB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E8C82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545CBB" w14:textId="77777777" w:rsidR="00000000" w:rsidRDefault="00C1661D">
            <w:pPr>
              <w:spacing w:after="100"/>
              <w:jc w:val="right"/>
              <w:rPr>
                <w:rFonts w:eastAsia="Times New Roman"/>
              </w:rPr>
            </w:pPr>
            <w:r>
              <w:rPr>
                <w:rFonts w:eastAsia="Times New Roman"/>
                <w:color w:val="000000"/>
                <w:sz w:val="18"/>
                <w:szCs w:val="18"/>
              </w:rPr>
              <w:t>208 </w:t>
            </w:r>
          </w:p>
        </w:tc>
        <w:tc>
          <w:tcPr>
            <w:tcW w:w="0" w:type="auto"/>
            <w:shd w:val="clear" w:color="auto" w:fill="FFFFFF"/>
            <w:tcMar>
              <w:top w:w="30" w:type="dxa"/>
              <w:left w:w="0" w:type="dxa"/>
              <w:bottom w:w="30" w:type="dxa"/>
              <w:right w:w="20" w:type="dxa"/>
            </w:tcMar>
            <w:vAlign w:val="center"/>
            <w:hideMark/>
          </w:tcPr>
          <w:p w14:paraId="7A7671D5" w14:textId="77777777" w:rsidR="00000000" w:rsidRDefault="00C1661D">
            <w:pPr>
              <w:spacing w:after="100"/>
              <w:jc w:val="right"/>
              <w:rPr>
                <w:rFonts w:eastAsia="Times New Roman"/>
              </w:rPr>
            </w:pPr>
          </w:p>
        </w:tc>
      </w:tr>
      <w:tr w:rsidR="00000000" w14:paraId="32B1EA79" w14:textId="77777777">
        <w:trPr>
          <w:divId w:val="1688678984"/>
        </w:trPr>
        <w:tc>
          <w:tcPr>
            <w:tcW w:w="0" w:type="auto"/>
            <w:gridSpan w:val="3"/>
            <w:shd w:val="clear" w:color="auto" w:fill="CCEEFF"/>
            <w:tcMar>
              <w:top w:w="30" w:type="dxa"/>
              <w:left w:w="380" w:type="dxa"/>
              <w:bottom w:w="30" w:type="dxa"/>
              <w:right w:w="20" w:type="dxa"/>
            </w:tcMar>
            <w:vAlign w:val="center"/>
            <w:hideMark/>
          </w:tcPr>
          <w:p w14:paraId="0D1E39BE" w14:textId="77777777" w:rsidR="00000000" w:rsidRDefault="00C1661D">
            <w:pPr>
              <w:spacing w:after="100"/>
              <w:rPr>
                <w:rFonts w:eastAsia="Times New Roman"/>
              </w:rPr>
            </w:pPr>
            <w:r>
              <w:rPr>
                <w:rFonts w:eastAsia="Times New Roman"/>
                <w:color w:val="000000"/>
                <w:sz w:val="18"/>
                <w:szCs w:val="18"/>
              </w:rPr>
              <w:t>Derivative instruments</w:t>
            </w:r>
          </w:p>
        </w:tc>
        <w:tc>
          <w:tcPr>
            <w:tcW w:w="0" w:type="auto"/>
            <w:gridSpan w:val="2"/>
            <w:shd w:val="clear" w:color="auto" w:fill="CCEEFF"/>
            <w:tcMar>
              <w:top w:w="30" w:type="dxa"/>
              <w:left w:w="20" w:type="dxa"/>
              <w:bottom w:w="30" w:type="dxa"/>
              <w:right w:w="0" w:type="dxa"/>
            </w:tcMar>
            <w:vAlign w:val="center"/>
            <w:hideMark/>
          </w:tcPr>
          <w:p w14:paraId="5B99D73C" w14:textId="77777777" w:rsidR="00000000" w:rsidRDefault="00C1661D">
            <w:pPr>
              <w:spacing w:after="100"/>
              <w:jc w:val="right"/>
              <w:rPr>
                <w:rFonts w:eastAsia="Times New Roman"/>
              </w:rPr>
            </w:pPr>
            <w:r>
              <w:rPr>
                <w:rFonts w:eastAsia="Times New Roman"/>
                <w:color w:val="000000"/>
                <w:sz w:val="18"/>
                <w:szCs w:val="18"/>
              </w:rPr>
              <w:t>144 </w:t>
            </w:r>
          </w:p>
        </w:tc>
        <w:tc>
          <w:tcPr>
            <w:tcW w:w="0" w:type="auto"/>
            <w:shd w:val="clear" w:color="auto" w:fill="CCEEFF"/>
            <w:tcMar>
              <w:top w:w="30" w:type="dxa"/>
              <w:left w:w="0" w:type="dxa"/>
              <w:bottom w:w="30" w:type="dxa"/>
              <w:right w:w="20" w:type="dxa"/>
            </w:tcMar>
            <w:vAlign w:val="center"/>
            <w:hideMark/>
          </w:tcPr>
          <w:p w14:paraId="37E2EEE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F36F5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03B752" w14:textId="77777777" w:rsidR="00000000" w:rsidRDefault="00C1661D">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14:paraId="369CA6A5" w14:textId="77777777" w:rsidR="00000000" w:rsidRDefault="00C1661D">
            <w:pPr>
              <w:spacing w:after="100"/>
              <w:jc w:val="right"/>
              <w:rPr>
                <w:rFonts w:eastAsia="Times New Roman"/>
              </w:rPr>
            </w:pPr>
          </w:p>
        </w:tc>
      </w:tr>
      <w:tr w:rsidR="00000000" w14:paraId="68659632" w14:textId="77777777">
        <w:trPr>
          <w:divId w:val="1688678984"/>
        </w:trPr>
        <w:tc>
          <w:tcPr>
            <w:tcW w:w="0" w:type="auto"/>
            <w:gridSpan w:val="3"/>
            <w:vAlign w:val="center"/>
            <w:hideMark/>
          </w:tcPr>
          <w:p w14:paraId="6E7CF853" w14:textId="77777777" w:rsidR="00000000" w:rsidRDefault="00C1661D">
            <w:pPr>
              <w:spacing w:after="100"/>
              <w:jc w:val="right"/>
              <w:rPr>
                <w:rFonts w:eastAsia="Times New Roman"/>
                <w:sz w:val="20"/>
                <w:szCs w:val="20"/>
              </w:rPr>
            </w:pPr>
          </w:p>
        </w:tc>
        <w:tc>
          <w:tcPr>
            <w:tcW w:w="0" w:type="auto"/>
            <w:gridSpan w:val="3"/>
            <w:vAlign w:val="center"/>
            <w:hideMark/>
          </w:tcPr>
          <w:p w14:paraId="4B4F7639" w14:textId="77777777" w:rsidR="00000000" w:rsidRDefault="00C1661D">
            <w:pPr>
              <w:spacing w:after="100"/>
              <w:rPr>
                <w:rFonts w:eastAsia="Times New Roman"/>
                <w:sz w:val="20"/>
                <w:szCs w:val="20"/>
              </w:rPr>
            </w:pPr>
          </w:p>
        </w:tc>
        <w:tc>
          <w:tcPr>
            <w:tcW w:w="0" w:type="auto"/>
            <w:gridSpan w:val="3"/>
            <w:vAlign w:val="center"/>
            <w:hideMark/>
          </w:tcPr>
          <w:p w14:paraId="42773C1A" w14:textId="77777777" w:rsidR="00000000" w:rsidRDefault="00C1661D">
            <w:pPr>
              <w:spacing w:after="100"/>
              <w:rPr>
                <w:rFonts w:eastAsia="Times New Roman"/>
                <w:sz w:val="20"/>
                <w:szCs w:val="20"/>
              </w:rPr>
            </w:pPr>
          </w:p>
        </w:tc>
        <w:tc>
          <w:tcPr>
            <w:tcW w:w="0" w:type="auto"/>
            <w:gridSpan w:val="3"/>
            <w:vAlign w:val="center"/>
            <w:hideMark/>
          </w:tcPr>
          <w:p w14:paraId="734991A7" w14:textId="77777777" w:rsidR="00000000" w:rsidRDefault="00C1661D">
            <w:pPr>
              <w:spacing w:after="100"/>
              <w:rPr>
                <w:rFonts w:eastAsia="Times New Roman"/>
                <w:sz w:val="20"/>
                <w:szCs w:val="20"/>
              </w:rPr>
            </w:pPr>
          </w:p>
        </w:tc>
      </w:tr>
      <w:tr w:rsidR="00000000" w14:paraId="521F024E" w14:textId="77777777">
        <w:trPr>
          <w:divId w:val="1688678984"/>
        </w:trPr>
        <w:tc>
          <w:tcPr>
            <w:tcW w:w="0" w:type="auto"/>
            <w:gridSpan w:val="3"/>
            <w:shd w:val="clear" w:color="auto" w:fill="FFFFFF"/>
            <w:tcMar>
              <w:top w:w="30" w:type="dxa"/>
              <w:left w:w="20" w:type="dxa"/>
              <w:bottom w:w="30" w:type="dxa"/>
              <w:right w:w="20" w:type="dxa"/>
            </w:tcMar>
            <w:vAlign w:val="center"/>
            <w:hideMark/>
          </w:tcPr>
          <w:p w14:paraId="1C3FF6F9" w14:textId="77777777" w:rsidR="00000000" w:rsidRDefault="00C1661D">
            <w:pPr>
              <w:spacing w:after="100"/>
              <w:divId w:val="1538854869"/>
              <w:rPr>
                <w:rFonts w:eastAsia="Times New Roman"/>
              </w:rPr>
            </w:pPr>
            <w:r>
              <w:rPr>
                <w:rFonts w:eastAsia="Times New Roman"/>
                <w:color w:val="000000"/>
                <w:sz w:val="18"/>
                <w:szCs w:val="18"/>
              </w:rPr>
              <w:t>Held for sale liabilities (Note 25)</w:t>
            </w:r>
          </w:p>
        </w:tc>
        <w:tc>
          <w:tcPr>
            <w:tcW w:w="0" w:type="auto"/>
            <w:gridSpan w:val="2"/>
            <w:shd w:val="clear" w:color="auto" w:fill="FFFFFF"/>
            <w:tcMar>
              <w:top w:w="30" w:type="dxa"/>
              <w:left w:w="20" w:type="dxa"/>
              <w:bottom w:w="30" w:type="dxa"/>
              <w:right w:w="0" w:type="dxa"/>
            </w:tcMar>
            <w:vAlign w:val="center"/>
            <w:hideMark/>
          </w:tcPr>
          <w:p w14:paraId="5CF27D21" w14:textId="77777777" w:rsidR="00000000" w:rsidRDefault="00C1661D">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center"/>
            <w:hideMark/>
          </w:tcPr>
          <w:p w14:paraId="5DB7508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9A0AD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9E96E0"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B0ECEC5" w14:textId="77777777" w:rsidR="00000000" w:rsidRDefault="00C1661D">
            <w:pPr>
              <w:spacing w:after="100"/>
              <w:jc w:val="right"/>
              <w:rPr>
                <w:rFonts w:eastAsia="Times New Roman"/>
              </w:rPr>
            </w:pPr>
          </w:p>
        </w:tc>
      </w:tr>
      <w:tr w:rsidR="00000000" w14:paraId="111703AE" w14:textId="77777777">
        <w:trPr>
          <w:divId w:val="1688678984"/>
        </w:trPr>
        <w:tc>
          <w:tcPr>
            <w:tcW w:w="0" w:type="auto"/>
            <w:gridSpan w:val="3"/>
            <w:shd w:val="clear" w:color="auto" w:fill="CCEEFF"/>
            <w:tcMar>
              <w:top w:w="30" w:type="dxa"/>
              <w:left w:w="380" w:type="dxa"/>
              <w:bottom w:w="30" w:type="dxa"/>
              <w:right w:w="20" w:type="dxa"/>
            </w:tcMar>
            <w:vAlign w:val="center"/>
            <w:hideMark/>
          </w:tcPr>
          <w:p w14:paraId="0AA840A8" w14:textId="77777777" w:rsidR="00000000" w:rsidRDefault="00C1661D">
            <w:pPr>
              <w:spacing w:after="100"/>
              <w:rPr>
                <w:rFonts w:eastAsia="Times New Roman"/>
              </w:rPr>
            </w:pPr>
            <w:r>
              <w:rPr>
                <w:rFonts w:eastAsia="Times New Roman"/>
                <w:color w:val="000000"/>
                <w:sz w:val="18"/>
                <w:szCs w:val="18"/>
              </w:rPr>
              <w:t>Other current liabilities</w:t>
            </w:r>
          </w:p>
        </w:tc>
        <w:tc>
          <w:tcPr>
            <w:tcW w:w="0" w:type="auto"/>
            <w:gridSpan w:val="2"/>
            <w:shd w:val="clear" w:color="auto" w:fill="CCEEFF"/>
            <w:tcMar>
              <w:top w:w="30" w:type="dxa"/>
              <w:left w:w="20" w:type="dxa"/>
              <w:bottom w:w="30" w:type="dxa"/>
              <w:right w:w="0" w:type="dxa"/>
            </w:tcMar>
            <w:vAlign w:val="center"/>
            <w:hideMark/>
          </w:tcPr>
          <w:p w14:paraId="73C52A18" w14:textId="77777777" w:rsidR="00000000" w:rsidRDefault="00C1661D">
            <w:pPr>
              <w:spacing w:after="100"/>
              <w:jc w:val="right"/>
              <w:rPr>
                <w:rFonts w:eastAsia="Times New Roman"/>
              </w:rPr>
            </w:pPr>
            <w:r>
              <w:rPr>
                <w:rFonts w:eastAsia="Times New Roman"/>
                <w:color w:val="000000"/>
                <w:sz w:val="18"/>
                <w:szCs w:val="18"/>
              </w:rPr>
              <w:t>501 </w:t>
            </w:r>
          </w:p>
        </w:tc>
        <w:tc>
          <w:tcPr>
            <w:tcW w:w="0" w:type="auto"/>
            <w:shd w:val="clear" w:color="auto" w:fill="CCEEFF"/>
            <w:tcMar>
              <w:top w:w="30" w:type="dxa"/>
              <w:left w:w="0" w:type="dxa"/>
              <w:bottom w:w="30" w:type="dxa"/>
              <w:right w:w="20" w:type="dxa"/>
            </w:tcMar>
            <w:vAlign w:val="center"/>
            <w:hideMark/>
          </w:tcPr>
          <w:p w14:paraId="6DECDC5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CDFF1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C047E9" w14:textId="77777777" w:rsidR="00000000" w:rsidRDefault="00C1661D">
            <w:pPr>
              <w:spacing w:after="100"/>
              <w:jc w:val="right"/>
              <w:rPr>
                <w:rFonts w:eastAsia="Times New Roman"/>
              </w:rPr>
            </w:pPr>
            <w:r>
              <w:rPr>
                <w:rFonts w:eastAsia="Times New Roman"/>
                <w:color w:val="000000"/>
                <w:sz w:val="18"/>
                <w:szCs w:val="18"/>
              </w:rPr>
              <w:t>534 </w:t>
            </w:r>
          </w:p>
        </w:tc>
        <w:tc>
          <w:tcPr>
            <w:tcW w:w="0" w:type="auto"/>
            <w:shd w:val="clear" w:color="auto" w:fill="CCEEFF"/>
            <w:tcMar>
              <w:top w:w="30" w:type="dxa"/>
              <w:left w:w="0" w:type="dxa"/>
              <w:bottom w:w="30" w:type="dxa"/>
              <w:right w:w="20" w:type="dxa"/>
            </w:tcMar>
            <w:vAlign w:val="center"/>
            <w:hideMark/>
          </w:tcPr>
          <w:p w14:paraId="229389B7" w14:textId="77777777" w:rsidR="00000000" w:rsidRDefault="00C1661D">
            <w:pPr>
              <w:spacing w:after="100"/>
              <w:jc w:val="right"/>
              <w:rPr>
                <w:rFonts w:eastAsia="Times New Roman"/>
              </w:rPr>
            </w:pPr>
          </w:p>
        </w:tc>
      </w:tr>
      <w:tr w:rsidR="00000000" w14:paraId="401382FA" w14:textId="77777777">
        <w:trPr>
          <w:divId w:val="1688678984"/>
        </w:trPr>
        <w:tc>
          <w:tcPr>
            <w:tcW w:w="0" w:type="auto"/>
            <w:gridSpan w:val="3"/>
            <w:shd w:val="clear" w:color="auto" w:fill="FFFFFF"/>
            <w:tcMar>
              <w:top w:w="30" w:type="dxa"/>
              <w:left w:w="605" w:type="dxa"/>
              <w:bottom w:w="30" w:type="dxa"/>
              <w:right w:w="20" w:type="dxa"/>
            </w:tcMar>
            <w:vAlign w:val="center"/>
            <w:hideMark/>
          </w:tcPr>
          <w:p w14:paraId="3AF4E7A7" w14:textId="77777777" w:rsidR="00000000" w:rsidRDefault="00C1661D">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067C968" w14:textId="77777777" w:rsidR="00000000" w:rsidRDefault="00C1661D">
            <w:pPr>
              <w:spacing w:after="100"/>
              <w:jc w:val="right"/>
              <w:rPr>
                <w:rFonts w:eastAsia="Times New Roman"/>
              </w:rPr>
            </w:pPr>
            <w:r>
              <w:rPr>
                <w:rFonts w:eastAsia="Times New Roman"/>
                <w:color w:val="000000"/>
                <w:sz w:val="18"/>
                <w:szCs w:val="18"/>
              </w:rPr>
              <w:t>2,444 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8A68F8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DCBB01"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6FEFF76" w14:textId="77777777" w:rsidR="00000000" w:rsidRDefault="00C1661D">
            <w:pPr>
              <w:spacing w:after="100"/>
              <w:jc w:val="right"/>
              <w:rPr>
                <w:rFonts w:eastAsia="Times New Roman"/>
              </w:rPr>
            </w:pPr>
            <w:r>
              <w:rPr>
                <w:rFonts w:eastAsia="Times New Roman"/>
                <w:color w:val="000000"/>
                <w:sz w:val="18"/>
                <w:szCs w:val="18"/>
              </w:rPr>
              <w:t>2,297 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F9B3380" w14:textId="77777777" w:rsidR="00000000" w:rsidRDefault="00C1661D">
            <w:pPr>
              <w:spacing w:after="100"/>
              <w:jc w:val="right"/>
              <w:rPr>
                <w:rFonts w:eastAsia="Times New Roman"/>
              </w:rPr>
            </w:pPr>
          </w:p>
        </w:tc>
      </w:tr>
      <w:tr w:rsidR="00000000" w14:paraId="66F46D22" w14:textId="77777777">
        <w:trPr>
          <w:divId w:val="1688678984"/>
        </w:trPr>
        <w:tc>
          <w:tcPr>
            <w:tcW w:w="0" w:type="auto"/>
            <w:gridSpan w:val="3"/>
            <w:shd w:val="clear" w:color="auto" w:fill="CCEEFF"/>
            <w:tcMar>
              <w:top w:w="30" w:type="dxa"/>
              <w:left w:w="20" w:type="dxa"/>
              <w:bottom w:w="30" w:type="dxa"/>
              <w:right w:w="20" w:type="dxa"/>
            </w:tcMar>
            <w:vAlign w:val="center"/>
            <w:hideMark/>
          </w:tcPr>
          <w:p w14:paraId="4794839E" w14:textId="77777777" w:rsidR="00000000" w:rsidRDefault="00C1661D">
            <w:pPr>
              <w:spacing w:after="100"/>
              <w:rPr>
                <w:rFonts w:eastAsia="Times New Roman"/>
              </w:rPr>
            </w:pPr>
            <w:r>
              <w:rPr>
                <w:rFonts w:eastAsia="Times New Roman"/>
                <w:color w:val="000000"/>
                <w:sz w:val="18"/>
                <w:szCs w:val="18"/>
              </w:rPr>
              <w:t>Noncurrent liabilities</w:t>
            </w:r>
          </w:p>
        </w:tc>
        <w:tc>
          <w:tcPr>
            <w:tcW w:w="0" w:type="auto"/>
            <w:gridSpan w:val="3"/>
            <w:shd w:val="clear" w:color="auto" w:fill="CCEEFF"/>
            <w:tcMar>
              <w:top w:w="30" w:type="dxa"/>
              <w:left w:w="20" w:type="dxa"/>
              <w:bottom w:w="30" w:type="dxa"/>
              <w:right w:w="20" w:type="dxa"/>
            </w:tcMar>
            <w:vAlign w:val="center"/>
            <w:hideMark/>
          </w:tcPr>
          <w:p w14:paraId="278A133A" w14:textId="77777777" w:rsidR="00000000" w:rsidRDefault="00C1661D">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77104ED7"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47AD85D7" w14:textId="77777777" w:rsidR="00000000" w:rsidRDefault="00C1661D">
            <w:pPr>
              <w:spacing w:after="100"/>
              <w:rPr>
                <w:rFonts w:eastAsia="Times New Roman"/>
              </w:rPr>
            </w:pPr>
            <w:r>
              <w:rPr>
                <w:rFonts w:eastAsia="Times New Roman"/>
                <w:color w:val="000000"/>
                <w:sz w:val="18"/>
                <w:szCs w:val="18"/>
              </w:rPr>
              <w:t> </w:t>
            </w:r>
          </w:p>
        </w:tc>
      </w:tr>
      <w:tr w:rsidR="00000000" w14:paraId="401F40B1" w14:textId="77777777">
        <w:trPr>
          <w:divId w:val="1688678984"/>
        </w:trPr>
        <w:tc>
          <w:tcPr>
            <w:tcW w:w="0" w:type="auto"/>
            <w:gridSpan w:val="3"/>
            <w:shd w:val="clear" w:color="auto" w:fill="FFFFFF"/>
            <w:tcMar>
              <w:top w:w="30" w:type="dxa"/>
              <w:left w:w="380" w:type="dxa"/>
              <w:bottom w:w="30" w:type="dxa"/>
              <w:right w:w="20" w:type="dxa"/>
            </w:tcMar>
            <w:vAlign w:val="center"/>
            <w:hideMark/>
          </w:tcPr>
          <w:p w14:paraId="4A0B9DFF" w14:textId="77777777" w:rsidR="00000000" w:rsidRDefault="00C1661D">
            <w:pPr>
              <w:spacing w:after="100"/>
              <w:rPr>
                <w:rFonts w:eastAsia="Times New Roman"/>
              </w:rPr>
            </w:pPr>
            <w:r>
              <w:rPr>
                <w:rFonts w:eastAsia="Times New Roman"/>
                <w:color w:val="000000"/>
                <w:sz w:val="18"/>
                <w:szCs w:val="18"/>
              </w:rPr>
              <w:t>Long-term debt</w:t>
            </w:r>
          </w:p>
        </w:tc>
        <w:tc>
          <w:tcPr>
            <w:tcW w:w="0" w:type="auto"/>
            <w:gridSpan w:val="2"/>
            <w:shd w:val="clear" w:color="auto" w:fill="FFFFFF"/>
            <w:tcMar>
              <w:top w:w="30" w:type="dxa"/>
              <w:left w:w="20" w:type="dxa"/>
              <w:bottom w:w="30" w:type="dxa"/>
              <w:right w:w="0" w:type="dxa"/>
            </w:tcMar>
            <w:vAlign w:val="center"/>
            <w:hideMark/>
          </w:tcPr>
          <w:p w14:paraId="3AB92803" w14:textId="77777777" w:rsidR="00000000" w:rsidRDefault="00C1661D">
            <w:pPr>
              <w:spacing w:after="100"/>
              <w:jc w:val="right"/>
              <w:rPr>
                <w:rFonts w:eastAsia="Times New Roman"/>
              </w:rPr>
            </w:pPr>
            <w:r>
              <w:rPr>
                <w:rFonts w:eastAsia="Times New Roman"/>
                <w:color w:val="000000"/>
                <w:sz w:val="18"/>
                <w:szCs w:val="18"/>
              </w:rPr>
              <w:t>6,483 </w:t>
            </w:r>
          </w:p>
        </w:tc>
        <w:tc>
          <w:tcPr>
            <w:tcW w:w="0" w:type="auto"/>
            <w:shd w:val="clear" w:color="auto" w:fill="FFFFFF"/>
            <w:tcMar>
              <w:top w:w="30" w:type="dxa"/>
              <w:left w:w="0" w:type="dxa"/>
              <w:bottom w:w="30" w:type="dxa"/>
              <w:right w:w="20" w:type="dxa"/>
            </w:tcMar>
            <w:vAlign w:val="center"/>
            <w:hideMark/>
          </w:tcPr>
          <w:p w14:paraId="6C40D5E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5ADE7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14D265" w14:textId="77777777" w:rsidR="00000000" w:rsidRDefault="00C1661D">
            <w:pPr>
              <w:spacing w:after="100"/>
              <w:jc w:val="right"/>
              <w:rPr>
                <w:rFonts w:eastAsia="Times New Roman"/>
              </w:rPr>
            </w:pPr>
            <w:r>
              <w:rPr>
                <w:rFonts w:eastAsia="Times New Roman"/>
                <w:color w:val="000000"/>
                <w:sz w:val="18"/>
                <w:szCs w:val="18"/>
              </w:rPr>
              <w:t>6,339 </w:t>
            </w:r>
          </w:p>
        </w:tc>
        <w:tc>
          <w:tcPr>
            <w:tcW w:w="0" w:type="auto"/>
            <w:shd w:val="clear" w:color="auto" w:fill="FFFFFF"/>
            <w:tcMar>
              <w:top w:w="30" w:type="dxa"/>
              <w:left w:w="0" w:type="dxa"/>
              <w:bottom w:w="30" w:type="dxa"/>
              <w:right w:w="20" w:type="dxa"/>
            </w:tcMar>
            <w:vAlign w:val="center"/>
            <w:hideMark/>
          </w:tcPr>
          <w:p w14:paraId="6CD846C1" w14:textId="77777777" w:rsidR="00000000" w:rsidRDefault="00C1661D">
            <w:pPr>
              <w:spacing w:after="100"/>
              <w:jc w:val="right"/>
              <w:rPr>
                <w:rFonts w:eastAsia="Times New Roman"/>
              </w:rPr>
            </w:pPr>
          </w:p>
        </w:tc>
      </w:tr>
      <w:tr w:rsidR="00000000" w14:paraId="2251A1B6" w14:textId="77777777">
        <w:trPr>
          <w:divId w:val="1688678984"/>
        </w:trPr>
        <w:tc>
          <w:tcPr>
            <w:tcW w:w="0" w:type="auto"/>
            <w:gridSpan w:val="3"/>
            <w:shd w:val="clear" w:color="auto" w:fill="CCEEFF"/>
            <w:tcMar>
              <w:top w:w="30" w:type="dxa"/>
              <w:left w:w="380" w:type="dxa"/>
              <w:bottom w:w="30" w:type="dxa"/>
              <w:right w:w="20" w:type="dxa"/>
            </w:tcMar>
            <w:vAlign w:val="center"/>
            <w:hideMark/>
          </w:tcPr>
          <w:p w14:paraId="0A019368" w14:textId="77777777" w:rsidR="00000000" w:rsidRDefault="00C1661D">
            <w:pPr>
              <w:spacing w:after="100"/>
              <w:rPr>
                <w:rFonts w:eastAsia="Times New Roman"/>
              </w:rPr>
            </w:pPr>
            <w:r>
              <w:rPr>
                <w:rFonts w:eastAsia="Times New Roman"/>
                <w:color w:val="000000"/>
                <w:sz w:val="18"/>
                <w:szCs w:val="18"/>
              </w:rPr>
              <w:t>Deferred income taxes</w:t>
            </w:r>
          </w:p>
        </w:tc>
        <w:tc>
          <w:tcPr>
            <w:tcW w:w="0" w:type="auto"/>
            <w:gridSpan w:val="2"/>
            <w:shd w:val="clear" w:color="auto" w:fill="CCEEFF"/>
            <w:tcMar>
              <w:top w:w="30" w:type="dxa"/>
              <w:left w:w="20" w:type="dxa"/>
              <w:bottom w:w="30" w:type="dxa"/>
              <w:right w:w="0" w:type="dxa"/>
            </w:tcMar>
            <w:vAlign w:val="center"/>
            <w:hideMark/>
          </w:tcPr>
          <w:p w14:paraId="7980ACBB" w14:textId="77777777" w:rsidR="00000000" w:rsidRDefault="00C1661D">
            <w:pPr>
              <w:spacing w:after="100"/>
              <w:jc w:val="right"/>
              <w:rPr>
                <w:rFonts w:eastAsia="Times New Roman"/>
              </w:rPr>
            </w:pPr>
            <w:r>
              <w:rPr>
                <w:rFonts w:eastAsia="Times New Roman"/>
                <w:color w:val="000000"/>
                <w:sz w:val="18"/>
                <w:szCs w:val="18"/>
              </w:rPr>
              <w:t>1,305 </w:t>
            </w:r>
          </w:p>
        </w:tc>
        <w:tc>
          <w:tcPr>
            <w:tcW w:w="0" w:type="auto"/>
            <w:shd w:val="clear" w:color="auto" w:fill="CCEEFF"/>
            <w:tcMar>
              <w:top w:w="30" w:type="dxa"/>
              <w:left w:w="0" w:type="dxa"/>
              <w:bottom w:w="30" w:type="dxa"/>
              <w:right w:w="20" w:type="dxa"/>
            </w:tcMar>
            <w:vAlign w:val="center"/>
            <w:hideMark/>
          </w:tcPr>
          <w:p w14:paraId="586F8BB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039E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CA633C" w14:textId="77777777" w:rsidR="00000000" w:rsidRDefault="00C1661D">
            <w:pPr>
              <w:spacing w:after="100"/>
              <w:jc w:val="right"/>
              <w:rPr>
                <w:rFonts w:eastAsia="Times New Roman"/>
              </w:rPr>
            </w:pPr>
            <w:r>
              <w:rPr>
                <w:rFonts w:eastAsia="Times New Roman"/>
                <w:color w:val="000000"/>
                <w:sz w:val="18"/>
                <w:szCs w:val="18"/>
              </w:rPr>
              <w:t>1,137 </w:t>
            </w:r>
          </w:p>
        </w:tc>
        <w:tc>
          <w:tcPr>
            <w:tcW w:w="0" w:type="auto"/>
            <w:shd w:val="clear" w:color="auto" w:fill="CCEEFF"/>
            <w:tcMar>
              <w:top w:w="30" w:type="dxa"/>
              <w:left w:w="0" w:type="dxa"/>
              <w:bottom w:w="30" w:type="dxa"/>
              <w:right w:w="20" w:type="dxa"/>
            </w:tcMar>
            <w:vAlign w:val="center"/>
            <w:hideMark/>
          </w:tcPr>
          <w:p w14:paraId="294DA221" w14:textId="77777777" w:rsidR="00000000" w:rsidRDefault="00C1661D">
            <w:pPr>
              <w:spacing w:after="100"/>
              <w:jc w:val="right"/>
              <w:rPr>
                <w:rFonts w:eastAsia="Times New Roman"/>
              </w:rPr>
            </w:pPr>
          </w:p>
        </w:tc>
      </w:tr>
      <w:tr w:rsidR="00000000" w14:paraId="07BC10C7" w14:textId="77777777">
        <w:trPr>
          <w:divId w:val="1688678984"/>
        </w:trPr>
        <w:tc>
          <w:tcPr>
            <w:tcW w:w="0" w:type="auto"/>
            <w:gridSpan w:val="3"/>
            <w:vAlign w:val="center"/>
            <w:hideMark/>
          </w:tcPr>
          <w:p w14:paraId="30B585CE" w14:textId="77777777" w:rsidR="00000000" w:rsidRDefault="00C1661D">
            <w:pPr>
              <w:spacing w:after="100"/>
              <w:jc w:val="right"/>
              <w:rPr>
                <w:rFonts w:eastAsia="Times New Roman"/>
                <w:sz w:val="20"/>
                <w:szCs w:val="20"/>
              </w:rPr>
            </w:pPr>
          </w:p>
        </w:tc>
        <w:tc>
          <w:tcPr>
            <w:tcW w:w="0" w:type="auto"/>
            <w:gridSpan w:val="3"/>
            <w:vAlign w:val="center"/>
            <w:hideMark/>
          </w:tcPr>
          <w:p w14:paraId="3EDAFCA3" w14:textId="77777777" w:rsidR="00000000" w:rsidRDefault="00C1661D">
            <w:pPr>
              <w:spacing w:after="100"/>
              <w:rPr>
                <w:rFonts w:eastAsia="Times New Roman"/>
                <w:sz w:val="20"/>
                <w:szCs w:val="20"/>
              </w:rPr>
            </w:pPr>
          </w:p>
        </w:tc>
        <w:tc>
          <w:tcPr>
            <w:tcW w:w="0" w:type="auto"/>
            <w:gridSpan w:val="3"/>
            <w:vAlign w:val="center"/>
            <w:hideMark/>
          </w:tcPr>
          <w:p w14:paraId="721ADA05" w14:textId="77777777" w:rsidR="00000000" w:rsidRDefault="00C1661D">
            <w:pPr>
              <w:spacing w:after="100"/>
              <w:rPr>
                <w:rFonts w:eastAsia="Times New Roman"/>
                <w:sz w:val="20"/>
                <w:szCs w:val="20"/>
              </w:rPr>
            </w:pPr>
          </w:p>
        </w:tc>
        <w:tc>
          <w:tcPr>
            <w:tcW w:w="0" w:type="auto"/>
            <w:gridSpan w:val="3"/>
            <w:vAlign w:val="center"/>
            <w:hideMark/>
          </w:tcPr>
          <w:p w14:paraId="0B2AE5BC" w14:textId="77777777" w:rsidR="00000000" w:rsidRDefault="00C1661D">
            <w:pPr>
              <w:spacing w:after="100"/>
              <w:rPr>
                <w:rFonts w:eastAsia="Times New Roman"/>
                <w:sz w:val="20"/>
                <w:szCs w:val="20"/>
              </w:rPr>
            </w:pPr>
          </w:p>
        </w:tc>
      </w:tr>
      <w:tr w:rsidR="00000000" w14:paraId="1E8AA7A6" w14:textId="77777777">
        <w:trPr>
          <w:divId w:val="1688678984"/>
        </w:trPr>
        <w:tc>
          <w:tcPr>
            <w:tcW w:w="0" w:type="auto"/>
            <w:gridSpan w:val="3"/>
            <w:shd w:val="clear" w:color="auto" w:fill="FFFFFF"/>
            <w:tcMar>
              <w:top w:w="30" w:type="dxa"/>
              <w:left w:w="380" w:type="dxa"/>
              <w:bottom w:w="30" w:type="dxa"/>
              <w:right w:w="20" w:type="dxa"/>
            </w:tcMar>
            <w:vAlign w:val="center"/>
            <w:hideMark/>
          </w:tcPr>
          <w:p w14:paraId="54DC4D9A" w14:textId="77777777" w:rsidR="00000000" w:rsidRDefault="00C1661D">
            <w:pPr>
              <w:spacing w:after="100"/>
              <w:rPr>
                <w:rFonts w:eastAsia="Times New Roman"/>
              </w:rPr>
            </w:pPr>
            <w:r>
              <w:rPr>
                <w:rFonts w:eastAsia="Times New Roman"/>
                <w:color w:val="000000"/>
                <w:sz w:val="18"/>
                <w:szCs w:val="18"/>
              </w:rPr>
              <w:t>Derivative instruments</w:t>
            </w:r>
          </w:p>
        </w:tc>
        <w:tc>
          <w:tcPr>
            <w:tcW w:w="0" w:type="auto"/>
            <w:gridSpan w:val="2"/>
            <w:shd w:val="clear" w:color="auto" w:fill="FFFFFF"/>
            <w:tcMar>
              <w:top w:w="30" w:type="dxa"/>
              <w:left w:w="20" w:type="dxa"/>
              <w:bottom w:w="30" w:type="dxa"/>
              <w:right w:w="0" w:type="dxa"/>
            </w:tcMar>
            <w:vAlign w:val="center"/>
            <w:hideMark/>
          </w:tcPr>
          <w:p w14:paraId="2299E656" w14:textId="77777777" w:rsidR="00000000" w:rsidRDefault="00C1661D">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center"/>
            <w:hideMark/>
          </w:tcPr>
          <w:p w14:paraId="05263F7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5DAA5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5CE44F" w14:textId="77777777" w:rsidR="00000000" w:rsidRDefault="00C1661D">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center"/>
            <w:hideMark/>
          </w:tcPr>
          <w:p w14:paraId="39AF8B95" w14:textId="77777777" w:rsidR="00000000" w:rsidRDefault="00C1661D">
            <w:pPr>
              <w:spacing w:after="100"/>
              <w:jc w:val="right"/>
              <w:rPr>
                <w:rFonts w:eastAsia="Times New Roman"/>
              </w:rPr>
            </w:pPr>
          </w:p>
        </w:tc>
      </w:tr>
      <w:tr w:rsidR="00000000" w14:paraId="6EF7BF3B" w14:textId="77777777">
        <w:trPr>
          <w:divId w:val="1688678984"/>
        </w:trPr>
        <w:tc>
          <w:tcPr>
            <w:tcW w:w="0" w:type="auto"/>
            <w:gridSpan w:val="3"/>
            <w:vAlign w:val="center"/>
            <w:hideMark/>
          </w:tcPr>
          <w:p w14:paraId="484E60F3" w14:textId="77777777" w:rsidR="00000000" w:rsidRDefault="00C1661D">
            <w:pPr>
              <w:spacing w:after="100"/>
              <w:jc w:val="right"/>
              <w:rPr>
                <w:rFonts w:eastAsia="Times New Roman"/>
                <w:sz w:val="20"/>
                <w:szCs w:val="20"/>
              </w:rPr>
            </w:pPr>
          </w:p>
        </w:tc>
        <w:tc>
          <w:tcPr>
            <w:tcW w:w="0" w:type="auto"/>
            <w:gridSpan w:val="3"/>
            <w:vAlign w:val="center"/>
            <w:hideMark/>
          </w:tcPr>
          <w:p w14:paraId="01EA155C" w14:textId="77777777" w:rsidR="00000000" w:rsidRDefault="00C1661D">
            <w:pPr>
              <w:spacing w:after="100"/>
              <w:rPr>
                <w:rFonts w:eastAsia="Times New Roman"/>
                <w:sz w:val="20"/>
                <w:szCs w:val="20"/>
              </w:rPr>
            </w:pPr>
          </w:p>
        </w:tc>
        <w:tc>
          <w:tcPr>
            <w:tcW w:w="0" w:type="auto"/>
            <w:gridSpan w:val="3"/>
            <w:vAlign w:val="center"/>
            <w:hideMark/>
          </w:tcPr>
          <w:p w14:paraId="0C421E0D" w14:textId="77777777" w:rsidR="00000000" w:rsidRDefault="00C1661D">
            <w:pPr>
              <w:spacing w:after="100"/>
              <w:rPr>
                <w:rFonts w:eastAsia="Times New Roman"/>
                <w:sz w:val="20"/>
                <w:szCs w:val="20"/>
              </w:rPr>
            </w:pPr>
          </w:p>
        </w:tc>
        <w:tc>
          <w:tcPr>
            <w:tcW w:w="0" w:type="auto"/>
            <w:gridSpan w:val="3"/>
            <w:vAlign w:val="center"/>
            <w:hideMark/>
          </w:tcPr>
          <w:p w14:paraId="5F8791F8" w14:textId="77777777" w:rsidR="00000000" w:rsidRDefault="00C1661D">
            <w:pPr>
              <w:spacing w:after="100"/>
              <w:rPr>
                <w:rFonts w:eastAsia="Times New Roman"/>
                <w:sz w:val="20"/>
                <w:szCs w:val="20"/>
              </w:rPr>
            </w:pPr>
          </w:p>
        </w:tc>
      </w:tr>
      <w:tr w:rsidR="00000000" w14:paraId="03EFBB4D" w14:textId="77777777">
        <w:trPr>
          <w:divId w:val="1688678984"/>
        </w:trPr>
        <w:tc>
          <w:tcPr>
            <w:tcW w:w="0" w:type="auto"/>
            <w:gridSpan w:val="3"/>
            <w:shd w:val="clear" w:color="auto" w:fill="CCEEFF"/>
            <w:tcMar>
              <w:top w:w="30" w:type="dxa"/>
              <w:left w:w="380" w:type="dxa"/>
              <w:bottom w:w="30" w:type="dxa"/>
              <w:right w:w="20" w:type="dxa"/>
            </w:tcMar>
            <w:vAlign w:val="center"/>
            <w:hideMark/>
          </w:tcPr>
          <w:p w14:paraId="31703DC9" w14:textId="77777777" w:rsidR="00000000" w:rsidRDefault="00C1661D">
            <w:pPr>
              <w:spacing w:after="100"/>
              <w:rPr>
                <w:rFonts w:eastAsia="Times New Roman"/>
              </w:rPr>
            </w:pPr>
            <w:r>
              <w:rPr>
                <w:rFonts w:eastAsia="Times New Roman"/>
                <w:color w:val="000000"/>
                <w:sz w:val="18"/>
                <w:szCs w:val="18"/>
              </w:rPr>
              <w:t>Other noncurrent liabilities</w:t>
            </w:r>
          </w:p>
        </w:tc>
        <w:tc>
          <w:tcPr>
            <w:tcW w:w="0" w:type="auto"/>
            <w:gridSpan w:val="2"/>
            <w:shd w:val="clear" w:color="auto" w:fill="CCEEFF"/>
            <w:tcMar>
              <w:top w:w="30" w:type="dxa"/>
              <w:left w:w="20" w:type="dxa"/>
              <w:bottom w:w="30" w:type="dxa"/>
              <w:right w:w="0" w:type="dxa"/>
            </w:tcMar>
            <w:vAlign w:val="center"/>
            <w:hideMark/>
          </w:tcPr>
          <w:p w14:paraId="39FF0B88" w14:textId="77777777" w:rsidR="00000000" w:rsidRDefault="00C1661D">
            <w:pPr>
              <w:spacing w:after="100"/>
              <w:jc w:val="right"/>
              <w:rPr>
                <w:rFonts w:eastAsia="Times New Roman"/>
              </w:rPr>
            </w:pPr>
            <w:r>
              <w:rPr>
                <w:rFonts w:eastAsia="Times New Roman"/>
                <w:color w:val="000000"/>
                <w:sz w:val="18"/>
                <w:szCs w:val="18"/>
              </w:rPr>
              <w:t>1,219 </w:t>
            </w:r>
          </w:p>
        </w:tc>
        <w:tc>
          <w:tcPr>
            <w:tcW w:w="0" w:type="auto"/>
            <w:shd w:val="clear" w:color="auto" w:fill="CCEEFF"/>
            <w:tcMar>
              <w:top w:w="30" w:type="dxa"/>
              <w:left w:w="0" w:type="dxa"/>
              <w:bottom w:w="30" w:type="dxa"/>
              <w:right w:w="20" w:type="dxa"/>
            </w:tcMar>
            <w:vAlign w:val="center"/>
            <w:hideMark/>
          </w:tcPr>
          <w:p w14:paraId="086A2D2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24B3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1B6879" w14:textId="77777777" w:rsidR="00000000" w:rsidRDefault="00C1661D">
            <w:pPr>
              <w:spacing w:after="100"/>
              <w:jc w:val="right"/>
              <w:rPr>
                <w:rFonts w:eastAsia="Times New Roman"/>
              </w:rPr>
            </w:pPr>
            <w:r>
              <w:rPr>
                <w:rFonts w:eastAsia="Times New Roman"/>
                <w:color w:val="000000"/>
                <w:sz w:val="18"/>
                <w:szCs w:val="18"/>
              </w:rPr>
              <w:t>1,381 </w:t>
            </w:r>
          </w:p>
        </w:tc>
        <w:tc>
          <w:tcPr>
            <w:tcW w:w="0" w:type="auto"/>
            <w:shd w:val="clear" w:color="auto" w:fill="CCEEFF"/>
            <w:tcMar>
              <w:top w:w="30" w:type="dxa"/>
              <w:left w:w="0" w:type="dxa"/>
              <w:bottom w:w="30" w:type="dxa"/>
              <w:right w:w="20" w:type="dxa"/>
            </w:tcMar>
            <w:vAlign w:val="center"/>
            <w:hideMark/>
          </w:tcPr>
          <w:p w14:paraId="3283C37F" w14:textId="77777777" w:rsidR="00000000" w:rsidRDefault="00C1661D">
            <w:pPr>
              <w:spacing w:after="100"/>
              <w:jc w:val="right"/>
              <w:rPr>
                <w:rFonts w:eastAsia="Times New Roman"/>
              </w:rPr>
            </w:pPr>
          </w:p>
        </w:tc>
      </w:tr>
      <w:tr w:rsidR="00000000" w14:paraId="44957088" w14:textId="77777777">
        <w:trPr>
          <w:divId w:val="1688678984"/>
        </w:trPr>
        <w:tc>
          <w:tcPr>
            <w:tcW w:w="0" w:type="auto"/>
            <w:gridSpan w:val="3"/>
            <w:shd w:val="clear" w:color="auto" w:fill="FFFFFF"/>
            <w:tcMar>
              <w:top w:w="30" w:type="dxa"/>
              <w:left w:w="605" w:type="dxa"/>
              <w:bottom w:w="30" w:type="dxa"/>
              <w:right w:w="20" w:type="dxa"/>
            </w:tcMar>
            <w:vAlign w:val="center"/>
            <w:hideMark/>
          </w:tcPr>
          <w:p w14:paraId="1EF13C7C" w14:textId="77777777" w:rsidR="00000000" w:rsidRDefault="00C1661D">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7AA2DC6" w14:textId="77777777" w:rsidR="00000000" w:rsidRDefault="00C1661D">
            <w:pPr>
              <w:spacing w:after="100"/>
              <w:jc w:val="right"/>
              <w:rPr>
                <w:rFonts w:eastAsia="Times New Roman"/>
              </w:rPr>
            </w:pPr>
            <w:r>
              <w:rPr>
                <w:rFonts w:eastAsia="Times New Roman"/>
                <w:color w:val="000000"/>
                <w:sz w:val="18"/>
                <w:szCs w:val="18"/>
              </w:rPr>
              <w:t>11,501 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6AADEC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0FD3E"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66FE68E" w14:textId="77777777" w:rsidR="00000000" w:rsidRDefault="00C1661D">
            <w:pPr>
              <w:spacing w:after="100"/>
              <w:jc w:val="right"/>
              <w:rPr>
                <w:rFonts w:eastAsia="Times New Roman"/>
              </w:rPr>
            </w:pPr>
            <w:r>
              <w:rPr>
                <w:rFonts w:eastAsia="Times New Roman"/>
                <w:color w:val="000000"/>
                <w:sz w:val="18"/>
                <w:szCs w:val="18"/>
              </w:rPr>
              <w:t>11,192 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DEC7D74" w14:textId="77777777" w:rsidR="00000000" w:rsidRDefault="00C1661D">
            <w:pPr>
              <w:spacing w:after="100"/>
              <w:jc w:val="right"/>
              <w:rPr>
                <w:rFonts w:eastAsia="Times New Roman"/>
              </w:rPr>
            </w:pPr>
          </w:p>
        </w:tc>
      </w:tr>
      <w:tr w:rsidR="00000000" w14:paraId="270912DE" w14:textId="77777777">
        <w:trPr>
          <w:divId w:val="1688678984"/>
        </w:trPr>
        <w:tc>
          <w:tcPr>
            <w:tcW w:w="0" w:type="auto"/>
            <w:gridSpan w:val="3"/>
            <w:shd w:val="clear" w:color="auto" w:fill="CCEEFF"/>
            <w:tcMar>
              <w:top w:w="30" w:type="dxa"/>
              <w:left w:w="20" w:type="dxa"/>
              <w:bottom w:w="30" w:type="dxa"/>
              <w:right w:w="20" w:type="dxa"/>
            </w:tcMar>
            <w:vAlign w:val="center"/>
            <w:hideMark/>
          </w:tcPr>
          <w:p w14:paraId="340ADD62" w14:textId="77777777" w:rsidR="00000000" w:rsidRDefault="00C1661D">
            <w:pPr>
              <w:spacing w:after="100"/>
              <w:rPr>
                <w:rFonts w:eastAsia="Times New Roman"/>
              </w:rPr>
            </w:pPr>
            <w:r>
              <w:rPr>
                <w:rFonts w:eastAsia="Times New Roman"/>
                <w:color w:val="000000"/>
                <w:sz w:val="18"/>
                <w:szCs w:val="18"/>
              </w:rPr>
              <w:t>Commitments and contingencies (Note 17)</w:t>
            </w:r>
          </w:p>
        </w:tc>
        <w:tc>
          <w:tcPr>
            <w:tcW w:w="0" w:type="auto"/>
            <w:gridSpan w:val="3"/>
            <w:shd w:val="clear" w:color="auto" w:fill="CCEEFF"/>
            <w:tcMar>
              <w:top w:w="0" w:type="dxa"/>
              <w:left w:w="20" w:type="dxa"/>
              <w:bottom w:w="0" w:type="dxa"/>
              <w:right w:w="20" w:type="dxa"/>
            </w:tcMar>
            <w:vAlign w:val="center"/>
            <w:hideMark/>
          </w:tcPr>
          <w:p w14:paraId="1FDBD97C"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333E91"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F41651" w14:textId="77777777" w:rsidR="00000000" w:rsidRDefault="00C1661D">
            <w:pPr>
              <w:spacing w:after="100"/>
              <w:rPr>
                <w:rFonts w:eastAsia="Times New Roman"/>
                <w:sz w:val="20"/>
                <w:szCs w:val="20"/>
              </w:rPr>
            </w:pPr>
          </w:p>
        </w:tc>
      </w:tr>
      <w:tr w:rsidR="00000000" w14:paraId="3B3ED6A3" w14:textId="77777777">
        <w:trPr>
          <w:divId w:val="1688678984"/>
        </w:trPr>
        <w:tc>
          <w:tcPr>
            <w:tcW w:w="0" w:type="auto"/>
            <w:gridSpan w:val="3"/>
            <w:shd w:val="clear" w:color="auto" w:fill="FFFFFF"/>
            <w:tcMar>
              <w:top w:w="30" w:type="dxa"/>
              <w:left w:w="20" w:type="dxa"/>
              <w:bottom w:w="30" w:type="dxa"/>
              <w:right w:w="20" w:type="dxa"/>
            </w:tcMar>
            <w:vAlign w:val="center"/>
            <w:hideMark/>
          </w:tcPr>
          <w:p w14:paraId="2225A8A4" w14:textId="77777777" w:rsidR="00000000" w:rsidRDefault="00C1661D">
            <w:pPr>
              <w:spacing w:after="100"/>
              <w:rPr>
                <w:rFonts w:eastAsia="Times New Roman"/>
              </w:rPr>
            </w:pPr>
            <w:r>
              <w:rPr>
                <w:rFonts w:eastAsia="Times New Roman"/>
                <w:color w:val="000000"/>
                <w:sz w:val="18"/>
                <w:szCs w:val="18"/>
              </w:rPr>
              <w:t>Equity:</w:t>
            </w:r>
          </w:p>
        </w:tc>
        <w:tc>
          <w:tcPr>
            <w:tcW w:w="0" w:type="auto"/>
            <w:gridSpan w:val="3"/>
            <w:shd w:val="clear" w:color="auto" w:fill="FFFFFF"/>
            <w:tcMar>
              <w:top w:w="30" w:type="dxa"/>
              <w:left w:w="20" w:type="dxa"/>
              <w:bottom w:w="30" w:type="dxa"/>
              <w:right w:w="20" w:type="dxa"/>
            </w:tcMar>
            <w:vAlign w:val="center"/>
            <w:hideMark/>
          </w:tcPr>
          <w:p w14:paraId="19C354D3" w14:textId="77777777" w:rsidR="00000000" w:rsidRDefault="00C1661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7599F3CC"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E2ACE73" w14:textId="77777777" w:rsidR="00000000" w:rsidRDefault="00C1661D">
            <w:pPr>
              <w:spacing w:after="100"/>
              <w:rPr>
                <w:rFonts w:eastAsia="Times New Roman"/>
              </w:rPr>
            </w:pPr>
            <w:r>
              <w:rPr>
                <w:rFonts w:eastAsia="Times New Roman"/>
                <w:color w:val="000000"/>
                <w:sz w:val="18"/>
                <w:szCs w:val="18"/>
              </w:rPr>
              <w:t> </w:t>
            </w:r>
          </w:p>
        </w:tc>
      </w:tr>
      <w:tr w:rsidR="00000000" w14:paraId="6D755A5D" w14:textId="77777777">
        <w:trPr>
          <w:divId w:val="1688678984"/>
        </w:trPr>
        <w:tc>
          <w:tcPr>
            <w:tcW w:w="0" w:type="auto"/>
            <w:gridSpan w:val="3"/>
            <w:shd w:val="clear" w:color="auto" w:fill="CCEEFF"/>
            <w:tcMar>
              <w:top w:w="30" w:type="dxa"/>
              <w:left w:w="155" w:type="dxa"/>
              <w:bottom w:w="30" w:type="dxa"/>
              <w:right w:w="20" w:type="dxa"/>
            </w:tcMar>
            <w:vAlign w:val="center"/>
            <w:hideMark/>
          </w:tcPr>
          <w:p w14:paraId="74BD0247" w14:textId="77777777" w:rsidR="00000000" w:rsidRDefault="00C1661D">
            <w:pPr>
              <w:spacing w:after="100"/>
              <w:rPr>
                <w:rFonts w:eastAsia="Times New Roman"/>
              </w:rPr>
            </w:pPr>
            <w:r>
              <w:rPr>
                <w:rFonts w:eastAsia="Times New Roman"/>
                <w:color w:val="000000"/>
                <w:sz w:val="18"/>
                <w:szCs w:val="18"/>
              </w:rPr>
              <w:t>UGI Corporation stockholders’ equity:</w:t>
            </w:r>
          </w:p>
        </w:tc>
        <w:tc>
          <w:tcPr>
            <w:tcW w:w="0" w:type="auto"/>
            <w:gridSpan w:val="3"/>
            <w:shd w:val="clear" w:color="auto" w:fill="CCEEFF"/>
            <w:tcMar>
              <w:top w:w="30" w:type="dxa"/>
              <w:left w:w="20" w:type="dxa"/>
              <w:bottom w:w="30" w:type="dxa"/>
              <w:right w:w="20" w:type="dxa"/>
            </w:tcMar>
            <w:vAlign w:val="center"/>
            <w:hideMark/>
          </w:tcPr>
          <w:p w14:paraId="120D608C" w14:textId="77777777" w:rsidR="00000000" w:rsidRDefault="00C1661D">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263D8CFD"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22568D3E" w14:textId="77777777" w:rsidR="00000000" w:rsidRDefault="00C1661D">
            <w:pPr>
              <w:spacing w:after="100"/>
              <w:rPr>
                <w:rFonts w:eastAsia="Times New Roman"/>
              </w:rPr>
            </w:pPr>
            <w:r>
              <w:rPr>
                <w:rFonts w:eastAsia="Times New Roman"/>
                <w:color w:val="000000"/>
                <w:sz w:val="18"/>
                <w:szCs w:val="18"/>
              </w:rPr>
              <w:t> </w:t>
            </w:r>
          </w:p>
        </w:tc>
      </w:tr>
      <w:tr w:rsidR="00000000" w14:paraId="648073D0" w14:textId="77777777">
        <w:trPr>
          <w:divId w:val="1688678984"/>
        </w:trPr>
        <w:tc>
          <w:tcPr>
            <w:tcW w:w="0" w:type="auto"/>
            <w:gridSpan w:val="3"/>
            <w:shd w:val="clear" w:color="auto" w:fill="FFFFFF"/>
            <w:tcMar>
              <w:top w:w="30" w:type="dxa"/>
              <w:left w:w="20" w:type="dxa"/>
              <w:bottom w:w="30" w:type="dxa"/>
              <w:right w:w="20" w:type="dxa"/>
            </w:tcMar>
            <w:vAlign w:val="bottom"/>
            <w:hideMark/>
          </w:tcPr>
          <w:p w14:paraId="4A188FA1" w14:textId="77777777" w:rsidR="00000000" w:rsidRDefault="00C1661D">
            <w:pPr>
              <w:spacing w:after="100"/>
              <w:divId w:val="1523476145"/>
              <w:rPr>
                <w:rFonts w:eastAsia="Times New Roman"/>
              </w:rPr>
            </w:pPr>
            <w:r>
              <w:rPr>
                <w:rFonts w:eastAsia="Times New Roman"/>
                <w:color w:val="000000"/>
                <w:sz w:val="18"/>
                <w:szCs w:val="18"/>
              </w:rPr>
              <w:t xml:space="preserve">Preferred Stock, without par value (authorized 5,000,000 shares; issued 220,000 and 220,000 </w:t>
            </w:r>
            <w:r>
              <w:rPr>
                <w:rFonts w:eastAsia="Times New Roman"/>
                <w:color w:val="000000"/>
                <w:sz w:val="18"/>
                <w:szCs w:val="18"/>
              </w:rPr>
              <w:t>Series A shares, respectively)</w:t>
            </w:r>
          </w:p>
        </w:tc>
        <w:tc>
          <w:tcPr>
            <w:tcW w:w="0" w:type="auto"/>
            <w:gridSpan w:val="2"/>
            <w:shd w:val="clear" w:color="auto" w:fill="FFFFFF"/>
            <w:tcMar>
              <w:top w:w="30" w:type="dxa"/>
              <w:left w:w="20" w:type="dxa"/>
              <w:bottom w:w="30" w:type="dxa"/>
              <w:right w:w="0" w:type="dxa"/>
            </w:tcMar>
            <w:vAlign w:val="bottom"/>
            <w:hideMark/>
          </w:tcPr>
          <w:p w14:paraId="2B4AF86B" w14:textId="77777777" w:rsidR="00000000" w:rsidRDefault="00C1661D">
            <w:pPr>
              <w:spacing w:after="100"/>
              <w:jc w:val="right"/>
              <w:rPr>
                <w:rFonts w:eastAsia="Times New Roman"/>
              </w:rPr>
            </w:pPr>
            <w:r>
              <w:rPr>
                <w:rFonts w:eastAsia="Times New Roman"/>
                <w:color w:val="000000"/>
                <w:sz w:val="18"/>
                <w:szCs w:val="18"/>
              </w:rPr>
              <w:t>162 </w:t>
            </w:r>
          </w:p>
        </w:tc>
        <w:tc>
          <w:tcPr>
            <w:tcW w:w="0" w:type="auto"/>
            <w:shd w:val="clear" w:color="auto" w:fill="FFFFFF"/>
            <w:tcMar>
              <w:top w:w="30" w:type="dxa"/>
              <w:left w:w="0" w:type="dxa"/>
              <w:bottom w:w="30" w:type="dxa"/>
              <w:right w:w="20" w:type="dxa"/>
            </w:tcMar>
            <w:vAlign w:val="bottom"/>
            <w:hideMark/>
          </w:tcPr>
          <w:p w14:paraId="7628EE0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411FA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67DC54" w14:textId="77777777" w:rsidR="00000000" w:rsidRDefault="00C1661D">
            <w:pPr>
              <w:spacing w:after="100"/>
              <w:jc w:val="right"/>
              <w:rPr>
                <w:rFonts w:eastAsia="Times New Roman"/>
              </w:rPr>
            </w:pPr>
            <w:r>
              <w:rPr>
                <w:rFonts w:eastAsia="Times New Roman"/>
                <w:color w:val="000000"/>
                <w:sz w:val="18"/>
                <w:szCs w:val="18"/>
              </w:rPr>
              <w:t>213 </w:t>
            </w:r>
          </w:p>
        </w:tc>
        <w:tc>
          <w:tcPr>
            <w:tcW w:w="0" w:type="auto"/>
            <w:shd w:val="clear" w:color="auto" w:fill="FFFFFF"/>
            <w:tcMar>
              <w:top w:w="30" w:type="dxa"/>
              <w:left w:w="0" w:type="dxa"/>
              <w:bottom w:w="30" w:type="dxa"/>
              <w:right w:w="20" w:type="dxa"/>
            </w:tcMar>
            <w:vAlign w:val="bottom"/>
            <w:hideMark/>
          </w:tcPr>
          <w:p w14:paraId="277C3EC3" w14:textId="77777777" w:rsidR="00000000" w:rsidRDefault="00C1661D">
            <w:pPr>
              <w:spacing w:after="100"/>
              <w:jc w:val="right"/>
              <w:rPr>
                <w:rFonts w:eastAsia="Times New Roman"/>
              </w:rPr>
            </w:pPr>
          </w:p>
        </w:tc>
      </w:tr>
      <w:tr w:rsidR="00000000" w14:paraId="28C07968" w14:textId="77777777">
        <w:trPr>
          <w:divId w:val="1688678984"/>
        </w:trPr>
        <w:tc>
          <w:tcPr>
            <w:tcW w:w="0" w:type="auto"/>
            <w:gridSpan w:val="3"/>
            <w:shd w:val="clear" w:color="auto" w:fill="CCEEFF"/>
            <w:tcMar>
              <w:top w:w="30" w:type="dxa"/>
              <w:left w:w="20" w:type="dxa"/>
              <w:bottom w:w="30" w:type="dxa"/>
              <w:right w:w="20" w:type="dxa"/>
            </w:tcMar>
            <w:vAlign w:val="bottom"/>
            <w:hideMark/>
          </w:tcPr>
          <w:p w14:paraId="2EE7DC83" w14:textId="77777777" w:rsidR="00000000" w:rsidRDefault="00C1661D">
            <w:pPr>
              <w:spacing w:after="100"/>
              <w:divId w:val="1290236592"/>
              <w:rPr>
                <w:rFonts w:eastAsia="Times New Roman"/>
              </w:rPr>
            </w:pPr>
            <w:r>
              <w:rPr>
                <w:rFonts w:eastAsia="Times New Roman"/>
                <w:color w:val="000000"/>
                <w:sz w:val="18"/>
                <w:szCs w:val="18"/>
              </w:rPr>
              <w:t>UGI Common Stock, without par value (authorized – 450,000,000 shares; issued – 210,560,494 and 209,843,296 shares, respectively)</w:t>
            </w:r>
          </w:p>
        </w:tc>
        <w:tc>
          <w:tcPr>
            <w:tcW w:w="0" w:type="auto"/>
            <w:gridSpan w:val="2"/>
            <w:shd w:val="clear" w:color="auto" w:fill="CCEEFF"/>
            <w:tcMar>
              <w:top w:w="30" w:type="dxa"/>
              <w:left w:w="20" w:type="dxa"/>
              <w:bottom w:w="30" w:type="dxa"/>
              <w:right w:w="0" w:type="dxa"/>
            </w:tcMar>
            <w:vAlign w:val="bottom"/>
            <w:hideMark/>
          </w:tcPr>
          <w:p w14:paraId="1003614A" w14:textId="77777777" w:rsidR="00000000" w:rsidRDefault="00C1661D">
            <w:pPr>
              <w:spacing w:after="100"/>
              <w:jc w:val="right"/>
              <w:rPr>
                <w:rFonts w:eastAsia="Times New Roman"/>
              </w:rPr>
            </w:pPr>
            <w:r>
              <w:rPr>
                <w:rFonts w:eastAsia="Times New Roman"/>
                <w:color w:val="000000"/>
                <w:sz w:val="18"/>
                <w:szCs w:val="18"/>
              </w:rPr>
              <w:t>1,483 </w:t>
            </w:r>
          </w:p>
        </w:tc>
        <w:tc>
          <w:tcPr>
            <w:tcW w:w="0" w:type="auto"/>
            <w:shd w:val="clear" w:color="auto" w:fill="CCEEFF"/>
            <w:tcMar>
              <w:top w:w="30" w:type="dxa"/>
              <w:left w:w="0" w:type="dxa"/>
              <w:bottom w:w="30" w:type="dxa"/>
              <w:right w:w="20" w:type="dxa"/>
            </w:tcMar>
            <w:vAlign w:val="bottom"/>
            <w:hideMark/>
          </w:tcPr>
          <w:p w14:paraId="6CB8033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610D3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448033" w14:textId="77777777" w:rsidR="00000000" w:rsidRDefault="00C1661D">
            <w:pPr>
              <w:spacing w:after="100"/>
              <w:jc w:val="right"/>
              <w:rPr>
                <w:rFonts w:eastAsia="Times New Roman"/>
              </w:rPr>
            </w:pPr>
            <w:r>
              <w:rPr>
                <w:rFonts w:eastAsia="Times New Roman"/>
                <w:color w:val="000000"/>
                <w:sz w:val="18"/>
                <w:szCs w:val="18"/>
              </w:rPr>
              <w:t>1,394 </w:t>
            </w:r>
          </w:p>
        </w:tc>
        <w:tc>
          <w:tcPr>
            <w:tcW w:w="0" w:type="auto"/>
            <w:shd w:val="clear" w:color="auto" w:fill="CCEEFF"/>
            <w:tcMar>
              <w:top w:w="30" w:type="dxa"/>
              <w:left w:w="0" w:type="dxa"/>
              <w:bottom w:w="30" w:type="dxa"/>
              <w:right w:w="20" w:type="dxa"/>
            </w:tcMar>
            <w:vAlign w:val="bottom"/>
            <w:hideMark/>
          </w:tcPr>
          <w:p w14:paraId="66F6E51D" w14:textId="77777777" w:rsidR="00000000" w:rsidRDefault="00C1661D">
            <w:pPr>
              <w:spacing w:after="100"/>
              <w:jc w:val="right"/>
              <w:rPr>
                <w:rFonts w:eastAsia="Times New Roman"/>
              </w:rPr>
            </w:pPr>
          </w:p>
        </w:tc>
      </w:tr>
      <w:tr w:rsidR="00000000" w14:paraId="5B04630A" w14:textId="77777777">
        <w:trPr>
          <w:divId w:val="1688678984"/>
        </w:trPr>
        <w:tc>
          <w:tcPr>
            <w:tcW w:w="0" w:type="auto"/>
            <w:gridSpan w:val="3"/>
            <w:shd w:val="clear" w:color="auto" w:fill="FFFFFF"/>
            <w:tcMar>
              <w:top w:w="30" w:type="dxa"/>
              <w:left w:w="365" w:type="dxa"/>
              <w:bottom w:w="30" w:type="dxa"/>
              <w:right w:w="20" w:type="dxa"/>
            </w:tcMar>
            <w:vAlign w:val="center"/>
            <w:hideMark/>
          </w:tcPr>
          <w:p w14:paraId="7AFE4586" w14:textId="77777777" w:rsidR="00000000" w:rsidRDefault="00C1661D">
            <w:pPr>
              <w:spacing w:after="100"/>
              <w:rPr>
                <w:rFonts w:eastAsia="Times New Roman"/>
              </w:rPr>
            </w:pPr>
            <w:r>
              <w:rPr>
                <w:rFonts w:eastAsia="Times New Roman"/>
                <w:color w:val="000000"/>
                <w:sz w:val="18"/>
                <w:szCs w:val="18"/>
              </w:rPr>
              <w:t>Retained earnings</w:t>
            </w:r>
          </w:p>
        </w:tc>
        <w:tc>
          <w:tcPr>
            <w:tcW w:w="0" w:type="auto"/>
            <w:gridSpan w:val="2"/>
            <w:shd w:val="clear" w:color="auto" w:fill="FFFFFF"/>
            <w:tcMar>
              <w:top w:w="30" w:type="dxa"/>
              <w:left w:w="20" w:type="dxa"/>
              <w:bottom w:w="30" w:type="dxa"/>
              <w:right w:w="0" w:type="dxa"/>
            </w:tcMar>
            <w:vAlign w:val="center"/>
            <w:hideMark/>
          </w:tcPr>
          <w:p w14:paraId="07BE0F1C" w14:textId="77777777" w:rsidR="00000000" w:rsidRDefault="00C1661D">
            <w:pPr>
              <w:spacing w:after="100"/>
              <w:jc w:val="right"/>
              <w:rPr>
                <w:rFonts w:eastAsia="Times New Roman"/>
              </w:rPr>
            </w:pPr>
            <w:r>
              <w:rPr>
                <w:rFonts w:eastAsia="Times New Roman"/>
                <w:color w:val="000000"/>
                <w:sz w:val="18"/>
                <w:szCs w:val="18"/>
              </w:rPr>
              <w:t>4,841 </w:t>
            </w:r>
          </w:p>
        </w:tc>
        <w:tc>
          <w:tcPr>
            <w:tcW w:w="0" w:type="auto"/>
            <w:shd w:val="clear" w:color="auto" w:fill="FFFFFF"/>
            <w:tcMar>
              <w:top w:w="30" w:type="dxa"/>
              <w:left w:w="0" w:type="dxa"/>
              <w:bottom w:w="30" w:type="dxa"/>
              <w:right w:w="20" w:type="dxa"/>
            </w:tcMar>
            <w:vAlign w:val="center"/>
            <w:hideMark/>
          </w:tcPr>
          <w:p w14:paraId="2156482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B466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69B543" w14:textId="77777777" w:rsidR="00000000" w:rsidRDefault="00C1661D">
            <w:pPr>
              <w:spacing w:after="100"/>
              <w:jc w:val="right"/>
              <w:rPr>
                <w:rFonts w:eastAsia="Times New Roman"/>
              </w:rPr>
            </w:pPr>
            <w:r>
              <w:rPr>
                <w:rFonts w:eastAsia="Times New Roman"/>
                <w:color w:val="000000"/>
                <w:sz w:val="18"/>
                <w:szCs w:val="18"/>
              </w:rPr>
              <w:t>4,081 </w:t>
            </w:r>
          </w:p>
        </w:tc>
        <w:tc>
          <w:tcPr>
            <w:tcW w:w="0" w:type="auto"/>
            <w:shd w:val="clear" w:color="auto" w:fill="FFFFFF"/>
            <w:tcMar>
              <w:top w:w="30" w:type="dxa"/>
              <w:left w:w="0" w:type="dxa"/>
              <w:bottom w:w="30" w:type="dxa"/>
              <w:right w:w="20" w:type="dxa"/>
            </w:tcMar>
            <w:vAlign w:val="center"/>
            <w:hideMark/>
          </w:tcPr>
          <w:p w14:paraId="755BBA3B" w14:textId="77777777" w:rsidR="00000000" w:rsidRDefault="00C1661D">
            <w:pPr>
              <w:spacing w:after="100"/>
              <w:jc w:val="right"/>
              <w:rPr>
                <w:rFonts w:eastAsia="Times New Roman"/>
              </w:rPr>
            </w:pPr>
          </w:p>
        </w:tc>
      </w:tr>
      <w:tr w:rsidR="00000000" w14:paraId="481773B3" w14:textId="77777777">
        <w:trPr>
          <w:divId w:val="1688678984"/>
        </w:trPr>
        <w:tc>
          <w:tcPr>
            <w:tcW w:w="0" w:type="auto"/>
            <w:gridSpan w:val="3"/>
            <w:shd w:val="clear" w:color="auto" w:fill="CCEEFF"/>
            <w:tcMar>
              <w:top w:w="30" w:type="dxa"/>
              <w:left w:w="365" w:type="dxa"/>
              <w:bottom w:w="30" w:type="dxa"/>
              <w:right w:w="20" w:type="dxa"/>
            </w:tcMar>
            <w:vAlign w:val="center"/>
            <w:hideMark/>
          </w:tcPr>
          <w:p w14:paraId="52586F57" w14:textId="77777777" w:rsidR="00000000" w:rsidRDefault="00C1661D">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CCEEFF"/>
            <w:tcMar>
              <w:top w:w="30" w:type="dxa"/>
              <w:left w:w="20" w:type="dxa"/>
              <w:bottom w:w="30" w:type="dxa"/>
              <w:right w:w="0" w:type="dxa"/>
            </w:tcMar>
            <w:vAlign w:val="center"/>
            <w:hideMark/>
          </w:tcPr>
          <w:p w14:paraId="25B44E59" w14:textId="77777777" w:rsidR="00000000" w:rsidRDefault="00C1661D">
            <w:pPr>
              <w:spacing w:after="100"/>
              <w:jc w:val="right"/>
              <w:rPr>
                <w:rFonts w:eastAsia="Times New Roman"/>
              </w:rPr>
            </w:pPr>
            <w:r>
              <w:rPr>
                <w:rFonts w:eastAsia="Times New Roman"/>
                <w:color w:val="000000"/>
                <w:sz w:val="18"/>
                <w:szCs w:val="18"/>
              </w:rPr>
              <w:t>(380)</w:t>
            </w:r>
          </w:p>
        </w:tc>
        <w:tc>
          <w:tcPr>
            <w:tcW w:w="0" w:type="auto"/>
            <w:shd w:val="clear" w:color="auto" w:fill="CCEEFF"/>
            <w:tcMar>
              <w:top w:w="30" w:type="dxa"/>
              <w:left w:w="0" w:type="dxa"/>
              <w:bottom w:w="30" w:type="dxa"/>
              <w:right w:w="20" w:type="dxa"/>
            </w:tcMar>
            <w:vAlign w:val="center"/>
            <w:hideMark/>
          </w:tcPr>
          <w:p w14:paraId="112E7BD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51698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494C83" w14:textId="77777777" w:rsidR="00000000" w:rsidRDefault="00C1661D">
            <w:pPr>
              <w:spacing w:after="100"/>
              <w:jc w:val="right"/>
              <w:rPr>
                <w:rFonts w:eastAsia="Times New Roman"/>
              </w:rPr>
            </w:pPr>
            <w:r>
              <w:rPr>
                <w:rFonts w:eastAsia="Times New Roman"/>
                <w:color w:val="000000"/>
                <w:sz w:val="18"/>
                <w:szCs w:val="18"/>
              </w:rPr>
              <w:t>(140)</w:t>
            </w:r>
          </w:p>
        </w:tc>
        <w:tc>
          <w:tcPr>
            <w:tcW w:w="0" w:type="auto"/>
            <w:shd w:val="clear" w:color="auto" w:fill="CCEEFF"/>
            <w:tcMar>
              <w:top w:w="30" w:type="dxa"/>
              <w:left w:w="0" w:type="dxa"/>
              <w:bottom w:w="30" w:type="dxa"/>
              <w:right w:w="20" w:type="dxa"/>
            </w:tcMar>
            <w:vAlign w:val="center"/>
            <w:hideMark/>
          </w:tcPr>
          <w:p w14:paraId="6408FE7A" w14:textId="77777777" w:rsidR="00000000" w:rsidRDefault="00C1661D">
            <w:pPr>
              <w:spacing w:after="100"/>
              <w:jc w:val="right"/>
              <w:rPr>
                <w:rFonts w:eastAsia="Times New Roman"/>
              </w:rPr>
            </w:pPr>
          </w:p>
        </w:tc>
      </w:tr>
      <w:tr w:rsidR="00000000" w14:paraId="49EE65ED" w14:textId="77777777">
        <w:trPr>
          <w:divId w:val="1688678984"/>
        </w:trPr>
        <w:tc>
          <w:tcPr>
            <w:tcW w:w="0" w:type="auto"/>
            <w:gridSpan w:val="3"/>
            <w:shd w:val="clear" w:color="auto" w:fill="FFFFFF"/>
            <w:tcMar>
              <w:top w:w="30" w:type="dxa"/>
              <w:left w:w="365" w:type="dxa"/>
              <w:bottom w:w="30" w:type="dxa"/>
              <w:right w:w="20" w:type="dxa"/>
            </w:tcMar>
            <w:vAlign w:val="center"/>
            <w:hideMark/>
          </w:tcPr>
          <w:p w14:paraId="46BE6AA6" w14:textId="77777777" w:rsidR="00000000" w:rsidRDefault="00C1661D">
            <w:pPr>
              <w:spacing w:after="100"/>
              <w:rPr>
                <w:rFonts w:eastAsia="Times New Roman"/>
              </w:rPr>
            </w:pPr>
            <w:r>
              <w:rPr>
                <w:rFonts w:eastAsia="Times New Roman"/>
                <w:color w:val="000000"/>
                <w:sz w:val="18"/>
                <w:szCs w:val="18"/>
              </w:rPr>
              <w:t>Treasury stock, at cost</w:t>
            </w:r>
          </w:p>
        </w:tc>
        <w:tc>
          <w:tcPr>
            <w:tcW w:w="0" w:type="auto"/>
            <w:gridSpan w:val="2"/>
            <w:shd w:val="clear" w:color="auto" w:fill="FFFFFF"/>
            <w:tcMar>
              <w:top w:w="30" w:type="dxa"/>
              <w:left w:w="20" w:type="dxa"/>
              <w:bottom w:w="30" w:type="dxa"/>
              <w:right w:w="0" w:type="dxa"/>
            </w:tcMar>
            <w:vAlign w:val="center"/>
            <w:hideMark/>
          </w:tcPr>
          <w:p w14:paraId="120E4D3B" w14:textId="77777777" w:rsidR="00000000" w:rsidRDefault="00C1661D">
            <w:pPr>
              <w:spacing w:after="100"/>
              <w:jc w:val="right"/>
              <w:rPr>
                <w:rFonts w:eastAsia="Times New Roman"/>
              </w:rPr>
            </w:pPr>
            <w:r>
              <w:rPr>
                <w:rFonts w:eastAsia="Times New Roman"/>
                <w:color w:val="000000"/>
                <w:sz w:val="18"/>
                <w:szCs w:val="18"/>
              </w:rPr>
              <w:t>(40)</w:t>
            </w:r>
          </w:p>
        </w:tc>
        <w:tc>
          <w:tcPr>
            <w:tcW w:w="0" w:type="auto"/>
            <w:shd w:val="clear" w:color="auto" w:fill="FFFFFF"/>
            <w:tcMar>
              <w:top w:w="30" w:type="dxa"/>
              <w:left w:w="0" w:type="dxa"/>
              <w:bottom w:w="30" w:type="dxa"/>
              <w:right w:w="20" w:type="dxa"/>
            </w:tcMar>
            <w:vAlign w:val="center"/>
            <w:hideMark/>
          </w:tcPr>
          <w:p w14:paraId="49B58BA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BA65F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E7BE8F" w14:textId="77777777" w:rsidR="00000000" w:rsidRDefault="00C1661D">
            <w:pPr>
              <w:spacing w:after="100"/>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center"/>
            <w:hideMark/>
          </w:tcPr>
          <w:p w14:paraId="0E861C0A" w14:textId="77777777" w:rsidR="00000000" w:rsidRDefault="00C1661D">
            <w:pPr>
              <w:spacing w:after="100"/>
              <w:jc w:val="right"/>
              <w:rPr>
                <w:rFonts w:eastAsia="Times New Roman"/>
              </w:rPr>
            </w:pPr>
          </w:p>
        </w:tc>
      </w:tr>
      <w:tr w:rsidR="00000000" w14:paraId="326A16B5" w14:textId="77777777">
        <w:trPr>
          <w:divId w:val="1688678984"/>
        </w:trPr>
        <w:tc>
          <w:tcPr>
            <w:tcW w:w="0" w:type="auto"/>
            <w:gridSpan w:val="3"/>
            <w:shd w:val="clear" w:color="auto" w:fill="CCEEFF"/>
            <w:tcMar>
              <w:top w:w="30" w:type="dxa"/>
              <w:left w:w="635" w:type="dxa"/>
              <w:bottom w:w="30" w:type="dxa"/>
              <w:right w:w="20" w:type="dxa"/>
            </w:tcMar>
            <w:vAlign w:val="center"/>
            <w:hideMark/>
          </w:tcPr>
          <w:p w14:paraId="59C91B13" w14:textId="77777777" w:rsidR="00000000" w:rsidRDefault="00C1661D">
            <w:pPr>
              <w:spacing w:after="100"/>
              <w:rPr>
                <w:rFonts w:eastAsia="Times New Roman"/>
              </w:rPr>
            </w:pPr>
            <w:r>
              <w:rPr>
                <w:rFonts w:eastAsia="Times New Roman"/>
                <w:color w:val="000000"/>
                <w:sz w:val="18"/>
                <w:szCs w:val="18"/>
              </w:rPr>
              <w:t>Total UGI Corporation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32089E9" w14:textId="77777777" w:rsidR="00000000" w:rsidRDefault="00C1661D">
            <w:pPr>
              <w:spacing w:after="100"/>
              <w:jc w:val="right"/>
              <w:rPr>
                <w:rFonts w:eastAsia="Times New Roman"/>
              </w:rPr>
            </w:pPr>
            <w:r>
              <w:rPr>
                <w:rFonts w:eastAsia="Times New Roman"/>
                <w:color w:val="000000"/>
                <w:sz w:val="18"/>
                <w:szCs w:val="18"/>
              </w:rPr>
              <w:t>6,066 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57799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E0C723"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A445A69" w14:textId="77777777" w:rsidR="00000000" w:rsidRDefault="00C1661D">
            <w:pPr>
              <w:spacing w:after="100"/>
              <w:jc w:val="right"/>
              <w:rPr>
                <w:rFonts w:eastAsia="Times New Roman"/>
              </w:rPr>
            </w:pPr>
            <w:r>
              <w:rPr>
                <w:rFonts w:eastAsia="Times New Roman"/>
                <w:color w:val="000000"/>
                <w:sz w:val="18"/>
                <w:szCs w:val="18"/>
              </w:rPr>
              <w:t>5,522 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4D600A" w14:textId="77777777" w:rsidR="00000000" w:rsidRDefault="00C1661D">
            <w:pPr>
              <w:spacing w:after="100"/>
              <w:jc w:val="right"/>
              <w:rPr>
                <w:rFonts w:eastAsia="Times New Roman"/>
              </w:rPr>
            </w:pPr>
          </w:p>
        </w:tc>
      </w:tr>
      <w:tr w:rsidR="00000000" w14:paraId="5579CF03" w14:textId="77777777">
        <w:trPr>
          <w:divId w:val="1688678984"/>
        </w:trPr>
        <w:tc>
          <w:tcPr>
            <w:tcW w:w="0" w:type="auto"/>
            <w:gridSpan w:val="3"/>
            <w:shd w:val="clear" w:color="auto" w:fill="FFFFFF"/>
            <w:tcMar>
              <w:top w:w="30" w:type="dxa"/>
              <w:left w:w="155" w:type="dxa"/>
              <w:bottom w:w="30" w:type="dxa"/>
              <w:right w:w="20" w:type="dxa"/>
            </w:tcMar>
            <w:vAlign w:val="center"/>
            <w:hideMark/>
          </w:tcPr>
          <w:p w14:paraId="2AF5E4A3" w14:textId="77777777" w:rsidR="00000000" w:rsidRDefault="00C1661D">
            <w:pPr>
              <w:spacing w:after="100"/>
              <w:rPr>
                <w:rFonts w:eastAsia="Times New Roman"/>
              </w:rPr>
            </w:pPr>
            <w:r>
              <w:rPr>
                <w:rFonts w:eastAsia="Times New Roman"/>
                <w:color w:val="000000"/>
                <w:sz w:val="18"/>
                <w:szCs w:val="18"/>
              </w:rPr>
              <w:t>Noncontrolling interests</w:t>
            </w:r>
          </w:p>
        </w:tc>
        <w:tc>
          <w:tcPr>
            <w:tcW w:w="0" w:type="auto"/>
            <w:gridSpan w:val="2"/>
            <w:shd w:val="clear" w:color="auto" w:fill="FFFFFF"/>
            <w:tcMar>
              <w:top w:w="30" w:type="dxa"/>
              <w:left w:w="20" w:type="dxa"/>
              <w:bottom w:w="30" w:type="dxa"/>
              <w:right w:w="0" w:type="dxa"/>
            </w:tcMar>
            <w:vAlign w:val="center"/>
            <w:hideMark/>
          </w:tcPr>
          <w:p w14:paraId="3651149C" w14:textId="77777777" w:rsidR="00000000" w:rsidRDefault="00C1661D">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14:paraId="5F9084E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468E4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CCC170" w14:textId="77777777" w:rsidR="00000000" w:rsidRDefault="00C1661D">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14:paraId="1925AD66" w14:textId="77777777" w:rsidR="00000000" w:rsidRDefault="00C1661D">
            <w:pPr>
              <w:spacing w:after="100"/>
              <w:jc w:val="right"/>
              <w:rPr>
                <w:rFonts w:eastAsia="Times New Roman"/>
              </w:rPr>
            </w:pPr>
          </w:p>
        </w:tc>
      </w:tr>
      <w:tr w:rsidR="00000000" w14:paraId="7F7FE540" w14:textId="77777777">
        <w:trPr>
          <w:divId w:val="1688678984"/>
        </w:trPr>
        <w:tc>
          <w:tcPr>
            <w:tcW w:w="0" w:type="auto"/>
            <w:gridSpan w:val="3"/>
            <w:shd w:val="clear" w:color="auto" w:fill="CCEEFF"/>
            <w:tcMar>
              <w:top w:w="30" w:type="dxa"/>
              <w:left w:w="605" w:type="dxa"/>
              <w:bottom w:w="30" w:type="dxa"/>
              <w:right w:w="20" w:type="dxa"/>
            </w:tcMar>
            <w:vAlign w:val="center"/>
            <w:hideMark/>
          </w:tcPr>
          <w:p w14:paraId="3D077F54" w14:textId="77777777" w:rsidR="00000000" w:rsidRDefault="00C1661D">
            <w:pPr>
              <w:spacing w:after="100"/>
              <w:rPr>
                <w:rFonts w:eastAsia="Times New Roman"/>
              </w:rPr>
            </w:pPr>
            <w:r>
              <w:rPr>
                <w:rFonts w:eastAsia="Times New Roman"/>
                <w:color w:val="000000"/>
                <w:sz w:val="18"/>
                <w:szCs w:val="18"/>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3ACA02A" w14:textId="77777777" w:rsidR="00000000" w:rsidRDefault="00C1661D">
            <w:pPr>
              <w:spacing w:after="100"/>
              <w:jc w:val="right"/>
              <w:rPr>
                <w:rFonts w:eastAsia="Times New Roman"/>
              </w:rPr>
            </w:pPr>
            <w:r>
              <w:rPr>
                <w:rFonts w:eastAsia="Times New Roman"/>
                <w:color w:val="000000"/>
                <w:sz w:val="18"/>
                <w:szCs w:val="18"/>
              </w:rPr>
              <w:t>6,074 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089659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C29A0"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7A5C70E" w14:textId="77777777" w:rsidR="00000000" w:rsidRDefault="00C1661D">
            <w:pPr>
              <w:spacing w:after="100"/>
              <w:jc w:val="right"/>
              <w:rPr>
                <w:rFonts w:eastAsia="Times New Roman"/>
              </w:rPr>
            </w:pPr>
            <w:r>
              <w:rPr>
                <w:rFonts w:eastAsia="Times New Roman"/>
                <w:color w:val="000000"/>
                <w:sz w:val="18"/>
                <w:szCs w:val="18"/>
              </w:rPr>
              <w:t>5,531 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D21516" w14:textId="77777777" w:rsidR="00000000" w:rsidRDefault="00C1661D">
            <w:pPr>
              <w:spacing w:after="100"/>
              <w:jc w:val="right"/>
              <w:rPr>
                <w:rFonts w:eastAsia="Times New Roman"/>
              </w:rPr>
            </w:pPr>
          </w:p>
        </w:tc>
      </w:tr>
      <w:tr w:rsidR="00000000" w14:paraId="277ABE6B" w14:textId="77777777">
        <w:trPr>
          <w:divId w:val="1688678984"/>
        </w:trPr>
        <w:tc>
          <w:tcPr>
            <w:tcW w:w="0" w:type="auto"/>
            <w:gridSpan w:val="3"/>
            <w:shd w:val="clear" w:color="auto" w:fill="FFFFFF"/>
            <w:tcMar>
              <w:top w:w="30" w:type="dxa"/>
              <w:left w:w="605" w:type="dxa"/>
              <w:bottom w:w="30" w:type="dxa"/>
              <w:right w:w="20" w:type="dxa"/>
            </w:tcMar>
            <w:vAlign w:val="center"/>
            <w:hideMark/>
          </w:tcPr>
          <w:p w14:paraId="688AB69E" w14:textId="77777777" w:rsidR="00000000" w:rsidRDefault="00C1661D">
            <w:pPr>
              <w:spacing w:after="100"/>
              <w:rPr>
                <w:rFonts w:eastAsia="Times New Roman"/>
              </w:rPr>
            </w:pPr>
            <w:r>
              <w:rPr>
                <w:rFonts w:eastAsia="Times New Roman"/>
                <w:color w:val="000000"/>
                <w:sz w:val="18"/>
                <w:szCs w:val="18"/>
              </w:rPr>
              <w:t>Total liabilities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C8CBAAB" w14:textId="77777777" w:rsidR="00000000" w:rsidRDefault="00C1661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DE201D9" w14:textId="77777777" w:rsidR="00000000" w:rsidRDefault="00C1661D">
            <w:pPr>
              <w:spacing w:after="100"/>
              <w:jc w:val="right"/>
              <w:rPr>
                <w:rFonts w:eastAsia="Times New Roman"/>
              </w:rPr>
            </w:pPr>
            <w:r>
              <w:rPr>
                <w:rFonts w:eastAsia="Times New Roman"/>
                <w:color w:val="000000"/>
                <w:sz w:val="18"/>
                <w:szCs w:val="18"/>
              </w:rPr>
              <w:t>17,575 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26D9F7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CB7C8"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B735C07" w14:textId="77777777" w:rsidR="00000000" w:rsidRDefault="00C1661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39E79B9" w14:textId="77777777" w:rsidR="00000000" w:rsidRDefault="00C1661D">
            <w:pPr>
              <w:spacing w:after="100"/>
              <w:jc w:val="right"/>
              <w:rPr>
                <w:rFonts w:eastAsia="Times New Roman"/>
              </w:rPr>
            </w:pPr>
            <w:r>
              <w:rPr>
                <w:rFonts w:eastAsia="Times New Roman"/>
                <w:color w:val="000000"/>
                <w:sz w:val="18"/>
                <w:szCs w:val="18"/>
              </w:rPr>
              <w:t>16,723 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1B06761" w14:textId="77777777" w:rsidR="00000000" w:rsidRDefault="00C1661D">
            <w:pPr>
              <w:spacing w:after="100"/>
              <w:jc w:val="right"/>
              <w:rPr>
                <w:rFonts w:eastAsia="Times New Roman"/>
              </w:rPr>
            </w:pPr>
          </w:p>
        </w:tc>
      </w:tr>
    </w:tbl>
    <w:p w14:paraId="2AE7E1F8" w14:textId="77777777" w:rsidR="00000000" w:rsidRDefault="00C1661D">
      <w:pPr>
        <w:jc w:val="both"/>
        <w:divId w:val="2112970079"/>
        <w:rPr>
          <w:rFonts w:eastAsia="Times New Roman"/>
        </w:rPr>
      </w:pPr>
      <w:r>
        <w:rPr>
          <w:rFonts w:eastAsia="Times New Roman"/>
          <w:color w:val="000000"/>
          <w:sz w:val="18"/>
          <w:szCs w:val="18"/>
        </w:rPr>
        <w:t>See accompanying Notes to Consolidated Financial Statements.</w:t>
      </w:r>
    </w:p>
    <w:p w14:paraId="1CD4AB6E" w14:textId="77777777" w:rsidR="00000000" w:rsidRDefault="00C1661D">
      <w:pPr>
        <w:jc w:val="center"/>
        <w:divId w:val="834614016"/>
        <w:rPr>
          <w:rFonts w:eastAsia="Times New Roman"/>
        </w:rPr>
      </w:pPr>
      <w:r>
        <w:rPr>
          <w:rFonts w:eastAsia="Times New Roman"/>
          <w:color w:val="000000"/>
          <w:sz w:val="20"/>
          <w:szCs w:val="20"/>
        </w:rPr>
        <w:t>F-6</w:t>
      </w:r>
    </w:p>
    <w:p w14:paraId="25C1679D" w14:textId="77777777" w:rsidR="00000000" w:rsidRDefault="00C1661D">
      <w:pPr>
        <w:rPr>
          <w:rFonts w:eastAsia="Times New Roman"/>
        </w:rPr>
      </w:pPr>
      <w:r>
        <w:rPr>
          <w:rFonts w:eastAsia="Times New Roman"/>
        </w:rPr>
        <w:pict w14:anchorId="7D1F9D2A">
          <v:rect id="_x0000_i1119" style="width:0;height:1.5pt" o:hralign="center" o:hrstd="t" o:hr="t" fillcolor="#a0a0a0" stroked="f"/>
        </w:pict>
      </w:r>
    </w:p>
    <w:p w14:paraId="07B0C4E9" w14:textId="77777777" w:rsidR="00000000" w:rsidRDefault="00C1661D">
      <w:pPr>
        <w:divId w:val="962467070"/>
        <w:rPr>
          <w:rFonts w:eastAsia="Times New Roman"/>
        </w:rPr>
      </w:pPr>
      <w:hyperlink w:anchor="i3850c3c6c0104e42b9951aac2f16098a_7" w:history="1">
        <w:r>
          <w:rPr>
            <w:rStyle w:val="a3"/>
            <w:rFonts w:eastAsia="Times New Roman"/>
            <w:b/>
            <w:bCs/>
            <w:sz w:val="20"/>
            <w:szCs w:val="20"/>
          </w:rPr>
          <w:t>Table of Contents</w:t>
        </w:r>
      </w:hyperlink>
    </w:p>
    <w:p w14:paraId="237ECE14" w14:textId="77777777" w:rsidR="00000000" w:rsidRDefault="00C1661D">
      <w:pPr>
        <w:jc w:val="center"/>
        <w:rPr>
          <w:rFonts w:eastAsia="Times New Roman"/>
        </w:rPr>
      </w:pPr>
      <w:r>
        <w:rPr>
          <w:rFonts w:eastAsia="Times New Roman"/>
          <w:color w:val="000000"/>
          <w:sz w:val="20"/>
          <w:szCs w:val="20"/>
        </w:rPr>
        <w:t>UGI CORPORATION AND SUBSIDIARIES</w:t>
      </w:r>
    </w:p>
    <w:p w14:paraId="52B487EB" w14:textId="77777777" w:rsidR="00000000" w:rsidRDefault="00C1661D">
      <w:pPr>
        <w:ind w:firstLine="45"/>
        <w:jc w:val="center"/>
        <w:rPr>
          <w:rFonts w:eastAsia="Times New Roman"/>
        </w:rPr>
      </w:pPr>
      <w:r>
        <w:rPr>
          <w:rFonts w:eastAsia="Times New Roman"/>
          <w:color w:val="000000"/>
          <w:sz w:val="20"/>
          <w:szCs w:val="20"/>
        </w:rPr>
        <w:t>CONSOLIDATED STATEMENTS OF INCOME</w:t>
      </w:r>
    </w:p>
    <w:p w14:paraId="72CF141D" w14:textId="77777777" w:rsidR="00000000" w:rsidRDefault="00C1661D">
      <w:pPr>
        <w:jc w:val="center"/>
        <w:rPr>
          <w:rFonts w:eastAsia="Times New Roman"/>
        </w:rPr>
      </w:pPr>
      <w:r>
        <w:rPr>
          <w:rFonts w:eastAsia="Times New Roman"/>
          <w:color w:val="000000"/>
          <w:sz w:val="20"/>
          <w:szCs w:val="20"/>
        </w:rPr>
        <w:t>(Millions of dollars, except per share amounts)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4862"/>
        <w:gridCol w:w="38"/>
        <w:gridCol w:w="120"/>
        <w:gridCol w:w="916"/>
        <w:gridCol w:w="36"/>
        <w:gridCol w:w="36"/>
        <w:gridCol w:w="36"/>
        <w:gridCol w:w="36"/>
        <w:gridCol w:w="121"/>
        <w:gridCol w:w="875"/>
        <w:gridCol w:w="36"/>
        <w:gridCol w:w="36"/>
        <w:gridCol w:w="36"/>
        <w:gridCol w:w="36"/>
        <w:gridCol w:w="121"/>
        <w:gridCol w:w="877"/>
        <w:gridCol w:w="36"/>
      </w:tblGrid>
      <w:tr w:rsidR="00000000" w14:paraId="6A4639E6" w14:textId="77777777">
        <w:trPr>
          <w:jc w:val="center"/>
        </w:trPr>
        <w:tc>
          <w:tcPr>
            <w:tcW w:w="50" w:type="pct"/>
            <w:vAlign w:val="center"/>
            <w:hideMark/>
          </w:tcPr>
          <w:p w14:paraId="0D43A342" w14:textId="77777777" w:rsidR="00000000" w:rsidRDefault="00C1661D">
            <w:pPr>
              <w:jc w:val="center"/>
              <w:rPr>
                <w:rFonts w:eastAsia="Times New Roman"/>
              </w:rPr>
            </w:pPr>
          </w:p>
        </w:tc>
        <w:tc>
          <w:tcPr>
            <w:tcW w:w="2961" w:type="pct"/>
            <w:vAlign w:val="center"/>
            <w:hideMark/>
          </w:tcPr>
          <w:p w14:paraId="76DAE53A" w14:textId="77777777" w:rsidR="00000000" w:rsidRDefault="00C1661D">
            <w:pPr>
              <w:spacing w:after="100"/>
              <w:rPr>
                <w:rFonts w:eastAsia="Times New Roman"/>
                <w:sz w:val="20"/>
                <w:szCs w:val="20"/>
              </w:rPr>
            </w:pPr>
          </w:p>
        </w:tc>
        <w:tc>
          <w:tcPr>
            <w:tcW w:w="5" w:type="pct"/>
            <w:vAlign w:val="center"/>
            <w:hideMark/>
          </w:tcPr>
          <w:p w14:paraId="4698E27F" w14:textId="77777777" w:rsidR="00000000" w:rsidRDefault="00C1661D">
            <w:pPr>
              <w:spacing w:after="100"/>
              <w:rPr>
                <w:rFonts w:eastAsia="Times New Roman"/>
                <w:sz w:val="20"/>
                <w:szCs w:val="20"/>
              </w:rPr>
            </w:pPr>
          </w:p>
        </w:tc>
        <w:tc>
          <w:tcPr>
            <w:tcW w:w="50" w:type="pct"/>
            <w:vAlign w:val="center"/>
            <w:hideMark/>
          </w:tcPr>
          <w:p w14:paraId="723608DC" w14:textId="77777777" w:rsidR="00000000" w:rsidRDefault="00C1661D">
            <w:pPr>
              <w:spacing w:after="100"/>
              <w:rPr>
                <w:rFonts w:eastAsia="Times New Roman"/>
                <w:sz w:val="20"/>
                <w:szCs w:val="20"/>
              </w:rPr>
            </w:pPr>
          </w:p>
        </w:tc>
        <w:tc>
          <w:tcPr>
            <w:tcW w:w="581" w:type="pct"/>
            <w:vAlign w:val="center"/>
            <w:hideMark/>
          </w:tcPr>
          <w:p w14:paraId="1DFEE140" w14:textId="77777777" w:rsidR="00000000" w:rsidRDefault="00C1661D">
            <w:pPr>
              <w:spacing w:after="100"/>
              <w:rPr>
                <w:rFonts w:eastAsia="Times New Roman"/>
                <w:sz w:val="20"/>
                <w:szCs w:val="20"/>
              </w:rPr>
            </w:pPr>
          </w:p>
        </w:tc>
        <w:tc>
          <w:tcPr>
            <w:tcW w:w="5" w:type="pct"/>
            <w:vAlign w:val="center"/>
            <w:hideMark/>
          </w:tcPr>
          <w:p w14:paraId="56141B81" w14:textId="77777777" w:rsidR="00000000" w:rsidRDefault="00C1661D">
            <w:pPr>
              <w:spacing w:after="100"/>
              <w:rPr>
                <w:rFonts w:eastAsia="Times New Roman"/>
                <w:sz w:val="20"/>
                <w:szCs w:val="20"/>
              </w:rPr>
            </w:pPr>
          </w:p>
        </w:tc>
        <w:tc>
          <w:tcPr>
            <w:tcW w:w="5" w:type="pct"/>
            <w:vAlign w:val="center"/>
            <w:hideMark/>
          </w:tcPr>
          <w:p w14:paraId="5C701A19" w14:textId="77777777" w:rsidR="00000000" w:rsidRDefault="00C1661D">
            <w:pPr>
              <w:spacing w:after="100"/>
              <w:rPr>
                <w:rFonts w:eastAsia="Times New Roman"/>
                <w:sz w:val="20"/>
                <w:szCs w:val="20"/>
              </w:rPr>
            </w:pPr>
          </w:p>
        </w:tc>
        <w:tc>
          <w:tcPr>
            <w:tcW w:w="26" w:type="pct"/>
            <w:vAlign w:val="center"/>
            <w:hideMark/>
          </w:tcPr>
          <w:p w14:paraId="53A6230C" w14:textId="77777777" w:rsidR="00000000" w:rsidRDefault="00C1661D">
            <w:pPr>
              <w:spacing w:after="100"/>
              <w:rPr>
                <w:rFonts w:eastAsia="Times New Roman"/>
                <w:sz w:val="20"/>
                <w:szCs w:val="20"/>
              </w:rPr>
            </w:pPr>
          </w:p>
        </w:tc>
        <w:tc>
          <w:tcPr>
            <w:tcW w:w="5" w:type="pct"/>
            <w:vAlign w:val="center"/>
            <w:hideMark/>
          </w:tcPr>
          <w:p w14:paraId="279B67C4" w14:textId="77777777" w:rsidR="00000000" w:rsidRDefault="00C1661D">
            <w:pPr>
              <w:spacing w:after="100"/>
              <w:rPr>
                <w:rFonts w:eastAsia="Times New Roman"/>
                <w:sz w:val="20"/>
                <w:szCs w:val="20"/>
              </w:rPr>
            </w:pPr>
          </w:p>
        </w:tc>
        <w:tc>
          <w:tcPr>
            <w:tcW w:w="50" w:type="pct"/>
            <w:vAlign w:val="center"/>
            <w:hideMark/>
          </w:tcPr>
          <w:p w14:paraId="0FE88CF8" w14:textId="77777777" w:rsidR="00000000" w:rsidRDefault="00C1661D">
            <w:pPr>
              <w:spacing w:after="100"/>
              <w:rPr>
                <w:rFonts w:eastAsia="Times New Roman"/>
                <w:sz w:val="20"/>
                <w:szCs w:val="20"/>
              </w:rPr>
            </w:pPr>
          </w:p>
        </w:tc>
        <w:tc>
          <w:tcPr>
            <w:tcW w:w="581" w:type="pct"/>
            <w:vAlign w:val="center"/>
            <w:hideMark/>
          </w:tcPr>
          <w:p w14:paraId="6774B380" w14:textId="77777777" w:rsidR="00000000" w:rsidRDefault="00C1661D">
            <w:pPr>
              <w:spacing w:after="100"/>
              <w:rPr>
                <w:rFonts w:eastAsia="Times New Roman"/>
                <w:sz w:val="20"/>
                <w:szCs w:val="20"/>
              </w:rPr>
            </w:pPr>
          </w:p>
        </w:tc>
        <w:tc>
          <w:tcPr>
            <w:tcW w:w="5" w:type="pct"/>
            <w:vAlign w:val="center"/>
            <w:hideMark/>
          </w:tcPr>
          <w:p w14:paraId="03171231" w14:textId="77777777" w:rsidR="00000000" w:rsidRDefault="00C1661D">
            <w:pPr>
              <w:spacing w:after="100"/>
              <w:rPr>
                <w:rFonts w:eastAsia="Times New Roman"/>
                <w:sz w:val="20"/>
                <w:szCs w:val="20"/>
              </w:rPr>
            </w:pPr>
          </w:p>
        </w:tc>
        <w:tc>
          <w:tcPr>
            <w:tcW w:w="5" w:type="pct"/>
            <w:vAlign w:val="center"/>
            <w:hideMark/>
          </w:tcPr>
          <w:p w14:paraId="2721895D" w14:textId="77777777" w:rsidR="00000000" w:rsidRDefault="00C1661D">
            <w:pPr>
              <w:spacing w:after="100"/>
              <w:rPr>
                <w:rFonts w:eastAsia="Times New Roman"/>
                <w:sz w:val="20"/>
                <w:szCs w:val="20"/>
              </w:rPr>
            </w:pPr>
          </w:p>
        </w:tc>
        <w:tc>
          <w:tcPr>
            <w:tcW w:w="26" w:type="pct"/>
            <w:vAlign w:val="center"/>
            <w:hideMark/>
          </w:tcPr>
          <w:p w14:paraId="4C9F8B08" w14:textId="77777777" w:rsidR="00000000" w:rsidRDefault="00C1661D">
            <w:pPr>
              <w:spacing w:after="100"/>
              <w:rPr>
                <w:rFonts w:eastAsia="Times New Roman"/>
                <w:sz w:val="20"/>
                <w:szCs w:val="20"/>
              </w:rPr>
            </w:pPr>
          </w:p>
        </w:tc>
        <w:tc>
          <w:tcPr>
            <w:tcW w:w="5" w:type="pct"/>
            <w:vAlign w:val="center"/>
            <w:hideMark/>
          </w:tcPr>
          <w:p w14:paraId="1FA57F02" w14:textId="77777777" w:rsidR="00000000" w:rsidRDefault="00C1661D">
            <w:pPr>
              <w:spacing w:after="100"/>
              <w:rPr>
                <w:rFonts w:eastAsia="Times New Roman"/>
                <w:sz w:val="20"/>
                <w:szCs w:val="20"/>
              </w:rPr>
            </w:pPr>
          </w:p>
        </w:tc>
        <w:tc>
          <w:tcPr>
            <w:tcW w:w="50" w:type="pct"/>
            <w:vAlign w:val="center"/>
            <w:hideMark/>
          </w:tcPr>
          <w:p w14:paraId="2B06460C" w14:textId="77777777" w:rsidR="00000000" w:rsidRDefault="00C1661D">
            <w:pPr>
              <w:spacing w:after="100"/>
              <w:rPr>
                <w:rFonts w:eastAsia="Times New Roman"/>
                <w:sz w:val="20"/>
                <w:szCs w:val="20"/>
              </w:rPr>
            </w:pPr>
          </w:p>
        </w:tc>
        <w:tc>
          <w:tcPr>
            <w:tcW w:w="582" w:type="pct"/>
            <w:vAlign w:val="center"/>
            <w:hideMark/>
          </w:tcPr>
          <w:p w14:paraId="2AB9F76D" w14:textId="77777777" w:rsidR="00000000" w:rsidRDefault="00C1661D">
            <w:pPr>
              <w:spacing w:after="100"/>
              <w:rPr>
                <w:rFonts w:eastAsia="Times New Roman"/>
                <w:sz w:val="20"/>
                <w:szCs w:val="20"/>
              </w:rPr>
            </w:pPr>
          </w:p>
        </w:tc>
        <w:tc>
          <w:tcPr>
            <w:tcW w:w="5" w:type="pct"/>
            <w:vAlign w:val="center"/>
            <w:hideMark/>
          </w:tcPr>
          <w:p w14:paraId="3B55EBDC" w14:textId="77777777" w:rsidR="00000000" w:rsidRDefault="00C1661D">
            <w:pPr>
              <w:spacing w:after="100"/>
              <w:rPr>
                <w:rFonts w:eastAsia="Times New Roman"/>
                <w:sz w:val="20"/>
                <w:szCs w:val="20"/>
              </w:rPr>
            </w:pPr>
          </w:p>
        </w:tc>
      </w:tr>
      <w:tr w:rsidR="00000000" w14:paraId="26BBC026" w14:textId="77777777">
        <w:trPr>
          <w:jc w:val="center"/>
        </w:trPr>
        <w:tc>
          <w:tcPr>
            <w:tcW w:w="0" w:type="auto"/>
            <w:gridSpan w:val="3"/>
            <w:tcMar>
              <w:top w:w="30" w:type="dxa"/>
              <w:left w:w="20" w:type="dxa"/>
              <w:bottom w:w="30" w:type="dxa"/>
              <w:right w:w="20" w:type="dxa"/>
            </w:tcMar>
            <w:vAlign w:val="bottom"/>
            <w:hideMark/>
          </w:tcPr>
          <w:p w14:paraId="23282ABC" w14:textId="77777777" w:rsidR="00000000" w:rsidRDefault="00C1661D">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56FC43A4" w14:textId="77777777" w:rsidR="00000000" w:rsidRDefault="00C1661D">
            <w:pPr>
              <w:spacing w:after="100"/>
              <w:jc w:val="center"/>
              <w:rPr>
                <w:rFonts w:eastAsia="Times New Roman"/>
              </w:rPr>
            </w:pPr>
            <w:r>
              <w:rPr>
                <w:rFonts w:eastAsia="Times New Roman"/>
                <w:color w:val="000000"/>
                <w:sz w:val="20"/>
                <w:szCs w:val="20"/>
              </w:rPr>
              <w:t>Year Ended September 30,</w:t>
            </w:r>
          </w:p>
        </w:tc>
      </w:tr>
      <w:tr w:rsidR="00000000" w14:paraId="0C8988AA" w14:textId="77777777">
        <w:trPr>
          <w:jc w:val="center"/>
        </w:trPr>
        <w:tc>
          <w:tcPr>
            <w:tcW w:w="0" w:type="auto"/>
            <w:gridSpan w:val="3"/>
            <w:tcMar>
              <w:top w:w="30" w:type="dxa"/>
              <w:left w:w="20" w:type="dxa"/>
              <w:bottom w:w="30" w:type="dxa"/>
              <w:right w:w="20" w:type="dxa"/>
            </w:tcMar>
            <w:vAlign w:val="bottom"/>
            <w:hideMark/>
          </w:tcPr>
          <w:p w14:paraId="0BC735EB"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46C301D"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757ECE21"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B6C319"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2A675A58"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01A7A7" w14:textId="77777777" w:rsidR="00000000" w:rsidRDefault="00C1661D">
            <w:pPr>
              <w:spacing w:after="100"/>
              <w:jc w:val="center"/>
              <w:rPr>
                <w:rFonts w:eastAsia="Times New Roman"/>
              </w:rPr>
            </w:pPr>
            <w:r>
              <w:rPr>
                <w:rFonts w:eastAsia="Times New Roman"/>
                <w:color w:val="000000"/>
                <w:sz w:val="20"/>
                <w:szCs w:val="20"/>
              </w:rPr>
              <w:t>2020</w:t>
            </w:r>
          </w:p>
        </w:tc>
      </w:tr>
      <w:tr w:rsidR="00000000" w14:paraId="2B51689D" w14:textId="77777777">
        <w:trPr>
          <w:jc w:val="center"/>
        </w:trPr>
        <w:tc>
          <w:tcPr>
            <w:tcW w:w="0" w:type="auto"/>
            <w:gridSpan w:val="3"/>
            <w:shd w:val="clear" w:color="auto" w:fill="CCEEFF"/>
            <w:tcMar>
              <w:top w:w="30" w:type="dxa"/>
              <w:left w:w="20" w:type="dxa"/>
              <w:bottom w:w="30" w:type="dxa"/>
              <w:right w:w="20" w:type="dxa"/>
            </w:tcMar>
            <w:vAlign w:val="bottom"/>
            <w:hideMark/>
          </w:tcPr>
          <w:p w14:paraId="134C90D1" w14:textId="77777777" w:rsidR="00000000" w:rsidRDefault="00C1661D">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5C581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AC9D70" w14:textId="77777777" w:rsidR="00000000" w:rsidRDefault="00C1661D">
            <w:pPr>
              <w:spacing w:after="100"/>
              <w:jc w:val="right"/>
              <w:rPr>
                <w:rFonts w:eastAsia="Times New Roman"/>
              </w:rPr>
            </w:pPr>
            <w:r>
              <w:rPr>
                <w:rFonts w:eastAsia="Times New Roman"/>
                <w:color w:val="000000"/>
                <w:sz w:val="20"/>
                <w:szCs w:val="20"/>
              </w:rPr>
              <w:t>10,106 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2089F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5965A8"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9D95DA"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8AB266" w14:textId="77777777" w:rsidR="00000000" w:rsidRDefault="00C1661D">
            <w:pPr>
              <w:spacing w:after="100"/>
              <w:jc w:val="right"/>
              <w:rPr>
                <w:rFonts w:eastAsia="Times New Roman"/>
              </w:rPr>
            </w:pPr>
            <w:r>
              <w:rPr>
                <w:rFonts w:eastAsia="Times New Roman"/>
                <w:color w:val="000000"/>
                <w:sz w:val="20"/>
                <w:szCs w:val="20"/>
              </w:rPr>
              <w:t>7,447 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EAC39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5ECEE6"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34333B"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9E4AEF" w14:textId="77777777" w:rsidR="00000000" w:rsidRDefault="00C1661D">
            <w:pPr>
              <w:spacing w:after="100"/>
              <w:jc w:val="right"/>
              <w:rPr>
                <w:rFonts w:eastAsia="Times New Roman"/>
              </w:rPr>
            </w:pPr>
            <w:r>
              <w:rPr>
                <w:rFonts w:eastAsia="Times New Roman"/>
                <w:color w:val="000000"/>
                <w:sz w:val="20"/>
                <w:szCs w:val="20"/>
              </w:rPr>
              <w:t>6,559 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AD66E7" w14:textId="77777777" w:rsidR="00000000" w:rsidRDefault="00C1661D">
            <w:pPr>
              <w:spacing w:after="100"/>
              <w:jc w:val="right"/>
              <w:rPr>
                <w:rFonts w:eastAsia="Times New Roman"/>
              </w:rPr>
            </w:pPr>
          </w:p>
        </w:tc>
      </w:tr>
      <w:tr w:rsidR="00000000" w14:paraId="74154CC5" w14:textId="77777777">
        <w:trPr>
          <w:jc w:val="center"/>
        </w:trPr>
        <w:tc>
          <w:tcPr>
            <w:tcW w:w="0" w:type="auto"/>
            <w:gridSpan w:val="3"/>
            <w:shd w:val="clear" w:color="auto" w:fill="FFFFFF"/>
            <w:tcMar>
              <w:top w:w="30" w:type="dxa"/>
              <w:left w:w="20" w:type="dxa"/>
              <w:bottom w:w="30" w:type="dxa"/>
              <w:right w:w="20" w:type="dxa"/>
            </w:tcMar>
            <w:vAlign w:val="bottom"/>
            <w:hideMark/>
          </w:tcPr>
          <w:p w14:paraId="6D270774" w14:textId="77777777" w:rsidR="00000000" w:rsidRDefault="00C1661D">
            <w:pPr>
              <w:spacing w:after="100"/>
              <w:rPr>
                <w:rFonts w:eastAsia="Times New Roman"/>
              </w:rPr>
            </w:pPr>
            <w:r>
              <w:rPr>
                <w:rFonts w:eastAsia="Times New Roman"/>
                <w:color w:val="000000"/>
                <w:sz w:val="20"/>
                <w:szCs w:val="20"/>
              </w:rPr>
              <w:t>Costs and expenses: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D55E4BB"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3348984"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18C4D8C"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E8796FF"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2B8BC1C" w14:textId="77777777" w:rsidR="00000000" w:rsidRDefault="00C1661D">
            <w:pPr>
              <w:spacing w:after="100"/>
              <w:rPr>
                <w:rFonts w:eastAsia="Times New Roman"/>
              </w:rPr>
            </w:pPr>
            <w:r>
              <w:rPr>
                <w:rFonts w:eastAsia="Times New Roman"/>
                <w:color w:val="000000"/>
                <w:sz w:val="20"/>
                <w:szCs w:val="20"/>
              </w:rPr>
              <w:t> </w:t>
            </w:r>
          </w:p>
        </w:tc>
      </w:tr>
      <w:tr w:rsidR="00000000" w14:paraId="75B682CF" w14:textId="77777777">
        <w:trPr>
          <w:jc w:val="center"/>
        </w:trPr>
        <w:tc>
          <w:tcPr>
            <w:tcW w:w="0" w:type="auto"/>
            <w:gridSpan w:val="3"/>
            <w:shd w:val="clear" w:color="auto" w:fill="CCEEFF"/>
            <w:tcMar>
              <w:top w:w="30" w:type="dxa"/>
              <w:left w:w="155" w:type="dxa"/>
              <w:bottom w:w="30" w:type="dxa"/>
              <w:right w:w="20" w:type="dxa"/>
            </w:tcMar>
            <w:vAlign w:val="bottom"/>
            <w:hideMark/>
          </w:tcPr>
          <w:p w14:paraId="702F1028" w14:textId="77777777" w:rsidR="00000000" w:rsidRDefault="00C1661D">
            <w:pPr>
              <w:spacing w:after="100"/>
              <w:rPr>
                <w:rFonts w:eastAsia="Times New Roman"/>
              </w:rPr>
            </w:pPr>
            <w:r>
              <w:rPr>
                <w:rFonts w:eastAsia="Times New Roman"/>
                <w:color w:val="000000"/>
                <w:sz w:val="20"/>
                <w:szCs w:val="20"/>
              </w:rPr>
              <w:t>Cost of sales (excluding depreciation and amortization shown below)</w:t>
            </w:r>
          </w:p>
        </w:tc>
        <w:tc>
          <w:tcPr>
            <w:tcW w:w="0" w:type="auto"/>
            <w:gridSpan w:val="2"/>
            <w:shd w:val="clear" w:color="auto" w:fill="CCEEFF"/>
            <w:tcMar>
              <w:top w:w="30" w:type="dxa"/>
              <w:left w:w="20" w:type="dxa"/>
              <w:bottom w:w="30" w:type="dxa"/>
              <w:right w:w="0" w:type="dxa"/>
            </w:tcMar>
            <w:vAlign w:val="bottom"/>
            <w:hideMark/>
          </w:tcPr>
          <w:p w14:paraId="588BD2A1" w14:textId="77777777" w:rsidR="00000000" w:rsidRDefault="00C1661D">
            <w:pPr>
              <w:spacing w:after="100"/>
              <w:jc w:val="right"/>
              <w:rPr>
                <w:rFonts w:eastAsia="Times New Roman"/>
              </w:rPr>
            </w:pPr>
            <w:r>
              <w:rPr>
                <w:rFonts w:eastAsia="Times New Roman"/>
                <w:color w:val="000000"/>
                <w:sz w:val="20"/>
                <w:szCs w:val="20"/>
              </w:rPr>
              <w:t>5,973 </w:t>
            </w:r>
          </w:p>
        </w:tc>
        <w:tc>
          <w:tcPr>
            <w:tcW w:w="0" w:type="auto"/>
            <w:shd w:val="clear" w:color="auto" w:fill="CCEEFF"/>
            <w:tcMar>
              <w:top w:w="30" w:type="dxa"/>
              <w:left w:w="0" w:type="dxa"/>
              <w:bottom w:w="30" w:type="dxa"/>
              <w:right w:w="20" w:type="dxa"/>
            </w:tcMar>
            <w:vAlign w:val="bottom"/>
            <w:hideMark/>
          </w:tcPr>
          <w:p w14:paraId="071C4D5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CF0CA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25D9B6" w14:textId="77777777" w:rsidR="00000000" w:rsidRDefault="00C1661D">
            <w:pPr>
              <w:spacing w:after="100"/>
              <w:jc w:val="right"/>
              <w:rPr>
                <w:rFonts w:eastAsia="Times New Roman"/>
              </w:rPr>
            </w:pPr>
            <w:r>
              <w:rPr>
                <w:rFonts w:eastAsia="Times New Roman"/>
                <w:color w:val="000000"/>
                <w:sz w:val="20"/>
                <w:szCs w:val="20"/>
              </w:rPr>
              <w:t>2,614 </w:t>
            </w:r>
          </w:p>
        </w:tc>
        <w:tc>
          <w:tcPr>
            <w:tcW w:w="0" w:type="auto"/>
            <w:shd w:val="clear" w:color="auto" w:fill="CCEEFF"/>
            <w:tcMar>
              <w:top w:w="30" w:type="dxa"/>
              <w:left w:w="0" w:type="dxa"/>
              <w:bottom w:w="30" w:type="dxa"/>
              <w:right w:w="20" w:type="dxa"/>
            </w:tcMar>
            <w:vAlign w:val="bottom"/>
            <w:hideMark/>
          </w:tcPr>
          <w:p w14:paraId="5C1DC99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CAD78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BC438A" w14:textId="77777777" w:rsidR="00000000" w:rsidRDefault="00C1661D">
            <w:pPr>
              <w:spacing w:after="100"/>
              <w:jc w:val="right"/>
              <w:rPr>
                <w:rFonts w:eastAsia="Times New Roman"/>
              </w:rPr>
            </w:pPr>
            <w:r>
              <w:rPr>
                <w:rFonts w:eastAsia="Times New Roman"/>
                <w:color w:val="000000"/>
                <w:sz w:val="20"/>
                <w:szCs w:val="20"/>
              </w:rPr>
              <w:t>3,149 </w:t>
            </w:r>
          </w:p>
        </w:tc>
        <w:tc>
          <w:tcPr>
            <w:tcW w:w="0" w:type="auto"/>
            <w:shd w:val="clear" w:color="auto" w:fill="CCEEFF"/>
            <w:tcMar>
              <w:top w:w="30" w:type="dxa"/>
              <w:left w:w="0" w:type="dxa"/>
              <w:bottom w:w="30" w:type="dxa"/>
              <w:right w:w="20" w:type="dxa"/>
            </w:tcMar>
            <w:vAlign w:val="bottom"/>
            <w:hideMark/>
          </w:tcPr>
          <w:p w14:paraId="76780721" w14:textId="77777777" w:rsidR="00000000" w:rsidRDefault="00C1661D">
            <w:pPr>
              <w:spacing w:after="100"/>
              <w:jc w:val="right"/>
              <w:rPr>
                <w:rFonts w:eastAsia="Times New Roman"/>
              </w:rPr>
            </w:pPr>
          </w:p>
        </w:tc>
      </w:tr>
      <w:tr w:rsidR="00000000" w14:paraId="60996611" w14:textId="77777777">
        <w:trPr>
          <w:jc w:val="center"/>
        </w:trPr>
        <w:tc>
          <w:tcPr>
            <w:tcW w:w="0" w:type="auto"/>
            <w:gridSpan w:val="3"/>
            <w:shd w:val="clear" w:color="auto" w:fill="FFFFFF"/>
            <w:tcMar>
              <w:top w:w="30" w:type="dxa"/>
              <w:left w:w="155" w:type="dxa"/>
              <w:bottom w:w="30" w:type="dxa"/>
              <w:right w:w="20" w:type="dxa"/>
            </w:tcMar>
            <w:vAlign w:val="bottom"/>
            <w:hideMark/>
          </w:tcPr>
          <w:p w14:paraId="75C528EC" w14:textId="77777777" w:rsidR="00000000" w:rsidRDefault="00C1661D">
            <w:pPr>
              <w:spacing w:after="100"/>
              <w:rPr>
                <w:rFonts w:eastAsia="Times New Roman"/>
              </w:rPr>
            </w:pPr>
            <w:r>
              <w:rPr>
                <w:rFonts w:eastAsia="Times New Roman"/>
                <w:color w:val="000000"/>
                <w:sz w:val="20"/>
                <w:szCs w:val="20"/>
              </w:rPr>
              <w:t>Operating and administrative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27BFCAF7" w14:textId="77777777" w:rsidR="00000000" w:rsidRDefault="00C1661D">
            <w:pPr>
              <w:spacing w:after="100"/>
              <w:jc w:val="right"/>
              <w:rPr>
                <w:rFonts w:eastAsia="Times New Roman"/>
              </w:rPr>
            </w:pPr>
            <w:r>
              <w:rPr>
                <w:rFonts w:eastAsia="Times New Roman"/>
                <w:color w:val="000000"/>
                <w:sz w:val="20"/>
                <w:szCs w:val="20"/>
              </w:rPr>
              <w:t>2,028 </w:t>
            </w:r>
          </w:p>
        </w:tc>
        <w:tc>
          <w:tcPr>
            <w:tcW w:w="0" w:type="auto"/>
            <w:shd w:val="clear" w:color="auto" w:fill="FFFFFF"/>
            <w:tcMar>
              <w:top w:w="30" w:type="dxa"/>
              <w:left w:w="0" w:type="dxa"/>
              <w:bottom w:w="30" w:type="dxa"/>
              <w:right w:w="20" w:type="dxa"/>
            </w:tcMar>
            <w:vAlign w:val="bottom"/>
            <w:hideMark/>
          </w:tcPr>
          <w:p w14:paraId="03DA287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503D8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55DA2F" w14:textId="77777777" w:rsidR="00000000" w:rsidRDefault="00C1661D">
            <w:pPr>
              <w:spacing w:after="100"/>
              <w:jc w:val="right"/>
              <w:rPr>
                <w:rFonts w:eastAsia="Times New Roman"/>
              </w:rPr>
            </w:pPr>
            <w:r>
              <w:rPr>
                <w:rFonts w:eastAsia="Times New Roman"/>
                <w:color w:val="000000"/>
                <w:sz w:val="20"/>
                <w:szCs w:val="20"/>
              </w:rPr>
              <w:t>2,014 </w:t>
            </w:r>
          </w:p>
        </w:tc>
        <w:tc>
          <w:tcPr>
            <w:tcW w:w="0" w:type="auto"/>
            <w:shd w:val="clear" w:color="auto" w:fill="FFFFFF"/>
            <w:tcMar>
              <w:top w:w="30" w:type="dxa"/>
              <w:left w:w="0" w:type="dxa"/>
              <w:bottom w:w="30" w:type="dxa"/>
              <w:right w:w="20" w:type="dxa"/>
            </w:tcMar>
            <w:vAlign w:val="bottom"/>
            <w:hideMark/>
          </w:tcPr>
          <w:p w14:paraId="30A00B0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D2D53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4B87FC" w14:textId="77777777" w:rsidR="00000000" w:rsidRDefault="00C1661D">
            <w:pPr>
              <w:spacing w:after="100"/>
              <w:jc w:val="right"/>
              <w:rPr>
                <w:rFonts w:eastAsia="Times New Roman"/>
              </w:rPr>
            </w:pPr>
            <w:r>
              <w:rPr>
                <w:rFonts w:eastAsia="Times New Roman"/>
                <w:color w:val="000000"/>
                <w:sz w:val="20"/>
                <w:szCs w:val="20"/>
              </w:rPr>
              <w:t>1,911 </w:t>
            </w:r>
          </w:p>
        </w:tc>
        <w:tc>
          <w:tcPr>
            <w:tcW w:w="0" w:type="auto"/>
            <w:shd w:val="clear" w:color="auto" w:fill="FFFFFF"/>
            <w:tcMar>
              <w:top w:w="30" w:type="dxa"/>
              <w:left w:w="0" w:type="dxa"/>
              <w:bottom w:w="30" w:type="dxa"/>
              <w:right w:w="20" w:type="dxa"/>
            </w:tcMar>
            <w:vAlign w:val="bottom"/>
            <w:hideMark/>
          </w:tcPr>
          <w:p w14:paraId="29ACADEF" w14:textId="77777777" w:rsidR="00000000" w:rsidRDefault="00C1661D">
            <w:pPr>
              <w:spacing w:after="100"/>
              <w:jc w:val="right"/>
              <w:rPr>
                <w:rFonts w:eastAsia="Times New Roman"/>
              </w:rPr>
            </w:pPr>
          </w:p>
        </w:tc>
      </w:tr>
      <w:tr w:rsidR="00000000" w14:paraId="74879EAA" w14:textId="77777777">
        <w:trPr>
          <w:jc w:val="center"/>
        </w:trPr>
        <w:tc>
          <w:tcPr>
            <w:tcW w:w="0" w:type="auto"/>
            <w:gridSpan w:val="3"/>
            <w:vAlign w:val="center"/>
            <w:hideMark/>
          </w:tcPr>
          <w:p w14:paraId="77ED7583" w14:textId="77777777" w:rsidR="00000000" w:rsidRDefault="00C1661D">
            <w:pPr>
              <w:spacing w:after="100"/>
              <w:jc w:val="right"/>
              <w:rPr>
                <w:rFonts w:eastAsia="Times New Roman"/>
                <w:sz w:val="20"/>
                <w:szCs w:val="20"/>
              </w:rPr>
            </w:pPr>
          </w:p>
        </w:tc>
        <w:tc>
          <w:tcPr>
            <w:tcW w:w="0" w:type="auto"/>
            <w:gridSpan w:val="3"/>
            <w:vAlign w:val="center"/>
            <w:hideMark/>
          </w:tcPr>
          <w:p w14:paraId="6BC20C89" w14:textId="77777777" w:rsidR="00000000" w:rsidRDefault="00C1661D">
            <w:pPr>
              <w:spacing w:after="100"/>
              <w:rPr>
                <w:rFonts w:eastAsia="Times New Roman"/>
                <w:sz w:val="20"/>
                <w:szCs w:val="20"/>
              </w:rPr>
            </w:pPr>
          </w:p>
        </w:tc>
        <w:tc>
          <w:tcPr>
            <w:tcW w:w="0" w:type="auto"/>
            <w:gridSpan w:val="3"/>
            <w:vAlign w:val="center"/>
            <w:hideMark/>
          </w:tcPr>
          <w:p w14:paraId="0E67DDFB" w14:textId="77777777" w:rsidR="00000000" w:rsidRDefault="00C1661D">
            <w:pPr>
              <w:spacing w:after="100"/>
              <w:rPr>
                <w:rFonts w:eastAsia="Times New Roman"/>
                <w:sz w:val="20"/>
                <w:szCs w:val="20"/>
              </w:rPr>
            </w:pPr>
          </w:p>
        </w:tc>
        <w:tc>
          <w:tcPr>
            <w:tcW w:w="0" w:type="auto"/>
            <w:gridSpan w:val="3"/>
            <w:vAlign w:val="center"/>
            <w:hideMark/>
          </w:tcPr>
          <w:p w14:paraId="41BBA38D" w14:textId="77777777" w:rsidR="00000000" w:rsidRDefault="00C1661D">
            <w:pPr>
              <w:spacing w:after="100"/>
              <w:rPr>
                <w:rFonts w:eastAsia="Times New Roman"/>
                <w:sz w:val="20"/>
                <w:szCs w:val="20"/>
              </w:rPr>
            </w:pPr>
          </w:p>
        </w:tc>
        <w:tc>
          <w:tcPr>
            <w:tcW w:w="0" w:type="auto"/>
            <w:gridSpan w:val="3"/>
            <w:vAlign w:val="center"/>
            <w:hideMark/>
          </w:tcPr>
          <w:p w14:paraId="567E28FF" w14:textId="77777777" w:rsidR="00000000" w:rsidRDefault="00C1661D">
            <w:pPr>
              <w:spacing w:after="100"/>
              <w:rPr>
                <w:rFonts w:eastAsia="Times New Roman"/>
                <w:sz w:val="20"/>
                <w:szCs w:val="20"/>
              </w:rPr>
            </w:pPr>
          </w:p>
        </w:tc>
        <w:tc>
          <w:tcPr>
            <w:tcW w:w="0" w:type="auto"/>
            <w:gridSpan w:val="3"/>
            <w:vAlign w:val="center"/>
            <w:hideMark/>
          </w:tcPr>
          <w:p w14:paraId="40F79122" w14:textId="77777777" w:rsidR="00000000" w:rsidRDefault="00C1661D">
            <w:pPr>
              <w:spacing w:after="100"/>
              <w:rPr>
                <w:rFonts w:eastAsia="Times New Roman"/>
                <w:sz w:val="20"/>
                <w:szCs w:val="20"/>
              </w:rPr>
            </w:pPr>
          </w:p>
        </w:tc>
      </w:tr>
      <w:tr w:rsidR="00000000" w14:paraId="3ED2D299" w14:textId="77777777">
        <w:trPr>
          <w:jc w:val="center"/>
        </w:trPr>
        <w:tc>
          <w:tcPr>
            <w:tcW w:w="0" w:type="auto"/>
            <w:gridSpan w:val="3"/>
            <w:shd w:val="clear" w:color="auto" w:fill="CCEEFF"/>
            <w:tcMar>
              <w:top w:w="30" w:type="dxa"/>
              <w:left w:w="155" w:type="dxa"/>
              <w:bottom w:w="30" w:type="dxa"/>
              <w:right w:w="20" w:type="dxa"/>
            </w:tcMar>
            <w:vAlign w:val="bottom"/>
            <w:hideMark/>
          </w:tcPr>
          <w:p w14:paraId="11DECD62" w14:textId="77777777" w:rsidR="00000000" w:rsidRDefault="00C1661D">
            <w:pPr>
              <w:spacing w:after="100"/>
              <w:rPr>
                <w:rFonts w:eastAsia="Times New Roman"/>
              </w:rPr>
            </w:pPr>
            <w:r>
              <w:rPr>
                <w:rFonts w:eastAsia="Times New Roman"/>
                <w:color w:val="000000"/>
                <w:sz w:val="20"/>
                <w:szCs w:val="20"/>
              </w:rPr>
              <w:t>Loss on disposals of Conemaugh and HVAC</w:t>
            </w:r>
          </w:p>
        </w:tc>
        <w:tc>
          <w:tcPr>
            <w:tcW w:w="0" w:type="auto"/>
            <w:gridSpan w:val="2"/>
            <w:shd w:val="clear" w:color="auto" w:fill="CCEEFF"/>
            <w:tcMar>
              <w:top w:w="30" w:type="dxa"/>
              <w:left w:w="20" w:type="dxa"/>
              <w:bottom w:w="30" w:type="dxa"/>
              <w:right w:w="0" w:type="dxa"/>
            </w:tcMar>
            <w:vAlign w:val="bottom"/>
            <w:hideMark/>
          </w:tcPr>
          <w:p w14:paraId="2B79D23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B814E0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9A830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A0CD4E"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F0DA3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EF4DC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870203" w14:textId="77777777" w:rsidR="00000000" w:rsidRDefault="00C1661D">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14:paraId="16651492" w14:textId="77777777" w:rsidR="00000000" w:rsidRDefault="00C1661D">
            <w:pPr>
              <w:spacing w:after="100"/>
              <w:jc w:val="right"/>
              <w:rPr>
                <w:rFonts w:eastAsia="Times New Roman"/>
              </w:rPr>
            </w:pPr>
          </w:p>
        </w:tc>
      </w:tr>
      <w:tr w:rsidR="00000000" w14:paraId="4E364F4F" w14:textId="77777777">
        <w:trPr>
          <w:jc w:val="center"/>
        </w:trPr>
        <w:tc>
          <w:tcPr>
            <w:tcW w:w="0" w:type="auto"/>
            <w:gridSpan w:val="3"/>
            <w:vAlign w:val="center"/>
            <w:hideMark/>
          </w:tcPr>
          <w:p w14:paraId="38E5FBD8" w14:textId="77777777" w:rsidR="00000000" w:rsidRDefault="00C1661D">
            <w:pPr>
              <w:spacing w:after="100"/>
              <w:jc w:val="right"/>
              <w:rPr>
                <w:rFonts w:eastAsia="Times New Roman"/>
                <w:sz w:val="20"/>
                <w:szCs w:val="20"/>
              </w:rPr>
            </w:pPr>
          </w:p>
        </w:tc>
        <w:tc>
          <w:tcPr>
            <w:tcW w:w="0" w:type="auto"/>
            <w:gridSpan w:val="3"/>
            <w:vAlign w:val="center"/>
            <w:hideMark/>
          </w:tcPr>
          <w:p w14:paraId="69FB5326" w14:textId="77777777" w:rsidR="00000000" w:rsidRDefault="00C1661D">
            <w:pPr>
              <w:spacing w:after="100"/>
              <w:rPr>
                <w:rFonts w:eastAsia="Times New Roman"/>
                <w:sz w:val="20"/>
                <w:szCs w:val="20"/>
              </w:rPr>
            </w:pPr>
          </w:p>
        </w:tc>
        <w:tc>
          <w:tcPr>
            <w:tcW w:w="0" w:type="auto"/>
            <w:gridSpan w:val="3"/>
            <w:vAlign w:val="center"/>
            <w:hideMark/>
          </w:tcPr>
          <w:p w14:paraId="69B1D628" w14:textId="77777777" w:rsidR="00000000" w:rsidRDefault="00C1661D">
            <w:pPr>
              <w:spacing w:after="100"/>
              <w:rPr>
                <w:rFonts w:eastAsia="Times New Roman"/>
                <w:sz w:val="20"/>
                <w:szCs w:val="20"/>
              </w:rPr>
            </w:pPr>
          </w:p>
        </w:tc>
        <w:tc>
          <w:tcPr>
            <w:tcW w:w="0" w:type="auto"/>
            <w:gridSpan w:val="3"/>
            <w:vAlign w:val="center"/>
            <w:hideMark/>
          </w:tcPr>
          <w:p w14:paraId="6671B850" w14:textId="77777777" w:rsidR="00000000" w:rsidRDefault="00C1661D">
            <w:pPr>
              <w:spacing w:after="100"/>
              <w:rPr>
                <w:rFonts w:eastAsia="Times New Roman"/>
                <w:sz w:val="20"/>
                <w:szCs w:val="20"/>
              </w:rPr>
            </w:pPr>
          </w:p>
        </w:tc>
        <w:tc>
          <w:tcPr>
            <w:tcW w:w="0" w:type="auto"/>
            <w:gridSpan w:val="3"/>
            <w:vAlign w:val="center"/>
            <w:hideMark/>
          </w:tcPr>
          <w:p w14:paraId="33B8B19A" w14:textId="77777777" w:rsidR="00000000" w:rsidRDefault="00C1661D">
            <w:pPr>
              <w:spacing w:after="100"/>
              <w:rPr>
                <w:rFonts w:eastAsia="Times New Roman"/>
                <w:sz w:val="20"/>
                <w:szCs w:val="20"/>
              </w:rPr>
            </w:pPr>
          </w:p>
        </w:tc>
        <w:tc>
          <w:tcPr>
            <w:tcW w:w="0" w:type="auto"/>
            <w:gridSpan w:val="3"/>
            <w:vAlign w:val="center"/>
            <w:hideMark/>
          </w:tcPr>
          <w:p w14:paraId="4F8220EF" w14:textId="77777777" w:rsidR="00000000" w:rsidRDefault="00C1661D">
            <w:pPr>
              <w:spacing w:after="100"/>
              <w:rPr>
                <w:rFonts w:eastAsia="Times New Roman"/>
                <w:sz w:val="20"/>
                <w:szCs w:val="20"/>
              </w:rPr>
            </w:pPr>
          </w:p>
        </w:tc>
      </w:tr>
      <w:tr w:rsidR="00000000" w14:paraId="2FB3AABA" w14:textId="77777777">
        <w:trPr>
          <w:jc w:val="center"/>
        </w:trPr>
        <w:tc>
          <w:tcPr>
            <w:tcW w:w="0" w:type="auto"/>
            <w:gridSpan w:val="3"/>
            <w:shd w:val="clear" w:color="auto" w:fill="FFFFFF"/>
            <w:tcMar>
              <w:top w:w="30" w:type="dxa"/>
              <w:left w:w="155" w:type="dxa"/>
              <w:bottom w:w="30" w:type="dxa"/>
              <w:right w:w="20" w:type="dxa"/>
            </w:tcMar>
            <w:vAlign w:val="bottom"/>
            <w:hideMark/>
          </w:tcPr>
          <w:p w14:paraId="148D656A" w14:textId="77777777" w:rsidR="00000000" w:rsidRDefault="00C1661D">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14:paraId="0F785393" w14:textId="77777777" w:rsidR="00000000" w:rsidRDefault="00C1661D">
            <w:pPr>
              <w:spacing w:after="100"/>
              <w:jc w:val="right"/>
              <w:rPr>
                <w:rFonts w:eastAsia="Times New Roman"/>
              </w:rPr>
            </w:pPr>
            <w:r>
              <w:rPr>
                <w:rFonts w:eastAsia="Times New Roman"/>
                <w:color w:val="000000"/>
                <w:sz w:val="20"/>
                <w:szCs w:val="20"/>
              </w:rPr>
              <w:t>518 </w:t>
            </w:r>
          </w:p>
        </w:tc>
        <w:tc>
          <w:tcPr>
            <w:tcW w:w="0" w:type="auto"/>
            <w:shd w:val="clear" w:color="auto" w:fill="FFFFFF"/>
            <w:tcMar>
              <w:top w:w="30" w:type="dxa"/>
              <w:left w:w="0" w:type="dxa"/>
              <w:bottom w:w="30" w:type="dxa"/>
              <w:right w:w="20" w:type="dxa"/>
            </w:tcMar>
            <w:vAlign w:val="bottom"/>
            <w:hideMark/>
          </w:tcPr>
          <w:p w14:paraId="162AED7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E5D25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C42097" w14:textId="77777777" w:rsidR="00000000" w:rsidRDefault="00C1661D">
            <w:pPr>
              <w:spacing w:after="100"/>
              <w:jc w:val="right"/>
              <w:rPr>
                <w:rFonts w:eastAsia="Times New Roman"/>
              </w:rPr>
            </w:pPr>
            <w:r>
              <w:rPr>
                <w:rFonts w:eastAsia="Times New Roman"/>
                <w:color w:val="000000"/>
                <w:sz w:val="20"/>
                <w:szCs w:val="20"/>
              </w:rPr>
              <w:t>502 </w:t>
            </w:r>
          </w:p>
        </w:tc>
        <w:tc>
          <w:tcPr>
            <w:tcW w:w="0" w:type="auto"/>
            <w:shd w:val="clear" w:color="auto" w:fill="FFFFFF"/>
            <w:tcMar>
              <w:top w:w="30" w:type="dxa"/>
              <w:left w:w="0" w:type="dxa"/>
              <w:bottom w:w="30" w:type="dxa"/>
              <w:right w:w="20" w:type="dxa"/>
            </w:tcMar>
            <w:vAlign w:val="bottom"/>
            <w:hideMark/>
          </w:tcPr>
          <w:p w14:paraId="7D22FC6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AA49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C8D0F4" w14:textId="77777777" w:rsidR="00000000" w:rsidRDefault="00C1661D">
            <w:pPr>
              <w:spacing w:after="100"/>
              <w:jc w:val="right"/>
              <w:rPr>
                <w:rFonts w:eastAsia="Times New Roman"/>
              </w:rPr>
            </w:pPr>
            <w:r>
              <w:rPr>
                <w:rFonts w:eastAsia="Times New Roman"/>
                <w:color w:val="000000"/>
                <w:sz w:val="20"/>
                <w:szCs w:val="20"/>
              </w:rPr>
              <w:t>484 </w:t>
            </w:r>
          </w:p>
        </w:tc>
        <w:tc>
          <w:tcPr>
            <w:tcW w:w="0" w:type="auto"/>
            <w:shd w:val="clear" w:color="auto" w:fill="FFFFFF"/>
            <w:tcMar>
              <w:top w:w="30" w:type="dxa"/>
              <w:left w:w="0" w:type="dxa"/>
              <w:bottom w:w="30" w:type="dxa"/>
              <w:right w:w="20" w:type="dxa"/>
            </w:tcMar>
            <w:vAlign w:val="bottom"/>
            <w:hideMark/>
          </w:tcPr>
          <w:p w14:paraId="5904FEE6" w14:textId="77777777" w:rsidR="00000000" w:rsidRDefault="00C1661D">
            <w:pPr>
              <w:spacing w:after="100"/>
              <w:jc w:val="right"/>
              <w:rPr>
                <w:rFonts w:eastAsia="Times New Roman"/>
              </w:rPr>
            </w:pPr>
          </w:p>
        </w:tc>
      </w:tr>
      <w:tr w:rsidR="00000000" w14:paraId="3B48AA55" w14:textId="77777777">
        <w:trPr>
          <w:jc w:val="center"/>
        </w:trPr>
        <w:tc>
          <w:tcPr>
            <w:tcW w:w="0" w:type="auto"/>
            <w:gridSpan w:val="3"/>
            <w:vAlign w:val="center"/>
            <w:hideMark/>
          </w:tcPr>
          <w:p w14:paraId="1AA96E00" w14:textId="77777777" w:rsidR="00000000" w:rsidRDefault="00C1661D">
            <w:pPr>
              <w:spacing w:after="100"/>
              <w:jc w:val="right"/>
              <w:rPr>
                <w:rFonts w:eastAsia="Times New Roman"/>
                <w:sz w:val="20"/>
                <w:szCs w:val="20"/>
              </w:rPr>
            </w:pPr>
          </w:p>
        </w:tc>
        <w:tc>
          <w:tcPr>
            <w:tcW w:w="0" w:type="auto"/>
            <w:gridSpan w:val="3"/>
            <w:vAlign w:val="center"/>
            <w:hideMark/>
          </w:tcPr>
          <w:p w14:paraId="70EDB3F7" w14:textId="77777777" w:rsidR="00000000" w:rsidRDefault="00C1661D">
            <w:pPr>
              <w:spacing w:after="100"/>
              <w:rPr>
                <w:rFonts w:eastAsia="Times New Roman"/>
                <w:sz w:val="20"/>
                <w:szCs w:val="20"/>
              </w:rPr>
            </w:pPr>
          </w:p>
        </w:tc>
        <w:tc>
          <w:tcPr>
            <w:tcW w:w="0" w:type="auto"/>
            <w:gridSpan w:val="3"/>
            <w:vAlign w:val="center"/>
            <w:hideMark/>
          </w:tcPr>
          <w:p w14:paraId="6A1DECE2" w14:textId="77777777" w:rsidR="00000000" w:rsidRDefault="00C1661D">
            <w:pPr>
              <w:spacing w:after="100"/>
              <w:rPr>
                <w:rFonts w:eastAsia="Times New Roman"/>
                <w:sz w:val="20"/>
                <w:szCs w:val="20"/>
              </w:rPr>
            </w:pPr>
          </w:p>
        </w:tc>
        <w:tc>
          <w:tcPr>
            <w:tcW w:w="0" w:type="auto"/>
            <w:gridSpan w:val="3"/>
            <w:vAlign w:val="center"/>
            <w:hideMark/>
          </w:tcPr>
          <w:p w14:paraId="19159882" w14:textId="77777777" w:rsidR="00000000" w:rsidRDefault="00C1661D">
            <w:pPr>
              <w:spacing w:after="100"/>
              <w:rPr>
                <w:rFonts w:eastAsia="Times New Roman"/>
                <w:sz w:val="20"/>
                <w:szCs w:val="20"/>
              </w:rPr>
            </w:pPr>
          </w:p>
        </w:tc>
        <w:tc>
          <w:tcPr>
            <w:tcW w:w="0" w:type="auto"/>
            <w:gridSpan w:val="3"/>
            <w:vAlign w:val="center"/>
            <w:hideMark/>
          </w:tcPr>
          <w:p w14:paraId="6C88771C" w14:textId="77777777" w:rsidR="00000000" w:rsidRDefault="00C1661D">
            <w:pPr>
              <w:spacing w:after="100"/>
              <w:rPr>
                <w:rFonts w:eastAsia="Times New Roman"/>
                <w:sz w:val="20"/>
                <w:szCs w:val="20"/>
              </w:rPr>
            </w:pPr>
          </w:p>
        </w:tc>
        <w:tc>
          <w:tcPr>
            <w:tcW w:w="0" w:type="auto"/>
            <w:gridSpan w:val="3"/>
            <w:vAlign w:val="center"/>
            <w:hideMark/>
          </w:tcPr>
          <w:p w14:paraId="4A4E5CBD" w14:textId="77777777" w:rsidR="00000000" w:rsidRDefault="00C1661D">
            <w:pPr>
              <w:spacing w:after="100"/>
              <w:rPr>
                <w:rFonts w:eastAsia="Times New Roman"/>
                <w:sz w:val="20"/>
                <w:szCs w:val="20"/>
              </w:rPr>
            </w:pPr>
          </w:p>
        </w:tc>
      </w:tr>
      <w:tr w:rsidR="00000000" w14:paraId="765CEA03" w14:textId="77777777">
        <w:trPr>
          <w:jc w:val="center"/>
        </w:trPr>
        <w:tc>
          <w:tcPr>
            <w:tcW w:w="0" w:type="auto"/>
            <w:gridSpan w:val="3"/>
            <w:shd w:val="clear" w:color="auto" w:fill="CCEEFF"/>
            <w:tcMar>
              <w:top w:w="30" w:type="dxa"/>
              <w:left w:w="155" w:type="dxa"/>
              <w:bottom w:w="30" w:type="dxa"/>
              <w:right w:w="20" w:type="dxa"/>
            </w:tcMar>
            <w:vAlign w:val="bottom"/>
            <w:hideMark/>
          </w:tcPr>
          <w:p w14:paraId="6DBB5964" w14:textId="77777777" w:rsidR="00000000" w:rsidRDefault="00C1661D">
            <w:pPr>
              <w:spacing w:after="100"/>
              <w:rPr>
                <w:rFonts w:eastAsia="Times New Roman"/>
              </w:rPr>
            </w:pPr>
            <w:r>
              <w:rPr>
                <w:rFonts w:eastAsia="Times New Roman"/>
                <w:color w:val="000000"/>
                <w:sz w:val="20"/>
                <w:szCs w:val="20"/>
              </w:rPr>
              <w:t>Other operating income, net</w:t>
            </w:r>
          </w:p>
        </w:tc>
        <w:tc>
          <w:tcPr>
            <w:tcW w:w="0" w:type="auto"/>
            <w:gridSpan w:val="2"/>
            <w:shd w:val="clear" w:color="auto" w:fill="CCEEFF"/>
            <w:tcMar>
              <w:top w:w="30" w:type="dxa"/>
              <w:left w:w="20" w:type="dxa"/>
              <w:bottom w:w="30" w:type="dxa"/>
              <w:right w:w="0" w:type="dxa"/>
            </w:tcMar>
            <w:vAlign w:val="bottom"/>
            <w:hideMark/>
          </w:tcPr>
          <w:p w14:paraId="47613B5A" w14:textId="77777777" w:rsidR="00000000" w:rsidRDefault="00C1661D">
            <w:pPr>
              <w:spacing w:after="100"/>
              <w:jc w:val="right"/>
              <w:rPr>
                <w:rFonts w:eastAsia="Times New Roman"/>
              </w:rPr>
            </w:pPr>
            <w:r>
              <w:rPr>
                <w:rFonts w:eastAsia="Times New Roman"/>
                <w:color w:val="000000"/>
                <w:sz w:val="20"/>
                <w:szCs w:val="20"/>
              </w:rPr>
              <w:t>(79)</w:t>
            </w:r>
          </w:p>
        </w:tc>
        <w:tc>
          <w:tcPr>
            <w:tcW w:w="0" w:type="auto"/>
            <w:shd w:val="clear" w:color="auto" w:fill="CCEEFF"/>
            <w:tcMar>
              <w:top w:w="30" w:type="dxa"/>
              <w:left w:w="0" w:type="dxa"/>
              <w:bottom w:w="30" w:type="dxa"/>
              <w:right w:w="20" w:type="dxa"/>
            </w:tcMar>
            <w:vAlign w:val="bottom"/>
            <w:hideMark/>
          </w:tcPr>
          <w:p w14:paraId="782EC66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7F68E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E7C146" w14:textId="77777777" w:rsidR="00000000" w:rsidRDefault="00C1661D">
            <w:pPr>
              <w:spacing w:after="100"/>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14:paraId="1CEEA17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B49EE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40F3DC" w14:textId="77777777" w:rsidR="00000000" w:rsidRDefault="00C1661D">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14:paraId="63D826FF" w14:textId="77777777" w:rsidR="00000000" w:rsidRDefault="00C1661D">
            <w:pPr>
              <w:spacing w:after="100"/>
              <w:jc w:val="right"/>
              <w:rPr>
                <w:rFonts w:eastAsia="Times New Roman"/>
              </w:rPr>
            </w:pPr>
          </w:p>
        </w:tc>
      </w:tr>
      <w:tr w:rsidR="00000000" w14:paraId="733BE3D2" w14:textId="77777777">
        <w:trPr>
          <w:jc w:val="center"/>
        </w:trPr>
        <w:tc>
          <w:tcPr>
            <w:tcW w:w="0" w:type="auto"/>
            <w:gridSpan w:val="3"/>
            <w:shd w:val="clear" w:color="auto" w:fill="FFFFFF"/>
            <w:tcMar>
              <w:top w:w="30" w:type="dxa"/>
              <w:left w:w="20" w:type="dxa"/>
              <w:bottom w:w="30" w:type="dxa"/>
              <w:right w:w="20" w:type="dxa"/>
            </w:tcMar>
            <w:vAlign w:val="bottom"/>
            <w:hideMark/>
          </w:tcPr>
          <w:p w14:paraId="658A6C13" w14:textId="77777777" w:rsidR="00000000" w:rsidRDefault="00C1661D">
            <w:pPr>
              <w:spacing w:after="100"/>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60FFD4" w14:textId="77777777" w:rsidR="00000000" w:rsidRDefault="00C1661D">
            <w:pPr>
              <w:spacing w:after="100"/>
              <w:jc w:val="right"/>
              <w:rPr>
                <w:rFonts w:eastAsia="Times New Roman"/>
              </w:rPr>
            </w:pPr>
            <w:r>
              <w:rPr>
                <w:rFonts w:eastAsia="Times New Roman"/>
                <w:color w:val="000000"/>
                <w:sz w:val="20"/>
                <w:szCs w:val="20"/>
              </w:rPr>
              <w:t>8,440 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43233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AA9521"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27C38A" w14:textId="77777777" w:rsidR="00000000" w:rsidRDefault="00C1661D">
            <w:pPr>
              <w:spacing w:after="100"/>
              <w:jc w:val="right"/>
              <w:rPr>
                <w:rFonts w:eastAsia="Times New Roman"/>
              </w:rPr>
            </w:pPr>
            <w:r>
              <w:rPr>
                <w:rFonts w:eastAsia="Times New Roman"/>
                <w:color w:val="000000"/>
                <w:sz w:val="20"/>
                <w:szCs w:val="20"/>
              </w:rPr>
              <w:t>5,097 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8579F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A41993"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75DC05" w14:textId="77777777" w:rsidR="00000000" w:rsidRDefault="00C1661D">
            <w:pPr>
              <w:spacing w:after="100"/>
              <w:jc w:val="right"/>
              <w:rPr>
                <w:rFonts w:eastAsia="Times New Roman"/>
              </w:rPr>
            </w:pPr>
            <w:r>
              <w:rPr>
                <w:rFonts w:eastAsia="Times New Roman"/>
                <w:color w:val="000000"/>
                <w:sz w:val="20"/>
                <w:szCs w:val="20"/>
              </w:rPr>
              <w:t>5,577 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866776" w14:textId="77777777" w:rsidR="00000000" w:rsidRDefault="00C1661D">
            <w:pPr>
              <w:spacing w:after="100"/>
              <w:jc w:val="right"/>
              <w:rPr>
                <w:rFonts w:eastAsia="Times New Roman"/>
              </w:rPr>
            </w:pPr>
          </w:p>
        </w:tc>
      </w:tr>
      <w:tr w:rsidR="00000000" w14:paraId="77A1B736" w14:textId="77777777">
        <w:trPr>
          <w:jc w:val="center"/>
        </w:trPr>
        <w:tc>
          <w:tcPr>
            <w:tcW w:w="0" w:type="auto"/>
            <w:gridSpan w:val="3"/>
            <w:shd w:val="clear" w:color="auto" w:fill="CCEEFF"/>
            <w:tcMar>
              <w:top w:w="30" w:type="dxa"/>
              <w:left w:w="20" w:type="dxa"/>
              <w:bottom w:w="30" w:type="dxa"/>
              <w:right w:w="20" w:type="dxa"/>
            </w:tcMar>
            <w:vAlign w:val="bottom"/>
            <w:hideMark/>
          </w:tcPr>
          <w:p w14:paraId="5B9FDF4E" w14:textId="77777777" w:rsidR="00000000" w:rsidRDefault="00C1661D">
            <w:pPr>
              <w:spacing w:after="100"/>
              <w:rPr>
                <w:rFonts w:eastAsia="Times New Roman"/>
              </w:rPr>
            </w:pPr>
            <w:r>
              <w:rPr>
                <w:rFonts w:eastAsia="Times New Roman"/>
                <w:color w:val="000000"/>
                <w:sz w:val="20"/>
                <w:szCs w:val="20"/>
              </w:rPr>
              <w:t>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46A275" w14:textId="77777777" w:rsidR="00000000" w:rsidRDefault="00C1661D">
            <w:pPr>
              <w:spacing w:after="100"/>
              <w:jc w:val="right"/>
              <w:rPr>
                <w:rFonts w:eastAsia="Times New Roman"/>
              </w:rPr>
            </w:pPr>
            <w:r>
              <w:rPr>
                <w:rFonts w:eastAsia="Times New Roman"/>
                <w:color w:val="000000"/>
                <w:sz w:val="20"/>
                <w:szCs w:val="20"/>
              </w:rPr>
              <w:t>1,666 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D3244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241728"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991F24" w14:textId="77777777" w:rsidR="00000000" w:rsidRDefault="00C1661D">
            <w:pPr>
              <w:spacing w:after="100"/>
              <w:jc w:val="right"/>
              <w:rPr>
                <w:rFonts w:eastAsia="Times New Roman"/>
              </w:rPr>
            </w:pPr>
            <w:r>
              <w:rPr>
                <w:rFonts w:eastAsia="Times New Roman"/>
                <w:color w:val="000000"/>
                <w:sz w:val="20"/>
                <w:szCs w:val="20"/>
              </w:rPr>
              <w:t>2,350 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4C781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A856FC"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1DDDB5" w14:textId="77777777" w:rsidR="00000000" w:rsidRDefault="00C1661D">
            <w:pPr>
              <w:spacing w:after="100"/>
              <w:jc w:val="right"/>
              <w:rPr>
                <w:rFonts w:eastAsia="Times New Roman"/>
              </w:rPr>
            </w:pPr>
            <w:r>
              <w:rPr>
                <w:rFonts w:eastAsia="Times New Roman"/>
                <w:color w:val="000000"/>
                <w:sz w:val="20"/>
                <w:szCs w:val="20"/>
              </w:rPr>
              <w:t>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CF52A1" w14:textId="77777777" w:rsidR="00000000" w:rsidRDefault="00C1661D">
            <w:pPr>
              <w:spacing w:after="100"/>
              <w:jc w:val="right"/>
              <w:rPr>
                <w:rFonts w:eastAsia="Times New Roman"/>
              </w:rPr>
            </w:pPr>
          </w:p>
        </w:tc>
      </w:tr>
      <w:tr w:rsidR="00000000" w14:paraId="5BA51B78" w14:textId="77777777">
        <w:trPr>
          <w:jc w:val="center"/>
        </w:trPr>
        <w:tc>
          <w:tcPr>
            <w:tcW w:w="0" w:type="auto"/>
            <w:gridSpan w:val="3"/>
            <w:shd w:val="clear" w:color="auto" w:fill="FFFFFF"/>
            <w:tcMar>
              <w:top w:w="30" w:type="dxa"/>
              <w:left w:w="20" w:type="dxa"/>
              <w:bottom w:w="30" w:type="dxa"/>
              <w:right w:w="20" w:type="dxa"/>
            </w:tcMar>
            <w:vAlign w:val="bottom"/>
            <w:hideMark/>
          </w:tcPr>
          <w:p w14:paraId="11FE92D3" w14:textId="77777777" w:rsidR="00000000" w:rsidRDefault="00C1661D">
            <w:pPr>
              <w:spacing w:after="100"/>
              <w:rPr>
                <w:rFonts w:eastAsia="Times New Roman"/>
              </w:rPr>
            </w:pPr>
            <w:r>
              <w:rPr>
                <w:rFonts w:eastAsia="Times New Roman"/>
                <w:color w:val="000000"/>
                <w:sz w:val="20"/>
                <w:szCs w:val="20"/>
              </w:rPr>
              <w:t>(Loss) income from equity investees</w:t>
            </w:r>
          </w:p>
        </w:tc>
        <w:tc>
          <w:tcPr>
            <w:tcW w:w="0" w:type="auto"/>
            <w:gridSpan w:val="2"/>
            <w:shd w:val="clear" w:color="auto" w:fill="FFFFFF"/>
            <w:tcMar>
              <w:top w:w="30" w:type="dxa"/>
              <w:left w:w="20" w:type="dxa"/>
              <w:bottom w:w="30" w:type="dxa"/>
              <w:right w:w="0" w:type="dxa"/>
            </w:tcMar>
            <w:vAlign w:val="bottom"/>
            <w:hideMark/>
          </w:tcPr>
          <w:p w14:paraId="6E535409" w14:textId="77777777" w:rsidR="00000000" w:rsidRDefault="00C1661D">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14:paraId="0DCBBDA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3693B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CEBA17" w14:textId="77777777" w:rsidR="00000000" w:rsidRDefault="00C1661D">
            <w:pPr>
              <w:spacing w:after="100"/>
              <w:jc w:val="right"/>
              <w:rPr>
                <w:rFonts w:eastAsia="Times New Roman"/>
              </w:rPr>
            </w:pPr>
            <w:r>
              <w:rPr>
                <w:rFonts w:eastAsia="Times New Roman"/>
                <w:color w:val="000000"/>
                <w:sz w:val="20"/>
                <w:szCs w:val="20"/>
              </w:rPr>
              <w:t>(63)</w:t>
            </w:r>
          </w:p>
        </w:tc>
        <w:tc>
          <w:tcPr>
            <w:tcW w:w="0" w:type="auto"/>
            <w:shd w:val="clear" w:color="auto" w:fill="FFFFFF"/>
            <w:tcMar>
              <w:top w:w="30" w:type="dxa"/>
              <w:left w:w="0" w:type="dxa"/>
              <w:bottom w:w="30" w:type="dxa"/>
              <w:right w:w="20" w:type="dxa"/>
            </w:tcMar>
            <w:vAlign w:val="bottom"/>
            <w:hideMark/>
          </w:tcPr>
          <w:p w14:paraId="79C5C49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2E21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777586" w14:textId="77777777" w:rsidR="00000000" w:rsidRDefault="00C1661D">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5FE47D3B" w14:textId="77777777" w:rsidR="00000000" w:rsidRDefault="00C1661D">
            <w:pPr>
              <w:spacing w:after="100"/>
              <w:jc w:val="right"/>
              <w:rPr>
                <w:rFonts w:eastAsia="Times New Roman"/>
              </w:rPr>
            </w:pPr>
          </w:p>
        </w:tc>
      </w:tr>
      <w:tr w:rsidR="00000000" w14:paraId="421113A6" w14:textId="77777777">
        <w:trPr>
          <w:jc w:val="center"/>
        </w:trPr>
        <w:tc>
          <w:tcPr>
            <w:tcW w:w="0" w:type="auto"/>
            <w:gridSpan w:val="3"/>
            <w:shd w:val="clear" w:color="auto" w:fill="CCEEFF"/>
            <w:tcMar>
              <w:top w:w="30" w:type="dxa"/>
              <w:left w:w="20" w:type="dxa"/>
              <w:bottom w:w="30" w:type="dxa"/>
              <w:right w:w="20" w:type="dxa"/>
            </w:tcMar>
            <w:vAlign w:val="bottom"/>
            <w:hideMark/>
          </w:tcPr>
          <w:p w14:paraId="681BBF08" w14:textId="77777777" w:rsidR="00000000" w:rsidRDefault="00C1661D">
            <w:pPr>
              <w:spacing w:after="100"/>
              <w:rPr>
                <w:rFonts w:eastAsia="Times New Roman"/>
              </w:rPr>
            </w:pPr>
            <w:r>
              <w:rPr>
                <w:rFonts w:eastAsia="Times New Roman"/>
                <w:color w:val="000000"/>
                <w:sz w:val="20"/>
                <w:szCs w:val="20"/>
              </w:rPr>
              <w:t>Loss on extinguishments of debt</w:t>
            </w:r>
          </w:p>
        </w:tc>
        <w:tc>
          <w:tcPr>
            <w:tcW w:w="0" w:type="auto"/>
            <w:gridSpan w:val="2"/>
            <w:shd w:val="clear" w:color="auto" w:fill="CCEEFF"/>
            <w:tcMar>
              <w:top w:w="30" w:type="dxa"/>
              <w:left w:w="20" w:type="dxa"/>
              <w:bottom w:w="30" w:type="dxa"/>
              <w:right w:w="0" w:type="dxa"/>
            </w:tcMar>
            <w:vAlign w:val="bottom"/>
            <w:hideMark/>
          </w:tcPr>
          <w:p w14:paraId="0B7C7A17" w14:textId="77777777" w:rsidR="00000000" w:rsidRDefault="00C1661D">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14:paraId="4164723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E61C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78DE51"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F57B8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91BDE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2FB738"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E948077" w14:textId="77777777" w:rsidR="00000000" w:rsidRDefault="00C1661D">
            <w:pPr>
              <w:spacing w:after="100"/>
              <w:jc w:val="right"/>
              <w:rPr>
                <w:rFonts w:eastAsia="Times New Roman"/>
              </w:rPr>
            </w:pPr>
          </w:p>
        </w:tc>
      </w:tr>
      <w:tr w:rsidR="00000000" w14:paraId="4559B774" w14:textId="77777777">
        <w:trPr>
          <w:jc w:val="center"/>
        </w:trPr>
        <w:tc>
          <w:tcPr>
            <w:tcW w:w="0" w:type="auto"/>
            <w:gridSpan w:val="3"/>
            <w:shd w:val="clear" w:color="auto" w:fill="FFFFFF"/>
            <w:tcMar>
              <w:top w:w="30" w:type="dxa"/>
              <w:left w:w="20" w:type="dxa"/>
              <w:bottom w:w="30" w:type="dxa"/>
              <w:right w:w="20" w:type="dxa"/>
            </w:tcMar>
            <w:vAlign w:val="bottom"/>
            <w:hideMark/>
          </w:tcPr>
          <w:p w14:paraId="242B920C" w14:textId="77777777" w:rsidR="00000000" w:rsidRDefault="00C1661D">
            <w:pPr>
              <w:spacing w:after="100"/>
              <w:rPr>
                <w:rFonts w:eastAsia="Times New Roman"/>
              </w:rPr>
            </w:pPr>
            <w:r>
              <w:rPr>
                <w:rFonts w:eastAsia="Times New Roman"/>
                <w:color w:val="000000"/>
                <w:sz w:val="20"/>
                <w:szCs w:val="20"/>
              </w:rPr>
              <w:t>Other non-operating income (expense), net</w:t>
            </w:r>
          </w:p>
        </w:tc>
        <w:tc>
          <w:tcPr>
            <w:tcW w:w="0" w:type="auto"/>
            <w:gridSpan w:val="2"/>
            <w:shd w:val="clear" w:color="auto" w:fill="FFFFFF"/>
            <w:tcMar>
              <w:top w:w="30" w:type="dxa"/>
              <w:left w:w="20" w:type="dxa"/>
              <w:bottom w:w="30" w:type="dxa"/>
              <w:right w:w="0" w:type="dxa"/>
            </w:tcMar>
            <w:vAlign w:val="bottom"/>
            <w:hideMark/>
          </w:tcPr>
          <w:p w14:paraId="368EA423" w14:textId="77777777" w:rsidR="00000000" w:rsidRDefault="00C1661D">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14:paraId="193B9B0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B6F38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A913F3" w14:textId="77777777" w:rsidR="00000000" w:rsidRDefault="00C1661D">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506F3AE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4746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63941A" w14:textId="77777777" w:rsidR="00000000" w:rsidRDefault="00C1661D">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14:paraId="483571C0" w14:textId="77777777" w:rsidR="00000000" w:rsidRDefault="00C1661D">
            <w:pPr>
              <w:spacing w:after="100"/>
              <w:jc w:val="right"/>
              <w:rPr>
                <w:rFonts w:eastAsia="Times New Roman"/>
              </w:rPr>
            </w:pPr>
          </w:p>
        </w:tc>
      </w:tr>
      <w:tr w:rsidR="00000000" w14:paraId="0F6E4BF6" w14:textId="77777777">
        <w:trPr>
          <w:jc w:val="center"/>
        </w:trPr>
        <w:tc>
          <w:tcPr>
            <w:tcW w:w="0" w:type="auto"/>
            <w:gridSpan w:val="3"/>
            <w:shd w:val="clear" w:color="auto" w:fill="CCEEFF"/>
            <w:tcMar>
              <w:top w:w="30" w:type="dxa"/>
              <w:left w:w="20" w:type="dxa"/>
              <w:bottom w:w="30" w:type="dxa"/>
              <w:right w:w="20" w:type="dxa"/>
            </w:tcMar>
            <w:vAlign w:val="bottom"/>
            <w:hideMark/>
          </w:tcPr>
          <w:p w14:paraId="1DDFBBC7" w14:textId="77777777" w:rsidR="00000000" w:rsidRDefault="00C1661D">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2B338495" w14:textId="77777777" w:rsidR="00000000" w:rsidRDefault="00C1661D">
            <w:pPr>
              <w:spacing w:after="100"/>
              <w:jc w:val="right"/>
              <w:rPr>
                <w:rFonts w:eastAsia="Times New Roman"/>
              </w:rPr>
            </w:pPr>
            <w:r>
              <w:rPr>
                <w:rFonts w:eastAsia="Times New Roman"/>
                <w:color w:val="000000"/>
                <w:sz w:val="20"/>
                <w:szCs w:val="20"/>
              </w:rPr>
              <w:t>(329)</w:t>
            </w:r>
          </w:p>
        </w:tc>
        <w:tc>
          <w:tcPr>
            <w:tcW w:w="0" w:type="auto"/>
            <w:shd w:val="clear" w:color="auto" w:fill="CCEEFF"/>
            <w:tcMar>
              <w:top w:w="30" w:type="dxa"/>
              <w:left w:w="0" w:type="dxa"/>
              <w:bottom w:w="30" w:type="dxa"/>
              <w:right w:w="20" w:type="dxa"/>
            </w:tcMar>
            <w:vAlign w:val="bottom"/>
            <w:hideMark/>
          </w:tcPr>
          <w:p w14:paraId="7271FFF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74F37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AD863C" w14:textId="77777777" w:rsidR="00000000" w:rsidRDefault="00C1661D">
            <w:pPr>
              <w:spacing w:after="100"/>
              <w:jc w:val="right"/>
              <w:rPr>
                <w:rFonts w:eastAsia="Times New Roman"/>
              </w:rPr>
            </w:pPr>
            <w:r>
              <w:rPr>
                <w:rFonts w:eastAsia="Times New Roman"/>
                <w:color w:val="000000"/>
                <w:sz w:val="20"/>
                <w:szCs w:val="20"/>
              </w:rPr>
              <w:t>(310)</w:t>
            </w:r>
          </w:p>
        </w:tc>
        <w:tc>
          <w:tcPr>
            <w:tcW w:w="0" w:type="auto"/>
            <w:shd w:val="clear" w:color="auto" w:fill="CCEEFF"/>
            <w:tcMar>
              <w:top w:w="30" w:type="dxa"/>
              <w:left w:w="0" w:type="dxa"/>
              <w:bottom w:w="30" w:type="dxa"/>
              <w:right w:w="20" w:type="dxa"/>
            </w:tcMar>
            <w:vAlign w:val="bottom"/>
            <w:hideMark/>
          </w:tcPr>
          <w:p w14:paraId="0303696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EEE0A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2CE014" w14:textId="77777777" w:rsidR="00000000" w:rsidRDefault="00C1661D">
            <w:pPr>
              <w:spacing w:after="100"/>
              <w:jc w:val="right"/>
              <w:rPr>
                <w:rFonts w:eastAsia="Times New Roman"/>
              </w:rPr>
            </w:pPr>
            <w:r>
              <w:rPr>
                <w:rFonts w:eastAsia="Times New Roman"/>
                <w:color w:val="000000"/>
                <w:sz w:val="20"/>
                <w:szCs w:val="20"/>
              </w:rPr>
              <w:t>(322)</w:t>
            </w:r>
          </w:p>
        </w:tc>
        <w:tc>
          <w:tcPr>
            <w:tcW w:w="0" w:type="auto"/>
            <w:shd w:val="clear" w:color="auto" w:fill="CCEEFF"/>
            <w:tcMar>
              <w:top w:w="30" w:type="dxa"/>
              <w:left w:w="0" w:type="dxa"/>
              <w:bottom w:w="30" w:type="dxa"/>
              <w:right w:w="20" w:type="dxa"/>
            </w:tcMar>
            <w:vAlign w:val="bottom"/>
            <w:hideMark/>
          </w:tcPr>
          <w:p w14:paraId="139D2A59" w14:textId="77777777" w:rsidR="00000000" w:rsidRDefault="00C1661D">
            <w:pPr>
              <w:spacing w:after="100"/>
              <w:jc w:val="right"/>
              <w:rPr>
                <w:rFonts w:eastAsia="Times New Roman"/>
              </w:rPr>
            </w:pPr>
          </w:p>
        </w:tc>
      </w:tr>
      <w:tr w:rsidR="00000000" w14:paraId="2D2491C1" w14:textId="77777777">
        <w:trPr>
          <w:jc w:val="center"/>
        </w:trPr>
        <w:tc>
          <w:tcPr>
            <w:tcW w:w="0" w:type="auto"/>
            <w:gridSpan w:val="3"/>
            <w:shd w:val="clear" w:color="auto" w:fill="FFFFFF"/>
            <w:tcMar>
              <w:top w:w="30" w:type="dxa"/>
              <w:left w:w="20" w:type="dxa"/>
              <w:bottom w:w="30" w:type="dxa"/>
              <w:right w:w="20" w:type="dxa"/>
            </w:tcMar>
            <w:vAlign w:val="bottom"/>
            <w:hideMark/>
          </w:tcPr>
          <w:p w14:paraId="1564D59E" w14:textId="77777777" w:rsidR="00000000" w:rsidRDefault="00C1661D">
            <w:pPr>
              <w:spacing w:after="100"/>
              <w:rPr>
                <w:rFonts w:eastAsia="Times New Roman"/>
              </w:rPr>
            </w:pPr>
            <w:r>
              <w:rPr>
                <w:rFonts w:eastAsia="Times New Roman"/>
                <w:color w:val="000000"/>
                <w:sz w:val="20"/>
                <w:szCs w:val="20"/>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63B92E" w14:textId="77777777" w:rsidR="00000000" w:rsidRDefault="00C1661D">
            <w:pPr>
              <w:spacing w:after="100"/>
              <w:jc w:val="right"/>
              <w:rPr>
                <w:rFonts w:eastAsia="Times New Roman"/>
              </w:rPr>
            </w:pPr>
            <w:r>
              <w:rPr>
                <w:rFonts w:eastAsia="Times New Roman"/>
                <w:color w:val="000000"/>
                <w:sz w:val="20"/>
                <w:szCs w:val="20"/>
              </w:rPr>
              <w:t>1,387 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C40F0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822A6E"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A2AD74" w14:textId="77777777" w:rsidR="00000000" w:rsidRDefault="00C1661D">
            <w:pPr>
              <w:spacing w:after="100"/>
              <w:jc w:val="right"/>
              <w:rPr>
                <w:rFonts w:eastAsia="Times New Roman"/>
              </w:rPr>
            </w:pPr>
            <w:r>
              <w:rPr>
                <w:rFonts w:eastAsia="Times New Roman"/>
                <w:color w:val="000000"/>
                <w:sz w:val="20"/>
                <w:szCs w:val="20"/>
              </w:rPr>
              <w:t>1,989 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E51FC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00A03B"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0FE534" w14:textId="77777777" w:rsidR="00000000" w:rsidRDefault="00C1661D">
            <w:pPr>
              <w:spacing w:after="100"/>
              <w:jc w:val="right"/>
              <w:rPr>
                <w:rFonts w:eastAsia="Times New Roman"/>
              </w:rPr>
            </w:pPr>
            <w:r>
              <w:rPr>
                <w:rFonts w:eastAsia="Times New Roman"/>
                <w:color w:val="000000"/>
                <w:sz w:val="20"/>
                <w:szCs w:val="20"/>
              </w:rPr>
              <w:t>667 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D8D9B4" w14:textId="77777777" w:rsidR="00000000" w:rsidRDefault="00C1661D">
            <w:pPr>
              <w:spacing w:after="100"/>
              <w:jc w:val="right"/>
              <w:rPr>
                <w:rFonts w:eastAsia="Times New Roman"/>
              </w:rPr>
            </w:pPr>
          </w:p>
        </w:tc>
      </w:tr>
      <w:tr w:rsidR="00000000" w14:paraId="1DE60B44" w14:textId="77777777">
        <w:trPr>
          <w:jc w:val="center"/>
        </w:trPr>
        <w:tc>
          <w:tcPr>
            <w:tcW w:w="0" w:type="auto"/>
            <w:gridSpan w:val="3"/>
            <w:shd w:val="clear" w:color="auto" w:fill="CCEEFF"/>
            <w:tcMar>
              <w:top w:w="30" w:type="dxa"/>
              <w:left w:w="20" w:type="dxa"/>
              <w:bottom w:w="30" w:type="dxa"/>
              <w:right w:w="20" w:type="dxa"/>
            </w:tcMar>
            <w:vAlign w:val="bottom"/>
            <w:hideMark/>
          </w:tcPr>
          <w:p w14:paraId="6EF857E7" w14:textId="77777777" w:rsidR="00000000" w:rsidRDefault="00C1661D">
            <w:pPr>
              <w:spacing w:after="100"/>
              <w:rPr>
                <w:rFonts w:eastAsia="Times New Roman"/>
              </w:rPr>
            </w:pPr>
            <w:r>
              <w:rPr>
                <w:rFonts w:eastAsia="Times New Roman"/>
                <w:color w:val="00000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14:paraId="48511B00" w14:textId="77777777" w:rsidR="00000000" w:rsidRDefault="00C1661D">
            <w:pPr>
              <w:spacing w:after="100"/>
              <w:jc w:val="right"/>
              <w:rPr>
                <w:rFonts w:eastAsia="Times New Roman"/>
              </w:rPr>
            </w:pPr>
            <w:r>
              <w:rPr>
                <w:rFonts w:eastAsia="Times New Roman"/>
                <w:color w:val="000000"/>
                <w:sz w:val="20"/>
                <w:szCs w:val="20"/>
              </w:rPr>
              <w:t>(313)</w:t>
            </w:r>
          </w:p>
        </w:tc>
        <w:tc>
          <w:tcPr>
            <w:tcW w:w="0" w:type="auto"/>
            <w:shd w:val="clear" w:color="auto" w:fill="CCEEFF"/>
            <w:tcMar>
              <w:top w:w="30" w:type="dxa"/>
              <w:left w:w="0" w:type="dxa"/>
              <w:bottom w:w="30" w:type="dxa"/>
              <w:right w:w="20" w:type="dxa"/>
            </w:tcMar>
            <w:vAlign w:val="bottom"/>
            <w:hideMark/>
          </w:tcPr>
          <w:p w14:paraId="6A859FF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57E10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610995" w14:textId="77777777" w:rsidR="00000000" w:rsidRDefault="00C1661D">
            <w:pPr>
              <w:spacing w:after="100"/>
              <w:jc w:val="right"/>
              <w:rPr>
                <w:rFonts w:eastAsia="Times New Roman"/>
              </w:rPr>
            </w:pPr>
            <w:r>
              <w:rPr>
                <w:rFonts w:eastAsia="Times New Roman"/>
                <w:color w:val="000000"/>
                <w:sz w:val="20"/>
                <w:szCs w:val="20"/>
              </w:rPr>
              <w:t>(522)</w:t>
            </w:r>
          </w:p>
        </w:tc>
        <w:tc>
          <w:tcPr>
            <w:tcW w:w="0" w:type="auto"/>
            <w:shd w:val="clear" w:color="auto" w:fill="CCEEFF"/>
            <w:tcMar>
              <w:top w:w="30" w:type="dxa"/>
              <w:left w:w="0" w:type="dxa"/>
              <w:bottom w:w="30" w:type="dxa"/>
              <w:right w:w="20" w:type="dxa"/>
            </w:tcMar>
            <w:vAlign w:val="bottom"/>
            <w:hideMark/>
          </w:tcPr>
          <w:p w14:paraId="0EB987E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E61D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1C10D5" w14:textId="77777777" w:rsidR="00000000" w:rsidRDefault="00C1661D">
            <w:pPr>
              <w:spacing w:after="100"/>
              <w:jc w:val="right"/>
              <w:rPr>
                <w:rFonts w:eastAsia="Times New Roman"/>
              </w:rPr>
            </w:pPr>
            <w:r>
              <w:rPr>
                <w:rFonts w:eastAsia="Times New Roman"/>
                <w:color w:val="000000"/>
                <w:sz w:val="20"/>
                <w:szCs w:val="20"/>
              </w:rPr>
              <w:t>(135)</w:t>
            </w:r>
          </w:p>
        </w:tc>
        <w:tc>
          <w:tcPr>
            <w:tcW w:w="0" w:type="auto"/>
            <w:shd w:val="clear" w:color="auto" w:fill="CCEEFF"/>
            <w:tcMar>
              <w:top w:w="30" w:type="dxa"/>
              <w:left w:w="0" w:type="dxa"/>
              <w:bottom w:w="30" w:type="dxa"/>
              <w:right w:w="20" w:type="dxa"/>
            </w:tcMar>
            <w:vAlign w:val="bottom"/>
            <w:hideMark/>
          </w:tcPr>
          <w:p w14:paraId="58BE76F2" w14:textId="77777777" w:rsidR="00000000" w:rsidRDefault="00C1661D">
            <w:pPr>
              <w:spacing w:after="100"/>
              <w:jc w:val="right"/>
              <w:rPr>
                <w:rFonts w:eastAsia="Times New Roman"/>
              </w:rPr>
            </w:pPr>
          </w:p>
        </w:tc>
      </w:tr>
      <w:tr w:rsidR="00000000" w14:paraId="120CB845" w14:textId="77777777">
        <w:trPr>
          <w:jc w:val="center"/>
        </w:trPr>
        <w:tc>
          <w:tcPr>
            <w:tcW w:w="0" w:type="auto"/>
            <w:gridSpan w:val="3"/>
            <w:shd w:val="clear" w:color="auto" w:fill="FFFFFF"/>
            <w:tcMar>
              <w:top w:w="30" w:type="dxa"/>
              <w:left w:w="20" w:type="dxa"/>
              <w:bottom w:w="30" w:type="dxa"/>
              <w:right w:w="20" w:type="dxa"/>
            </w:tcMar>
            <w:vAlign w:val="bottom"/>
            <w:hideMark/>
          </w:tcPr>
          <w:p w14:paraId="1D4AF204" w14:textId="77777777" w:rsidR="00000000" w:rsidRDefault="00C1661D">
            <w:pPr>
              <w:spacing w:after="100"/>
              <w:rPr>
                <w:rFonts w:eastAsia="Times New Roman"/>
              </w:rPr>
            </w:pPr>
            <w:r>
              <w:rPr>
                <w:rFonts w:eastAsia="Times New Roman"/>
                <w:color w:val="000000"/>
                <w:sz w:val="20"/>
                <w:szCs w:val="20"/>
              </w:rPr>
              <w:t>Net income including noncontrolling interests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3353C6" w14:textId="77777777" w:rsidR="00000000" w:rsidRDefault="00C1661D">
            <w:pPr>
              <w:spacing w:after="100"/>
              <w:jc w:val="right"/>
              <w:rPr>
                <w:rFonts w:eastAsia="Times New Roman"/>
              </w:rPr>
            </w:pPr>
            <w:r>
              <w:rPr>
                <w:rFonts w:eastAsia="Times New Roman"/>
                <w:color w:val="000000"/>
                <w:sz w:val="20"/>
                <w:szCs w:val="20"/>
              </w:rPr>
              <w:t>1,074 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21C85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0FA3A5"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05DC51" w14:textId="77777777" w:rsidR="00000000" w:rsidRDefault="00C1661D">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E1CE1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AB3652"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4FC0F4" w14:textId="77777777" w:rsidR="00000000" w:rsidRDefault="00C1661D">
            <w:pPr>
              <w:spacing w:after="100"/>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AA3052" w14:textId="77777777" w:rsidR="00000000" w:rsidRDefault="00C1661D">
            <w:pPr>
              <w:spacing w:after="100"/>
              <w:jc w:val="right"/>
              <w:rPr>
                <w:rFonts w:eastAsia="Times New Roman"/>
              </w:rPr>
            </w:pPr>
          </w:p>
        </w:tc>
      </w:tr>
      <w:tr w:rsidR="00000000" w14:paraId="5A3B863E" w14:textId="77777777">
        <w:trPr>
          <w:jc w:val="center"/>
        </w:trPr>
        <w:tc>
          <w:tcPr>
            <w:tcW w:w="0" w:type="auto"/>
            <w:gridSpan w:val="3"/>
            <w:shd w:val="clear" w:color="auto" w:fill="CCEEFF"/>
            <w:tcMar>
              <w:top w:w="30" w:type="dxa"/>
              <w:left w:w="20" w:type="dxa"/>
              <w:bottom w:w="30" w:type="dxa"/>
              <w:right w:w="20" w:type="dxa"/>
            </w:tcMar>
            <w:vAlign w:val="bottom"/>
            <w:hideMark/>
          </w:tcPr>
          <w:p w14:paraId="0D05F9EC" w14:textId="77777777" w:rsidR="00000000" w:rsidRDefault="00C1661D">
            <w:pPr>
              <w:spacing w:after="100"/>
              <w:rPr>
                <w:rFonts w:eastAsia="Times New Roman"/>
              </w:rPr>
            </w:pPr>
            <w:r>
              <w:rPr>
                <w:rFonts w:eastAsia="Times New Roman"/>
                <w:color w:val="000000"/>
                <w:sz w:val="20"/>
                <w:szCs w:val="20"/>
              </w:rPr>
              <w:t>Deduct net income attributable to noncontrolling interests</w:t>
            </w:r>
          </w:p>
        </w:tc>
        <w:tc>
          <w:tcPr>
            <w:tcW w:w="0" w:type="auto"/>
            <w:gridSpan w:val="2"/>
            <w:shd w:val="clear" w:color="auto" w:fill="CCEEFF"/>
            <w:tcMar>
              <w:top w:w="30" w:type="dxa"/>
              <w:left w:w="20" w:type="dxa"/>
              <w:bottom w:w="30" w:type="dxa"/>
              <w:right w:w="0" w:type="dxa"/>
            </w:tcMar>
            <w:vAlign w:val="bottom"/>
            <w:hideMark/>
          </w:tcPr>
          <w:p w14:paraId="395197D2" w14:textId="77777777" w:rsidR="00000000" w:rsidRDefault="00C1661D">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0A3A18E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D9FF9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2EAA4E"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0484E9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FB27E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35D1B5"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1BAE6F7" w14:textId="77777777" w:rsidR="00000000" w:rsidRDefault="00C1661D">
            <w:pPr>
              <w:spacing w:after="100"/>
              <w:jc w:val="right"/>
              <w:rPr>
                <w:rFonts w:eastAsia="Times New Roman"/>
              </w:rPr>
            </w:pPr>
          </w:p>
        </w:tc>
      </w:tr>
      <w:tr w:rsidR="00000000" w14:paraId="7E1DF42F" w14:textId="77777777">
        <w:trPr>
          <w:jc w:val="center"/>
        </w:trPr>
        <w:tc>
          <w:tcPr>
            <w:tcW w:w="0" w:type="auto"/>
            <w:gridSpan w:val="3"/>
            <w:shd w:val="clear" w:color="auto" w:fill="FFFFFF"/>
            <w:tcMar>
              <w:top w:w="30" w:type="dxa"/>
              <w:left w:w="20" w:type="dxa"/>
              <w:bottom w:w="30" w:type="dxa"/>
              <w:right w:w="20" w:type="dxa"/>
            </w:tcMar>
            <w:vAlign w:val="bottom"/>
            <w:hideMark/>
          </w:tcPr>
          <w:p w14:paraId="3899E3AC" w14:textId="77777777" w:rsidR="00000000" w:rsidRDefault="00C1661D">
            <w:pPr>
              <w:spacing w:after="100"/>
              <w:rPr>
                <w:rFonts w:eastAsia="Times New Roman"/>
              </w:rPr>
            </w:pPr>
            <w:r>
              <w:rPr>
                <w:rFonts w:eastAsia="Times New Roman"/>
                <w:color w:val="000000"/>
                <w:sz w:val="20"/>
                <w:szCs w:val="20"/>
              </w:rPr>
              <w:t>Net income attributable to UGI Corporation</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2C00D9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D5EDA4" w14:textId="77777777" w:rsidR="00000000" w:rsidRDefault="00C1661D">
            <w:pPr>
              <w:spacing w:after="100"/>
              <w:jc w:val="right"/>
              <w:rPr>
                <w:rFonts w:eastAsia="Times New Roman"/>
              </w:rPr>
            </w:pPr>
            <w:r>
              <w:rPr>
                <w:rFonts w:eastAsia="Times New Roman"/>
                <w:color w:val="000000"/>
                <w:sz w:val="20"/>
                <w:szCs w:val="20"/>
              </w:rPr>
              <w:t>1,073 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0A5E4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CEE4DD"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2ED8CA"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23F8370" w14:textId="77777777" w:rsidR="00000000" w:rsidRDefault="00C1661D">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A2598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512A7F"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8D8022F"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1D899D1" w14:textId="77777777" w:rsidR="00000000" w:rsidRDefault="00C1661D">
            <w:pPr>
              <w:spacing w:after="100"/>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91D17A" w14:textId="77777777" w:rsidR="00000000" w:rsidRDefault="00C1661D">
            <w:pPr>
              <w:spacing w:after="100"/>
              <w:jc w:val="right"/>
              <w:rPr>
                <w:rFonts w:eastAsia="Times New Roman"/>
              </w:rPr>
            </w:pPr>
          </w:p>
        </w:tc>
      </w:tr>
      <w:tr w:rsidR="00000000" w14:paraId="21566C44" w14:textId="77777777">
        <w:trPr>
          <w:jc w:val="center"/>
        </w:trPr>
        <w:tc>
          <w:tcPr>
            <w:tcW w:w="0" w:type="auto"/>
            <w:gridSpan w:val="3"/>
            <w:shd w:val="clear" w:color="auto" w:fill="CCEEFF"/>
            <w:tcMar>
              <w:top w:w="30" w:type="dxa"/>
              <w:left w:w="20" w:type="dxa"/>
              <w:bottom w:w="30" w:type="dxa"/>
              <w:right w:w="20" w:type="dxa"/>
            </w:tcMar>
            <w:vAlign w:val="bottom"/>
            <w:hideMark/>
          </w:tcPr>
          <w:p w14:paraId="5E2D981F" w14:textId="77777777" w:rsidR="00000000" w:rsidRDefault="00C1661D">
            <w:pPr>
              <w:spacing w:after="100"/>
              <w:rPr>
                <w:rFonts w:eastAsia="Times New Roman"/>
              </w:rPr>
            </w:pPr>
            <w:r>
              <w:rPr>
                <w:rFonts w:eastAsia="Times New Roman"/>
                <w:color w:val="000000"/>
                <w:sz w:val="20"/>
                <w:szCs w:val="20"/>
              </w:rPr>
              <w:t>Earnings per common share attributable to UGI Corporation stockholders: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631D094"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01B8626" w14:textId="77777777" w:rsidR="00000000" w:rsidRDefault="00C1661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AF6251E"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FFAA40D" w14:textId="77777777" w:rsidR="00000000" w:rsidRDefault="00C1661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D744A61" w14:textId="77777777" w:rsidR="00000000" w:rsidRDefault="00C1661D">
            <w:pPr>
              <w:spacing w:after="100"/>
              <w:rPr>
                <w:rFonts w:eastAsia="Times New Roman"/>
              </w:rPr>
            </w:pPr>
            <w:r>
              <w:rPr>
                <w:rFonts w:eastAsia="Times New Roman"/>
                <w:color w:val="000000"/>
                <w:sz w:val="20"/>
                <w:szCs w:val="20"/>
              </w:rPr>
              <w:t> </w:t>
            </w:r>
          </w:p>
        </w:tc>
      </w:tr>
      <w:tr w:rsidR="00000000" w14:paraId="332556B3" w14:textId="77777777">
        <w:trPr>
          <w:jc w:val="center"/>
        </w:trPr>
        <w:tc>
          <w:tcPr>
            <w:tcW w:w="0" w:type="auto"/>
            <w:gridSpan w:val="3"/>
            <w:shd w:val="clear" w:color="auto" w:fill="FFFFFF"/>
            <w:tcMar>
              <w:top w:w="30" w:type="dxa"/>
              <w:left w:w="155" w:type="dxa"/>
              <w:bottom w:w="30" w:type="dxa"/>
              <w:right w:w="20" w:type="dxa"/>
            </w:tcMar>
            <w:vAlign w:val="bottom"/>
            <w:hideMark/>
          </w:tcPr>
          <w:p w14:paraId="0B843E74" w14:textId="77777777" w:rsidR="00000000" w:rsidRDefault="00C1661D">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14:paraId="6B5CA22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BC4E2D1" w14:textId="77777777" w:rsidR="00000000" w:rsidRDefault="00C1661D">
            <w:pPr>
              <w:spacing w:after="100"/>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14:paraId="2B3E5E7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BBD733"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B3B87A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D11B57" w14:textId="77777777" w:rsidR="00000000" w:rsidRDefault="00C1661D">
            <w:pPr>
              <w:spacing w:after="100"/>
              <w:jc w:val="right"/>
              <w:rPr>
                <w:rFonts w:eastAsia="Times New Roman"/>
              </w:rPr>
            </w:pPr>
            <w:r>
              <w:rPr>
                <w:rFonts w:eastAsia="Times New Roman"/>
                <w:color w:val="000000"/>
                <w:sz w:val="20"/>
                <w:szCs w:val="20"/>
              </w:rPr>
              <w:t>7.02 </w:t>
            </w:r>
          </w:p>
        </w:tc>
        <w:tc>
          <w:tcPr>
            <w:tcW w:w="0" w:type="auto"/>
            <w:shd w:val="clear" w:color="auto" w:fill="FFFFFF"/>
            <w:tcMar>
              <w:top w:w="30" w:type="dxa"/>
              <w:left w:w="0" w:type="dxa"/>
              <w:bottom w:w="30" w:type="dxa"/>
              <w:right w:w="20" w:type="dxa"/>
            </w:tcMar>
            <w:vAlign w:val="bottom"/>
            <w:hideMark/>
          </w:tcPr>
          <w:p w14:paraId="0212BF7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48BA96"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2ACB5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5C8621D" w14:textId="77777777" w:rsidR="00000000" w:rsidRDefault="00C1661D">
            <w:pPr>
              <w:spacing w:after="100"/>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14:paraId="1368B646" w14:textId="77777777" w:rsidR="00000000" w:rsidRDefault="00C1661D">
            <w:pPr>
              <w:spacing w:after="100"/>
              <w:jc w:val="right"/>
              <w:rPr>
                <w:rFonts w:eastAsia="Times New Roman"/>
              </w:rPr>
            </w:pPr>
          </w:p>
        </w:tc>
      </w:tr>
      <w:tr w:rsidR="00000000" w14:paraId="193BF1F4" w14:textId="77777777">
        <w:trPr>
          <w:jc w:val="center"/>
        </w:trPr>
        <w:tc>
          <w:tcPr>
            <w:tcW w:w="0" w:type="auto"/>
            <w:gridSpan w:val="3"/>
            <w:shd w:val="clear" w:color="auto" w:fill="CCEEFF"/>
            <w:tcMar>
              <w:top w:w="30" w:type="dxa"/>
              <w:left w:w="155" w:type="dxa"/>
              <w:bottom w:w="30" w:type="dxa"/>
              <w:right w:w="20" w:type="dxa"/>
            </w:tcMar>
            <w:vAlign w:val="bottom"/>
            <w:hideMark/>
          </w:tcPr>
          <w:p w14:paraId="3A7BDE81" w14:textId="77777777" w:rsidR="00000000" w:rsidRDefault="00C1661D">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D13CDA9"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BC59B38" w14:textId="77777777" w:rsidR="00000000" w:rsidRDefault="00C1661D">
            <w:pPr>
              <w:spacing w:after="100"/>
              <w:jc w:val="right"/>
              <w:rPr>
                <w:rFonts w:eastAsia="Times New Roman"/>
              </w:rPr>
            </w:pPr>
            <w:r>
              <w:rPr>
                <w:rFonts w:eastAsia="Times New Roman"/>
                <w:color w:val="000000"/>
                <w:sz w:val="20"/>
                <w:szCs w:val="20"/>
              </w:rPr>
              <w:t>4.97 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6E0907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13900F"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98A4CF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9B77E71" w14:textId="77777777" w:rsidR="00000000" w:rsidRDefault="00C1661D">
            <w:pPr>
              <w:spacing w:after="100"/>
              <w:jc w:val="right"/>
              <w:rPr>
                <w:rFonts w:eastAsia="Times New Roman"/>
              </w:rPr>
            </w:pPr>
            <w:r>
              <w:rPr>
                <w:rFonts w:eastAsia="Times New Roman"/>
                <w:color w:val="000000"/>
                <w:sz w:val="20"/>
                <w:szCs w:val="20"/>
              </w:rPr>
              <w:t>6.92 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F7A7F4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2AD67"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F7308C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B24BB9E" w14:textId="77777777" w:rsidR="00000000" w:rsidRDefault="00C1661D">
            <w:pPr>
              <w:spacing w:after="100"/>
              <w:jc w:val="right"/>
              <w:rPr>
                <w:rFonts w:eastAsia="Times New Roman"/>
              </w:rPr>
            </w:pPr>
            <w:r>
              <w:rPr>
                <w:rFonts w:eastAsia="Times New Roman"/>
                <w:color w:val="000000"/>
                <w:sz w:val="20"/>
                <w:szCs w:val="20"/>
              </w:rPr>
              <w:t>2.54 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B3E89DF" w14:textId="77777777" w:rsidR="00000000" w:rsidRDefault="00C1661D">
            <w:pPr>
              <w:spacing w:after="100"/>
              <w:jc w:val="right"/>
              <w:rPr>
                <w:rFonts w:eastAsia="Times New Roman"/>
              </w:rPr>
            </w:pPr>
          </w:p>
        </w:tc>
      </w:tr>
      <w:tr w:rsidR="00000000" w14:paraId="415EC7D2" w14:textId="77777777">
        <w:trPr>
          <w:jc w:val="center"/>
        </w:trPr>
        <w:tc>
          <w:tcPr>
            <w:tcW w:w="0" w:type="auto"/>
            <w:gridSpan w:val="3"/>
            <w:shd w:val="clear" w:color="auto" w:fill="FFFFFF"/>
            <w:tcMar>
              <w:top w:w="30" w:type="dxa"/>
              <w:left w:w="20" w:type="dxa"/>
              <w:bottom w:w="30" w:type="dxa"/>
              <w:right w:w="20" w:type="dxa"/>
            </w:tcMar>
            <w:vAlign w:val="bottom"/>
            <w:hideMark/>
          </w:tcPr>
          <w:p w14:paraId="2BBDCB20" w14:textId="77777777" w:rsidR="00000000" w:rsidRDefault="00C1661D">
            <w:pPr>
              <w:spacing w:after="100"/>
              <w:rPr>
                <w:rFonts w:eastAsia="Times New Roman"/>
              </w:rPr>
            </w:pPr>
            <w:r>
              <w:rPr>
                <w:rFonts w:eastAsia="Times New Roman"/>
                <w:color w:val="000000"/>
                <w:sz w:val="20"/>
                <w:szCs w:val="20"/>
              </w:rPr>
              <w:t>Weighted-average common shares outstanding (thousands):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B2647EB"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6A1CC2C" w14:textId="77777777" w:rsidR="00000000" w:rsidRDefault="00C166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822B0F7"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5EBCCAC" w14:textId="77777777" w:rsidR="00000000" w:rsidRDefault="00C166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6217AD43" w14:textId="77777777" w:rsidR="00000000" w:rsidRDefault="00C1661D">
            <w:pPr>
              <w:spacing w:after="100"/>
              <w:rPr>
                <w:rFonts w:eastAsia="Times New Roman"/>
              </w:rPr>
            </w:pPr>
            <w:r>
              <w:rPr>
                <w:rFonts w:eastAsia="Times New Roman"/>
                <w:color w:val="000000"/>
                <w:sz w:val="20"/>
                <w:szCs w:val="20"/>
              </w:rPr>
              <w:t> </w:t>
            </w:r>
          </w:p>
        </w:tc>
      </w:tr>
      <w:tr w:rsidR="00000000" w14:paraId="58EC987F" w14:textId="77777777">
        <w:trPr>
          <w:jc w:val="center"/>
        </w:trPr>
        <w:tc>
          <w:tcPr>
            <w:tcW w:w="0" w:type="auto"/>
            <w:gridSpan w:val="3"/>
            <w:shd w:val="clear" w:color="auto" w:fill="CCEEFF"/>
            <w:tcMar>
              <w:top w:w="30" w:type="dxa"/>
              <w:left w:w="155" w:type="dxa"/>
              <w:bottom w:w="30" w:type="dxa"/>
              <w:right w:w="20" w:type="dxa"/>
            </w:tcMar>
            <w:vAlign w:val="bottom"/>
            <w:hideMark/>
          </w:tcPr>
          <w:p w14:paraId="6C248D04" w14:textId="77777777" w:rsidR="00000000" w:rsidRDefault="00C1661D">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14:paraId="5142C877" w14:textId="77777777" w:rsidR="00000000" w:rsidRDefault="00C1661D">
            <w:pPr>
              <w:spacing w:after="100"/>
              <w:jc w:val="right"/>
              <w:rPr>
                <w:rFonts w:eastAsia="Times New Roman"/>
              </w:rPr>
            </w:pPr>
            <w:r>
              <w:rPr>
                <w:rFonts w:eastAsia="Times New Roman"/>
                <w:color w:val="000000"/>
                <w:sz w:val="20"/>
                <w:szCs w:val="20"/>
              </w:rPr>
              <w:t>209,940 </w:t>
            </w:r>
          </w:p>
        </w:tc>
        <w:tc>
          <w:tcPr>
            <w:tcW w:w="0" w:type="auto"/>
            <w:shd w:val="clear" w:color="auto" w:fill="CCEEFF"/>
            <w:tcMar>
              <w:top w:w="30" w:type="dxa"/>
              <w:left w:w="0" w:type="dxa"/>
              <w:bottom w:w="30" w:type="dxa"/>
              <w:right w:w="20" w:type="dxa"/>
            </w:tcMar>
            <w:vAlign w:val="bottom"/>
            <w:hideMark/>
          </w:tcPr>
          <w:p w14:paraId="0A115A5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4998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426732" w14:textId="77777777" w:rsidR="00000000" w:rsidRDefault="00C1661D">
            <w:pPr>
              <w:spacing w:after="100"/>
              <w:jc w:val="right"/>
              <w:rPr>
                <w:rFonts w:eastAsia="Times New Roman"/>
              </w:rPr>
            </w:pPr>
            <w:r>
              <w:rPr>
                <w:rFonts w:eastAsia="Times New Roman"/>
                <w:color w:val="000000"/>
                <w:sz w:val="20"/>
                <w:szCs w:val="20"/>
              </w:rPr>
              <w:t>209,063 </w:t>
            </w:r>
          </w:p>
        </w:tc>
        <w:tc>
          <w:tcPr>
            <w:tcW w:w="0" w:type="auto"/>
            <w:shd w:val="clear" w:color="auto" w:fill="CCEEFF"/>
            <w:tcMar>
              <w:top w:w="30" w:type="dxa"/>
              <w:left w:w="0" w:type="dxa"/>
              <w:bottom w:w="30" w:type="dxa"/>
              <w:right w:w="20" w:type="dxa"/>
            </w:tcMar>
            <w:vAlign w:val="bottom"/>
            <w:hideMark/>
          </w:tcPr>
          <w:p w14:paraId="417DC7E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69A6A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2A488E" w14:textId="77777777" w:rsidR="00000000" w:rsidRDefault="00C1661D">
            <w:pPr>
              <w:spacing w:after="100"/>
              <w:jc w:val="right"/>
              <w:rPr>
                <w:rFonts w:eastAsia="Times New Roman"/>
              </w:rPr>
            </w:pPr>
            <w:r>
              <w:rPr>
                <w:rFonts w:eastAsia="Times New Roman"/>
                <w:color w:val="000000"/>
                <w:sz w:val="20"/>
                <w:szCs w:val="20"/>
              </w:rPr>
              <w:t>208,928 </w:t>
            </w:r>
          </w:p>
        </w:tc>
        <w:tc>
          <w:tcPr>
            <w:tcW w:w="0" w:type="auto"/>
            <w:shd w:val="clear" w:color="auto" w:fill="CCEEFF"/>
            <w:tcMar>
              <w:top w:w="30" w:type="dxa"/>
              <w:left w:w="0" w:type="dxa"/>
              <w:bottom w:w="30" w:type="dxa"/>
              <w:right w:w="20" w:type="dxa"/>
            </w:tcMar>
            <w:vAlign w:val="bottom"/>
            <w:hideMark/>
          </w:tcPr>
          <w:p w14:paraId="7A2E2FCC" w14:textId="77777777" w:rsidR="00000000" w:rsidRDefault="00C1661D">
            <w:pPr>
              <w:spacing w:after="100"/>
              <w:jc w:val="right"/>
              <w:rPr>
                <w:rFonts w:eastAsia="Times New Roman"/>
              </w:rPr>
            </w:pPr>
          </w:p>
        </w:tc>
      </w:tr>
      <w:tr w:rsidR="00000000" w14:paraId="1ED1A011" w14:textId="77777777">
        <w:trPr>
          <w:jc w:val="center"/>
        </w:trPr>
        <w:tc>
          <w:tcPr>
            <w:tcW w:w="0" w:type="auto"/>
            <w:gridSpan w:val="3"/>
            <w:shd w:val="clear" w:color="auto" w:fill="FFFFFF"/>
            <w:tcMar>
              <w:top w:w="30" w:type="dxa"/>
              <w:left w:w="155" w:type="dxa"/>
              <w:bottom w:w="30" w:type="dxa"/>
              <w:right w:w="20" w:type="dxa"/>
            </w:tcMar>
            <w:vAlign w:val="bottom"/>
            <w:hideMark/>
          </w:tcPr>
          <w:p w14:paraId="07A335DA" w14:textId="77777777" w:rsidR="00000000" w:rsidRDefault="00C1661D">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1B55AD63" w14:textId="77777777" w:rsidR="00000000" w:rsidRDefault="00C1661D">
            <w:pPr>
              <w:spacing w:after="100"/>
              <w:jc w:val="right"/>
              <w:rPr>
                <w:rFonts w:eastAsia="Times New Roman"/>
              </w:rPr>
            </w:pPr>
            <w:r>
              <w:rPr>
                <w:rFonts w:eastAsia="Times New Roman"/>
                <w:color w:val="000000"/>
                <w:sz w:val="20"/>
                <w:szCs w:val="20"/>
              </w:rPr>
              <w:t>215,821 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40E9637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9A98E9" w14:textId="77777777" w:rsidR="00000000" w:rsidRDefault="00C1661D">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49E90F11" w14:textId="77777777" w:rsidR="00000000" w:rsidRDefault="00C1661D">
            <w:pPr>
              <w:spacing w:after="100"/>
              <w:jc w:val="right"/>
              <w:rPr>
                <w:rFonts w:eastAsia="Times New Roman"/>
              </w:rPr>
            </w:pPr>
            <w:r>
              <w:rPr>
                <w:rFonts w:eastAsia="Times New Roman"/>
                <w:color w:val="000000"/>
                <w:sz w:val="20"/>
                <w:szCs w:val="20"/>
              </w:rPr>
              <w:t>212,126 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0CF3D2A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4EB1F" w14:textId="77777777" w:rsidR="00000000" w:rsidRDefault="00C1661D">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691CBC4E" w14:textId="77777777" w:rsidR="00000000" w:rsidRDefault="00C1661D">
            <w:pPr>
              <w:spacing w:after="100"/>
              <w:jc w:val="right"/>
              <w:rPr>
                <w:rFonts w:eastAsia="Times New Roman"/>
              </w:rPr>
            </w:pPr>
            <w:r>
              <w:rPr>
                <w:rFonts w:eastAsia="Times New Roman"/>
                <w:color w:val="000000"/>
                <w:sz w:val="20"/>
                <w:szCs w:val="20"/>
              </w:rPr>
              <w:t>209,869 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0E70F773" w14:textId="77777777" w:rsidR="00000000" w:rsidRDefault="00C1661D">
            <w:pPr>
              <w:spacing w:after="100"/>
              <w:jc w:val="right"/>
              <w:rPr>
                <w:rFonts w:eastAsia="Times New Roman"/>
              </w:rPr>
            </w:pPr>
          </w:p>
        </w:tc>
      </w:tr>
      <w:tr w:rsidR="00000000" w14:paraId="447A2D91" w14:textId="77777777">
        <w:trPr>
          <w:jc w:val="center"/>
        </w:trPr>
        <w:tc>
          <w:tcPr>
            <w:tcW w:w="0" w:type="auto"/>
            <w:gridSpan w:val="3"/>
            <w:vAlign w:val="center"/>
            <w:hideMark/>
          </w:tcPr>
          <w:p w14:paraId="6AF662DF" w14:textId="77777777" w:rsidR="00000000" w:rsidRDefault="00C1661D">
            <w:pPr>
              <w:spacing w:after="100"/>
              <w:jc w:val="right"/>
              <w:rPr>
                <w:rFonts w:eastAsia="Times New Roman"/>
                <w:sz w:val="20"/>
                <w:szCs w:val="20"/>
              </w:rPr>
            </w:pPr>
          </w:p>
        </w:tc>
        <w:tc>
          <w:tcPr>
            <w:tcW w:w="0" w:type="auto"/>
            <w:gridSpan w:val="3"/>
            <w:vAlign w:val="center"/>
            <w:hideMark/>
          </w:tcPr>
          <w:p w14:paraId="093BF5C8" w14:textId="77777777" w:rsidR="00000000" w:rsidRDefault="00C1661D">
            <w:pPr>
              <w:spacing w:after="100"/>
              <w:rPr>
                <w:rFonts w:eastAsia="Times New Roman"/>
                <w:sz w:val="20"/>
                <w:szCs w:val="20"/>
              </w:rPr>
            </w:pPr>
          </w:p>
        </w:tc>
        <w:tc>
          <w:tcPr>
            <w:tcW w:w="0" w:type="auto"/>
            <w:gridSpan w:val="3"/>
            <w:vAlign w:val="center"/>
            <w:hideMark/>
          </w:tcPr>
          <w:p w14:paraId="5C50BB5E" w14:textId="77777777" w:rsidR="00000000" w:rsidRDefault="00C1661D">
            <w:pPr>
              <w:spacing w:after="100"/>
              <w:rPr>
                <w:rFonts w:eastAsia="Times New Roman"/>
                <w:sz w:val="20"/>
                <w:szCs w:val="20"/>
              </w:rPr>
            </w:pPr>
          </w:p>
        </w:tc>
        <w:tc>
          <w:tcPr>
            <w:tcW w:w="0" w:type="auto"/>
            <w:gridSpan w:val="3"/>
            <w:vAlign w:val="center"/>
            <w:hideMark/>
          </w:tcPr>
          <w:p w14:paraId="2030EA74" w14:textId="77777777" w:rsidR="00000000" w:rsidRDefault="00C1661D">
            <w:pPr>
              <w:spacing w:after="100"/>
              <w:rPr>
                <w:rFonts w:eastAsia="Times New Roman"/>
                <w:sz w:val="20"/>
                <w:szCs w:val="20"/>
              </w:rPr>
            </w:pPr>
          </w:p>
        </w:tc>
        <w:tc>
          <w:tcPr>
            <w:tcW w:w="0" w:type="auto"/>
            <w:gridSpan w:val="3"/>
            <w:vAlign w:val="center"/>
            <w:hideMark/>
          </w:tcPr>
          <w:p w14:paraId="0F9F2DCC" w14:textId="77777777" w:rsidR="00000000" w:rsidRDefault="00C1661D">
            <w:pPr>
              <w:spacing w:after="100"/>
              <w:rPr>
                <w:rFonts w:eastAsia="Times New Roman"/>
                <w:sz w:val="20"/>
                <w:szCs w:val="20"/>
              </w:rPr>
            </w:pPr>
          </w:p>
        </w:tc>
        <w:tc>
          <w:tcPr>
            <w:tcW w:w="0" w:type="auto"/>
            <w:gridSpan w:val="3"/>
            <w:vAlign w:val="center"/>
            <w:hideMark/>
          </w:tcPr>
          <w:p w14:paraId="68ACB3CA" w14:textId="77777777" w:rsidR="00000000" w:rsidRDefault="00C1661D">
            <w:pPr>
              <w:spacing w:after="100"/>
              <w:rPr>
                <w:rFonts w:eastAsia="Times New Roman"/>
                <w:sz w:val="20"/>
                <w:szCs w:val="20"/>
              </w:rPr>
            </w:pPr>
          </w:p>
        </w:tc>
      </w:tr>
    </w:tbl>
    <w:p w14:paraId="1E32DDB5" w14:textId="77777777" w:rsidR="00000000" w:rsidRDefault="00C1661D">
      <w:pPr>
        <w:jc w:val="both"/>
        <w:rPr>
          <w:rFonts w:eastAsia="Times New Roman"/>
        </w:rPr>
      </w:pPr>
    </w:p>
    <w:p w14:paraId="20702DEA" w14:textId="77777777" w:rsidR="00000000" w:rsidRDefault="00C1661D">
      <w:pPr>
        <w:jc w:val="both"/>
        <w:rPr>
          <w:rFonts w:eastAsia="Times New Roman"/>
        </w:rPr>
      </w:pPr>
      <w:r>
        <w:rPr>
          <w:rFonts w:eastAsia="Times New Roman"/>
          <w:color w:val="000000"/>
          <w:sz w:val="20"/>
          <w:szCs w:val="20"/>
        </w:rPr>
        <w:t>See accompanying Notes to Consolidated Financial Statements.</w:t>
      </w:r>
    </w:p>
    <w:p w14:paraId="0A9E3697" w14:textId="77777777" w:rsidR="00000000" w:rsidRDefault="00C1661D">
      <w:pPr>
        <w:jc w:val="both"/>
        <w:rPr>
          <w:rFonts w:eastAsia="Times New Roman"/>
        </w:rPr>
      </w:pPr>
    </w:p>
    <w:p w14:paraId="72A0E464" w14:textId="77777777" w:rsidR="00000000" w:rsidRDefault="00C1661D">
      <w:pPr>
        <w:jc w:val="center"/>
        <w:divId w:val="2111315375"/>
        <w:rPr>
          <w:rFonts w:eastAsia="Times New Roman"/>
        </w:rPr>
      </w:pPr>
      <w:r>
        <w:rPr>
          <w:rFonts w:eastAsia="Times New Roman"/>
          <w:color w:val="000000"/>
          <w:sz w:val="20"/>
          <w:szCs w:val="20"/>
        </w:rPr>
        <w:t>F-7</w:t>
      </w:r>
    </w:p>
    <w:p w14:paraId="2166D09C" w14:textId="77777777" w:rsidR="00000000" w:rsidRDefault="00C1661D">
      <w:pPr>
        <w:rPr>
          <w:rFonts w:eastAsia="Times New Roman"/>
        </w:rPr>
      </w:pPr>
      <w:r>
        <w:rPr>
          <w:rFonts w:eastAsia="Times New Roman"/>
        </w:rPr>
        <w:pict w14:anchorId="40DD3F41">
          <v:rect id="_x0000_i1120" style="width:0;height:1.5pt" o:hralign="center" o:hrstd="t" o:hr="t" fillcolor="#a0a0a0" stroked="f"/>
        </w:pict>
      </w:r>
    </w:p>
    <w:p w14:paraId="005DA2F4" w14:textId="77777777" w:rsidR="00000000" w:rsidRDefault="00C1661D">
      <w:pPr>
        <w:divId w:val="2046102515"/>
        <w:rPr>
          <w:rFonts w:eastAsia="Times New Roman"/>
        </w:rPr>
      </w:pPr>
      <w:hyperlink w:anchor="i3850c3c6c0104e42b9951aac2f16098a_7" w:history="1">
        <w:r>
          <w:rPr>
            <w:rStyle w:val="a3"/>
            <w:rFonts w:eastAsia="Times New Roman"/>
            <w:b/>
            <w:bCs/>
            <w:sz w:val="20"/>
            <w:szCs w:val="20"/>
          </w:rPr>
          <w:t>Table of Contents</w:t>
        </w:r>
      </w:hyperlink>
    </w:p>
    <w:p w14:paraId="2341198C" w14:textId="77777777" w:rsidR="00000000" w:rsidRDefault="00C1661D">
      <w:pPr>
        <w:jc w:val="center"/>
        <w:rPr>
          <w:rFonts w:eastAsia="Times New Roman"/>
        </w:rPr>
      </w:pPr>
      <w:r>
        <w:rPr>
          <w:rFonts w:eastAsia="Times New Roman"/>
          <w:color w:val="000000"/>
          <w:sz w:val="20"/>
          <w:szCs w:val="20"/>
        </w:rPr>
        <w:t>UGI CORPORATION AND SUBSIDIARIES</w:t>
      </w:r>
    </w:p>
    <w:p w14:paraId="137DDE77" w14:textId="77777777" w:rsidR="00000000" w:rsidRDefault="00C1661D">
      <w:pPr>
        <w:ind w:firstLine="45"/>
        <w:jc w:val="center"/>
        <w:rPr>
          <w:rFonts w:eastAsia="Times New Roman"/>
        </w:rPr>
      </w:pPr>
      <w:r>
        <w:rPr>
          <w:rFonts w:eastAsia="Times New Roman"/>
          <w:color w:val="000000"/>
          <w:sz w:val="20"/>
          <w:szCs w:val="20"/>
        </w:rPr>
        <w:t>CONSOLIDATED STATEMENTS OF COMPREHENSIVE INCOME</w:t>
      </w:r>
    </w:p>
    <w:p w14:paraId="5ECC2B7C" w14:textId="77777777" w:rsidR="00000000" w:rsidRDefault="00C1661D">
      <w:pPr>
        <w:jc w:val="center"/>
        <w:rPr>
          <w:rFonts w:eastAsia="Times New Roman"/>
        </w:rPr>
      </w:pPr>
      <w:r>
        <w:rPr>
          <w:rFonts w:eastAsia="Times New Roman"/>
          <w:color w:val="000000"/>
          <w:sz w:val="20"/>
          <w:szCs w:val="20"/>
        </w:rPr>
        <w:t>(Millions of dollars)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863"/>
        <w:gridCol w:w="37"/>
        <w:gridCol w:w="120"/>
        <w:gridCol w:w="916"/>
        <w:gridCol w:w="36"/>
        <w:gridCol w:w="36"/>
        <w:gridCol w:w="36"/>
        <w:gridCol w:w="36"/>
        <w:gridCol w:w="120"/>
        <w:gridCol w:w="877"/>
        <w:gridCol w:w="36"/>
        <w:gridCol w:w="36"/>
        <w:gridCol w:w="36"/>
        <w:gridCol w:w="36"/>
        <w:gridCol w:w="120"/>
        <w:gridCol w:w="878"/>
        <w:gridCol w:w="36"/>
      </w:tblGrid>
      <w:tr w:rsidR="00000000" w14:paraId="47F41BA9" w14:textId="77777777">
        <w:trPr>
          <w:jc w:val="center"/>
        </w:trPr>
        <w:tc>
          <w:tcPr>
            <w:tcW w:w="50" w:type="pct"/>
            <w:vAlign w:val="center"/>
            <w:hideMark/>
          </w:tcPr>
          <w:p w14:paraId="59AD0CFC" w14:textId="77777777" w:rsidR="00000000" w:rsidRDefault="00C1661D">
            <w:pPr>
              <w:jc w:val="center"/>
              <w:rPr>
                <w:rFonts w:eastAsia="Times New Roman"/>
              </w:rPr>
            </w:pPr>
          </w:p>
        </w:tc>
        <w:tc>
          <w:tcPr>
            <w:tcW w:w="2961" w:type="pct"/>
            <w:vAlign w:val="center"/>
            <w:hideMark/>
          </w:tcPr>
          <w:p w14:paraId="5ED810B0" w14:textId="77777777" w:rsidR="00000000" w:rsidRDefault="00C1661D">
            <w:pPr>
              <w:spacing w:after="100"/>
              <w:rPr>
                <w:rFonts w:eastAsia="Times New Roman"/>
                <w:sz w:val="20"/>
                <w:szCs w:val="20"/>
              </w:rPr>
            </w:pPr>
          </w:p>
        </w:tc>
        <w:tc>
          <w:tcPr>
            <w:tcW w:w="5" w:type="pct"/>
            <w:vAlign w:val="center"/>
            <w:hideMark/>
          </w:tcPr>
          <w:p w14:paraId="2205146B" w14:textId="77777777" w:rsidR="00000000" w:rsidRDefault="00C1661D">
            <w:pPr>
              <w:spacing w:after="100"/>
              <w:rPr>
                <w:rFonts w:eastAsia="Times New Roman"/>
                <w:sz w:val="20"/>
                <w:szCs w:val="20"/>
              </w:rPr>
            </w:pPr>
          </w:p>
        </w:tc>
        <w:tc>
          <w:tcPr>
            <w:tcW w:w="50" w:type="pct"/>
            <w:vAlign w:val="center"/>
            <w:hideMark/>
          </w:tcPr>
          <w:p w14:paraId="37ED169A" w14:textId="77777777" w:rsidR="00000000" w:rsidRDefault="00C1661D">
            <w:pPr>
              <w:spacing w:after="100"/>
              <w:rPr>
                <w:rFonts w:eastAsia="Times New Roman"/>
                <w:sz w:val="20"/>
                <w:szCs w:val="20"/>
              </w:rPr>
            </w:pPr>
          </w:p>
        </w:tc>
        <w:tc>
          <w:tcPr>
            <w:tcW w:w="581" w:type="pct"/>
            <w:vAlign w:val="center"/>
            <w:hideMark/>
          </w:tcPr>
          <w:p w14:paraId="1D88E199" w14:textId="77777777" w:rsidR="00000000" w:rsidRDefault="00C1661D">
            <w:pPr>
              <w:spacing w:after="100"/>
              <w:rPr>
                <w:rFonts w:eastAsia="Times New Roman"/>
                <w:sz w:val="20"/>
                <w:szCs w:val="20"/>
              </w:rPr>
            </w:pPr>
          </w:p>
        </w:tc>
        <w:tc>
          <w:tcPr>
            <w:tcW w:w="5" w:type="pct"/>
            <w:vAlign w:val="center"/>
            <w:hideMark/>
          </w:tcPr>
          <w:p w14:paraId="27436148" w14:textId="77777777" w:rsidR="00000000" w:rsidRDefault="00C1661D">
            <w:pPr>
              <w:spacing w:after="100"/>
              <w:rPr>
                <w:rFonts w:eastAsia="Times New Roman"/>
                <w:sz w:val="20"/>
                <w:szCs w:val="20"/>
              </w:rPr>
            </w:pPr>
          </w:p>
        </w:tc>
        <w:tc>
          <w:tcPr>
            <w:tcW w:w="5" w:type="pct"/>
            <w:vAlign w:val="center"/>
            <w:hideMark/>
          </w:tcPr>
          <w:p w14:paraId="5EF7D18F" w14:textId="77777777" w:rsidR="00000000" w:rsidRDefault="00C1661D">
            <w:pPr>
              <w:spacing w:after="100"/>
              <w:rPr>
                <w:rFonts w:eastAsia="Times New Roman"/>
                <w:sz w:val="20"/>
                <w:szCs w:val="20"/>
              </w:rPr>
            </w:pPr>
          </w:p>
        </w:tc>
        <w:tc>
          <w:tcPr>
            <w:tcW w:w="26" w:type="pct"/>
            <w:vAlign w:val="center"/>
            <w:hideMark/>
          </w:tcPr>
          <w:p w14:paraId="642F42F3" w14:textId="77777777" w:rsidR="00000000" w:rsidRDefault="00C1661D">
            <w:pPr>
              <w:spacing w:after="100"/>
              <w:rPr>
                <w:rFonts w:eastAsia="Times New Roman"/>
                <w:sz w:val="20"/>
                <w:szCs w:val="20"/>
              </w:rPr>
            </w:pPr>
          </w:p>
        </w:tc>
        <w:tc>
          <w:tcPr>
            <w:tcW w:w="5" w:type="pct"/>
            <w:vAlign w:val="center"/>
            <w:hideMark/>
          </w:tcPr>
          <w:p w14:paraId="0428429E" w14:textId="77777777" w:rsidR="00000000" w:rsidRDefault="00C1661D">
            <w:pPr>
              <w:spacing w:after="100"/>
              <w:rPr>
                <w:rFonts w:eastAsia="Times New Roman"/>
                <w:sz w:val="20"/>
                <w:szCs w:val="20"/>
              </w:rPr>
            </w:pPr>
          </w:p>
        </w:tc>
        <w:tc>
          <w:tcPr>
            <w:tcW w:w="50" w:type="pct"/>
            <w:vAlign w:val="center"/>
            <w:hideMark/>
          </w:tcPr>
          <w:p w14:paraId="17904ED0" w14:textId="77777777" w:rsidR="00000000" w:rsidRDefault="00C1661D">
            <w:pPr>
              <w:spacing w:after="100"/>
              <w:rPr>
                <w:rFonts w:eastAsia="Times New Roman"/>
                <w:sz w:val="20"/>
                <w:szCs w:val="20"/>
              </w:rPr>
            </w:pPr>
          </w:p>
        </w:tc>
        <w:tc>
          <w:tcPr>
            <w:tcW w:w="581" w:type="pct"/>
            <w:vAlign w:val="center"/>
            <w:hideMark/>
          </w:tcPr>
          <w:p w14:paraId="162C49DF" w14:textId="77777777" w:rsidR="00000000" w:rsidRDefault="00C1661D">
            <w:pPr>
              <w:spacing w:after="100"/>
              <w:rPr>
                <w:rFonts w:eastAsia="Times New Roman"/>
                <w:sz w:val="20"/>
                <w:szCs w:val="20"/>
              </w:rPr>
            </w:pPr>
          </w:p>
        </w:tc>
        <w:tc>
          <w:tcPr>
            <w:tcW w:w="5" w:type="pct"/>
            <w:vAlign w:val="center"/>
            <w:hideMark/>
          </w:tcPr>
          <w:p w14:paraId="3C1AAE5A" w14:textId="77777777" w:rsidR="00000000" w:rsidRDefault="00C1661D">
            <w:pPr>
              <w:spacing w:after="100"/>
              <w:rPr>
                <w:rFonts w:eastAsia="Times New Roman"/>
                <w:sz w:val="20"/>
                <w:szCs w:val="20"/>
              </w:rPr>
            </w:pPr>
          </w:p>
        </w:tc>
        <w:tc>
          <w:tcPr>
            <w:tcW w:w="5" w:type="pct"/>
            <w:vAlign w:val="center"/>
            <w:hideMark/>
          </w:tcPr>
          <w:p w14:paraId="669F9154" w14:textId="77777777" w:rsidR="00000000" w:rsidRDefault="00C1661D">
            <w:pPr>
              <w:spacing w:after="100"/>
              <w:rPr>
                <w:rFonts w:eastAsia="Times New Roman"/>
                <w:sz w:val="20"/>
                <w:szCs w:val="20"/>
              </w:rPr>
            </w:pPr>
          </w:p>
        </w:tc>
        <w:tc>
          <w:tcPr>
            <w:tcW w:w="26" w:type="pct"/>
            <w:vAlign w:val="center"/>
            <w:hideMark/>
          </w:tcPr>
          <w:p w14:paraId="12972D2B" w14:textId="77777777" w:rsidR="00000000" w:rsidRDefault="00C1661D">
            <w:pPr>
              <w:spacing w:after="100"/>
              <w:rPr>
                <w:rFonts w:eastAsia="Times New Roman"/>
                <w:sz w:val="20"/>
                <w:szCs w:val="20"/>
              </w:rPr>
            </w:pPr>
          </w:p>
        </w:tc>
        <w:tc>
          <w:tcPr>
            <w:tcW w:w="5" w:type="pct"/>
            <w:vAlign w:val="center"/>
            <w:hideMark/>
          </w:tcPr>
          <w:p w14:paraId="4CAC8271" w14:textId="77777777" w:rsidR="00000000" w:rsidRDefault="00C1661D">
            <w:pPr>
              <w:spacing w:after="100"/>
              <w:rPr>
                <w:rFonts w:eastAsia="Times New Roman"/>
                <w:sz w:val="20"/>
                <w:szCs w:val="20"/>
              </w:rPr>
            </w:pPr>
          </w:p>
        </w:tc>
        <w:tc>
          <w:tcPr>
            <w:tcW w:w="50" w:type="pct"/>
            <w:vAlign w:val="center"/>
            <w:hideMark/>
          </w:tcPr>
          <w:p w14:paraId="11150F42" w14:textId="77777777" w:rsidR="00000000" w:rsidRDefault="00C1661D">
            <w:pPr>
              <w:spacing w:after="100"/>
              <w:rPr>
                <w:rFonts w:eastAsia="Times New Roman"/>
                <w:sz w:val="20"/>
                <w:szCs w:val="20"/>
              </w:rPr>
            </w:pPr>
          </w:p>
        </w:tc>
        <w:tc>
          <w:tcPr>
            <w:tcW w:w="582" w:type="pct"/>
            <w:vAlign w:val="center"/>
            <w:hideMark/>
          </w:tcPr>
          <w:p w14:paraId="6FF70129" w14:textId="77777777" w:rsidR="00000000" w:rsidRDefault="00C1661D">
            <w:pPr>
              <w:spacing w:after="100"/>
              <w:rPr>
                <w:rFonts w:eastAsia="Times New Roman"/>
                <w:sz w:val="20"/>
                <w:szCs w:val="20"/>
              </w:rPr>
            </w:pPr>
          </w:p>
        </w:tc>
        <w:tc>
          <w:tcPr>
            <w:tcW w:w="5" w:type="pct"/>
            <w:vAlign w:val="center"/>
            <w:hideMark/>
          </w:tcPr>
          <w:p w14:paraId="71F465D9" w14:textId="77777777" w:rsidR="00000000" w:rsidRDefault="00C1661D">
            <w:pPr>
              <w:spacing w:after="100"/>
              <w:rPr>
                <w:rFonts w:eastAsia="Times New Roman"/>
                <w:sz w:val="20"/>
                <w:szCs w:val="20"/>
              </w:rPr>
            </w:pPr>
          </w:p>
        </w:tc>
      </w:tr>
      <w:tr w:rsidR="00000000" w14:paraId="62EC7471" w14:textId="77777777">
        <w:trPr>
          <w:jc w:val="center"/>
        </w:trPr>
        <w:tc>
          <w:tcPr>
            <w:tcW w:w="0" w:type="auto"/>
            <w:gridSpan w:val="3"/>
            <w:tcMar>
              <w:top w:w="30" w:type="dxa"/>
              <w:left w:w="20" w:type="dxa"/>
              <w:bottom w:w="30" w:type="dxa"/>
              <w:right w:w="20" w:type="dxa"/>
            </w:tcMar>
            <w:vAlign w:val="bottom"/>
            <w:hideMark/>
          </w:tcPr>
          <w:p w14:paraId="7AD5F689" w14:textId="77777777" w:rsidR="00000000" w:rsidRDefault="00C1661D">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7D5FE54B" w14:textId="77777777" w:rsidR="00000000" w:rsidRDefault="00C1661D">
            <w:pPr>
              <w:spacing w:after="100"/>
              <w:jc w:val="center"/>
              <w:rPr>
                <w:rFonts w:eastAsia="Times New Roman"/>
              </w:rPr>
            </w:pPr>
            <w:r>
              <w:rPr>
                <w:rFonts w:eastAsia="Times New Roman"/>
                <w:color w:val="000000"/>
                <w:sz w:val="20"/>
                <w:szCs w:val="20"/>
              </w:rPr>
              <w:t>Year Ended September 30,</w:t>
            </w:r>
          </w:p>
        </w:tc>
      </w:tr>
      <w:tr w:rsidR="00000000" w14:paraId="01E583FF" w14:textId="77777777">
        <w:trPr>
          <w:jc w:val="center"/>
        </w:trPr>
        <w:tc>
          <w:tcPr>
            <w:tcW w:w="0" w:type="auto"/>
            <w:gridSpan w:val="3"/>
            <w:tcMar>
              <w:top w:w="30" w:type="dxa"/>
              <w:left w:w="20" w:type="dxa"/>
              <w:bottom w:w="30" w:type="dxa"/>
              <w:right w:w="20" w:type="dxa"/>
            </w:tcMar>
            <w:vAlign w:val="bottom"/>
            <w:hideMark/>
          </w:tcPr>
          <w:p w14:paraId="243BF92E"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BD3234B"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5DFDB5F5"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3A5D4E"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7F1A695A"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4890BD" w14:textId="77777777" w:rsidR="00000000" w:rsidRDefault="00C1661D">
            <w:pPr>
              <w:spacing w:after="100"/>
              <w:jc w:val="center"/>
              <w:rPr>
                <w:rFonts w:eastAsia="Times New Roman"/>
              </w:rPr>
            </w:pPr>
            <w:r>
              <w:rPr>
                <w:rFonts w:eastAsia="Times New Roman"/>
                <w:color w:val="000000"/>
                <w:sz w:val="20"/>
                <w:szCs w:val="20"/>
              </w:rPr>
              <w:t>2020</w:t>
            </w:r>
          </w:p>
        </w:tc>
      </w:tr>
      <w:tr w:rsidR="00000000" w14:paraId="321E8823" w14:textId="77777777">
        <w:trPr>
          <w:jc w:val="center"/>
        </w:trPr>
        <w:tc>
          <w:tcPr>
            <w:tcW w:w="0" w:type="auto"/>
            <w:gridSpan w:val="3"/>
            <w:shd w:val="clear" w:color="auto" w:fill="CCEEFF"/>
            <w:tcMar>
              <w:top w:w="30" w:type="dxa"/>
              <w:left w:w="20" w:type="dxa"/>
              <w:bottom w:w="30" w:type="dxa"/>
              <w:right w:w="20" w:type="dxa"/>
            </w:tcMar>
            <w:vAlign w:val="bottom"/>
            <w:hideMark/>
          </w:tcPr>
          <w:p w14:paraId="5D057F3D" w14:textId="77777777" w:rsidR="00000000" w:rsidRDefault="00C1661D">
            <w:pPr>
              <w:spacing w:after="100"/>
              <w:rPr>
                <w:rFonts w:eastAsia="Times New Roman"/>
              </w:rPr>
            </w:pPr>
            <w:r>
              <w:rPr>
                <w:rFonts w:eastAsia="Times New Roman"/>
                <w:color w:val="000000"/>
                <w:sz w:val="20"/>
                <w:szCs w:val="20"/>
              </w:rPr>
              <w:t>Net income including noncontrolling interests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EF2A7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3C1562" w14:textId="77777777" w:rsidR="00000000" w:rsidRDefault="00C1661D">
            <w:pPr>
              <w:spacing w:after="100"/>
              <w:jc w:val="right"/>
              <w:rPr>
                <w:rFonts w:eastAsia="Times New Roman"/>
              </w:rPr>
            </w:pPr>
            <w:r>
              <w:rPr>
                <w:rFonts w:eastAsia="Times New Roman"/>
                <w:color w:val="000000"/>
                <w:sz w:val="20"/>
                <w:szCs w:val="20"/>
              </w:rPr>
              <w:t>1,074 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0D0C6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15695"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836E85"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33965E" w14:textId="77777777" w:rsidR="00000000" w:rsidRDefault="00C1661D">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1C7AE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A2BE57"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6CD6B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75EC6B" w14:textId="77777777" w:rsidR="00000000" w:rsidRDefault="00C1661D">
            <w:pPr>
              <w:spacing w:after="100"/>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FB98B7" w14:textId="77777777" w:rsidR="00000000" w:rsidRDefault="00C1661D">
            <w:pPr>
              <w:spacing w:after="100"/>
              <w:jc w:val="right"/>
              <w:rPr>
                <w:rFonts w:eastAsia="Times New Roman"/>
              </w:rPr>
            </w:pPr>
          </w:p>
        </w:tc>
      </w:tr>
      <w:tr w:rsidR="00000000" w14:paraId="06183C6F" w14:textId="77777777">
        <w:trPr>
          <w:jc w:val="center"/>
        </w:trPr>
        <w:tc>
          <w:tcPr>
            <w:tcW w:w="0" w:type="auto"/>
            <w:gridSpan w:val="3"/>
            <w:shd w:val="clear" w:color="auto" w:fill="FFFFFF"/>
            <w:tcMar>
              <w:top w:w="30" w:type="dxa"/>
              <w:left w:w="20" w:type="dxa"/>
              <w:bottom w:w="30" w:type="dxa"/>
              <w:right w:w="20" w:type="dxa"/>
            </w:tcMar>
            <w:vAlign w:val="bottom"/>
            <w:hideMark/>
          </w:tcPr>
          <w:p w14:paraId="58597085" w14:textId="77777777" w:rsidR="00000000" w:rsidRDefault="00C1661D">
            <w:pPr>
              <w:spacing w:after="100"/>
              <w:divId w:val="2003314669"/>
              <w:rPr>
                <w:rFonts w:eastAsia="Times New Roman"/>
              </w:rPr>
            </w:pPr>
            <w:r>
              <w:rPr>
                <w:rFonts w:eastAsia="Times New Roman"/>
                <w:color w:val="000000"/>
                <w:sz w:val="20"/>
                <w:szCs w:val="20"/>
              </w:rPr>
              <w:t>Net gains (losses) on derivative instruments (net of tax of $(27), $(1), and $15, respectively)</w:t>
            </w:r>
          </w:p>
        </w:tc>
        <w:tc>
          <w:tcPr>
            <w:tcW w:w="0" w:type="auto"/>
            <w:gridSpan w:val="2"/>
            <w:shd w:val="clear" w:color="auto" w:fill="FFFFFF"/>
            <w:tcMar>
              <w:top w:w="30" w:type="dxa"/>
              <w:left w:w="20" w:type="dxa"/>
              <w:bottom w:w="30" w:type="dxa"/>
              <w:right w:w="0" w:type="dxa"/>
            </w:tcMar>
            <w:vAlign w:val="bottom"/>
            <w:hideMark/>
          </w:tcPr>
          <w:p w14:paraId="7A3E74EE" w14:textId="77777777" w:rsidR="00000000" w:rsidRDefault="00C1661D">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14:paraId="4918CDC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9AA30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6E3B88"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39EEBC6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BDA54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79D4E2" w14:textId="77777777" w:rsidR="00000000" w:rsidRDefault="00C1661D">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14:paraId="50E897E6" w14:textId="77777777" w:rsidR="00000000" w:rsidRDefault="00C1661D">
            <w:pPr>
              <w:spacing w:after="100"/>
              <w:jc w:val="right"/>
              <w:rPr>
                <w:rFonts w:eastAsia="Times New Roman"/>
              </w:rPr>
            </w:pPr>
          </w:p>
        </w:tc>
      </w:tr>
      <w:tr w:rsidR="00000000" w14:paraId="7E71F962" w14:textId="77777777">
        <w:trPr>
          <w:jc w:val="center"/>
        </w:trPr>
        <w:tc>
          <w:tcPr>
            <w:tcW w:w="0" w:type="auto"/>
            <w:gridSpan w:val="3"/>
            <w:shd w:val="clear" w:color="auto" w:fill="CCEEFF"/>
            <w:tcMar>
              <w:top w:w="30" w:type="dxa"/>
              <w:left w:w="20" w:type="dxa"/>
              <w:bottom w:w="30" w:type="dxa"/>
              <w:right w:w="20" w:type="dxa"/>
            </w:tcMar>
            <w:vAlign w:val="bottom"/>
            <w:hideMark/>
          </w:tcPr>
          <w:p w14:paraId="6AD314AF" w14:textId="77777777" w:rsidR="00000000" w:rsidRDefault="00C1661D">
            <w:pPr>
              <w:spacing w:after="100"/>
              <w:divId w:val="1302343565"/>
              <w:rPr>
                <w:rFonts w:eastAsia="Times New Roman"/>
              </w:rPr>
            </w:pPr>
            <w:r>
              <w:rPr>
                <w:rFonts w:eastAsia="Times New Roman"/>
                <w:color w:val="000000"/>
                <w:sz w:val="20"/>
                <w:szCs w:val="20"/>
              </w:rPr>
              <w:t>Reclassifications of net losses on derivative instruments (net of tax of $(1), $(7), and $(4), respectively)</w:t>
            </w:r>
          </w:p>
        </w:tc>
        <w:tc>
          <w:tcPr>
            <w:tcW w:w="0" w:type="auto"/>
            <w:gridSpan w:val="2"/>
            <w:shd w:val="clear" w:color="auto" w:fill="CCEEFF"/>
            <w:tcMar>
              <w:top w:w="30" w:type="dxa"/>
              <w:left w:w="20" w:type="dxa"/>
              <w:bottom w:w="30" w:type="dxa"/>
              <w:right w:w="0" w:type="dxa"/>
            </w:tcMar>
            <w:vAlign w:val="bottom"/>
            <w:hideMark/>
          </w:tcPr>
          <w:p w14:paraId="3ECD7DC7" w14:textId="77777777" w:rsidR="00000000" w:rsidRDefault="00C1661D">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6C5F0D0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8418F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BF9288" w14:textId="77777777" w:rsidR="00000000" w:rsidRDefault="00C1661D">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5B651F1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67356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77E3FD" w14:textId="77777777" w:rsidR="00000000" w:rsidRDefault="00C1661D">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357256A0" w14:textId="77777777" w:rsidR="00000000" w:rsidRDefault="00C1661D">
            <w:pPr>
              <w:spacing w:after="100"/>
              <w:jc w:val="right"/>
              <w:rPr>
                <w:rFonts w:eastAsia="Times New Roman"/>
              </w:rPr>
            </w:pPr>
          </w:p>
        </w:tc>
      </w:tr>
      <w:tr w:rsidR="00000000" w14:paraId="76BD7BAB" w14:textId="77777777">
        <w:trPr>
          <w:jc w:val="center"/>
        </w:trPr>
        <w:tc>
          <w:tcPr>
            <w:tcW w:w="0" w:type="auto"/>
            <w:gridSpan w:val="3"/>
            <w:shd w:val="clear" w:color="auto" w:fill="FFFFFF"/>
            <w:tcMar>
              <w:top w:w="30" w:type="dxa"/>
              <w:left w:w="20" w:type="dxa"/>
              <w:bottom w:w="30" w:type="dxa"/>
              <w:right w:w="20" w:type="dxa"/>
            </w:tcMar>
            <w:vAlign w:val="bottom"/>
            <w:hideMark/>
          </w:tcPr>
          <w:p w14:paraId="75792CD1" w14:textId="77777777" w:rsidR="00000000" w:rsidRDefault="00C1661D">
            <w:pPr>
              <w:spacing w:after="100"/>
              <w:divId w:val="1314143325"/>
              <w:rPr>
                <w:rFonts w:eastAsia="Times New Roman"/>
              </w:rPr>
            </w:pPr>
            <w:r>
              <w:rPr>
                <w:rFonts w:eastAsia="Times New Roman"/>
                <w:color w:val="000000"/>
                <w:sz w:val="20"/>
                <w:szCs w:val="20"/>
              </w:rPr>
              <w:t>Foreign currency translation adjustments (net of tax of $(55), $(4), and $12, respectively)</w:t>
            </w:r>
          </w:p>
        </w:tc>
        <w:tc>
          <w:tcPr>
            <w:tcW w:w="0" w:type="auto"/>
            <w:gridSpan w:val="2"/>
            <w:shd w:val="clear" w:color="auto" w:fill="FFFFFF"/>
            <w:tcMar>
              <w:top w:w="30" w:type="dxa"/>
              <w:left w:w="20" w:type="dxa"/>
              <w:bottom w:w="30" w:type="dxa"/>
              <w:right w:w="0" w:type="dxa"/>
            </w:tcMar>
            <w:vAlign w:val="bottom"/>
            <w:hideMark/>
          </w:tcPr>
          <w:p w14:paraId="44B956D2" w14:textId="77777777" w:rsidR="00000000" w:rsidRDefault="00C1661D">
            <w:pPr>
              <w:spacing w:after="100"/>
              <w:jc w:val="right"/>
              <w:rPr>
                <w:rFonts w:eastAsia="Times New Roman"/>
              </w:rPr>
            </w:pPr>
            <w:r>
              <w:rPr>
                <w:rFonts w:eastAsia="Times New Roman"/>
                <w:color w:val="000000"/>
                <w:sz w:val="20"/>
                <w:szCs w:val="20"/>
              </w:rPr>
              <w:t>(193)</w:t>
            </w:r>
          </w:p>
        </w:tc>
        <w:tc>
          <w:tcPr>
            <w:tcW w:w="0" w:type="auto"/>
            <w:shd w:val="clear" w:color="auto" w:fill="FFFFFF"/>
            <w:tcMar>
              <w:top w:w="30" w:type="dxa"/>
              <w:left w:w="0" w:type="dxa"/>
              <w:bottom w:w="30" w:type="dxa"/>
              <w:right w:w="20" w:type="dxa"/>
            </w:tcMar>
            <w:vAlign w:val="bottom"/>
            <w:hideMark/>
          </w:tcPr>
          <w:p w14:paraId="15448AB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8B1CF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E34BA8" w14:textId="77777777" w:rsidR="00000000" w:rsidRDefault="00C1661D">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14:paraId="3ADA45A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AEB98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109A81" w14:textId="77777777" w:rsidR="00000000" w:rsidRDefault="00C1661D">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14:paraId="6C04299E" w14:textId="77777777" w:rsidR="00000000" w:rsidRDefault="00C1661D">
            <w:pPr>
              <w:spacing w:after="100"/>
              <w:jc w:val="right"/>
              <w:rPr>
                <w:rFonts w:eastAsia="Times New Roman"/>
              </w:rPr>
            </w:pPr>
          </w:p>
        </w:tc>
      </w:tr>
      <w:tr w:rsidR="00000000" w14:paraId="12169723" w14:textId="77777777">
        <w:trPr>
          <w:jc w:val="center"/>
        </w:trPr>
        <w:tc>
          <w:tcPr>
            <w:tcW w:w="0" w:type="auto"/>
            <w:gridSpan w:val="3"/>
            <w:shd w:val="clear" w:color="auto" w:fill="CCEEFF"/>
            <w:tcMar>
              <w:top w:w="30" w:type="dxa"/>
              <w:left w:w="20" w:type="dxa"/>
              <w:bottom w:w="30" w:type="dxa"/>
              <w:right w:w="20" w:type="dxa"/>
            </w:tcMar>
            <w:vAlign w:val="bottom"/>
            <w:hideMark/>
          </w:tcPr>
          <w:p w14:paraId="5E3E5744" w14:textId="77777777" w:rsidR="00000000" w:rsidRDefault="00C1661D">
            <w:pPr>
              <w:spacing w:after="100"/>
              <w:rPr>
                <w:rFonts w:eastAsia="Times New Roman"/>
              </w:rPr>
            </w:pPr>
            <w:r>
              <w:rPr>
                <w:rFonts w:eastAsia="Times New Roman"/>
                <w:color w:val="000000"/>
                <w:sz w:val="20"/>
                <w:szCs w:val="20"/>
              </w:rPr>
              <w:t>Foreign currency (losses) gains on long-term intra-company transactions</w:t>
            </w:r>
          </w:p>
        </w:tc>
        <w:tc>
          <w:tcPr>
            <w:tcW w:w="0" w:type="auto"/>
            <w:gridSpan w:val="2"/>
            <w:shd w:val="clear" w:color="auto" w:fill="CCEEFF"/>
            <w:tcMar>
              <w:top w:w="30" w:type="dxa"/>
              <w:left w:w="20" w:type="dxa"/>
              <w:bottom w:w="30" w:type="dxa"/>
              <w:right w:w="0" w:type="dxa"/>
            </w:tcMar>
            <w:vAlign w:val="bottom"/>
            <w:hideMark/>
          </w:tcPr>
          <w:p w14:paraId="18A6A731" w14:textId="77777777" w:rsidR="00000000" w:rsidRDefault="00C1661D">
            <w:pPr>
              <w:spacing w:after="100"/>
              <w:jc w:val="right"/>
              <w:rPr>
                <w:rFonts w:eastAsia="Times New Roman"/>
              </w:rPr>
            </w:pPr>
            <w:r>
              <w:rPr>
                <w:rFonts w:eastAsia="Times New Roman"/>
                <w:color w:val="000000"/>
                <w:sz w:val="20"/>
                <w:szCs w:val="20"/>
              </w:rPr>
              <w:t>(148)</w:t>
            </w:r>
          </w:p>
        </w:tc>
        <w:tc>
          <w:tcPr>
            <w:tcW w:w="0" w:type="auto"/>
            <w:shd w:val="clear" w:color="auto" w:fill="CCEEFF"/>
            <w:tcMar>
              <w:top w:w="30" w:type="dxa"/>
              <w:left w:w="0" w:type="dxa"/>
              <w:bottom w:w="30" w:type="dxa"/>
              <w:right w:w="20" w:type="dxa"/>
            </w:tcMar>
            <w:vAlign w:val="bottom"/>
            <w:hideMark/>
          </w:tcPr>
          <w:p w14:paraId="4C68D45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A63F9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E2F3C7" w14:textId="77777777" w:rsidR="00000000" w:rsidRDefault="00C1661D">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5DAEE47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ECA6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267A00" w14:textId="77777777" w:rsidR="00000000" w:rsidRDefault="00C1661D">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14:paraId="4F232385" w14:textId="77777777" w:rsidR="00000000" w:rsidRDefault="00C1661D">
            <w:pPr>
              <w:spacing w:after="100"/>
              <w:jc w:val="right"/>
              <w:rPr>
                <w:rFonts w:eastAsia="Times New Roman"/>
              </w:rPr>
            </w:pPr>
          </w:p>
        </w:tc>
      </w:tr>
      <w:tr w:rsidR="00000000" w14:paraId="497A9718" w14:textId="77777777">
        <w:trPr>
          <w:jc w:val="center"/>
        </w:trPr>
        <w:tc>
          <w:tcPr>
            <w:tcW w:w="0" w:type="auto"/>
            <w:gridSpan w:val="3"/>
            <w:shd w:val="clear" w:color="auto" w:fill="FFFFFF"/>
            <w:tcMar>
              <w:top w:w="30" w:type="dxa"/>
              <w:left w:w="20" w:type="dxa"/>
              <w:bottom w:w="30" w:type="dxa"/>
              <w:right w:w="20" w:type="dxa"/>
            </w:tcMar>
            <w:vAlign w:val="bottom"/>
            <w:hideMark/>
          </w:tcPr>
          <w:p w14:paraId="07B0C9D3" w14:textId="77777777" w:rsidR="00000000" w:rsidRDefault="00C1661D">
            <w:pPr>
              <w:spacing w:after="100"/>
              <w:divId w:val="1249848109"/>
              <w:rPr>
                <w:rFonts w:eastAsia="Times New Roman"/>
              </w:rPr>
            </w:pPr>
            <w:r>
              <w:rPr>
                <w:rFonts w:eastAsia="Times New Roman"/>
                <w:color w:val="000000"/>
                <w:sz w:val="20"/>
                <w:szCs w:val="20"/>
              </w:rPr>
              <w:t>Benefit plans, principally actuarial gains (losses) (net of tax of $(10), $(3), and $1, respectively)</w:t>
            </w:r>
          </w:p>
        </w:tc>
        <w:tc>
          <w:tcPr>
            <w:tcW w:w="0" w:type="auto"/>
            <w:gridSpan w:val="2"/>
            <w:shd w:val="clear" w:color="auto" w:fill="FFFFFF"/>
            <w:tcMar>
              <w:top w:w="30" w:type="dxa"/>
              <w:left w:w="20" w:type="dxa"/>
              <w:bottom w:w="30" w:type="dxa"/>
              <w:right w:w="0" w:type="dxa"/>
            </w:tcMar>
            <w:vAlign w:val="bottom"/>
            <w:hideMark/>
          </w:tcPr>
          <w:p w14:paraId="243B484B" w14:textId="77777777" w:rsidR="00000000" w:rsidRDefault="00C1661D">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14:paraId="1151384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E86C6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94AF19" w14:textId="77777777" w:rsidR="00000000" w:rsidRDefault="00C1661D">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010E24B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A3DAD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0E8FAC" w14:textId="77777777" w:rsidR="00000000" w:rsidRDefault="00C1661D">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74AA6F3E" w14:textId="77777777" w:rsidR="00000000" w:rsidRDefault="00C1661D">
            <w:pPr>
              <w:spacing w:after="100"/>
              <w:jc w:val="right"/>
              <w:rPr>
                <w:rFonts w:eastAsia="Times New Roman"/>
              </w:rPr>
            </w:pPr>
          </w:p>
        </w:tc>
      </w:tr>
      <w:tr w:rsidR="00000000" w14:paraId="72B24775" w14:textId="77777777">
        <w:trPr>
          <w:jc w:val="center"/>
        </w:trPr>
        <w:tc>
          <w:tcPr>
            <w:tcW w:w="0" w:type="auto"/>
            <w:gridSpan w:val="3"/>
            <w:shd w:val="clear" w:color="auto" w:fill="CCEEFF"/>
            <w:tcMar>
              <w:top w:w="30" w:type="dxa"/>
              <w:left w:w="20" w:type="dxa"/>
              <w:bottom w:w="30" w:type="dxa"/>
              <w:right w:w="20" w:type="dxa"/>
            </w:tcMar>
            <w:vAlign w:val="bottom"/>
            <w:hideMark/>
          </w:tcPr>
          <w:p w14:paraId="7F0355CC" w14:textId="77777777" w:rsidR="00000000" w:rsidRDefault="00C1661D">
            <w:pPr>
              <w:spacing w:after="100"/>
              <w:divId w:val="1905950389"/>
              <w:rPr>
                <w:rFonts w:eastAsia="Times New Roman"/>
              </w:rPr>
            </w:pPr>
            <w:r>
              <w:rPr>
                <w:rFonts w:eastAsia="Times New Roman"/>
                <w:color w:val="000000"/>
                <w:sz w:val="20"/>
                <w:szCs w:val="20"/>
              </w:rPr>
              <w:t>Reclassifications of benefit plans actuarial losses and net prior service benefit (net of tax of $(1), $(1), and $(1), respectively)</w:t>
            </w:r>
          </w:p>
        </w:tc>
        <w:tc>
          <w:tcPr>
            <w:tcW w:w="0" w:type="auto"/>
            <w:gridSpan w:val="2"/>
            <w:shd w:val="clear" w:color="auto" w:fill="CCEEFF"/>
            <w:tcMar>
              <w:top w:w="30" w:type="dxa"/>
              <w:left w:w="20" w:type="dxa"/>
              <w:bottom w:w="30" w:type="dxa"/>
              <w:right w:w="0" w:type="dxa"/>
            </w:tcMar>
            <w:vAlign w:val="bottom"/>
            <w:hideMark/>
          </w:tcPr>
          <w:p w14:paraId="3DFF6A65"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0AA1852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7CEDB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B7B408"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0282862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623C1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A76293"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5B7D5853" w14:textId="77777777" w:rsidR="00000000" w:rsidRDefault="00C1661D">
            <w:pPr>
              <w:spacing w:after="100"/>
              <w:jc w:val="right"/>
              <w:rPr>
                <w:rFonts w:eastAsia="Times New Roman"/>
              </w:rPr>
            </w:pPr>
          </w:p>
        </w:tc>
      </w:tr>
      <w:tr w:rsidR="00000000" w14:paraId="26820D78" w14:textId="77777777">
        <w:trPr>
          <w:jc w:val="center"/>
        </w:trPr>
        <w:tc>
          <w:tcPr>
            <w:tcW w:w="0" w:type="auto"/>
            <w:gridSpan w:val="3"/>
            <w:shd w:val="clear" w:color="auto" w:fill="FFFFFF"/>
            <w:tcMar>
              <w:top w:w="30" w:type="dxa"/>
              <w:left w:w="20" w:type="dxa"/>
              <w:bottom w:w="30" w:type="dxa"/>
              <w:right w:w="20" w:type="dxa"/>
            </w:tcMar>
            <w:vAlign w:val="bottom"/>
            <w:hideMark/>
          </w:tcPr>
          <w:p w14:paraId="3C6C5581" w14:textId="77777777" w:rsidR="00000000" w:rsidRDefault="00C1661D">
            <w:pPr>
              <w:spacing w:after="100"/>
              <w:rPr>
                <w:rFonts w:eastAsia="Times New Roman"/>
              </w:rPr>
            </w:pPr>
            <w:r>
              <w:rPr>
                <w:rFonts w:eastAsia="Times New Roman"/>
                <w:color w:val="000000"/>
                <w:sz w:val="20"/>
                <w:szCs w:val="20"/>
              </w:rPr>
              <w:t xml:space="preserve">Other comprehensive (loss) income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191566" w14:textId="77777777" w:rsidR="00000000" w:rsidRDefault="00C1661D">
            <w:pPr>
              <w:spacing w:after="100"/>
              <w:jc w:val="right"/>
              <w:rPr>
                <w:rFonts w:eastAsia="Times New Roman"/>
              </w:rPr>
            </w:pPr>
            <w:r>
              <w:rPr>
                <w:rFonts w:eastAsia="Times New Roman"/>
                <w:color w:val="000000"/>
                <w:sz w:val="20"/>
                <w:szCs w:val="20"/>
              </w:rPr>
              <w:t>(240)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56B43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4D34E4"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F2F986" w14:textId="77777777" w:rsidR="00000000" w:rsidRDefault="00C1661D">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5B7CB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CB8B9D"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B7BC70" w14:textId="77777777" w:rsidR="00000000" w:rsidRDefault="00C1661D">
            <w:pPr>
              <w:spacing w:after="100"/>
              <w:jc w:val="right"/>
              <w:rPr>
                <w:rFonts w:eastAsia="Times New Roman"/>
              </w:rPr>
            </w:pPr>
            <w:r>
              <w:rPr>
                <w:rFonts w:eastAsia="Times New Roman"/>
                <w:color w:val="000000"/>
                <w:sz w:val="20"/>
                <w:szCs w:val="20"/>
              </w:rPr>
              <w:t>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C4C337" w14:textId="77777777" w:rsidR="00000000" w:rsidRDefault="00C1661D">
            <w:pPr>
              <w:spacing w:after="100"/>
              <w:jc w:val="right"/>
              <w:rPr>
                <w:rFonts w:eastAsia="Times New Roman"/>
              </w:rPr>
            </w:pPr>
          </w:p>
        </w:tc>
      </w:tr>
      <w:tr w:rsidR="00000000" w14:paraId="60FA5C6A" w14:textId="77777777">
        <w:trPr>
          <w:jc w:val="center"/>
        </w:trPr>
        <w:tc>
          <w:tcPr>
            <w:tcW w:w="0" w:type="auto"/>
            <w:gridSpan w:val="3"/>
            <w:shd w:val="clear" w:color="auto" w:fill="CCEEFF"/>
            <w:tcMar>
              <w:top w:w="30" w:type="dxa"/>
              <w:left w:w="20" w:type="dxa"/>
              <w:bottom w:w="30" w:type="dxa"/>
              <w:right w:w="20" w:type="dxa"/>
            </w:tcMar>
            <w:vAlign w:val="bottom"/>
            <w:hideMark/>
          </w:tcPr>
          <w:p w14:paraId="664B6B11" w14:textId="77777777" w:rsidR="00000000" w:rsidRDefault="00C1661D">
            <w:pPr>
              <w:spacing w:after="100"/>
              <w:rPr>
                <w:rFonts w:eastAsia="Times New Roman"/>
              </w:rPr>
            </w:pPr>
            <w:r>
              <w:rPr>
                <w:rFonts w:eastAsia="Times New Roman"/>
                <w:color w:val="000000"/>
                <w:sz w:val="20"/>
                <w:szCs w:val="20"/>
              </w:rPr>
              <w:t>Comprehensive income including noncontrolling interests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574709" w14:textId="77777777" w:rsidR="00000000" w:rsidRDefault="00C1661D">
            <w:pPr>
              <w:spacing w:after="100"/>
              <w:jc w:val="right"/>
              <w:rPr>
                <w:rFonts w:eastAsia="Times New Roman"/>
              </w:rPr>
            </w:pPr>
            <w:r>
              <w:rPr>
                <w:rFonts w:eastAsia="Times New Roman"/>
                <w:color w:val="000000"/>
                <w:sz w:val="20"/>
                <w:szCs w:val="20"/>
              </w:rPr>
              <w:t>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4D18A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B6DC23"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280A06" w14:textId="77777777" w:rsidR="00000000" w:rsidRDefault="00C1661D">
            <w:pPr>
              <w:spacing w:after="100"/>
              <w:jc w:val="right"/>
              <w:rPr>
                <w:rFonts w:eastAsia="Times New Roman"/>
              </w:rPr>
            </w:pPr>
            <w:r>
              <w:rPr>
                <w:rFonts w:eastAsia="Times New Roman"/>
                <w:color w:val="000000"/>
                <w:sz w:val="20"/>
                <w:szCs w:val="20"/>
              </w:rPr>
              <w:t>1,474 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1563D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A32863"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512154" w14:textId="77777777" w:rsidR="00000000" w:rsidRDefault="00C1661D">
            <w:pPr>
              <w:spacing w:after="100"/>
              <w:jc w:val="right"/>
              <w:rPr>
                <w:rFonts w:eastAsia="Times New Roman"/>
              </w:rPr>
            </w:pPr>
            <w:r>
              <w:rPr>
                <w:rFonts w:eastAsia="Times New Roman"/>
                <w:color w:val="000000"/>
                <w:sz w:val="20"/>
                <w:szCs w:val="20"/>
              </w:rPr>
              <w:t>602 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78524E" w14:textId="77777777" w:rsidR="00000000" w:rsidRDefault="00C1661D">
            <w:pPr>
              <w:spacing w:after="100"/>
              <w:jc w:val="right"/>
              <w:rPr>
                <w:rFonts w:eastAsia="Times New Roman"/>
              </w:rPr>
            </w:pPr>
          </w:p>
        </w:tc>
      </w:tr>
      <w:tr w:rsidR="00000000" w14:paraId="0A0E73E5" w14:textId="77777777">
        <w:trPr>
          <w:jc w:val="center"/>
        </w:trPr>
        <w:tc>
          <w:tcPr>
            <w:tcW w:w="0" w:type="auto"/>
            <w:gridSpan w:val="3"/>
            <w:shd w:val="clear" w:color="auto" w:fill="FFFFFF"/>
            <w:tcMar>
              <w:top w:w="30" w:type="dxa"/>
              <w:left w:w="20" w:type="dxa"/>
              <w:bottom w:w="30" w:type="dxa"/>
              <w:right w:w="20" w:type="dxa"/>
            </w:tcMar>
            <w:vAlign w:val="bottom"/>
            <w:hideMark/>
          </w:tcPr>
          <w:p w14:paraId="7FB845CA" w14:textId="77777777" w:rsidR="00000000" w:rsidRDefault="00C1661D">
            <w:pPr>
              <w:spacing w:after="100"/>
              <w:rPr>
                <w:rFonts w:eastAsia="Times New Roman"/>
              </w:rPr>
            </w:pPr>
            <w:r>
              <w:rPr>
                <w:rFonts w:eastAsia="Times New Roman"/>
                <w:color w:val="000000"/>
                <w:sz w:val="20"/>
                <w:szCs w:val="20"/>
              </w:rPr>
              <w:t>Deduct comprehensive income attributable to noncontrolling interests</w:t>
            </w:r>
          </w:p>
        </w:tc>
        <w:tc>
          <w:tcPr>
            <w:tcW w:w="0" w:type="auto"/>
            <w:gridSpan w:val="2"/>
            <w:shd w:val="clear" w:color="auto" w:fill="FFFFFF"/>
            <w:tcMar>
              <w:top w:w="30" w:type="dxa"/>
              <w:left w:w="20" w:type="dxa"/>
              <w:bottom w:w="30" w:type="dxa"/>
              <w:right w:w="0" w:type="dxa"/>
            </w:tcMar>
            <w:vAlign w:val="bottom"/>
            <w:hideMark/>
          </w:tcPr>
          <w:p w14:paraId="5B5A5D2D" w14:textId="77777777" w:rsidR="00000000" w:rsidRDefault="00C1661D">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34B57ED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D08CE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BA1844"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41B1D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501D0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75AD65"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289C319" w14:textId="77777777" w:rsidR="00000000" w:rsidRDefault="00C1661D">
            <w:pPr>
              <w:spacing w:after="100"/>
              <w:jc w:val="right"/>
              <w:rPr>
                <w:rFonts w:eastAsia="Times New Roman"/>
              </w:rPr>
            </w:pPr>
          </w:p>
        </w:tc>
      </w:tr>
      <w:tr w:rsidR="00000000" w14:paraId="5CEEBE83" w14:textId="77777777">
        <w:trPr>
          <w:jc w:val="center"/>
        </w:trPr>
        <w:tc>
          <w:tcPr>
            <w:tcW w:w="0" w:type="auto"/>
            <w:gridSpan w:val="3"/>
            <w:shd w:val="clear" w:color="auto" w:fill="CCEEFF"/>
            <w:tcMar>
              <w:top w:w="30" w:type="dxa"/>
              <w:left w:w="20" w:type="dxa"/>
              <w:bottom w:w="30" w:type="dxa"/>
              <w:right w:w="20" w:type="dxa"/>
            </w:tcMar>
            <w:vAlign w:val="bottom"/>
            <w:hideMark/>
          </w:tcPr>
          <w:p w14:paraId="6780DB8D" w14:textId="77777777" w:rsidR="00000000" w:rsidRDefault="00C1661D">
            <w:pPr>
              <w:spacing w:after="100"/>
              <w:rPr>
                <w:rFonts w:eastAsia="Times New Roman"/>
              </w:rPr>
            </w:pPr>
            <w:r>
              <w:rPr>
                <w:rFonts w:eastAsia="Times New Roman"/>
                <w:color w:val="000000"/>
                <w:sz w:val="20"/>
                <w:szCs w:val="20"/>
              </w:rPr>
              <w:t>Comprehensive income attributable to UGI Corporation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73956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E3665F5" w14:textId="77777777" w:rsidR="00000000" w:rsidRDefault="00C1661D">
            <w:pPr>
              <w:spacing w:after="100"/>
              <w:jc w:val="right"/>
              <w:rPr>
                <w:rFonts w:eastAsia="Times New Roman"/>
              </w:rPr>
            </w:pPr>
            <w:r>
              <w:rPr>
                <w:rFonts w:eastAsia="Times New Roman"/>
                <w:color w:val="000000"/>
                <w:sz w:val="20"/>
                <w:szCs w:val="20"/>
              </w:rPr>
              <w:t>833 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F238E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7EBC88"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137E7B"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E7FCB0" w14:textId="77777777" w:rsidR="00000000" w:rsidRDefault="00C1661D">
            <w:pPr>
              <w:spacing w:after="100"/>
              <w:jc w:val="right"/>
              <w:rPr>
                <w:rFonts w:eastAsia="Times New Roman"/>
              </w:rPr>
            </w:pPr>
            <w:r>
              <w:rPr>
                <w:rFonts w:eastAsia="Times New Roman"/>
                <w:color w:val="000000"/>
                <w:sz w:val="20"/>
                <w:szCs w:val="20"/>
              </w:rPr>
              <w:t>1,474 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D5DB2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44701B"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8DA40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2DABA26" w14:textId="77777777" w:rsidR="00000000" w:rsidRDefault="00C1661D">
            <w:pPr>
              <w:spacing w:after="100"/>
              <w:jc w:val="right"/>
              <w:rPr>
                <w:rFonts w:eastAsia="Times New Roman"/>
              </w:rPr>
            </w:pPr>
            <w:r>
              <w:rPr>
                <w:rFonts w:eastAsia="Times New Roman"/>
                <w:color w:val="000000"/>
                <w:sz w:val="20"/>
                <w:szCs w:val="20"/>
              </w:rPr>
              <w:t>602 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C24055F" w14:textId="77777777" w:rsidR="00000000" w:rsidRDefault="00C1661D">
            <w:pPr>
              <w:spacing w:after="100"/>
              <w:jc w:val="right"/>
              <w:rPr>
                <w:rFonts w:eastAsia="Times New Roman"/>
              </w:rPr>
            </w:pPr>
          </w:p>
        </w:tc>
      </w:tr>
    </w:tbl>
    <w:p w14:paraId="4E0F9FD9" w14:textId="77777777" w:rsidR="00000000" w:rsidRDefault="00C1661D">
      <w:pPr>
        <w:jc w:val="both"/>
        <w:rPr>
          <w:rFonts w:eastAsia="Times New Roman"/>
        </w:rPr>
      </w:pPr>
    </w:p>
    <w:p w14:paraId="48743620" w14:textId="77777777" w:rsidR="00000000" w:rsidRDefault="00C1661D">
      <w:pPr>
        <w:jc w:val="both"/>
        <w:rPr>
          <w:rFonts w:eastAsia="Times New Roman"/>
        </w:rPr>
      </w:pPr>
      <w:r>
        <w:rPr>
          <w:rFonts w:eastAsia="Times New Roman"/>
          <w:color w:val="000000"/>
          <w:sz w:val="20"/>
          <w:szCs w:val="20"/>
        </w:rPr>
        <w:t>See accompanying Notes to Consolidated Financial Statements.</w:t>
      </w:r>
    </w:p>
    <w:p w14:paraId="2D4D51DA" w14:textId="77777777" w:rsidR="00000000" w:rsidRDefault="00C1661D">
      <w:pPr>
        <w:jc w:val="both"/>
        <w:rPr>
          <w:rFonts w:eastAsia="Times New Roman"/>
        </w:rPr>
      </w:pPr>
    </w:p>
    <w:p w14:paraId="0A49E513" w14:textId="77777777" w:rsidR="00000000" w:rsidRDefault="00C1661D">
      <w:pPr>
        <w:jc w:val="center"/>
        <w:divId w:val="2106918130"/>
        <w:rPr>
          <w:rFonts w:eastAsia="Times New Roman"/>
        </w:rPr>
      </w:pPr>
      <w:r>
        <w:rPr>
          <w:rFonts w:eastAsia="Times New Roman"/>
          <w:color w:val="000000"/>
          <w:sz w:val="20"/>
          <w:szCs w:val="20"/>
        </w:rPr>
        <w:t>F-8</w:t>
      </w:r>
    </w:p>
    <w:p w14:paraId="4FE5CB50" w14:textId="77777777" w:rsidR="00000000" w:rsidRDefault="00C1661D">
      <w:pPr>
        <w:rPr>
          <w:rFonts w:eastAsia="Times New Roman"/>
        </w:rPr>
      </w:pPr>
      <w:r>
        <w:rPr>
          <w:rFonts w:eastAsia="Times New Roman"/>
        </w:rPr>
        <w:pict w14:anchorId="02D08924">
          <v:rect id="_x0000_i1121" style="width:0;height:1.5pt" o:hralign="center" o:hrstd="t" o:hr="t" fillcolor="#a0a0a0" stroked="f"/>
        </w:pict>
      </w:r>
    </w:p>
    <w:p w14:paraId="3DB5ABDB" w14:textId="77777777" w:rsidR="00000000" w:rsidRDefault="00C1661D">
      <w:pPr>
        <w:divId w:val="1438407655"/>
        <w:rPr>
          <w:rFonts w:eastAsia="Times New Roman"/>
        </w:rPr>
      </w:pPr>
      <w:hyperlink w:anchor="i3850c3c6c0104e42b9951aac2f16098a_7" w:history="1">
        <w:r>
          <w:rPr>
            <w:rStyle w:val="a3"/>
            <w:rFonts w:eastAsia="Times New Roman"/>
            <w:b/>
            <w:bCs/>
            <w:sz w:val="20"/>
            <w:szCs w:val="20"/>
          </w:rPr>
          <w:t>Table of Contents</w:t>
        </w:r>
      </w:hyperlink>
    </w:p>
    <w:p w14:paraId="7D8ECAB2" w14:textId="77777777" w:rsidR="00000000" w:rsidRDefault="00C1661D">
      <w:pPr>
        <w:jc w:val="center"/>
        <w:rPr>
          <w:rFonts w:eastAsia="Times New Roman"/>
        </w:rPr>
      </w:pPr>
      <w:r>
        <w:rPr>
          <w:rFonts w:eastAsia="Times New Roman"/>
          <w:color w:val="000000"/>
          <w:sz w:val="20"/>
          <w:szCs w:val="20"/>
        </w:rPr>
        <w:t>UGI CORPORATION AND SUBSIDIARIES</w:t>
      </w:r>
    </w:p>
    <w:p w14:paraId="6A02FC35" w14:textId="77777777" w:rsidR="00000000" w:rsidRDefault="00C1661D">
      <w:pPr>
        <w:ind w:firstLine="45"/>
        <w:jc w:val="center"/>
        <w:rPr>
          <w:rFonts w:eastAsia="Times New Roman"/>
        </w:rPr>
      </w:pPr>
      <w:r>
        <w:rPr>
          <w:rFonts w:eastAsia="Times New Roman"/>
          <w:color w:val="000000"/>
          <w:sz w:val="20"/>
          <w:szCs w:val="20"/>
        </w:rPr>
        <w:t>CONSOLIDATED STATEMENTS OF CASH FLOWS</w:t>
      </w:r>
    </w:p>
    <w:p w14:paraId="0F926CAD" w14:textId="77777777" w:rsidR="00000000" w:rsidRDefault="00C1661D">
      <w:pPr>
        <w:jc w:val="center"/>
        <w:rPr>
          <w:rFonts w:eastAsia="Times New Roman"/>
        </w:rPr>
      </w:pPr>
      <w:r>
        <w:rPr>
          <w:rFonts w:eastAsia="Times New Roman"/>
          <w:color w:val="000000"/>
          <w:sz w:val="20"/>
          <w:szCs w:val="20"/>
        </w:rPr>
        <w:t>(Millions of dollars)</w:t>
      </w:r>
    </w:p>
    <w:tbl>
      <w:tblPr>
        <w:tblW w:w="4985" w:type="pct"/>
        <w:tblCellMar>
          <w:top w:w="15" w:type="dxa"/>
          <w:left w:w="15" w:type="dxa"/>
          <w:bottom w:w="15" w:type="dxa"/>
          <w:right w:w="15" w:type="dxa"/>
        </w:tblCellMar>
        <w:tblLook w:val="04A0" w:firstRow="1" w:lastRow="0" w:firstColumn="1" w:lastColumn="0" w:noHBand="0" w:noVBand="1"/>
      </w:tblPr>
      <w:tblGrid>
        <w:gridCol w:w="41"/>
        <w:gridCol w:w="5103"/>
        <w:gridCol w:w="40"/>
        <w:gridCol w:w="120"/>
        <w:gridCol w:w="831"/>
        <w:gridCol w:w="36"/>
        <w:gridCol w:w="36"/>
        <w:gridCol w:w="36"/>
        <w:gridCol w:w="36"/>
        <w:gridCol w:w="120"/>
        <w:gridCol w:w="790"/>
        <w:gridCol w:w="36"/>
        <w:gridCol w:w="36"/>
        <w:gridCol w:w="36"/>
        <w:gridCol w:w="36"/>
        <w:gridCol w:w="120"/>
        <w:gridCol w:w="792"/>
        <w:gridCol w:w="36"/>
      </w:tblGrid>
      <w:tr w:rsidR="00000000" w14:paraId="4C41AF7F" w14:textId="77777777">
        <w:trPr>
          <w:divId w:val="850677515"/>
        </w:trPr>
        <w:tc>
          <w:tcPr>
            <w:tcW w:w="50" w:type="pct"/>
            <w:vAlign w:val="center"/>
            <w:hideMark/>
          </w:tcPr>
          <w:p w14:paraId="7F5FE024" w14:textId="77777777" w:rsidR="00000000" w:rsidRDefault="00C1661D">
            <w:pPr>
              <w:jc w:val="center"/>
              <w:rPr>
                <w:rFonts w:eastAsia="Times New Roman"/>
              </w:rPr>
            </w:pPr>
          </w:p>
        </w:tc>
        <w:tc>
          <w:tcPr>
            <w:tcW w:w="3112" w:type="pct"/>
            <w:vAlign w:val="center"/>
            <w:hideMark/>
          </w:tcPr>
          <w:p w14:paraId="1C26C73B" w14:textId="77777777" w:rsidR="00000000" w:rsidRDefault="00C1661D">
            <w:pPr>
              <w:spacing w:after="100"/>
              <w:rPr>
                <w:rFonts w:eastAsia="Times New Roman"/>
                <w:sz w:val="20"/>
                <w:szCs w:val="20"/>
              </w:rPr>
            </w:pPr>
          </w:p>
        </w:tc>
        <w:tc>
          <w:tcPr>
            <w:tcW w:w="5" w:type="pct"/>
            <w:vAlign w:val="center"/>
            <w:hideMark/>
          </w:tcPr>
          <w:p w14:paraId="16B5E98B" w14:textId="77777777" w:rsidR="00000000" w:rsidRDefault="00C1661D">
            <w:pPr>
              <w:spacing w:after="100"/>
              <w:rPr>
                <w:rFonts w:eastAsia="Times New Roman"/>
                <w:sz w:val="20"/>
                <w:szCs w:val="20"/>
              </w:rPr>
            </w:pPr>
          </w:p>
        </w:tc>
        <w:tc>
          <w:tcPr>
            <w:tcW w:w="50" w:type="pct"/>
            <w:vAlign w:val="center"/>
            <w:hideMark/>
          </w:tcPr>
          <w:p w14:paraId="5BCD3B6E" w14:textId="77777777" w:rsidR="00000000" w:rsidRDefault="00C1661D">
            <w:pPr>
              <w:spacing w:after="100"/>
              <w:rPr>
                <w:rFonts w:eastAsia="Times New Roman"/>
                <w:sz w:val="20"/>
                <w:szCs w:val="20"/>
              </w:rPr>
            </w:pPr>
          </w:p>
        </w:tc>
        <w:tc>
          <w:tcPr>
            <w:tcW w:w="531" w:type="pct"/>
            <w:vAlign w:val="center"/>
            <w:hideMark/>
          </w:tcPr>
          <w:p w14:paraId="6B6DE52B" w14:textId="77777777" w:rsidR="00000000" w:rsidRDefault="00C1661D">
            <w:pPr>
              <w:spacing w:after="100"/>
              <w:rPr>
                <w:rFonts w:eastAsia="Times New Roman"/>
                <w:sz w:val="20"/>
                <w:szCs w:val="20"/>
              </w:rPr>
            </w:pPr>
          </w:p>
        </w:tc>
        <w:tc>
          <w:tcPr>
            <w:tcW w:w="5" w:type="pct"/>
            <w:vAlign w:val="center"/>
            <w:hideMark/>
          </w:tcPr>
          <w:p w14:paraId="71FD8646" w14:textId="77777777" w:rsidR="00000000" w:rsidRDefault="00C1661D">
            <w:pPr>
              <w:spacing w:after="100"/>
              <w:rPr>
                <w:rFonts w:eastAsia="Times New Roman"/>
                <w:sz w:val="20"/>
                <w:szCs w:val="20"/>
              </w:rPr>
            </w:pPr>
          </w:p>
        </w:tc>
        <w:tc>
          <w:tcPr>
            <w:tcW w:w="5" w:type="pct"/>
            <w:vAlign w:val="center"/>
            <w:hideMark/>
          </w:tcPr>
          <w:p w14:paraId="26151BC0" w14:textId="77777777" w:rsidR="00000000" w:rsidRDefault="00C1661D">
            <w:pPr>
              <w:spacing w:after="100"/>
              <w:rPr>
                <w:rFonts w:eastAsia="Times New Roman"/>
                <w:sz w:val="20"/>
                <w:szCs w:val="20"/>
              </w:rPr>
            </w:pPr>
          </w:p>
        </w:tc>
        <w:tc>
          <w:tcPr>
            <w:tcW w:w="26" w:type="pct"/>
            <w:vAlign w:val="center"/>
            <w:hideMark/>
          </w:tcPr>
          <w:p w14:paraId="12D65305" w14:textId="77777777" w:rsidR="00000000" w:rsidRDefault="00C1661D">
            <w:pPr>
              <w:spacing w:after="100"/>
              <w:rPr>
                <w:rFonts w:eastAsia="Times New Roman"/>
                <w:sz w:val="20"/>
                <w:szCs w:val="20"/>
              </w:rPr>
            </w:pPr>
          </w:p>
        </w:tc>
        <w:tc>
          <w:tcPr>
            <w:tcW w:w="5" w:type="pct"/>
            <w:vAlign w:val="center"/>
            <w:hideMark/>
          </w:tcPr>
          <w:p w14:paraId="433B981F" w14:textId="77777777" w:rsidR="00000000" w:rsidRDefault="00C1661D">
            <w:pPr>
              <w:spacing w:after="100"/>
              <w:rPr>
                <w:rFonts w:eastAsia="Times New Roman"/>
                <w:sz w:val="20"/>
                <w:szCs w:val="20"/>
              </w:rPr>
            </w:pPr>
          </w:p>
        </w:tc>
        <w:tc>
          <w:tcPr>
            <w:tcW w:w="50" w:type="pct"/>
            <w:vAlign w:val="center"/>
            <w:hideMark/>
          </w:tcPr>
          <w:p w14:paraId="6047A4AB" w14:textId="77777777" w:rsidR="00000000" w:rsidRDefault="00C1661D">
            <w:pPr>
              <w:spacing w:after="100"/>
              <w:rPr>
                <w:rFonts w:eastAsia="Times New Roman"/>
                <w:sz w:val="20"/>
                <w:szCs w:val="20"/>
              </w:rPr>
            </w:pPr>
          </w:p>
        </w:tc>
        <w:tc>
          <w:tcPr>
            <w:tcW w:w="531" w:type="pct"/>
            <w:vAlign w:val="center"/>
            <w:hideMark/>
          </w:tcPr>
          <w:p w14:paraId="378511EF" w14:textId="77777777" w:rsidR="00000000" w:rsidRDefault="00C1661D">
            <w:pPr>
              <w:spacing w:after="100"/>
              <w:rPr>
                <w:rFonts w:eastAsia="Times New Roman"/>
                <w:sz w:val="20"/>
                <w:szCs w:val="20"/>
              </w:rPr>
            </w:pPr>
          </w:p>
        </w:tc>
        <w:tc>
          <w:tcPr>
            <w:tcW w:w="5" w:type="pct"/>
            <w:vAlign w:val="center"/>
            <w:hideMark/>
          </w:tcPr>
          <w:p w14:paraId="070DC130" w14:textId="77777777" w:rsidR="00000000" w:rsidRDefault="00C1661D">
            <w:pPr>
              <w:spacing w:after="100"/>
              <w:rPr>
                <w:rFonts w:eastAsia="Times New Roman"/>
                <w:sz w:val="20"/>
                <w:szCs w:val="20"/>
              </w:rPr>
            </w:pPr>
          </w:p>
        </w:tc>
        <w:tc>
          <w:tcPr>
            <w:tcW w:w="5" w:type="pct"/>
            <w:vAlign w:val="center"/>
            <w:hideMark/>
          </w:tcPr>
          <w:p w14:paraId="35B90D3A" w14:textId="77777777" w:rsidR="00000000" w:rsidRDefault="00C1661D">
            <w:pPr>
              <w:spacing w:after="100"/>
              <w:rPr>
                <w:rFonts w:eastAsia="Times New Roman"/>
                <w:sz w:val="20"/>
                <w:szCs w:val="20"/>
              </w:rPr>
            </w:pPr>
          </w:p>
        </w:tc>
        <w:tc>
          <w:tcPr>
            <w:tcW w:w="26" w:type="pct"/>
            <w:vAlign w:val="center"/>
            <w:hideMark/>
          </w:tcPr>
          <w:p w14:paraId="173D4C27" w14:textId="77777777" w:rsidR="00000000" w:rsidRDefault="00C1661D">
            <w:pPr>
              <w:spacing w:after="100"/>
              <w:rPr>
                <w:rFonts w:eastAsia="Times New Roman"/>
                <w:sz w:val="20"/>
                <w:szCs w:val="20"/>
              </w:rPr>
            </w:pPr>
          </w:p>
        </w:tc>
        <w:tc>
          <w:tcPr>
            <w:tcW w:w="5" w:type="pct"/>
            <w:vAlign w:val="center"/>
            <w:hideMark/>
          </w:tcPr>
          <w:p w14:paraId="259F4518" w14:textId="77777777" w:rsidR="00000000" w:rsidRDefault="00C1661D">
            <w:pPr>
              <w:spacing w:after="100"/>
              <w:rPr>
                <w:rFonts w:eastAsia="Times New Roman"/>
                <w:sz w:val="20"/>
                <w:szCs w:val="20"/>
              </w:rPr>
            </w:pPr>
          </w:p>
        </w:tc>
        <w:tc>
          <w:tcPr>
            <w:tcW w:w="50" w:type="pct"/>
            <w:vAlign w:val="center"/>
            <w:hideMark/>
          </w:tcPr>
          <w:p w14:paraId="6A2A63C9" w14:textId="77777777" w:rsidR="00000000" w:rsidRDefault="00C1661D">
            <w:pPr>
              <w:spacing w:after="100"/>
              <w:rPr>
                <w:rFonts w:eastAsia="Times New Roman"/>
                <w:sz w:val="20"/>
                <w:szCs w:val="20"/>
              </w:rPr>
            </w:pPr>
          </w:p>
        </w:tc>
        <w:tc>
          <w:tcPr>
            <w:tcW w:w="531" w:type="pct"/>
            <w:vAlign w:val="center"/>
            <w:hideMark/>
          </w:tcPr>
          <w:p w14:paraId="77430D74" w14:textId="77777777" w:rsidR="00000000" w:rsidRDefault="00C1661D">
            <w:pPr>
              <w:spacing w:after="100"/>
              <w:rPr>
                <w:rFonts w:eastAsia="Times New Roman"/>
                <w:sz w:val="20"/>
                <w:szCs w:val="20"/>
              </w:rPr>
            </w:pPr>
          </w:p>
        </w:tc>
        <w:tc>
          <w:tcPr>
            <w:tcW w:w="5" w:type="pct"/>
            <w:vAlign w:val="center"/>
            <w:hideMark/>
          </w:tcPr>
          <w:p w14:paraId="62680982" w14:textId="77777777" w:rsidR="00000000" w:rsidRDefault="00C1661D">
            <w:pPr>
              <w:spacing w:after="100"/>
              <w:rPr>
                <w:rFonts w:eastAsia="Times New Roman"/>
                <w:sz w:val="20"/>
                <w:szCs w:val="20"/>
              </w:rPr>
            </w:pPr>
          </w:p>
        </w:tc>
      </w:tr>
      <w:tr w:rsidR="00000000" w14:paraId="0B171FED" w14:textId="77777777">
        <w:trPr>
          <w:divId w:val="850677515"/>
        </w:trPr>
        <w:tc>
          <w:tcPr>
            <w:tcW w:w="0" w:type="auto"/>
            <w:gridSpan w:val="3"/>
            <w:tcMar>
              <w:top w:w="30" w:type="dxa"/>
              <w:left w:w="20" w:type="dxa"/>
              <w:bottom w:w="30" w:type="dxa"/>
              <w:right w:w="20" w:type="dxa"/>
            </w:tcMar>
            <w:vAlign w:val="bottom"/>
            <w:hideMark/>
          </w:tcPr>
          <w:p w14:paraId="0EF66ADD" w14:textId="77777777" w:rsidR="00000000" w:rsidRDefault="00C1661D">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1E6E5DF4" w14:textId="77777777" w:rsidR="00000000" w:rsidRDefault="00C1661D">
            <w:pPr>
              <w:spacing w:after="100"/>
              <w:jc w:val="center"/>
              <w:rPr>
                <w:rFonts w:eastAsia="Times New Roman"/>
              </w:rPr>
            </w:pPr>
            <w:r>
              <w:rPr>
                <w:rFonts w:eastAsia="Times New Roman"/>
                <w:color w:val="000000"/>
                <w:sz w:val="20"/>
                <w:szCs w:val="20"/>
              </w:rPr>
              <w:t>Year Ended September 30,</w:t>
            </w:r>
          </w:p>
        </w:tc>
      </w:tr>
      <w:tr w:rsidR="00000000" w14:paraId="5541EE6F" w14:textId="77777777">
        <w:trPr>
          <w:divId w:val="850677515"/>
        </w:trPr>
        <w:tc>
          <w:tcPr>
            <w:tcW w:w="0" w:type="auto"/>
            <w:gridSpan w:val="3"/>
            <w:tcMar>
              <w:top w:w="30" w:type="dxa"/>
              <w:left w:w="20" w:type="dxa"/>
              <w:bottom w:w="30" w:type="dxa"/>
              <w:right w:w="20" w:type="dxa"/>
            </w:tcMar>
            <w:vAlign w:val="bottom"/>
            <w:hideMark/>
          </w:tcPr>
          <w:p w14:paraId="1130891D"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E08D1FD"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36C9016"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E03FCE"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13FCBB4C"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AA1704" w14:textId="77777777" w:rsidR="00000000" w:rsidRDefault="00C1661D">
            <w:pPr>
              <w:spacing w:after="100"/>
              <w:jc w:val="center"/>
              <w:rPr>
                <w:rFonts w:eastAsia="Times New Roman"/>
              </w:rPr>
            </w:pPr>
            <w:r>
              <w:rPr>
                <w:rFonts w:eastAsia="Times New Roman"/>
                <w:color w:val="000000"/>
                <w:sz w:val="20"/>
                <w:szCs w:val="20"/>
              </w:rPr>
              <w:t>2020</w:t>
            </w:r>
          </w:p>
        </w:tc>
      </w:tr>
      <w:tr w:rsidR="00000000" w14:paraId="18C40692" w14:textId="77777777">
        <w:trPr>
          <w:divId w:val="850677515"/>
        </w:trPr>
        <w:tc>
          <w:tcPr>
            <w:tcW w:w="0" w:type="auto"/>
            <w:gridSpan w:val="3"/>
            <w:shd w:val="clear" w:color="auto" w:fill="CCEEFF"/>
            <w:tcMar>
              <w:top w:w="30" w:type="dxa"/>
              <w:left w:w="20" w:type="dxa"/>
              <w:bottom w:w="30" w:type="dxa"/>
              <w:right w:w="20" w:type="dxa"/>
            </w:tcMar>
            <w:vAlign w:val="bottom"/>
            <w:hideMark/>
          </w:tcPr>
          <w:p w14:paraId="5D650D70" w14:textId="77777777" w:rsidR="00000000" w:rsidRDefault="00C1661D">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8C157DC"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C54420C"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776D03A"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41F234D"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99A1FD5" w14:textId="77777777" w:rsidR="00000000" w:rsidRDefault="00C1661D">
            <w:pPr>
              <w:spacing w:after="100"/>
              <w:rPr>
                <w:rFonts w:eastAsia="Times New Roman"/>
              </w:rPr>
            </w:pPr>
            <w:r>
              <w:rPr>
                <w:rFonts w:eastAsia="Times New Roman"/>
                <w:color w:val="000000"/>
                <w:sz w:val="20"/>
                <w:szCs w:val="20"/>
              </w:rPr>
              <w:t> </w:t>
            </w:r>
          </w:p>
        </w:tc>
      </w:tr>
      <w:tr w:rsidR="00000000" w14:paraId="2D76B9F2" w14:textId="77777777">
        <w:trPr>
          <w:divId w:val="850677515"/>
        </w:trPr>
        <w:tc>
          <w:tcPr>
            <w:tcW w:w="0" w:type="auto"/>
            <w:gridSpan w:val="3"/>
            <w:shd w:val="clear" w:color="auto" w:fill="FFFFFF"/>
            <w:tcMar>
              <w:top w:w="30" w:type="dxa"/>
              <w:left w:w="155" w:type="dxa"/>
              <w:bottom w:w="30" w:type="dxa"/>
              <w:right w:w="20" w:type="dxa"/>
            </w:tcMar>
            <w:vAlign w:val="bottom"/>
            <w:hideMark/>
          </w:tcPr>
          <w:p w14:paraId="333CE0DD" w14:textId="77777777" w:rsidR="00000000" w:rsidRDefault="00C1661D">
            <w:pPr>
              <w:spacing w:after="100"/>
              <w:rPr>
                <w:rFonts w:eastAsia="Times New Roman"/>
              </w:rPr>
            </w:pPr>
            <w:r>
              <w:rPr>
                <w:rFonts w:eastAsia="Times New Roman"/>
                <w:color w:val="000000"/>
                <w:sz w:val="20"/>
                <w:szCs w:val="20"/>
              </w:rPr>
              <w:t>Net income including noncontrolling interests</w:t>
            </w:r>
          </w:p>
        </w:tc>
        <w:tc>
          <w:tcPr>
            <w:tcW w:w="0" w:type="auto"/>
            <w:shd w:val="clear" w:color="auto" w:fill="FFFFFF"/>
            <w:tcMar>
              <w:top w:w="30" w:type="dxa"/>
              <w:left w:w="20" w:type="dxa"/>
              <w:bottom w:w="30" w:type="dxa"/>
              <w:right w:w="0" w:type="dxa"/>
            </w:tcMar>
            <w:vAlign w:val="bottom"/>
            <w:hideMark/>
          </w:tcPr>
          <w:p w14:paraId="418B3F4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606403C" w14:textId="77777777" w:rsidR="00000000" w:rsidRDefault="00C1661D">
            <w:pPr>
              <w:spacing w:after="100"/>
              <w:jc w:val="right"/>
              <w:rPr>
                <w:rFonts w:eastAsia="Times New Roman"/>
              </w:rPr>
            </w:pPr>
            <w:r>
              <w:rPr>
                <w:rFonts w:eastAsia="Times New Roman"/>
                <w:color w:val="000000"/>
                <w:sz w:val="20"/>
                <w:szCs w:val="20"/>
              </w:rPr>
              <w:t>1,074 </w:t>
            </w:r>
          </w:p>
        </w:tc>
        <w:tc>
          <w:tcPr>
            <w:tcW w:w="0" w:type="auto"/>
            <w:shd w:val="clear" w:color="auto" w:fill="FFFFFF"/>
            <w:tcMar>
              <w:top w:w="30" w:type="dxa"/>
              <w:left w:w="0" w:type="dxa"/>
              <w:bottom w:w="30" w:type="dxa"/>
              <w:right w:w="20" w:type="dxa"/>
            </w:tcMar>
            <w:vAlign w:val="bottom"/>
            <w:hideMark/>
          </w:tcPr>
          <w:p w14:paraId="08DB0A4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6F0E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F4D25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13545B2" w14:textId="77777777" w:rsidR="00000000" w:rsidRDefault="00C1661D">
            <w:pPr>
              <w:spacing w:after="100"/>
              <w:jc w:val="right"/>
              <w:rPr>
                <w:rFonts w:eastAsia="Times New Roman"/>
              </w:rPr>
            </w:pPr>
            <w:r>
              <w:rPr>
                <w:rFonts w:eastAsia="Times New Roman"/>
                <w:color w:val="000000"/>
                <w:sz w:val="20"/>
                <w:szCs w:val="20"/>
              </w:rPr>
              <w:t>1,467 </w:t>
            </w:r>
          </w:p>
        </w:tc>
        <w:tc>
          <w:tcPr>
            <w:tcW w:w="0" w:type="auto"/>
            <w:shd w:val="clear" w:color="auto" w:fill="FFFFFF"/>
            <w:tcMar>
              <w:top w:w="30" w:type="dxa"/>
              <w:left w:w="0" w:type="dxa"/>
              <w:bottom w:w="30" w:type="dxa"/>
              <w:right w:w="20" w:type="dxa"/>
            </w:tcMar>
            <w:vAlign w:val="bottom"/>
            <w:hideMark/>
          </w:tcPr>
          <w:p w14:paraId="73BF701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3C059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AE373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88DA8C" w14:textId="77777777" w:rsidR="00000000" w:rsidRDefault="00C1661D">
            <w:pPr>
              <w:spacing w:after="100"/>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bottom"/>
            <w:hideMark/>
          </w:tcPr>
          <w:p w14:paraId="36351516" w14:textId="77777777" w:rsidR="00000000" w:rsidRDefault="00C1661D">
            <w:pPr>
              <w:spacing w:after="100"/>
              <w:jc w:val="right"/>
              <w:rPr>
                <w:rFonts w:eastAsia="Times New Roman"/>
              </w:rPr>
            </w:pPr>
          </w:p>
        </w:tc>
      </w:tr>
      <w:tr w:rsidR="00000000" w14:paraId="5502091B" w14:textId="77777777">
        <w:trPr>
          <w:divId w:val="850677515"/>
        </w:trPr>
        <w:tc>
          <w:tcPr>
            <w:tcW w:w="0" w:type="auto"/>
            <w:gridSpan w:val="3"/>
            <w:shd w:val="clear" w:color="auto" w:fill="CCEEFF"/>
            <w:tcMar>
              <w:top w:w="30" w:type="dxa"/>
              <w:left w:w="155" w:type="dxa"/>
              <w:bottom w:w="30" w:type="dxa"/>
              <w:right w:w="20" w:type="dxa"/>
            </w:tcMar>
            <w:vAlign w:val="bottom"/>
            <w:hideMark/>
          </w:tcPr>
          <w:p w14:paraId="3EC8414C" w14:textId="77777777" w:rsidR="00000000" w:rsidRDefault="00C1661D">
            <w:pPr>
              <w:spacing w:after="100"/>
              <w:rPr>
                <w:rFonts w:eastAsia="Times New Roman"/>
              </w:rPr>
            </w:pPr>
            <w:r>
              <w:rPr>
                <w:rFonts w:eastAsia="Times New Roman"/>
                <w:color w:val="000000"/>
                <w:sz w:val="20"/>
                <w:szCs w:val="20"/>
              </w:rPr>
              <w:t>Adjustments to reconcile net income including noncontrolling interests to net cash provided by operating activities:</w:t>
            </w:r>
          </w:p>
        </w:tc>
        <w:tc>
          <w:tcPr>
            <w:tcW w:w="0" w:type="auto"/>
            <w:gridSpan w:val="3"/>
            <w:shd w:val="clear" w:color="auto" w:fill="CCEEFF"/>
            <w:tcMar>
              <w:top w:w="30" w:type="dxa"/>
              <w:left w:w="20" w:type="dxa"/>
              <w:bottom w:w="30" w:type="dxa"/>
              <w:right w:w="20" w:type="dxa"/>
            </w:tcMar>
            <w:vAlign w:val="bottom"/>
            <w:hideMark/>
          </w:tcPr>
          <w:p w14:paraId="237DC5EC"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B1EA2E3"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15BA220"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367804A"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4B1687A" w14:textId="77777777" w:rsidR="00000000" w:rsidRDefault="00C1661D">
            <w:pPr>
              <w:spacing w:after="100"/>
              <w:rPr>
                <w:rFonts w:eastAsia="Times New Roman"/>
              </w:rPr>
            </w:pPr>
            <w:r>
              <w:rPr>
                <w:rFonts w:eastAsia="Times New Roman"/>
                <w:color w:val="000000"/>
                <w:sz w:val="20"/>
                <w:szCs w:val="20"/>
              </w:rPr>
              <w:t> </w:t>
            </w:r>
          </w:p>
        </w:tc>
      </w:tr>
      <w:tr w:rsidR="00000000" w14:paraId="0F264215" w14:textId="77777777">
        <w:trPr>
          <w:divId w:val="850677515"/>
        </w:trPr>
        <w:tc>
          <w:tcPr>
            <w:tcW w:w="0" w:type="auto"/>
            <w:gridSpan w:val="3"/>
            <w:shd w:val="clear" w:color="auto" w:fill="FFFFFF"/>
            <w:tcMar>
              <w:top w:w="30" w:type="dxa"/>
              <w:left w:w="605" w:type="dxa"/>
              <w:bottom w:w="30" w:type="dxa"/>
              <w:right w:w="20" w:type="dxa"/>
            </w:tcMar>
            <w:vAlign w:val="bottom"/>
            <w:hideMark/>
          </w:tcPr>
          <w:p w14:paraId="4A242328" w14:textId="77777777" w:rsidR="00000000" w:rsidRDefault="00C1661D">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14:paraId="676580E8" w14:textId="77777777" w:rsidR="00000000" w:rsidRDefault="00C1661D">
            <w:pPr>
              <w:spacing w:after="100"/>
              <w:jc w:val="right"/>
              <w:rPr>
                <w:rFonts w:eastAsia="Times New Roman"/>
              </w:rPr>
            </w:pPr>
            <w:r>
              <w:rPr>
                <w:rFonts w:eastAsia="Times New Roman"/>
                <w:color w:val="000000"/>
                <w:sz w:val="20"/>
                <w:szCs w:val="20"/>
              </w:rPr>
              <w:t>518 </w:t>
            </w:r>
          </w:p>
        </w:tc>
        <w:tc>
          <w:tcPr>
            <w:tcW w:w="0" w:type="auto"/>
            <w:shd w:val="clear" w:color="auto" w:fill="FFFFFF"/>
            <w:tcMar>
              <w:top w:w="30" w:type="dxa"/>
              <w:left w:w="0" w:type="dxa"/>
              <w:bottom w:w="30" w:type="dxa"/>
              <w:right w:w="20" w:type="dxa"/>
            </w:tcMar>
            <w:vAlign w:val="bottom"/>
            <w:hideMark/>
          </w:tcPr>
          <w:p w14:paraId="3C0F3A2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366C9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EFC952" w14:textId="77777777" w:rsidR="00000000" w:rsidRDefault="00C1661D">
            <w:pPr>
              <w:spacing w:after="100"/>
              <w:jc w:val="right"/>
              <w:rPr>
                <w:rFonts w:eastAsia="Times New Roman"/>
              </w:rPr>
            </w:pPr>
            <w:r>
              <w:rPr>
                <w:rFonts w:eastAsia="Times New Roman"/>
                <w:color w:val="000000"/>
                <w:sz w:val="20"/>
                <w:szCs w:val="20"/>
              </w:rPr>
              <w:t>502 </w:t>
            </w:r>
          </w:p>
        </w:tc>
        <w:tc>
          <w:tcPr>
            <w:tcW w:w="0" w:type="auto"/>
            <w:shd w:val="clear" w:color="auto" w:fill="FFFFFF"/>
            <w:tcMar>
              <w:top w:w="30" w:type="dxa"/>
              <w:left w:w="0" w:type="dxa"/>
              <w:bottom w:w="30" w:type="dxa"/>
              <w:right w:w="20" w:type="dxa"/>
            </w:tcMar>
            <w:vAlign w:val="bottom"/>
            <w:hideMark/>
          </w:tcPr>
          <w:p w14:paraId="6B0B360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25030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F15ACA" w14:textId="77777777" w:rsidR="00000000" w:rsidRDefault="00C1661D">
            <w:pPr>
              <w:spacing w:after="100"/>
              <w:jc w:val="right"/>
              <w:rPr>
                <w:rFonts w:eastAsia="Times New Roman"/>
              </w:rPr>
            </w:pPr>
            <w:r>
              <w:rPr>
                <w:rFonts w:eastAsia="Times New Roman"/>
                <w:color w:val="000000"/>
                <w:sz w:val="20"/>
                <w:szCs w:val="20"/>
              </w:rPr>
              <w:t>484 </w:t>
            </w:r>
          </w:p>
        </w:tc>
        <w:tc>
          <w:tcPr>
            <w:tcW w:w="0" w:type="auto"/>
            <w:shd w:val="clear" w:color="auto" w:fill="FFFFFF"/>
            <w:tcMar>
              <w:top w:w="30" w:type="dxa"/>
              <w:left w:w="0" w:type="dxa"/>
              <w:bottom w:w="30" w:type="dxa"/>
              <w:right w:w="20" w:type="dxa"/>
            </w:tcMar>
            <w:vAlign w:val="bottom"/>
            <w:hideMark/>
          </w:tcPr>
          <w:p w14:paraId="7C34C2E8" w14:textId="77777777" w:rsidR="00000000" w:rsidRDefault="00C1661D">
            <w:pPr>
              <w:spacing w:after="100"/>
              <w:jc w:val="right"/>
              <w:rPr>
                <w:rFonts w:eastAsia="Times New Roman"/>
              </w:rPr>
            </w:pPr>
          </w:p>
        </w:tc>
      </w:tr>
      <w:tr w:rsidR="00000000" w14:paraId="1BBF1C78" w14:textId="77777777">
        <w:trPr>
          <w:divId w:val="850677515"/>
        </w:trPr>
        <w:tc>
          <w:tcPr>
            <w:tcW w:w="0" w:type="auto"/>
            <w:gridSpan w:val="3"/>
            <w:shd w:val="clear" w:color="auto" w:fill="CCEEFF"/>
            <w:tcMar>
              <w:top w:w="30" w:type="dxa"/>
              <w:left w:w="605" w:type="dxa"/>
              <w:bottom w:w="30" w:type="dxa"/>
              <w:right w:w="20" w:type="dxa"/>
            </w:tcMar>
            <w:vAlign w:val="bottom"/>
            <w:hideMark/>
          </w:tcPr>
          <w:p w14:paraId="49C1E696" w14:textId="77777777" w:rsidR="00000000" w:rsidRDefault="00C1661D">
            <w:pPr>
              <w:spacing w:after="100"/>
              <w:rPr>
                <w:rFonts w:eastAsia="Times New Roman"/>
              </w:rPr>
            </w:pPr>
            <w:r>
              <w:rPr>
                <w:rFonts w:eastAsia="Times New Roman"/>
                <w:color w:val="000000"/>
                <w:sz w:val="20"/>
                <w:szCs w:val="20"/>
              </w:rPr>
              <w:t>Deferred income tax expense, net</w:t>
            </w:r>
          </w:p>
        </w:tc>
        <w:tc>
          <w:tcPr>
            <w:tcW w:w="0" w:type="auto"/>
            <w:gridSpan w:val="2"/>
            <w:shd w:val="clear" w:color="auto" w:fill="CCEEFF"/>
            <w:tcMar>
              <w:top w:w="30" w:type="dxa"/>
              <w:left w:w="20" w:type="dxa"/>
              <w:bottom w:w="30" w:type="dxa"/>
              <w:right w:w="0" w:type="dxa"/>
            </w:tcMar>
            <w:vAlign w:val="bottom"/>
            <w:hideMark/>
          </w:tcPr>
          <w:p w14:paraId="2EB7E2DB" w14:textId="77777777" w:rsidR="00000000" w:rsidRDefault="00C1661D">
            <w:pPr>
              <w:spacing w:after="100"/>
              <w:jc w:val="right"/>
              <w:rPr>
                <w:rFonts w:eastAsia="Times New Roman"/>
              </w:rPr>
            </w:pPr>
            <w:r>
              <w:rPr>
                <w:rFonts w:eastAsia="Times New Roman"/>
                <w:color w:val="000000"/>
                <w:sz w:val="20"/>
                <w:szCs w:val="20"/>
              </w:rPr>
              <w:t>221 </w:t>
            </w:r>
          </w:p>
        </w:tc>
        <w:tc>
          <w:tcPr>
            <w:tcW w:w="0" w:type="auto"/>
            <w:shd w:val="clear" w:color="auto" w:fill="CCEEFF"/>
            <w:tcMar>
              <w:top w:w="30" w:type="dxa"/>
              <w:left w:w="0" w:type="dxa"/>
              <w:bottom w:w="30" w:type="dxa"/>
              <w:right w:w="20" w:type="dxa"/>
            </w:tcMar>
            <w:vAlign w:val="bottom"/>
            <w:hideMark/>
          </w:tcPr>
          <w:p w14:paraId="5F86C7A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A5E7D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BC40AF" w14:textId="77777777" w:rsidR="00000000" w:rsidRDefault="00C1661D">
            <w:pPr>
              <w:spacing w:after="100"/>
              <w:jc w:val="right"/>
              <w:rPr>
                <w:rFonts w:eastAsia="Times New Roman"/>
              </w:rPr>
            </w:pPr>
            <w:r>
              <w:rPr>
                <w:rFonts w:eastAsia="Times New Roman"/>
                <w:color w:val="000000"/>
                <w:sz w:val="20"/>
                <w:szCs w:val="20"/>
              </w:rPr>
              <w:t>478 </w:t>
            </w:r>
          </w:p>
        </w:tc>
        <w:tc>
          <w:tcPr>
            <w:tcW w:w="0" w:type="auto"/>
            <w:shd w:val="clear" w:color="auto" w:fill="CCEEFF"/>
            <w:tcMar>
              <w:top w:w="30" w:type="dxa"/>
              <w:left w:w="0" w:type="dxa"/>
              <w:bottom w:w="30" w:type="dxa"/>
              <w:right w:w="20" w:type="dxa"/>
            </w:tcMar>
            <w:vAlign w:val="bottom"/>
            <w:hideMark/>
          </w:tcPr>
          <w:p w14:paraId="5C0A2CA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60BE0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6773A0" w14:textId="77777777" w:rsidR="00000000" w:rsidRDefault="00C1661D">
            <w:pPr>
              <w:spacing w:after="100"/>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14:paraId="42CBB3D7" w14:textId="77777777" w:rsidR="00000000" w:rsidRDefault="00C1661D">
            <w:pPr>
              <w:spacing w:after="100"/>
              <w:jc w:val="right"/>
              <w:rPr>
                <w:rFonts w:eastAsia="Times New Roman"/>
              </w:rPr>
            </w:pPr>
          </w:p>
        </w:tc>
      </w:tr>
      <w:tr w:rsidR="00000000" w14:paraId="22CF9363" w14:textId="77777777">
        <w:trPr>
          <w:divId w:val="850677515"/>
        </w:trPr>
        <w:tc>
          <w:tcPr>
            <w:tcW w:w="0" w:type="auto"/>
            <w:gridSpan w:val="3"/>
            <w:shd w:val="clear" w:color="auto" w:fill="FFFFFF"/>
            <w:tcMar>
              <w:top w:w="30" w:type="dxa"/>
              <w:left w:w="605" w:type="dxa"/>
              <w:bottom w:w="30" w:type="dxa"/>
              <w:right w:w="20" w:type="dxa"/>
            </w:tcMar>
            <w:vAlign w:val="bottom"/>
            <w:hideMark/>
          </w:tcPr>
          <w:p w14:paraId="0DB3E783" w14:textId="77777777" w:rsidR="00000000" w:rsidRDefault="00C1661D">
            <w:pPr>
              <w:spacing w:after="100"/>
              <w:rPr>
                <w:rFonts w:eastAsia="Times New Roman"/>
              </w:rPr>
            </w:pPr>
            <w:r>
              <w:rPr>
                <w:rFonts w:eastAsia="Times New Roman"/>
                <w:color w:val="000000"/>
                <w:sz w:val="20"/>
                <w:szCs w:val="20"/>
              </w:rPr>
              <w:t>Provision for uncollectible accounts</w:t>
            </w:r>
          </w:p>
        </w:tc>
        <w:tc>
          <w:tcPr>
            <w:tcW w:w="0" w:type="auto"/>
            <w:gridSpan w:val="2"/>
            <w:shd w:val="clear" w:color="auto" w:fill="FFFFFF"/>
            <w:tcMar>
              <w:top w:w="30" w:type="dxa"/>
              <w:left w:w="20" w:type="dxa"/>
              <w:bottom w:w="30" w:type="dxa"/>
              <w:right w:w="0" w:type="dxa"/>
            </w:tcMar>
            <w:vAlign w:val="bottom"/>
            <w:hideMark/>
          </w:tcPr>
          <w:p w14:paraId="49C53DBE" w14:textId="77777777" w:rsidR="00000000" w:rsidRDefault="00C1661D">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14:paraId="2EDE81D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28949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DA0DA6" w14:textId="77777777" w:rsidR="00000000" w:rsidRDefault="00C1661D">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14:paraId="0C4A5F2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30A6A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75D51F" w14:textId="77777777" w:rsidR="00000000" w:rsidRDefault="00C1661D">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14:paraId="707DBD2E" w14:textId="77777777" w:rsidR="00000000" w:rsidRDefault="00C1661D">
            <w:pPr>
              <w:spacing w:after="100"/>
              <w:jc w:val="right"/>
              <w:rPr>
                <w:rFonts w:eastAsia="Times New Roman"/>
              </w:rPr>
            </w:pPr>
          </w:p>
        </w:tc>
      </w:tr>
      <w:tr w:rsidR="00000000" w14:paraId="5FC73B69" w14:textId="77777777">
        <w:trPr>
          <w:divId w:val="850677515"/>
        </w:trPr>
        <w:tc>
          <w:tcPr>
            <w:tcW w:w="0" w:type="auto"/>
            <w:gridSpan w:val="3"/>
            <w:shd w:val="clear" w:color="auto" w:fill="CCEEFF"/>
            <w:tcMar>
              <w:top w:w="30" w:type="dxa"/>
              <w:left w:w="605" w:type="dxa"/>
              <w:bottom w:w="30" w:type="dxa"/>
              <w:right w:w="20" w:type="dxa"/>
            </w:tcMar>
            <w:vAlign w:val="bottom"/>
            <w:hideMark/>
          </w:tcPr>
          <w:p w14:paraId="1055F23E" w14:textId="77777777" w:rsidR="00000000" w:rsidRDefault="00C1661D">
            <w:pPr>
              <w:spacing w:after="100"/>
              <w:rPr>
                <w:rFonts w:eastAsia="Times New Roman"/>
              </w:rPr>
            </w:pPr>
            <w:r>
              <w:rPr>
                <w:rFonts w:eastAsia="Times New Roman"/>
                <w:color w:val="000000"/>
                <w:sz w:val="20"/>
                <w:szCs w:val="20"/>
              </w:rPr>
              <w:t>Changes in unrealized gains on derivative instruments</w:t>
            </w:r>
          </w:p>
        </w:tc>
        <w:tc>
          <w:tcPr>
            <w:tcW w:w="0" w:type="auto"/>
            <w:gridSpan w:val="2"/>
            <w:shd w:val="clear" w:color="auto" w:fill="CCEEFF"/>
            <w:tcMar>
              <w:top w:w="30" w:type="dxa"/>
              <w:left w:w="20" w:type="dxa"/>
              <w:bottom w:w="30" w:type="dxa"/>
              <w:right w:w="0" w:type="dxa"/>
            </w:tcMar>
            <w:vAlign w:val="bottom"/>
            <w:hideMark/>
          </w:tcPr>
          <w:p w14:paraId="4C3AED9E" w14:textId="77777777" w:rsidR="00000000" w:rsidRDefault="00C1661D">
            <w:pPr>
              <w:spacing w:after="100"/>
              <w:jc w:val="right"/>
              <w:rPr>
                <w:rFonts w:eastAsia="Times New Roman"/>
              </w:rPr>
            </w:pPr>
            <w:r>
              <w:rPr>
                <w:rFonts w:eastAsia="Times New Roman"/>
                <w:color w:val="000000"/>
                <w:sz w:val="20"/>
                <w:szCs w:val="20"/>
              </w:rPr>
              <w:t>(648)</w:t>
            </w:r>
          </w:p>
        </w:tc>
        <w:tc>
          <w:tcPr>
            <w:tcW w:w="0" w:type="auto"/>
            <w:shd w:val="clear" w:color="auto" w:fill="CCEEFF"/>
            <w:tcMar>
              <w:top w:w="30" w:type="dxa"/>
              <w:left w:w="0" w:type="dxa"/>
              <w:bottom w:w="30" w:type="dxa"/>
              <w:right w:w="20" w:type="dxa"/>
            </w:tcMar>
            <w:vAlign w:val="bottom"/>
            <w:hideMark/>
          </w:tcPr>
          <w:p w14:paraId="0BBAAFF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FDBAA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EF42D0" w14:textId="77777777" w:rsidR="00000000" w:rsidRDefault="00C1661D">
            <w:pPr>
              <w:spacing w:after="100"/>
              <w:jc w:val="right"/>
              <w:rPr>
                <w:rFonts w:eastAsia="Times New Roman"/>
              </w:rPr>
            </w:pPr>
            <w:r>
              <w:rPr>
                <w:rFonts w:eastAsia="Times New Roman"/>
                <w:color w:val="000000"/>
                <w:sz w:val="20"/>
                <w:szCs w:val="20"/>
              </w:rPr>
              <w:t>(1,398)</w:t>
            </w:r>
          </w:p>
        </w:tc>
        <w:tc>
          <w:tcPr>
            <w:tcW w:w="0" w:type="auto"/>
            <w:shd w:val="clear" w:color="auto" w:fill="CCEEFF"/>
            <w:tcMar>
              <w:top w:w="30" w:type="dxa"/>
              <w:left w:w="0" w:type="dxa"/>
              <w:bottom w:w="30" w:type="dxa"/>
              <w:right w:w="20" w:type="dxa"/>
            </w:tcMar>
            <w:vAlign w:val="bottom"/>
            <w:hideMark/>
          </w:tcPr>
          <w:p w14:paraId="00E2CF6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A56F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27FBD6" w14:textId="77777777" w:rsidR="00000000" w:rsidRDefault="00C1661D">
            <w:pPr>
              <w:spacing w:after="100"/>
              <w:jc w:val="right"/>
              <w:rPr>
                <w:rFonts w:eastAsia="Times New Roman"/>
              </w:rPr>
            </w:pPr>
            <w:r>
              <w:rPr>
                <w:rFonts w:eastAsia="Times New Roman"/>
                <w:color w:val="000000"/>
                <w:sz w:val="20"/>
                <w:szCs w:val="20"/>
              </w:rPr>
              <w:t>(81)</w:t>
            </w:r>
          </w:p>
        </w:tc>
        <w:tc>
          <w:tcPr>
            <w:tcW w:w="0" w:type="auto"/>
            <w:shd w:val="clear" w:color="auto" w:fill="CCEEFF"/>
            <w:tcMar>
              <w:top w:w="30" w:type="dxa"/>
              <w:left w:w="0" w:type="dxa"/>
              <w:bottom w:w="30" w:type="dxa"/>
              <w:right w:w="20" w:type="dxa"/>
            </w:tcMar>
            <w:vAlign w:val="bottom"/>
            <w:hideMark/>
          </w:tcPr>
          <w:p w14:paraId="45F4EA24" w14:textId="77777777" w:rsidR="00000000" w:rsidRDefault="00C1661D">
            <w:pPr>
              <w:spacing w:after="100"/>
              <w:jc w:val="right"/>
              <w:rPr>
                <w:rFonts w:eastAsia="Times New Roman"/>
              </w:rPr>
            </w:pPr>
          </w:p>
        </w:tc>
      </w:tr>
      <w:tr w:rsidR="00000000" w14:paraId="1C8CCBEC" w14:textId="77777777">
        <w:trPr>
          <w:divId w:val="850677515"/>
        </w:trPr>
        <w:tc>
          <w:tcPr>
            <w:tcW w:w="0" w:type="auto"/>
            <w:gridSpan w:val="3"/>
            <w:shd w:val="clear" w:color="auto" w:fill="FFFFFF"/>
            <w:tcMar>
              <w:top w:w="30" w:type="dxa"/>
              <w:left w:w="605" w:type="dxa"/>
              <w:bottom w:w="30" w:type="dxa"/>
              <w:right w:w="20" w:type="dxa"/>
            </w:tcMar>
            <w:vAlign w:val="bottom"/>
            <w:hideMark/>
          </w:tcPr>
          <w:p w14:paraId="793F0282" w14:textId="77777777" w:rsidR="00000000" w:rsidRDefault="00C1661D">
            <w:pPr>
              <w:spacing w:after="100"/>
              <w:rPr>
                <w:rFonts w:eastAsia="Times New Roman"/>
              </w:rPr>
            </w:pPr>
            <w:r>
              <w:rPr>
                <w:rFonts w:eastAsia="Times New Roman"/>
                <w:color w:val="000000"/>
                <w:sz w:val="20"/>
                <w:szCs w:val="20"/>
              </w:rPr>
              <w:t>Loss on disposals of Conemaugh and HVAC</w:t>
            </w:r>
          </w:p>
        </w:tc>
        <w:tc>
          <w:tcPr>
            <w:tcW w:w="0" w:type="auto"/>
            <w:gridSpan w:val="2"/>
            <w:shd w:val="clear" w:color="auto" w:fill="FFFFFF"/>
            <w:tcMar>
              <w:top w:w="30" w:type="dxa"/>
              <w:left w:w="20" w:type="dxa"/>
              <w:bottom w:w="30" w:type="dxa"/>
              <w:right w:w="0" w:type="dxa"/>
            </w:tcMar>
            <w:vAlign w:val="bottom"/>
            <w:hideMark/>
          </w:tcPr>
          <w:p w14:paraId="01502D7E"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BEDDC6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2DBDB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D376AF"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7CFEB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45EA2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34FBA4" w14:textId="77777777" w:rsidR="00000000" w:rsidRDefault="00C1661D">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14:paraId="71A686C3" w14:textId="77777777" w:rsidR="00000000" w:rsidRDefault="00C1661D">
            <w:pPr>
              <w:spacing w:after="100"/>
              <w:jc w:val="right"/>
              <w:rPr>
                <w:rFonts w:eastAsia="Times New Roman"/>
              </w:rPr>
            </w:pPr>
          </w:p>
        </w:tc>
      </w:tr>
      <w:tr w:rsidR="00000000" w14:paraId="0D9A2FC2" w14:textId="77777777">
        <w:trPr>
          <w:divId w:val="850677515"/>
        </w:trPr>
        <w:tc>
          <w:tcPr>
            <w:tcW w:w="0" w:type="auto"/>
            <w:gridSpan w:val="3"/>
            <w:shd w:val="clear" w:color="auto" w:fill="CCEEFF"/>
            <w:tcMar>
              <w:top w:w="30" w:type="dxa"/>
              <w:left w:w="605" w:type="dxa"/>
              <w:bottom w:w="30" w:type="dxa"/>
              <w:right w:w="20" w:type="dxa"/>
            </w:tcMar>
            <w:vAlign w:val="bottom"/>
            <w:hideMark/>
          </w:tcPr>
          <w:p w14:paraId="6077D18F" w14:textId="77777777" w:rsidR="00000000" w:rsidRDefault="00C1661D">
            <w:pPr>
              <w:spacing w:after="100"/>
              <w:rPr>
                <w:rFonts w:eastAsia="Times New Roman"/>
              </w:rPr>
            </w:pPr>
            <w:r>
              <w:rPr>
                <w:rFonts w:eastAsia="Times New Roman"/>
                <w:color w:val="000000"/>
                <w:sz w:val="20"/>
                <w:szCs w:val="20"/>
              </w:rPr>
              <w:t>Equity-based compensation expense</w:t>
            </w:r>
          </w:p>
        </w:tc>
        <w:tc>
          <w:tcPr>
            <w:tcW w:w="0" w:type="auto"/>
            <w:gridSpan w:val="2"/>
            <w:shd w:val="clear" w:color="auto" w:fill="CCEEFF"/>
            <w:tcMar>
              <w:top w:w="30" w:type="dxa"/>
              <w:left w:w="20" w:type="dxa"/>
              <w:bottom w:w="30" w:type="dxa"/>
              <w:right w:w="0" w:type="dxa"/>
            </w:tcMar>
            <w:vAlign w:val="bottom"/>
            <w:hideMark/>
          </w:tcPr>
          <w:p w14:paraId="6FAF36F5" w14:textId="77777777" w:rsidR="00000000" w:rsidRDefault="00C1661D">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2FDC574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0E206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FD094C" w14:textId="77777777" w:rsidR="00000000" w:rsidRDefault="00C1661D">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695A7D3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82108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BFEBD2" w14:textId="77777777" w:rsidR="00000000" w:rsidRDefault="00C1661D">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1CC6B1A8" w14:textId="77777777" w:rsidR="00000000" w:rsidRDefault="00C1661D">
            <w:pPr>
              <w:spacing w:after="100"/>
              <w:jc w:val="right"/>
              <w:rPr>
                <w:rFonts w:eastAsia="Times New Roman"/>
              </w:rPr>
            </w:pPr>
          </w:p>
        </w:tc>
      </w:tr>
      <w:tr w:rsidR="00000000" w14:paraId="0E9FC007" w14:textId="77777777">
        <w:trPr>
          <w:divId w:val="850677515"/>
        </w:trPr>
        <w:tc>
          <w:tcPr>
            <w:tcW w:w="0" w:type="auto"/>
            <w:gridSpan w:val="3"/>
            <w:shd w:val="clear" w:color="auto" w:fill="FFFFFF"/>
            <w:tcMar>
              <w:top w:w="30" w:type="dxa"/>
              <w:left w:w="605" w:type="dxa"/>
              <w:bottom w:w="30" w:type="dxa"/>
              <w:right w:w="20" w:type="dxa"/>
            </w:tcMar>
            <w:vAlign w:val="bottom"/>
            <w:hideMark/>
          </w:tcPr>
          <w:p w14:paraId="6F26E204" w14:textId="77777777" w:rsidR="00000000" w:rsidRDefault="00C1661D">
            <w:pPr>
              <w:spacing w:after="100"/>
              <w:rPr>
                <w:rFonts w:eastAsia="Times New Roman"/>
              </w:rPr>
            </w:pPr>
            <w:r>
              <w:rPr>
                <w:rFonts w:eastAsia="Times New Roman"/>
                <w:color w:val="000000"/>
                <w:sz w:val="20"/>
                <w:szCs w:val="20"/>
              </w:rPr>
              <w:t>Loss on extinguishments of debt</w:t>
            </w:r>
          </w:p>
        </w:tc>
        <w:tc>
          <w:tcPr>
            <w:tcW w:w="0" w:type="auto"/>
            <w:gridSpan w:val="2"/>
            <w:shd w:val="clear" w:color="auto" w:fill="FFFFFF"/>
            <w:tcMar>
              <w:top w:w="30" w:type="dxa"/>
              <w:left w:w="20" w:type="dxa"/>
              <w:bottom w:w="30" w:type="dxa"/>
              <w:right w:w="0" w:type="dxa"/>
            </w:tcMar>
            <w:vAlign w:val="bottom"/>
            <w:hideMark/>
          </w:tcPr>
          <w:p w14:paraId="41B9AAAA" w14:textId="77777777" w:rsidR="00000000" w:rsidRDefault="00C1661D">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0AD5154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9EE0C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21CF72"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11FEEC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18222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E24419"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5B5385" w14:textId="77777777" w:rsidR="00000000" w:rsidRDefault="00C1661D">
            <w:pPr>
              <w:spacing w:after="100"/>
              <w:jc w:val="right"/>
              <w:rPr>
                <w:rFonts w:eastAsia="Times New Roman"/>
              </w:rPr>
            </w:pPr>
          </w:p>
        </w:tc>
      </w:tr>
      <w:tr w:rsidR="00000000" w14:paraId="03A22F32" w14:textId="77777777">
        <w:trPr>
          <w:divId w:val="850677515"/>
        </w:trPr>
        <w:tc>
          <w:tcPr>
            <w:tcW w:w="0" w:type="auto"/>
            <w:gridSpan w:val="3"/>
            <w:shd w:val="clear" w:color="auto" w:fill="CCEEFF"/>
            <w:tcMar>
              <w:top w:w="30" w:type="dxa"/>
              <w:left w:w="605" w:type="dxa"/>
              <w:bottom w:w="30" w:type="dxa"/>
              <w:right w:w="20" w:type="dxa"/>
            </w:tcMar>
            <w:vAlign w:val="bottom"/>
            <w:hideMark/>
          </w:tcPr>
          <w:p w14:paraId="2196948D" w14:textId="77777777" w:rsidR="00000000" w:rsidRDefault="00C1661D">
            <w:pPr>
              <w:spacing w:after="100"/>
              <w:rPr>
                <w:rFonts w:eastAsia="Times New Roman"/>
              </w:rPr>
            </w:pPr>
            <w:r>
              <w:rPr>
                <w:rFonts w:eastAsia="Times New Roman"/>
                <w:color w:val="000000"/>
                <w:sz w:val="20"/>
                <w:szCs w:val="20"/>
              </w:rPr>
              <w:t>Loss (income) from equity investees</w:t>
            </w:r>
          </w:p>
        </w:tc>
        <w:tc>
          <w:tcPr>
            <w:tcW w:w="0" w:type="auto"/>
            <w:gridSpan w:val="2"/>
            <w:shd w:val="clear" w:color="auto" w:fill="CCEEFF"/>
            <w:tcMar>
              <w:top w:w="30" w:type="dxa"/>
              <w:left w:w="20" w:type="dxa"/>
              <w:bottom w:w="30" w:type="dxa"/>
              <w:right w:w="0" w:type="dxa"/>
            </w:tcMar>
            <w:vAlign w:val="bottom"/>
            <w:hideMark/>
          </w:tcPr>
          <w:p w14:paraId="28CDAE0E" w14:textId="77777777" w:rsidR="00000000" w:rsidRDefault="00C1661D">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759B17D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E7B4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FB5909" w14:textId="77777777" w:rsidR="00000000" w:rsidRDefault="00C1661D">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14:paraId="419381B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516D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A9EE27" w14:textId="77777777" w:rsidR="00000000" w:rsidRDefault="00C1661D">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14:paraId="472222E9" w14:textId="77777777" w:rsidR="00000000" w:rsidRDefault="00C1661D">
            <w:pPr>
              <w:spacing w:after="100"/>
              <w:jc w:val="right"/>
              <w:rPr>
                <w:rFonts w:eastAsia="Times New Roman"/>
              </w:rPr>
            </w:pPr>
          </w:p>
        </w:tc>
      </w:tr>
      <w:tr w:rsidR="00000000" w14:paraId="206C0811" w14:textId="77777777">
        <w:trPr>
          <w:divId w:val="850677515"/>
        </w:trPr>
        <w:tc>
          <w:tcPr>
            <w:tcW w:w="0" w:type="auto"/>
            <w:gridSpan w:val="3"/>
            <w:shd w:val="clear" w:color="auto" w:fill="FFFFFF"/>
            <w:tcMar>
              <w:top w:w="30" w:type="dxa"/>
              <w:left w:w="605" w:type="dxa"/>
              <w:bottom w:w="30" w:type="dxa"/>
              <w:right w:w="20" w:type="dxa"/>
            </w:tcMar>
            <w:vAlign w:val="bottom"/>
            <w:hideMark/>
          </w:tcPr>
          <w:p w14:paraId="7FF94FE0" w14:textId="77777777" w:rsidR="00000000" w:rsidRDefault="00C1661D">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14:paraId="1A7A45DB"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5FD6913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8EB13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3185F1" w14:textId="77777777" w:rsidR="00000000" w:rsidRDefault="00C1661D">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14:paraId="1CEC24C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4C936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C0BD53" w14:textId="77777777" w:rsidR="00000000" w:rsidRDefault="00C1661D">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3B2BF53D" w14:textId="77777777" w:rsidR="00000000" w:rsidRDefault="00C1661D">
            <w:pPr>
              <w:spacing w:after="100"/>
              <w:jc w:val="right"/>
              <w:rPr>
                <w:rFonts w:eastAsia="Times New Roman"/>
              </w:rPr>
            </w:pPr>
          </w:p>
        </w:tc>
      </w:tr>
      <w:tr w:rsidR="00000000" w14:paraId="5E2782D6" w14:textId="77777777">
        <w:trPr>
          <w:divId w:val="850677515"/>
        </w:trPr>
        <w:tc>
          <w:tcPr>
            <w:tcW w:w="0" w:type="auto"/>
            <w:gridSpan w:val="3"/>
            <w:shd w:val="clear" w:color="auto" w:fill="CCEEFF"/>
            <w:tcMar>
              <w:top w:w="30" w:type="dxa"/>
              <w:left w:w="605" w:type="dxa"/>
              <w:bottom w:w="30" w:type="dxa"/>
              <w:right w:w="20" w:type="dxa"/>
            </w:tcMar>
            <w:vAlign w:val="bottom"/>
            <w:hideMark/>
          </w:tcPr>
          <w:p w14:paraId="6B7E4505" w14:textId="77777777" w:rsidR="00000000" w:rsidRDefault="00C1661D">
            <w:pPr>
              <w:spacing w:after="100"/>
              <w:rPr>
                <w:rFonts w:eastAsia="Times New Roman"/>
              </w:rPr>
            </w:pPr>
            <w:r>
              <w:rPr>
                <w:rFonts w:eastAsia="Times New Roman"/>
                <w:color w:val="000000"/>
                <w:sz w:val="20"/>
                <w:szCs w:val="20"/>
              </w:rPr>
              <w:t>Net change in:</w:t>
            </w:r>
          </w:p>
        </w:tc>
        <w:tc>
          <w:tcPr>
            <w:tcW w:w="0" w:type="auto"/>
            <w:gridSpan w:val="3"/>
            <w:shd w:val="clear" w:color="auto" w:fill="CCEEFF"/>
            <w:tcMar>
              <w:top w:w="30" w:type="dxa"/>
              <w:left w:w="20" w:type="dxa"/>
              <w:bottom w:w="30" w:type="dxa"/>
              <w:right w:w="20" w:type="dxa"/>
            </w:tcMar>
            <w:vAlign w:val="bottom"/>
            <w:hideMark/>
          </w:tcPr>
          <w:p w14:paraId="662AD0A4"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3931F4A"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E240917"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77D7B78"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3F66257" w14:textId="77777777" w:rsidR="00000000" w:rsidRDefault="00C1661D">
            <w:pPr>
              <w:spacing w:after="100"/>
              <w:rPr>
                <w:rFonts w:eastAsia="Times New Roman"/>
              </w:rPr>
            </w:pPr>
            <w:r>
              <w:rPr>
                <w:rFonts w:eastAsia="Times New Roman"/>
                <w:color w:val="000000"/>
                <w:sz w:val="20"/>
                <w:szCs w:val="20"/>
              </w:rPr>
              <w:t> </w:t>
            </w:r>
          </w:p>
        </w:tc>
      </w:tr>
      <w:tr w:rsidR="00000000" w14:paraId="7709FD09" w14:textId="77777777">
        <w:trPr>
          <w:divId w:val="850677515"/>
        </w:trPr>
        <w:tc>
          <w:tcPr>
            <w:tcW w:w="0" w:type="auto"/>
            <w:gridSpan w:val="3"/>
            <w:shd w:val="clear" w:color="auto" w:fill="FFFFFF"/>
            <w:tcMar>
              <w:top w:w="30" w:type="dxa"/>
              <w:left w:w="875" w:type="dxa"/>
              <w:bottom w:w="30" w:type="dxa"/>
              <w:right w:w="20" w:type="dxa"/>
            </w:tcMar>
            <w:vAlign w:val="bottom"/>
            <w:hideMark/>
          </w:tcPr>
          <w:p w14:paraId="2CD346C7" w14:textId="77777777" w:rsidR="00000000" w:rsidRDefault="00C1661D">
            <w:pPr>
              <w:spacing w:after="100"/>
              <w:rPr>
                <w:rFonts w:eastAsia="Times New Roman"/>
              </w:rPr>
            </w:pPr>
            <w:r>
              <w:rPr>
                <w:rFonts w:eastAsia="Times New Roman"/>
                <w:color w:val="000000"/>
                <w:sz w:val="20"/>
                <w:szCs w:val="20"/>
              </w:rPr>
              <w:t>Accounts receivable and accrued utility revenues</w:t>
            </w:r>
          </w:p>
        </w:tc>
        <w:tc>
          <w:tcPr>
            <w:tcW w:w="0" w:type="auto"/>
            <w:gridSpan w:val="2"/>
            <w:shd w:val="clear" w:color="auto" w:fill="FFFFFF"/>
            <w:tcMar>
              <w:top w:w="30" w:type="dxa"/>
              <w:left w:w="20" w:type="dxa"/>
              <w:bottom w:w="30" w:type="dxa"/>
              <w:right w:w="0" w:type="dxa"/>
            </w:tcMar>
            <w:vAlign w:val="bottom"/>
            <w:hideMark/>
          </w:tcPr>
          <w:p w14:paraId="404EFD82" w14:textId="77777777" w:rsidR="00000000" w:rsidRDefault="00C1661D">
            <w:pPr>
              <w:spacing w:after="100"/>
              <w:jc w:val="right"/>
              <w:rPr>
                <w:rFonts w:eastAsia="Times New Roman"/>
              </w:rPr>
            </w:pPr>
            <w:r>
              <w:rPr>
                <w:rFonts w:eastAsia="Times New Roman"/>
                <w:color w:val="000000"/>
                <w:sz w:val="20"/>
                <w:szCs w:val="20"/>
              </w:rPr>
              <w:t>(431)</w:t>
            </w:r>
          </w:p>
        </w:tc>
        <w:tc>
          <w:tcPr>
            <w:tcW w:w="0" w:type="auto"/>
            <w:shd w:val="clear" w:color="auto" w:fill="FFFFFF"/>
            <w:tcMar>
              <w:top w:w="30" w:type="dxa"/>
              <w:left w:w="0" w:type="dxa"/>
              <w:bottom w:w="30" w:type="dxa"/>
              <w:right w:w="20" w:type="dxa"/>
            </w:tcMar>
            <w:vAlign w:val="bottom"/>
            <w:hideMark/>
          </w:tcPr>
          <w:p w14:paraId="31604D6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7295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49A0CF" w14:textId="77777777" w:rsidR="00000000" w:rsidRDefault="00C1661D">
            <w:pPr>
              <w:spacing w:after="100"/>
              <w:jc w:val="right"/>
              <w:rPr>
                <w:rFonts w:eastAsia="Times New Roman"/>
              </w:rPr>
            </w:pPr>
            <w:r>
              <w:rPr>
                <w:rFonts w:eastAsia="Times New Roman"/>
                <w:color w:val="000000"/>
                <w:sz w:val="20"/>
                <w:szCs w:val="20"/>
              </w:rPr>
              <w:t>(233)</w:t>
            </w:r>
          </w:p>
        </w:tc>
        <w:tc>
          <w:tcPr>
            <w:tcW w:w="0" w:type="auto"/>
            <w:shd w:val="clear" w:color="auto" w:fill="FFFFFF"/>
            <w:tcMar>
              <w:top w:w="30" w:type="dxa"/>
              <w:left w:w="0" w:type="dxa"/>
              <w:bottom w:w="30" w:type="dxa"/>
              <w:right w:w="20" w:type="dxa"/>
            </w:tcMar>
            <w:vAlign w:val="bottom"/>
            <w:hideMark/>
          </w:tcPr>
          <w:p w14:paraId="15AAF38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4C483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7B7A90" w14:textId="77777777" w:rsidR="00000000" w:rsidRDefault="00C1661D">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14:paraId="0B19C793" w14:textId="77777777" w:rsidR="00000000" w:rsidRDefault="00C1661D">
            <w:pPr>
              <w:spacing w:after="100"/>
              <w:jc w:val="right"/>
              <w:rPr>
                <w:rFonts w:eastAsia="Times New Roman"/>
              </w:rPr>
            </w:pPr>
          </w:p>
        </w:tc>
      </w:tr>
      <w:tr w:rsidR="00000000" w14:paraId="76414065" w14:textId="77777777">
        <w:trPr>
          <w:divId w:val="850677515"/>
        </w:trPr>
        <w:tc>
          <w:tcPr>
            <w:tcW w:w="0" w:type="auto"/>
            <w:gridSpan w:val="3"/>
            <w:shd w:val="clear" w:color="auto" w:fill="CCEEFF"/>
            <w:tcMar>
              <w:top w:w="30" w:type="dxa"/>
              <w:left w:w="875" w:type="dxa"/>
              <w:bottom w:w="30" w:type="dxa"/>
              <w:right w:w="20" w:type="dxa"/>
            </w:tcMar>
            <w:vAlign w:val="bottom"/>
            <w:hideMark/>
          </w:tcPr>
          <w:p w14:paraId="553D29AB" w14:textId="77777777" w:rsidR="00000000" w:rsidRDefault="00C1661D">
            <w:pPr>
              <w:spacing w:after="100"/>
              <w:rPr>
                <w:rFonts w:eastAsia="Times New Roman"/>
              </w:rPr>
            </w:pPr>
            <w:r>
              <w:rPr>
                <w:rFonts w:eastAsia="Times New Roman"/>
                <w:color w:val="000000"/>
                <w:sz w:val="20"/>
                <w:szCs w:val="20"/>
              </w:rPr>
              <w:t>Income taxes receivable</w:t>
            </w:r>
          </w:p>
        </w:tc>
        <w:tc>
          <w:tcPr>
            <w:tcW w:w="0" w:type="auto"/>
            <w:gridSpan w:val="2"/>
            <w:shd w:val="clear" w:color="auto" w:fill="CCEEFF"/>
            <w:tcMar>
              <w:top w:w="30" w:type="dxa"/>
              <w:left w:w="20" w:type="dxa"/>
              <w:bottom w:w="30" w:type="dxa"/>
              <w:right w:w="0" w:type="dxa"/>
            </w:tcMar>
            <w:vAlign w:val="bottom"/>
            <w:hideMark/>
          </w:tcPr>
          <w:p w14:paraId="2674787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3D291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5D5CD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BFCB59" w14:textId="77777777" w:rsidR="00000000" w:rsidRDefault="00C1661D">
            <w:pPr>
              <w:spacing w:after="100"/>
              <w:jc w:val="right"/>
              <w:rPr>
                <w:rFonts w:eastAsia="Times New Roman"/>
              </w:rPr>
            </w:pPr>
            <w:r>
              <w:rPr>
                <w:rFonts w:eastAsia="Times New Roman"/>
                <w:color w:val="000000"/>
                <w:sz w:val="20"/>
                <w:szCs w:val="20"/>
              </w:rPr>
              <w:t>(48)</w:t>
            </w:r>
          </w:p>
        </w:tc>
        <w:tc>
          <w:tcPr>
            <w:tcW w:w="0" w:type="auto"/>
            <w:shd w:val="clear" w:color="auto" w:fill="CCEEFF"/>
            <w:tcMar>
              <w:top w:w="30" w:type="dxa"/>
              <w:left w:w="0" w:type="dxa"/>
              <w:bottom w:w="30" w:type="dxa"/>
              <w:right w:w="20" w:type="dxa"/>
            </w:tcMar>
            <w:vAlign w:val="bottom"/>
            <w:hideMark/>
          </w:tcPr>
          <w:p w14:paraId="0EE8D8F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962F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B562C9" w14:textId="77777777" w:rsidR="00000000" w:rsidRDefault="00C1661D">
            <w:pPr>
              <w:spacing w:after="100"/>
              <w:jc w:val="right"/>
              <w:rPr>
                <w:rFonts w:eastAsia="Times New Roman"/>
              </w:rPr>
            </w:pPr>
            <w:r>
              <w:rPr>
                <w:rFonts w:eastAsia="Times New Roman"/>
                <w:color w:val="000000"/>
                <w:sz w:val="20"/>
                <w:szCs w:val="20"/>
              </w:rPr>
              <w:t>(80)</w:t>
            </w:r>
          </w:p>
        </w:tc>
        <w:tc>
          <w:tcPr>
            <w:tcW w:w="0" w:type="auto"/>
            <w:shd w:val="clear" w:color="auto" w:fill="CCEEFF"/>
            <w:tcMar>
              <w:top w:w="30" w:type="dxa"/>
              <w:left w:w="0" w:type="dxa"/>
              <w:bottom w:w="30" w:type="dxa"/>
              <w:right w:w="20" w:type="dxa"/>
            </w:tcMar>
            <w:vAlign w:val="bottom"/>
            <w:hideMark/>
          </w:tcPr>
          <w:p w14:paraId="7C9B8B70" w14:textId="77777777" w:rsidR="00000000" w:rsidRDefault="00C1661D">
            <w:pPr>
              <w:spacing w:after="100"/>
              <w:jc w:val="right"/>
              <w:rPr>
                <w:rFonts w:eastAsia="Times New Roman"/>
              </w:rPr>
            </w:pPr>
          </w:p>
        </w:tc>
      </w:tr>
      <w:tr w:rsidR="00000000" w14:paraId="6C312102" w14:textId="77777777">
        <w:trPr>
          <w:divId w:val="850677515"/>
        </w:trPr>
        <w:tc>
          <w:tcPr>
            <w:tcW w:w="0" w:type="auto"/>
            <w:gridSpan w:val="3"/>
            <w:shd w:val="clear" w:color="auto" w:fill="FFFFFF"/>
            <w:tcMar>
              <w:top w:w="30" w:type="dxa"/>
              <w:left w:w="875" w:type="dxa"/>
              <w:bottom w:w="30" w:type="dxa"/>
              <w:right w:w="20" w:type="dxa"/>
            </w:tcMar>
            <w:vAlign w:val="bottom"/>
            <w:hideMark/>
          </w:tcPr>
          <w:p w14:paraId="40505482" w14:textId="77777777" w:rsidR="00000000" w:rsidRDefault="00C1661D">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64C6D5C4" w14:textId="77777777" w:rsidR="00000000" w:rsidRDefault="00C1661D">
            <w:pPr>
              <w:spacing w:after="100"/>
              <w:jc w:val="right"/>
              <w:rPr>
                <w:rFonts w:eastAsia="Times New Roman"/>
              </w:rPr>
            </w:pPr>
            <w:r>
              <w:rPr>
                <w:rFonts w:eastAsia="Times New Roman"/>
                <w:color w:val="000000"/>
                <w:sz w:val="20"/>
                <w:szCs w:val="20"/>
              </w:rPr>
              <w:t>(224)</w:t>
            </w:r>
          </w:p>
        </w:tc>
        <w:tc>
          <w:tcPr>
            <w:tcW w:w="0" w:type="auto"/>
            <w:shd w:val="clear" w:color="auto" w:fill="FFFFFF"/>
            <w:tcMar>
              <w:top w:w="30" w:type="dxa"/>
              <w:left w:w="0" w:type="dxa"/>
              <w:bottom w:w="30" w:type="dxa"/>
              <w:right w:w="20" w:type="dxa"/>
            </w:tcMar>
            <w:vAlign w:val="bottom"/>
            <w:hideMark/>
          </w:tcPr>
          <w:p w14:paraId="3B03B88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CB550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89F803" w14:textId="77777777" w:rsidR="00000000" w:rsidRDefault="00C1661D">
            <w:pPr>
              <w:spacing w:after="100"/>
              <w:jc w:val="right"/>
              <w:rPr>
                <w:rFonts w:eastAsia="Times New Roman"/>
              </w:rPr>
            </w:pPr>
            <w:r>
              <w:rPr>
                <w:rFonts w:eastAsia="Times New Roman"/>
                <w:color w:val="000000"/>
                <w:sz w:val="20"/>
                <w:szCs w:val="20"/>
              </w:rPr>
              <w:t>(231)</w:t>
            </w:r>
          </w:p>
        </w:tc>
        <w:tc>
          <w:tcPr>
            <w:tcW w:w="0" w:type="auto"/>
            <w:shd w:val="clear" w:color="auto" w:fill="FFFFFF"/>
            <w:tcMar>
              <w:top w:w="30" w:type="dxa"/>
              <w:left w:w="0" w:type="dxa"/>
              <w:bottom w:w="30" w:type="dxa"/>
              <w:right w:w="20" w:type="dxa"/>
            </w:tcMar>
            <w:vAlign w:val="bottom"/>
            <w:hideMark/>
          </w:tcPr>
          <w:p w14:paraId="06FC585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D5E5D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E0041C" w14:textId="77777777" w:rsidR="00000000" w:rsidRDefault="00C1661D">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560A822F" w14:textId="77777777" w:rsidR="00000000" w:rsidRDefault="00C1661D">
            <w:pPr>
              <w:spacing w:after="100"/>
              <w:jc w:val="right"/>
              <w:rPr>
                <w:rFonts w:eastAsia="Times New Roman"/>
              </w:rPr>
            </w:pPr>
          </w:p>
        </w:tc>
      </w:tr>
      <w:tr w:rsidR="00000000" w14:paraId="7BB4EEC8" w14:textId="77777777">
        <w:trPr>
          <w:divId w:val="850677515"/>
        </w:trPr>
        <w:tc>
          <w:tcPr>
            <w:tcW w:w="0" w:type="auto"/>
            <w:gridSpan w:val="3"/>
            <w:shd w:val="clear" w:color="auto" w:fill="CCEEFF"/>
            <w:tcMar>
              <w:top w:w="30" w:type="dxa"/>
              <w:left w:w="875" w:type="dxa"/>
              <w:bottom w:w="30" w:type="dxa"/>
              <w:right w:w="20" w:type="dxa"/>
            </w:tcMar>
            <w:vAlign w:val="bottom"/>
            <w:hideMark/>
          </w:tcPr>
          <w:p w14:paraId="33CC450F" w14:textId="77777777" w:rsidR="00000000" w:rsidRDefault="00C1661D">
            <w:pPr>
              <w:spacing w:after="100"/>
              <w:rPr>
                <w:rFonts w:eastAsia="Times New Roman"/>
              </w:rPr>
            </w:pPr>
            <w:r>
              <w:rPr>
                <w:rFonts w:eastAsia="Times New Roman"/>
                <w:color w:val="000000"/>
                <w:sz w:val="20"/>
                <w:szCs w:val="20"/>
              </w:rPr>
              <w:t>Utility deferred fuel costs, net of changes in unsettled derivatives</w:t>
            </w:r>
          </w:p>
        </w:tc>
        <w:tc>
          <w:tcPr>
            <w:tcW w:w="0" w:type="auto"/>
            <w:gridSpan w:val="2"/>
            <w:shd w:val="clear" w:color="auto" w:fill="CCEEFF"/>
            <w:tcMar>
              <w:top w:w="30" w:type="dxa"/>
              <w:left w:w="20" w:type="dxa"/>
              <w:bottom w:w="30" w:type="dxa"/>
              <w:right w:w="0" w:type="dxa"/>
            </w:tcMar>
            <w:vAlign w:val="bottom"/>
            <w:hideMark/>
          </w:tcPr>
          <w:p w14:paraId="3E8229B0" w14:textId="77777777" w:rsidR="00000000" w:rsidRDefault="00C1661D">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14:paraId="22862B9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313D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5D5D6C" w14:textId="77777777" w:rsidR="00000000" w:rsidRDefault="00C1661D">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14:paraId="30D5E02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055C5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B4281C" w14:textId="77777777" w:rsidR="00000000" w:rsidRDefault="00C1661D">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3A737DFC" w14:textId="77777777" w:rsidR="00000000" w:rsidRDefault="00C1661D">
            <w:pPr>
              <w:spacing w:after="100"/>
              <w:jc w:val="right"/>
              <w:rPr>
                <w:rFonts w:eastAsia="Times New Roman"/>
              </w:rPr>
            </w:pPr>
          </w:p>
        </w:tc>
      </w:tr>
      <w:tr w:rsidR="00000000" w14:paraId="53853254" w14:textId="77777777">
        <w:trPr>
          <w:divId w:val="850677515"/>
        </w:trPr>
        <w:tc>
          <w:tcPr>
            <w:tcW w:w="0" w:type="auto"/>
            <w:gridSpan w:val="3"/>
            <w:shd w:val="clear" w:color="auto" w:fill="FFFFFF"/>
            <w:tcMar>
              <w:top w:w="30" w:type="dxa"/>
              <w:left w:w="875" w:type="dxa"/>
              <w:bottom w:w="30" w:type="dxa"/>
              <w:right w:w="20" w:type="dxa"/>
            </w:tcMar>
            <w:vAlign w:val="bottom"/>
            <w:hideMark/>
          </w:tcPr>
          <w:p w14:paraId="67395E5F" w14:textId="77777777" w:rsidR="00000000" w:rsidRDefault="00C1661D">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1EE65C1F" w14:textId="77777777" w:rsidR="00000000" w:rsidRDefault="00C1661D">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14:paraId="0668E38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DC32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658F55" w14:textId="77777777" w:rsidR="00000000" w:rsidRDefault="00C1661D">
            <w:pPr>
              <w:spacing w:after="100"/>
              <w:jc w:val="right"/>
              <w:rPr>
                <w:rFonts w:eastAsia="Times New Roman"/>
              </w:rPr>
            </w:pPr>
            <w:r>
              <w:rPr>
                <w:rFonts w:eastAsia="Times New Roman"/>
                <w:color w:val="000000"/>
                <w:sz w:val="20"/>
                <w:szCs w:val="20"/>
              </w:rPr>
              <w:t>366 </w:t>
            </w:r>
          </w:p>
        </w:tc>
        <w:tc>
          <w:tcPr>
            <w:tcW w:w="0" w:type="auto"/>
            <w:shd w:val="clear" w:color="auto" w:fill="FFFFFF"/>
            <w:tcMar>
              <w:top w:w="30" w:type="dxa"/>
              <w:left w:w="0" w:type="dxa"/>
              <w:bottom w:w="30" w:type="dxa"/>
              <w:right w:w="20" w:type="dxa"/>
            </w:tcMar>
            <w:vAlign w:val="bottom"/>
            <w:hideMark/>
          </w:tcPr>
          <w:p w14:paraId="1F387EA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5EC81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301ABD"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407E9775" w14:textId="77777777" w:rsidR="00000000" w:rsidRDefault="00C1661D">
            <w:pPr>
              <w:spacing w:after="100"/>
              <w:jc w:val="right"/>
              <w:rPr>
                <w:rFonts w:eastAsia="Times New Roman"/>
              </w:rPr>
            </w:pPr>
          </w:p>
        </w:tc>
      </w:tr>
      <w:tr w:rsidR="00000000" w14:paraId="67AEB020" w14:textId="77777777">
        <w:trPr>
          <w:divId w:val="850677515"/>
        </w:trPr>
        <w:tc>
          <w:tcPr>
            <w:tcW w:w="0" w:type="auto"/>
            <w:gridSpan w:val="3"/>
            <w:shd w:val="clear" w:color="auto" w:fill="CCEEFF"/>
            <w:tcMar>
              <w:top w:w="30" w:type="dxa"/>
              <w:left w:w="875" w:type="dxa"/>
              <w:bottom w:w="30" w:type="dxa"/>
              <w:right w:w="20" w:type="dxa"/>
            </w:tcMar>
            <w:vAlign w:val="bottom"/>
            <w:hideMark/>
          </w:tcPr>
          <w:p w14:paraId="37E89DA7" w14:textId="77777777" w:rsidR="00000000" w:rsidRDefault="00C1661D">
            <w:pPr>
              <w:spacing w:after="100"/>
              <w:rPr>
                <w:rFonts w:eastAsia="Times New Roman"/>
              </w:rPr>
            </w:pPr>
            <w:r>
              <w:rPr>
                <w:rFonts w:eastAsia="Times New Roman"/>
                <w:color w:val="000000"/>
                <w:sz w:val="20"/>
                <w:szCs w:val="20"/>
              </w:rPr>
              <w:t>Derivative instruments collateral (paid) received</w:t>
            </w:r>
          </w:p>
        </w:tc>
        <w:tc>
          <w:tcPr>
            <w:tcW w:w="0" w:type="auto"/>
            <w:gridSpan w:val="2"/>
            <w:shd w:val="clear" w:color="auto" w:fill="CCEEFF"/>
            <w:tcMar>
              <w:top w:w="30" w:type="dxa"/>
              <w:left w:w="20" w:type="dxa"/>
              <w:bottom w:w="30" w:type="dxa"/>
              <w:right w:w="0" w:type="dxa"/>
            </w:tcMar>
            <w:vAlign w:val="bottom"/>
            <w:hideMark/>
          </w:tcPr>
          <w:p w14:paraId="71F4E10A" w14:textId="77777777" w:rsidR="00000000" w:rsidRDefault="00C1661D">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14:paraId="5A6A208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6E206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DCD418" w14:textId="77777777" w:rsidR="00000000" w:rsidRDefault="00C1661D">
            <w:pPr>
              <w:spacing w:after="100"/>
              <w:jc w:val="right"/>
              <w:rPr>
                <w:rFonts w:eastAsia="Times New Roman"/>
              </w:rPr>
            </w:pPr>
            <w:r>
              <w:rPr>
                <w:rFonts w:eastAsia="Times New Roman"/>
                <w:color w:val="000000"/>
                <w:sz w:val="20"/>
                <w:szCs w:val="20"/>
              </w:rPr>
              <w:t>472 </w:t>
            </w:r>
          </w:p>
        </w:tc>
        <w:tc>
          <w:tcPr>
            <w:tcW w:w="0" w:type="auto"/>
            <w:shd w:val="clear" w:color="auto" w:fill="CCEEFF"/>
            <w:tcMar>
              <w:top w:w="30" w:type="dxa"/>
              <w:left w:w="0" w:type="dxa"/>
              <w:bottom w:w="30" w:type="dxa"/>
              <w:right w:w="20" w:type="dxa"/>
            </w:tcMar>
            <w:vAlign w:val="bottom"/>
            <w:hideMark/>
          </w:tcPr>
          <w:p w14:paraId="55C1990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18623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7C5BBA" w14:textId="77777777" w:rsidR="00000000" w:rsidRDefault="00C1661D">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6ED7CBB4" w14:textId="77777777" w:rsidR="00000000" w:rsidRDefault="00C1661D">
            <w:pPr>
              <w:spacing w:after="100"/>
              <w:jc w:val="right"/>
              <w:rPr>
                <w:rFonts w:eastAsia="Times New Roman"/>
              </w:rPr>
            </w:pPr>
          </w:p>
        </w:tc>
      </w:tr>
      <w:tr w:rsidR="00000000" w14:paraId="78D29882" w14:textId="77777777">
        <w:trPr>
          <w:divId w:val="850677515"/>
        </w:trPr>
        <w:tc>
          <w:tcPr>
            <w:tcW w:w="0" w:type="auto"/>
            <w:gridSpan w:val="3"/>
            <w:shd w:val="clear" w:color="auto" w:fill="FFFFFF"/>
            <w:tcMar>
              <w:top w:w="30" w:type="dxa"/>
              <w:left w:w="875" w:type="dxa"/>
              <w:bottom w:w="30" w:type="dxa"/>
              <w:right w:w="20" w:type="dxa"/>
            </w:tcMar>
            <w:vAlign w:val="bottom"/>
            <w:hideMark/>
          </w:tcPr>
          <w:p w14:paraId="33A79FA8" w14:textId="77777777" w:rsidR="00000000" w:rsidRDefault="00C1661D">
            <w:pPr>
              <w:spacing w:after="100"/>
              <w:rPr>
                <w:rFonts w:eastAsia="Times New Roman"/>
              </w:rPr>
            </w:pPr>
            <w:r>
              <w:rPr>
                <w:rFonts w:eastAsia="Times New Roman"/>
                <w:color w:val="00000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14:paraId="40A4B650" w14:textId="77777777" w:rsidR="00000000" w:rsidRDefault="00C1661D">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14:paraId="09F3037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D7BA8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1AA008" w14:textId="77777777" w:rsidR="00000000" w:rsidRDefault="00C1661D">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057A437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A65E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A306B5" w14:textId="77777777" w:rsidR="00000000" w:rsidRDefault="00C1661D">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14:paraId="214540C5" w14:textId="77777777" w:rsidR="00000000" w:rsidRDefault="00C1661D">
            <w:pPr>
              <w:spacing w:after="100"/>
              <w:jc w:val="right"/>
              <w:rPr>
                <w:rFonts w:eastAsia="Times New Roman"/>
              </w:rPr>
            </w:pPr>
          </w:p>
        </w:tc>
      </w:tr>
      <w:tr w:rsidR="00000000" w14:paraId="705C3385" w14:textId="77777777">
        <w:trPr>
          <w:divId w:val="850677515"/>
        </w:trPr>
        <w:tc>
          <w:tcPr>
            <w:tcW w:w="0" w:type="auto"/>
            <w:gridSpan w:val="3"/>
            <w:shd w:val="clear" w:color="auto" w:fill="CCEEFF"/>
            <w:tcMar>
              <w:top w:w="30" w:type="dxa"/>
              <w:left w:w="875" w:type="dxa"/>
              <w:bottom w:w="30" w:type="dxa"/>
              <w:right w:w="20" w:type="dxa"/>
            </w:tcMar>
            <w:vAlign w:val="bottom"/>
            <w:hideMark/>
          </w:tcPr>
          <w:p w14:paraId="4231B65A" w14:textId="77777777" w:rsidR="00000000" w:rsidRDefault="00C1661D">
            <w:pPr>
              <w:spacing w:after="100"/>
              <w:rPr>
                <w:rFonts w:eastAsia="Times New Roman"/>
              </w:rPr>
            </w:pPr>
            <w:r>
              <w:rPr>
                <w:rFonts w:eastAsia="Times New Roman"/>
                <w:color w:val="000000"/>
                <w:sz w:val="20"/>
                <w:szCs w:val="20"/>
              </w:rPr>
              <w:t>Other current liabilities</w:t>
            </w:r>
          </w:p>
        </w:tc>
        <w:tc>
          <w:tcPr>
            <w:tcW w:w="0" w:type="auto"/>
            <w:gridSpan w:val="2"/>
            <w:shd w:val="clear" w:color="auto" w:fill="CCEEFF"/>
            <w:tcMar>
              <w:top w:w="30" w:type="dxa"/>
              <w:left w:w="20" w:type="dxa"/>
              <w:bottom w:w="30" w:type="dxa"/>
              <w:right w:w="0" w:type="dxa"/>
            </w:tcMar>
            <w:vAlign w:val="bottom"/>
            <w:hideMark/>
          </w:tcPr>
          <w:p w14:paraId="082D6FBE" w14:textId="77777777" w:rsidR="00000000" w:rsidRDefault="00C1661D">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522485B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AB87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F27D4D" w14:textId="77777777" w:rsidR="00000000" w:rsidRDefault="00C1661D">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14:paraId="1CBDB9E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2B9D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EFAFBD" w14:textId="77777777" w:rsidR="00000000" w:rsidRDefault="00C1661D">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14:paraId="7E35C890" w14:textId="77777777" w:rsidR="00000000" w:rsidRDefault="00C1661D">
            <w:pPr>
              <w:spacing w:after="100"/>
              <w:jc w:val="right"/>
              <w:rPr>
                <w:rFonts w:eastAsia="Times New Roman"/>
              </w:rPr>
            </w:pPr>
          </w:p>
        </w:tc>
      </w:tr>
      <w:tr w:rsidR="00000000" w14:paraId="1F0C688B" w14:textId="77777777">
        <w:trPr>
          <w:divId w:val="850677515"/>
        </w:trPr>
        <w:tc>
          <w:tcPr>
            <w:tcW w:w="0" w:type="auto"/>
            <w:gridSpan w:val="3"/>
            <w:shd w:val="clear" w:color="auto" w:fill="FFFFFF"/>
            <w:tcMar>
              <w:top w:w="30" w:type="dxa"/>
              <w:left w:w="605" w:type="dxa"/>
              <w:bottom w:w="30" w:type="dxa"/>
              <w:right w:w="20" w:type="dxa"/>
            </w:tcMar>
            <w:vAlign w:val="bottom"/>
            <w:hideMark/>
          </w:tcPr>
          <w:p w14:paraId="1C317539" w14:textId="77777777" w:rsidR="00000000" w:rsidRDefault="00C1661D">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6AC195" w14:textId="77777777" w:rsidR="00000000" w:rsidRDefault="00C1661D">
            <w:pPr>
              <w:spacing w:after="100"/>
              <w:jc w:val="right"/>
              <w:rPr>
                <w:rFonts w:eastAsia="Times New Roman"/>
              </w:rPr>
            </w:pPr>
            <w:r>
              <w:rPr>
                <w:rFonts w:eastAsia="Times New Roman"/>
                <w:color w:val="000000"/>
                <w:sz w:val="20"/>
                <w:szCs w:val="20"/>
              </w:rPr>
              <w:t>716 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913B9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A89848"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EE6B601" w14:textId="77777777" w:rsidR="00000000" w:rsidRDefault="00C1661D">
            <w:pPr>
              <w:spacing w:after="100"/>
              <w:jc w:val="right"/>
              <w:rPr>
                <w:rFonts w:eastAsia="Times New Roman"/>
              </w:rPr>
            </w:pPr>
            <w:r>
              <w:rPr>
                <w:rFonts w:eastAsia="Times New Roman"/>
                <w:color w:val="000000"/>
                <w:sz w:val="20"/>
                <w:szCs w:val="20"/>
              </w:rPr>
              <w:t>1,481 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E138E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4FDFFE"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50B4FE" w14:textId="77777777" w:rsidR="00000000" w:rsidRDefault="00C1661D">
            <w:pPr>
              <w:spacing w:after="100"/>
              <w:jc w:val="right"/>
              <w:rPr>
                <w:rFonts w:eastAsia="Times New Roman"/>
              </w:rPr>
            </w:pPr>
            <w:r>
              <w:rPr>
                <w:rFonts w:eastAsia="Times New Roman"/>
                <w:color w:val="000000"/>
                <w:sz w:val="20"/>
                <w:szCs w:val="20"/>
              </w:rPr>
              <w:t>1,102 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3C4413" w14:textId="77777777" w:rsidR="00000000" w:rsidRDefault="00C1661D">
            <w:pPr>
              <w:spacing w:after="100"/>
              <w:jc w:val="right"/>
              <w:rPr>
                <w:rFonts w:eastAsia="Times New Roman"/>
              </w:rPr>
            </w:pPr>
          </w:p>
        </w:tc>
      </w:tr>
      <w:tr w:rsidR="00000000" w14:paraId="10217326" w14:textId="77777777">
        <w:trPr>
          <w:divId w:val="850677515"/>
        </w:trPr>
        <w:tc>
          <w:tcPr>
            <w:tcW w:w="0" w:type="auto"/>
            <w:gridSpan w:val="3"/>
            <w:shd w:val="clear" w:color="auto" w:fill="CCEEFF"/>
            <w:tcMar>
              <w:top w:w="30" w:type="dxa"/>
              <w:left w:w="20" w:type="dxa"/>
              <w:bottom w:w="30" w:type="dxa"/>
              <w:right w:w="20" w:type="dxa"/>
            </w:tcMar>
            <w:vAlign w:val="bottom"/>
            <w:hideMark/>
          </w:tcPr>
          <w:p w14:paraId="3A135598" w14:textId="77777777" w:rsidR="00000000" w:rsidRDefault="00C1661D">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2C76B6F"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771322E"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9ED2AC"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404E0A9"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A2B7483" w14:textId="77777777" w:rsidR="00000000" w:rsidRDefault="00C1661D">
            <w:pPr>
              <w:spacing w:after="100"/>
              <w:rPr>
                <w:rFonts w:eastAsia="Times New Roman"/>
              </w:rPr>
            </w:pPr>
            <w:r>
              <w:rPr>
                <w:rFonts w:eastAsia="Times New Roman"/>
                <w:color w:val="000000"/>
                <w:sz w:val="20"/>
                <w:szCs w:val="20"/>
              </w:rPr>
              <w:t> </w:t>
            </w:r>
          </w:p>
        </w:tc>
      </w:tr>
      <w:tr w:rsidR="00000000" w14:paraId="23A482B4" w14:textId="77777777">
        <w:trPr>
          <w:divId w:val="850677515"/>
        </w:trPr>
        <w:tc>
          <w:tcPr>
            <w:tcW w:w="0" w:type="auto"/>
            <w:gridSpan w:val="3"/>
            <w:shd w:val="clear" w:color="auto" w:fill="FFFFFF"/>
            <w:tcMar>
              <w:top w:w="30" w:type="dxa"/>
              <w:left w:w="155" w:type="dxa"/>
              <w:bottom w:w="30" w:type="dxa"/>
              <w:right w:w="20" w:type="dxa"/>
            </w:tcMar>
            <w:vAlign w:val="bottom"/>
            <w:hideMark/>
          </w:tcPr>
          <w:p w14:paraId="6E4B3D10" w14:textId="77777777" w:rsidR="00000000" w:rsidRDefault="00C1661D">
            <w:pPr>
              <w:spacing w:after="100"/>
              <w:rPr>
                <w:rFonts w:eastAsia="Times New Roman"/>
              </w:rPr>
            </w:pPr>
            <w:r>
              <w:rPr>
                <w:rFonts w:eastAsia="Times New Roman"/>
                <w:color w:val="000000"/>
                <w:sz w:val="20"/>
                <w:szCs w:val="20"/>
              </w:rPr>
              <w:t>Expenditures for property, plant and equipment</w:t>
            </w:r>
          </w:p>
        </w:tc>
        <w:tc>
          <w:tcPr>
            <w:tcW w:w="0" w:type="auto"/>
            <w:gridSpan w:val="2"/>
            <w:shd w:val="clear" w:color="auto" w:fill="FFFFFF"/>
            <w:tcMar>
              <w:top w:w="30" w:type="dxa"/>
              <w:left w:w="20" w:type="dxa"/>
              <w:bottom w:w="30" w:type="dxa"/>
              <w:right w:w="0" w:type="dxa"/>
            </w:tcMar>
            <w:vAlign w:val="bottom"/>
            <w:hideMark/>
          </w:tcPr>
          <w:p w14:paraId="57727ADC" w14:textId="77777777" w:rsidR="00000000" w:rsidRDefault="00C1661D">
            <w:pPr>
              <w:spacing w:after="100"/>
              <w:jc w:val="right"/>
              <w:rPr>
                <w:rFonts w:eastAsia="Times New Roman"/>
              </w:rPr>
            </w:pPr>
            <w:r>
              <w:rPr>
                <w:rFonts w:eastAsia="Times New Roman"/>
                <w:color w:val="000000"/>
                <w:sz w:val="20"/>
                <w:szCs w:val="20"/>
              </w:rPr>
              <w:t>(804)</w:t>
            </w:r>
          </w:p>
        </w:tc>
        <w:tc>
          <w:tcPr>
            <w:tcW w:w="0" w:type="auto"/>
            <w:shd w:val="clear" w:color="auto" w:fill="FFFFFF"/>
            <w:tcMar>
              <w:top w:w="30" w:type="dxa"/>
              <w:left w:w="0" w:type="dxa"/>
              <w:bottom w:w="30" w:type="dxa"/>
              <w:right w:w="20" w:type="dxa"/>
            </w:tcMar>
            <w:vAlign w:val="bottom"/>
            <w:hideMark/>
          </w:tcPr>
          <w:p w14:paraId="5DE0211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61462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CDB3EB" w14:textId="77777777" w:rsidR="00000000" w:rsidRDefault="00C1661D">
            <w:pPr>
              <w:spacing w:after="100"/>
              <w:jc w:val="right"/>
              <w:rPr>
                <w:rFonts w:eastAsia="Times New Roman"/>
              </w:rPr>
            </w:pPr>
            <w:r>
              <w:rPr>
                <w:rFonts w:eastAsia="Times New Roman"/>
                <w:color w:val="000000"/>
                <w:sz w:val="20"/>
                <w:szCs w:val="20"/>
              </w:rPr>
              <w:t>(690)</w:t>
            </w:r>
          </w:p>
        </w:tc>
        <w:tc>
          <w:tcPr>
            <w:tcW w:w="0" w:type="auto"/>
            <w:shd w:val="clear" w:color="auto" w:fill="FFFFFF"/>
            <w:tcMar>
              <w:top w:w="30" w:type="dxa"/>
              <w:left w:w="0" w:type="dxa"/>
              <w:bottom w:w="30" w:type="dxa"/>
              <w:right w:w="20" w:type="dxa"/>
            </w:tcMar>
            <w:vAlign w:val="bottom"/>
            <w:hideMark/>
          </w:tcPr>
          <w:p w14:paraId="6E7BFF2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F98C7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8F5154" w14:textId="77777777" w:rsidR="00000000" w:rsidRDefault="00C1661D">
            <w:pPr>
              <w:spacing w:after="100"/>
              <w:jc w:val="right"/>
              <w:rPr>
                <w:rFonts w:eastAsia="Times New Roman"/>
              </w:rPr>
            </w:pPr>
            <w:r>
              <w:rPr>
                <w:rFonts w:eastAsia="Times New Roman"/>
                <w:color w:val="000000"/>
                <w:sz w:val="20"/>
                <w:szCs w:val="20"/>
              </w:rPr>
              <w:t>(655)</w:t>
            </w:r>
          </w:p>
        </w:tc>
        <w:tc>
          <w:tcPr>
            <w:tcW w:w="0" w:type="auto"/>
            <w:shd w:val="clear" w:color="auto" w:fill="FFFFFF"/>
            <w:tcMar>
              <w:top w:w="30" w:type="dxa"/>
              <w:left w:w="0" w:type="dxa"/>
              <w:bottom w:w="30" w:type="dxa"/>
              <w:right w:w="20" w:type="dxa"/>
            </w:tcMar>
            <w:vAlign w:val="bottom"/>
            <w:hideMark/>
          </w:tcPr>
          <w:p w14:paraId="222FED04" w14:textId="77777777" w:rsidR="00000000" w:rsidRDefault="00C1661D">
            <w:pPr>
              <w:spacing w:after="100"/>
              <w:jc w:val="right"/>
              <w:rPr>
                <w:rFonts w:eastAsia="Times New Roman"/>
              </w:rPr>
            </w:pPr>
          </w:p>
        </w:tc>
      </w:tr>
      <w:tr w:rsidR="00000000" w14:paraId="357D9CA0" w14:textId="77777777">
        <w:trPr>
          <w:divId w:val="850677515"/>
        </w:trPr>
        <w:tc>
          <w:tcPr>
            <w:tcW w:w="0" w:type="auto"/>
            <w:gridSpan w:val="3"/>
            <w:shd w:val="clear" w:color="auto" w:fill="CCEEFF"/>
            <w:tcMar>
              <w:top w:w="30" w:type="dxa"/>
              <w:left w:w="155" w:type="dxa"/>
              <w:bottom w:w="30" w:type="dxa"/>
              <w:right w:w="20" w:type="dxa"/>
            </w:tcMar>
            <w:vAlign w:val="bottom"/>
            <w:hideMark/>
          </w:tcPr>
          <w:p w14:paraId="7936FB78" w14:textId="77777777" w:rsidR="00000000" w:rsidRDefault="00C1661D">
            <w:pPr>
              <w:spacing w:after="100"/>
              <w:rPr>
                <w:rFonts w:eastAsia="Times New Roman"/>
              </w:rPr>
            </w:pPr>
            <w:r>
              <w:rPr>
                <w:rFonts w:eastAsia="Times New Roman"/>
                <w:color w:val="000000"/>
                <w:sz w:val="20"/>
                <w:szCs w:val="20"/>
              </w:rPr>
              <w:t>Acquisitions of businesses and assets, net of cash and restricted cash acquired</w:t>
            </w:r>
          </w:p>
        </w:tc>
        <w:tc>
          <w:tcPr>
            <w:tcW w:w="0" w:type="auto"/>
            <w:gridSpan w:val="2"/>
            <w:shd w:val="clear" w:color="auto" w:fill="CCEEFF"/>
            <w:tcMar>
              <w:top w:w="30" w:type="dxa"/>
              <w:left w:w="20" w:type="dxa"/>
              <w:bottom w:w="30" w:type="dxa"/>
              <w:right w:w="0" w:type="dxa"/>
            </w:tcMar>
            <w:vAlign w:val="bottom"/>
            <w:hideMark/>
          </w:tcPr>
          <w:p w14:paraId="4D5A20C1" w14:textId="77777777" w:rsidR="00000000" w:rsidRDefault="00C1661D">
            <w:pPr>
              <w:spacing w:after="100"/>
              <w:jc w:val="right"/>
              <w:rPr>
                <w:rFonts w:eastAsia="Times New Roman"/>
              </w:rPr>
            </w:pPr>
            <w:r>
              <w:rPr>
                <w:rFonts w:eastAsia="Times New Roman"/>
                <w:color w:val="000000"/>
                <w:sz w:val="20"/>
                <w:szCs w:val="20"/>
              </w:rPr>
              <w:t>(242)</w:t>
            </w:r>
          </w:p>
        </w:tc>
        <w:tc>
          <w:tcPr>
            <w:tcW w:w="0" w:type="auto"/>
            <w:shd w:val="clear" w:color="auto" w:fill="CCEEFF"/>
            <w:tcMar>
              <w:top w:w="30" w:type="dxa"/>
              <w:left w:w="0" w:type="dxa"/>
              <w:bottom w:w="30" w:type="dxa"/>
              <w:right w:w="20" w:type="dxa"/>
            </w:tcMar>
            <w:vAlign w:val="bottom"/>
            <w:hideMark/>
          </w:tcPr>
          <w:p w14:paraId="15A7773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94359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D7E04E" w14:textId="77777777" w:rsidR="00000000" w:rsidRDefault="00C1661D">
            <w:pPr>
              <w:spacing w:after="100"/>
              <w:jc w:val="right"/>
              <w:rPr>
                <w:rFonts w:eastAsia="Times New Roman"/>
              </w:rPr>
            </w:pPr>
            <w:r>
              <w:rPr>
                <w:rFonts w:eastAsia="Times New Roman"/>
                <w:color w:val="000000"/>
                <w:sz w:val="20"/>
                <w:szCs w:val="20"/>
              </w:rPr>
              <w:t>(397)</w:t>
            </w:r>
          </w:p>
        </w:tc>
        <w:tc>
          <w:tcPr>
            <w:tcW w:w="0" w:type="auto"/>
            <w:shd w:val="clear" w:color="auto" w:fill="CCEEFF"/>
            <w:tcMar>
              <w:top w:w="30" w:type="dxa"/>
              <w:left w:w="0" w:type="dxa"/>
              <w:bottom w:w="30" w:type="dxa"/>
              <w:right w:w="20" w:type="dxa"/>
            </w:tcMar>
            <w:vAlign w:val="bottom"/>
            <w:hideMark/>
          </w:tcPr>
          <w:p w14:paraId="78C4E80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0535C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ECA474" w14:textId="77777777" w:rsidR="00000000" w:rsidRDefault="00C1661D">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14:paraId="486DC078" w14:textId="77777777" w:rsidR="00000000" w:rsidRDefault="00C1661D">
            <w:pPr>
              <w:spacing w:after="100"/>
              <w:jc w:val="right"/>
              <w:rPr>
                <w:rFonts w:eastAsia="Times New Roman"/>
              </w:rPr>
            </w:pPr>
          </w:p>
        </w:tc>
      </w:tr>
      <w:tr w:rsidR="00000000" w14:paraId="06984F64" w14:textId="77777777">
        <w:trPr>
          <w:divId w:val="850677515"/>
        </w:trPr>
        <w:tc>
          <w:tcPr>
            <w:tcW w:w="0" w:type="auto"/>
            <w:gridSpan w:val="3"/>
            <w:shd w:val="clear" w:color="auto" w:fill="FFFFFF"/>
            <w:tcMar>
              <w:top w:w="30" w:type="dxa"/>
              <w:left w:w="155" w:type="dxa"/>
              <w:bottom w:w="30" w:type="dxa"/>
              <w:right w:w="20" w:type="dxa"/>
            </w:tcMar>
            <w:vAlign w:val="bottom"/>
            <w:hideMark/>
          </w:tcPr>
          <w:p w14:paraId="2EEE8895" w14:textId="77777777" w:rsidR="00000000" w:rsidRDefault="00C1661D">
            <w:pPr>
              <w:spacing w:after="100"/>
              <w:rPr>
                <w:rFonts w:eastAsia="Times New Roman"/>
              </w:rPr>
            </w:pPr>
            <w:r>
              <w:rPr>
                <w:rFonts w:eastAsia="Times New Roman"/>
                <w:color w:val="000000"/>
                <w:sz w:val="20"/>
                <w:szCs w:val="20"/>
              </w:rPr>
              <w:t>Investments in equity method investees</w:t>
            </w:r>
          </w:p>
        </w:tc>
        <w:tc>
          <w:tcPr>
            <w:tcW w:w="0" w:type="auto"/>
            <w:gridSpan w:val="2"/>
            <w:shd w:val="clear" w:color="auto" w:fill="FFFFFF"/>
            <w:tcMar>
              <w:top w:w="30" w:type="dxa"/>
              <w:left w:w="20" w:type="dxa"/>
              <w:bottom w:w="30" w:type="dxa"/>
              <w:right w:w="0" w:type="dxa"/>
            </w:tcMar>
            <w:vAlign w:val="bottom"/>
            <w:hideMark/>
          </w:tcPr>
          <w:p w14:paraId="0FFA8988" w14:textId="77777777" w:rsidR="00000000" w:rsidRDefault="00C1661D">
            <w:pPr>
              <w:spacing w:after="100"/>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14:paraId="197AF23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ABBAB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27E7CA" w14:textId="77777777" w:rsidR="00000000" w:rsidRDefault="00C1661D">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14:paraId="2CF3DEE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B892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88AAD5"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0E59D1" w14:textId="77777777" w:rsidR="00000000" w:rsidRDefault="00C1661D">
            <w:pPr>
              <w:spacing w:after="100"/>
              <w:jc w:val="right"/>
              <w:rPr>
                <w:rFonts w:eastAsia="Times New Roman"/>
              </w:rPr>
            </w:pPr>
          </w:p>
        </w:tc>
      </w:tr>
      <w:tr w:rsidR="00000000" w14:paraId="68E27D92" w14:textId="77777777">
        <w:trPr>
          <w:divId w:val="850677515"/>
        </w:trPr>
        <w:tc>
          <w:tcPr>
            <w:tcW w:w="0" w:type="auto"/>
            <w:gridSpan w:val="3"/>
            <w:shd w:val="clear" w:color="auto" w:fill="CCEEFF"/>
            <w:tcMar>
              <w:top w:w="30" w:type="dxa"/>
              <w:left w:w="155" w:type="dxa"/>
              <w:bottom w:w="30" w:type="dxa"/>
              <w:right w:w="20" w:type="dxa"/>
            </w:tcMar>
            <w:vAlign w:val="bottom"/>
            <w:hideMark/>
          </w:tcPr>
          <w:p w14:paraId="1C2A661A" w14:textId="77777777" w:rsidR="00000000" w:rsidRDefault="00C1661D">
            <w:pPr>
              <w:spacing w:after="100"/>
              <w:rPr>
                <w:rFonts w:eastAsia="Times New Roman"/>
              </w:rPr>
            </w:pPr>
            <w:r>
              <w:rPr>
                <w:rFonts w:eastAsia="Times New Roman"/>
                <w:color w:val="000000"/>
                <w:sz w:val="20"/>
                <w:szCs w:val="20"/>
              </w:rPr>
              <w:t>Settlements of net investment hedges</w:t>
            </w:r>
          </w:p>
        </w:tc>
        <w:tc>
          <w:tcPr>
            <w:tcW w:w="0" w:type="auto"/>
            <w:gridSpan w:val="2"/>
            <w:shd w:val="clear" w:color="auto" w:fill="CCEEFF"/>
            <w:tcMar>
              <w:top w:w="30" w:type="dxa"/>
              <w:left w:w="20" w:type="dxa"/>
              <w:bottom w:w="30" w:type="dxa"/>
              <w:right w:w="0" w:type="dxa"/>
            </w:tcMar>
            <w:vAlign w:val="bottom"/>
            <w:hideMark/>
          </w:tcPr>
          <w:p w14:paraId="219BC4D2" w14:textId="77777777" w:rsidR="00000000" w:rsidRDefault="00C1661D">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14:paraId="6FDA69C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19E28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14DF1D"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C0359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D5152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99930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A916F4" w14:textId="77777777" w:rsidR="00000000" w:rsidRDefault="00C1661D">
            <w:pPr>
              <w:spacing w:after="100"/>
              <w:jc w:val="right"/>
              <w:rPr>
                <w:rFonts w:eastAsia="Times New Roman"/>
              </w:rPr>
            </w:pPr>
          </w:p>
        </w:tc>
      </w:tr>
      <w:tr w:rsidR="00000000" w14:paraId="2D992BC1" w14:textId="77777777">
        <w:trPr>
          <w:divId w:val="850677515"/>
        </w:trPr>
        <w:tc>
          <w:tcPr>
            <w:tcW w:w="0" w:type="auto"/>
            <w:gridSpan w:val="3"/>
            <w:shd w:val="clear" w:color="auto" w:fill="FFFFFF"/>
            <w:tcMar>
              <w:top w:w="30" w:type="dxa"/>
              <w:left w:w="155" w:type="dxa"/>
              <w:bottom w:w="30" w:type="dxa"/>
              <w:right w:w="20" w:type="dxa"/>
            </w:tcMar>
            <w:vAlign w:val="bottom"/>
            <w:hideMark/>
          </w:tcPr>
          <w:p w14:paraId="53F833FD" w14:textId="77777777" w:rsidR="00000000" w:rsidRDefault="00C1661D">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14:paraId="73EF449A" w14:textId="77777777" w:rsidR="00000000" w:rsidRDefault="00C1661D">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14:paraId="3D27C40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8129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0E00BA" w14:textId="77777777" w:rsidR="00000000" w:rsidRDefault="00C1661D">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14:paraId="263E993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87BA6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07C854" w14:textId="77777777" w:rsidR="00000000" w:rsidRDefault="00C1661D">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14:paraId="499D2B76" w14:textId="77777777" w:rsidR="00000000" w:rsidRDefault="00C1661D">
            <w:pPr>
              <w:spacing w:after="100"/>
              <w:jc w:val="right"/>
              <w:rPr>
                <w:rFonts w:eastAsia="Times New Roman"/>
              </w:rPr>
            </w:pPr>
          </w:p>
        </w:tc>
      </w:tr>
      <w:tr w:rsidR="00000000" w14:paraId="2C722968" w14:textId="77777777">
        <w:trPr>
          <w:divId w:val="850677515"/>
        </w:trPr>
        <w:tc>
          <w:tcPr>
            <w:tcW w:w="0" w:type="auto"/>
            <w:gridSpan w:val="3"/>
            <w:shd w:val="clear" w:color="auto" w:fill="CCEEFF"/>
            <w:tcMar>
              <w:top w:w="30" w:type="dxa"/>
              <w:left w:w="605" w:type="dxa"/>
              <w:bottom w:w="30" w:type="dxa"/>
              <w:right w:w="20" w:type="dxa"/>
            </w:tcMar>
            <w:vAlign w:val="bottom"/>
            <w:hideMark/>
          </w:tcPr>
          <w:p w14:paraId="68305571" w14:textId="77777777" w:rsidR="00000000" w:rsidRDefault="00C1661D">
            <w:pPr>
              <w:spacing w:after="100"/>
              <w:rPr>
                <w:rFonts w:eastAsia="Times New Roman"/>
              </w:rPr>
            </w:pPr>
            <w:r>
              <w:rPr>
                <w:rFonts w:eastAsia="Times New Roman"/>
                <w:color w:val="000000"/>
                <w:sz w:val="20"/>
                <w:szCs w:val="20"/>
              </w:rPr>
              <w:t>Net cash used by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4AB116" w14:textId="77777777" w:rsidR="00000000" w:rsidRDefault="00C1661D">
            <w:pPr>
              <w:spacing w:after="100"/>
              <w:jc w:val="right"/>
              <w:rPr>
                <w:rFonts w:eastAsia="Times New Roman"/>
              </w:rPr>
            </w:pPr>
            <w:r>
              <w:rPr>
                <w:rFonts w:eastAsia="Times New Roman"/>
                <w:color w:val="000000"/>
                <w:sz w:val="20"/>
                <w:szCs w:val="20"/>
              </w:rPr>
              <w:t>(1,012)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78551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64FA65"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E6C085" w14:textId="77777777" w:rsidR="00000000" w:rsidRDefault="00C1661D">
            <w:pPr>
              <w:spacing w:after="100"/>
              <w:jc w:val="right"/>
              <w:rPr>
                <w:rFonts w:eastAsia="Times New Roman"/>
              </w:rPr>
            </w:pPr>
            <w:r>
              <w:rPr>
                <w:rFonts w:eastAsia="Times New Roman"/>
                <w:color w:val="000000"/>
                <w:sz w:val="20"/>
                <w:szCs w:val="20"/>
              </w:rPr>
              <w:t>(1,113)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74814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8FC41B"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62EE57" w14:textId="77777777" w:rsidR="00000000" w:rsidRDefault="00C1661D">
            <w:pPr>
              <w:spacing w:after="100"/>
              <w:jc w:val="right"/>
              <w:rPr>
                <w:rFonts w:eastAsia="Times New Roman"/>
              </w:rPr>
            </w:pPr>
            <w:r>
              <w:rPr>
                <w:rFonts w:eastAsia="Times New Roman"/>
                <w:color w:val="000000"/>
                <w:sz w:val="20"/>
                <w:szCs w:val="20"/>
              </w:rPr>
              <w:t>(649)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5E51BA" w14:textId="77777777" w:rsidR="00000000" w:rsidRDefault="00C1661D">
            <w:pPr>
              <w:spacing w:after="100"/>
              <w:jc w:val="right"/>
              <w:rPr>
                <w:rFonts w:eastAsia="Times New Roman"/>
              </w:rPr>
            </w:pPr>
          </w:p>
        </w:tc>
      </w:tr>
      <w:tr w:rsidR="00000000" w14:paraId="676129FB" w14:textId="77777777">
        <w:trPr>
          <w:divId w:val="850677515"/>
        </w:trPr>
        <w:tc>
          <w:tcPr>
            <w:tcW w:w="0" w:type="auto"/>
            <w:gridSpan w:val="3"/>
            <w:shd w:val="clear" w:color="auto" w:fill="FFFFFF"/>
            <w:tcMar>
              <w:top w:w="30" w:type="dxa"/>
              <w:left w:w="20" w:type="dxa"/>
              <w:bottom w:w="30" w:type="dxa"/>
              <w:right w:w="20" w:type="dxa"/>
            </w:tcMar>
            <w:vAlign w:val="bottom"/>
            <w:hideMark/>
          </w:tcPr>
          <w:p w14:paraId="32AB56A5" w14:textId="77777777" w:rsidR="00000000" w:rsidRDefault="00C1661D">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227C5F0"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AE18BC2"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9BB902E"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6B97148B"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DFBFE8D" w14:textId="77777777" w:rsidR="00000000" w:rsidRDefault="00C1661D">
            <w:pPr>
              <w:spacing w:after="100"/>
              <w:rPr>
                <w:rFonts w:eastAsia="Times New Roman"/>
              </w:rPr>
            </w:pPr>
            <w:r>
              <w:rPr>
                <w:rFonts w:eastAsia="Times New Roman"/>
                <w:color w:val="000000"/>
                <w:sz w:val="20"/>
                <w:szCs w:val="20"/>
              </w:rPr>
              <w:t> </w:t>
            </w:r>
          </w:p>
        </w:tc>
      </w:tr>
      <w:tr w:rsidR="00000000" w14:paraId="7C021481" w14:textId="77777777">
        <w:trPr>
          <w:divId w:val="850677515"/>
        </w:trPr>
        <w:tc>
          <w:tcPr>
            <w:tcW w:w="0" w:type="auto"/>
            <w:gridSpan w:val="3"/>
            <w:shd w:val="clear" w:color="auto" w:fill="CCEEFF"/>
            <w:tcMar>
              <w:top w:w="30" w:type="dxa"/>
              <w:left w:w="155" w:type="dxa"/>
              <w:bottom w:w="30" w:type="dxa"/>
              <w:right w:w="20" w:type="dxa"/>
            </w:tcMar>
            <w:vAlign w:val="bottom"/>
            <w:hideMark/>
          </w:tcPr>
          <w:p w14:paraId="15947C52" w14:textId="77777777" w:rsidR="00000000" w:rsidRDefault="00C1661D">
            <w:pPr>
              <w:spacing w:after="100"/>
              <w:rPr>
                <w:rFonts w:eastAsia="Times New Roman"/>
              </w:rPr>
            </w:pPr>
            <w:r>
              <w:rPr>
                <w:rFonts w:eastAsia="Times New Roman"/>
                <w:color w:val="000000"/>
                <w:sz w:val="20"/>
                <w:szCs w:val="20"/>
              </w:rPr>
              <w:t>Dividends on UGI Common Stock</w:t>
            </w:r>
          </w:p>
        </w:tc>
        <w:tc>
          <w:tcPr>
            <w:tcW w:w="0" w:type="auto"/>
            <w:gridSpan w:val="2"/>
            <w:shd w:val="clear" w:color="auto" w:fill="CCEEFF"/>
            <w:tcMar>
              <w:top w:w="30" w:type="dxa"/>
              <w:left w:w="20" w:type="dxa"/>
              <w:bottom w:w="30" w:type="dxa"/>
              <w:right w:w="0" w:type="dxa"/>
            </w:tcMar>
            <w:vAlign w:val="bottom"/>
            <w:hideMark/>
          </w:tcPr>
          <w:p w14:paraId="7C720C1C" w14:textId="77777777" w:rsidR="00000000" w:rsidRDefault="00C1661D">
            <w:pPr>
              <w:spacing w:after="100"/>
              <w:jc w:val="right"/>
              <w:rPr>
                <w:rFonts w:eastAsia="Times New Roman"/>
              </w:rPr>
            </w:pPr>
            <w:r>
              <w:rPr>
                <w:rFonts w:eastAsia="Times New Roman"/>
                <w:color w:val="000000"/>
                <w:sz w:val="20"/>
                <w:szCs w:val="20"/>
              </w:rPr>
              <w:t>(296)</w:t>
            </w:r>
          </w:p>
        </w:tc>
        <w:tc>
          <w:tcPr>
            <w:tcW w:w="0" w:type="auto"/>
            <w:shd w:val="clear" w:color="auto" w:fill="CCEEFF"/>
            <w:tcMar>
              <w:top w:w="30" w:type="dxa"/>
              <w:left w:w="0" w:type="dxa"/>
              <w:bottom w:w="30" w:type="dxa"/>
              <w:right w:w="20" w:type="dxa"/>
            </w:tcMar>
            <w:vAlign w:val="bottom"/>
            <w:hideMark/>
          </w:tcPr>
          <w:p w14:paraId="3E47827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64BF1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0471A3" w14:textId="77777777" w:rsidR="00000000" w:rsidRDefault="00C1661D">
            <w:pPr>
              <w:spacing w:after="100"/>
              <w:jc w:val="right"/>
              <w:rPr>
                <w:rFonts w:eastAsia="Times New Roman"/>
              </w:rPr>
            </w:pPr>
            <w:r>
              <w:rPr>
                <w:rFonts w:eastAsia="Times New Roman"/>
                <w:color w:val="000000"/>
                <w:sz w:val="20"/>
                <w:szCs w:val="20"/>
              </w:rPr>
              <w:t>(282)</w:t>
            </w:r>
          </w:p>
        </w:tc>
        <w:tc>
          <w:tcPr>
            <w:tcW w:w="0" w:type="auto"/>
            <w:shd w:val="clear" w:color="auto" w:fill="CCEEFF"/>
            <w:tcMar>
              <w:top w:w="30" w:type="dxa"/>
              <w:left w:w="0" w:type="dxa"/>
              <w:bottom w:w="30" w:type="dxa"/>
              <w:right w:w="20" w:type="dxa"/>
            </w:tcMar>
            <w:vAlign w:val="bottom"/>
            <w:hideMark/>
          </w:tcPr>
          <w:p w14:paraId="4188333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22676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E5B5C2" w14:textId="77777777" w:rsidR="00000000" w:rsidRDefault="00C1661D">
            <w:pPr>
              <w:spacing w:after="100"/>
              <w:jc w:val="right"/>
              <w:rPr>
                <w:rFonts w:eastAsia="Times New Roman"/>
              </w:rPr>
            </w:pPr>
            <w:r>
              <w:rPr>
                <w:rFonts w:eastAsia="Times New Roman"/>
                <w:color w:val="000000"/>
                <w:sz w:val="20"/>
                <w:szCs w:val="20"/>
              </w:rPr>
              <w:t>(273)</w:t>
            </w:r>
          </w:p>
        </w:tc>
        <w:tc>
          <w:tcPr>
            <w:tcW w:w="0" w:type="auto"/>
            <w:shd w:val="clear" w:color="auto" w:fill="CCEEFF"/>
            <w:tcMar>
              <w:top w:w="30" w:type="dxa"/>
              <w:left w:w="0" w:type="dxa"/>
              <w:bottom w:w="30" w:type="dxa"/>
              <w:right w:w="20" w:type="dxa"/>
            </w:tcMar>
            <w:vAlign w:val="bottom"/>
            <w:hideMark/>
          </w:tcPr>
          <w:p w14:paraId="6A7A970F" w14:textId="77777777" w:rsidR="00000000" w:rsidRDefault="00C1661D">
            <w:pPr>
              <w:spacing w:after="100"/>
              <w:jc w:val="right"/>
              <w:rPr>
                <w:rFonts w:eastAsia="Times New Roman"/>
              </w:rPr>
            </w:pPr>
          </w:p>
        </w:tc>
      </w:tr>
      <w:tr w:rsidR="00000000" w14:paraId="3A7159C8" w14:textId="77777777">
        <w:trPr>
          <w:divId w:val="850677515"/>
        </w:trPr>
        <w:tc>
          <w:tcPr>
            <w:tcW w:w="0" w:type="auto"/>
            <w:gridSpan w:val="3"/>
            <w:vAlign w:val="center"/>
            <w:hideMark/>
          </w:tcPr>
          <w:p w14:paraId="76D994F1" w14:textId="77777777" w:rsidR="00000000" w:rsidRDefault="00C1661D">
            <w:pPr>
              <w:spacing w:after="100"/>
              <w:jc w:val="right"/>
              <w:rPr>
                <w:rFonts w:eastAsia="Times New Roman"/>
                <w:sz w:val="20"/>
                <w:szCs w:val="20"/>
              </w:rPr>
            </w:pPr>
          </w:p>
        </w:tc>
        <w:tc>
          <w:tcPr>
            <w:tcW w:w="0" w:type="auto"/>
            <w:gridSpan w:val="3"/>
            <w:vAlign w:val="center"/>
            <w:hideMark/>
          </w:tcPr>
          <w:p w14:paraId="1433D9F7" w14:textId="77777777" w:rsidR="00000000" w:rsidRDefault="00C1661D">
            <w:pPr>
              <w:spacing w:after="100"/>
              <w:rPr>
                <w:rFonts w:eastAsia="Times New Roman"/>
                <w:sz w:val="20"/>
                <w:szCs w:val="20"/>
              </w:rPr>
            </w:pPr>
          </w:p>
        </w:tc>
        <w:tc>
          <w:tcPr>
            <w:tcW w:w="0" w:type="auto"/>
            <w:gridSpan w:val="3"/>
            <w:vAlign w:val="center"/>
            <w:hideMark/>
          </w:tcPr>
          <w:p w14:paraId="243D8850" w14:textId="77777777" w:rsidR="00000000" w:rsidRDefault="00C1661D">
            <w:pPr>
              <w:spacing w:after="100"/>
              <w:rPr>
                <w:rFonts w:eastAsia="Times New Roman"/>
                <w:sz w:val="20"/>
                <w:szCs w:val="20"/>
              </w:rPr>
            </w:pPr>
          </w:p>
        </w:tc>
        <w:tc>
          <w:tcPr>
            <w:tcW w:w="0" w:type="auto"/>
            <w:gridSpan w:val="3"/>
            <w:vAlign w:val="center"/>
            <w:hideMark/>
          </w:tcPr>
          <w:p w14:paraId="67A325A6" w14:textId="77777777" w:rsidR="00000000" w:rsidRDefault="00C1661D">
            <w:pPr>
              <w:spacing w:after="100"/>
              <w:rPr>
                <w:rFonts w:eastAsia="Times New Roman"/>
                <w:sz w:val="20"/>
                <w:szCs w:val="20"/>
              </w:rPr>
            </w:pPr>
          </w:p>
        </w:tc>
        <w:tc>
          <w:tcPr>
            <w:tcW w:w="0" w:type="auto"/>
            <w:gridSpan w:val="3"/>
            <w:vAlign w:val="center"/>
            <w:hideMark/>
          </w:tcPr>
          <w:p w14:paraId="78E8412B" w14:textId="77777777" w:rsidR="00000000" w:rsidRDefault="00C1661D">
            <w:pPr>
              <w:spacing w:after="100"/>
              <w:rPr>
                <w:rFonts w:eastAsia="Times New Roman"/>
                <w:sz w:val="20"/>
                <w:szCs w:val="20"/>
              </w:rPr>
            </w:pPr>
          </w:p>
        </w:tc>
        <w:tc>
          <w:tcPr>
            <w:tcW w:w="0" w:type="auto"/>
            <w:gridSpan w:val="3"/>
            <w:vAlign w:val="center"/>
            <w:hideMark/>
          </w:tcPr>
          <w:p w14:paraId="01191618" w14:textId="77777777" w:rsidR="00000000" w:rsidRDefault="00C1661D">
            <w:pPr>
              <w:spacing w:after="100"/>
              <w:rPr>
                <w:rFonts w:eastAsia="Times New Roman"/>
                <w:sz w:val="20"/>
                <w:szCs w:val="20"/>
              </w:rPr>
            </w:pPr>
          </w:p>
        </w:tc>
      </w:tr>
      <w:tr w:rsidR="00000000" w14:paraId="1375D7C5" w14:textId="77777777">
        <w:trPr>
          <w:divId w:val="850677515"/>
        </w:trPr>
        <w:tc>
          <w:tcPr>
            <w:tcW w:w="0" w:type="auto"/>
            <w:gridSpan w:val="3"/>
            <w:shd w:val="clear" w:color="auto" w:fill="FFFFFF"/>
            <w:tcMar>
              <w:top w:w="30" w:type="dxa"/>
              <w:left w:w="155" w:type="dxa"/>
              <w:bottom w:w="30" w:type="dxa"/>
              <w:right w:w="20" w:type="dxa"/>
            </w:tcMar>
            <w:vAlign w:val="bottom"/>
            <w:hideMark/>
          </w:tcPr>
          <w:p w14:paraId="298E16F0" w14:textId="77777777" w:rsidR="00000000" w:rsidRDefault="00C1661D">
            <w:pPr>
              <w:spacing w:after="100"/>
              <w:rPr>
                <w:rFonts w:eastAsia="Times New Roman"/>
              </w:rPr>
            </w:pPr>
            <w:r>
              <w:rPr>
                <w:rFonts w:eastAsia="Times New Roman"/>
                <w:color w:val="000000"/>
                <w:sz w:val="20"/>
                <w:szCs w:val="20"/>
              </w:rPr>
              <w:t>Issuances of debt, net of issuance costs</w:t>
            </w:r>
          </w:p>
        </w:tc>
        <w:tc>
          <w:tcPr>
            <w:tcW w:w="0" w:type="auto"/>
            <w:gridSpan w:val="2"/>
            <w:shd w:val="clear" w:color="auto" w:fill="FFFFFF"/>
            <w:tcMar>
              <w:top w:w="30" w:type="dxa"/>
              <w:left w:w="20" w:type="dxa"/>
              <w:bottom w:w="30" w:type="dxa"/>
              <w:right w:w="0" w:type="dxa"/>
            </w:tcMar>
            <w:vAlign w:val="bottom"/>
            <w:hideMark/>
          </w:tcPr>
          <w:p w14:paraId="4B12CCDA" w14:textId="77777777" w:rsidR="00000000" w:rsidRDefault="00C1661D">
            <w:pPr>
              <w:spacing w:after="100"/>
              <w:jc w:val="right"/>
              <w:rPr>
                <w:rFonts w:eastAsia="Times New Roman"/>
              </w:rPr>
            </w:pPr>
            <w:r>
              <w:rPr>
                <w:rFonts w:eastAsia="Times New Roman"/>
                <w:color w:val="000000"/>
                <w:sz w:val="20"/>
                <w:szCs w:val="20"/>
              </w:rPr>
              <w:t>1,257 </w:t>
            </w:r>
          </w:p>
        </w:tc>
        <w:tc>
          <w:tcPr>
            <w:tcW w:w="0" w:type="auto"/>
            <w:shd w:val="clear" w:color="auto" w:fill="FFFFFF"/>
            <w:tcMar>
              <w:top w:w="30" w:type="dxa"/>
              <w:left w:w="0" w:type="dxa"/>
              <w:bottom w:w="30" w:type="dxa"/>
              <w:right w:w="20" w:type="dxa"/>
            </w:tcMar>
            <w:vAlign w:val="bottom"/>
            <w:hideMark/>
          </w:tcPr>
          <w:p w14:paraId="2B49B4F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B0458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68A8DC" w14:textId="77777777" w:rsidR="00000000" w:rsidRDefault="00C1661D">
            <w:pPr>
              <w:spacing w:after="100"/>
              <w:jc w:val="right"/>
              <w:rPr>
                <w:rFonts w:eastAsia="Times New Roman"/>
              </w:rPr>
            </w:pPr>
            <w:r>
              <w:rPr>
                <w:rFonts w:eastAsia="Times New Roman"/>
                <w:color w:val="000000"/>
                <w:sz w:val="20"/>
                <w:szCs w:val="20"/>
              </w:rPr>
              <w:t>656 </w:t>
            </w:r>
          </w:p>
        </w:tc>
        <w:tc>
          <w:tcPr>
            <w:tcW w:w="0" w:type="auto"/>
            <w:shd w:val="clear" w:color="auto" w:fill="FFFFFF"/>
            <w:tcMar>
              <w:top w:w="30" w:type="dxa"/>
              <w:left w:w="0" w:type="dxa"/>
              <w:bottom w:w="30" w:type="dxa"/>
              <w:right w:w="20" w:type="dxa"/>
            </w:tcMar>
            <w:vAlign w:val="bottom"/>
            <w:hideMark/>
          </w:tcPr>
          <w:p w14:paraId="4822BEB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FB2E3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282B72" w14:textId="77777777" w:rsidR="00000000" w:rsidRDefault="00C1661D">
            <w:pPr>
              <w:spacing w:after="100"/>
              <w:jc w:val="right"/>
              <w:rPr>
                <w:rFonts w:eastAsia="Times New Roman"/>
              </w:rPr>
            </w:pPr>
            <w:r>
              <w:rPr>
                <w:rFonts w:eastAsia="Times New Roman"/>
                <w:color w:val="000000"/>
                <w:sz w:val="20"/>
                <w:szCs w:val="20"/>
              </w:rPr>
              <w:t>209 </w:t>
            </w:r>
          </w:p>
        </w:tc>
        <w:tc>
          <w:tcPr>
            <w:tcW w:w="0" w:type="auto"/>
            <w:shd w:val="clear" w:color="auto" w:fill="FFFFFF"/>
            <w:tcMar>
              <w:top w:w="30" w:type="dxa"/>
              <w:left w:w="0" w:type="dxa"/>
              <w:bottom w:w="30" w:type="dxa"/>
              <w:right w:w="20" w:type="dxa"/>
            </w:tcMar>
            <w:vAlign w:val="bottom"/>
            <w:hideMark/>
          </w:tcPr>
          <w:p w14:paraId="7217BB35" w14:textId="77777777" w:rsidR="00000000" w:rsidRDefault="00C1661D">
            <w:pPr>
              <w:spacing w:after="100"/>
              <w:jc w:val="right"/>
              <w:rPr>
                <w:rFonts w:eastAsia="Times New Roman"/>
              </w:rPr>
            </w:pPr>
          </w:p>
        </w:tc>
      </w:tr>
      <w:tr w:rsidR="00000000" w14:paraId="037BF1F3" w14:textId="77777777">
        <w:trPr>
          <w:divId w:val="850677515"/>
        </w:trPr>
        <w:tc>
          <w:tcPr>
            <w:tcW w:w="0" w:type="auto"/>
            <w:gridSpan w:val="3"/>
            <w:shd w:val="clear" w:color="auto" w:fill="CCEEFF"/>
            <w:tcMar>
              <w:top w:w="30" w:type="dxa"/>
              <w:left w:w="155" w:type="dxa"/>
              <w:bottom w:w="30" w:type="dxa"/>
              <w:right w:w="20" w:type="dxa"/>
            </w:tcMar>
            <w:vAlign w:val="bottom"/>
            <w:hideMark/>
          </w:tcPr>
          <w:p w14:paraId="2AE34941" w14:textId="77777777" w:rsidR="00000000" w:rsidRDefault="00C1661D">
            <w:pPr>
              <w:spacing w:after="100"/>
              <w:rPr>
                <w:rFonts w:eastAsia="Times New Roman"/>
              </w:rPr>
            </w:pPr>
            <w:r>
              <w:rPr>
                <w:rFonts w:eastAsia="Times New Roman"/>
                <w:color w:val="000000"/>
                <w:sz w:val="20"/>
                <w:szCs w:val="20"/>
              </w:rPr>
              <w:t>Repayments of debt and finance leases</w:t>
            </w:r>
          </w:p>
        </w:tc>
        <w:tc>
          <w:tcPr>
            <w:tcW w:w="0" w:type="auto"/>
            <w:gridSpan w:val="2"/>
            <w:shd w:val="clear" w:color="auto" w:fill="CCEEFF"/>
            <w:tcMar>
              <w:top w:w="30" w:type="dxa"/>
              <w:left w:w="20" w:type="dxa"/>
              <w:bottom w:w="30" w:type="dxa"/>
              <w:right w:w="0" w:type="dxa"/>
            </w:tcMar>
            <w:vAlign w:val="bottom"/>
            <w:hideMark/>
          </w:tcPr>
          <w:p w14:paraId="6C7E0E4A" w14:textId="77777777" w:rsidR="00000000" w:rsidRDefault="00C1661D">
            <w:pPr>
              <w:spacing w:after="100"/>
              <w:jc w:val="right"/>
              <w:rPr>
                <w:rFonts w:eastAsia="Times New Roman"/>
              </w:rPr>
            </w:pPr>
            <w:r>
              <w:rPr>
                <w:rFonts w:eastAsia="Times New Roman"/>
                <w:color w:val="000000"/>
                <w:sz w:val="20"/>
                <w:szCs w:val="20"/>
              </w:rPr>
              <w:t>(978)</w:t>
            </w:r>
          </w:p>
        </w:tc>
        <w:tc>
          <w:tcPr>
            <w:tcW w:w="0" w:type="auto"/>
            <w:shd w:val="clear" w:color="auto" w:fill="CCEEFF"/>
            <w:tcMar>
              <w:top w:w="30" w:type="dxa"/>
              <w:left w:w="0" w:type="dxa"/>
              <w:bottom w:w="30" w:type="dxa"/>
              <w:right w:w="20" w:type="dxa"/>
            </w:tcMar>
            <w:vAlign w:val="bottom"/>
            <w:hideMark/>
          </w:tcPr>
          <w:p w14:paraId="3AF7184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6A5AB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261369" w14:textId="77777777" w:rsidR="00000000" w:rsidRDefault="00C1661D">
            <w:pPr>
              <w:spacing w:after="100"/>
              <w:jc w:val="right"/>
              <w:rPr>
                <w:rFonts w:eastAsia="Times New Roman"/>
              </w:rPr>
            </w:pPr>
            <w:r>
              <w:rPr>
                <w:rFonts w:eastAsia="Times New Roman"/>
                <w:color w:val="000000"/>
                <w:sz w:val="20"/>
                <w:szCs w:val="20"/>
              </w:rPr>
              <w:t>(405)</w:t>
            </w:r>
          </w:p>
        </w:tc>
        <w:tc>
          <w:tcPr>
            <w:tcW w:w="0" w:type="auto"/>
            <w:shd w:val="clear" w:color="auto" w:fill="CCEEFF"/>
            <w:tcMar>
              <w:top w:w="30" w:type="dxa"/>
              <w:left w:w="0" w:type="dxa"/>
              <w:bottom w:w="30" w:type="dxa"/>
              <w:right w:w="20" w:type="dxa"/>
            </w:tcMar>
            <w:vAlign w:val="bottom"/>
            <w:hideMark/>
          </w:tcPr>
          <w:p w14:paraId="22C39E8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A6675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D7E9A0" w14:textId="77777777" w:rsidR="00000000" w:rsidRDefault="00C1661D">
            <w:pPr>
              <w:spacing w:after="100"/>
              <w:jc w:val="right"/>
              <w:rPr>
                <w:rFonts w:eastAsia="Times New Roman"/>
              </w:rPr>
            </w:pPr>
            <w:r>
              <w:rPr>
                <w:rFonts w:eastAsia="Times New Roman"/>
                <w:color w:val="000000"/>
                <w:sz w:val="20"/>
                <w:szCs w:val="20"/>
              </w:rPr>
              <w:t>(86)</w:t>
            </w:r>
          </w:p>
        </w:tc>
        <w:tc>
          <w:tcPr>
            <w:tcW w:w="0" w:type="auto"/>
            <w:shd w:val="clear" w:color="auto" w:fill="CCEEFF"/>
            <w:tcMar>
              <w:top w:w="30" w:type="dxa"/>
              <w:left w:w="0" w:type="dxa"/>
              <w:bottom w:w="30" w:type="dxa"/>
              <w:right w:w="20" w:type="dxa"/>
            </w:tcMar>
            <w:vAlign w:val="bottom"/>
            <w:hideMark/>
          </w:tcPr>
          <w:p w14:paraId="452A5141" w14:textId="77777777" w:rsidR="00000000" w:rsidRDefault="00C1661D">
            <w:pPr>
              <w:spacing w:after="100"/>
              <w:jc w:val="right"/>
              <w:rPr>
                <w:rFonts w:eastAsia="Times New Roman"/>
              </w:rPr>
            </w:pPr>
          </w:p>
        </w:tc>
      </w:tr>
      <w:tr w:rsidR="00000000" w14:paraId="411059E6" w14:textId="77777777">
        <w:trPr>
          <w:divId w:val="850677515"/>
        </w:trPr>
        <w:tc>
          <w:tcPr>
            <w:tcW w:w="0" w:type="auto"/>
            <w:gridSpan w:val="3"/>
            <w:shd w:val="clear" w:color="auto" w:fill="FFFFFF"/>
            <w:tcMar>
              <w:top w:w="30" w:type="dxa"/>
              <w:left w:w="155" w:type="dxa"/>
              <w:bottom w:w="30" w:type="dxa"/>
              <w:right w:w="20" w:type="dxa"/>
            </w:tcMar>
            <w:vAlign w:val="bottom"/>
            <w:hideMark/>
          </w:tcPr>
          <w:p w14:paraId="44FDA7C2" w14:textId="77777777" w:rsidR="00000000" w:rsidRDefault="00C1661D">
            <w:pPr>
              <w:spacing w:after="100"/>
              <w:rPr>
                <w:rFonts w:eastAsia="Times New Roman"/>
              </w:rPr>
            </w:pPr>
            <w:r>
              <w:rPr>
                <w:rFonts w:eastAsia="Times New Roman"/>
                <w:color w:val="000000"/>
                <w:sz w:val="20"/>
                <w:szCs w:val="20"/>
              </w:rPr>
              <w:t>Receivables Facility net repayments</w:t>
            </w:r>
          </w:p>
        </w:tc>
        <w:tc>
          <w:tcPr>
            <w:tcW w:w="0" w:type="auto"/>
            <w:gridSpan w:val="2"/>
            <w:shd w:val="clear" w:color="auto" w:fill="FFFFFF"/>
            <w:tcMar>
              <w:top w:w="30" w:type="dxa"/>
              <w:left w:w="20" w:type="dxa"/>
              <w:bottom w:w="30" w:type="dxa"/>
              <w:right w:w="0" w:type="dxa"/>
            </w:tcMar>
            <w:vAlign w:val="bottom"/>
            <w:hideMark/>
          </w:tcPr>
          <w:p w14:paraId="521984F5"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80E8FC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AED14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9EB681" w14:textId="77777777" w:rsidR="00000000" w:rsidRDefault="00C1661D">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14:paraId="45CC516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5C7EE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7DB950" w14:textId="77777777" w:rsidR="00000000" w:rsidRDefault="00C1661D">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14:paraId="473B17E4" w14:textId="77777777" w:rsidR="00000000" w:rsidRDefault="00C1661D">
            <w:pPr>
              <w:spacing w:after="100"/>
              <w:jc w:val="right"/>
              <w:rPr>
                <w:rFonts w:eastAsia="Times New Roman"/>
              </w:rPr>
            </w:pPr>
          </w:p>
        </w:tc>
      </w:tr>
      <w:tr w:rsidR="00000000" w14:paraId="57401380" w14:textId="77777777">
        <w:trPr>
          <w:divId w:val="850677515"/>
        </w:trPr>
        <w:tc>
          <w:tcPr>
            <w:tcW w:w="0" w:type="auto"/>
            <w:gridSpan w:val="3"/>
            <w:shd w:val="clear" w:color="auto" w:fill="CCEEFF"/>
            <w:tcMar>
              <w:top w:w="30" w:type="dxa"/>
              <w:left w:w="155" w:type="dxa"/>
              <w:bottom w:w="30" w:type="dxa"/>
              <w:right w:w="20" w:type="dxa"/>
            </w:tcMar>
            <w:vAlign w:val="bottom"/>
            <w:hideMark/>
          </w:tcPr>
          <w:p w14:paraId="2B559EC1" w14:textId="77777777" w:rsidR="00000000" w:rsidRDefault="00C1661D">
            <w:pPr>
              <w:spacing w:after="100"/>
              <w:rPr>
                <w:rFonts w:eastAsia="Times New Roman"/>
              </w:rPr>
            </w:pPr>
            <w:r>
              <w:rPr>
                <w:rFonts w:eastAsia="Times New Roman"/>
                <w:color w:val="000000"/>
                <w:sz w:val="20"/>
                <w:szCs w:val="20"/>
              </w:rPr>
              <w:t>Increase (decrease) in short-term borrowings</w:t>
            </w:r>
          </w:p>
        </w:tc>
        <w:tc>
          <w:tcPr>
            <w:tcW w:w="0" w:type="auto"/>
            <w:gridSpan w:val="2"/>
            <w:shd w:val="clear" w:color="auto" w:fill="CCEEFF"/>
            <w:tcMar>
              <w:top w:w="30" w:type="dxa"/>
              <w:left w:w="20" w:type="dxa"/>
              <w:bottom w:w="30" w:type="dxa"/>
              <w:right w:w="0" w:type="dxa"/>
            </w:tcMar>
            <w:vAlign w:val="bottom"/>
            <w:hideMark/>
          </w:tcPr>
          <w:p w14:paraId="0EB80F8F" w14:textId="77777777" w:rsidR="00000000" w:rsidRDefault="00C1661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4639925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AF6EE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3DFA84" w14:textId="77777777" w:rsidR="00000000" w:rsidRDefault="00C1661D">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14:paraId="46C0840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96C85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911889" w14:textId="77777777" w:rsidR="00000000" w:rsidRDefault="00C1661D">
            <w:pPr>
              <w:spacing w:after="100"/>
              <w:jc w:val="right"/>
              <w:rPr>
                <w:rFonts w:eastAsia="Times New Roman"/>
              </w:rPr>
            </w:pPr>
            <w:r>
              <w:rPr>
                <w:rFonts w:eastAsia="Times New Roman"/>
                <w:color w:val="000000"/>
                <w:sz w:val="20"/>
                <w:szCs w:val="20"/>
              </w:rPr>
              <w:t>(422)</w:t>
            </w:r>
          </w:p>
        </w:tc>
        <w:tc>
          <w:tcPr>
            <w:tcW w:w="0" w:type="auto"/>
            <w:shd w:val="clear" w:color="auto" w:fill="CCEEFF"/>
            <w:tcMar>
              <w:top w:w="30" w:type="dxa"/>
              <w:left w:w="0" w:type="dxa"/>
              <w:bottom w:w="30" w:type="dxa"/>
              <w:right w:w="20" w:type="dxa"/>
            </w:tcMar>
            <w:vAlign w:val="bottom"/>
            <w:hideMark/>
          </w:tcPr>
          <w:p w14:paraId="52671291" w14:textId="77777777" w:rsidR="00000000" w:rsidRDefault="00C1661D">
            <w:pPr>
              <w:spacing w:after="100"/>
              <w:jc w:val="right"/>
              <w:rPr>
                <w:rFonts w:eastAsia="Times New Roman"/>
              </w:rPr>
            </w:pPr>
          </w:p>
        </w:tc>
      </w:tr>
      <w:tr w:rsidR="00000000" w14:paraId="7ACAFF12" w14:textId="77777777">
        <w:trPr>
          <w:divId w:val="850677515"/>
        </w:trPr>
        <w:tc>
          <w:tcPr>
            <w:tcW w:w="0" w:type="auto"/>
            <w:gridSpan w:val="3"/>
            <w:shd w:val="clear" w:color="auto" w:fill="FFFFFF"/>
            <w:tcMar>
              <w:top w:w="30" w:type="dxa"/>
              <w:left w:w="155" w:type="dxa"/>
              <w:bottom w:w="30" w:type="dxa"/>
              <w:right w:w="20" w:type="dxa"/>
            </w:tcMar>
            <w:vAlign w:val="bottom"/>
            <w:hideMark/>
          </w:tcPr>
          <w:p w14:paraId="5038F2A3" w14:textId="77777777" w:rsidR="00000000" w:rsidRDefault="00C1661D">
            <w:pPr>
              <w:spacing w:after="100"/>
              <w:rPr>
                <w:rFonts w:eastAsia="Times New Roman"/>
              </w:rPr>
            </w:pPr>
            <w:r>
              <w:rPr>
                <w:rFonts w:eastAsia="Times New Roman"/>
                <w:color w:val="000000"/>
                <w:sz w:val="20"/>
                <w:szCs w:val="20"/>
              </w:rPr>
              <w:t>Issuances of preferred stock, net of issuance costs</w:t>
            </w:r>
          </w:p>
        </w:tc>
        <w:tc>
          <w:tcPr>
            <w:tcW w:w="0" w:type="auto"/>
            <w:gridSpan w:val="2"/>
            <w:shd w:val="clear" w:color="auto" w:fill="FFFFFF"/>
            <w:tcMar>
              <w:top w:w="30" w:type="dxa"/>
              <w:left w:w="20" w:type="dxa"/>
              <w:bottom w:w="30" w:type="dxa"/>
              <w:right w:w="0" w:type="dxa"/>
            </w:tcMar>
            <w:vAlign w:val="bottom"/>
            <w:hideMark/>
          </w:tcPr>
          <w:p w14:paraId="33C12897"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3EE66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18A93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20B9F5" w14:textId="77777777" w:rsidR="00000000" w:rsidRDefault="00C1661D">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14:paraId="278AEC6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9D1E8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A9612A"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01313E" w14:textId="77777777" w:rsidR="00000000" w:rsidRDefault="00C1661D">
            <w:pPr>
              <w:spacing w:after="100"/>
              <w:jc w:val="right"/>
              <w:rPr>
                <w:rFonts w:eastAsia="Times New Roman"/>
              </w:rPr>
            </w:pPr>
          </w:p>
        </w:tc>
      </w:tr>
      <w:tr w:rsidR="00000000" w14:paraId="4F4B81A4" w14:textId="77777777">
        <w:trPr>
          <w:divId w:val="850677515"/>
        </w:trPr>
        <w:tc>
          <w:tcPr>
            <w:tcW w:w="0" w:type="auto"/>
            <w:gridSpan w:val="3"/>
            <w:shd w:val="clear" w:color="auto" w:fill="CCEEFF"/>
            <w:tcMar>
              <w:top w:w="30" w:type="dxa"/>
              <w:left w:w="155" w:type="dxa"/>
              <w:bottom w:w="30" w:type="dxa"/>
              <w:right w:w="20" w:type="dxa"/>
            </w:tcMar>
            <w:vAlign w:val="bottom"/>
            <w:hideMark/>
          </w:tcPr>
          <w:p w14:paraId="58A86241" w14:textId="77777777" w:rsidR="00000000" w:rsidRDefault="00C1661D">
            <w:pPr>
              <w:spacing w:after="100"/>
              <w:rPr>
                <w:rFonts w:eastAsia="Times New Roman"/>
              </w:rPr>
            </w:pPr>
            <w:r>
              <w:rPr>
                <w:rFonts w:eastAsia="Times New Roman"/>
                <w:color w:val="000000"/>
                <w:sz w:val="20"/>
                <w:szCs w:val="20"/>
              </w:rPr>
              <w:t>Issuances of UGI Common Stock</w:t>
            </w:r>
          </w:p>
        </w:tc>
        <w:tc>
          <w:tcPr>
            <w:tcW w:w="0" w:type="auto"/>
            <w:gridSpan w:val="2"/>
            <w:shd w:val="clear" w:color="auto" w:fill="CCEEFF"/>
            <w:tcMar>
              <w:top w:w="30" w:type="dxa"/>
              <w:left w:w="20" w:type="dxa"/>
              <w:bottom w:w="30" w:type="dxa"/>
              <w:right w:w="0" w:type="dxa"/>
            </w:tcMar>
            <w:vAlign w:val="bottom"/>
            <w:hideMark/>
          </w:tcPr>
          <w:p w14:paraId="4ECE363F" w14:textId="77777777" w:rsidR="00000000" w:rsidRDefault="00C1661D">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5803F88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627DF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86DFD7" w14:textId="77777777" w:rsidR="00000000" w:rsidRDefault="00C1661D">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5D46320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F9A77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9B0654"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724EACE3" w14:textId="77777777" w:rsidR="00000000" w:rsidRDefault="00C1661D">
            <w:pPr>
              <w:spacing w:after="100"/>
              <w:jc w:val="right"/>
              <w:rPr>
                <w:rFonts w:eastAsia="Times New Roman"/>
              </w:rPr>
            </w:pPr>
          </w:p>
        </w:tc>
      </w:tr>
      <w:tr w:rsidR="00000000" w14:paraId="2DE0E70E" w14:textId="77777777">
        <w:trPr>
          <w:divId w:val="850677515"/>
        </w:trPr>
        <w:tc>
          <w:tcPr>
            <w:tcW w:w="0" w:type="auto"/>
            <w:gridSpan w:val="3"/>
            <w:shd w:val="clear" w:color="auto" w:fill="FFFFFF"/>
            <w:tcMar>
              <w:top w:w="30" w:type="dxa"/>
              <w:left w:w="155" w:type="dxa"/>
              <w:bottom w:w="30" w:type="dxa"/>
              <w:right w:w="20" w:type="dxa"/>
            </w:tcMar>
            <w:vAlign w:val="bottom"/>
            <w:hideMark/>
          </w:tcPr>
          <w:p w14:paraId="1EB9501D" w14:textId="77777777" w:rsidR="00000000" w:rsidRDefault="00C1661D">
            <w:pPr>
              <w:spacing w:after="100"/>
              <w:rPr>
                <w:rFonts w:eastAsia="Times New Roman"/>
              </w:rPr>
            </w:pPr>
            <w:r>
              <w:rPr>
                <w:rFonts w:eastAsia="Times New Roman"/>
                <w:color w:val="000000"/>
                <w:sz w:val="20"/>
                <w:szCs w:val="20"/>
              </w:rPr>
              <w:t>Repurchases of UGI Common Stock</w:t>
            </w:r>
          </w:p>
        </w:tc>
        <w:tc>
          <w:tcPr>
            <w:tcW w:w="0" w:type="auto"/>
            <w:gridSpan w:val="2"/>
            <w:shd w:val="clear" w:color="auto" w:fill="FFFFFF"/>
            <w:tcMar>
              <w:top w:w="30" w:type="dxa"/>
              <w:left w:w="20" w:type="dxa"/>
              <w:bottom w:w="30" w:type="dxa"/>
              <w:right w:w="0" w:type="dxa"/>
            </w:tcMar>
            <w:vAlign w:val="bottom"/>
            <w:hideMark/>
          </w:tcPr>
          <w:p w14:paraId="464332B7" w14:textId="77777777" w:rsidR="00000000" w:rsidRDefault="00C1661D">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14:paraId="1AFD699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C8171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2B0D19"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A24AF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2486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41A357" w14:textId="77777777" w:rsidR="00000000" w:rsidRDefault="00C1661D">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14:paraId="2724125B" w14:textId="77777777" w:rsidR="00000000" w:rsidRDefault="00C1661D">
            <w:pPr>
              <w:spacing w:after="100"/>
              <w:jc w:val="right"/>
              <w:rPr>
                <w:rFonts w:eastAsia="Times New Roman"/>
              </w:rPr>
            </w:pPr>
          </w:p>
        </w:tc>
      </w:tr>
      <w:tr w:rsidR="00000000" w14:paraId="3A8383E6" w14:textId="77777777">
        <w:trPr>
          <w:divId w:val="850677515"/>
        </w:trPr>
        <w:tc>
          <w:tcPr>
            <w:tcW w:w="0" w:type="auto"/>
            <w:gridSpan w:val="3"/>
            <w:vAlign w:val="center"/>
            <w:hideMark/>
          </w:tcPr>
          <w:p w14:paraId="280CCE31" w14:textId="77777777" w:rsidR="00000000" w:rsidRDefault="00C1661D">
            <w:pPr>
              <w:spacing w:after="100"/>
              <w:jc w:val="right"/>
              <w:rPr>
                <w:rFonts w:eastAsia="Times New Roman"/>
                <w:sz w:val="20"/>
                <w:szCs w:val="20"/>
              </w:rPr>
            </w:pPr>
          </w:p>
        </w:tc>
        <w:tc>
          <w:tcPr>
            <w:tcW w:w="0" w:type="auto"/>
            <w:gridSpan w:val="3"/>
            <w:vAlign w:val="center"/>
            <w:hideMark/>
          </w:tcPr>
          <w:p w14:paraId="0E4EF9EE" w14:textId="77777777" w:rsidR="00000000" w:rsidRDefault="00C1661D">
            <w:pPr>
              <w:spacing w:after="100"/>
              <w:rPr>
                <w:rFonts w:eastAsia="Times New Roman"/>
                <w:sz w:val="20"/>
                <w:szCs w:val="20"/>
              </w:rPr>
            </w:pPr>
          </w:p>
        </w:tc>
        <w:tc>
          <w:tcPr>
            <w:tcW w:w="0" w:type="auto"/>
            <w:gridSpan w:val="3"/>
            <w:vAlign w:val="center"/>
            <w:hideMark/>
          </w:tcPr>
          <w:p w14:paraId="06D6E7EC" w14:textId="77777777" w:rsidR="00000000" w:rsidRDefault="00C1661D">
            <w:pPr>
              <w:spacing w:after="100"/>
              <w:rPr>
                <w:rFonts w:eastAsia="Times New Roman"/>
                <w:sz w:val="20"/>
                <w:szCs w:val="20"/>
              </w:rPr>
            </w:pPr>
          </w:p>
        </w:tc>
        <w:tc>
          <w:tcPr>
            <w:tcW w:w="0" w:type="auto"/>
            <w:gridSpan w:val="3"/>
            <w:vAlign w:val="center"/>
            <w:hideMark/>
          </w:tcPr>
          <w:p w14:paraId="7D8BEEA5" w14:textId="77777777" w:rsidR="00000000" w:rsidRDefault="00C1661D">
            <w:pPr>
              <w:spacing w:after="100"/>
              <w:rPr>
                <w:rFonts w:eastAsia="Times New Roman"/>
                <w:sz w:val="20"/>
                <w:szCs w:val="20"/>
              </w:rPr>
            </w:pPr>
          </w:p>
        </w:tc>
        <w:tc>
          <w:tcPr>
            <w:tcW w:w="0" w:type="auto"/>
            <w:gridSpan w:val="3"/>
            <w:vAlign w:val="center"/>
            <w:hideMark/>
          </w:tcPr>
          <w:p w14:paraId="7C4F2CB2" w14:textId="77777777" w:rsidR="00000000" w:rsidRDefault="00C1661D">
            <w:pPr>
              <w:spacing w:after="100"/>
              <w:rPr>
                <w:rFonts w:eastAsia="Times New Roman"/>
                <w:sz w:val="20"/>
                <w:szCs w:val="20"/>
              </w:rPr>
            </w:pPr>
          </w:p>
        </w:tc>
        <w:tc>
          <w:tcPr>
            <w:tcW w:w="0" w:type="auto"/>
            <w:gridSpan w:val="3"/>
            <w:vAlign w:val="center"/>
            <w:hideMark/>
          </w:tcPr>
          <w:p w14:paraId="04729324" w14:textId="77777777" w:rsidR="00000000" w:rsidRDefault="00C1661D">
            <w:pPr>
              <w:spacing w:after="100"/>
              <w:rPr>
                <w:rFonts w:eastAsia="Times New Roman"/>
                <w:sz w:val="20"/>
                <w:szCs w:val="20"/>
              </w:rPr>
            </w:pPr>
          </w:p>
        </w:tc>
      </w:tr>
      <w:tr w:rsidR="00000000" w14:paraId="4E98906F" w14:textId="77777777">
        <w:trPr>
          <w:divId w:val="850677515"/>
        </w:trPr>
        <w:tc>
          <w:tcPr>
            <w:tcW w:w="0" w:type="auto"/>
            <w:gridSpan w:val="3"/>
            <w:shd w:val="clear" w:color="auto" w:fill="CCEEFF"/>
            <w:tcMar>
              <w:top w:w="30" w:type="dxa"/>
              <w:left w:w="155" w:type="dxa"/>
              <w:bottom w:w="30" w:type="dxa"/>
              <w:right w:w="20" w:type="dxa"/>
            </w:tcMar>
            <w:vAlign w:val="bottom"/>
            <w:hideMark/>
          </w:tcPr>
          <w:p w14:paraId="6267F4C1" w14:textId="77777777" w:rsidR="00000000" w:rsidRDefault="00C1661D">
            <w:pPr>
              <w:spacing w:after="100"/>
              <w:rPr>
                <w:rFonts w:eastAsia="Times New Roman"/>
              </w:rPr>
            </w:pPr>
            <w:r>
              <w:rPr>
                <w:rFonts w:eastAsia="Times New Roman"/>
                <w:color w:val="000000"/>
                <w:sz w:val="20"/>
                <w:szCs w:val="20"/>
              </w:rPr>
              <w:t>Payments on Purchase Contracts</w:t>
            </w:r>
          </w:p>
        </w:tc>
        <w:tc>
          <w:tcPr>
            <w:tcW w:w="0" w:type="auto"/>
            <w:gridSpan w:val="2"/>
            <w:shd w:val="clear" w:color="auto" w:fill="CCEEFF"/>
            <w:tcMar>
              <w:top w:w="30" w:type="dxa"/>
              <w:left w:w="20" w:type="dxa"/>
              <w:bottom w:w="30" w:type="dxa"/>
              <w:right w:w="0" w:type="dxa"/>
            </w:tcMar>
            <w:vAlign w:val="bottom"/>
            <w:hideMark/>
          </w:tcPr>
          <w:p w14:paraId="49258706" w14:textId="77777777" w:rsidR="00000000" w:rsidRDefault="00C1661D">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14:paraId="3FB9D52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325F0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747C0A"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C7661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A3A39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C7DD01"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764096" w14:textId="77777777" w:rsidR="00000000" w:rsidRDefault="00C1661D">
            <w:pPr>
              <w:spacing w:after="100"/>
              <w:jc w:val="right"/>
              <w:rPr>
                <w:rFonts w:eastAsia="Times New Roman"/>
              </w:rPr>
            </w:pPr>
          </w:p>
        </w:tc>
      </w:tr>
      <w:tr w:rsidR="00000000" w14:paraId="4192EAA1" w14:textId="77777777">
        <w:trPr>
          <w:divId w:val="850677515"/>
        </w:trPr>
        <w:tc>
          <w:tcPr>
            <w:tcW w:w="0" w:type="auto"/>
            <w:gridSpan w:val="3"/>
            <w:shd w:val="clear" w:color="auto" w:fill="FFFFFF"/>
            <w:tcMar>
              <w:top w:w="30" w:type="dxa"/>
              <w:left w:w="605" w:type="dxa"/>
              <w:bottom w:w="30" w:type="dxa"/>
              <w:right w:w="20" w:type="dxa"/>
            </w:tcMar>
            <w:vAlign w:val="bottom"/>
            <w:hideMark/>
          </w:tcPr>
          <w:p w14:paraId="4DE9D946" w14:textId="77777777" w:rsidR="00000000" w:rsidRDefault="00C1661D">
            <w:pPr>
              <w:spacing w:after="100"/>
              <w:rPr>
                <w:rFonts w:eastAsia="Times New Roman"/>
              </w:rPr>
            </w:pPr>
            <w:r>
              <w:rPr>
                <w:rFonts w:eastAsia="Times New Roman"/>
                <w:color w:val="000000"/>
                <w:sz w:val="20"/>
                <w:szCs w:val="20"/>
              </w:rPr>
              <w:t>Net cash (used)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41424D" w14:textId="77777777" w:rsidR="00000000" w:rsidRDefault="00C1661D">
            <w:pPr>
              <w:spacing w:after="100"/>
              <w:jc w:val="right"/>
              <w:rPr>
                <w:rFonts w:eastAsia="Times New Roman"/>
              </w:rPr>
            </w:pPr>
            <w:r>
              <w:rPr>
                <w:rFonts w:eastAsia="Times New Roman"/>
                <w:color w:val="000000"/>
                <w:sz w:val="20"/>
                <w:szCs w:val="20"/>
              </w:rPr>
              <w:t>(51)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993EB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07DBE9"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8C1C8F" w14:textId="77777777" w:rsidR="00000000" w:rsidRDefault="00C1661D">
            <w:pPr>
              <w:spacing w:after="100"/>
              <w:jc w:val="right"/>
              <w:rPr>
                <w:rFonts w:eastAsia="Times New Roman"/>
              </w:rPr>
            </w:pPr>
            <w:r>
              <w:rPr>
                <w:rFonts w:eastAsia="Times New Roman"/>
                <w:color w:val="000000"/>
                <w:sz w:val="20"/>
                <w:szCs w:val="20"/>
              </w:rPr>
              <w:t>166 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308C8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8B8A61"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4890B2" w14:textId="77777777" w:rsidR="00000000" w:rsidRDefault="00C1661D">
            <w:pPr>
              <w:spacing w:after="100"/>
              <w:jc w:val="right"/>
              <w:rPr>
                <w:rFonts w:eastAsia="Times New Roman"/>
              </w:rPr>
            </w:pPr>
            <w:r>
              <w:rPr>
                <w:rFonts w:eastAsia="Times New Roman"/>
                <w:color w:val="000000"/>
                <w:sz w:val="20"/>
                <w:szCs w:val="20"/>
              </w:rPr>
              <w:t>(635)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E3ADE5" w14:textId="77777777" w:rsidR="00000000" w:rsidRDefault="00C1661D">
            <w:pPr>
              <w:spacing w:after="100"/>
              <w:jc w:val="right"/>
              <w:rPr>
                <w:rFonts w:eastAsia="Times New Roman"/>
              </w:rPr>
            </w:pPr>
          </w:p>
        </w:tc>
      </w:tr>
      <w:tr w:rsidR="00000000" w14:paraId="6F2C3E49" w14:textId="77777777">
        <w:trPr>
          <w:divId w:val="850677515"/>
        </w:trPr>
        <w:tc>
          <w:tcPr>
            <w:tcW w:w="0" w:type="auto"/>
            <w:gridSpan w:val="3"/>
            <w:shd w:val="clear" w:color="auto" w:fill="CCEEFF"/>
            <w:tcMar>
              <w:top w:w="30" w:type="dxa"/>
              <w:left w:w="20" w:type="dxa"/>
              <w:bottom w:w="30" w:type="dxa"/>
              <w:right w:w="20" w:type="dxa"/>
            </w:tcMar>
            <w:vAlign w:val="bottom"/>
            <w:hideMark/>
          </w:tcPr>
          <w:p w14:paraId="3C40046C" w14:textId="77777777" w:rsidR="00000000" w:rsidRDefault="00C1661D">
            <w:pPr>
              <w:spacing w:after="100"/>
              <w:rPr>
                <w:rFonts w:eastAsia="Times New Roman"/>
              </w:rPr>
            </w:pPr>
            <w:r>
              <w:rPr>
                <w:rFonts w:eastAsia="Times New Roman"/>
                <w:color w:val="000000"/>
                <w:sz w:val="20"/>
                <w:szCs w:val="20"/>
              </w:rPr>
              <w:t>Effect of exchange rate changes on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F66637" w14:textId="77777777" w:rsidR="00000000" w:rsidRDefault="00C1661D">
            <w:pPr>
              <w:spacing w:after="100"/>
              <w:jc w:val="right"/>
              <w:rPr>
                <w:rFonts w:eastAsia="Times New Roman"/>
              </w:rPr>
            </w:pPr>
            <w:r>
              <w:rPr>
                <w:rFonts w:eastAsia="Times New Roman"/>
                <w:color w:val="000000"/>
                <w:sz w:val="20"/>
                <w:szCs w:val="20"/>
              </w:rPr>
              <w:t>(61)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BC5B0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FC9F37"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74D6FF" w14:textId="77777777" w:rsidR="00000000" w:rsidRDefault="00C1661D">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68E28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C84D69"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4E774E" w14:textId="77777777" w:rsidR="00000000" w:rsidRDefault="00C1661D">
            <w:pPr>
              <w:spacing w:after="100"/>
              <w:jc w:val="right"/>
              <w:rPr>
                <w:rFonts w:eastAsia="Times New Roman"/>
              </w:rPr>
            </w:pPr>
            <w:r>
              <w:rPr>
                <w:rFonts w:eastAsia="Times New Roman"/>
                <w:color w:val="000000"/>
                <w:sz w:val="20"/>
                <w:szCs w:val="20"/>
              </w:rPr>
              <w:t>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43D417" w14:textId="77777777" w:rsidR="00000000" w:rsidRDefault="00C1661D">
            <w:pPr>
              <w:spacing w:after="100"/>
              <w:jc w:val="right"/>
              <w:rPr>
                <w:rFonts w:eastAsia="Times New Roman"/>
              </w:rPr>
            </w:pPr>
          </w:p>
        </w:tc>
      </w:tr>
      <w:tr w:rsidR="00000000" w14:paraId="0228182B" w14:textId="77777777">
        <w:trPr>
          <w:divId w:val="850677515"/>
        </w:trPr>
        <w:tc>
          <w:tcPr>
            <w:tcW w:w="0" w:type="auto"/>
            <w:gridSpan w:val="3"/>
            <w:shd w:val="clear" w:color="auto" w:fill="FFFFFF"/>
            <w:tcMar>
              <w:top w:w="30" w:type="dxa"/>
              <w:left w:w="20" w:type="dxa"/>
              <w:bottom w:w="30" w:type="dxa"/>
              <w:right w:w="20" w:type="dxa"/>
            </w:tcMar>
            <w:vAlign w:val="bottom"/>
            <w:hideMark/>
          </w:tcPr>
          <w:p w14:paraId="0F5E5EC0" w14:textId="77777777" w:rsidR="00000000" w:rsidRDefault="00C1661D">
            <w:pPr>
              <w:spacing w:after="100"/>
              <w:rPr>
                <w:rFonts w:eastAsia="Times New Roman"/>
              </w:rPr>
            </w:pPr>
            <w:r>
              <w:rPr>
                <w:rFonts w:eastAsia="Times New Roman"/>
                <w:color w:val="000000"/>
                <w:sz w:val="20"/>
                <w:szCs w:val="20"/>
              </w:rPr>
              <w:t>Cash, cash equivalents and restricted cash (decrease) increase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65925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DABDBFC" w14:textId="77777777" w:rsidR="00000000" w:rsidRDefault="00C1661D">
            <w:pPr>
              <w:spacing w:after="100"/>
              <w:jc w:val="right"/>
              <w:rPr>
                <w:rFonts w:eastAsia="Times New Roman"/>
              </w:rPr>
            </w:pPr>
            <w:r>
              <w:rPr>
                <w:rFonts w:eastAsia="Times New Roman"/>
                <w:color w:val="000000"/>
                <w:sz w:val="20"/>
                <w:szCs w:val="20"/>
              </w:rPr>
              <w:t>(408)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233E3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16C4EE"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8DCF7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35C6BAE" w14:textId="77777777" w:rsidR="00000000" w:rsidRDefault="00C1661D">
            <w:pPr>
              <w:spacing w:after="100"/>
              <w:jc w:val="right"/>
              <w:rPr>
                <w:rFonts w:eastAsia="Times New Roman"/>
              </w:rPr>
            </w:pPr>
            <w:r>
              <w:rPr>
                <w:rFonts w:eastAsia="Times New Roman"/>
                <w:color w:val="000000"/>
                <w:sz w:val="20"/>
                <w:szCs w:val="20"/>
              </w:rPr>
              <w:t>520 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9BEA8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81CBC2"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972B5A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AFC240" w14:textId="77777777" w:rsidR="00000000" w:rsidRDefault="00C1661D">
            <w:pPr>
              <w:spacing w:after="100"/>
              <w:jc w:val="right"/>
              <w:rPr>
                <w:rFonts w:eastAsia="Times New Roman"/>
              </w:rPr>
            </w:pPr>
            <w:r>
              <w:rPr>
                <w:rFonts w:eastAsia="Times New Roman"/>
                <w:color w:val="000000"/>
                <w:sz w:val="20"/>
                <w:szCs w:val="20"/>
              </w:rPr>
              <w:t>(154)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BBF162" w14:textId="77777777" w:rsidR="00000000" w:rsidRDefault="00C1661D">
            <w:pPr>
              <w:spacing w:after="100"/>
              <w:jc w:val="right"/>
              <w:rPr>
                <w:rFonts w:eastAsia="Times New Roman"/>
              </w:rPr>
            </w:pPr>
          </w:p>
        </w:tc>
      </w:tr>
      <w:tr w:rsidR="00000000" w14:paraId="6F8A53AB" w14:textId="77777777">
        <w:trPr>
          <w:divId w:val="850677515"/>
        </w:trPr>
        <w:tc>
          <w:tcPr>
            <w:tcW w:w="0" w:type="auto"/>
            <w:gridSpan w:val="3"/>
            <w:shd w:val="clear" w:color="auto" w:fill="CCEEFF"/>
            <w:tcMar>
              <w:top w:w="30" w:type="dxa"/>
              <w:left w:w="20" w:type="dxa"/>
              <w:bottom w:w="30" w:type="dxa"/>
              <w:right w:w="20" w:type="dxa"/>
            </w:tcMar>
            <w:vAlign w:val="bottom"/>
            <w:hideMark/>
          </w:tcPr>
          <w:p w14:paraId="5733DBBF" w14:textId="77777777" w:rsidR="00000000" w:rsidRDefault="00C1661D">
            <w:pPr>
              <w:spacing w:after="100"/>
              <w:rPr>
                <w:rFonts w:eastAsia="Times New Roman"/>
              </w:rPr>
            </w:pPr>
            <w:r>
              <w:rPr>
                <w:rFonts w:eastAsia="Times New Roman"/>
                <w:b/>
                <w:bCs/>
                <w:color w:val="000000"/>
                <w:sz w:val="20"/>
                <w:szCs w:val="20"/>
              </w:rPr>
              <w:t>CASH, CASH EQUIVALENTS AND RESTRICTED CASH</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B821C15"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97C3F79" w14:textId="77777777" w:rsidR="00000000" w:rsidRDefault="00C1661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E9BE9E3"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E6876A3" w14:textId="77777777" w:rsidR="00000000" w:rsidRDefault="00C1661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89C4EDE" w14:textId="77777777" w:rsidR="00000000" w:rsidRDefault="00C1661D">
            <w:pPr>
              <w:spacing w:after="100"/>
              <w:rPr>
                <w:rFonts w:eastAsia="Times New Roman"/>
              </w:rPr>
            </w:pPr>
            <w:r>
              <w:rPr>
                <w:rFonts w:eastAsia="Times New Roman"/>
                <w:color w:val="000000"/>
                <w:sz w:val="20"/>
                <w:szCs w:val="20"/>
              </w:rPr>
              <w:t> </w:t>
            </w:r>
          </w:p>
        </w:tc>
      </w:tr>
      <w:tr w:rsidR="00000000" w14:paraId="2F558D9D" w14:textId="77777777">
        <w:trPr>
          <w:divId w:val="850677515"/>
        </w:trPr>
        <w:tc>
          <w:tcPr>
            <w:tcW w:w="0" w:type="auto"/>
            <w:gridSpan w:val="3"/>
            <w:shd w:val="clear" w:color="auto" w:fill="FFFFFF"/>
            <w:tcMar>
              <w:top w:w="30" w:type="dxa"/>
              <w:left w:w="155" w:type="dxa"/>
              <w:bottom w:w="30" w:type="dxa"/>
              <w:right w:w="20" w:type="dxa"/>
            </w:tcMar>
            <w:vAlign w:val="bottom"/>
            <w:hideMark/>
          </w:tcPr>
          <w:p w14:paraId="28B8A9BA" w14:textId="77777777" w:rsidR="00000000" w:rsidRDefault="00C1661D">
            <w:pPr>
              <w:spacing w:after="100"/>
              <w:rPr>
                <w:rFonts w:eastAsia="Times New Roman"/>
              </w:rPr>
            </w:pPr>
            <w:r>
              <w:rPr>
                <w:rFonts w:eastAsia="Times New Roman"/>
                <w:color w:val="000000"/>
                <w:sz w:val="20"/>
                <w:szCs w:val="20"/>
              </w:rPr>
              <w:t>Cash, cash equivalents and restricted cash at end of year</w:t>
            </w:r>
          </w:p>
        </w:tc>
        <w:tc>
          <w:tcPr>
            <w:tcW w:w="0" w:type="auto"/>
            <w:shd w:val="clear" w:color="auto" w:fill="FFFFFF"/>
            <w:tcMar>
              <w:top w:w="30" w:type="dxa"/>
              <w:left w:w="20" w:type="dxa"/>
              <w:bottom w:w="30" w:type="dxa"/>
              <w:right w:w="0" w:type="dxa"/>
            </w:tcMar>
            <w:vAlign w:val="bottom"/>
            <w:hideMark/>
          </w:tcPr>
          <w:p w14:paraId="4F541FE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58F13A" w14:textId="77777777" w:rsidR="00000000" w:rsidRDefault="00C1661D">
            <w:pPr>
              <w:spacing w:after="100"/>
              <w:jc w:val="right"/>
              <w:rPr>
                <w:rFonts w:eastAsia="Times New Roman"/>
              </w:rPr>
            </w:pPr>
            <w:r>
              <w:rPr>
                <w:rFonts w:eastAsia="Times New Roman"/>
                <w:color w:val="000000"/>
                <w:sz w:val="20"/>
                <w:szCs w:val="20"/>
              </w:rPr>
              <w:t>469 </w:t>
            </w:r>
          </w:p>
        </w:tc>
        <w:tc>
          <w:tcPr>
            <w:tcW w:w="0" w:type="auto"/>
            <w:shd w:val="clear" w:color="auto" w:fill="FFFFFF"/>
            <w:tcMar>
              <w:top w:w="30" w:type="dxa"/>
              <w:left w:w="0" w:type="dxa"/>
              <w:bottom w:w="30" w:type="dxa"/>
              <w:right w:w="20" w:type="dxa"/>
            </w:tcMar>
            <w:vAlign w:val="bottom"/>
            <w:hideMark/>
          </w:tcPr>
          <w:p w14:paraId="142B382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51FB4"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6E34C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0EC7258" w14:textId="77777777" w:rsidR="00000000" w:rsidRDefault="00C1661D">
            <w:pPr>
              <w:spacing w:after="100"/>
              <w:jc w:val="right"/>
              <w:rPr>
                <w:rFonts w:eastAsia="Times New Roman"/>
              </w:rPr>
            </w:pPr>
            <w:r>
              <w:rPr>
                <w:rFonts w:eastAsia="Times New Roman"/>
                <w:color w:val="000000"/>
                <w:sz w:val="20"/>
                <w:szCs w:val="20"/>
              </w:rPr>
              <w:t>877 </w:t>
            </w:r>
          </w:p>
        </w:tc>
        <w:tc>
          <w:tcPr>
            <w:tcW w:w="0" w:type="auto"/>
            <w:shd w:val="clear" w:color="auto" w:fill="FFFFFF"/>
            <w:tcMar>
              <w:top w:w="30" w:type="dxa"/>
              <w:left w:w="0" w:type="dxa"/>
              <w:bottom w:w="30" w:type="dxa"/>
              <w:right w:w="20" w:type="dxa"/>
            </w:tcMar>
            <w:vAlign w:val="bottom"/>
            <w:hideMark/>
          </w:tcPr>
          <w:p w14:paraId="59EB539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2957B"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5D706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7AE7F75" w14:textId="77777777" w:rsidR="00000000" w:rsidRDefault="00C1661D">
            <w:pPr>
              <w:spacing w:after="100"/>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bottom"/>
            <w:hideMark/>
          </w:tcPr>
          <w:p w14:paraId="6C5C632C" w14:textId="77777777" w:rsidR="00000000" w:rsidRDefault="00C1661D">
            <w:pPr>
              <w:spacing w:after="100"/>
              <w:jc w:val="right"/>
              <w:rPr>
                <w:rFonts w:eastAsia="Times New Roman"/>
              </w:rPr>
            </w:pPr>
          </w:p>
        </w:tc>
      </w:tr>
      <w:tr w:rsidR="00000000" w14:paraId="3236FF01" w14:textId="77777777">
        <w:trPr>
          <w:divId w:val="850677515"/>
        </w:trPr>
        <w:tc>
          <w:tcPr>
            <w:tcW w:w="0" w:type="auto"/>
            <w:gridSpan w:val="3"/>
            <w:shd w:val="clear" w:color="auto" w:fill="CCEEFF"/>
            <w:tcMar>
              <w:top w:w="30" w:type="dxa"/>
              <w:left w:w="155" w:type="dxa"/>
              <w:bottom w:w="30" w:type="dxa"/>
              <w:right w:w="20" w:type="dxa"/>
            </w:tcMar>
            <w:vAlign w:val="bottom"/>
            <w:hideMark/>
          </w:tcPr>
          <w:p w14:paraId="002698FB" w14:textId="77777777" w:rsidR="00000000" w:rsidRDefault="00C1661D">
            <w:pPr>
              <w:spacing w:after="100"/>
              <w:rPr>
                <w:rFonts w:eastAsia="Times New Roman"/>
              </w:rPr>
            </w:pPr>
            <w:r>
              <w:rPr>
                <w:rFonts w:eastAsia="Times New Roman"/>
                <w:color w:val="000000"/>
                <w:sz w:val="20"/>
                <w:szCs w:val="20"/>
              </w:rPr>
              <w:t>Cash, cash equivalents and restricted cash at beginning of year</w:t>
            </w:r>
          </w:p>
        </w:tc>
        <w:tc>
          <w:tcPr>
            <w:tcW w:w="0" w:type="auto"/>
            <w:gridSpan w:val="2"/>
            <w:shd w:val="clear" w:color="auto" w:fill="CCEEFF"/>
            <w:tcMar>
              <w:top w:w="30" w:type="dxa"/>
              <w:left w:w="20" w:type="dxa"/>
              <w:bottom w:w="30" w:type="dxa"/>
              <w:right w:w="0" w:type="dxa"/>
            </w:tcMar>
            <w:vAlign w:val="bottom"/>
            <w:hideMark/>
          </w:tcPr>
          <w:p w14:paraId="63C77999" w14:textId="77777777" w:rsidR="00000000" w:rsidRDefault="00C1661D">
            <w:pPr>
              <w:spacing w:after="100"/>
              <w:jc w:val="right"/>
              <w:rPr>
                <w:rFonts w:eastAsia="Times New Roman"/>
              </w:rPr>
            </w:pPr>
            <w:r>
              <w:rPr>
                <w:rFonts w:eastAsia="Times New Roman"/>
                <w:color w:val="000000"/>
                <w:sz w:val="20"/>
                <w:szCs w:val="20"/>
              </w:rPr>
              <w:t>877 </w:t>
            </w:r>
          </w:p>
        </w:tc>
        <w:tc>
          <w:tcPr>
            <w:tcW w:w="0" w:type="auto"/>
            <w:shd w:val="clear" w:color="auto" w:fill="CCEEFF"/>
            <w:tcMar>
              <w:top w:w="30" w:type="dxa"/>
              <w:left w:w="0" w:type="dxa"/>
              <w:bottom w:w="30" w:type="dxa"/>
              <w:right w:w="20" w:type="dxa"/>
            </w:tcMar>
            <w:vAlign w:val="bottom"/>
            <w:hideMark/>
          </w:tcPr>
          <w:p w14:paraId="7690C70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3188E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5EDD51" w14:textId="77777777" w:rsidR="00000000" w:rsidRDefault="00C1661D">
            <w:pPr>
              <w:spacing w:after="100"/>
              <w:jc w:val="right"/>
              <w:rPr>
                <w:rFonts w:eastAsia="Times New Roman"/>
              </w:rPr>
            </w:pPr>
            <w:r>
              <w:rPr>
                <w:rFonts w:eastAsia="Times New Roman"/>
                <w:color w:val="000000"/>
                <w:sz w:val="20"/>
                <w:szCs w:val="20"/>
              </w:rPr>
              <w:t>357 </w:t>
            </w:r>
          </w:p>
        </w:tc>
        <w:tc>
          <w:tcPr>
            <w:tcW w:w="0" w:type="auto"/>
            <w:shd w:val="clear" w:color="auto" w:fill="CCEEFF"/>
            <w:tcMar>
              <w:top w:w="30" w:type="dxa"/>
              <w:left w:w="0" w:type="dxa"/>
              <w:bottom w:w="30" w:type="dxa"/>
              <w:right w:w="20" w:type="dxa"/>
            </w:tcMar>
            <w:vAlign w:val="bottom"/>
            <w:hideMark/>
          </w:tcPr>
          <w:p w14:paraId="205D318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1343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7C588E" w14:textId="77777777" w:rsidR="00000000" w:rsidRDefault="00C1661D">
            <w:pPr>
              <w:spacing w:after="100"/>
              <w:jc w:val="right"/>
              <w:rPr>
                <w:rFonts w:eastAsia="Times New Roman"/>
              </w:rPr>
            </w:pPr>
            <w:r>
              <w:rPr>
                <w:rFonts w:eastAsia="Times New Roman"/>
                <w:color w:val="000000"/>
                <w:sz w:val="20"/>
                <w:szCs w:val="20"/>
              </w:rPr>
              <w:t>511 </w:t>
            </w:r>
          </w:p>
        </w:tc>
        <w:tc>
          <w:tcPr>
            <w:tcW w:w="0" w:type="auto"/>
            <w:shd w:val="clear" w:color="auto" w:fill="CCEEFF"/>
            <w:tcMar>
              <w:top w:w="30" w:type="dxa"/>
              <w:left w:w="0" w:type="dxa"/>
              <w:bottom w:w="30" w:type="dxa"/>
              <w:right w:w="20" w:type="dxa"/>
            </w:tcMar>
            <w:vAlign w:val="bottom"/>
            <w:hideMark/>
          </w:tcPr>
          <w:p w14:paraId="5F5DF2C3" w14:textId="77777777" w:rsidR="00000000" w:rsidRDefault="00C1661D">
            <w:pPr>
              <w:spacing w:after="100"/>
              <w:jc w:val="right"/>
              <w:rPr>
                <w:rFonts w:eastAsia="Times New Roman"/>
              </w:rPr>
            </w:pPr>
          </w:p>
        </w:tc>
      </w:tr>
      <w:tr w:rsidR="00000000" w14:paraId="070E42C2" w14:textId="77777777">
        <w:trPr>
          <w:divId w:val="850677515"/>
        </w:trPr>
        <w:tc>
          <w:tcPr>
            <w:tcW w:w="0" w:type="auto"/>
            <w:gridSpan w:val="3"/>
            <w:shd w:val="clear" w:color="auto" w:fill="FFFFFF"/>
            <w:tcMar>
              <w:top w:w="30" w:type="dxa"/>
              <w:left w:w="380" w:type="dxa"/>
              <w:bottom w:w="30" w:type="dxa"/>
              <w:right w:w="20" w:type="dxa"/>
            </w:tcMar>
            <w:vAlign w:val="bottom"/>
            <w:hideMark/>
          </w:tcPr>
          <w:p w14:paraId="02E18CE1" w14:textId="77777777" w:rsidR="00000000" w:rsidRDefault="00C1661D">
            <w:pPr>
              <w:spacing w:after="100"/>
              <w:rPr>
                <w:rFonts w:eastAsia="Times New Roman"/>
              </w:rPr>
            </w:pPr>
            <w:r>
              <w:rPr>
                <w:rFonts w:eastAsia="Times New Roman"/>
                <w:color w:val="000000"/>
                <w:sz w:val="20"/>
                <w:szCs w:val="20"/>
              </w:rPr>
              <w:t>Cash, cash equivalents and restricted cash (decrease) increase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1E63A1B"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4FD14A" w14:textId="77777777" w:rsidR="00000000" w:rsidRDefault="00C1661D">
            <w:pPr>
              <w:spacing w:after="100"/>
              <w:jc w:val="right"/>
              <w:rPr>
                <w:rFonts w:eastAsia="Times New Roman"/>
              </w:rPr>
            </w:pPr>
            <w:r>
              <w:rPr>
                <w:rFonts w:eastAsia="Times New Roman"/>
                <w:color w:val="000000"/>
                <w:sz w:val="20"/>
                <w:szCs w:val="20"/>
              </w:rPr>
              <w:t>(408)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1CC63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EC3C7C"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4D95675"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D6B89F" w14:textId="77777777" w:rsidR="00000000" w:rsidRDefault="00C1661D">
            <w:pPr>
              <w:spacing w:after="100"/>
              <w:jc w:val="right"/>
              <w:rPr>
                <w:rFonts w:eastAsia="Times New Roman"/>
              </w:rPr>
            </w:pPr>
            <w:r>
              <w:rPr>
                <w:rFonts w:eastAsia="Times New Roman"/>
                <w:color w:val="000000"/>
                <w:sz w:val="20"/>
                <w:szCs w:val="20"/>
              </w:rPr>
              <w:t>520 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7577B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F6E8C"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CC09F03"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A13219" w14:textId="77777777" w:rsidR="00000000" w:rsidRDefault="00C1661D">
            <w:pPr>
              <w:spacing w:after="100"/>
              <w:jc w:val="right"/>
              <w:rPr>
                <w:rFonts w:eastAsia="Times New Roman"/>
              </w:rPr>
            </w:pPr>
            <w:r>
              <w:rPr>
                <w:rFonts w:eastAsia="Times New Roman"/>
                <w:color w:val="000000"/>
                <w:sz w:val="20"/>
                <w:szCs w:val="20"/>
              </w:rPr>
              <w:t>(154)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0BB43D" w14:textId="77777777" w:rsidR="00000000" w:rsidRDefault="00C1661D">
            <w:pPr>
              <w:spacing w:after="100"/>
              <w:jc w:val="right"/>
              <w:rPr>
                <w:rFonts w:eastAsia="Times New Roman"/>
              </w:rPr>
            </w:pPr>
          </w:p>
        </w:tc>
      </w:tr>
      <w:tr w:rsidR="00000000" w14:paraId="1D1FDAAD" w14:textId="77777777">
        <w:trPr>
          <w:divId w:val="850677515"/>
        </w:trPr>
        <w:tc>
          <w:tcPr>
            <w:tcW w:w="0" w:type="auto"/>
            <w:gridSpan w:val="3"/>
            <w:shd w:val="clear" w:color="auto" w:fill="CCEEFF"/>
            <w:tcMar>
              <w:top w:w="30" w:type="dxa"/>
              <w:left w:w="20" w:type="dxa"/>
              <w:bottom w:w="30" w:type="dxa"/>
              <w:right w:w="20" w:type="dxa"/>
            </w:tcMar>
            <w:vAlign w:val="bottom"/>
            <w:hideMark/>
          </w:tcPr>
          <w:p w14:paraId="4923C19A" w14:textId="77777777" w:rsidR="00000000" w:rsidRDefault="00C1661D">
            <w:pPr>
              <w:spacing w:after="100"/>
              <w:rPr>
                <w:rFonts w:eastAsia="Times New Roman"/>
              </w:rPr>
            </w:pPr>
            <w:r>
              <w:rPr>
                <w:rFonts w:eastAsia="Times New Roman"/>
                <w:b/>
                <w:bCs/>
                <w:color w:val="000000"/>
                <w:sz w:val="20"/>
                <w:szCs w:val="20"/>
              </w:rPr>
              <w:t>SUPPLEMENTAL CASH FLOW INFORMATION</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BC70277"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CB6810D" w14:textId="77777777" w:rsidR="00000000" w:rsidRDefault="00C1661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0817FE7"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31492E4" w14:textId="77777777" w:rsidR="00000000" w:rsidRDefault="00C1661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75403BA" w14:textId="77777777" w:rsidR="00000000" w:rsidRDefault="00C1661D">
            <w:pPr>
              <w:spacing w:after="100"/>
              <w:rPr>
                <w:rFonts w:eastAsia="Times New Roman"/>
              </w:rPr>
            </w:pPr>
            <w:r>
              <w:rPr>
                <w:rFonts w:eastAsia="Times New Roman"/>
                <w:color w:val="000000"/>
                <w:sz w:val="20"/>
                <w:szCs w:val="20"/>
              </w:rPr>
              <w:t> </w:t>
            </w:r>
          </w:p>
        </w:tc>
      </w:tr>
      <w:tr w:rsidR="00000000" w14:paraId="3FC0377C" w14:textId="77777777">
        <w:trPr>
          <w:divId w:val="850677515"/>
        </w:trPr>
        <w:tc>
          <w:tcPr>
            <w:tcW w:w="0" w:type="auto"/>
            <w:gridSpan w:val="3"/>
            <w:shd w:val="clear" w:color="auto" w:fill="FFFFFF"/>
            <w:tcMar>
              <w:top w:w="30" w:type="dxa"/>
              <w:left w:w="155" w:type="dxa"/>
              <w:bottom w:w="30" w:type="dxa"/>
              <w:right w:w="20" w:type="dxa"/>
            </w:tcMar>
            <w:vAlign w:val="bottom"/>
            <w:hideMark/>
          </w:tcPr>
          <w:p w14:paraId="6A14EC19" w14:textId="77777777" w:rsidR="00000000" w:rsidRDefault="00C1661D">
            <w:pPr>
              <w:spacing w:after="100"/>
              <w:rPr>
                <w:rFonts w:eastAsia="Times New Roman"/>
              </w:rPr>
            </w:pPr>
            <w:r>
              <w:rPr>
                <w:rFonts w:eastAsia="Times New Roman"/>
                <w:color w:val="000000"/>
                <w:sz w:val="20"/>
                <w:szCs w:val="20"/>
              </w:rPr>
              <w:t>Cash paid for:</w:t>
            </w:r>
          </w:p>
        </w:tc>
        <w:tc>
          <w:tcPr>
            <w:tcW w:w="0" w:type="auto"/>
            <w:gridSpan w:val="3"/>
            <w:shd w:val="clear" w:color="auto" w:fill="FFFFFF"/>
            <w:tcMar>
              <w:top w:w="30" w:type="dxa"/>
              <w:left w:w="20" w:type="dxa"/>
              <w:bottom w:w="30" w:type="dxa"/>
              <w:right w:w="20" w:type="dxa"/>
            </w:tcMar>
            <w:vAlign w:val="bottom"/>
            <w:hideMark/>
          </w:tcPr>
          <w:p w14:paraId="3FB25F56"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900416E"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9DAF4F9"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FF4D065"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DEB87A9" w14:textId="77777777" w:rsidR="00000000" w:rsidRDefault="00C1661D">
            <w:pPr>
              <w:spacing w:after="100"/>
              <w:rPr>
                <w:rFonts w:eastAsia="Times New Roman"/>
              </w:rPr>
            </w:pPr>
            <w:r>
              <w:rPr>
                <w:rFonts w:eastAsia="Times New Roman"/>
                <w:color w:val="000000"/>
                <w:sz w:val="20"/>
                <w:szCs w:val="20"/>
              </w:rPr>
              <w:t> </w:t>
            </w:r>
          </w:p>
        </w:tc>
      </w:tr>
      <w:tr w:rsidR="00000000" w14:paraId="4A870C8B" w14:textId="77777777">
        <w:trPr>
          <w:divId w:val="850677515"/>
        </w:trPr>
        <w:tc>
          <w:tcPr>
            <w:tcW w:w="0" w:type="auto"/>
            <w:gridSpan w:val="3"/>
            <w:shd w:val="clear" w:color="auto" w:fill="CCEEFF"/>
            <w:tcMar>
              <w:top w:w="30" w:type="dxa"/>
              <w:left w:w="380" w:type="dxa"/>
              <w:bottom w:w="30" w:type="dxa"/>
              <w:right w:w="20" w:type="dxa"/>
            </w:tcMar>
            <w:vAlign w:val="bottom"/>
            <w:hideMark/>
          </w:tcPr>
          <w:p w14:paraId="4C1D68C3" w14:textId="77777777" w:rsidR="00000000" w:rsidRDefault="00C1661D">
            <w:pPr>
              <w:spacing w:after="100"/>
              <w:rPr>
                <w:rFonts w:eastAsia="Times New Roman"/>
              </w:rPr>
            </w:pPr>
            <w:r>
              <w:rPr>
                <w:rFonts w:eastAsia="Times New Roman"/>
                <w:color w:val="000000"/>
                <w:sz w:val="20"/>
                <w:szCs w:val="20"/>
              </w:rPr>
              <w:t>Interest</w:t>
            </w:r>
          </w:p>
        </w:tc>
        <w:tc>
          <w:tcPr>
            <w:tcW w:w="0" w:type="auto"/>
            <w:shd w:val="clear" w:color="auto" w:fill="CCEEFF"/>
            <w:tcMar>
              <w:top w:w="30" w:type="dxa"/>
              <w:left w:w="20" w:type="dxa"/>
              <w:bottom w:w="30" w:type="dxa"/>
              <w:right w:w="0" w:type="dxa"/>
            </w:tcMar>
            <w:vAlign w:val="bottom"/>
            <w:hideMark/>
          </w:tcPr>
          <w:p w14:paraId="1F48DD1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95612BE" w14:textId="77777777" w:rsidR="00000000" w:rsidRDefault="00C1661D">
            <w:pPr>
              <w:spacing w:after="100"/>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bottom"/>
            <w:hideMark/>
          </w:tcPr>
          <w:p w14:paraId="0619F1F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5777D"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A5C48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1728D19" w14:textId="77777777" w:rsidR="00000000" w:rsidRDefault="00C1661D">
            <w:pPr>
              <w:spacing w:after="100"/>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14:paraId="129BC82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B6D37"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79D56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FBFAEC" w14:textId="77777777" w:rsidR="00000000" w:rsidRDefault="00C1661D">
            <w:pPr>
              <w:spacing w:after="100"/>
              <w:jc w:val="right"/>
              <w:rPr>
                <w:rFonts w:eastAsia="Times New Roman"/>
              </w:rPr>
            </w:pPr>
            <w:r>
              <w:rPr>
                <w:rFonts w:eastAsia="Times New Roman"/>
                <w:color w:val="000000"/>
                <w:sz w:val="20"/>
                <w:szCs w:val="20"/>
              </w:rPr>
              <w:t>311 </w:t>
            </w:r>
          </w:p>
        </w:tc>
        <w:tc>
          <w:tcPr>
            <w:tcW w:w="0" w:type="auto"/>
            <w:shd w:val="clear" w:color="auto" w:fill="CCEEFF"/>
            <w:tcMar>
              <w:top w:w="30" w:type="dxa"/>
              <w:left w:w="0" w:type="dxa"/>
              <w:bottom w:w="30" w:type="dxa"/>
              <w:right w:w="20" w:type="dxa"/>
            </w:tcMar>
            <w:vAlign w:val="bottom"/>
            <w:hideMark/>
          </w:tcPr>
          <w:p w14:paraId="78D62645" w14:textId="77777777" w:rsidR="00000000" w:rsidRDefault="00C1661D">
            <w:pPr>
              <w:spacing w:after="100"/>
              <w:jc w:val="right"/>
              <w:rPr>
                <w:rFonts w:eastAsia="Times New Roman"/>
              </w:rPr>
            </w:pPr>
          </w:p>
        </w:tc>
      </w:tr>
      <w:tr w:rsidR="00000000" w14:paraId="45E73A91" w14:textId="77777777">
        <w:trPr>
          <w:divId w:val="850677515"/>
        </w:trPr>
        <w:tc>
          <w:tcPr>
            <w:tcW w:w="0" w:type="auto"/>
            <w:gridSpan w:val="3"/>
            <w:shd w:val="clear" w:color="auto" w:fill="FFFFFF"/>
            <w:tcMar>
              <w:top w:w="30" w:type="dxa"/>
              <w:left w:w="380" w:type="dxa"/>
              <w:bottom w:w="30" w:type="dxa"/>
              <w:right w:w="20" w:type="dxa"/>
            </w:tcMar>
            <w:vAlign w:val="bottom"/>
            <w:hideMark/>
          </w:tcPr>
          <w:p w14:paraId="39F9047E" w14:textId="77777777" w:rsidR="00000000" w:rsidRDefault="00C1661D">
            <w:pPr>
              <w:spacing w:after="100"/>
              <w:rPr>
                <w:rFonts w:eastAsia="Times New Roman"/>
              </w:rPr>
            </w:pPr>
            <w:r>
              <w:rPr>
                <w:rFonts w:eastAsia="Times New Roman"/>
                <w:color w:val="000000"/>
                <w:sz w:val="20"/>
                <w:szCs w:val="20"/>
              </w:rPr>
              <w:t>Income taxes</w:t>
            </w:r>
          </w:p>
        </w:tc>
        <w:tc>
          <w:tcPr>
            <w:tcW w:w="0" w:type="auto"/>
            <w:shd w:val="clear" w:color="auto" w:fill="FFFFFF"/>
            <w:tcMar>
              <w:top w:w="30" w:type="dxa"/>
              <w:left w:w="20" w:type="dxa"/>
              <w:bottom w:w="30" w:type="dxa"/>
              <w:right w:w="0" w:type="dxa"/>
            </w:tcMar>
            <w:vAlign w:val="bottom"/>
            <w:hideMark/>
          </w:tcPr>
          <w:p w14:paraId="212E210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1B4E4EE" w14:textId="77777777" w:rsidR="00000000" w:rsidRDefault="00C1661D">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14:paraId="13BF2F7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CBA22"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CD62E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758D6E5" w14:textId="77777777" w:rsidR="00000000" w:rsidRDefault="00C1661D">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14:paraId="4638DCE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EFE8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F769D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6A547E9" w14:textId="77777777" w:rsidR="00000000" w:rsidRDefault="00C1661D">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14:paraId="0DC47C75" w14:textId="77777777" w:rsidR="00000000" w:rsidRDefault="00C1661D">
            <w:pPr>
              <w:spacing w:after="100"/>
              <w:jc w:val="right"/>
              <w:rPr>
                <w:rFonts w:eastAsia="Times New Roman"/>
              </w:rPr>
            </w:pPr>
          </w:p>
        </w:tc>
      </w:tr>
    </w:tbl>
    <w:p w14:paraId="52BEB101" w14:textId="77777777" w:rsidR="00000000" w:rsidRDefault="00C1661D">
      <w:pPr>
        <w:jc w:val="both"/>
        <w:rPr>
          <w:rFonts w:eastAsia="Times New Roman"/>
        </w:rPr>
      </w:pPr>
      <w:r>
        <w:rPr>
          <w:rFonts w:eastAsia="Times New Roman"/>
          <w:color w:val="000000"/>
          <w:sz w:val="20"/>
          <w:szCs w:val="20"/>
        </w:rPr>
        <w:t>See accompanying Notes to Consolidated Financial Statements.</w:t>
      </w:r>
    </w:p>
    <w:p w14:paraId="78995584" w14:textId="77777777" w:rsidR="00000000" w:rsidRDefault="00C1661D">
      <w:pPr>
        <w:jc w:val="center"/>
        <w:divId w:val="64182102"/>
        <w:rPr>
          <w:rFonts w:eastAsia="Times New Roman"/>
        </w:rPr>
      </w:pPr>
      <w:r>
        <w:rPr>
          <w:rFonts w:eastAsia="Times New Roman"/>
          <w:color w:val="000000"/>
          <w:sz w:val="20"/>
          <w:szCs w:val="20"/>
        </w:rPr>
        <w:t>F-9</w:t>
      </w:r>
    </w:p>
    <w:p w14:paraId="2D72A735" w14:textId="77777777" w:rsidR="00000000" w:rsidRDefault="00C1661D">
      <w:pPr>
        <w:rPr>
          <w:rFonts w:eastAsia="Times New Roman"/>
        </w:rPr>
      </w:pPr>
      <w:r>
        <w:rPr>
          <w:rFonts w:eastAsia="Times New Roman"/>
        </w:rPr>
        <w:pict w14:anchorId="1529EC78">
          <v:rect id="_x0000_i1122" style="width:0;height:1.5pt" o:hralign="center" o:hrstd="t" o:hr="t" fillcolor="#a0a0a0" stroked="f"/>
        </w:pict>
      </w:r>
    </w:p>
    <w:p w14:paraId="228578A5" w14:textId="77777777" w:rsidR="00000000" w:rsidRDefault="00C1661D">
      <w:pPr>
        <w:divId w:val="1679968438"/>
        <w:rPr>
          <w:rFonts w:eastAsia="Times New Roman"/>
        </w:rPr>
      </w:pPr>
      <w:hyperlink w:anchor="i3850c3c6c0104e42b9951aac2f16098a_7" w:history="1">
        <w:r>
          <w:rPr>
            <w:rStyle w:val="a3"/>
            <w:rFonts w:eastAsia="Times New Roman"/>
            <w:b/>
            <w:bCs/>
            <w:sz w:val="20"/>
            <w:szCs w:val="20"/>
          </w:rPr>
          <w:t>Table of Contents</w:t>
        </w:r>
      </w:hyperlink>
    </w:p>
    <w:p w14:paraId="757203FE" w14:textId="77777777" w:rsidR="00000000" w:rsidRDefault="00C1661D">
      <w:pPr>
        <w:jc w:val="center"/>
        <w:rPr>
          <w:rFonts w:eastAsia="Times New Roman"/>
        </w:rPr>
      </w:pPr>
      <w:r>
        <w:rPr>
          <w:rFonts w:eastAsia="Times New Roman"/>
          <w:color w:val="000000"/>
          <w:sz w:val="20"/>
          <w:szCs w:val="20"/>
        </w:rPr>
        <w:t>UGI CORPORAT</w:t>
      </w:r>
      <w:r>
        <w:rPr>
          <w:rFonts w:eastAsia="Times New Roman"/>
          <w:color w:val="000000"/>
          <w:sz w:val="20"/>
          <w:szCs w:val="20"/>
        </w:rPr>
        <w:t>ION AND SUBSIDIARIES</w:t>
      </w:r>
    </w:p>
    <w:p w14:paraId="32100E00" w14:textId="77777777" w:rsidR="00000000" w:rsidRDefault="00C1661D">
      <w:pPr>
        <w:jc w:val="center"/>
        <w:rPr>
          <w:rFonts w:eastAsia="Times New Roman"/>
        </w:rPr>
      </w:pPr>
      <w:r>
        <w:rPr>
          <w:rFonts w:eastAsia="Times New Roman"/>
          <w:color w:val="000000"/>
          <w:sz w:val="20"/>
          <w:szCs w:val="20"/>
        </w:rPr>
        <w:t>CONSOLIDATED STATEMENTS OF CHANGES IN EQUITY</w:t>
      </w:r>
    </w:p>
    <w:p w14:paraId="2CF5F10A" w14:textId="77777777" w:rsidR="00000000" w:rsidRDefault="00C1661D">
      <w:pPr>
        <w:jc w:val="center"/>
        <w:rPr>
          <w:rFonts w:eastAsia="Times New Roman"/>
        </w:rPr>
      </w:pPr>
      <w:r>
        <w:rPr>
          <w:rFonts w:eastAsia="Times New Roman"/>
          <w:color w:val="000000"/>
          <w:sz w:val="20"/>
          <w:szCs w:val="20"/>
        </w:rPr>
        <w:t>(Millions of dollars, except per share amounts)</w:t>
      </w:r>
    </w:p>
    <w:tbl>
      <w:tblPr>
        <w:tblW w:w="4985" w:type="pct"/>
        <w:jc w:val="center"/>
        <w:tblCellMar>
          <w:top w:w="15" w:type="dxa"/>
          <w:left w:w="15" w:type="dxa"/>
          <w:bottom w:w="15" w:type="dxa"/>
          <w:right w:w="15" w:type="dxa"/>
        </w:tblCellMar>
        <w:tblLook w:val="04A0" w:firstRow="1" w:lastRow="0" w:firstColumn="1" w:lastColumn="0" w:noHBand="0" w:noVBand="1"/>
      </w:tblPr>
      <w:tblGrid>
        <w:gridCol w:w="42"/>
        <w:gridCol w:w="5187"/>
        <w:gridCol w:w="40"/>
        <w:gridCol w:w="120"/>
        <w:gridCol w:w="820"/>
        <w:gridCol w:w="36"/>
        <w:gridCol w:w="36"/>
        <w:gridCol w:w="36"/>
        <w:gridCol w:w="36"/>
        <w:gridCol w:w="120"/>
        <w:gridCol w:w="754"/>
        <w:gridCol w:w="36"/>
        <w:gridCol w:w="36"/>
        <w:gridCol w:w="36"/>
        <w:gridCol w:w="36"/>
        <w:gridCol w:w="120"/>
        <w:gridCol w:w="754"/>
        <w:gridCol w:w="36"/>
      </w:tblGrid>
      <w:tr w:rsidR="00000000" w14:paraId="1AB097A1" w14:textId="77777777">
        <w:trPr>
          <w:divId w:val="1625890149"/>
          <w:jc w:val="center"/>
        </w:trPr>
        <w:tc>
          <w:tcPr>
            <w:tcW w:w="50" w:type="pct"/>
            <w:vAlign w:val="center"/>
            <w:hideMark/>
          </w:tcPr>
          <w:p w14:paraId="722CDAB5" w14:textId="77777777" w:rsidR="00000000" w:rsidRDefault="00C1661D">
            <w:pPr>
              <w:jc w:val="center"/>
              <w:rPr>
                <w:rFonts w:eastAsia="Times New Roman"/>
              </w:rPr>
            </w:pPr>
          </w:p>
        </w:tc>
        <w:tc>
          <w:tcPr>
            <w:tcW w:w="3163" w:type="pct"/>
            <w:vAlign w:val="center"/>
            <w:hideMark/>
          </w:tcPr>
          <w:p w14:paraId="3DCF35EF" w14:textId="77777777" w:rsidR="00000000" w:rsidRDefault="00C1661D">
            <w:pPr>
              <w:spacing w:after="100"/>
              <w:rPr>
                <w:rFonts w:eastAsia="Times New Roman"/>
                <w:sz w:val="20"/>
                <w:szCs w:val="20"/>
              </w:rPr>
            </w:pPr>
          </w:p>
        </w:tc>
        <w:tc>
          <w:tcPr>
            <w:tcW w:w="5" w:type="pct"/>
            <w:vAlign w:val="center"/>
            <w:hideMark/>
          </w:tcPr>
          <w:p w14:paraId="5154E61E" w14:textId="77777777" w:rsidR="00000000" w:rsidRDefault="00C1661D">
            <w:pPr>
              <w:spacing w:after="100"/>
              <w:rPr>
                <w:rFonts w:eastAsia="Times New Roman"/>
                <w:sz w:val="20"/>
                <w:szCs w:val="20"/>
              </w:rPr>
            </w:pPr>
          </w:p>
        </w:tc>
        <w:tc>
          <w:tcPr>
            <w:tcW w:w="50" w:type="pct"/>
            <w:vAlign w:val="center"/>
            <w:hideMark/>
          </w:tcPr>
          <w:p w14:paraId="410CF400" w14:textId="77777777" w:rsidR="00000000" w:rsidRDefault="00C1661D">
            <w:pPr>
              <w:spacing w:after="100"/>
              <w:rPr>
                <w:rFonts w:eastAsia="Times New Roman"/>
                <w:sz w:val="20"/>
                <w:szCs w:val="20"/>
              </w:rPr>
            </w:pPr>
          </w:p>
        </w:tc>
        <w:tc>
          <w:tcPr>
            <w:tcW w:w="524" w:type="pct"/>
            <w:vAlign w:val="center"/>
            <w:hideMark/>
          </w:tcPr>
          <w:p w14:paraId="28F97B71" w14:textId="77777777" w:rsidR="00000000" w:rsidRDefault="00C1661D">
            <w:pPr>
              <w:spacing w:after="100"/>
              <w:rPr>
                <w:rFonts w:eastAsia="Times New Roman"/>
                <w:sz w:val="20"/>
                <w:szCs w:val="20"/>
              </w:rPr>
            </w:pPr>
          </w:p>
        </w:tc>
        <w:tc>
          <w:tcPr>
            <w:tcW w:w="5" w:type="pct"/>
            <w:vAlign w:val="center"/>
            <w:hideMark/>
          </w:tcPr>
          <w:p w14:paraId="060176EB" w14:textId="77777777" w:rsidR="00000000" w:rsidRDefault="00C1661D">
            <w:pPr>
              <w:spacing w:after="100"/>
              <w:rPr>
                <w:rFonts w:eastAsia="Times New Roman"/>
                <w:sz w:val="20"/>
                <w:szCs w:val="20"/>
              </w:rPr>
            </w:pPr>
          </w:p>
        </w:tc>
        <w:tc>
          <w:tcPr>
            <w:tcW w:w="5" w:type="pct"/>
            <w:vAlign w:val="center"/>
            <w:hideMark/>
          </w:tcPr>
          <w:p w14:paraId="013BD92F" w14:textId="77777777" w:rsidR="00000000" w:rsidRDefault="00C1661D">
            <w:pPr>
              <w:spacing w:after="100"/>
              <w:rPr>
                <w:rFonts w:eastAsia="Times New Roman"/>
                <w:sz w:val="20"/>
                <w:szCs w:val="20"/>
              </w:rPr>
            </w:pPr>
          </w:p>
        </w:tc>
        <w:tc>
          <w:tcPr>
            <w:tcW w:w="26" w:type="pct"/>
            <w:vAlign w:val="center"/>
            <w:hideMark/>
          </w:tcPr>
          <w:p w14:paraId="7007A24F" w14:textId="77777777" w:rsidR="00000000" w:rsidRDefault="00C1661D">
            <w:pPr>
              <w:spacing w:after="100"/>
              <w:rPr>
                <w:rFonts w:eastAsia="Times New Roman"/>
                <w:sz w:val="20"/>
                <w:szCs w:val="20"/>
              </w:rPr>
            </w:pPr>
          </w:p>
        </w:tc>
        <w:tc>
          <w:tcPr>
            <w:tcW w:w="5" w:type="pct"/>
            <w:vAlign w:val="center"/>
            <w:hideMark/>
          </w:tcPr>
          <w:p w14:paraId="6FEAA06A" w14:textId="77777777" w:rsidR="00000000" w:rsidRDefault="00C1661D">
            <w:pPr>
              <w:spacing w:after="100"/>
              <w:rPr>
                <w:rFonts w:eastAsia="Times New Roman"/>
                <w:sz w:val="20"/>
                <w:szCs w:val="20"/>
              </w:rPr>
            </w:pPr>
          </w:p>
        </w:tc>
        <w:tc>
          <w:tcPr>
            <w:tcW w:w="50" w:type="pct"/>
            <w:vAlign w:val="center"/>
            <w:hideMark/>
          </w:tcPr>
          <w:p w14:paraId="171907A9" w14:textId="77777777" w:rsidR="00000000" w:rsidRDefault="00C1661D">
            <w:pPr>
              <w:spacing w:after="100"/>
              <w:rPr>
                <w:rFonts w:eastAsia="Times New Roman"/>
                <w:sz w:val="20"/>
                <w:szCs w:val="20"/>
              </w:rPr>
            </w:pPr>
          </w:p>
        </w:tc>
        <w:tc>
          <w:tcPr>
            <w:tcW w:w="509" w:type="pct"/>
            <w:vAlign w:val="center"/>
            <w:hideMark/>
          </w:tcPr>
          <w:p w14:paraId="36478954" w14:textId="77777777" w:rsidR="00000000" w:rsidRDefault="00C1661D">
            <w:pPr>
              <w:spacing w:after="100"/>
              <w:rPr>
                <w:rFonts w:eastAsia="Times New Roman"/>
                <w:sz w:val="20"/>
                <w:szCs w:val="20"/>
              </w:rPr>
            </w:pPr>
          </w:p>
        </w:tc>
        <w:tc>
          <w:tcPr>
            <w:tcW w:w="5" w:type="pct"/>
            <w:vAlign w:val="center"/>
            <w:hideMark/>
          </w:tcPr>
          <w:p w14:paraId="716C386D" w14:textId="77777777" w:rsidR="00000000" w:rsidRDefault="00C1661D">
            <w:pPr>
              <w:spacing w:after="100"/>
              <w:rPr>
                <w:rFonts w:eastAsia="Times New Roman"/>
                <w:sz w:val="20"/>
                <w:szCs w:val="20"/>
              </w:rPr>
            </w:pPr>
          </w:p>
        </w:tc>
        <w:tc>
          <w:tcPr>
            <w:tcW w:w="5" w:type="pct"/>
            <w:vAlign w:val="center"/>
            <w:hideMark/>
          </w:tcPr>
          <w:p w14:paraId="5FBD906D" w14:textId="77777777" w:rsidR="00000000" w:rsidRDefault="00C1661D">
            <w:pPr>
              <w:spacing w:after="100"/>
              <w:rPr>
                <w:rFonts w:eastAsia="Times New Roman"/>
                <w:sz w:val="20"/>
                <w:szCs w:val="20"/>
              </w:rPr>
            </w:pPr>
          </w:p>
        </w:tc>
        <w:tc>
          <w:tcPr>
            <w:tcW w:w="26" w:type="pct"/>
            <w:vAlign w:val="center"/>
            <w:hideMark/>
          </w:tcPr>
          <w:p w14:paraId="065A95EB" w14:textId="77777777" w:rsidR="00000000" w:rsidRDefault="00C1661D">
            <w:pPr>
              <w:spacing w:after="100"/>
              <w:rPr>
                <w:rFonts w:eastAsia="Times New Roman"/>
                <w:sz w:val="20"/>
                <w:szCs w:val="20"/>
              </w:rPr>
            </w:pPr>
          </w:p>
        </w:tc>
        <w:tc>
          <w:tcPr>
            <w:tcW w:w="5" w:type="pct"/>
            <w:vAlign w:val="center"/>
            <w:hideMark/>
          </w:tcPr>
          <w:p w14:paraId="5C36168F" w14:textId="77777777" w:rsidR="00000000" w:rsidRDefault="00C1661D">
            <w:pPr>
              <w:spacing w:after="100"/>
              <w:rPr>
                <w:rFonts w:eastAsia="Times New Roman"/>
                <w:sz w:val="20"/>
                <w:szCs w:val="20"/>
              </w:rPr>
            </w:pPr>
          </w:p>
        </w:tc>
        <w:tc>
          <w:tcPr>
            <w:tcW w:w="50" w:type="pct"/>
            <w:vAlign w:val="center"/>
            <w:hideMark/>
          </w:tcPr>
          <w:p w14:paraId="220C6303" w14:textId="77777777" w:rsidR="00000000" w:rsidRDefault="00C1661D">
            <w:pPr>
              <w:spacing w:after="100"/>
              <w:rPr>
                <w:rFonts w:eastAsia="Times New Roman"/>
                <w:sz w:val="20"/>
                <w:szCs w:val="20"/>
              </w:rPr>
            </w:pPr>
          </w:p>
        </w:tc>
        <w:tc>
          <w:tcPr>
            <w:tcW w:w="509" w:type="pct"/>
            <w:vAlign w:val="center"/>
            <w:hideMark/>
          </w:tcPr>
          <w:p w14:paraId="503F359E" w14:textId="77777777" w:rsidR="00000000" w:rsidRDefault="00C1661D">
            <w:pPr>
              <w:spacing w:after="100"/>
              <w:rPr>
                <w:rFonts w:eastAsia="Times New Roman"/>
                <w:sz w:val="20"/>
                <w:szCs w:val="20"/>
              </w:rPr>
            </w:pPr>
          </w:p>
        </w:tc>
        <w:tc>
          <w:tcPr>
            <w:tcW w:w="5" w:type="pct"/>
            <w:vAlign w:val="center"/>
            <w:hideMark/>
          </w:tcPr>
          <w:p w14:paraId="23F8CBD6" w14:textId="77777777" w:rsidR="00000000" w:rsidRDefault="00C1661D">
            <w:pPr>
              <w:spacing w:after="100"/>
              <w:rPr>
                <w:rFonts w:eastAsia="Times New Roman"/>
                <w:sz w:val="20"/>
                <w:szCs w:val="20"/>
              </w:rPr>
            </w:pPr>
          </w:p>
        </w:tc>
      </w:tr>
      <w:tr w:rsidR="00000000" w14:paraId="3348B536" w14:textId="77777777">
        <w:trPr>
          <w:divId w:val="1625890149"/>
          <w:jc w:val="center"/>
        </w:trPr>
        <w:tc>
          <w:tcPr>
            <w:tcW w:w="0" w:type="auto"/>
            <w:gridSpan w:val="3"/>
            <w:tcMar>
              <w:top w:w="30" w:type="dxa"/>
              <w:left w:w="155" w:type="dxa"/>
              <w:bottom w:w="30" w:type="dxa"/>
              <w:right w:w="20" w:type="dxa"/>
            </w:tcMar>
            <w:vAlign w:val="bottom"/>
            <w:hideMark/>
          </w:tcPr>
          <w:p w14:paraId="03B5A886" w14:textId="77777777" w:rsidR="00000000" w:rsidRDefault="00C1661D">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6B0ED686" w14:textId="77777777" w:rsidR="00000000" w:rsidRDefault="00C1661D">
            <w:pPr>
              <w:spacing w:after="100"/>
              <w:jc w:val="center"/>
              <w:rPr>
                <w:rFonts w:eastAsia="Times New Roman"/>
              </w:rPr>
            </w:pPr>
            <w:r>
              <w:rPr>
                <w:rFonts w:eastAsia="Times New Roman"/>
                <w:color w:val="000000"/>
                <w:sz w:val="20"/>
                <w:szCs w:val="20"/>
              </w:rPr>
              <w:t>Year Ended September 30,</w:t>
            </w:r>
          </w:p>
        </w:tc>
      </w:tr>
      <w:tr w:rsidR="00000000" w14:paraId="09D27A8E" w14:textId="77777777">
        <w:trPr>
          <w:divId w:val="1625890149"/>
          <w:jc w:val="center"/>
        </w:trPr>
        <w:tc>
          <w:tcPr>
            <w:tcW w:w="0" w:type="auto"/>
            <w:gridSpan w:val="3"/>
            <w:tcMar>
              <w:top w:w="30" w:type="dxa"/>
              <w:left w:w="20" w:type="dxa"/>
              <w:bottom w:w="30" w:type="dxa"/>
              <w:right w:w="20" w:type="dxa"/>
            </w:tcMar>
            <w:vAlign w:val="bottom"/>
            <w:hideMark/>
          </w:tcPr>
          <w:p w14:paraId="075CAD11"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9680D7E"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77DA439B"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60914A"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12B280A7"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FE460E" w14:textId="77777777" w:rsidR="00000000" w:rsidRDefault="00C1661D">
            <w:pPr>
              <w:spacing w:after="100"/>
              <w:jc w:val="center"/>
              <w:rPr>
                <w:rFonts w:eastAsia="Times New Roman"/>
              </w:rPr>
            </w:pPr>
            <w:r>
              <w:rPr>
                <w:rFonts w:eastAsia="Times New Roman"/>
                <w:color w:val="000000"/>
                <w:sz w:val="20"/>
                <w:szCs w:val="20"/>
              </w:rPr>
              <w:t>2020</w:t>
            </w:r>
          </w:p>
        </w:tc>
      </w:tr>
      <w:tr w:rsidR="00000000" w14:paraId="468C478C" w14:textId="77777777">
        <w:trPr>
          <w:divId w:val="1625890149"/>
          <w:jc w:val="center"/>
        </w:trPr>
        <w:tc>
          <w:tcPr>
            <w:tcW w:w="0" w:type="auto"/>
            <w:gridSpan w:val="3"/>
            <w:shd w:val="clear" w:color="auto" w:fill="CCEEFF"/>
            <w:tcMar>
              <w:top w:w="30" w:type="dxa"/>
              <w:left w:w="20" w:type="dxa"/>
              <w:bottom w:w="30" w:type="dxa"/>
              <w:right w:w="20" w:type="dxa"/>
            </w:tcMar>
            <w:vAlign w:val="bottom"/>
            <w:hideMark/>
          </w:tcPr>
          <w:p w14:paraId="6AB4498A" w14:textId="77777777" w:rsidR="00000000" w:rsidRDefault="00C1661D">
            <w:pPr>
              <w:spacing w:after="100"/>
              <w:rPr>
                <w:rFonts w:eastAsia="Times New Roman"/>
              </w:rPr>
            </w:pPr>
            <w:r>
              <w:rPr>
                <w:rFonts w:eastAsia="Times New Roman"/>
                <w:b/>
                <w:bCs/>
                <w:color w:val="000000"/>
                <w:sz w:val="20"/>
                <w:szCs w:val="20"/>
              </w:rPr>
              <w:t>Preferred stock, without par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761691"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4C6D93"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1148361"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011E6B"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F8C437" w14:textId="77777777" w:rsidR="00000000" w:rsidRDefault="00C1661D">
            <w:pPr>
              <w:spacing w:after="100"/>
              <w:rPr>
                <w:rFonts w:eastAsia="Times New Roman"/>
                <w:sz w:val="20"/>
                <w:szCs w:val="20"/>
              </w:rPr>
            </w:pPr>
          </w:p>
        </w:tc>
      </w:tr>
      <w:tr w:rsidR="00000000" w14:paraId="5958019C"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0EA1B056" w14:textId="77777777" w:rsidR="00000000" w:rsidRDefault="00C1661D">
            <w:pPr>
              <w:spacing w:after="100"/>
              <w:rPr>
                <w:rFonts w:eastAsia="Times New Roman"/>
              </w:rPr>
            </w:pPr>
            <w:r>
              <w:rPr>
                <w:rFonts w:eastAsia="Times New Roman"/>
                <w:color w:val="000000"/>
                <w:sz w:val="20"/>
                <w:szCs w:val="20"/>
              </w:rPr>
              <w:t xml:space="preserve">Balance, beginning of year </w:t>
            </w:r>
          </w:p>
        </w:tc>
        <w:tc>
          <w:tcPr>
            <w:tcW w:w="0" w:type="auto"/>
            <w:shd w:val="clear" w:color="auto" w:fill="FFFFFF"/>
            <w:tcMar>
              <w:top w:w="30" w:type="dxa"/>
              <w:left w:w="20" w:type="dxa"/>
              <w:bottom w:w="30" w:type="dxa"/>
              <w:right w:w="0" w:type="dxa"/>
            </w:tcMar>
            <w:vAlign w:val="bottom"/>
            <w:hideMark/>
          </w:tcPr>
          <w:p w14:paraId="6BF68AF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C3EEB24" w14:textId="77777777" w:rsidR="00000000" w:rsidRDefault="00C1661D">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14:paraId="44CFBF2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E658B2"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FE590B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4ED6D43"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385605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D712B"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7B8C1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0B9FF6F"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891E30" w14:textId="77777777" w:rsidR="00000000" w:rsidRDefault="00C1661D">
            <w:pPr>
              <w:spacing w:after="100"/>
              <w:jc w:val="right"/>
              <w:rPr>
                <w:rFonts w:eastAsia="Times New Roman"/>
              </w:rPr>
            </w:pPr>
          </w:p>
        </w:tc>
      </w:tr>
      <w:tr w:rsidR="00000000" w14:paraId="609D714B" w14:textId="77777777">
        <w:trPr>
          <w:divId w:val="1625890149"/>
          <w:jc w:val="center"/>
        </w:trPr>
        <w:tc>
          <w:tcPr>
            <w:tcW w:w="0" w:type="auto"/>
            <w:gridSpan w:val="3"/>
            <w:shd w:val="clear" w:color="auto" w:fill="CCEEFF"/>
            <w:tcMar>
              <w:top w:w="30" w:type="dxa"/>
              <w:left w:w="155" w:type="dxa"/>
              <w:bottom w:w="30" w:type="dxa"/>
              <w:right w:w="20" w:type="dxa"/>
            </w:tcMar>
            <w:vAlign w:val="bottom"/>
            <w:hideMark/>
          </w:tcPr>
          <w:p w14:paraId="2042A646" w14:textId="77777777" w:rsidR="00000000" w:rsidRDefault="00C1661D">
            <w:pPr>
              <w:spacing w:after="100"/>
              <w:rPr>
                <w:rFonts w:eastAsia="Times New Roman"/>
              </w:rPr>
            </w:pPr>
            <w:r>
              <w:rPr>
                <w:rFonts w:eastAsia="Times New Roman"/>
                <w:color w:val="000000"/>
                <w:sz w:val="20"/>
                <w:szCs w:val="20"/>
              </w:rPr>
              <w:t>Issuance of preferred stock</w:t>
            </w:r>
          </w:p>
        </w:tc>
        <w:tc>
          <w:tcPr>
            <w:tcW w:w="0" w:type="auto"/>
            <w:gridSpan w:val="2"/>
            <w:shd w:val="clear" w:color="auto" w:fill="CCEEFF"/>
            <w:tcMar>
              <w:top w:w="30" w:type="dxa"/>
              <w:left w:w="20" w:type="dxa"/>
              <w:bottom w:w="30" w:type="dxa"/>
              <w:right w:w="0" w:type="dxa"/>
            </w:tcMar>
            <w:vAlign w:val="bottom"/>
            <w:hideMark/>
          </w:tcPr>
          <w:p w14:paraId="37F194C9"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E5B63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8B411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4D7157" w14:textId="77777777" w:rsidR="00000000" w:rsidRDefault="00C1661D">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14:paraId="1701E9D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75227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B81A02"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CA6BFC" w14:textId="77777777" w:rsidR="00000000" w:rsidRDefault="00C1661D">
            <w:pPr>
              <w:spacing w:after="100"/>
              <w:jc w:val="right"/>
              <w:rPr>
                <w:rFonts w:eastAsia="Times New Roman"/>
              </w:rPr>
            </w:pPr>
          </w:p>
        </w:tc>
      </w:tr>
      <w:tr w:rsidR="00000000" w14:paraId="7065D388"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131046C8" w14:textId="77777777" w:rsidR="00000000" w:rsidRDefault="00C1661D">
            <w:pPr>
              <w:spacing w:after="100"/>
              <w:rPr>
                <w:rFonts w:eastAsia="Times New Roman"/>
              </w:rPr>
            </w:pPr>
            <w:r>
              <w:rPr>
                <w:rFonts w:eastAsia="Times New Roman"/>
                <w:color w:val="000000"/>
                <w:sz w:val="20"/>
                <w:szCs w:val="20"/>
              </w:rPr>
              <w:t>Beneficial conversion feature</w:t>
            </w:r>
          </w:p>
        </w:tc>
        <w:tc>
          <w:tcPr>
            <w:tcW w:w="0" w:type="auto"/>
            <w:gridSpan w:val="2"/>
            <w:shd w:val="clear" w:color="auto" w:fill="FFFFFF"/>
            <w:tcMar>
              <w:top w:w="30" w:type="dxa"/>
              <w:left w:w="20" w:type="dxa"/>
              <w:bottom w:w="30" w:type="dxa"/>
              <w:right w:w="0" w:type="dxa"/>
            </w:tcMar>
            <w:vAlign w:val="bottom"/>
            <w:hideMark/>
          </w:tcPr>
          <w:p w14:paraId="727815C9" w14:textId="77777777" w:rsidR="00000000" w:rsidRDefault="00C1661D">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03E8A38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D62DE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AC2281"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B4870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DF5E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BFAC9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4DA2A7" w14:textId="77777777" w:rsidR="00000000" w:rsidRDefault="00C1661D">
            <w:pPr>
              <w:spacing w:after="100"/>
              <w:jc w:val="right"/>
              <w:rPr>
                <w:rFonts w:eastAsia="Times New Roman"/>
              </w:rPr>
            </w:pPr>
          </w:p>
        </w:tc>
      </w:tr>
      <w:tr w:rsidR="00000000" w14:paraId="56973014" w14:textId="77777777">
        <w:trPr>
          <w:divId w:val="1625890149"/>
          <w:jc w:val="center"/>
        </w:trPr>
        <w:tc>
          <w:tcPr>
            <w:tcW w:w="0" w:type="auto"/>
            <w:gridSpan w:val="3"/>
            <w:shd w:val="clear" w:color="auto" w:fill="CCEEFF"/>
            <w:tcMar>
              <w:top w:w="30" w:type="dxa"/>
              <w:left w:w="155" w:type="dxa"/>
              <w:bottom w:w="30" w:type="dxa"/>
              <w:right w:w="20" w:type="dxa"/>
            </w:tcMar>
            <w:vAlign w:val="bottom"/>
            <w:hideMark/>
          </w:tcPr>
          <w:p w14:paraId="0D70F3B5" w14:textId="77777777" w:rsidR="00000000" w:rsidRDefault="00C1661D">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41421E6D" w14:textId="77777777" w:rsidR="00000000" w:rsidRDefault="00C1661D">
            <w:pPr>
              <w:spacing w:after="100"/>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14:paraId="209613D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84DE1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48621B"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FE8928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A346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C890A8"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625D04" w14:textId="77777777" w:rsidR="00000000" w:rsidRDefault="00C1661D">
            <w:pPr>
              <w:spacing w:after="100"/>
              <w:jc w:val="right"/>
              <w:rPr>
                <w:rFonts w:eastAsia="Times New Roman"/>
              </w:rPr>
            </w:pPr>
          </w:p>
        </w:tc>
      </w:tr>
      <w:tr w:rsidR="00000000" w14:paraId="765C9E32"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011C5001" w14:textId="77777777" w:rsidR="00000000" w:rsidRDefault="00C1661D">
            <w:pPr>
              <w:spacing w:after="100"/>
              <w:rPr>
                <w:rFonts w:eastAsia="Times New Roman"/>
              </w:rPr>
            </w:pPr>
            <w:r>
              <w:rPr>
                <w:rFonts w:eastAsia="Times New Roman"/>
                <w:color w:val="000000"/>
                <w:sz w:val="20"/>
                <w:szCs w:val="20"/>
              </w:rPr>
              <w:t xml:space="preserve">Balance, end of year </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635D695"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A75F004" w14:textId="77777777" w:rsidR="00000000" w:rsidRDefault="00C1661D">
            <w:pPr>
              <w:spacing w:after="100"/>
              <w:jc w:val="right"/>
              <w:rPr>
                <w:rFonts w:eastAsia="Times New Roman"/>
              </w:rPr>
            </w:pPr>
            <w:r>
              <w:rPr>
                <w:rFonts w:eastAsia="Times New Roman"/>
                <w:color w:val="000000"/>
                <w:sz w:val="20"/>
                <w:szCs w:val="20"/>
              </w:rPr>
              <w:t>162 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859F3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3B0CE8"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26ACBAB"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14191D" w14:textId="77777777" w:rsidR="00000000" w:rsidRDefault="00C1661D">
            <w:pPr>
              <w:spacing w:after="100"/>
              <w:jc w:val="right"/>
              <w:rPr>
                <w:rFonts w:eastAsia="Times New Roman"/>
              </w:rPr>
            </w:pPr>
            <w:r>
              <w:rPr>
                <w:rFonts w:eastAsia="Times New Roman"/>
                <w:color w:val="000000"/>
                <w:sz w:val="20"/>
                <w:szCs w:val="20"/>
              </w:rPr>
              <w:t>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145E0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71891"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226422C"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0C58779" w14:textId="77777777" w:rsidR="00000000" w:rsidRDefault="00C1661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EAFF9A" w14:textId="77777777" w:rsidR="00000000" w:rsidRDefault="00C1661D">
            <w:pPr>
              <w:spacing w:after="100"/>
              <w:jc w:val="right"/>
              <w:rPr>
                <w:rFonts w:eastAsia="Times New Roman"/>
              </w:rPr>
            </w:pPr>
          </w:p>
        </w:tc>
      </w:tr>
      <w:tr w:rsidR="00000000" w14:paraId="703BC158" w14:textId="77777777">
        <w:trPr>
          <w:divId w:val="1625890149"/>
          <w:jc w:val="center"/>
        </w:trPr>
        <w:tc>
          <w:tcPr>
            <w:tcW w:w="0" w:type="auto"/>
            <w:gridSpan w:val="3"/>
            <w:shd w:val="clear" w:color="auto" w:fill="CCEEFF"/>
            <w:tcMar>
              <w:top w:w="30" w:type="dxa"/>
              <w:left w:w="20" w:type="dxa"/>
              <w:bottom w:w="30" w:type="dxa"/>
              <w:right w:w="20" w:type="dxa"/>
            </w:tcMar>
            <w:vAlign w:val="bottom"/>
            <w:hideMark/>
          </w:tcPr>
          <w:p w14:paraId="5A2DC9B1" w14:textId="77777777" w:rsidR="00000000" w:rsidRDefault="00C1661D">
            <w:pPr>
              <w:spacing w:after="100"/>
              <w:rPr>
                <w:rFonts w:eastAsia="Times New Roman"/>
              </w:rPr>
            </w:pPr>
            <w:r>
              <w:rPr>
                <w:rFonts w:eastAsia="Times New Roman"/>
                <w:b/>
                <w:bCs/>
                <w:color w:val="000000"/>
                <w:sz w:val="20"/>
                <w:szCs w:val="20"/>
              </w:rPr>
              <w:t>Common stock, without par value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99F69F0"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3AFDF79"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D1D0324"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D0E6249"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BDD34B3" w14:textId="77777777" w:rsidR="00000000" w:rsidRDefault="00C1661D">
            <w:pPr>
              <w:spacing w:after="100"/>
              <w:rPr>
                <w:rFonts w:eastAsia="Times New Roman"/>
              </w:rPr>
            </w:pPr>
            <w:r>
              <w:rPr>
                <w:rFonts w:eastAsia="Times New Roman"/>
                <w:color w:val="000000"/>
                <w:sz w:val="20"/>
                <w:szCs w:val="20"/>
              </w:rPr>
              <w:t> </w:t>
            </w:r>
          </w:p>
        </w:tc>
      </w:tr>
      <w:tr w:rsidR="00000000" w14:paraId="0E93345D"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3F7532CC" w14:textId="77777777" w:rsidR="00000000" w:rsidRDefault="00C1661D">
            <w:pPr>
              <w:spacing w:after="100"/>
              <w:rPr>
                <w:rFonts w:eastAsia="Times New Roman"/>
              </w:rPr>
            </w:pPr>
            <w:r>
              <w:rPr>
                <w:rFonts w:eastAsia="Times New Roman"/>
                <w:color w:val="000000"/>
                <w:sz w:val="20"/>
                <w:szCs w:val="20"/>
              </w:rPr>
              <w:t>Balance, beginning of year</w:t>
            </w:r>
          </w:p>
        </w:tc>
        <w:tc>
          <w:tcPr>
            <w:tcW w:w="0" w:type="auto"/>
            <w:shd w:val="clear" w:color="auto" w:fill="FFFFFF"/>
            <w:tcMar>
              <w:top w:w="30" w:type="dxa"/>
              <w:left w:w="20" w:type="dxa"/>
              <w:bottom w:w="30" w:type="dxa"/>
              <w:right w:w="0" w:type="dxa"/>
            </w:tcMar>
            <w:vAlign w:val="bottom"/>
            <w:hideMark/>
          </w:tcPr>
          <w:p w14:paraId="0E2A904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1ECE6C8" w14:textId="77777777" w:rsidR="00000000" w:rsidRDefault="00C1661D">
            <w:pPr>
              <w:spacing w:after="100"/>
              <w:jc w:val="right"/>
              <w:rPr>
                <w:rFonts w:eastAsia="Times New Roman"/>
              </w:rPr>
            </w:pPr>
            <w:r>
              <w:rPr>
                <w:rFonts w:eastAsia="Times New Roman"/>
                <w:color w:val="000000"/>
                <w:sz w:val="20"/>
                <w:szCs w:val="20"/>
              </w:rPr>
              <w:t>1,394 </w:t>
            </w:r>
          </w:p>
        </w:tc>
        <w:tc>
          <w:tcPr>
            <w:tcW w:w="0" w:type="auto"/>
            <w:shd w:val="clear" w:color="auto" w:fill="FFFFFF"/>
            <w:tcMar>
              <w:top w:w="30" w:type="dxa"/>
              <w:left w:w="0" w:type="dxa"/>
              <w:bottom w:w="30" w:type="dxa"/>
              <w:right w:w="20" w:type="dxa"/>
            </w:tcMar>
            <w:vAlign w:val="bottom"/>
            <w:hideMark/>
          </w:tcPr>
          <w:p w14:paraId="485E3FF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C931EF"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8D8F0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0B55E14" w14:textId="77777777" w:rsidR="00000000" w:rsidRDefault="00C1661D">
            <w:pPr>
              <w:spacing w:after="100"/>
              <w:jc w:val="right"/>
              <w:rPr>
                <w:rFonts w:eastAsia="Times New Roman"/>
              </w:rPr>
            </w:pPr>
            <w:r>
              <w:rPr>
                <w:rFonts w:eastAsia="Times New Roman"/>
                <w:color w:val="000000"/>
                <w:sz w:val="20"/>
                <w:szCs w:val="20"/>
              </w:rPr>
              <w:t>1,416 </w:t>
            </w:r>
          </w:p>
        </w:tc>
        <w:tc>
          <w:tcPr>
            <w:tcW w:w="0" w:type="auto"/>
            <w:shd w:val="clear" w:color="auto" w:fill="FFFFFF"/>
            <w:tcMar>
              <w:top w:w="30" w:type="dxa"/>
              <w:left w:w="0" w:type="dxa"/>
              <w:bottom w:w="30" w:type="dxa"/>
              <w:right w:w="20" w:type="dxa"/>
            </w:tcMar>
            <w:vAlign w:val="bottom"/>
            <w:hideMark/>
          </w:tcPr>
          <w:p w14:paraId="28E7113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D212F"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3EE19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F622033" w14:textId="77777777" w:rsidR="00000000" w:rsidRDefault="00C1661D">
            <w:pPr>
              <w:spacing w:after="100"/>
              <w:jc w:val="right"/>
              <w:rPr>
                <w:rFonts w:eastAsia="Times New Roman"/>
              </w:rPr>
            </w:pPr>
            <w:r>
              <w:rPr>
                <w:rFonts w:eastAsia="Times New Roman"/>
                <w:color w:val="000000"/>
                <w:sz w:val="20"/>
                <w:szCs w:val="20"/>
              </w:rPr>
              <w:t>1,397 </w:t>
            </w:r>
          </w:p>
        </w:tc>
        <w:tc>
          <w:tcPr>
            <w:tcW w:w="0" w:type="auto"/>
            <w:shd w:val="clear" w:color="auto" w:fill="FFFFFF"/>
            <w:tcMar>
              <w:top w:w="30" w:type="dxa"/>
              <w:left w:w="0" w:type="dxa"/>
              <w:bottom w:w="30" w:type="dxa"/>
              <w:right w:w="20" w:type="dxa"/>
            </w:tcMar>
            <w:vAlign w:val="bottom"/>
            <w:hideMark/>
          </w:tcPr>
          <w:p w14:paraId="327A080A" w14:textId="77777777" w:rsidR="00000000" w:rsidRDefault="00C1661D">
            <w:pPr>
              <w:spacing w:after="100"/>
              <w:jc w:val="right"/>
              <w:rPr>
                <w:rFonts w:eastAsia="Times New Roman"/>
              </w:rPr>
            </w:pPr>
          </w:p>
        </w:tc>
      </w:tr>
      <w:tr w:rsidR="00000000" w14:paraId="4B01B941" w14:textId="77777777">
        <w:trPr>
          <w:divId w:val="1625890149"/>
          <w:jc w:val="center"/>
        </w:trPr>
        <w:tc>
          <w:tcPr>
            <w:tcW w:w="0" w:type="auto"/>
            <w:gridSpan w:val="3"/>
            <w:vAlign w:val="center"/>
            <w:hideMark/>
          </w:tcPr>
          <w:p w14:paraId="404C8743" w14:textId="77777777" w:rsidR="00000000" w:rsidRDefault="00C1661D">
            <w:pPr>
              <w:spacing w:after="100"/>
              <w:jc w:val="right"/>
              <w:rPr>
                <w:rFonts w:eastAsia="Times New Roman"/>
                <w:sz w:val="20"/>
                <w:szCs w:val="20"/>
              </w:rPr>
            </w:pPr>
          </w:p>
        </w:tc>
        <w:tc>
          <w:tcPr>
            <w:tcW w:w="0" w:type="auto"/>
            <w:gridSpan w:val="3"/>
            <w:vAlign w:val="center"/>
            <w:hideMark/>
          </w:tcPr>
          <w:p w14:paraId="52EDE703" w14:textId="77777777" w:rsidR="00000000" w:rsidRDefault="00C1661D">
            <w:pPr>
              <w:spacing w:after="100"/>
              <w:rPr>
                <w:rFonts w:eastAsia="Times New Roman"/>
                <w:sz w:val="20"/>
                <w:szCs w:val="20"/>
              </w:rPr>
            </w:pPr>
          </w:p>
        </w:tc>
        <w:tc>
          <w:tcPr>
            <w:tcW w:w="0" w:type="auto"/>
            <w:gridSpan w:val="3"/>
            <w:vAlign w:val="center"/>
            <w:hideMark/>
          </w:tcPr>
          <w:p w14:paraId="0BC4377C" w14:textId="77777777" w:rsidR="00000000" w:rsidRDefault="00C1661D">
            <w:pPr>
              <w:spacing w:after="100"/>
              <w:rPr>
                <w:rFonts w:eastAsia="Times New Roman"/>
                <w:sz w:val="20"/>
                <w:szCs w:val="20"/>
              </w:rPr>
            </w:pPr>
          </w:p>
        </w:tc>
        <w:tc>
          <w:tcPr>
            <w:tcW w:w="0" w:type="auto"/>
            <w:gridSpan w:val="3"/>
            <w:vAlign w:val="center"/>
            <w:hideMark/>
          </w:tcPr>
          <w:p w14:paraId="019137EA" w14:textId="77777777" w:rsidR="00000000" w:rsidRDefault="00C1661D">
            <w:pPr>
              <w:spacing w:after="100"/>
              <w:rPr>
                <w:rFonts w:eastAsia="Times New Roman"/>
                <w:sz w:val="20"/>
                <w:szCs w:val="20"/>
              </w:rPr>
            </w:pPr>
          </w:p>
        </w:tc>
        <w:tc>
          <w:tcPr>
            <w:tcW w:w="0" w:type="auto"/>
            <w:gridSpan w:val="3"/>
            <w:vAlign w:val="center"/>
            <w:hideMark/>
          </w:tcPr>
          <w:p w14:paraId="3B1AB166" w14:textId="77777777" w:rsidR="00000000" w:rsidRDefault="00C1661D">
            <w:pPr>
              <w:spacing w:after="100"/>
              <w:rPr>
                <w:rFonts w:eastAsia="Times New Roman"/>
                <w:sz w:val="20"/>
                <w:szCs w:val="20"/>
              </w:rPr>
            </w:pPr>
          </w:p>
        </w:tc>
        <w:tc>
          <w:tcPr>
            <w:tcW w:w="0" w:type="auto"/>
            <w:gridSpan w:val="3"/>
            <w:vAlign w:val="center"/>
            <w:hideMark/>
          </w:tcPr>
          <w:p w14:paraId="0A146209" w14:textId="77777777" w:rsidR="00000000" w:rsidRDefault="00C1661D">
            <w:pPr>
              <w:spacing w:after="100"/>
              <w:rPr>
                <w:rFonts w:eastAsia="Times New Roman"/>
                <w:sz w:val="20"/>
                <w:szCs w:val="20"/>
              </w:rPr>
            </w:pPr>
          </w:p>
        </w:tc>
      </w:tr>
      <w:tr w:rsidR="00000000" w14:paraId="099F9CDA" w14:textId="77777777">
        <w:trPr>
          <w:divId w:val="1625890149"/>
          <w:jc w:val="center"/>
        </w:trPr>
        <w:tc>
          <w:tcPr>
            <w:tcW w:w="0" w:type="auto"/>
            <w:gridSpan w:val="3"/>
            <w:shd w:val="clear" w:color="auto" w:fill="CCEEFF"/>
            <w:tcMar>
              <w:top w:w="30" w:type="dxa"/>
              <w:left w:w="155" w:type="dxa"/>
              <w:bottom w:w="30" w:type="dxa"/>
              <w:right w:w="20" w:type="dxa"/>
            </w:tcMar>
            <w:vAlign w:val="bottom"/>
            <w:hideMark/>
          </w:tcPr>
          <w:p w14:paraId="1C2CBF1E" w14:textId="77777777" w:rsidR="00000000" w:rsidRDefault="00C1661D">
            <w:pPr>
              <w:spacing w:after="100"/>
              <w:rPr>
                <w:rFonts w:eastAsia="Times New Roman"/>
              </w:rPr>
            </w:pPr>
            <w:r>
              <w:rPr>
                <w:rFonts w:eastAsia="Times New Roman"/>
                <w:color w:val="000000"/>
                <w:sz w:val="20"/>
                <w:szCs w:val="20"/>
              </w:rPr>
              <w:t>Common Stock issued in connection with employee and director plans, net of tax withheld</w:t>
            </w:r>
          </w:p>
        </w:tc>
        <w:tc>
          <w:tcPr>
            <w:tcW w:w="0" w:type="auto"/>
            <w:gridSpan w:val="2"/>
            <w:shd w:val="clear" w:color="auto" w:fill="CCEEFF"/>
            <w:tcMar>
              <w:top w:w="30" w:type="dxa"/>
              <w:left w:w="20" w:type="dxa"/>
              <w:bottom w:w="30" w:type="dxa"/>
              <w:right w:w="0" w:type="dxa"/>
            </w:tcMar>
            <w:vAlign w:val="bottom"/>
            <w:hideMark/>
          </w:tcPr>
          <w:p w14:paraId="7BACA6D4" w14:textId="77777777" w:rsidR="00000000" w:rsidRDefault="00C1661D">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2989176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5415D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D70597" w14:textId="77777777" w:rsidR="00000000" w:rsidRDefault="00C1661D">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5AFE50F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73F44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6F59FB"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6ADBB445" w14:textId="77777777" w:rsidR="00000000" w:rsidRDefault="00C1661D">
            <w:pPr>
              <w:spacing w:after="100"/>
              <w:jc w:val="right"/>
              <w:rPr>
                <w:rFonts w:eastAsia="Times New Roman"/>
              </w:rPr>
            </w:pPr>
          </w:p>
        </w:tc>
      </w:tr>
      <w:tr w:rsidR="00000000" w14:paraId="11D9A6A5" w14:textId="77777777">
        <w:trPr>
          <w:divId w:val="1625890149"/>
          <w:jc w:val="center"/>
        </w:trPr>
        <w:tc>
          <w:tcPr>
            <w:tcW w:w="0" w:type="auto"/>
            <w:gridSpan w:val="3"/>
            <w:vAlign w:val="center"/>
            <w:hideMark/>
          </w:tcPr>
          <w:p w14:paraId="4B510C52" w14:textId="77777777" w:rsidR="00000000" w:rsidRDefault="00C1661D">
            <w:pPr>
              <w:spacing w:after="100"/>
              <w:jc w:val="right"/>
              <w:rPr>
                <w:rFonts w:eastAsia="Times New Roman"/>
                <w:sz w:val="20"/>
                <w:szCs w:val="20"/>
              </w:rPr>
            </w:pPr>
          </w:p>
        </w:tc>
        <w:tc>
          <w:tcPr>
            <w:tcW w:w="0" w:type="auto"/>
            <w:gridSpan w:val="3"/>
            <w:vAlign w:val="center"/>
            <w:hideMark/>
          </w:tcPr>
          <w:p w14:paraId="7F52774F" w14:textId="77777777" w:rsidR="00000000" w:rsidRDefault="00C1661D">
            <w:pPr>
              <w:spacing w:after="100"/>
              <w:rPr>
                <w:rFonts w:eastAsia="Times New Roman"/>
                <w:sz w:val="20"/>
                <w:szCs w:val="20"/>
              </w:rPr>
            </w:pPr>
          </w:p>
        </w:tc>
        <w:tc>
          <w:tcPr>
            <w:tcW w:w="0" w:type="auto"/>
            <w:gridSpan w:val="3"/>
            <w:vAlign w:val="center"/>
            <w:hideMark/>
          </w:tcPr>
          <w:p w14:paraId="19B80385" w14:textId="77777777" w:rsidR="00000000" w:rsidRDefault="00C1661D">
            <w:pPr>
              <w:spacing w:after="100"/>
              <w:rPr>
                <w:rFonts w:eastAsia="Times New Roman"/>
                <w:sz w:val="20"/>
                <w:szCs w:val="20"/>
              </w:rPr>
            </w:pPr>
          </w:p>
        </w:tc>
        <w:tc>
          <w:tcPr>
            <w:tcW w:w="0" w:type="auto"/>
            <w:gridSpan w:val="3"/>
            <w:vAlign w:val="center"/>
            <w:hideMark/>
          </w:tcPr>
          <w:p w14:paraId="436BB57F" w14:textId="77777777" w:rsidR="00000000" w:rsidRDefault="00C1661D">
            <w:pPr>
              <w:spacing w:after="100"/>
              <w:rPr>
                <w:rFonts w:eastAsia="Times New Roman"/>
                <w:sz w:val="20"/>
                <w:szCs w:val="20"/>
              </w:rPr>
            </w:pPr>
          </w:p>
        </w:tc>
        <w:tc>
          <w:tcPr>
            <w:tcW w:w="0" w:type="auto"/>
            <w:gridSpan w:val="3"/>
            <w:vAlign w:val="center"/>
            <w:hideMark/>
          </w:tcPr>
          <w:p w14:paraId="161E9B1C" w14:textId="77777777" w:rsidR="00000000" w:rsidRDefault="00C1661D">
            <w:pPr>
              <w:spacing w:after="100"/>
              <w:rPr>
                <w:rFonts w:eastAsia="Times New Roman"/>
                <w:sz w:val="20"/>
                <w:szCs w:val="20"/>
              </w:rPr>
            </w:pPr>
          </w:p>
        </w:tc>
        <w:tc>
          <w:tcPr>
            <w:tcW w:w="0" w:type="auto"/>
            <w:gridSpan w:val="3"/>
            <w:vAlign w:val="center"/>
            <w:hideMark/>
          </w:tcPr>
          <w:p w14:paraId="2F315013" w14:textId="77777777" w:rsidR="00000000" w:rsidRDefault="00C1661D">
            <w:pPr>
              <w:spacing w:after="100"/>
              <w:rPr>
                <w:rFonts w:eastAsia="Times New Roman"/>
                <w:sz w:val="20"/>
                <w:szCs w:val="20"/>
              </w:rPr>
            </w:pPr>
          </w:p>
        </w:tc>
      </w:tr>
      <w:tr w:rsidR="00000000" w14:paraId="5CEF7AD4" w14:textId="77777777">
        <w:trPr>
          <w:divId w:val="1625890149"/>
          <w:jc w:val="center"/>
        </w:trPr>
        <w:tc>
          <w:tcPr>
            <w:tcW w:w="0" w:type="auto"/>
            <w:gridSpan w:val="3"/>
            <w:vAlign w:val="center"/>
            <w:hideMark/>
          </w:tcPr>
          <w:p w14:paraId="65DAD531" w14:textId="77777777" w:rsidR="00000000" w:rsidRDefault="00C1661D">
            <w:pPr>
              <w:spacing w:after="100"/>
              <w:rPr>
                <w:rFonts w:eastAsia="Times New Roman"/>
                <w:sz w:val="20"/>
                <w:szCs w:val="20"/>
              </w:rPr>
            </w:pPr>
          </w:p>
        </w:tc>
        <w:tc>
          <w:tcPr>
            <w:tcW w:w="0" w:type="auto"/>
            <w:gridSpan w:val="3"/>
            <w:vAlign w:val="center"/>
            <w:hideMark/>
          </w:tcPr>
          <w:p w14:paraId="17319D0F" w14:textId="77777777" w:rsidR="00000000" w:rsidRDefault="00C1661D">
            <w:pPr>
              <w:spacing w:after="100"/>
              <w:rPr>
                <w:rFonts w:eastAsia="Times New Roman"/>
                <w:sz w:val="20"/>
                <w:szCs w:val="20"/>
              </w:rPr>
            </w:pPr>
          </w:p>
        </w:tc>
        <w:tc>
          <w:tcPr>
            <w:tcW w:w="0" w:type="auto"/>
            <w:gridSpan w:val="3"/>
            <w:vAlign w:val="center"/>
            <w:hideMark/>
          </w:tcPr>
          <w:p w14:paraId="6562FD46" w14:textId="77777777" w:rsidR="00000000" w:rsidRDefault="00C1661D">
            <w:pPr>
              <w:spacing w:after="100"/>
              <w:rPr>
                <w:rFonts w:eastAsia="Times New Roman"/>
                <w:sz w:val="20"/>
                <w:szCs w:val="20"/>
              </w:rPr>
            </w:pPr>
          </w:p>
        </w:tc>
        <w:tc>
          <w:tcPr>
            <w:tcW w:w="0" w:type="auto"/>
            <w:gridSpan w:val="3"/>
            <w:vAlign w:val="center"/>
            <w:hideMark/>
          </w:tcPr>
          <w:p w14:paraId="219B4272" w14:textId="77777777" w:rsidR="00000000" w:rsidRDefault="00C1661D">
            <w:pPr>
              <w:spacing w:after="100"/>
              <w:rPr>
                <w:rFonts w:eastAsia="Times New Roman"/>
                <w:sz w:val="20"/>
                <w:szCs w:val="20"/>
              </w:rPr>
            </w:pPr>
          </w:p>
        </w:tc>
        <w:tc>
          <w:tcPr>
            <w:tcW w:w="0" w:type="auto"/>
            <w:gridSpan w:val="3"/>
            <w:vAlign w:val="center"/>
            <w:hideMark/>
          </w:tcPr>
          <w:p w14:paraId="5C50C4FD" w14:textId="77777777" w:rsidR="00000000" w:rsidRDefault="00C1661D">
            <w:pPr>
              <w:spacing w:after="100"/>
              <w:rPr>
                <w:rFonts w:eastAsia="Times New Roman"/>
                <w:sz w:val="20"/>
                <w:szCs w:val="20"/>
              </w:rPr>
            </w:pPr>
          </w:p>
        </w:tc>
        <w:tc>
          <w:tcPr>
            <w:tcW w:w="0" w:type="auto"/>
            <w:gridSpan w:val="3"/>
            <w:vAlign w:val="center"/>
            <w:hideMark/>
          </w:tcPr>
          <w:p w14:paraId="21A1F2E2" w14:textId="77777777" w:rsidR="00000000" w:rsidRDefault="00C1661D">
            <w:pPr>
              <w:spacing w:after="100"/>
              <w:rPr>
                <w:rFonts w:eastAsia="Times New Roman"/>
                <w:sz w:val="20"/>
                <w:szCs w:val="20"/>
              </w:rPr>
            </w:pPr>
          </w:p>
        </w:tc>
      </w:tr>
      <w:tr w:rsidR="00000000" w14:paraId="710BDC59"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6A47EFBA" w14:textId="77777777" w:rsidR="00000000" w:rsidRDefault="00C1661D">
            <w:pPr>
              <w:spacing w:after="100"/>
              <w:rPr>
                <w:rFonts w:eastAsia="Times New Roman"/>
              </w:rPr>
            </w:pPr>
            <w:r>
              <w:rPr>
                <w:rFonts w:eastAsia="Times New Roman"/>
                <w:color w:val="000000"/>
                <w:sz w:val="20"/>
                <w:szCs w:val="20"/>
              </w:rPr>
              <w:t>Equity-based compensation expense</w:t>
            </w:r>
          </w:p>
        </w:tc>
        <w:tc>
          <w:tcPr>
            <w:tcW w:w="0" w:type="auto"/>
            <w:gridSpan w:val="2"/>
            <w:shd w:val="clear" w:color="auto" w:fill="FFFFFF"/>
            <w:tcMar>
              <w:top w:w="30" w:type="dxa"/>
              <w:left w:w="20" w:type="dxa"/>
              <w:bottom w:w="30" w:type="dxa"/>
              <w:right w:w="0" w:type="dxa"/>
            </w:tcMar>
            <w:vAlign w:val="bottom"/>
            <w:hideMark/>
          </w:tcPr>
          <w:p w14:paraId="64C4B52B" w14:textId="77777777" w:rsidR="00000000" w:rsidRDefault="00C1661D">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6967237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C854D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6B6FF6" w14:textId="77777777" w:rsidR="00000000" w:rsidRDefault="00C1661D">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28B2D82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1B3B5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BF6286" w14:textId="77777777" w:rsidR="00000000" w:rsidRDefault="00C1661D">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4C338F43" w14:textId="77777777" w:rsidR="00000000" w:rsidRDefault="00C1661D">
            <w:pPr>
              <w:spacing w:after="100"/>
              <w:jc w:val="right"/>
              <w:rPr>
                <w:rFonts w:eastAsia="Times New Roman"/>
              </w:rPr>
            </w:pPr>
          </w:p>
        </w:tc>
      </w:tr>
      <w:tr w:rsidR="00000000" w14:paraId="7B602727" w14:textId="77777777">
        <w:trPr>
          <w:divId w:val="1625890149"/>
          <w:jc w:val="center"/>
        </w:trPr>
        <w:tc>
          <w:tcPr>
            <w:tcW w:w="0" w:type="auto"/>
            <w:gridSpan w:val="3"/>
            <w:vAlign w:val="center"/>
            <w:hideMark/>
          </w:tcPr>
          <w:p w14:paraId="6F112875" w14:textId="77777777" w:rsidR="00000000" w:rsidRDefault="00C1661D">
            <w:pPr>
              <w:spacing w:after="100"/>
              <w:jc w:val="right"/>
              <w:rPr>
                <w:rFonts w:eastAsia="Times New Roman"/>
                <w:sz w:val="20"/>
                <w:szCs w:val="20"/>
              </w:rPr>
            </w:pPr>
          </w:p>
        </w:tc>
        <w:tc>
          <w:tcPr>
            <w:tcW w:w="0" w:type="auto"/>
            <w:gridSpan w:val="3"/>
            <w:vAlign w:val="center"/>
            <w:hideMark/>
          </w:tcPr>
          <w:p w14:paraId="004A0087" w14:textId="77777777" w:rsidR="00000000" w:rsidRDefault="00C1661D">
            <w:pPr>
              <w:spacing w:after="100"/>
              <w:rPr>
                <w:rFonts w:eastAsia="Times New Roman"/>
                <w:sz w:val="20"/>
                <w:szCs w:val="20"/>
              </w:rPr>
            </w:pPr>
          </w:p>
        </w:tc>
        <w:tc>
          <w:tcPr>
            <w:tcW w:w="0" w:type="auto"/>
            <w:gridSpan w:val="3"/>
            <w:vAlign w:val="center"/>
            <w:hideMark/>
          </w:tcPr>
          <w:p w14:paraId="3202DD70" w14:textId="77777777" w:rsidR="00000000" w:rsidRDefault="00C1661D">
            <w:pPr>
              <w:spacing w:after="100"/>
              <w:rPr>
                <w:rFonts w:eastAsia="Times New Roman"/>
                <w:sz w:val="20"/>
                <w:szCs w:val="20"/>
              </w:rPr>
            </w:pPr>
          </w:p>
        </w:tc>
        <w:tc>
          <w:tcPr>
            <w:tcW w:w="0" w:type="auto"/>
            <w:gridSpan w:val="3"/>
            <w:vAlign w:val="center"/>
            <w:hideMark/>
          </w:tcPr>
          <w:p w14:paraId="32F5D37A" w14:textId="77777777" w:rsidR="00000000" w:rsidRDefault="00C1661D">
            <w:pPr>
              <w:spacing w:after="100"/>
              <w:rPr>
                <w:rFonts w:eastAsia="Times New Roman"/>
                <w:sz w:val="20"/>
                <w:szCs w:val="20"/>
              </w:rPr>
            </w:pPr>
          </w:p>
        </w:tc>
        <w:tc>
          <w:tcPr>
            <w:tcW w:w="0" w:type="auto"/>
            <w:gridSpan w:val="3"/>
            <w:vAlign w:val="center"/>
            <w:hideMark/>
          </w:tcPr>
          <w:p w14:paraId="1BBEC39E" w14:textId="77777777" w:rsidR="00000000" w:rsidRDefault="00C1661D">
            <w:pPr>
              <w:spacing w:after="100"/>
              <w:rPr>
                <w:rFonts w:eastAsia="Times New Roman"/>
                <w:sz w:val="20"/>
                <w:szCs w:val="20"/>
              </w:rPr>
            </w:pPr>
          </w:p>
        </w:tc>
        <w:tc>
          <w:tcPr>
            <w:tcW w:w="0" w:type="auto"/>
            <w:gridSpan w:val="3"/>
            <w:vAlign w:val="center"/>
            <w:hideMark/>
          </w:tcPr>
          <w:p w14:paraId="00634524" w14:textId="77777777" w:rsidR="00000000" w:rsidRDefault="00C1661D">
            <w:pPr>
              <w:spacing w:after="100"/>
              <w:rPr>
                <w:rFonts w:eastAsia="Times New Roman"/>
                <w:sz w:val="20"/>
                <w:szCs w:val="20"/>
              </w:rPr>
            </w:pPr>
          </w:p>
        </w:tc>
      </w:tr>
      <w:tr w:rsidR="00000000" w14:paraId="1562F8A1" w14:textId="77777777">
        <w:trPr>
          <w:divId w:val="1625890149"/>
          <w:jc w:val="center"/>
        </w:trPr>
        <w:tc>
          <w:tcPr>
            <w:tcW w:w="0" w:type="auto"/>
            <w:gridSpan w:val="3"/>
            <w:vAlign w:val="center"/>
            <w:hideMark/>
          </w:tcPr>
          <w:p w14:paraId="32CB0266" w14:textId="77777777" w:rsidR="00000000" w:rsidRDefault="00C1661D">
            <w:pPr>
              <w:spacing w:after="100"/>
              <w:rPr>
                <w:rFonts w:eastAsia="Times New Roman"/>
                <w:sz w:val="20"/>
                <w:szCs w:val="20"/>
              </w:rPr>
            </w:pPr>
          </w:p>
        </w:tc>
        <w:tc>
          <w:tcPr>
            <w:tcW w:w="0" w:type="auto"/>
            <w:gridSpan w:val="3"/>
            <w:vAlign w:val="center"/>
            <w:hideMark/>
          </w:tcPr>
          <w:p w14:paraId="3127D541" w14:textId="77777777" w:rsidR="00000000" w:rsidRDefault="00C1661D">
            <w:pPr>
              <w:spacing w:after="100"/>
              <w:rPr>
                <w:rFonts w:eastAsia="Times New Roman"/>
                <w:sz w:val="20"/>
                <w:szCs w:val="20"/>
              </w:rPr>
            </w:pPr>
          </w:p>
        </w:tc>
        <w:tc>
          <w:tcPr>
            <w:tcW w:w="0" w:type="auto"/>
            <w:gridSpan w:val="3"/>
            <w:vAlign w:val="center"/>
            <w:hideMark/>
          </w:tcPr>
          <w:p w14:paraId="602CDC0E" w14:textId="77777777" w:rsidR="00000000" w:rsidRDefault="00C1661D">
            <w:pPr>
              <w:spacing w:after="100"/>
              <w:rPr>
                <w:rFonts w:eastAsia="Times New Roman"/>
                <w:sz w:val="20"/>
                <w:szCs w:val="20"/>
              </w:rPr>
            </w:pPr>
          </w:p>
        </w:tc>
        <w:tc>
          <w:tcPr>
            <w:tcW w:w="0" w:type="auto"/>
            <w:gridSpan w:val="3"/>
            <w:vAlign w:val="center"/>
            <w:hideMark/>
          </w:tcPr>
          <w:p w14:paraId="3402DCD4" w14:textId="77777777" w:rsidR="00000000" w:rsidRDefault="00C1661D">
            <w:pPr>
              <w:spacing w:after="100"/>
              <w:rPr>
                <w:rFonts w:eastAsia="Times New Roman"/>
                <w:sz w:val="20"/>
                <w:szCs w:val="20"/>
              </w:rPr>
            </w:pPr>
          </w:p>
        </w:tc>
        <w:tc>
          <w:tcPr>
            <w:tcW w:w="0" w:type="auto"/>
            <w:gridSpan w:val="3"/>
            <w:vAlign w:val="center"/>
            <w:hideMark/>
          </w:tcPr>
          <w:p w14:paraId="6CDE7F63" w14:textId="77777777" w:rsidR="00000000" w:rsidRDefault="00C1661D">
            <w:pPr>
              <w:spacing w:after="100"/>
              <w:rPr>
                <w:rFonts w:eastAsia="Times New Roman"/>
                <w:sz w:val="20"/>
                <w:szCs w:val="20"/>
              </w:rPr>
            </w:pPr>
          </w:p>
        </w:tc>
        <w:tc>
          <w:tcPr>
            <w:tcW w:w="0" w:type="auto"/>
            <w:gridSpan w:val="3"/>
            <w:vAlign w:val="center"/>
            <w:hideMark/>
          </w:tcPr>
          <w:p w14:paraId="2EC9F905" w14:textId="77777777" w:rsidR="00000000" w:rsidRDefault="00C1661D">
            <w:pPr>
              <w:spacing w:after="100"/>
              <w:rPr>
                <w:rFonts w:eastAsia="Times New Roman"/>
                <w:sz w:val="20"/>
                <w:szCs w:val="20"/>
              </w:rPr>
            </w:pPr>
          </w:p>
        </w:tc>
      </w:tr>
      <w:tr w:rsidR="00000000" w14:paraId="3495A1CC" w14:textId="77777777">
        <w:trPr>
          <w:divId w:val="1625890149"/>
          <w:jc w:val="center"/>
        </w:trPr>
        <w:tc>
          <w:tcPr>
            <w:tcW w:w="0" w:type="auto"/>
            <w:gridSpan w:val="3"/>
            <w:vAlign w:val="center"/>
            <w:hideMark/>
          </w:tcPr>
          <w:p w14:paraId="10E8FABA" w14:textId="77777777" w:rsidR="00000000" w:rsidRDefault="00C1661D">
            <w:pPr>
              <w:spacing w:after="100"/>
              <w:rPr>
                <w:rFonts w:eastAsia="Times New Roman"/>
                <w:sz w:val="20"/>
                <w:szCs w:val="20"/>
              </w:rPr>
            </w:pPr>
          </w:p>
        </w:tc>
        <w:tc>
          <w:tcPr>
            <w:tcW w:w="0" w:type="auto"/>
            <w:gridSpan w:val="3"/>
            <w:vAlign w:val="center"/>
            <w:hideMark/>
          </w:tcPr>
          <w:p w14:paraId="54E77AED" w14:textId="77777777" w:rsidR="00000000" w:rsidRDefault="00C1661D">
            <w:pPr>
              <w:spacing w:after="100"/>
              <w:rPr>
                <w:rFonts w:eastAsia="Times New Roman"/>
                <w:sz w:val="20"/>
                <w:szCs w:val="20"/>
              </w:rPr>
            </w:pPr>
          </w:p>
        </w:tc>
        <w:tc>
          <w:tcPr>
            <w:tcW w:w="0" w:type="auto"/>
            <w:gridSpan w:val="3"/>
            <w:vAlign w:val="center"/>
            <w:hideMark/>
          </w:tcPr>
          <w:p w14:paraId="4F63A944" w14:textId="77777777" w:rsidR="00000000" w:rsidRDefault="00C1661D">
            <w:pPr>
              <w:spacing w:after="100"/>
              <w:rPr>
                <w:rFonts w:eastAsia="Times New Roman"/>
                <w:sz w:val="20"/>
                <w:szCs w:val="20"/>
              </w:rPr>
            </w:pPr>
          </w:p>
        </w:tc>
        <w:tc>
          <w:tcPr>
            <w:tcW w:w="0" w:type="auto"/>
            <w:gridSpan w:val="3"/>
            <w:vAlign w:val="center"/>
            <w:hideMark/>
          </w:tcPr>
          <w:p w14:paraId="3D61875F" w14:textId="77777777" w:rsidR="00000000" w:rsidRDefault="00C1661D">
            <w:pPr>
              <w:spacing w:after="100"/>
              <w:rPr>
                <w:rFonts w:eastAsia="Times New Roman"/>
                <w:sz w:val="20"/>
                <w:szCs w:val="20"/>
              </w:rPr>
            </w:pPr>
          </w:p>
        </w:tc>
        <w:tc>
          <w:tcPr>
            <w:tcW w:w="0" w:type="auto"/>
            <w:gridSpan w:val="3"/>
            <w:vAlign w:val="center"/>
            <w:hideMark/>
          </w:tcPr>
          <w:p w14:paraId="6193100A" w14:textId="77777777" w:rsidR="00000000" w:rsidRDefault="00C1661D">
            <w:pPr>
              <w:spacing w:after="100"/>
              <w:rPr>
                <w:rFonts w:eastAsia="Times New Roman"/>
                <w:sz w:val="20"/>
                <w:szCs w:val="20"/>
              </w:rPr>
            </w:pPr>
          </w:p>
        </w:tc>
        <w:tc>
          <w:tcPr>
            <w:tcW w:w="0" w:type="auto"/>
            <w:gridSpan w:val="3"/>
            <w:vAlign w:val="center"/>
            <w:hideMark/>
          </w:tcPr>
          <w:p w14:paraId="61DB493D" w14:textId="77777777" w:rsidR="00000000" w:rsidRDefault="00C1661D">
            <w:pPr>
              <w:spacing w:after="100"/>
              <w:rPr>
                <w:rFonts w:eastAsia="Times New Roman"/>
                <w:sz w:val="20"/>
                <w:szCs w:val="20"/>
              </w:rPr>
            </w:pPr>
          </w:p>
        </w:tc>
      </w:tr>
      <w:tr w:rsidR="00000000" w14:paraId="0FD1DB11" w14:textId="77777777">
        <w:trPr>
          <w:divId w:val="1625890149"/>
          <w:jc w:val="center"/>
        </w:trPr>
        <w:tc>
          <w:tcPr>
            <w:tcW w:w="0" w:type="auto"/>
            <w:gridSpan w:val="3"/>
            <w:shd w:val="clear" w:color="auto" w:fill="CCEEFF"/>
            <w:tcMar>
              <w:top w:w="30" w:type="dxa"/>
              <w:left w:w="155" w:type="dxa"/>
              <w:bottom w:w="30" w:type="dxa"/>
              <w:right w:w="20" w:type="dxa"/>
            </w:tcMar>
            <w:vAlign w:val="bottom"/>
            <w:hideMark/>
          </w:tcPr>
          <w:p w14:paraId="6B6CD384" w14:textId="77777777" w:rsidR="00000000" w:rsidRDefault="00C1661D">
            <w:pPr>
              <w:spacing w:after="100"/>
              <w:rPr>
                <w:rFonts w:eastAsia="Times New Roman"/>
              </w:rPr>
            </w:pPr>
            <w:r>
              <w:rPr>
                <w:rFonts w:eastAsia="Times New Roman"/>
                <w:color w:val="000000"/>
                <w:sz w:val="20"/>
                <w:szCs w:val="20"/>
              </w:rPr>
              <w:t>Issuance of Equity Units - 2024 Purchase Contracts</w:t>
            </w:r>
          </w:p>
        </w:tc>
        <w:tc>
          <w:tcPr>
            <w:tcW w:w="0" w:type="auto"/>
            <w:gridSpan w:val="2"/>
            <w:shd w:val="clear" w:color="auto" w:fill="CCEEFF"/>
            <w:tcMar>
              <w:top w:w="30" w:type="dxa"/>
              <w:left w:w="20" w:type="dxa"/>
              <w:bottom w:w="30" w:type="dxa"/>
              <w:right w:w="0" w:type="dxa"/>
            </w:tcMar>
            <w:vAlign w:val="bottom"/>
            <w:hideMark/>
          </w:tcPr>
          <w:p w14:paraId="48FB68F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FF58DE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53065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27A6B4" w14:textId="77777777" w:rsidR="00000000" w:rsidRDefault="00C1661D">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14:paraId="7233127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585F9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57B6D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0D21AE" w14:textId="77777777" w:rsidR="00000000" w:rsidRDefault="00C1661D">
            <w:pPr>
              <w:spacing w:after="100"/>
              <w:jc w:val="right"/>
              <w:rPr>
                <w:rFonts w:eastAsia="Times New Roman"/>
              </w:rPr>
            </w:pPr>
          </w:p>
        </w:tc>
      </w:tr>
      <w:tr w:rsidR="00000000" w14:paraId="4B48FFEE"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00CDE044" w14:textId="77777777" w:rsidR="00000000" w:rsidRDefault="00C1661D">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75212FF2" w14:textId="77777777" w:rsidR="00000000" w:rsidRDefault="00C1661D">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14:paraId="15394D4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7680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3F95D5" w14:textId="77777777" w:rsidR="00000000" w:rsidRDefault="00C1661D">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686407C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8B8A2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3FD5BA"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FF73F6C" w14:textId="77777777" w:rsidR="00000000" w:rsidRDefault="00C1661D">
            <w:pPr>
              <w:spacing w:after="100"/>
              <w:jc w:val="right"/>
              <w:rPr>
                <w:rFonts w:eastAsia="Times New Roman"/>
              </w:rPr>
            </w:pPr>
          </w:p>
        </w:tc>
      </w:tr>
      <w:tr w:rsidR="00000000" w14:paraId="3EB5F09A" w14:textId="77777777">
        <w:trPr>
          <w:divId w:val="1625890149"/>
          <w:jc w:val="center"/>
        </w:trPr>
        <w:tc>
          <w:tcPr>
            <w:tcW w:w="0" w:type="auto"/>
            <w:gridSpan w:val="3"/>
            <w:shd w:val="clear" w:color="auto" w:fill="CCEEFF"/>
            <w:tcMar>
              <w:top w:w="30" w:type="dxa"/>
              <w:left w:w="155" w:type="dxa"/>
              <w:bottom w:w="30" w:type="dxa"/>
              <w:right w:w="20" w:type="dxa"/>
            </w:tcMar>
            <w:vAlign w:val="bottom"/>
            <w:hideMark/>
          </w:tcPr>
          <w:p w14:paraId="4A8F244D" w14:textId="77777777" w:rsidR="00000000" w:rsidRDefault="00C1661D">
            <w:pPr>
              <w:spacing w:after="100"/>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708BD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B0B5B5" w14:textId="77777777" w:rsidR="00000000" w:rsidRDefault="00C1661D">
            <w:pPr>
              <w:spacing w:after="100"/>
              <w:jc w:val="right"/>
              <w:rPr>
                <w:rFonts w:eastAsia="Times New Roman"/>
              </w:rPr>
            </w:pPr>
            <w:r>
              <w:rPr>
                <w:rFonts w:eastAsia="Times New Roman"/>
                <w:color w:val="000000"/>
                <w:sz w:val="20"/>
                <w:szCs w:val="20"/>
              </w:rPr>
              <w:t>1,483 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37A01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0498AC"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61D8EC"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CBB8CA" w14:textId="77777777" w:rsidR="00000000" w:rsidRDefault="00C1661D">
            <w:pPr>
              <w:spacing w:after="100"/>
              <w:jc w:val="right"/>
              <w:rPr>
                <w:rFonts w:eastAsia="Times New Roman"/>
              </w:rPr>
            </w:pPr>
            <w:r>
              <w:rPr>
                <w:rFonts w:eastAsia="Times New Roman"/>
                <w:color w:val="000000"/>
                <w:sz w:val="20"/>
                <w:szCs w:val="20"/>
              </w:rPr>
              <w:t>1,394 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7CFC2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E2CED9"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260A69"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6A4518" w14:textId="77777777" w:rsidR="00000000" w:rsidRDefault="00C1661D">
            <w:pPr>
              <w:spacing w:after="100"/>
              <w:jc w:val="right"/>
              <w:rPr>
                <w:rFonts w:eastAsia="Times New Roman"/>
              </w:rPr>
            </w:pPr>
            <w:r>
              <w:rPr>
                <w:rFonts w:eastAsia="Times New Roman"/>
                <w:color w:val="000000"/>
                <w:sz w:val="20"/>
                <w:szCs w:val="20"/>
              </w:rPr>
              <w:t>1,416 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E99997" w14:textId="77777777" w:rsidR="00000000" w:rsidRDefault="00C1661D">
            <w:pPr>
              <w:spacing w:after="100"/>
              <w:jc w:val="right"/>
              <w:rPr>
                <w:rFonts w:eastAsia="Times New Roman"/>
              </w:rPr>
            </w:pPr>
          </w:p>
        </w:tc>
      </w:tr>
      <w:tr w:rsidR="00000000" w14:paraId="5A4E11EB" w14:textId="77777777">
        <w:trPr>
          <w:divId w:val="1625890149"/>
          <w:jc w:val="center"/>
        </w:trPr>
        <w:tc>
          <w:tcPr>
            <w:tcW w:w="0" w:type="auto"/>
            <w:gridSpan w:val="3"/>
            <w:shd w:val="clear" w:color="auto" w:fill="FFFFFF"/>
            <w:tcMar>
              <w:top w:w="30" w:type="dxa"/>
              <w:left w:w="20" w:type="dxa"/>
              <w:bottom w:w="30" w:type="dxa"/>
              <w:right w:w="20" w:type="dxa"/>
            </w:tcMar>
            <w:vAlign w:val="bottom"/>
            <w:hideMark/>
          </w:tcPr>
          <w:p w14:paraId="64DC0701" w14:textId="77777777" w:rsidR="00000000" w:rsidRDefault="00C1661D">
            <w:pPr>
              <w:spacing w:after="100"/>
              <w:rPr>
                <w:rFonts w:eastAsia="Times New Roman"/>
              </w:rPr>
            </w:pPr>
            <w:r>
              <w:rPr>
                <w:rFonts w:eastAsia="Times New Roman"/>
                <w:b/>
                <w:bCs/>
                <w:color w:val="000000"/>
                <w:sz w:val="20"/>
                <w:szCs w:val="20"/>
              </w:rPr>
              <w:t>Retained earnings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805A101"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AFE95EE"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3CA9AE2"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EA4BEA0"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131B088" w14:textId="77777777" w:rsidR="00000000" w:rsidRDefault="00C1661D">
            <w:pPr>
              <w:spacing w:after="100"/>
              <w:rPr>
                <w:rFonts w:eastAsia="Times New Roman"/>
              </w:rPr>
            </w:pPr>
            <w:r>
              <w:rPr>
                <w:rFonts w:eastAsia="Times New Roman"/>
                <w:color w:val="000000"/>
                <w:sz w:val="20"/>
                <w:szCs w:val="20"/>
              </w:rPr>
              <w:t> </w:t>
            </w:r>
          </w:p>
        </w:tc>
      </w:tr>
      <w:tr w:rsidR="00000000" w14:paraId="2F769A8E" w14:textId="77777777">
        <w:trPr>
          <w:divId w:val="1625890149"/>
          <w:jc w:val="center"/>
        </w:trPr>
        <w:tc>
          <w:tcPr>
            <w:tcW w:w="0" w:type="auto"/>
            <w:gridSpan w:val="3"/>
            <w:shd w:val="clear" w:color="auto" w:fill="CCEEFF"/>
            <w:tcMar>
              <w:top w:w="30" w:type="dxa"/>
              <w:left w:w="155" w:type="dxa"/>
              <w:bottom w:w="30" w:type="dxa"/>
              <w:right w:w="20" w:type="dxa"/>
            </w:tcMar>
            <w:vAlign w:val="bottom"/>
            <w:hideMark/>
          </w:tcPr>
          <w:p w14:paraId="00124D46" w14:textId="77777777" w:rsidR="00000000" w:rsidRDefault="00C1661D">
            <w:pPr>
              <w:spacing w:after="100"/>
              <w:rPr>
                <w:rFonts w:eastAsia="Times New Roman"/>
              </w:rPr>
            </w:pPr>
            <w:r>
              <w:rPr>
                <w:rFonts w:eastAsia="Times New Roman"/>
                <w:color w:val="000000"/>
                <w:sz w:val="20"/>
                <w:szCs w:val="20"/>
              </w:rPr>
              <w:t>Balance, beginning of year</w:t>
            </w:r>
          </w:p>
        </w:tc>
        <w:tc>
          <w:tcPr>
            <w:tcW w:w="0" w:type="auto"/>
            <w:shd w:val="clear" w:color="auto" w:fill="CCEEFF"/>
            <w:tcMar>
              <w:top w:w="30" w:type="dxa"/>
              <w:left w:w="20" w:type="dxa"/>
              <w:bottom w:w="30" w:type="dxa"/>
              <w:right w:w="0" w:type="dxa"/>
            </w:tcMar>
            <w:vAlign w:val="bottom"/>
            <w:hideMark/>
          </w:tcPr>
          <w:p w14:paraId="592B354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9A8674B" w14:textId="77777777" w:rsidR="00000000" w:rsidRDefault="00C1661D">
            <w:pPr>
              <w:spacing w:after="100"/>
              <w:jc w:val="right"/>
              <w:rPr>
                <w:rFonts w:eastAsia="Times New Roman"/>
              </w:rPr>
            </w:pPr>
            <w:r>
              <w:rPr>
                <w:rFonts w:eastAsia="Times New Roman"/>
                <w:color w:val="000000"/>
                <w:sz w:val="20"/>
                <w:szCs w:val="20"/>
              </w:rPr>
              <w:t>4,081 </w:t>
            </w:r>
          </w:p>
        </w:tc>
        <w:tc>
          <w:tcPr>
            <w:tcW w:w="0" w:type="auto"/>
            <w:shd w:val="clear" w:color="auto" w:fill="CCEEFF"/>
            <w:tcMar>
              <w:top w:w="30" w:type="dxa"/>
              <w:left w:w="0" w:type="dxa"/>
              <w:bottom w:w="30" w:type="dxa"/>
              <w:right w:w="20" w:type="dxa"/>
            </w:tcMar>
            <w:vAlign w:val="bottom"/>
            <w:hideMark/>
          </w:tcPr>
          <w:p w14:paraId="7C8FA90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55146A"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0FD057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C69F35" w14:textId="77777777" w:rsidR="00000000" w:rsidRDefault="00C1661D">
            <w:pPr>
              <w:spacing w:after="100"/>
              <w:jc w:val="right"/>
              <w:rPr>
                <w:rFonts w:eastAsia="Times New Roman"/>
              </w:rPr>
            </w:pPr>
            <w:r>
              <w:rPr>
                <w:rFonts w:eastAsia="Times New Roman"/>
                <w:color w:val="000000"/>
                <w:sz w:val="20"/>
                <w:szCs w:val="20"/>
              </w:rPr>
              <w:t>2,908 </w:t>
            </w:r>
          </w:p>
        </w:tc>
        <w:tc>
          <w:tcPr>
            <w:tcW w:w="0" w:type="auto"/>
            <w:shd w:val="clear" w:color="auto" w:fill="CCEEFF"/>
            <w:tcMar>
              <w:top w:w="30" w:type="dxa"/>
              <w:left w:w="0" w:type="dxa"/>
              <w:bottom w:w="30" w:type="dxa"/>
              <w:right w:w="20" w:type="dxa"/>
            </w:tcMar>
            <w:vAlign w:val="bottom"/>
            <w:hideMark/>
          </w:tcPr>
          <w:p w14:paraId="3FD6A85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041321"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5E9B7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47E6909" w14:textId="77777777" w:rsidR="00000000" w:rsidRDefault="00C1661D">
            <w:pPr>
              <w:spacing w:after="100"/>
              <w:jc w:val="right"/>
              <w:rPr>
                <w:rFonts w:eastAsia="Times New Roman"/>
              </w:rPr>
            </w:pPr>
            <w:r>
              <w:rPr>
                <w:rFonts w:eastAsia="Times New Roman"/>
                <w:color w:val="000000"/>
                <w:sz w:val="20"/>
                <w:szCs w:val="20"/>
              </w:rPr>
              <w:t>2,653 </w:t>
            </w:r>
          </w:p>
        </w:tc>
        <w:tc>
          <w:tcPr>
            <w:tcW w:w="0" w:type="auto"/>
            <w:shd w:val="clear" w:color="auto" w:fill="CCEEFF"/>
            <w:tcMar>
              <w:top w:w="30" w:type="dxa"/>
              <w:left w:w="0" w:type="dxa"/>
              <w:bottom w:w="30" w:type="dxa"/>
              <w:right w:w="20" w:type="dxa"/>
            </w:tcMar>
            <w:vAlign w:val="bottom"/>
            <w:hideMark/>
          </w:tcPr>
          <w:p w14:paraId="30906B71" w14:textId="77777777" w:rsidR="00000000" w:rsidRDefault="00C1661D">
            <w:pPr>
              <w:spacing w:after="100"/>
              <w:jc w:val="right"/>
              <w:rPr>
                <w:rFonts w:eastAsia="Times New Roman"/>
              </w:rPr>
            </w:pPr>
          </w:p>
        </w:tc>
      </w:tr>
      <w:tr w:rsidR="00000000" w14:paraId="2A675D2F"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7413FE84" w14:textId="77777777" w:rsidR="00000000" w:rsidRDefault="00C1661D">
            <w:pPr>
              <w:spacing w:after="100"/>
              <w:rPr>
                <w:rFonts w:eastAsia="Times New Roman"/>
              </w:rPr>
            </w:pPr>
            <w:r>
              <w:rPr>
                <w:rFonts w:eastAsia="Times New Roman"/>
                <w:color w:val="000000"/>
                <w:sz w:val="20"/>
                <w:szCs w:val="20"/>
              </w:rPr>
              <w:t>Net income attributable to UGI Corporation</w:t>
            </w:r>
          </w:p>
        </w:tc>
        <w:tc>
          <w:tcPr>
            <w:tcW w:w="0" w:type="auto"/>
            <w:gridSpan w:val="2"/>
            <w:shd w:val="clear" w:color="auto" w:fill="FFFFFF"/>
            <w:tcMar>
              <w:top w:w="30" w:type="dxa"/>
              <w:left w:w="20" w:type="dxa"/>
              <w:bottom w:w="30" w:type="dxa"/>
              <w:right w:w="0" w:type="dxa"/>
            </w:tcMar>
            <w:vAlign w:val="bottom"/>
            <w:hideMark/>
          </w:tcPr>
          <w:p w14:paraId="3E18125A" w14:textId="77777777" w:rsidR="00000000" w:rsidRDefault="00C1661D">
            <w:pPr>
              <w:spacing w:after="100"/>
              <w:jc w:val="right"/>
              <w:rPr>
                <w:rFonts w:eastAsia="Times New Roman"/>
              </w:rPr>
            </w:pPr>
            <w:r>
              <w:rPr>
                <w:rFonts w:eastAsia="Times New Roman"/>
                <w:color w:val="000000"/>
                <w:sz w:val="20"/>
                <w:szCs w:val="20"/>
              </w:rPr>
              <w:t>1,073 </w:t>
            </w:r>
          </w:p>
        </w:tc>
        <w:tc>
          <w:tcPr>
            <w:tcW w:w="0" w:type="auto"/>
            <w:shd w:val="clear" w:color="auto" w:fill="FFFFFF"/>
            <w:tcMar>
              <w:top w:w="30" w:type="dxa"/>
              <w:left w:w="0" w:type="dxa"/>
              <w:bottom w:w="30" w:type="dxa"/>
              <w:right w:w="20" w:type="dxa"/>
            </w:tcMar>
            <w:vAlign w:val="bottom"/>
            <w:hideMark/>
          </w:tcPr>
          <w:p w14:paraId="3C84DF0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6D3C0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A4B7A1" w14:textId="77777777" w:rsidR="00000000" w:rsidRDefault="00C1661D">
            <w:pPr>
              <w:spacing w:after="100"/>
              <w:jc w:val="right"/>
              <w:rPr>
                <w:rFonts w:eastAsia="Times New Roman"/>
              </w:rPr>
            </w:pPr>
            <w:r>
              <w:rPr>
                <w:rFonts w:eastAsia="Times New Roman"/>
                <w:color w:val="000000"/>
                <w:sz w:val="20"/>
                <w:szCs w:val="20"/>
              </w:rPr>
              <w:t>1,467 </w:t>
            </w:r>
          </w:p>
        </w:tc>
        <w:tc>
          <w:tcPr>
            <w:tcW w:w="0" w:type="auto"/>
            <w:shd w:val="clear" w:color="auto" w:fill="FFFFFF"/>
            <w:tcMar>
              <w:top w:w="30" w:type="dxa"/>
              <w:left w:w="0" w:type="dxa"/>
              <w:bottom w:w="30" w:type="dxa"/>
              <w:right w:w="20" w:type="dxa"/>
            </w:tcMar>
            <w:vAlign w:val="bottom"/>
            <w:hideMark/>
          </w:tcPr>
          <w:p w14:paraId="0F25623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35EA2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6535B5" w14:textId="77777777" w:rsidR="00000000" w:rsidRDefault="00C1661D">
            <w:pPr>
              <w:spacing w:after="100"/>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bottom"/>
            <w:hideMark/>
          </w:tcPr>
          <w:p w14:paraId="40CA4289" w14:textId="77777777" w:rsidR="00000000" w:rsidRDefault="00C1661D">
            <w:pPr>
              <w:spacing w:after="100"/>
              <w:jc w:val="right"/>
              <w:rPr>
                <w:rFonts w:eastAsia="Times New Roman"/>
              </w:rPr>
            </w:pPr>
          </w:p>
        </w:tc>
      </w:tr>
      <w:tr w:rsidR="00000000" w14:paraId="72F3F667" w14:textId="77777777">
        <w:trPr>
          <w:divId w:val="1625890149"/>
          <w:jc w:val="center"/>
        </w:trPr>
        <w:tc>
          <w:tcPr>
            <w:tcW w:w="0" w:type="auto"/>
            <w:gridSpan w:val="3"/>
            <w:shd w:val="clear" w:color="auto" w:fill="CCEEFF"/>
            <w:tcMar>
              <w:top w:w="30" w:type="dxa"/>
              <w:left w:w="20" w:type="dxa"/>
              <w:bottom w:w="30" w:type="dxa"/>
              <w:right w:w="20" w:type="dxa"/>
            </w:tcMar>
            <w:vAlign w:val="bottom"/>
            <w:hideMark/>
          </w:tcPr>
          <w:p w14:paraId="5A6E9EA0" w14:textId="77777777" w:rsidR="00000000" w:rsidRDefault="00C1661D">
            <w:pPr>
              <w:spacing w:after="100"/>
              <w:divId w:val="162166075"/>
              <w:rPr>
                <w:rFonts w:eastAsia="Times New Roman"/>
              </w:rPr>
            </w:pPr>
            <w:r>
              <w:rPr>
                <w:rFonts w:eastAsia="Times New Roman"/>
                <w:color w:val="000000"/>
                <w:sz w:val="20"/>
                <w:szCs w:val="20"/>
              </w:rPr>
              <w:t>Cash dividends on common stock ($1.41, $1.35, and $1.31 per share, respectively)</w:t>
            </w:r>
          </w:p>
        </w:tc>
        <w:tc>
          <w:tcPr>
            <w:tcW w:w="0" w:type="auto"/>
            <w:gridSpan w:val="2"/>
            <w:shd w:val="clear" w:color="auto" w:fill="CCEEFF"/>
            <w:tcMar>
              <w:top w:w="30" w:type="dxa"/>
              <w:left w:w="20" w:type="dxa"/>
              <w:bottom w:w="30" w:type="dxa"/>
              <w:right w:w="0" w:type="dxa"/>
            </w:tcMar>
            <w:vAlign w:val="bottom"/>
            <w:hideMark/>
          </w:tcPr>
          <w:p w14:paraId="60C8560F" w14:textId="77777777" w:rsidR="00000000" w:rsidRDefault="00C1661D">
            <w:pPr>
              <w:spacing w:after="100"/>
              <w:jc w:val="right"/>
              <w:rPr>
                <w:rFonts w:eastAsia="Times New Roman"/>
              </w:rPr>
            </w:pPr>
            <w:r>
              <w:rPr>
                <w:rFonts w:eastAsia="Times New Roman"/>
                <w:color w:val="000000"/>
                <w:sz w:val="20"/>
                <w:szCs w:val="20"/>
              </w:rPr>
              <w:t>(296)</w:t>
            </w:r>
          </w:p>
        </w:tc>
        <w:tc>
          <w:tcPr>
            <w:tcW w:w="0" w:type="auto"/>
            <w:shd w:val="clear" w:color="auto" w:fill="CCEEFF"/>
            <w:tcMar>
              <w:top w:w="30" w:type="dxa"/>
              <w:left w:w="0" w:type="dxa"/>
              <w:bottom w:w="30" w:type="dxa"/>
              <w:right w:w="20" w:type="dxa"/>
            </w:tcMar>
            <w:vAlign w:val="bottom"/>
            <w:hideMark/>
          </w:tcPr>
          <w:p w14:paraId="009A79E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387C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BDD176" w14:textId="77777777" w:rsidR="00000000" w:rsidRDefault="00C1661D">
            <w:pPr>
              <w:spacing w:after="100"/>
              <w:jc w:val="right"/>
              <w:rPr>
                <w:rFonts w:eastAsia="Times New Roman"/>
              </w:rPr>
            </w:pPr>
            <w:r>
              <w:rPr>
                <w:rFonts w:eastAsia="Times New Roman"/>
                <w:color w:val="000000"/>
                <w:sz w:val="20"/>
                <w:szCs w:val="20"/>
              </w:rPr>
              <w:t>(282)</w:t>
            </w:r>
          </w:p>
        </w:tc>
        <w:tc>
          <w:tcPr>
            <w:tcW w:w="0" w:type="auto"/>
            <w:shd w:val="clear" w:color="auto" w:fill="CCEEFF"/>
            <w:tcMar>
              <w:top w:w="30" w:type="dxa"/>
              <w:left w:w="0" w:type="dxa"/>
              <w:bottom w:w="30" w:type="dxa"/>
              <w:right w:w="20" w:type="dxa"/>
            </w:tcMar>
            <w:vAlign w:val="bottom"/>
            <w:hideMark/>
          </w:tcPr>
          <w:p w14:paraId="4B19893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B0D0C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47248F" w14:textId="77777777" w:rsidR="00000000" w:rsidRDefault="00C1661D">
            <w:pPr>
              <w:spacing w:after="100"/>
              <w:jc w:val="right"/>
              <w:rPr>
                <w:rFonts w:eastAsia="Times New Roman"/>
              </w:rPr>
            </w:pPr>
            <w:r>
              <w:rPr>
                <w:rFonts w:eastAsia="Times New Roman"/>
                <w:color w:val="000000"/>
                <w:sz w:val="20"/>
                <w:szCs w:val="20"/>
              </w:rPr>
              <w:t>(273)</w:t>
            </w:r>
          </w:p>
        </w:tc>
        <w:tc>
          <w:tcPr>
            <w:tcW w:w="0" w:type="auto"/>
            <w:shd w:val="clear" w:color="auto" w:fill="CCEEFF"/>
            <w:tcMar>
              <w:top w:w="30" w:type="dxa"/>
              <w:left w:w="0" w:type="dxa"/>
              <w:bottom w:w="30" w:type="dxa"/>
              <w:right w:w="20" w:type="dxa"/>
            </w:tcMar>
            <w:vAlign w:val="bottom"/>
            <w:hideMark/>
          </w:tcPr>
          <w:p w14:paraId="0B5264DC" w14:textId="77777777" w:rsidR="00000000" w:rsidRDefault="00C1661D">
            <w:pPr>
              <w:spacing w:after="100"/>
              <w:jc w:val="right"/>
              <w:rPr>
                <w:rFonts w:eastAsia="Times New Roman"/>
              </w:rPr>
            </w:pPr>
          </w:p>
        </w:tc>
      </w:tr>
      <w:tr w:rsidR="00000000" w14:paraId="6C7E7BB4" w14:textId="77777777">
        <w:trPr>
          <w:divId w:val="1625890149"/>
          <w:jc w:val="center"/>
        </w:trPr>
        <w:tc>
          <w:tcPr>
            <w:tcW w:w="0" w:type="auto"/>
            <w:gridSpan w:val="3"/>
            <w:vAlign w:val="center"/>
            <w:hideMark/>
          </w:tcPr>
          <w:p w14:paraId="1440CD40" w14:textId="77777777" w:rsidR="00000000" w:rsidRDefault="00C1661D">
            <w:pPr>
              <w:spacing w:after="100"/>
              <w:jc w:val="right"/>
              <w:rPr>
                <w:rFonts w:eastAsia="Times New Roman"/>
                <w:sz w:val="20"/>
                <w:szCs w:val="20"/>
              </w:rPr>
            </w:pPr>
          </w:p>
        </w:tc>
        <w:tc>
          <w:tcPr>
            <w:tcW w:w="0" w:type="auto"/>
            <w:gridSpan w:val="3"/>
            <w:vAlign w:val="center"/>
            <w:hideMark/>
          </w:tcPr>
          <w:p w14:paraId="150EBF3C" w14:textId="77777777" w:rsidR="00000000" w:rsidRDefault="00C1661D">
            <w:pPr>
              <w:spacing w:after="100"/>
              <w:rPr>
                <w:rFonts w:eastAsia="Times New Roman"/>
                <w:sz w:val="20"/>
                <w:szCs w:val="20"/>
              </w:rPr>
            </w:pPr>
          </w:p>
        </w:tc>
        <w:tc>
          <w:tcPr>
            <w:tcW w:w="0" w:type="auto"/>
            <w:gridSpan w:val="3"/>
            <w:vAlign w:val="center"/>
            <w:hideMark/>
          </w:tcPr>
          <w:p w14:paraId="71CB1000" w14:textId="77777777" w:rsidR="00000000" w:rsidRDefault="00C1661D">
            <w:pPr>
              <w:spacing w:after="100"/>
              <w:rPr>
                <w:rFonts w:eastAsia="Times New Roman"/>
                <w:sz w:val="20"/>
                <w:szCs w:val="20"/>
              </w:rPr>
            </w:pPr>
          </w:p>
        </w:tc>
        <w:tc>
          <w:tcPr>
            <w:tcW w:w="0" w:type="auto"/>
            <w:gridSpan w:val="3"/>
            <w:vAlign w:val="center"/>
            <w:hideMark/>
          </w:tcPr>
          <w:p w14:paraId="1631BA7A" w14:textId="77777777" w:rsidR="00000000" w:rsidRDefault="00C1661D">
            <w:pPr>
              <w:spacing w:after="100"/>
              <w:rPr>
                <w:rFonts w:eastAsia="Times New Roman"/>
                <w:sz w:val="20"/>
                <w:szCs w:val="20"/>
              </w:rPr>
            </w:pPr>
          </w:p>
        </w:tc>
        <w:tc>
          <w:tcPr>
            <w:tcW w:w="0" w:type="auto"/>
            <w:gridSpan w:val="3"/>
            <w:vAlign w:val="center"/>
            <w:hideMark/>
          </w:tcPr>
          <w:p w14:paraId="0CCB9225" w14:textId="77777777" w:rsidR="00000000" w:rsidRDefault="00C1661D">
            <w:pPr>
              <w:spacing w:after="100"/>
              <w:rPr>
                <w:rFonts w:eastAsia="Times New Roman"/>
                <w:sz w:val="20"/>
                <w:szCs w:val="20"/>
              </w:rPr>
            </w:pPr>
          </w:p>
        </w:tc>
        <w:tc>
          <w:tcPr>
            <w:tcW w:w="0" w:type="auto"/>
            <w:gridSpan w:val="3"/>
            <w:vAlign w:val="center"/>
            <w:hideMark/>
          </w:tcPr>
          <w:p w14:paraId="78B25547" w14:textId="77777777" w:rsidR="00000000" w:rsidRDefault="00C1661D">
            <w:pPr>
              <w:spacing w:after="100"/>
              <w:rPr>
                <w:rFonts w:eastAsia="Times New Roman"/>
                <w:sz w:val="20"/>
                <w:szCs w:val="20"/>
              </w:rPr>
            </w:pPr>
          </w:p>
        </w:tc>
      </w:tr>
      <w:tr w:rsidR="00000000" w14:paraId="09BF07EC" w14:textId="77777777">
        <w:trPr>
          <w:divId w:val="1625890149"/>
          <w:jc w:val="center"/>
        </w:trPr>
        <w:tc>
          <w:tcPr>
            <w:tcW w:w="0" w:type="auto"/>
            <w:gridSpan w:val="3"/>
            <w:vAlign w:val="center"/>
            <w:hideMark/>
          </w:tcPr>
          <w:p w14:paraId="4B5C8C6B" w14:textId="77777777" w:rsidR="00000000" w:rsidRDefault="00C1661D">
            <w:pPr>
              <w:spacing w:after="100"/>
              <w:rPr>
                <w:rFonts w:eastAsia="Times New Roman"/>
                <w:sz w:val="20"/>
                <w:szCs w:val="20"/>
              </w:rPr>
            </w:pPr>
          </w:p>
        </w:tc>
        <w:tc>
          <w:tcPr>
            <w:tcW w:w="0" w:type="auto"/>
            <w:gridSpan w:val="3"/>
            <w:vAlign w:val="center"/>
            <w:hideMark/>
          </w:tcPr>
          <w:p w14:paraId="3883D198" w14:textId="77777777" w:rsidR="00000000" w:rsidRDefault="00C1661D">
            <w:pPr>
              <w:spacing w:after="100"/>
              <w:rPr>
                <w:rFonts w:eastAsia="Times New Roman"/>
                <w:sz w:val="20"/>
                <w:szCs w:val="20"/>
              </w:rPr>
            </w:pPr>
          </w:p>
        </w:tc>
        <w:tc>
          <w:tcPr>
            <w:tcW w:w="0" w:type="auto"/>
            <w:gridSpan w:val="3"/>
            <w:vAlign w:val="center"/>
            <w:hideMark/>
          </w:tcPr>
          <w:p w14:paraId="340C7D33" w14:textId="77777777" w:rsidR="00000000" w:rsidRDefault="00C1661D">
            <w:pPr>
              <w:spacing w:after="100"/>
              <w:rPr>
                <w:rFonts w:eastAsia="Times New Roman"/>
                <w:sz w:val="20"/>
                <w:szCs w:val="20"/>
              </w:rPr>
            </w:pPr>
          </w:p>
        </w:tc>
        <w:tc>
          <w:tcPr>
            <w:tcW w:w="0" w:type="auto"/>
            <w:gridSpan w:val="3"/>
            <w:vAlign w:val="center"/>
            <w:hideMark/>
          </w:tcPr>
          <w:p w14:paraId="5E2BE438" w14:textId="77777777" w:rsidR="00000000" w:rsidRDefault="00C1661D">
            <w:pPr>
              <w:spacing w:after="100"/>
              <w:rPr>
                <w:rFonts w:eastAsia="Times New Roman"/>
                <w:sz w:val="20"/>
                <w:szCs w:val="20"/>
              </w:rPr>
            </w:pPr>
          </w:p>
        </w:tc>
        <w:tc>
          <w:tcPr>
            <w:tcW w:w="0" w:type="auto"/>
            <w:gridSpan w:val="3"/>
            <w:vAlign w:val="center"/>
            <w:hideMark/>
          </w:tcPr>
          <w:p w14:paraId="54DF1840" w14:textId="77777777" w:rsidR="00000000" w:rsidRDefault="00C1661D">
            <w:pPr>
              <w:spacing w:after="100"/>
              <w:rPr>
                <w:rFonts w:eastAsia="Times New Roman"/>
                <w:sz w:val="20"/>
                <w:szCs w:val="20"/>
              </w:rPr>
            </w:pPr>
          </w:p>
        </w:tc>
        <w:tc>
          <w:tcPr>
            <w:tcW w:w="0" w:type="auto"/>
            <w:gridSpan w:val="3"/>
            <w:vAlign w:val="center"/>
            <w:hideMark/>
          </w:tcPr>
          <w:p w14:paraId="0DB23C46" w14:textId="77777777" w:rsidR="00000000" w:rsidRDefault="00C1661D">
            <w:pPr>
              <w:spacing w:after="100"/>
              <w:rPr>
                <w:rFonts w:eastAsia="Times New Roman"/>
                <w:sz w:val="20"/>
                <w:szCs w:val="20"/>
              </w:rPr>
            </w:pPr>
          </w:p>
        </w:tc>
      </w:tr>
      <w:tr w:rsidR="00000000" w14:paraId="3E0C1C34" w14:textId="77777777">
        <w:trPr>
          <w:divId w:val="1625890149"/>
          <w:jc w:val="center"/>
        </w:trPr>
        <w:tc>
          <w:tcPr>
            <w:tcW w:w="0" w:type="auto"/>
            <w:gridSpan w:val="3"/>
            <w:vAlign w:val="center"/>
            <w:hideMark/>
          </w:tcPr>
          <w:p w14:paraId="009FAEF2" w14:textId="77777777" w:rsidR="00000000" w:rsidRDefault="00C1661D">
            <w:pPr>
              <w:spacing w:after="100"/>
              <w:rPr>
                <w:rFonts w:eastAsia="Times New Roman"/>
                <w:sz w:val="20"/>
                <w:szCs w:val="20"/>
              </w:rPr>
            </w:pPr>
          </w:p>
        </w:tc>
        <w:tc>
          <w:tcPr>
            <w:tcW w:w="0" w:type="auto"/>
            <w:gridSpan w:val="3"/>
            <w:vAlign w:val="center"/>
            <w:hideMark/>
          </w:tcPr>
          <w:p w14:paraId="090734F6" w14:textId="77777777" w:rsidR="00000000" w:rsidRDefault="00C1661D">
            <w:pPr>
              <w:spacing w:after="100"/>
              <w:rPr>
                <w:rFonts w:eastAsia="Times New Roman"/>
                <w:sz w:val="20"/>
                <w:szCs w:val="20"/>
              </w:rPr>
            </w:pPr>
          </w:p>
        </w:tc>
        <w:tc>
          <w:tcPr>
            <w:tcW w:w="0" w:type="auto"/>
            <w:gridSpan w:val="3"/>
            <w:vAlign w:val="center"/>
            <w:hideMark/>
          </w:tcPr>
          <w:p w14:paraId="748779F0" w14:textId="77777777" w:rsidR="00000000" w:rsidRDefault="00C1661D">
            <w:pPr>
              <w:spacing w:after="100"/>
              <w:rPr>
                <w:rFonts w:eastAsia="Times New Roman"/>
                <w:sz w:val="20"/>
                <w:szCs w:val="20"/>
              </w:rPr>
            </w:pPr>
          </w:p>
        </w:tc>
        <w:tc>
          <w:tcPr>
            <w:tcW w:w="0" w:type="auto"/>
            <w:gridSpan w:val="3"/>
            <w:vAlign w:val="center"/>
            <w:hideMark/>
          </w:tcPr>
          <w:p w14:paraId="0C5DD6DA" w14:textId="77777777" w:rsidR="00000000" w:rsidRDefault="00C1661D">
            <w:pPr>
              <w:spacing w:after="100"/>
              <w:rPr>
                <w:rFonts w:eastAsia="Times New Roman"/>
                <w:sz w:val="20"/>
                <w:szCs w:val="20"/>
              </w:rPr>
            </w:pPr>
          </w:p>
        </w:tc>
        <w:tc>
          <w:tcPr>
            <w:tcW w:w="0" w:type="auto"/>
            <w:gridSpan w:val="3"/>
            <w:vAlign w:val="center"/>
            <w:hideMark/>
          </w:tcPr>
          <w:p w14:paraId="07081F39" w14:textId="77777777" w:rsidR="00000000" w:rsidRDefault="00C1661D">
            <w:pPr>
              <w:spacing w:after="100"/>
              <w:rPr>
                <w:rFonts w:eastAsia="Times New Roman"/>
                <w:sz w:val="20"/>
                <w:szCs w:val="20"/>
              </w:rPr>
            </w:pPr>
          </w:p>
        </w:tc>
        <w:tc>
          <w:tcPr>
            <w:tcW w:w="0" w:type="auto"/>
            <w:gridSpan w:val="3"/>
            <w:vAlign w:val="center"/>
            <w:hideMark/>
          </w:tcPr>
          <w:p w14:paraId="5DA27FC2" w14:textId="77777777" w:rsidR="00000000" w:rsidRDefault="00C1661D">
            <w:pPr>
              <w:spacing w:after="100"/>
              <w:rPr>
                <w:rFonts w:eastAsia="Times New Roman"/>
                <w:sz w:val="20"/>
                <w:szCs w:val="20"/>
              </w:rPr>
            </w:pPr>
          </w:p>
        </w:tc>
      </w:tr>
      <w:tr w:rsidR="00000000" w14:paraId="62C6F009"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71A2D1DA" w14:textId="77777777" w:rsidR="00000000" w:rsidRDefault="00C1661D">
            <w:pPr>
              <w:spacing w:after="100"/>
              <w:rPr>
                <w:rFonts w:eastAsia="Times New Roman"/>
              </w:rPr>
            </w:pPr>
            <w:r>
              <w:rPr>
                <w:rFonts w:eastAsia="Times New Roman"/>
                <w:color w:val="000000"/>
                <w:sz w:val="20"/>
                <w:szCs w:val="20"/>
              </w:rPr>
              <w:t>Losses on treasury stock transactions in connection with employee and director plans</w:t>
            </w:r>
          </w:p>
        </w:tc>
        <w:tc>
          <w:tcPr>
            <w:tcW w:w="0" w:type="auto"/>
            <w:gridSpan w:val="2"/>
            <w:shd w:val="clear" w:color="auto" w:fill="FFFFFF"/>
            <w:tcMar>
              <w:top w:w="30" w:type="dxa"/>
              <w:left w:w="20" w:type="dxa"/>
              <w:bottom w:w="30" w:type="dxa"/>
              <w:right w:w="0" w:type="dxa"/>
            </w:tcMar>
            <w:vAlign w:val="bottom"/>
            <w:hideMark/>
          </w:tcPr>
          <w:p w14:paraId="0E5985AB" w14:textId="77777777" w:rsidR="00000000" w:rsidRDefault="00C1661D">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14:paraId="1B69B32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09FA2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CEFCCB" w14:textId="77777777" w:rsidR="00000000" w:rsidRDefault="00C1661D">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14:paraId="3DC4C1E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50743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86667F" w14:textId="77777777" w:rsidR="00000000" w:rsidRDefault="00C1661D">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14:paraId="64170926" w14:textId="77777777" w:rsidR="00000000" w:rsidRDefault="00C1661D">
            <w:pPr>
              <w:spacing w:after="100"/>
              <w:jc w:val="right"/>
              <w:rPr>
                <w:rFonts w:eastAsia="Times New Roman"/>
              </w:rPr>
            </w:pPr>
          </w:p>
        </w:tc>
      </w:tr>
      <w:tr w:rsidR="00000000" w14:paraId="68CD1C97" w14:textId="77777777">
        <w:trPr>
          <w:divId w:val="1625890149"/>
          <w:jc w:val="center"/>
        </w:trPr>
        <w:tc>
          <w:tcPr>
            <w:tcW w:w="0" w:type="auto"/>
            <w:gridSpan w:val="3"/>
            <w:vAlign w:val="center"/>
            <w:hideMark/>
          </w:tcPr>
          <w:p w14:paraId="04F3856E" w14:textId="77777777" w:rsidR="00000000" w:rsidRDefault="00C1661D">
            <w:pPr>
              <w:spacing w:after="100"/>
              <w:jc w:val="right"/>
              <w:rPr>
                <w:rFonts w:eastAsia="Times New Roman"/>
                <w:sz w:val="20"/>
                <w:szCs w:val="20"/>
              </w:rPr>
            </w:pPr>
          </w:p>
        </w:tc>
        <w:tc>
          <w:tcPr>
            <w:tcW w:w="0" w:type="auto"/>
            <w:gridSpan w:val="3"/>
            <w:vAlign w:val="center"/>
            <w:hideMark/>
          </w:tcPr>
          <w:p w14:paraId="0D527F9E" w14:textId="77777777" w:rsidR="00000000" w:rsidRDefault="00C1661D">
            <w:pPr>
              <w:spacing w:after="100"/>
              <w:rPr>
                <w:rFonts w:eastAsia="Times New Roman"/>
                <w:sz w:val="20"/>
                <w:szCs w:val="20"/>
              </w:rPr>
            </w:pPr>
          </w:p>
        </w:tc>
        <w:tc>
          <w:tcPr>
            <w:tcW w:w="0" w:type="auto"/>
            <w:gridSpan w:val="3"/>
            <w:vAlign w:val="center"/>
            <w:hideMark/>
          </w:tcPr>
          <w:p w14:paraId="30F67BC8" w14:textId="77777777" w:rsidR="00000000" w:rsidRDefault="00C1661D">
            <w:pPr>
              <w:spacing w:after="100"/>
              <w:rPr>
                <w:rFonts w:eastAsia="Times New Roman"/>
                <w:sz w:val="20"/>
                <w:szCs w:val="20"/>
              </w:rPr>
            </w:pPr>
          </w:p>
        </w:tc>
        <w:tc>
          <w:tcPr>
            <w:tcW w:w="0" w:type="auto"/>
            <w:gridSpan w:val="3"/>
            <w:vAlign w:val="center"/>
            <w:hideMark/>
          </w:tcPr>
          <w:p w14:paraId="7AF78803" w14:textId="77777777" w:rsidR="00000000" w:rsidRDefault="00C1661D">
            <w:pPr>
              <w:spacing w:after="100"/>
              <w:rPr>
                <w:rFonts w:eastAsia="Times New Roman"/>
                <w:sz w:val="20"/>
                <w:szCs w:val="20"/>
              </w:rPr>
            </w:pPr>
          </w:p>
        </w:tc>
        <w:tc>
          <w:tcPr>
            <w:tcW w:w="0" w:type="auto"/>
            <w:gridSpan w:val="3"/>
            <w:vAlign w:val="center"/>
            <w:hideMark/>
          </w:tcPr>
          <w:p w14:paraId="0529CB90" w14:textId="77777777" w:rsidR="00000000" w:rsidRDefault="00C1661D">
            <w:pPr>
              <w:spacing w:after="100"/>
              <w:rPr>
                <w:rFonts w:eastAsia="Times New Roman"/>
                <w:sz w:val="20"/>
                <w:szCs w:val="20"/>
              </w:rPr>
            </w:pPr>
          </w:p>
        </w:tc>
        <w:tc>
          <w:tcPr>
            <w:tcW w:w="0" w:type="auto"/>
            <w:gridSpan w:val="3"/>
            <w:vAlign w:val="center"/>
            <w:hideMark/>
          </w:tcPr>
          <w:p w14:paraId="2F72F927" w14:textId="77777777" w:rsidR="00000000" w:rsidRDefault="00C1661D">
            <w:pPr>
              <w:spacing w:after="100"/>
              <w:rPr>
                <w:rFonts w:eastAsia="Times New Roman"/>
                <w:sz w:val="20"/>
                <w:szCs w:val="20"/>
              </w:rPr>
            </w:pPr>
          </w:p>
        </w:tc>
      </w:tr>
      <w:tr w:rsidR="00000000" w14:paraId="6EEA0039" w14:textId="77777777">
        <w:trPr>
          <w:divId w:val="1625890149"/>
          <w:jc w:val="center"/>
        </w:trPr>
        <w:tc>
          <w:tcPr>
            <w:tcW w:w="0" w:type="auto"/>
            <w:gridSpan w:val="3"/>
            <w:shd w:val="clear" w:color="auto" w:fill="CCEEFF"/>
            <w:tcMar>
              <w:top w:w="30" w:type="dxa"/>
              <w:left w:w="155" w:type="dxa"/>
              <w:bottom w:w="30" w:type="dxa"/>
              <w:right w:w="20" w:type="dxa"/>
            </w:tcMar>
            <w:vAlign w:val="bottom"/>
            <w:hideMark/>
          </w:tcPr>
          <w:p w14:paraId="1FCEBB61" w14:textId="77777777" w:rsidR="00000000" w:rsidRDefault="00C1661D">
            <w:pPr>
              <w:spacing w:after="100"/>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F728A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DF0275" w14:textId="77777777" w:rsidR="00000000" w:rsidRDefault="00C1661D">
            <w:pPr>
              <w:spacing w:after="100"/>
              <w:jc w:val="right"/>
              <w:rPr>
                <w:rFonts w:eastAsia="Times New Roman"/>
              </w:rPr>
            </w:pPr>
            <w:r>
              <w:rPr>
                <w:rFonts w:eastAsia="Times New Roman"/>
                <w:color w:val="000000"/>
                <w:sz w:val="20"/>
                <w:szCs w:val="20"/>
              </w:rPr>
              <w:t>4,841 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6E050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C435DC"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5321F9"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4B1A42" w14:textId="77777777" w:rsidR="00000000" w:rsidRDefault="00C1661D">
            <w:pPr>
              <w:spacing w:after="100"/>
              <w:jc w:val="right"/>
              <w:rPr>
                <w:rFonts w:eastAsia="Times New Roman"/>
              </w:rPr>
            </w:pPr>
            <w:r>
              <w:rPr>
                <w:rFonts w:eastAsia="Times New Roman"/>
                <w:color w:val="000000"/>
                <w:sz w:val="20"/>
                <w:szCs w:val="20"/>
              </w:rPr>
              <w:t>4,081 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3B36C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18A93"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1DDCCE"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ACAC8C" w14:textId="77777777" w:rsidR="00000000" w:rsidRDefault="00C1661D">
            <w:pPr>
              <w:spacing w:after="100"/>
              <w:jc w:val="right"/>
              <w:rPr>
                <w:rFonts w:eastAsia="Times New Roman"/>
              </w:rPr>
            </w:pPr>
            <w:r>
              <w:rPr>
                <w:rFonts w:eastAsia="Times New Roman"/>
                <w:color w:val="000000"/>
                <w:sz w:val="20"/>
                <w:szCs w:val="20"/>
              </w:rPr>
              <w:t>2,908 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6424F0" w14:textId="77777777" w:rsidR="00000000" w:rsidRDefault="00C1661D">
            <w:pPr>
              <w:spacing w:after="100"/>
              <w:jc w:val="right"/>
              <w:rPr>
                <w:rFonts w:eastAsia="Times New Roman"/>
              </w:rPr>
            </w:pPr>
          </w:p>
        </w:tc>
      </w:tr>
      <w:tr w:rsidR="00000000" w14:paraId="77B57680" w14:textId="77777777">
        <w:trPr>
          <w:divId w:val="1625890149"/>
          <w:jc w:val="center"/>
        </w:trPr>
        <w:tc>
          <w:tcPr>
            <w:tcW w:w="0" w:type="auto"/>
            <w:gridSpan w:val="3"/>
            <w:shd w:val="clear" w:color="auto" w:fill="FFFFFF"/>
            <w:tcMar>
              <w:top w:w="30" w:type="dxa"/>
              <w:left w:w="20" w:type="dxa"/>
              <w:bottom w:w="30" w:type="dxa"/>
              <w:right w:w="20" w:type="dxa"/>
            </w:tcMar>
            <w:vAlign w:val="bottom"/>
            <w:hideMark/>
          </w:tcPr>
          <w:p w14:paraId="2217806C" w14:textId="77777777" w:rsidR="00000000" w:rsidRDefault="00C1661D">
            <w:pPr>
              <w:spacing w:after="100"/>
              <w:rPr>
                <w:rFonts w:eastAsia="Times New Roman"/>
              </w:rPr>
            </w:pPr>
            <w:r>
              <w:rPr>
                <w:rFonts w:eastAsia="Times New Roman"/>
                <w:b/>
                <w:bCs/>
                <w:color w:val="000000"/>
                <w:sz w:val="20"/>
                <w:szCs w:val="20"/>
              </w:rPr>
              <w:t>Accumulated other comprehensive income (loss)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AA6707E"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E3699FE"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FBE87CD"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B6CBE34"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5C9BF1D" w14:textId="77777777" w:rsidR="00000000" w:rsidRDefault="00C1661D">
            <w:pPr>
              <w:spacing w:after="100"/>
              <w:rPr>
                <w:rFonts w:eastAsia="Times New Roman"/>
              </w:rPr>
            </w:pPr>
            <w:r>
              <w:rPr>
                <w:rFonts w:eastAsia="Times New Roman"/>
                <w:color w:val="000000"/>
                <w:sz w:val="20"/>
                <w:szCs w:val="20"/>
              </w:rPr>
              <w:t> </w:t>
            </w:r>
          </w:p>
        </w:tc>
      </w:tr>
      <w:tr w:rsidR="00000000" w14:paraId="2C3C6FAD" w14:textId="77777777">
        <w:trPr>
          <w:divId w:val="1625890149"/>
          <w:jc w:val="center"/>
        </w:trPr>
        <w:tc>
          <w:tcPr>
            <w:tcW w:w="0" w:type="auto"/>
            <w:gridSpan w:val="3"/>
            <w:shd w:val="clear" w:color="auto" w:fill="CCEEFF"/>
            <w:tcMar>
              <w:top w:w="30" w:type="dxa"/>
              <w:left w:w="155" w:type="dxa"/>
              <w:bottom w:w="30" w:type="dxa"/>
              <w:right w:w="20" w:type="dxa"/>
            </w:tcMar>
            <w:vAlign w:val="bottom"/>
            <w:hideMark/>
          </w:tcPr>
          <w:p w14:paraId="07900AD5" w14:textId="77777777" w:rsidR="00000000" w:rsidRDefault="00C1661D">
            <w:pPr>
              <w:spacing w:after="100"/>
              <w:rPr>
                <w:rFonts w:eastAsia="Times New Roman"/>
              </w:rPr>
            </w:pPr>
            <w:r>
              <w:rPr>
                <w:rFonts w:eastAsia="Times New Roman"/>
                <w:color w:val="000000"/>
                <w:sz w:val="20"/>
                <w:szCs w:val="20"/>
              </w:rPr>
              <w:t>Balance, beginning of year</w:t>
            </w:r>
          </w:p>
        </w:tc>
        <w:tc>
          <w:tcPr>
            <w:tcW w:w="0" w:type="auto"/>
            <w:shd w:val="clear" w:color="auto" w:fill="CCEEFF"/>
            <w:tcMar>
              <w:top w:w="30" w:type="dxa"/>
              <w:left w:w="20" w:type="dxa"/>
              <w:bottom w:w="30" w:type="dxa"/>
              <w:right w:w="0" w:type="dxa"/>
            </w:tcMar>
            <w:vAlign w:val="bottom"/>
            <w:hideMark/>
          </w:tcPr>
          <w:p w14:paraId="3BFC4A7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C0D2AD" w14:textId="77777777" w:rsidR="00000000" w:rsidRDefault="00C1661D">
            <w:pPr>
              <w:spacing w:after="100"/>
              <w:jc w:val="right"/>
              <w:rPr>
                <w:rFonts w:eastAsia="Times New Roman"/>
              </w:rPr>
            </w:pPr>
            <w:r>
              <w:rPr>
                <w:rFonts w:eastAsia="Times New Roman"/>
                <w:color w:val="000000"/>
                <w:sz w:val="20"/>
                <w:szCs w:val="20"/>
              </w:rPr>
              <w:t>(140)</w:t>
            </w:r>
          </w:p>
        </w:tc>
        <w:tc>
          <w:tcPr>
            <w:tcW w:w="0" w:type="auto"/>
            <w:shd w:val="clear" w:color="auto" w:fill="CCEEFF"/>
            <w:tcMar>
              <w:top w:w="30" w:type="dxa"/>
              <w:left w:w="0" w:type="dxa"/>
              <w:bottom w:w="30" w:type="dxa"/>
              <w:right w:w="20" w:type="dxa"/>
            </w:tcMar>
            <w:vAlign w:val="bottom"/>
            <w:hideMark/>
          </w:tcPr>
          <w:p w14:paraId="785F19D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6EB1D4"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8A90DB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88047DB" w14:textId="77777777" w:rsidR="00000000" w:rsidRDefault="00C1661D">
            <w:pPr>
              <w:spacing w:after="100"/>
              <w:jc w:val="right"/>
              <w:rPr>
                <w:rFonts w:eastAsia="Times New Roman"/>
              </w:rPr>
            </w:pPr>
            <w:r>
              <w:rPr>
                <w:rFonts w:eastAsia="Times New Roman"/>
                <w:color w:val="000000"/>
                <w:sz w:val="20"/>
                <w:szCs w:val="20"/>
              </w:rPr>
              <w:t>(147)</w:t>
            </w:r>
          </w:p>
        </w:tc>
        <w:tc>
          <w:tcPr>
            <w:tcW w:w="0" w:type="auto"/>
            <w:shd w:val="clear" w:color="auto" w:fill="CCEEFF"/>
            <w:tcMar>
              <w:top w:w="30" w:type="dxa"/>
              <w:left w:w="0" w:type="dxa"/>
              <w:bottom w:w="30" w:type="dxa"/>
              <w:right w:w="20" w:type="dxa"/>
            </w:tcMar>
            <w:vAlign w:val="bottom"/>
            <w:hideMark/>
          </w:tcPr>
          <w:p w14:paraId="3C51415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44D44B"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F90F65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486C08" w14:textId="77777777" w:rsidR="00000000" w:rsidRDefault="00C1661D">
            <w:pPr>
              <w:spacing w:after="100"/>
              <w:jc w:val="right"/>
              <w:rPr>
                <w:rFonts w:eastAsia="Times New Roman"/>
              </w:rPr>
            </w:pPr>
            <w:r>
              <w:rPr>
                <w:rFonts w:eastAsia="Times New Roman"/>
                <w:color w:val="000000"/>
                <w:sz w:val="20"/>
                <w:szCs w:val="20"/>
              </w:rPr>
              <w:t>(217)</w:t>
            </w:r>
          </w:p>
        </w:tc>
        <w:tc>
          <w:tcPr>
            <w:tcW w:w="0" w:type="auto"/>
            <w:shd w:val="clear" w:color="auto" w:fill="CCEEFF"/>
            <w:tcMar>
              <w:top w:w="30" w:type="dxa"/>
              <w:left w:w="0" w:type="dxa"/>
              <w:bottom w:w="30" w:type="dxa"/>
              <w:right w:w="20" w:type="dxa"/>
            </w:tcMar>
            <w:vAlign w:val="bottom"/>
            <w:hideMark/>
          </w:tcPr>
          <w:p w14:paraId="606560B8" w14:textId="77777777" w:rsidR="00000000" w:rsidRDefault="00C1661D">
            <w:pPr>
              <w:spacing w:after="100"/>
              <w:jc w:val="right"/>
              <w:rPr>
                <w:rFonts w:eastAsia="Times New Roman"/>
              </w:rPr>
            </w:pPr>
          </w:p>
        </w:tc>
      </w:tr>
      <w:tr w:rsidR="00000000" w14:paraId="62A7CBB8" w14:textId="77777777">
        <w:trPr>
          <w:divId w:val="1625890149"/>
          <w:jc w:val="center"/>
        </w:trPr>
        <w:tc>
          <w:tcPr>
            <w:tcW w:w="0" w:type="auto"/>
            <w:gridSpan w:val="3"/>
            <w:vAlign w:val="center"/>
            <w:hideMark/>
          </w:tcPr>
          <w:p w14:paraId="25950ADA" w14:textId="77777777" w:rsidR="00000000" w:rsidRDefault="00C1661D">
            <w:pPr>
              <w:spacing w:after="100"/>
              <w:jc w:val="right"/>
              <w:rPr>
                <w:rFonts w:eastAsia="Times New Roman"/>
                <w:sz w:val="20"/>
                <w:szCs w:val="20"/>
              </w:rPr>
            </w:pPr>
          </w:p>
        </w:tc>
        <w:tc>
          <w:tcPr>
            <w:tcW w:w="0" w:type="auto"/>
            <w:gridSpan w:val="3"/>
            <w:vAlign w:val="center"/>
            <w:hideMark/>
          </w:tcPr>
          <w:p w14:paraId="61CE2037" w14:textId="77777777" w:rsidR="00000000" w:rsidRDefault="00C1661D">
            <w:pPr>
              <w:spacing w:after="100"/>
              <w:rPr>
                <w:rFonts w:eastAsia="Times New Roman"/>
                <w:sz w:val="20"/>
                <w:szCs w:val="20"/>
              </w:rPr>
            </w:pPr>
          </w:p>
        </w:tc>
        <w:tc>
          <w:tcPr>
            <w:tcW w:w="0" w:type="auto"/>
            <w:gridSpan w:val="3"/>
            <w:vAlign w:val="center"/>
            <w:hideMark/>
          </w:tcPr>
          <w:p w14:paraId="3BB6C1B6" w14:textId="77777777" w:rsidR="00000000" w:rsidRDefault="00C1661D">
            <w:pPr>
              <w:spacing w:after="100"/>
              <w:rPr>
                <w:rFonts w:eastAsia="Times New Roman"/>
                <w:sz w:val="20"/>
                <w:szCs w:val="20"/>
              </w:rPr>
            </w:pPr>
          </w:p>
        </w:tc>
        <w:tc>
          <w:tcPr>
            <w:tcW w:w="0" w:type="auto"/>
            <w:gridSpan w:val="3"/>
            <w:vAlign w:val="center"/>
            <w:hideMark/>
          </w:tcPr>
          <w:p w14:paraId="6D3233E3" w14:textId="77777777" w:rsidR="00000000" w:rsidRDefault="00C1661D">
            <w:pPr>
              <w:spacing w:after="100"/>
              <w:rPr>
                <w:rFonts w:eastAsia="Times New Roman"/>
                <w:sz w:val="20"/>
                <w:szCs w:val="20"/>
              </w:rPr>
            </w:pPr>
          </w:p>
        </w:tc>
        <w:tc>
          <w:tcPr>
            <w:tcW w:w="0" w:type="auto"/>
            <w:gridSpan w:val="3"/>
            <w:vAlign w:val="center"/>
            <w:hideMark/>
          </w:tcPr>
          <w:p w14:paraId="39FD8453" w14:textId="77777777" w:rsidR="00000000" w:rsidRDefault="00C1661D">
            <w:pPr>
              <w:spacing w:after="100"/>
              <w:rPr>
                <w:rFonts w:eastAsia="Times New Roman"/>
                <w:sz w:val="20"/>
                <w:szCs w:val="20"/>
              </w:rPr>
            </w:pPr>
          </w:p>
        </w:tc>
        <w:tc>
          <w:tcPr>
            <w:tcW w:w="0" w:type="auto"/>
            <w:gridSpan w:val="3"/>
            <w:vAlign w:val="center"/>
            <w:hideMark/>
          </w:tcPr>
          <w:p w14:paraId="4DCA3D8B" w14:textId="77777777" w:rsidR="00000000" w:rsidRDefault="00C1661D">
            <w:pPr>
              <w:spacing w:after="100"/>
              <w:rPr>
                <w:rFonts w:eastAsia="Times New Roman"/>
                <w:sz w:val="20"/>
                <w:szCs w:val="20"/>
              </w:rPr>
            </w:pPr>
          </w:p>
        </w:tc>
      </w:tr>
      <w:tr w:rsidR="00000000" w14:paraId="3DDA5B29"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5A3F43F5" w14:textId="77777777" w:rsidR="00000000" w:rsidRDefault="00C1661D">
            <w:pPr>
              <w:spacing w:after="100"/>
              <w:rPr>
                <w:rFonts w:eastAsia="Times New Roman"/>
              </w:rPr>
            </w:pPr>
            <w:r>
              <w:rPr>
                <w:rFonts w:eastAsia="Times New Roman"/>
                <w:color w:val="000000"/>
                <w:sz w:val="20"/>
                <w:szCs w:val="20"/>
              </w:rPr>
              <w:t>Net gains (losses) on derivative instruments</w:t>
            </w:r>
          </w:p>
        </w:tc>
        <w:tc>
          <w:tcPr>
            <w:tcW w:w="0" w:type="auto"/>
            <w:gridSpan w:val="2"/>
            <w:shd w:val="clear" w:color="auto" w:fill="FFFFFF"/>
            <w:tcMar>
              <w:top w:w="30" w:type="dxa"/>
              <w:left w:w="20" w:type="dxa"/>
              <w:bottom w:w="30" w:type="dxa"/>
              <w:right w:w="0" w:type="dxa"/>
            </w:tcMar>
            <w:vAlign w:val="bottom"/>
            <w:hideMark/>
          </w:tcPr>
          <w:p w14:paraId="481F0058" w14:textId="77777777" w:rsidR="00000000" w:rsidRDefault="00C1661D">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14:paraId="685D10D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5C4FB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6AF51F"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0F4A97B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AAAE6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F09ED9" w14:textId="77777777" w:rsidR="00000000" w:rsidRDefault="00C1661D">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14:paraId="330ABBFB" w14:textId="77777777" w:rsidR="00000000" w:rsidRDefault="00C1661D">
            <w:pPr>
              <w:spacing w:after="100"/>
              <w:jc w:val="right"/>
              <w:rPr>
                <w:rFonts w:eastAsia="Times New Roman"/>
              </w:rPr>
            </w:pPr>
          </w:p>
        </w:tc>
      </w:tr>
      <w:tr w:rsidR="00000000" w14:paraId="33896B7C" w14:textId="77777777">
        <w:trPr>
          <w:divId w:val="1625890149"/>
          <w:jc w:val="center"/>
        </w:trPr>
        <w:tc>
          <w:tcPr>
            <w:tcW w:w="0" w:type="auto"/>
            <w:gridSpan w:val="3"/>
            <w:shd w:val="clear" w:color="auto" w:fill="CCEEFF"/>
            <w:tcMar>
              <w:top w:w="30" w:type="dxa"/>
              <w:left w:w="155" w:type="dxa"/>
              <w:bottom w:w="30" w:type="dxa"/>
              <w:right w:w="20" w:type="dxa"/>
            </w:tcMar>
            <w:vAlign w:val="bottom"/>
            <w:hideMark/>
          </w:tcPr>
          <w:p w14:paraId="7CE7F89A" w14:textId="77777777" w:rsidR="00000000" w:rsidRDefault="00C1661D">
            <w:pPr>
              <w:spacing w:after="100"/>
              <w:rPr>
                <w:rFonts w:eastAsia="Times New Roman"/>
              </w:rPr>
            </w:pPr>
            <w:r>
              <w:rPr>
                <w:rFonts w:eastAsia="Times New Roman"/>
                <w:color w:val="000000"/>
                <w:sz w:val="20"/>
                <w:szCs w:val="20"/>
              </w:rPr>
              <w:t>Reclassification of net losses on derivative instruments</w:t>
            </w:r>
          </w:p>
        </w:tc>
        <w:tc>
          <w:tcPr>
            <w:tcW w:w="0" w:type="auto"/>
            <w:gridSpan w:val="2"/>
            <w:shd w:val="clear" w:color="auto" w:fill="CCEEFF"/>
            <w:tcMar>
              <w:top w:w="30" w:type="dxa"/>
              <w:left w:w="20" w:type="dxa"/>
              <w:bottom w:w="30" w:type="dxa"/>
              <w:right w:w="0" w:type="dxa"/>
            </w:tcMar>
            <w:vAlign w:val="bottom"/>
            <w:hideMark/>
          </w:tcPr>
          <w:p w14:paraId="6A391B70" w14:textId="77777777" w:rsidR="00000000" w:rsidRDefault="00C1661D">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2BDE7C5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54071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A0EB20" w14:textId="77777777" w:rsidR="00000000" w:rsidRDefault="00C1661D">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3B69087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75740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F1D582" w14:textId="77777777" w:rsidR="00000000" w:rsidRDefault="00C1661D">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7B98E4AB" w14:textId="77777777" w:rsidR="00000000" w:rsidRDefault="00C1661D">
            <w:pPr>
              <w:spacing w:after="100"/>
              <w:jc w:val="right"/>
              <w:rPr>
                <w:rFonts w:eastAsia="Times New Roman"/>
              </w:rPr>
            </w:pPr>
          </w:p>
        </w:tc>
      </w:tr>
      <w:tr w:rsidR="00000000" w14:paraId="7BFADF4B"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39ED3529" w14:textId="77777777" w:rsidR="00000000" w:rsidRDefault="00C1661D">
            <w:pPr>
              <w:spacing w:after="100"/>
              <w:rPr>
                <w:rFonts w:eastAsia="Times New Roman"/>
              </w:rPr>
            </w:pPr>
            <w:r>
              <w:rPr>
                <w:rFonts w:eastAsia="Times New Roman"/>
                <w:color w:val="000000"/>
                <w:sz w:val="20"/>
                <w:szCs w:val="20"/>
              </w:rPr>
              <w:t>Benefit plans, principally actuarial gains (losses)</w:t>
            </w:r>
          </w:p>
        </w:tc>
        <w:tc>
          <w:tcPr>
            <w:tcW w:w="0" w:type="auto"/>
            <w:gridSpan w:val="2"/>
            <w:shd w:val="clear" w:color="auto" w:fill="FFFFFF"/>
            <w:tcMar>
              <w:top w:w="30" w:type="dxa"/>
              <w:left w:w="20" w:type="dxa"/>
              <w:bottom w:w="30" w:type="dxa"/>
              <w:right w:w="0" w:type="dxa"/>
            </w:tcMar>
            <w:vAlign w:val="bottom"/>
            <w:hideMark/>
          </w:tcPr>
          <w:p w14:paraId="5C1D39D0" w14:textId="77777777" w:rsidR="00000000" w:rsidRDefault="00C1661D">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14:paraId="683FCB2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62B61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F19A41" w14:textId="77777777" w:rsidR="00000000" w:rsidRDefault="00C1661D">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02B7851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A405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021F4C" w14:textId="77777777" w:rsidR="00000000" w:rsidRDefault="00C1661D">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4277761C" w14:textId="77777777" w:rsidR="00000000" w:rsidRDefault="00C1661D">
            <w:pPr>
              <w:spacing w:after="100"/>
              <w:jc w:val="right"/>
              <w:rPr>
                <w:rFonts w:eastAsia="Times New Roman"/>
              </w:rPr>
            </w:pPr>
          </w:p>
        </w:tc>
      </w:tr>
      <w:tr w:rsidR="00000000" w14:paraId="6AB41033" w14:textId="77777777">
        <w:trPr>
          <w:divId w:val="1625890149"/>
          <w:jc w:val="center"/>
        </w:trPr>
        <w:tc>
          <w:tcPr>
            <w:tcW w:w="0" w:type="auto"/>
            <w:gridSpan w:val="3"/>
            <w:shd w:val="clear" w:color="auto" w:fill="CCEEFF"/>
            <w:tcMar>
              <w:top w:w="30" w:type="dxa"/>
              <w:left w:w="155" w:type="dxa"/>
              <w:bottom w:w="30" w:type="dxa"/>
              <w:right w:w="20" w:type="dxa"/>
            </w:tcMar>
            <w:vAlign w:val="bottom"/>
            <w:hideMark/>
          </w:tcPr>
          <w:p w14:paraId="62553941" w14:textId="77777777" w:rsidR="00000000" w:rsidRDefault="00C1661D">
            <w:pPr>
              <w:spacing w:after="100"/>
              <w:rPr>
                <w:rFonts w:eastAsia="Times New Roman"/>
              </w:rPr>
            </w:pPr>
            <w:r>
              <w:rPr>
                <w:rFonts w:eastAsia="Times New Roman"/>
                <w:color w:val="000000"/>
                <w:sz w:val="20"/>
                <w:szCs w:val="20"/>
              </w:rPr>
              <w:t>Reclassification of benefit plans actuarial losses and net prior service benefits</w:t>
            </w:r>
          </w:p>
        </w:tc>
        <w:tc>
          <w:tcPr>
            <w:tcW w:w="0" w:type="auto"/>
            <w:gridSpan w:val="2"/>
            <w:shd w:val="clear" w:color="auto" w:fill="CCEEFF"/>
            <w:tcMar>
              <w:top w:w="30" w:type="dxa"/>
              <w:left w:w="20" w:type="dxa"/>
              <w:bottom w:w="30" w:type="dxa"/>
              <w:right w:w="0" w:type="dxa"/>
            </w:tcMar>
            <w:vAlign w:val="bottom"/>
            <w:hideMark/>
          </w:tcPr>
          <w:p w14:paraId="7A8259F0"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75C1388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A2AC6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BD7E2E"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3F9E877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C001D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13DA51"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48AB3243" w14:textId="77777777" w:rsidR="00000000" w:rsidRDefault="00C1661D">
            <w:pPr>
              <w:spacing w:after="100"/>
              <w:jc w:val="right"/>
              <w:rPr>
                <w:rFonts w:eastAsia="Times New Roman"/>
              </w:rPr>
            </w:pPr>
          </w:p>
        </w:tc>
      </w:tr>
      <w:tr w:rsidR="00000000" w14:paraId="0ABCC61B" w14:textId="77777777">
        <w:trPr>
          <w:divId w:val="1625890149"/>
          <w:jc w:val="center"/>
        </w:trPr>
        <w:tc>
          <w:tcPr>
            <w:tcW w:w="0" w:type="auto"/>
            <w:gridSpan w:val="3"/>
            <w:vAlign w:val="center"/>
            <w:hideMark/>
          </w:tcPr>
          <w:p w14:paraId="18DE68E5" w14:textId="77777777" w:rsidR="00000000" w:rsidRDefault="00C1661D">
            <w:pPr>
              <w:spacing w:after="100"/>
              <w:jc w:val="right"/>
              <w:rPr>
                <w:rFonts w:eastAsia="Times New Roman"/>
                <w:sz w:val="20"/>
                <w:szCs w:val="20"/>
              </w:rPr>
            </w:pPr>
          </w:p>
        </w:tc>
        <w:tc>
          <w:tcPr>
            <w:tcW w:w="0" w:type="auto"/>
            <w:gridSpan w:val="3"/>
            <w:vAlign w:val="center"/>
            <w:hideMark/>
          </w:tcPr>
          <w:p w14:paraId="276AD00A" w14:textId="77777777" w:rsidR="00000000" w:rsidRDefault="00C1661D">
            <w:pPr>
              <w:spacing w:after="100"/>
              <w:rPr>
                <w:rFonts w:eastAsia="Times New Roman"/>
                <w:sz w:val="20"/>
                <w:szCs w:val="20"/>
              </w:rPr>
            </w:pPr>
          </w:p>
        </w:tc>
        <w:tc>
          <w:tcPr>
            <w:tcW w:w="0" w:type="auto"/>
            <w:gridSpan w:val="3"/>
            <w:vAlign w:val="center"/>
            <w:hideMark/>
          </w:tcPr>
          <w:p w14:paraId="47BBE7F9" w14:textId="77777777" w:rsidR="00000000" w:rsidRDefault="00C1661D">
            <w:pPr>
              <w:spacing w:after="100"/>
              <w:rPr>
                <w:rFonts w:eastAsia="Times New Roman"/>
                <w:sz w:val="20"/>
                <w:szCs w:val="20"/>
              </w:rPr>
            </w:pPr>
          </w:p>
        </w:tc>
        <w:tc>
          <w:tcPr>
            <w:tcW w:w="0" w:type="auto"/>
            <w:gridSpan w:val="3"/>
            <w:vAlign w:val="center"/>
            <w:hideMark/>
          </w:tcPr>
          <w:p w14:paraId="0EBF1B38" w14:textId="77777777" w:rsidR="00000000" w:rsidRDefault="00C1661D">
            <w:pPr>
              <w:spacing w:after="100"/>
              <w:rPr>
                <w:rFonts w:eastAsia="Times New Roman"/>
                <w:sz w:val="20"/>
                <w:szCs w:val="20"/>
              </w:rPr>
            </w:pPr>
          </w:p>
        </w:tc>
        <w:tc>
          <w:tcPr>
            <w:tcW w:w="0" w:type="auto"/>
            <w:gridSpan w:val="3"/>
            <w:vAlign w:val="center"/>
            <w:hideMark/>
          </w:tcPr>
          <w:p w14:paraId="5483EC10" w14:textId="77777777" w:rsidR="00000000" w:rsidRDefault="00C1661D">
            <w:pPr>
              <w:spacing w:after="100"/>
              <w:rPr>
                <w:rFonts w:eastAsia="Times New Roman"/>
                <w:sz w:val="20"/>
                <w:szCs w:val="20"/>
              </w:rPr>
            </w:pPr>
          </w:p>
        </w:tc>
        <w:tc>
          <w:tcPr>
            <w:tcW w:w="0" w:type="auto"/>
            <w:gridSpan w:val="3"/>
            <w:vAlign w:val="center"/>
            <w:hideMark/>
          </w:tcPr>
          <w:p w14:paraId="64040EE8" w14:textId="77777777" w:rsidR="00000000" w:rsidRDefault="00C1661D">
            <w:pPr>
              <w:spacing w:after="100"/>
              <w:rPr>
                <w:rFonts w:eastAsia="Times New Roman"/>
                <w:sz w:val="20"/>
                <w:szCs w:val="20"/>
              </w:rPr>
            </w:pPr>
          </w:p>
        </w:tc>
      </w:tr>
      <w:tr w:rsidR="00000000" w14:paraId="7B787B2E"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0708BBE6" w14:textId="77777777" w:rsidR="00000000" w:rsidRDefault="00C1661D">
            <w:pPr>
              <w:spacing w:after="100"/>
              <w:rPr>
                <w:rFonts w:eastAsia="Times New Roman"/>
              </w:rPr>
            </w:pPr>
            <w:r>
              <w:rPr>
                <w:rFonts w:eastAsia="Times New Roman"/>
                <w:color w:val="000000"/>
                <w:sz w:val="20"/>
                <w:szCs w:val="20"/>
              </w:rPr>
              <w:t>Foreign currency (losses) gains on long-term intra-company transactions</w:t>
            </w:r>
          </w:p>
        </w:tc>
        <w:tc>
          <w:tcPr>
            <w:tcW w:w="0" w:type="auto"/>
            <w:gridSpan w:val="2"/>
            <w:shd w:val="clear" w:color="auto" w:fill="FFFFFF"/>
            <w:tcMar>
              <w:top w:w="30" w:type="dxa"/>
              <w:left w:w="20" w:type="dxa"/>
              <w:bottom w:w="30" w:type="dxa"/>
              <w:right w:w="0" w:type="dxa"/>
            </w:tcMar>
            <w:vAlign w:val="bottom"/>
            <w:hideMark/>
          </w:tcPr>
          <w:p w14:paraId="751D21F8" w14:textId="77777777" w:rsidR="00000000" w:rsidRDefault="00C1661D">
            <w:pPr>
              <w:spacing w:after="100"/>
              <w:jc w:val="right"/>
              <w:rPr>
                <w:rFonts w:eastAsia="Times New Roman"/>
              </w:rPr>
            </w:pPr>
            <w:r>
              <w:rPr>
                <w:rFonts w:eastAsia="Times New Roman"/>
                <w:color w:val="000000"/>
                <w:sz w:val="20"/>
                <w:szCs w:val="20"/>
              </w:rPr>
              <w:t>(148)</w:t>
            </w:r>
          </w:p>
        </w:tc>
        <w:tc>
          <w:tcPr>
            <w:tcW w:w="0" w:type="auto"/>
            <w:shd w:val="clear" w:color="auto" w:fill="FFFFFF"/>
            <w:tcMar>
              <w:top w:w="30" w:type="dxa"/>
              <w:left w:w="0" w:type="dxa"/>
              <w:bottom w:w="30" w:type="dxa"/>
              <w:right w:w="20" w:type="dxa"/>
            </w:tcMar>
            <w:vAlign w:val="bottom"/>
            <w:hideMark/>
          </w:tcPr>
          <w:p w14:paraId="79AD28D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05BD9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463354" w14:textId="77777777" w:rsidR="00000000" w:rsidRDefault="00C1661D">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14:paraId="362BD43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79236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4F6BE7" w14:textId="77777777" w:rsidR="00000000" w:rsidRDefault="00C1661D">
            <w:pPr>
              <w:spacing w:after="100"/>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14:paraId="15EB35B7" w14:textId="77777777" w:rsidR="00000000" w:rsidRDefault="00C1661D">
            <w:pPr>
              <w:spacing w:after="100"/>
              <w:jc w:val="right"/>
              <w:rPr>
                <w:rFonts w:eastAsia="Times New Roman"/>
              </w:rPr>
            </w:pPr>
          </w:p>
        </w:tc>
      </w:tr>
      <w:tr w:rsidR="00000000" w14:paraId="6E470220" w14:textId="77777777">
        <w:trPr>
          <w:divId w:val="1625890149"/>
          <w:jc w:val="center"/>
        </w:trPr>
        <w:tc>
          <w:tcPr>
            <w:tcW w:w="0" w:type="auto"/>
            <w:gridSpan w:val="3"/>
            <w:shd w:val="clear" w:color="auto" w:fill="CCEEFF"/>
            <w:tcMar>
              <w:top w:w="30" w:type="dxa"/>
              <w:left w:w="155" w:type="dxa"/>
              <w:bottom w:w="30" w:type="dxa"/>
              <w:right w:w="20" w:type="dxa"/>
            </w:tcMar>
            <w:vAlign w:val="bottom"/>
            <w:hideMark/>
          </w:tcPr>
          <w:p w14:paraId="581A7B69" w14:textId="77777777" w:rsidR="00000000" w:rsidRDefault="00C1661D">
            <w:pPr>
              <w:spacing w:after="100"/>
              <w:rPr>
                <w:rFonts w:eastAsia="Times New Roman"/>
              </w:rPr>
            </w:pPr>
            <w:r>
              <w:rPr>
                <w:rFonts w:eastAsia="Times New Roman"/>
                <w:color w:val="000000"/>
                <w:sz w:val="20"/>
                <w:szCs w:val="20"/>
              </w:rPr>
              <w:t>Foreign currency translation adjustments</w:t>
            </w:r>
          </w:p>
        </w:tc>
        <w:tc>
          <w:tcPr>
            <w:tcW w:w="0" w:type="auto"/>
            <w:gridSpan w:val="2"/>
            <w:shd w:val="clear" w:color="auto" w:fill="CCEEFF"/>
            <w:tcMar>
              <w:top w:w="30" w:type="dxa"/>
              <w:left w:w="20" w:type="dxa"/>
              <w:bottom w:w="30" w:type="dxa"/>
              <w:right w:w="0" w:type="dxa"/>
            </w:tcMar>
            <w:vAlign w:val="bottom"/>
            <w:hideMark/>
          </w:tcPr>
          <w:p w14:paraId="0AFD53F9" w14:textId="77777777" w:rsidR="00000000" w:rsidRDefault="00C1661D">
            <w:pPr>
              <w:spacing w:after="100"/>
              <w:jc w:val="right"/>
              <w:rPr>
                <w:rFonts w:eastAsia="Times New Roman"/>
              </w:rPr>
            </w:pPr>
            <w:r>
              <w:rPr>
                <w:rFonts w:eastAsia="Times New Roman"/>
                <w:color w:val="000000"/>
                <w:sz w:val="20"/>
                <w:szCs w:val="20"/>
              </w:rPr>
              <w:t>(193)</w:t>
            </w:r>
          </w:p>
        </w:tc>
        <w:tc>
          <w:tcPr>
            <w:tcW w:w="0" w:type="auto"/>
            <w:shd w:val="clear" w:color="auto" w:fill="CCEEFF"/>
            <w:tcMar>
              <w:top w:w="30" w:type="dxa"/>
              <w:left w:w="0" w:type="dxa"/>
              <w:bottom w:w="30" w:type="dxa"/>
              <w:right w:w="20" w:type="dxa"/>
            </w:tcMar>
            <w:vAlign w:val="bottom"/>
            <w:hideMark/>
          </w:tcPr>
          <w:p w14:paraId="338B2F5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A47CD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571D14" w14:textId="77777777" w:rsidR="00000000" w:rsidRDefault="00C1661D">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14:paraId="6B03463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AA279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BDA3E5" w14:textId="77777777" w:rsidR="00000000" w:rsidRDefault="00C1661D">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67457283" w14:textId="77777777" w:rsidR="00000000" w:rsidRDefault="00C1661D">
            <w:pPr>
              <w:spacing w:after="100"/>
              <w:jc w:val="right"/>
              <w:rPr>
                <w:rFonts w:eastAsia="Times New Roman"/>
              </w:rPr>
            </w:pPr>
          </w:p>
        </w:tc>
      </w:tr>
      <w:tr w:rsidR="00000000" w14:paraId="7CF073EA"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35296D1A" w14:textId="77777777" w:rsidR="00000000" w:rsidRDefault="00C1661D">
            <w:pPr>
              <w:spacing w:after="100"/>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14B527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1A68448" w14:textId="77777777" w:rsidR="00000000" w:rsidRDefault="00C1661D">
            <w:pPr>
              <w:spacing w:after="100"/>
              <w:jc w:val="right"/>
              <w:rPr>
                <w:rFonts w:eastAsia="Times New Roman"/>
              </w:rPr>
            </w:pPr>
            <w:r>
              <w:rPr>
                <w:rFonts w:eastAsia="Times New Roman"/>
                <w:color w:val="000000"/>
                <w:sz w:val="20"/>
                <w:szCs w:val="20"/>
              </w:rPr>
              <w:t>(380)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2D7FB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898D36"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FB228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67E9E3" w14:textId="77777777" w:rsidR="00000000" w:rsidRDefault="00C1661D">
            <w:pPr>
              <w:spacing w:after="100"/>
              <w:jc w:val="right"/>
              <w:rPr>
                <w:rFonts w:eastAsia="Times New Roman"/>
              </w:rPr>
            </w:pPr>
            <w:r>
              <w:rPr>
                <w:rFonts w:eastAsia="Times New Roman"/>
                <w:color w:val="000000"/>
                <w:sz w:val="20"/>
                <w:szCs w:val="20"/>
              </w:rPr>
              <w:t>(140)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846B5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164264"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CFDDE1A"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3E7B50" w14:textId="77777777" w:rsidR="00000000" w:rsidRDefault="00C1661D">
            <w:pPr>
              <w:spacing w:after="100"/>
              <w:jc w:val="right"/>
              <w:rPr>
                <w:rFonts w:eastAsia="Times New Roman"/>
              </w:rPr>
            </w:pPr>
            <w:r>
              <w:rPr>
                <w:rFonts w:eastAsia="Times New Roman"/>
                <w:color w:val="000000"/>
                <w:sz w:val="20"/>
                <w:szCs w:val="20"/>
              </w:rPr>
              <w:t>(147)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0D8D3F" w14:textId="77777777" w:rsidR="00000000" w:rsidRDefault="00C1661D">
            <w:pPr>
              <w:spacing w:after="100"/>
              <w:jc w:val="right"/>
              <w:rPr>
                <w:rFonts w:eastAsia="Times New Roman"/>
              </w:rPr>
            </w:pPr>
          </w:p>
        </w:tc>
      </w:tr>
      <w:tr w:rsidR="00000000" w14:paraId="63CC1DCB" w14:textId="77777777">
        <w:trPr>
          <w:divId w:val="1625890149"/>
          <w:jc w:val="center"/>
        </w:trPr>
        <w:tc>
          <w:tcPr>
            <w:tcW w:w="0" w:type="auto"/>
            <w:gridSpan w:val="3"/>
            <w:shd w:val="clear" w:color="auto" w:fill="CCEEFF"/>
            <w:tcMar>
              <w:top w:w="30" w:type="dxa"/>
              <w:left w:w="20" w:type="dxa"/>
              <w:bottom w:w="30" w:type="dxa"/>
              <w:right w:w="20" w:type="dxa"/>
            </w:tcMar>
            <w:vAlign w:val="bottom"/>
            <w:hideMark/>
          </w:tcPr>
          <w:p w14:paraId="2F9BC388" w14:textId="77777777" w:rsidR="00000000" w:rsidRDefault="00C1661D">
            <w:pPr>
              <w:spacing w:after="100"/>
              <w:rPr>
                <w:rFonts w:eastAsia="Times New Roman"/>
              </w:rPr>
            </w:pPr>
            <w:r>
              <w:rPr>
                <w:rFonts w:eastAsia="Times New Roman"/>
                <w:b/>
                <w:bCs/>
                <w:color w:val="000000"/>
                <w:sz w:val="20"/>
                <w:szCs w:val="20"/>
              </w:rPr>
              <w:t>Treasury stock</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5A90510"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033E352"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1A49696"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231AB25"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67F7C31" w14:textId="77777777" w:rsidR="00000000" w:rsidRDefault="00C1661D">
            <w:pPr>
              <w:spacing w:after="100"/>
              <w:rPr>
                <w:rFonts w:eastAsia="Times New Roman"/>
              </w:rPr>
            </w:pPr>
            <w:r>
              <w:rPr>
                <w:rFonts w:eastAsia="Times New Roman"/>
                <w:color w:val="000000"/>
                <w:sz w:val="20"/>
                <w:szCs w:val="20"/>
              </w:rPr>
              <w:t> </w:t>
            </w:r>
          </w:p>
        </w:tc>
      </w:tr>
      <w:tr w:rsidR="00000000" w14:paraId="09F0CE84"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289FE537" w14:textId="77777777" w:rsidR="00000000" w:rsidRDefault="00C1661D">
            <w:pPr>
              <w:spacing w:after="100"/>
              <w:rPr>
                <w:rFonts w:eastAsia="Times New Roman"/>
              </w:rPr>
            </w:pPr>
            <w:r>
              <w:rPr>
                <w:rFonts w:eastAsia="Times New Roman"/>
                <w:color w:val="000000"/>
                <w:sz w:val="20"/>
                <w:szCs w:val="20"/>
              </w:rPr>
              <w:t>Balance, beginning of year</w:t>
            </w:r>
          </w:p>
        </w:tc>
        <w:tc>
          <w:tcPr>
            <w:tcW w:w="0" w:type="auto"/>
            <w:shd w:val="clear" w:color="auto" w:fill="FFFFFF"/>
            <w:tcMar>
              <w:top w:w="30" w:type="dxa"/>
              <w:left w:w="20" w:type="dxa"/>
              <w:bottom w:w="30" w:type="dxa"/>
              <w:right w:w="0" w:type="dxa"/>
            </w:tcMar>
            <w:vAlign w:val="bottom"/>
            <w:hideMark/>
          </w:tcPr>
          <w:p w14:paraId="19293B1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DCD69A0" w14:textId="77777777" w:rsidR="00000000" w:rsidRDefault="00C1661D">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14:paraId="2C5A11C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68629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9B4B9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9B0C38B" w14:textId="77777777" w:rsidR="00000000" w:rsidRDefault="00C1661D">
            <w:pPr>
              <w:spacing w:after="100"/>
              <w:jc w:val="right"/>
              <w:rPr>
                <w:rFonts w:eastAsia="Times New Roman"/>
              </w:rPr>
            </w:pPr>
            <w:r>
              <w:rPr>
                <w:rFonts w:eastAsia="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14:paraId="5D4A687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9757B5"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0C7B7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8EA6837" w14:textId="77777777" w:rsidR="00000000" w:rsidRDefault="00C1661D">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14:paraId="33ACDEEC" w14:textId="77777777" w:rsidR="00000000" w:rsidRDefault="00C1661D">
            <w:pPr>
              <w:spacing w:after="100"/>
              <w:jc w:val="right"/>
              <w:rPr>
                <w:rFonts w:eastAsia="Times New Roman"/>
              </w:rPr>
            </w:pPr>
          </w:p>
        </w:tc>
      </w:tr>
      <w:tr w:rsidR="00000000" w14:paraId="6443F1EB" w14:textId="77777777">
        <w:trPr>
          <w:divId w:val="1625890149"/>
          <w:jc w:val="center"/>
        </w:trPr>
        <w:tc>
          <w:tcPr>
            <w:tcW w:w="0" w:type="auto"/>
            <w:gridSpan w:val="3"/>
            <w:vAlign w:val="center"/>
            <w:hideMark/>
          </w:tcPr>
          <w:p w14:paraId="762F5C11" w14:textId="77777777" w:rsidR="00000000" w:rsidRDefault="00C1661D">
            <w:pPr>
              <w:spacing w:after="100"/>
              <w:jc w:val="right"/>
              <w:rPr>
                <w:rFonts w:eastAsia="Times New Roman"/>
                <w:sz w:val="20"/>
                <w:szCs w:val="20"/>
              </w:rPr>
            </w:pPr>
          </w:p>
        </w:tc>
        <w:tc>
          <w:tcPr>
            <w:tcW w:w="0" w:type="auto"/>
            <w:gridSpan w:val="3"/>
            <w:vAlign w:val="center"/>
            <w:hideMark/>
          </w:tcPr>
          <w:p w14:paraId="11EBE846" w14:textId="77777777" w:rsidR="00000000" w:rsidRDefault="00C1661D">
            <w:pPr>
              <w:spacing w:after="100"/>
              <w:rPr>
                <w:rFonts w:eastAsia="Times New Roman"/>
                <w:sz w:val="20"/>
                <w:szCs w:val="20"/>
              </w:rPr>
            </w:pPr>
          </w:p>
        </w:tc>
        <w:tc>
          <w:tcPr>
            <w:tcW w:w="0" w:type="auto"/>
            <w:gridSpan w:val="3"/>
            <w:vAlign w:val="center"/>
            <w:hideMark/>
          </w:tcPr>
          <w:p w14:paraId="223A6EB8" w14:textId="77777777" w:rsidR="00000000" w:rsidRDefault="00C1661D">
            <w:pPr>
              <w:spacing w:after="100"/>
              <w:rPr>
                <w:rFonts w:eastAsia="Times New Roman"/>
                <w:sz w:val="20"/>
                <w:szCs w:val="20"/>
              </w:rPr>
            </w:pPr>
          </w:p>
        </w:tc>
        <w:tc>
          <w:tcPr>
            <w:tcW w:w="0" w:type="auto"/>
            <w:gridSpan w:val="3"/>
            <w:vAlign w:val="center"/>
            <w:hideMark/>
          </w:tcPr>
          <w:p w14:paraId="36B63F8B" w14:textId="77777777" w:rsidR="00000000" w:rsidRDefault="00C1661D">
            <w:pPr>
              <w:spacing w:after="100"/>
              <w:rPr>
                <w:rFonts w:eastAsia="Times New Roman"/>
                <w:sz w:val="20"/>
                <w:szCs w:val="20"/>
              </w:rPr>
            </w:pPr>
          </w:p>
        </w:tc>
        <w:tc>
          <w:tcPr>
            <w:tcW w:w="0" w:type="auto"/>
            <w:gridSpan w:val="3"/>
            <w:vAlign w:val="center"/>
            <w:hideMark/>
          </w:tcPr>
          <w:p w14:paraId="08B081E7" w14:textId="77777777" w:rsidR="00000000" w:rsidRDefault="00C1661D">
            <w:pPr>
              <w:spacing w:after="100"/>
              <w:rPr>
                <w:rFonts w:eastAsia="Times New Roman"/>
                <w:sz w:val="20"/>
                <w:szCs w:val="20"/>
              </w:rPr>
            </w:pPr>
          </w:p>
        </w:tc>
        <w:tc>
          <w:tcPr>
            <w:tcW w:w="0" w:type="auto"/>
            <w:gridSpan w:val="3"/>
            <w:vAlign w:val="center"/>
            <w:hideMark/>
          </w:tcPr>
          <w:p w14:paraId="76743C8D" w14:textId="77777777" w:rsidR="00000000" w:rsidRDefault="00C1661D">
            <w:pPr>
              <w:spacing w:after="100"/>
              <w:rPr>
                <w:rFonts w:eastAsia="Times New Roman"/>
                <w:sz w:val="20"/>
                <w:szCs w:val="20"/>
              </w:rPr>
            </w:pPr>
          </w:p>
        </w:tc>
      </w:tr>
      <w:tr w:rsidR="00000000" w14:paraId="11A877B1" w14:textId="77777777">
        <w:trPr>
          <w:divId w:val="1625890149"/>
          <w:jc w:val="center"/>
        </w:trPr>
        <w:tc>
          <w:tcPr>
            <w:tcW w:w="0" w:type="auto"/>
            <w:gridSpan w:val="3"/>
            <w:shd w:val="clear" w:color="auto" w:fill="CCEEFF"/>
            <w:tcMar>
              <w:top w:w="30" w:type="dxa"/>
              <w:left w:w="155" w:type="dxa"/>
              <w:bottom w:w="30" w:type="dxa"/>
              <w:right w:w="20" w:type="dxa"/>
            </w:tcMar>
            <w:vAlign w:val="bottom"/>
            <w:hideMark/>
          </w:tcPr>
          <w:p w14:paraId="1DA4B896" w14:textId="77777777" w:rsidR="00000000" w:rsidRDefault="00C1661D">
            <w:pPr>
              <w:spacing w:after="100"/>
              <w:rPr>
                <w:rFonts w:eastAsia="Times New Roman"/>
              </w:rPr>
            </w:pPr>
            <w:r>
              <w:rPr>
                <w:rFonts w:eastAsia="Times New Roman"/>
                <w:color w:val="000000"/>
                <w:sz w:val="20"/>
                <w:szCs w:val="20"/>
              </w:rPr>
              <w:t>Common Stock issued in connection with employee and director plans, net of tax withheld</w:t>
            </w:r>
          </w:p>
        </w:tc>
        <w:tc>
          <w:tcPr>
            <w:tcW w:w="0" w:type="auto"/>
            <w:gridSpan w:val="2"/>
            <w:shd w:val="clear" w:color="auto" w:fill="CCEEFF"/>
            <w:tcMar>
              <w:top w:w="30" w:type="dxa"/>
              <w:left w:w="20" w:type="dxa"/>
              <w:bottom w:w="30" w:type="dxa"/>
              <w:right w:w="0" w:type="dxa"/>
            </w:tcMar>
            <w:vAlign w:val="bottom"/>
            <w:hideMark/>
          </w:tcPr>
          <w:p w14:paraId="534A21C4" w14:textId="77777777" w:rsidR="00000000" w:rsidRDefault="00C1661D">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14:paraId="5DFE3CC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6ECA0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4954AC" w14:textId="77777777" w:rsidR="00000000" w:rsidRDefault="00C1661D">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7E42142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B71C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1800CE" w14:textId="77777777" w:rsidR="00000000" w:rsidRDefault="00C1661D">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05E3DD2B" w14:textId="77777777" w:rsidR="00000000" w:rsidRDefault="00C1661D">
            <w:pPr>
              <w:spacing w:after="100"/>
              <w:jc w:val="right"/>
              <w:rPr>
                <w:rFonts w:eastAsia="Times New Roman"/>
              </w:rPr>
            </w:pPr>
          </w:p>
        </w:tc>
      </w:tr>
      <w:tr w:rsidR="00000000" w14:paraId="5C11629D" w14:textId="77777777">
        <w:trPr>
          <w:divId w:val="1625890149"/>
          <w:jc w:val="center"/>
        </w:trPr>
        <w:tc>
          <w:tcPr>
            <w:tcW w:w="0" w:type="auto"/>
            <w:gridSpan w:val="3"/>
            <w:vAlign w:val="center"/>
            <w:hideMark/>
          </w:tcPr>
          <w:p w14:paraId="07047634" w14:textId="77777777" w:rsidR="00000000" w:rsidRDefault="00C1661D">
            <w:pPr>
              <w:spacing w:after="100"/>
              <w:jc w:val="right"/>
              <w:rPr>
                <w:rFonts w:eastAsia="Times New Roman"/>
                <w:sz w:val="20"/>
                <w:szCs w:val="20"/>
              </w:rPr>
            </w:pPr>
          </w:p>
        </w:tc>
        <w:tc>
          <w:tcPr>
            <w:tcW w:w="0" w:type="auto"/>
            <w:gridSpan w:val="3"/>
            <w:vAlign w:val="center"/>
            <w:hideMark/>
          </w:tcPr>
          <w:p w14:paraId="51376582" w14:textId="77777777" w:rsidR="00000000" w:rsidRDefault="00C1661D">
            <w:pPr>
              <w:spacing w:after="100"/>
              <w:rPr>
                <w:rFonts w:eastAsia="Times New Roman"/>
                <w:sz w:val="20"/>
                <w:szCs w:val="20"/>
              </w:rPr>
            </w:pPr>
          </w:p>
        </w:tc>
        <w:tc>
          <w:tcPr>
            <w:tcW w:w="0" w:type="auto"/>
            <w:gridSpan w:val="3"/>
            <w:vAlign w:val="center"/>
            <w:hideMark/>
          </w:tcPr>
          <w:p w14:paraId="553E040B" w14:textId="77777777" w:rsidR="00000000" w:rsidRDefault="00C1661D">
            <w:pPr>
              <w:spacing w:after="100"/>
              <w:rPr>
                <w:rFonts w:eastAsia="Times New Roman"/>
                <w:sz w:val="20"/>
                <w:szCs w:val="20"/>
              </w:rPr>
            </w:pPr>
          </w:p>
        </w:tc>
        <w:tc>
          <w:tcPr>
            <w:tcW w:w="0" w:type="auto"/>
            <w:gridSpan w:val="3"/>
            <w:vAlign w:val="center"/>
            <w:hideMark/>
          </w:tcPr>
          <w:p w14:paraId="472DEF57" w14:textId="77777777" w:rsidR="00000000" w:rsidRDefault="00C1661D">
            <w:pPr>
              <w:spacing w:after="100"/>
              <w:rPr>
                <w:rFonts w:eastAsia="Times New Roman"/>
                <w:sz w:val="20"/>
                <w:szCs w:val="20"/>
              </w:rPr>
            </w:pPr>
          </w:p>
        </w:tc>
        <w:tc>
          <w:tcPr>
            <w:tcW w:w="0" w:type="auto"/>
            <w:gridSpan w:val="3"/>
            <w:vAlign w:val="center"/>
            <w:hideMark/>
          </w:tcPr>
          <w:p w14:paraId="4843B22C" w14:textId="77777777" w:rsidR="00000000" w:rsidRDefault="00C1661D">
            <w:pPr>
              <w:spacing w:after="100"/>
              <w:rPr>
                <w:rFonts w:eastAsia="Times New Roman"/>
                <w:sz w:val="20"/>
                <w:szCs w:val="20"/>
              </w:rPr>
            </w:pPr>
          </w:p>
        </w:tc>
        <w:tc>
          <w:tcPr>
            <w:tcW w:w="0" w:type="auto"/>
            <w:gridSpan w:val="3"/>
            <w:vAlign w:val="center"/>
            <w:hideMark/>
          </w:tcPr>
          <w:p w14:paraId="68172C75" w14:textId="77777777" w:rsidR="00000000" w:rsidRDefault="00C1661D">
            <w:pPr>
              <w:spacing w:after="100"/>
              <w:rPr>
                <w:rFonts w:eastAsia="Times New Roman"/>
                <w:sz w:val="20"/>
                <w:szCs w:val="20"/>
              </w:rPr>
            </w:pPr>
          </w:p>
        </w:tc>
      </w:tr>
      <w:tr w:rsidR="00000000" w14:paraId="4CEC7DDA"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22010045" w14:textId="77777777" w:rsidR="00000000" w:rsidRDefault="00C1661D">
            <w:pPr>
              <w:spacing w:after="100"/>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14:paraId="1B742BBD" w14:textId="77777777" w:rsidR="00000000" w:rsidRDefault="00C1661D">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14:paraId="52BEAEE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47B09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4DD223"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18387B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FA733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21CE01" w14:textId="77777777" w:rsidR="00000000" w:rsidRDefault="00C1661D">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14:paraId="47E8E6D6" w14:textId="77777777" w:rsidR="00000000" w:rsidRDefault="00C1661D">
            <w:pPr>
              <w:spacing w:after="100"/>
              <w:jc w:val="right"/>
              <w:rPr>
                <w:rFonts w:eastAsia="Times New Roman"/>
              </w:rPr>
            </w:pPr>
          </w:p>
        </w:tc>
      </w:tr>
      <w:tr w:rsidR="00000000" w14:paraId="42A1187A" w14:textId="77777777">
        <w:trPr>
          <w:divId w:val="1625890149"/>
          <w:jc w:val="center"/>
        </w:trPr>
        <w:tc>
          <w:tcPr>
            <w:tcW w:w="0" w:type="auto"/>
            <w:gridSpan w:val="3"/>
            <w:shd w:val="clear" w:color="auto" w:fill="CCEEFF"/>
            <w:tcMar>
              <w:top w:w="30" w:type="dxa"/>
              <w:left w:w="155" w:type="dxa"/>
              <w:bottom w:w="30" w:type="dxa"/>
              <w:right w:w="20" w:type="dxa"/>
            </w:tcMar>
            <w:vAlign w:val="bottom"/>
            <w:hideMark/>
          </w:tcPr>
          <w:p w14:paraId="27A4F36E" w14:textId="77777777" w:rsidR="00000000" w:rsidRDefault="00C1661D">
            <w:pPr>
              <w:spacing w:after="100"/>
              <w:rPr>
                <w:rFonts w:eastAsia="Times New Roman"/>
              </w:rPr>
            </w:pPr>
            <w:r>
              <w:rPr>
                <w:rFonts w:eastAsia="Times New Roman"/>
                <w:color w:val="000000"/>
                <w:sz w:val="20"/>
                <w:szCs w:val="20"/>
              </w:rPr>
              <w:t xml:space="preserve">Reacquired common stock – </w:t>
            </w:r>
            <w:r>
              <w:rPr>
                <w:rFonts w:eastAsia="Times New Roman"/>
                <w:color w:val="000000"/>
                <w:sz w:val="20"/>
                <w:szCs w:val="20"/>
              </w:rPr>
              <w:t>employee and director plans</w:t>
            </w:r>
          </w:p>
        </w:tc>
        <w:tc>
          <w:tcPr>
            <w:tcW w:w="0" w:type="auto"/>
            <w:gridSpan w:val="2"/>
            <w:shd w:val="clear" w:color="auto" w:fill="CCEEFF"/>
            <w:tcMar>
              <w:top w:w="30" w:type="dxa"/>
              <w:left w:w="20" w:type="dxa"/>
              <w:bottom w:w="30" w:type="dxa"/>
              <w:right w:w="0" w:type="dxa"/>
            </w:tcMar>
            <w:vAlign w:val="bottom"/>
            <w:hideMark/>
          </w:tcPr>
          <w:p w14:paraId="7E1B97A0" w14:textId="77777777" w:rsidR="00000000" w:rsidRDefault="00C1661D">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0394DF1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3E787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9FB57C" w14:textId="77777777" w:rsidR="00000000" w:rsidRDefault="00C1661D">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0E022A7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24FDE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2DC131" w14:textId="77777777" w:rsidR="00000000" w:rsidRDefault="00C1661D">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68593DB4" w14:textId="77777777" w:rsidR="00000000" w:rsidRDefault="00C1661D">
            <w:pPr>
              <w:spacing w:after="100"/>
              <w:jc w:val="right"/>
              <w:rPr>
                <w:rFonts w:eastAsia="Times New Roman"/>
              </w:rPr>
            </w:pPr>
          </w:p>
        </w:tc>
      </w:tr>
      <w:tr w:rsidR="00000000" w14:paraId="1990BB42" w14:textId="77777777">
        <w:trPr>
          <w:divId w:val="1625890149"/>
          <w:jc w:val="center"/>
        </w:trPr>
        <w:tc>
          <w:tcPr>
            <w:tcW w:w="0" w:type="auto"/>
            <w:gridSpan w:val="3"/>
            <w:vAlign w:val="center"/>
            <w:hideMark/>
          </w:tcPr>
          <w:p w14:paraId="3934E45A" w14:textId="77777777" w:rsidR="00000000" w:rsidRDefault="00C1661D">
            <w:pPr>
              <w:spacing w:after="100"/>
              <w:jc w:val="right"/>
              <w:rPr>
                <w:rFonts w:eastAsia="Times New Roman"/>
                <w:sz w:val="20"/>
                <w:szCs w:val="20"/>
              </w:rPr>
            </w:pPr>
          </w:p>
        </w:tc>
        <w:tc>
          <w:tcPr>
            <w:tcW w:w="0" w:type="auto"/>
            <w:gridSpan w:val="3"/>
            <w:vAlign w:val="center"/>
            <w:hideMark/>
          </w:tcPr>
          <w:p w14:paraId="3D2916FB" w14:textId="77777777" w:rsidR="00000000" w:rsidRDefault="00C1661D">
            <w:pPr>
              <w:spacing w:after="100"/>
              <w:rPr>
                <w:rFonts w:eastAsia="Times New Roman"/>
                <w:sz w:val="20"/>
                <w:szCs w:val="20"/>
              </w:rPr>
            </w:pPr>
          </w:p>
        </w:tc>
        <w:tc>
          <w:tcPr>
            <w:tcW w:w="0" w:type="auto"/>
            <w:gridSpan w:val="3"/>
            <w:vAlign w:val="center"/>
            <w:hideMark/>
          </w:tcPr>
          <w:p w14:paraId="6C635D31" w14:textId="77777777" w:rsidR="00000000" w:rsidRDefault="00C1661D">
            <w:pPr>
              <w:spacing w:after="100"/>
              <w:rPr>
                <w:rFonts w:eastAsia="Times New Roman"/>
                <w:sz w:val="20"/>
                <w:szCs w:val="20"/>
              </w:rPr>
            </w:pPr>
          </w:p>
        </w:tc>
        <w:tc>
          <w:tcPr>
            <w:tcW w:w="0" w:type="auto"/>
            <w:gridSpan w:val="3"/>
            <w:vAlign w:val="center"/>
            <w:hideMark/>
          </w:tcPr>
          <w:p w14:paraId="3AFB21FA" w14:textId="77777777" w:rsidR="00000000" w:rsidRDefault="00C1661D">
            <w:pPr>
              <w:spacing w:after="100"/>
              <w:rPr>
                <w:rFonts w:eastAsia="Times New Roman"/>
                <w:sz w:val="20"/>
                <w:szCs w:val="20"/>
              </w:rPr>
            </w:pPr>
          </w:p>
        </w:tc>
        <w:tc>
          <w:tcPr>
            <w:tcW w:w="0" w:type="auto"/>
            <w:gridSpan w:val="3"/>
            <w:vAlign w:val="center"/>
            <w:hideMark/>
          </w:tcPr>
          <w:p w14:paraId="4F53535A" w14:textId="77777777" w:rsidR="00000000" w:rsidRDefault="00C1661D">
            <w:pPr>
              <w:spacing w:after="100"/>
              <w:rPr>
                <w:rFonts w:eastAsia="Times New Roman"/>
                <w:sz w:val="20"/>
                <w:szCs w:val="20"/>
              </w:rPr>
            </w:pPr>
          </w:p>
        </w:tc>
        <w:tc>
          <w:tcPr>
            <w:tcW w:w="0" w:type="auto"/>
            <w:gridSpan w:val="3"/>
            <w:vAlign w:val="center"/>
            <w:hideMark/>
          </w:tcPr>
          <w:p w14:paraId="4AB1943D" w14:textId="77777777" w:rsidR="00000000" w:rsidRDefault="00C1661D">
            <w:pPr>
              <w:spacing w:after="100"/>
              <w:rPr>
                <w:rFonts w:eastAsia="Times New Roman"/>
                <w:sz w:val="20"/>
                <w:szCs w:val="20"/>
              </w:rPr>
            </w:pPr>
          </w:p>
        </w:tc>
      </w:tr>
      <w:tr w:rsidR="00000000" w14:paraId="285D56E6"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606C974F" w14:textId="77777777" w:rsidR="00000000" w:rsidRDefault="00C1661D">
            <w:pPr>
              <w:spacing w:after="100"/>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0F5A4B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ABCD35A" w14:textId="77777777" w:rsidR="00000000" w:rsidRDefault="00C1661D">
            <w:pPr>
              <w:spacing w:after="100"/>
              <w:jc w:val="right"/>
              <w:rPr>
                <w:rFonts w:eastAsia="Times New Roman"/>
              </w:rPr>
            </w:pPr>
            <w:r>
              <w:rPr>
                <w:rFonts w:eastAsia="Times New Roman"/>
                <w:color w:val="000000"/>
                <w:sz w:val="20"/>
                <w:szCs w:val="20"/>
              </w:rPr>
              <w:t>(40)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04F97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E4096D"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D4A6C5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B2B4C54" w14:textId="77777777" w:rsidR="00000000" w:rsidRDefault="00C1661D">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1BFCA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B72BE3"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91B9249"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1C7C6CC" w14:textId="77777777" w:rsidR="00000000" w:rsidRDefault="00C1661D">
            <w:pPr>
              <w:spacing w:after="100"/>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225681" w14:textId="77777777" w:rsidR="00000000" w:rsidRDefault="00C1661D">
            <w:pPr>
              <w:spacing w:after="100"/>
              <w:jc w:val="right"/>
              <w:rPr>
                <w:rFonts w:eastAsia="Times New Roman"/>
              </w:rPr>
            </w:pPr>
          </w:p>
        </w:tc>
      </w:tr>
      <w:tr w:rsidR="00000000" w14:paraId="41F25749" w14:textId="77777777">
        <w:trPr>
          <w:divId w:val="1625890149"/>
          <w:jc w:val="center"/>
        </w:trPr>
        <w:tc>
          <w:tcPr>
            <w:tcW w:w="0" w:type="auto"/>
            <w:gridSpan w:val="3"/>
            <w:shd w:val="clear" w:color="auto" w:fill="CCEEFF"/>
            <w:tcMar>
              <w:top w:w="30" w:type="dxa"/>
              <w:left w:w="20" w:type="dxa"/>
              <w:bottom w:w="30" w:type="dxa"/>
              <w:right w:w="20" w:type="dxa"/>
            </w:tcMar>
            <w:vAlign w:val="bottom"/>
            <w:hideMark/>
          </w:tcPr>
          <w:p w14:paraId="1FDB8CB3" w14:textId="77777777" w:rsidR="00000000" w:rsidRDefault="00C1661D">
            <w:pPr>
              <w:spacing w:after="100"/>
              <w:rPr>
                <w:rFonts w:eastAsia="Times New Roman"/>
              </w:rPr>
            </w:pPr>
            <w:r>
              <w:rPr>
                <w:rFonts w:eastAsia="Times New Roman"/>
                <w:b/>
                <w:bCs/>
                <w:color w:val="000000"/>
                <w:sz w:val="20"/>
                <w:szCs w:val="20"/>
              </w:rPr>
              <w:t>Total UGI Corporation stockholders’ equity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B16C05"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89D01C" w14:textId="77777777" w:rsidR="00000000" w:rsidRDefault="00C1661D">
            <w:pPr>
              <w:spacing w:after="100"/>
              <w:jc w:val="right"/>
              <w:rPr>
                <w:rFonts w:eastAsia="Times New Roman"/>
              </w:rPr>
            </w:pPr>
            <w:r>
              <w:rPr>
                <w:rFonts w:eastAsia="Times New Roman"/>
                <w:color w:val="000000"/>
                <w:sz w:val="20"/>
                <w:szCs w:val="20"/>
              </w:rPr>
              <w:t>6,066 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01A94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C7B9E0"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3278F5"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56F36B" w14:textId="77777777" w:rsidR="00000000" w:rsidRDefault="00C1661D">
            <w:pPr>
              <w:spacing w:after="100"/>
              <w:jc w:val="right"/>
              <w:rPr>
                <w:rFonts w:eastAsia="Times New Roman"/>
              </w:rPr>
            </w:pPr>
            <w:r>
              <w:rPr>
                <w:rFonts w:eastAsia="Times New Roman"/>
                <w:color w:val="000000"/>
                <w:sz w:val="20"/>
                <w:szCs w:val="20"/>
              </w:rPr>
              <w:t>5,522 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C5345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762A6C"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46673F"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F3B8F2" w14:textId="77777777" w:rsidR="00000000" w:rsidRDefault="00C1661D">
            <w:pPr>
              <w:spacing w:after="100"/>
              <w:jc w:val="right"/>
              <w:rPr>
                <w:rFonts w:eastAsia="Times New Roman"/>
              </w:rPr>
            </w:pPr>
            <w:r>
              <w:rPr>
                <w:rFonts w:eastAsia="Times New Roman"/>
                <w:color w:val="000000"/>
                <w:sz w:val="20"/>
                <w:szCs w:val="20"/>
              </w:rPr>
              <w:t>4,128 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0B0CAF" w14:textId="77777777" w:rsidR="00000000" w:rsidRDefault="00C1661D">
            <w:pPr>
              <w:spacing w:after="100"/>
              <w:jc w:val="right"/>
              <w:rPr>
                <w:rFonts w:eastAsia="Times New Roman"/>
              </w:rPr>
            </w:pPr>
          </w:p>
        </w:tc>
      </w:tr>
      <w:tr w:rsidR="00000000" w14:paraId="587D85DC" w14:textId="77777777">
        <w:trPr>
          <w:divId w:val="1625890149"/>
          <w:jc w:val="center"/>
        </w:trPr>
        <w:tc>
          <w:tcPr>
            <w:tcW w:w="0" w:type="auto"/>
            <w:gridSpan w:val="3"/>
            <w:shd w:val="clear" w:color="auto" w:fill="FFFFFF"/>
            <w:tcMar>
              <w:top w:w="30" w:type="dxa"/>
              <w:left w:w="20" w:type="dxa"/>
              <w:bottom w:w="30" w:type="dxa"/>
              <w:right w:w="20" w:type="dxa"/>
            </w:tcMar>
            <w:vAlign w:val="bottom"/>
            <w:hideMark/>
          </w:tcPr>
          <w:p w14:paraId="090B70D4" w14:textId="77777777" w:rsidR="00000000" w:rsidRDefault="00C1661D">
            <w:pPr>
              <w:spacing w:after="100"/>
              <w:rPr>
                <w:rFonts w:eastAsia="Times New Roman"/>
              </w:rPr>
            </w:pPr>
            <w:r>
              <w:rPr>
                <w:rFonts w:eastAsia="Times New Roman"/>
                <w:b/>
                <w:bCs/>
                <w:color w:val="000000"/>
                <w:sz w:val="20"/>
                <w:szCs w:val="20"/>
              </w:rPr>
              <w:t>Noncontrolling interests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6F4184F"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D555762"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E06056C"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80ACA44"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0FE57DD" w14:textId="77777777" w:rsidR="00000000" w:rsidRDefault="00C1661D">
            <w:pPr>
              <w:spacing w:after="100"/>
              <w:rPr>
                <w:rFonts w:eastAsia="Times New Roman"/>
              </w:rPr>
            </w:pPr>
            <w:r>
              <w:rPr>
                <w:rFonts w:eastAsia="Times New Roman"/>
                <w:color w:val="000000"/>
                <w:sz w:val="20"/>
                <w:szCs w:val="20"/>
              </w:rPr>
              <w:t> </w:t>
            </w:r>
          </w:p>
        </w:tc>
      </w:tr>
      <w:tr w:rsidR="00000000" w14:paraId="45E5C5CD" w14:textId="77777777">
        <w:trPr>
          <w:divId w:val="1625890149"/>
          <w:jc w:val="center"/>
        </w:trPr>
        <w:tc>
          <w:tcPr>
            <w:tcW w:w="0" w:type="auto"/>
            <w:gridSpan w:val="3"/>
            <w:shd w:val="clear" w:color="auto" w:fill="CCEEFF"/>
            <w:tcMar>
              <w:top w:w="30" w:type="dxa"/>
              <w:left w:w="155" w:type="dxa"/>
              <w:bottom w:w="30" w:type="dxa"/>
              <w:right w:w="20" w:type="dxa"/>
            </w:tcMar>
            <w:vAlign w:val="bottom"/>
            <w:hideMark/>
          </w:tcPr>
          <w:p w14:paraId="62853B30" w14:textId="77777777" w:rsidR="00000000" w:rsidRDefault="00C1661D">
            <w:pPr>
              <w:spacing w:after="100"/>
              <w:rPr>
                <w:rFonts w:eastAsia="Times New Roman"/>
              </w:rPr>
            </w:pPr>
            <w:r>
              <w:rPr>
                <w:rFonts w:eastAsia="Times New Roman"/>
                <w:color w:val="000000"/>
                <w:sz w:val="20"/>
                <w:szCs w:val="20"/>
              </w:rPr>
              <w:t>Balance, beginning of year</w:t>
            </w:r>
          </w:p>
        </w:tc>
        <w:tc>
          <w:tcPr>
            <w:tcW w:w="0" w:type="auto"/>
            <w:shd w:val="clear" w:color="auto" w:fill="CCEEFF"/>
            <w:tcMar>
              <w:top w:w="30" w:type="dxa"/>
              <w:left w:w="20" w:type="dxa"/>
              <w:bottom w:w="30" w:type="dxa"/>
              <w:right w:w="0" w:type="dxa"/>
            </w:tcMar>
            <w:vAlign w:val="bottom"/>
            <w:hideMark/>
          </w:tcPr>
          <w:p w14:paraId="2C3C7A5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72EA756" w14:textId="77777777" w:rsidR="00000000" w:rsidRDefault="00C1661D">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43D6638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B46731"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E78B0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6CD8FA5" w14:textId="77777777" w:rsidR="00000000" w:rsidRDefault="00C1661D">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370C695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31CB27"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B4B78D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968FDD2" w14:textId="77777777" w:rsidR="00000000" w:rsidRDefault="00C1661D">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6BDE3009" w14:textId="77777777" w:rsidR="00000000" w:rsidRDefault="00C1661D">
            <w:pPr>
              <w:spacing w:after="100"/>
              <w:jc w:val="right"/>
              <w:rPr>
                <w:rFonts w:eastAsia="Times New Roman"/>
              </w:rPr>
            </w:pPr>
          </w:p>
        </w:tc>
      </w:tr>
      <w:tr w:rsidR="00000000" w14:paraId="06F11846"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1AE21F1E" w14:textId="77777777" w:rsidR="00000000" w:rsidRDefault="00C1661D">
            <w:pPr>
              <w:spacing w:after="100"/>
              <w:rPr>
                <w:rFonts w:eastAsia="Times New Roman"/>
              </w:rPr>
            </w:pPr>
            <w:r>
              <w:rPr>
                <w:rFonts w:eastAsia="Times New Roman"/>
                <w:color w:val="000000"/>
                <w:sz w:val="20"/>
                <w:szCs w:val="20"/>
              </w:rPr>
              <w:t>Net income attributable to noncontrolling interests</w:t>
            </w:r>
          </w:p>
        </w:tc>
        <w:tc>
          <w:tcPr>
            <w:tcW w:w="0" w:type="auto"/>
            <w:gridSpan w:val="2"/>
            <w:shd w:val="clear" w:color="auto" w:fill="FFFFFF"/>
            <w:tcMar>
              <w:top w:w="30" w:type="dxa"/>
              <w:left w:w="20" w:type="dxa"/>
              <w:bottom w:w="30" w:type="dxa"/>
              <w:right w:w="0" w:type="dxa"/>
            </w:tcMar>
            <w:vAlign w:val="bottom"/>
            <w:hideMark/>
          </w:tcPr>
          <w:p w14:paraId="6FD08CF9" w14:textId="77777777" w:rsidR="00000000" w:rsidRDefault="00C1661D">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2EBD2CD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6CE0E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FC1638"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AED2D3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EBC29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95C6A4"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F277F8" w14:textId="77777777" w:rsidR="00000000" w:rsidRDefault="00C1661D">
            <w:pPr>
              <w:spacing w:after="100"/>
              <w:jc w:val="right"/>
              <w:rPr>
                <w:rFonts w:eastAsia="Times New Roman"/>
              </w:rPr>
            </w:pPr>
          </w:p>
        </w:tc>
      </w:tr>
      <w:tr w:rsidR="00000000" w14:paraId="510D8BC4" w14:textId="77777777">
        <w:trPr>
          <w:divId w:val="1625890149"/>
          <w:jc w:val="center"/>
        </w:trPr>
        <w:tc>
          <w:tcPr>
            <w:tcW w:w="0" w:type="auto"/>
            <w:gridSpan w:val="3"/>
            <w:vAlign w:val="center"/>
            <w:hideMark/>
          </w:tcPr>
          <w:p w14:paraId="6A3CEB3A" w14:textId="77777777" w:rsidR="00000000" w:rsidRDefault="00C1661D">
            <w:pPr>
              <w:spacing w:after="100"/>
              <w:jc w:val="right"/>
              <w:rPr>
                <w:rFonts w:eastAsia="Times New Roman"/>
                <w:sz w:val="20"/>
                <w:szCs w:val="20"/>
              </w:rPr>
            </w:pPr>
          </w:p>
        </w:tc>
        <w:tc>
          <w:tcPr>
            <w:tcW w:w="0" w:type="auto"/>
            <w:gridSpan w:val="3"/>
            <w:vAlign w:val="center"/>
            <w:hideMark/>
          </w:tcPr>
          <w:p w14:paraId="3E18F9F2" w14:textId="77777777" w:rsidR="00000000" w:rsidRDefault="00C1661D">
            <w:pPr>
              <w:spacing w:after="100"/>
              <w:rPr>
                <w:rFonts w:eastAsia="Times New Roman"/>
                <w:sz w:val="20"/>
                <w:szCs w:val="20"/>
              </w:rPr>
            </w:pPr>
          </w:p>
        </w:tc>
        <w:tc>
          <w:tcPr>
            <w:tcW w:w="0" w:type="auto"/>
            <w:gridSpan w:val="3"/>
            <w:vAlign w:val="center"/>
            <w:hideMark/>
          </w:tcPr>
          <w:p w14:paraId="5F3985A4" w14:textId="77777777" w:rsidR="00000000" w:rsidRDefault="00C1661D">
            <w:pPr>
              <w:spacing w:after="100"/>
              <w:rPr>
                <w:rFonts w:eastAsia="Times New Roman"/>
                <w:sz w:val="20"/>
                <w:szCs w:val="20"/>
              </w:rPr>
            </w:pPr>
          </w:p>
        </w:tc>
        <w:tc>
          <w:tcPr>
            <w:tcW w:w="0" w:type="auto"/>
            <w:gridSpan w:val="3"/>
            <w:vAlign w:val="center"/>
            <w:hideMark/>
          </w:tcPr>
          <w:p w14:paraId="3CC8BE6B" w14:textId="77777777" w:rsidR="00000000" w:rsidRDefault="00C1661D">
            <w:pPr>
              <w:spacing w:after="100"/>
              <w:rPr>
                <w:rFonts w:eastAsia="Times New Roman"/>
                <w:sz w:val="20"/>
                <w:szCs w:val="20"/>
              </w:rPr>
            </w:pPr>
          </w:p>
        </w:tc>
        <w:tc>
          <w:tcPr>
            <w:tcW w:w="0" w:type="auto"/>
            <w:gridSpan w:val="3"/>
            <w:vAlign w:val="center"/>
            <w:hideMark/>
          </w:tcPr>
          <w:p w14:paraId="7C3DE08A" w14:textId="77777777" w:rsidR="00000000" w:rsidRDefault="00C1661D">
            <w:pPr>
              <w:spacing w:after="100"/>
              <w:rPr>
                <w:rFonts w:eastAsia="Times New Roman"/>
                <w:sz w:val="20"/>
                <w:szCs w:val="20"/>
              </w:rPr>
            </w:pPr>
          </w:p>
        </w:tc>
        <w:tc>
          <w:tcPr>
            <w:tcW w:w="0" w:type="auto"/>
            <w:gridSpan w:val="3"/>
            <w:vAlign w:val="center"/>
            <w:hideMark/>
          </w:tcPr>
          <w:p w14:paraId="6CDC0DE2" w14:textId="77777777" w:rsidR="00000000" w:rsidRDefault="00C1661D">
            <w:pPr>
              <w:spacing w:after="100"/>
              <w:rPr>
                <w:rFonts w:eastAsia="Times New Roman"/>
                <w:sz w:val="20"/>
                <w:szCs w:val="20"/>
              </w:rPr>
            </w:pPr>
          </w:p>
        </w:tc>
      </w:tr>
      <w:tr w:rsidR="00000000" w14:paraId="2A6562CE" w14:textId="77777777">
        <w:trPr>
          <w:divId w:val="1625890149"/>
          <w:jc w:val="center"/>
        </w:trPr>
        <w:tc>
          <w:tcPr>
            <w:tcW w:w="0" w:type="auto"/>
            <w:gridSpan w:val="3"/>
            <w:vAlign w:val="center"/>
            <w:hideMark/>
          </w:tcPr>
          <w:p w14:paraId="0FB7B101" w14:textId="77777777" w:rsidR="00000000" w:rsidRDefault="00C1661D">
            <w:pPr>
              <w:spacing w:after="100"/>
              <w:rPr>
                <w:rFonts w:eastAsia="Times New Roman"/>
                <w:sz w:val="20"/>
                <w:szCs w:val="20"/>
              </w:rPr>
            </w:pPr>
          </w:p>
        </w:tc>
        <w:tc>
          <w:tcPr>
            <w:tcW w:w="0" w:type="auto"/>
            <w:gridSpan w:val="3"/>
            <w:vAlign w:val="center"/>
            <w:hideMark/>
          </w:tcPr>
          <w:p w14:paraId="150E1BD4" w14:textId="77777777" w:rsidR="00000000" w:rsidRDefault="00C1661D">
            <w:pPr>
              <w:spacing w:after="100"/>
              <w:rPr>
                <w:rFonts w:eastAsia="Times New Roman"/>
                <w:sz w:val="20"/>
                <w:szCs w:val="20"/>
              </w:rPr>
            </w:pPr>
          </w:p>
        </w:tc>
        <w:tc>
          <w:tcPr>
            <w:tcW w:w="0" w:type="auto"/>
            <w:gridSpan w:val="3"/>
            <w:vAlign w:val="center"/>
            <w:hideMark/>
          </w:tcPr>
          <w:p w14:paraId="594E4AC9" w14:textId="77777777" w:rsidR="00000000" w:rsidRDefault="00C1661D">
            <w:pPr>
              <w:spacing w:after="100"/>
              <w:rPr>
                <w:rFonts w:eastAsia="Times New Roman"/>
                <w:sz w:val="20"/>
                <w:szCs w:val="20"/>
              </w:rPr>
            </w:pPr>
          </w:p>
        </w:tc>
        <w:tc>
          <w:tcPr>
            <w:tcW w:w="0" w:type="auto"/>
            <w:gridSpan w:val="3"/>
            <w:vAlign w:val="center"/>
            <w:hideMark/>
          </w:tcPr>
          <w:p w14:paraId="2B97F8C2" w14:textId="77777777" w:rsidR="00000000" w:rsidRDefault="00C1661D">
            <w:pPr>
              <w:spacing w:after="100"/>
              <w:rPr>
                <w:rFonts w:eastAsia="Times New Roman"/>
                <w:sz w:val="20"/>
                <w:szCs w:val="20"/>
              </w:rPr>
            </w:pPr>
          </w:p>
        </w:tc>
        <w:tc>
          <w:tcPr>
            <w:tcW w:w="0" w:type="auto"/>
            <w:gridSpan w:val="3"/>
            <w:vAlign w:val="center"/>
            <w:hideMark/>
          </w:tcPr>
          <w:p w14:paraId="002EE7FF" w14:textId="77777777" w:rsidR="00000000" w:rsidRDefault="00C1661D">
            <w:pPr>
              <w:spacing w:after="100"/>
              <w:rPr>
                <w:rFonts w:eastAsia="Times New Roman"/>
                <w:sz w:val="20"/>
                <w:szCs w:val="20"/>
              </w:rPr>
            </w:pPr>
          </w:p>
        </w:tc>
        <w:tc>
          <w:tcPr>
            <w:tcW w:w="0" w:type="auto"/>
            <w:gridSpan w:val="3"/>
            <w:vAlign w:val="center"/>
            <w:hideMark/>
          </w:tcPr>
          <w:p w14:paraId="2286D9FC" w14:textId="77777777" w:rsidR="00000000" w:rsidRDefault="00C1661D">
            <w:pPr>
              <w:spacing w:after="100"/>
              <w:rPr>
                <w:rFonts w:eastAsia="Times New Roman"/>
                <w:sz w:val="20"/>
                <w:szCs w:val="20"/>
              </w:rPr>
            </w:pPr>
          </w:p>
        </w:tc>
      </w:tr>
      <w:tr w:rsidR="00000000" w14:paraId="01E2BA2E" w14:textId="77777777">
        <w:trPr>
          <w:divId w:val="1625890149"/>
          <w:jc w:val="center"/>
        </w:trPr>
        <w:tc>
          <w:tcPr>
            <w:tcW w:w="0" w:type="auto"/>
            <w:gridSpan w:val="3"/>
            <w:vAlign w:val="center"/>
            <w:hideMark/>
          </w:tcPr>
          <w:p w14:paraId="0E8C3AED" w14:textId="77777777" w:rsidR="00000000" w:rsidRDefault="00C1661D">
            <w:pPr>
              <w:spacing w:after="100"/>
              <w:rPr>
                <w:rFonts w:eastAsia="Times New Roman"/>
                <w:sz w:val="20"/>
                <w:szCs w:val="20"/>
              </w:rPr>
            </w:pPr>
          </w:p>
        </w:tc>
        <w:tc>
          <w:tcPr>
            <w:tcW w:w="0" w:type="auto"/>
            <w:gridSpan w:val="3"/>
            <w:vAlign w:val="center"/>
            <w:hideMark/>
          </w:tcPr>
          <w:p w14:paraId="34BD5184" w14:textId="77777777" w:rsidR="00000000" w:rsidRDefault="00C1661D">
            <w:pPr>
              <w:spacing w:after="100"/>
              <w:rPr>
                <w:rFonts w:eastAsia="Times New Roman"/>
                <w:sz w:val="20"/>
                <w:szCs w:val="20"/>
              </w:rPr>
            </w:pPr>
          </w:p>
        </w:tc>
        <w:tc>
          <w:tcPr>
            <w:tcW w:w="0" w:type="auto"/>
            <w:gridSpan w:val="3"/>
            <w:vAlign w:val="center"/>
            <w:hideMark/>
          </w:tcPr>
          <w:p w14:paraId="5DED105D" w14:textId="77777777" w:rsidR="00000000" w:rsidRDefault="00C1661D">
            <w:pPr>
              <w:spacing w:after="100"/>
              <w:rPr>
                <w:rFonts w:eastAsia="Times New Roman"/>
                <w:sz w:val="20"/>
                <w:szCs w:val="20"/>
              </w:rPr>
            </w:pPr>
          </w:p>
        </w:tc>
        <w:tc>
          <w:tcPr>
            <w:tcW w:w="0" w:type="auto"/>
            <w:gridSpan w:val="3"/>
            <w:vAlign w:val="center"/>
            <w:hideMark/>
          </w:tcPr>
          <w:p w14:paraId="6A99B0B3" w14:textId="77777777" w:rsidR="00000000" w:rsidRDefault="00C1661D">
            <w:pPr>
              <w:spacing w:after="100"/>
              <w:rPr>
                <w:rFonts w:eastAsia="Times New Roman"/>
                <w:sz w:val="20"/>
                <w:szCs w:val="20"/>
              </w:rPr>
            </w:pPr>
          </w:p>
        </w:tc>
        <w:tc>
          <w:tcPr>
            <w:tcW w:w="0" w:type="auto"/>
            <w:gridSpan w:val="3"/>
            <w:vAlign w:val="center"/>
            <w:hideMark/>
          </w:tcPr>
          <w:p w14:paraId="251CB8F7" w14:textId="77777777" w:rsidR="00000000" w:rsidRDefault="00C1661D">
            <w:pPr>
              <w:spacing w:after="100"/>
              <w:rPr>
                <w:rFonts w:eastAsia="Times New Roman"/>
                <w:sz w:val="20"/>
                <w:szCs w:val="20"/>
              </w:rPr>
            </w:pPr>
          </w:p>
        </w:tc>
        <w:tc>
          <w:tcPr>
            <w:tcW w:w="0" w:type="auto"/>
            <w:gridSpan w:val="3"/>
            <w:vAlign w:val="center"/>
            <w:hideMark/>
          </w:tcPr>
          <w:p w14:paraId="59F0B1D2" w14:textId="77777777" w:rsidR="00000000" w:rsidRDefault="00C1661D">
            <w:pPr>
              <w:spacing w:after="100"/>
              <w:rPr>
                <w:rFonts w:eastAsia="Times New Roman"/>
                <w:sz w:val="20"/>
                <w:szCs w:val="20"/>
              </w:rPr>
            </w:pPr>
          </w:p>
        </w:tc>
      </w:tr>
      <w:tr w:rsidR="00000000" w14:paraId="518FCC03" w14:textId="77777777">
        <w:trPr>
          <w:divId w:val="1625890149"/>
          <w:jc w:val="center"/>
        </w:trPr>
        <w:tc>
          <w:tcPr>
            <w:tcW w:w="0" w:type="auto"/>
            <w:gridSpan w:val="3"/>
            <w:vAlign w:val="center"/>
            <w:hideMark/>
          </w:tcPr>
          <w:p w14:paraId="720D37F9" w14:textId="77777777" w:rsidR="00000000" w:rsidRDefault="00C1661D">
            <w:pPr>
              <w:spacing w:after="100"/>
              <w:rPr>
                <w:rFonts w:eastAsia="Times New Roman"/>
                <w:sz w:val="20"/>
                <w:szCs w:val="20"/>
              </w:rPr>
            </w:pPr>
          </w:p>
        </w:tc>
        <w:tc>
          <w:tcPr>
            <w:tcW w:w="0" w:type="auto"/>
            <w:gridSpan w:val="3"/>
            <w:vAlign w:val="center"/>
            <w:hideMark/>
          </w:tcPr>
          <w:p w14:paraId="00292D52" w14:textId="77777777" w:rsidR="00000000" w:rsidRDefault="00C1661D">
            <w:pPr>
              <w:spacing w:after="100"/>
              <w:rPr>
                <w:rFonts w:eastAsia="Times New Roman"/>
                <w:sz w:val="20"/>
                <w:szCs w:val="20"/>
              </w:rPr>
            </w:pPr>
          </w:p>
        </w:tc>
        <w:tc>
          <w:tcPr>
            <w:tcW w:w="0" w:type="auto"/>
            <w:gridSpan w:val="3"/>
            <w:vAlign w:val="center"/>
            <w:hideMark/>
          </w:tcPr>
          <w:p w14:paraId="46BC4F85" w14:textId="77777777" w:rsidR="00000000" w:rsidRDefault="00C1661D">
            <w:pPr>
              <w:spacing w:after="100"/>
              <w:rPr>
                <w:rFonts w:eastAsia="Times New Roman"/>
                <w:sz w:val="20"/>
                <w:szCs w:val="20"/>
              </w:rPr>
            </w:pPr>
          </w:p>
        </w:tc>
        <w:tc>
          <w:tcPr>
            <w:tcW w:w="0" w:type="auto"/>
            <w:gridSpan w:val="3"/>
            <w:vAlign w:val="center"/>
            <w:hideMark/>
          </w:tcPr>
          <w:p w14:paraId="41438C04" w14:textId="77777777" w:rsidR="00000000" w:rsidRDefault="00C1661D">
            <w:pPr>
              <w:spacing w:after="100"/>
              <w:rPr>
                <w:rFonts w:eastAsia="Times New Roman"/>
                <w:sz w:val="20"/>
                <w:szCs w:val="20"/>
              </w:rPr>
            </w:pPr>
          </w:p>
        </w:tc>
        <w:tc>
          <w:tcPr>
            <w:tcW w:w="0" w:type="auto"/>
            <w:gridSpan w:val="3"/>
            <w:vAlign w:val="center"/>
            <w:hideMark/>
          </w:tcPr>
          <w:p w14:paraId="575F507D" w14:textId="77777777" w:rsidR="00000000" w:rsidRDefault="00C1661D">
            <w:pPr>
              <w:spacing w:after="100"/>
              <w:rPr>
                <w:rFonts w:eastAsia="Times New Roman"/>
                <w:sz w:val="20"/>
                <w:szCs w:val="20"/>
              </w:rPr>
            </w:pPr>
          </w:p>
        </w:tc>
        <w:tc>
          <w:tcPr>
            <w:tcW w:w="0" w:type="auto"/>
            <w:gridSpan w:val="3"/>
            <w:vAlign w:val="center"/>
            <w:hideMark/>
          </w:tcPr>
          <w:p w14:paraId="7E9FBFD8" w14:textId="77777777" w:rsidR="00000000" w:rsidRDefault="00C1661D">
            <w:pPr>
              <w:spacing w:after="100"/>
              <w:rPr>
                <w:rFonts w:eastAsia="Times New Roman"/>
                <w:sz w:val="20"/>
                <w:szCs w:val="20"/>
              </w:rPr>
            </w:pPr>
          </w:p>
        </w:tc>
      </w:tr>
      <w:tr w:rsidR="00000000" w14:paraId="3B071C0F" w14:textId="77777777">
        <w:trPr>
          <w:divId w:val="1625890149"/>
          <w:jc w:val="center"/>
        </w:trPr>
        <w:tc>
          <w:tcPr>
            <w:tcW w:w="0" w:type="auto"/>
            <w:gridSpan w:val="3"/>
            <w:vAlign w:val="center"/>
            <w:hideMark/>
          </w:tcPr>
          <w:p w14:paraId="14926363" w14:textId="77777777" w:rsidR="00000000" w:rsidRDefault="00C1661D">
            <w:pPr>
              <w:spacing w:after="100"/>
              <w:rPr>
                <w:rFonts w:eastAsia="Times New Roman"/>
                <w:sz w:val="20"/>
                <w:szCs w:val="20"/>
              </w:rPr>
            </w:pPr>
          </w:p>
        </w:tc>
        <w:tc>
          <w:tcPr>
            <w:tcW w:w="0" w:type="auto"/>
            <w:gridSpan w:val="3"/>
            <w:vAlign w:val="center"/>
            <w:hideMark/>
          </w:tcPr>
          <w:p w14:paraId="4EFB8DB4" w14:textId="77777777" w:rsidR="00000000" w:rsidRDefault="00C1661D">
            <w:pPr>
              <w:spacing w:after="100"/>
              <w:rPr>
                <w:rFonts w:eastAsia="Times New Roman"/>
                <w:sz w:val="20"/>
                <w:szCs w:val="20"/>
              </w:rPr>
            </w:pPr>
          </w:p>
        </w:tc>
        <w:tc>
          <w:tcPr>
            <w:tcW w:w="0" w:type="auto"/>
            <w:gridSpan w:val="3"/>
            <w:vAlign w:val="center"/>
            <w:hideMark/>
          </w:tcPr>
          <w:p w14:paraId="237809D6" w14:textId="77777777" w:rsidR="00000000" w:rsidRDefault="00C1661D">
            <w:pPr>
              <w:spacing w:after="100"/>
              <w:rPr>
                <w:rFonts w:eastAsia="Times New Roman"/>
                <w:sz w:val="20"/>
                <w:szCs w:val="20"/>
              </w:rPr>
            </w:pPr>
          </w:p>
        </w:tc>
        <w:tc>
          <w:tcPr>
            <w:tcW w:w="0" w:type="auto"/>
            <w:gridSpan w:val="3"/>
            <w:vAlign w:val="center"/>
            <w:hideMark/>
          </w:tcPr>
          <w:p w14:paraId="4F1E093E" w14:textId="77777777" w:rsidR="00000000" w:rsidRDefault="00C1661D">
            <w:pPr>
              <w:spacing w:after="100"/>
              <w:rPr>
                <w:rFonts w:eastAsia="Times New Roman"/>
                <w:sz w:val="20"/>
                <w:szCs w:val="20"/>
              </w:rPr>
            </w:pPr>
          </w:p>
        </w:tc>
        <w:tc>
          <w:tcPr>
            <w:tcW w:w="0" w:type="auto"/>
            <w:gridSpan w:val="3"/>
            <w:vAlign w:val="center"/>
            <w:hideMark/>
          </w:tcPr>
          <w:p w14:paraId="4E5579B2" w14:textId="77777777" w:rsidR="00000000" w:rsidRDefault="00C1661D">
            <w:pPr>
              <w:spacing w:after="100"/>
              <w:rPr>
                <w:rFonts w:eastAsia="Times New Roman"/>
                <w:sz w:val="20"/>
                <w:szCs w:val="20"/>
              </w:rPr>
            </w:pPr>
          </w:p>
        </w:tc>
        <w:tc>
          <w:tcPr>
            <w:tcW w:w="0" w:type="auto"/>
            <w:gridSpan w:val="3"/>
            <w:vAlign w:val="center"/>
            <w:hideMark/>
          </w:tcPr>
          <w:p w14:paraId="402A8A44" w14:textId="77777777" w:rsidR="00000000" w:rsidRDefault="00C1661D">
            <w:pPr>
              <w:spacing w:after="100"/>
              <w:rPr>
                <w:rFonts w:eastAsia="Times New Roman"/>
                <w:sz w:val="20"/>
                <w:szCs w:val="20"/>
              </w:rPr>
            </w:pPr>
          </w:p>
        </w:tc>
      </w:tr>
      <w:tr w:rsidR="00000000" w14:paraId="5D93889D" w14:textId="77777777">
        <w:trPr>
          <w:divId w:val="1625890149"/>
          <w:jc w:val="center"/>
        </w:trPr>
        <w:tc>
          <w:tcPr>
            <w:tcW w:w="0" w:type="auto"/>
            <w:gridSpan w:val="3"/>
            <w:vAlign w:val="center"/>
            <w:hideMark/>
          </w:tcPr>
          <w:p w14:paraId="1ACC3E9F" w14:textId="77777777" w:rsidR="00000000" w:rsidRDefault="00C1661D">
            <w:pPr>
              <w:spacing w:after="100"/>
              <w:rPr>
                <w:rFonts w:eastAsia="Times New Roman"/>
                <w:sz w:val="20"/>
                <w:szCs w:val="20"/>
              </w:rPr>
            </w:pPr>
          </w:p>
        </w:tc>
        <w:tc>
          <w:tcPr>
            <w:tcW w:w="0" w:type="auto"/>
            <w:gridSpan w:val="3"/>
            <w:vAlign w:val="center"/>
            <w:hideMark/>
          </w:tcPr>
          <w:p w14:paraId="288B2511" w14:textId="77777777" w:rsidR="00000000" w:rsidRDefault="00C1661D">
            <w:pPr>
              <w:spacing w:after="100"/>
              <w:rPr>
                <w:rFonts w:eastAsia="Times New Roman"/>
                <w:sz w:val="20"/>
                <w:szCs w:val="20"/>
              </w:rPr>
            </w:pPr>
          </w:p>
        </w:tc>
        <w:tc>
          <w:tcPr>
            <w:tcW w:w="0" w:type="auto"/>
            <w:gridSpan w:val="3"/>
            <w:vAlign w:val="center"/>
            <w:hideMark/>
          </w:tcPr>
          <w:p w14:paraId="7D19C5B4" w14:textId="77777777" w:rsidR="00000000" w:rsidRDefault="00C1661D">
            <w:pPr>
              <w:spacing w:after="100"/>
              <w:rPr>
                <w:rFonts w:eastAsia="Times New Roman"/>
                <w:sz w:val="20"/>
                <w:szCs w:val="20"/>
              </w:rPr>
            </w:pPr>
          </w:p>
        </w:tc>
        <w:tc>
          <w:tcPr>
            <w:tcW w:w="0" w:type="auto"/>
            <w:gridSpan w:val="3"/>
            <w:vAlign w:val="center"/>
            <w:hideMark/>
          </w:tcPr>
          <w:p w14:paraId="60C283FF" w14:textId="77777777" w:rsidR="00000000" w:rsidRDefault="00C1661D">
            <w:pPr>
              <w:spacing w:after="100"/>
              <w:rPr>
                <w:rFonts w:eastAsia="Times New Roman"/>
                <w:sz w:val="20"/>
                <w:szCs w:val="20"/>
              </w:rPr>
            </w:pPr>
          </w:p>
        </w:tc>
        <w:tc>
          <w:tcPr>
            <w:tcW w:w="0" w:type="auto"/>
            <w:gridSpan w:val="3"/>
            <w:vAlign w:val="center"/>
            <w:hideMark/>
          </w:tcPr>
          <w:p w14:paraId="214EC659" w14:textId="77777777" w:rsidR="00000000" w:rsidRDefault="00C1661D">
            <w:pPr>
              <w:spacing w:after="100"/>
              <w:rPr>
                <w:rFonts w:eastAsia="Times New Roman"/>
                <w:sz w:val="20"/>
                <w:szCs w:val="20"/>
              </w:rPr>
            </w:pPr>
          </w:p>
        </w:tc>
        <w:tc>
          <w:tcPr>
            <w:tcW w:w="0" w:type="auto"/>
            <w:gridSpan w:val="3"/>
            <w:vAlign w:val="center"/>
            <w:hideMark/>
          </w:tcPr>
          <w:p w14:paraId="661C0FB5" w14:textId="77777777" w:rsidR="00000000" w:rsidRDefault="00C1661D">
            <w:pPr>
              <w:spacing w:after="100"/>
              <w:rPr>
                <w:rFonts w:eastAsia="Times New Roman"/>
                <w:sz w:val="20"/>
                <w:szCs w:val="20"/>
              </w:rPr>
            </w:pPr>
          </w:p>
        </w:tc>
      </w:tr>
      <w:tr w:rsidR="00000000" w14:paraId="5912767C" w14:textId="77777777">
        <w:trPr>
          <w:divId w:val="1625890149"/>
          <w:jc w:val="center"/>
        </w:trPr>
        <w:tc>
          <w:tcPr>
            <w:tcW w:w="0" w:type="auto"/>
            <w:gridSpan w:val="3"/>
            <w:vAlign w:val="center"/>
            <w:hideMark/>
          </w:tcPr>
          <w:p w14:paraId="7FECE485" w14:textId="77777777" w:rsidR="00000000" w:rsidRDefault="00C1661D">
            <w:pPr>
              <w:spacing w:after="100"/>
              <w:rPr>
                <w:rFonts w:eastAsia="Times New Roman"/>
                <w:sz w:val="20"/>
                <w:szCs w:val="20"/>
              </w:rPr>
            </w:pPr>
          </w:p>
        </w:tc>
        <w:tc>
          <w:tcPr>
            <w:tcW w:w="0" w:type="auto"/>
            <w:gridSpan w:val="3"/>
            <w:vAlign w:val="center"/>
            <w:hideMark/>
          </w:tcPr>
          <w:p w14:paraId="3E07BB53" w14:textId="77777777" w:rsidR="00000000" w:rsidRDefault="00C1661D">
            <w:pPr>
              <w:spacing w:after="100"/>
              <w:rPr>
                <w:rFonts w:eastAsia="Times New Roman"/>
                <w:sz w:val="20"/>
                <w:szCs w:val="20"/>
              </w:rPr>
            </w:pPr>
          </w:p>
        </w:tc>
        <w:tc>
          <w:tcPr>
            <w:tcW w:w="0" w:type="auto"/>
            <w:gridSpan w:val="3"/>
            <w:vAlign w:val="center"/>
            <w:hideMark/>
          </w:tcPr>
          <w:p w14:paraId="49AA467A" w14:textId="77777777" w:rsidR="00000000" w:rsidRDefault="00C1661D">
            <w:pPr>
              <w:spacing w:after="100"/>
              <w:rPr>
                <w:rFonts w:eastAsia="Times New Roman"/>
                <w:sz w:val="20"/>
                <w:szCs w:val="20"/>
              </w:rPr>
            </w:pPr>
          </w:p>
        </w:tc>
        <w:tc>
          <w:tcPr>
            <w:tcW w:w="0" w:type="auto"/>
            <w:gridSpan w:val="3"/>
            <w:vAlign w:val="center"/>
            <w:hideMark/>
          </w:tcPr>
          <w:p w14:paraId="245EA2AB" w14:textId="77777777" w:rsidR="00000000" w:rsidRDefault="00C1661D">
            <w:pPr>
              <w:spacing w:after="100"/>
              <w:rPr>
                <w:rFonts w:eastAsia="Times New Roman"/>
                <w:sz w:val="20"/>
                <w:szCs w:val="20"/>
              </w:rPr>
            </w:pPr>
          </w:p>
        </w:tc>
        <w:tc>
          <w:tcPr>
            <w:tcW w:w="0" w:type="auto"/>
            <w:gridSpan w:val="3"/>
            <w:vAlign w:val="center"/>
            <w:hideMark/>
          </w:tcPr>
          <w:p w14:paraId="5D93469F" w14:textId="77777777" w:rsidR="00000000" w:rsidRDefault="00C1661D">
            <w:pPr>
              <w:spacing w:after="100"/>
              <w:rPr>
                <w:rFonts w:eastAsia="Times New Roman"/>
                <w:sz w:val="20"/>
                <w:szCs w:val="20"/>
              </w:rPr>
            </w:pPr>
          </w:p>
        </w:tc>
        <w:tc>
          <w:tcPr>
            <w:tcW w:w="0" w:type="auto"/>
            <w:gridSpan w:val="3"/>
            <w:vAlign w:val="center"/>
            <w:hideMark/>
          </w:tcPr>
          <w:p w14:paraId="76092D0E" w14:textId="77777777" w:rsidR="00000000" w:rsidRDefault="00C1661D">
            <w:pPr>
              <w:spacing w:after="100"/>
              <w:rPr>
                <w:rFonts w:eastAsia="Times New Roman"/>
                <w:sz w:val="20"/>
                <w:szCs w:val="20"/>
              </w:rPr>
            </w:pPr>
          </w:p>
        </w:tc>
      </w:tr>
      <w:tr w:rsidR="00000000" w14:paraId="60B7AE01" w14:textId="77777777">
        <w:trPr>
          <w:divId w:val="1625890149"/>
          <w:jc w:val="center"/>
        </w:trPr>
        <w:tc>
          <w:tcPr>
            <w:tcW w:w="0" w:type="auto"/>
            <w:gridSpan w:val="3"/>
            <w:shd w:val="clear" w:color="auto" w:fill="CCEEFF"/>
            <w:tcMar>
              <w:top w:w="30" w:type="dxa"/>
              <w:left w:w="155" w:type="dxa"/>
              <w:bottom w:w="30" w:type="dxa"/>
              <w:right w:w="20" w:type="dxa"/>
            </w:tcMar>
            <w:vAlign w:val="bottom"/>
            <w:hideMark/>
          </w:tcPr>
          <w:p w14:paraId="34584B63" w14:textId="77777777" w:rsidR="00000000" w:rsidRDefault="00C1661D">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3A50F4B9" w14:textId="77777777" w:rsidR="00000000" w:rsidRDefault="00C1661D">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4EC93C4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1ACFF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A995A5"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8DE9D0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3AF75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2F0690" w14:textId="77777777" w:rsidR="00000000" w:rsidRDefault="00C1661D">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2B1BB33B" w14:textId="77777777" w:rsidR="00000000" w:rsidRDefault="00C1661D">
            <w:pPr>
              <w:spacing w:after="100"/>
              <w:jc w:val="right"/>
              <w:rPr>
                <w:rFonts w:eastAsia="Times New Roman"/>
              </w:rPr>
            </w:pPr>
          </w:p>
        </w:tc>
      </w:tr>
      <w:tr w:rsidR="00000000" w14:paraId="0DB96AF4" w14:textId="77777777">
        <w:trPr>
          <w:divId w:val="1625890149"/>
          <w:jc w:val="center"/>
        </w:trPr>
        <w:tc>
          <w:tcPr>
            <w:tcW w:w="0" w:type="auto"/>
            <w:gridSpan w:val="3"/>
            <w:shd w:val="clear" w:color="auto" w:fill="FFFFFF"/>
            <w:tcMar>
              <w:top w:w="30" w:type="dxa"/>
              <w:left w:w="155" w:type="dxa"/>
              <w:bottom w:w="30" w:type="dxa"/>
              <w:right w:w="20" w:type="dxa"/>
            </w:tcMar>
            <w:vAlign w:val="bottom"/>
            <w:hideMark/>
          </w:tcPr>
          <w:p w14:paraId="019B58D3" w14:textId="77777777" w:rsidR="00000000" w:rsidRDefault="00C1661D">
            <w:pPr>
              <w:spacing w:after="100"/>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FAB3ED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7959931" w14:textId="77777777" w:rsidR="00000000" w:rsidRDefault="00C1661D">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22B3C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56F3D8"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1D55B3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11849B5" w14:textId="77777777" w:rsidR="00000000" w:rsidRDefault="00C1661D">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D0759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3C6E69"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64875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A8DC3C" w14:textId="77777777" w:rsidR="00000000" w:rsidRDefault="00C1661D">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15DC84" w14:textId="77777777" w:rsidR="00000000" w:rsidRDefault="00C1661D">
            <w:pPr>
              <w:spacing w:after="100"/>
              <w:jc w:val="right"/>
              <w:rPr>
                <w:rFonts w:eastAsia="Times New Roman"/>
              </w:rPr>
            </w:pPr>
          </w:p>
        </w:tc>
      </w:tr>
      <w:tr w:rsidR="00000000" w14:paraId="5585D3DD" w14:textId="77777777">
        <w:trPr>
          <w:divId w:val="1625890149"/>
          <w:jc w:val="center"/>
        </w:trPr>
        <w:tc>
          <w:tcPr>
            <w:tcW w:w="0" w:type="auto"/>
            <w:gridSpan w:val="3"/>
            <w:shd w:val="clear" w:color="auto" w:fill="CCEEFF"/>
            <w:tcMar>
              <w:top w:w="30" w:type="dxa"/>
              <w:left w:w="20" w:type="dxa"/>
              <w:bottom w:w="30" w:type="dxa"/>
              <w:right w:w="20" w:type="dxa"/>
            </w:tcMar>
            <w:vAlign w:val="bottom"/>
            <w:hideMark/>
          </w:tcPr>
          <w:p w14:paraId="1D48D28F" w14:textId="77777777" w:rsidR="00000000" w:rsidRDefault="00C1661D">
            <w:pPr>
              <w:spacing w:after="100"/>
              <w:rPr>
                <w:rFonts w:eastAsia="Times New Roman"/>
              </w:rPr>
            </w:pPr>
            <w:r>
              <w:rPr>
                <w:rFonts w:eastAsia="Times New Roman"/>
                <w:b/>
                <w:bCs/>
                <w:color w:val="000000"/>
                <w:sz w:val="20"/>
                <w:szCs w:val="20"/>
              </w:rPr>
              <w:t>Total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C2691B"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46EA47" w14:textId="77777777" w:rsidR="00000000" w:rsidRDefault="00C1661D">
            <w:pPr>
              <w:spacing w:after="100"/>
              <w:jc w:val="right"/>
              <w:rPr>
                <w:rFonts w:eastAsia="Times New Roman"/>
              </w:rPr>
            </w:pPr>
            <w:r>
              <w:rPr>
                <w:rFonts w:eastAsia="Times New Roman"/>
                <w:color w:val="000000"/>
                <w:sz w:val="20"/>
                <w:szCs w:val="20"/>
              </w:rPr>
              <w:t>6,074 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968BD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7FC698"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F288FE"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7E2E99" w14:textId="77777777" w:rsidR="00000000" w:rsidRDefault="00C1661D">
            <w:pPr>
              <w:spacing w:after="100"/>
              <w:jc w:val="right"/>
              <w:rPr>
                <w:rFonts w:eastAsia="Times New Roman"/>
              </w:rPr>
            </w:pPr>
            <w:r>
              <w:rPr>
                <w:rFonts w:eastAsia="Times New Roman"/>
                <w:color w:val="000000"/>
                <w:sz w:val="20"/>
                <w:szCs w:val="20"/>
              </w:rPr>
              <w:t>5,531 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CE718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E55E79"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65FE0E"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D03E78" w14:textId="77777777" w:rsidR="00000000" w:rsidRDefault="00C1661D">
            <w:pPr>
              <w:spacing w:after="100"/>
              <w:jc w:val="right"/>
              <w:rPr>
                <w:rFonts w:eastAsia="Times New Roman"/>
              </w:rPr>
            </w:pPr>
            <w:r>
              <w:rPr>
                <w:rFonts w:eastAsia="Times New Roman"/>
                <w:color w:val="000000"/>
                <w:sz w:val="20"/>
                <w:szCs w:val="20"/>
              </w:rPr>
              <w:t>4,137 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F96434" w14:textId="77777777" w:rsidR="00000000" w:rsidRDefault="00C1661D">
            <w:pPr>
              <w:spacing w:after="100"/>
              <w:jc w:val="right"/>
              <w:rPr>
                <w:rFonts w:eastAsia="Times New Roman"/>
              </w:rPr>
            </w:pPr>
          </w:p>
        </w:tc>
      </w:tr>
    </w:tbl>
    <w:p w14:paraId="0A1DAF3D" w14:textId="77777777" w:rsidR="00000000" w:rsidRDefault="00C1661D">
      <w:pPr>
        <w:jc w:val="both"/>
        <w:divId w:val="908074330"/>
        <w:rPr>
          <w:rFonts w:eastAsia="Times New Roman"/>
        </w:rPr>
      </w:pPr>
      <w:r>
        <w:rPr>
          <w:rFonts w:eastAsia="Times New Roman"/>
          <w:color w:val="000000"/>
          <w:sz w:val="20"/>
          <w:szCs w:val="20"/>
        </w:rPr>
        <w:t>See accompanying Notes to Consolidated Financial Statements.</w:t>
      </w:r>
    </w:p>
    <w:p w14:paraId="2FD8647E" w14:textId="77777777" w:rsidR="00000000" w:rsidRDefault="00C1661D">
      <w:pPr>
        <w:jc w:val="center"/>
        <w:divId w:val="396055380"/>
        <w:rPr>
          <w:rFonts w:eastAsia="Times New Roman"/>
        </w:rPr>
      </w:pPr>
      <w:r>
        <w:rPr>
          <w:rFonts w:eastAsia="Times New Roman"/>
          <w:color w:val="000000"/>
          <w:sz w:val="20"/>
          <w:szCs w:val="20"/>
        </w:rPr>
        <w:t>F-10</w:t>
      </w:r>
    </w:p>
    <w:p w14:paraId="1B940B7E" w14:textId="77777777" w:rsidR="00000000" w:rsidRDefault="00C1661D">
      <w:pPr>
        <w:rPr>
          <w:rFonts w:eastAsia="Times New Roman"/>
        </w:rPr>
      </w:pPr>
      <w:r>
        <w:rPr>
          <w:rFonts w:eastAsia="Times New Roman"/>
        </w:rPr>
        <w:pict w14:anchorId="04616887">
          <v:rect id="_x0000_i1123" style="width:0;height:1.5pt" o:hralign="center" o:hrstd="t" o:hr="t" fillcolor="#a0a0a0" stroked="f"/>
        </w:pict>
      </w:r>
    </w:p>
    <w:p w14:paraId="1989B2D3" w14:textId="77777777" w:rsidR="00000000" w:rsidRDefault="00C1661D">
      <w:pPr>
        <w:divId w:val="1337537721"/>
        <w:rPr>
          <w:rFonts w:eastAsia="Times New Roman"/>
        </w:rPr>
      </w:pPr>
      <w:hyperlink w:anchor="i3850c3c6c0104e42b9951aac2f16098a_7" w:history="1">
        <w:r>
          <w:rPr>
            <w:rStyle w:val="a3"/>
            <w:rFonts w:eastAsia="Times New Roman"/>
            <w:b/>
            <w:bCs/>
            <w:sz w:val="20"/>
            <w:szCs w:val="20"/>
          </w:rPr>
          <w:t>Table of Contents</w:t>
        </w:r>
      </w:hyperlink>
    </w:p>
    <w:p w14:paraId="529DF828" w14:textId="77777777" w:rsidR="00000000" w:rsidRDefault="00C1661D">
      <w:pPr>
        <w:jc w:val="both"/>
        <w:rPr>
          <w:rFonts w:eastAsia="Times New Roman"/>
        </w:rPr>
      </w:pPr>
      <w:r>
        <w:rPr>
          <w:rFonts w:eastAsia="Times New Roman"/>
          <w:b/>
          <w:bCs/>
          <w:color w:val="000000"/>
          <w:sz w:val="20"/>
          <w:szCs w:val="20"/>
        </w:rPr>
        <w:t>UGI Corporation and Subsidiaries</w:t>
      </w:r>
    </w:p>
    <w:p w14:paraId="1145F684" w14:textId="77777777" w:rsidR="00000000" w:rsidRDefault="00C1661D">
      <w:pPr>
        <w:jc w:val="both"/>
        <w:rPr>
          <w:rFonts w:eastAsia="Times New Roman"/>
        </w:rPr>
      </w:pPr>
      <w:r>
        <w:rPr>
          <w:rFonts w:eastAsia="Times New Roman"/>
          <w:b/>
          <w:bCs/>
          <w:color w:val="000000"/>
          <w:sz w:val="20"/>
          <w:szCs w:val="20"/>
        </w:rPr>
        <w:t>Notes to Consolidated Financial Statements</w:t>
      </w:r>
    </w:p>
    <w:p w14:paraId="440EF394" w14:textId="77777777" w:rsidR="00000000" w:rsidRDefault="00C1661D">
      <w:pPr>
        <w:jc w:val="both"/>
        <w:rPr>
          <w:rFonts w:eastAsia="Times New Roman"/>
        </w:rPr>
      </w:pPr>
      <w:r>
        <w:rPr>
          <w:rFonts w:eastAsia="Times New Roman"/>
          <w:color w:val="000000"/>
          <w:sz w:val="20"/>
          <w:szCs w:val="20"/>
        </w:rPr>
        <w:t>(Currency in millions, except per share amounts and where indicated otherwise)</w:t>
      </w:r>
    </w:p>
    <w:p w14:paraId="0CA35580" w14:textId="77777777" w:rsidR="00000000" w:rsidRDefault="00C1661D">
      <w:pPr>
        <w:jc w:val="both"/>
        <w:rPr>
          <w:rFonts w:eastAsia="Times New Roman"/>
        </w:rPr>
      </w:pPr>
    </w:p>
    <w:p w14:paraId="7113D614" w14:textId="77777777" w:rsidR="00000000" w:rsidRDefault="00C1661D">
      <w:pPr>
        <w:jc w:val="both"/>
        <w:rPr>
          <w:rFonts w:eastAsia="Times New Roman"/>
        </w:rPr>
      </w:pPr>
      <w:r>
        <w:rPr>
          <w:rFonts w:eastAsia="Times New Roman"/>
          <w:b/>
          <w:bCs/>
          <w:color w:val="000000"/>
          <w:sz w:val="20"/>
          <w:szCs w:val="20"/>
          <w:u w:val="single"/>
        </w:rPr>
        <w:t>Index to Notes</w:t>
      </w:r>
    </w:p>
    <w:p w14:paraId="2108C184" w14:textId="77777777" w:rsidR="00000000" w:rsidRDefault="00C1661D">
      <w:pPr>
        <w:jc w:val="both"/>
        <w:divId w:val="1199320502"/>
        <w:rPr>
          <w:rFonts w:eastAsia="Times New Roman"/>
        </w:rPr>
      </w:pPr>
      <w:r>
        <w:rPr>
          <w:rFonts w:eastAsia="Times New Roman"/>
          <w:b/>
          <w:bCs/>
          <w:color w:val="000000"/>
          <w:sz w:val="20"/>
          <w:szCs w:val="20"/>
        </w:rPr>
        <w:t xml:space="preserve">Note 1 — Nature of Operations </w:t>
      </w:r>
    </w:p>
    <w:p w14:paraId="67F4AF5B" w14:textId="77777777" w:rsidR="00000000" w:rsidRDefault="00C1661D">
      <w:pPr>
        <w:jc w:val="both"/>
        <w:rPr>
          <w:rFonts w:eastAsia="Times New Roman"/>
        </w:rPr>
      </w:pPr>
      <w:r>
        <w:rPr>
          <w:rFonts w:eastAsia="Times New Roman"/>
          <w:b/>
          <w:bCs/>
          <w:color w:val="000000"/>
          <w:sz w:val="20"/>
          <w:szCs w:val="20"/>
        </w:rPr>
        <w:t>Note 2 — Summary of Significant Acc</w:t>
      </w:r>
      <w:r>
        <w:rPr>
          <w:rFonts w:eastAsia="Times New Roman"/>
          <w:b/>
          <w:bCs/>
          <w:color w:val="000000"/>
          <w:sz w:val="20"/>
          <w:szCs w:val="20"/>
        </w:rPr>
        <w:t xml:space="preserve">ounting Policies </w:t>
      </w:r>
    </w:p>
    <w:p w14:paraId="30F81E0F" w14:textId="77777777" w:rsidR="00000000" w:rsidRDefault="00C1661D">
      <w:pPr>
        <w:jc w:val="both"/>
        <w:rPr>
          <w:rFonts w:eastAsia="Times New Roman"/>
        </w:rPr>
      </w:pPr>
      <w:r>
        <w:rPr>
          <w:rFonts w:eastAsia="Times New Roman"/>
          <w:b/>
          <w:bCs/>
          <w:color w:val="000000"/>
          <w:sz w:val="20"/>
          <w:szCs w:val="20"/>
        </w:rPr>
        <w:t xml:space="preserve">Note 3 — Accounting Changes </w:t>
      </w:r>
    </w:p>
    <w:p w14:paraId="39A603C9" w14:textId="77777777" w:rsidR="00000000" w:rsidRDefault="00C1661D">
      <w:pPr>
        <w:jc w:val="both"/>
        <w:rPr>
          <w:rFonts w:eastAsia="Times New Roman"/>
        </w:rPr>
      </w:pPr>
      <w:r>
        <w:rPr>
          <w:rFonts w:eastAsia="Times New Roman"/>
          <w:b/>
          <w:bCs/>
          <w:color w:val="000000"/>
          <w:sz w:val="20"/>
          <w:szCs w:val="20"/>
        </w:rPr>
        <w:t xml:space="preserve">Note 4 — Revenue from Contracts with Customers </w:t>
      </w:r>
    </w:p>
    <w:p w14:paraId="30EC03CC" w14:textId="77777777" w:rsidR="00000000" w:rsidRDefault="00C1661D">
      <w:pPr>
        <w:jc w:val="both"/>
        <w:rPr>
          <w:rFonts w:eastAsia="Times New Roman"/>
        </w:rPr>
      </w:pPr>
      <w:r>
        <w:rPr>
          <w:rFonts w:eastAsia="Times New Roman"/>
          <w:b/>
          <w:bCs/>
          <w:color w:val="000000"/>
          <w:sz w:val="20"/>
          <w:szCs w:val="20"/>
        </w:rPr>
        <w:t xml:space="preserve">Note 5 — Acquisitions and Dispositions </w:t>
      </w:r>
    </w:p>
    <w:p w14:paraId="695A716A" w14:textId="77777777" w:rsidR="00000000" w:rsidRDefault="00C1661D">
      <w:pPr>
        <w:jc w:val="both"/>
        <w:rPr>
          <w:rFonts w:eastAsia="Times New Roman"/>
        </w:rPr>
      </w:pPr>
      <w:r>
        <w:rPr>
          <w:rFonts w:eastAsia="Times New Roman"/>
          <w:b/>
          <w:bCs/>
          <w:color w:val="000000"/>
          <w:sz w:val="20"/>
          <w:szCs w:val="20"/>
        </w:rPr>
        <w:t xml:space="preserve">Note 6 — Debt </w:t>
      </w:r>
    </w:p>
    <w:p w14:paraId="4DBDD436" w14:textId="77777777" w:rsidR="00000000" w:rsidRDefault="00C1661D">
      <w:pPr>
        <w:jc w:val="both"/>
        <w:rPr>
          <w:rFonts w:eastAsia="Times New Roman"/>
        </w:rPr>
      </w:pPr>
      <w:r>
        <w:rPr>
          <w:rFonts w:eastAsia="Times New Roman"/>
          <w:b/>
          <w:bCs/>
          <w:color w:val="000000"/>
          <w:sz w:val="20"/>
          <w:szCs w:val="20"/>
        </w:rPr>
        <w:t>Note 7 — Income Taxes</w:t>
      </w:r>
    </w:p>
    <w:p w14:paraId="0682FA41" w14:textId="77777777" w:rsidR="00000000" w:rsidRDefault="00C1661D">
      <w:pPr>
        <w:jc w:val="both"/>
        <w:rPr>
          <w:rFonts w:eastAsia="Times New Roman"/>
        </w:rPr>
      </w:pPr>
      <w:r>
        <w:rPr>
          <w:rFonts w:eastAsia="Times New Roman"/>
          <w:b/>
          <w:bCs/>
          <w:color w:val="000000"/>
          <w:sz w:val="20"/>
          <w:szCs w:val="20"/>
        </w:rPr>
        <w:t xml:space="preserve">Note 8 — Employee Retirement Plans </w:t>
      </w:r>
    </w:p>
    <w:p w14:paraId="69C752E6" w14:textId="77777777" w:rsidR="00000000" w:rsidRDefault="00C1661D">
      <w:pPr>
        <w:jc w:val="both"/>
        <w:rPr>
          <w:rFonts w:eastAsia="Times New Roman"/>
        </w:rPr>
      </w:pPr>
      <w:r>
        <w:rPr>
          <w:rFonts w:eastAsia="Times New Roman"/>
          <w:b/>
          <w:bCs/>
          <w:color w:val="000000"/>
          <w:sz w:val="20"/>
          <w:szCs w:val="20"/>
        </w:rPr>
        <w:t>Note 9 — Utility Regulatory Assets and Liabiliti</w:t>
      </w:r>
      <w:r>
        <w:rPr>
          <w:rFonts w:eastAsia="Times New Roman"/>
          <w:b/>
          <w:bCs/>
          <w:color w:val="000000"/>
          <w:sz w:val="20"/>
          <w:szCs w:val="20"/>
        </w:rPr>
        <w:t xml:space="preserve">es and Regulatory Matters </w:t>
      </w:r>
    </w:p>
    <w:p w14:paraId="1EC41FBE" w14:textId="77777777" w:rsidR="00000000" w:rsidRDefault="00C1661D">
      <w:pPr>
        <w:jc w:val="both"/>
        <w:rPr>
          <w:rFonts w:eastAsia="Times New Roman"/>
        </w:rPr>
      </w:pPr>
      <w:r>
        <w:rPr>
          <w:rFonts w:eastAsia="Times New Roman"/>
          <w:b/>
          <w:bCs/>
          <w:color w:val="000000"/>
          <w:sz w:val="20"/>
          <w:szCs w:val="20"/>
        </w:rPr>
        <w:t xml:space="preserve">Note 10 — Inventories </w:t>
      </w:r>
    </w:p>
    <w:p w14:paraId="65027BDC" w14:textId="77777777" w:rsidR="00000000" w:rsidRDefault="00C1661D">
      <w:pPr>
        <w:jc w:val="both"/>
        <w:rPr>
          <w:rFonts w:eastAsia="Times New Roman"/>
        </w:rPr>
      </w:pPr>
      <w:r>
        <w:rPr>
          <w:rFonts w:eastAsia="Times New Roman"/>
          <w:b/>
          <w:bCs/>
          <w:color w:val="000000"/>
          <w:sz w:val="20"/>
          <w:szCs w:val="20"/>
        </w:rPr>
        <w:t xml:space="preserve">Note 11 — Property, Plant and Equipment </w:t>
      </w:r>
    </w:p>
    <w:p w14:paraId="2B569DD6" w14:textId="77777777" w:rsidR="00000000" w:rsidRDefault="00C1661D">
      <w:pPr>
        <w:jc w:val="both"/>
        <w:rPr>
          <w:rFonts w:eastAsia="Times New Roman"/>
        </w:rPr>
      </w:pPr>
      <w:r>
        <w:rPr>
          <w:rFonts w:eastAsia="Times New Roman"/>
          <w:b/>
          <w:bCs/>
          <w:color w:val="000000"/>
          <w:sz w:val="20"/>
          <w:szCs w:val="20"/>
        </w:rPr>
        <w:t xml:space="preserve">Note 12 — Goodwill and Intangible Assets </w:t>
      </w:r>
    </w:p>
    <w:p w14:paraId="34F1D856" w14:textId="77777777" w:rsidR="00000000" w:rsidRDefault="00C1661D">
      <w:pPr>
        <w:jc w:val="both"/>
        <w:rPr>
          <w:rFonts w:eastAsia="Times New Roman"/>
        </w:rPr>
      </w:pPr>
      <w:r>
        <w:rPr>
          <w:rFonts w:eastAsia="Times New Roman"/>
          <w:b/>
          <w:bCs/>
          <w:color w:val="000000"/>
          <w:sz w:val="20"/>
          <w:szCs w:val="20"/>
        </w:rPr>
        <w:t xml:space="preserve">Note 13 — Equity </w:t>
      </w:r>
    </w:p>
    <w:p w14:paraId="3D051A8F" w14:textId="77777777" w:rsidR="00000000" w:rsidRDefault="00C1661D">
      <w:pPr>
        <w:jc w:val="both"/>
        <w:rPr>
          <w:rFonts w:eastAsia="Times New Roman"/>
        </w:rPr>
      </w:pPr>
      <w:r>
        <w:rPr>
          <w:rFonts w:eastAsia="Times New Roman"/>
          <w:b/>
          <w:bCs/>
          <w:color w:val="000000"/>
          <w:sz w:val="20"/>
          <w:szCs w:val="20"/>
        </w:rPr>
        <w:t xml:space="preserve">Note 14 — Equity-Based Compensation </w:t>
      </w:r>
    </w:p>
    <w:p w14:paraId="07D8A616" w14:textId="77777777" w:rsidR="00000000" w:rsidRDefault="00C1661D">
      <w:pPr>
        <w:jc w:val="both"/>
        <w:rPr>
          <w:rFonts w:eastAsia="Times New Roman"/>
        </w:rPr>
      </w:pPr>
      <w:r>
        <w:rPr>
          <w:rFonts w:eastAsia="Times New Roman"/>
          <w:b/>
          <w:bCs/>
          <w:color w:val="000000"/>
          <w:sz w:val="20"/>
          <w:szCs w:val="20"/>
        </w:rPr>
        <w:t xml:space="preserve">Note 15 — Partnership Distributions </w:t>
      </w:r>
    </w:p>
    <w:p w14:paraId="1D684E12" w14:textId="77777777" w:rsidR="00000000" w:rsidRDefault="00C1661D">
      <w:pPr>
        <w:jc w:val="both"/>
        <w:rPr>
          <w:rFonts w:eastAsia="Times New Roman"/>
        </w:rPr>
      </w:pPr>
      <w:r>
        <w:rPr>
          <w:rFonts w:eastAsia="Times New Roman"/>
          <w:b/>
          <w:bCs/>
          <w:color w:val="000000"/>
          <w:sz w:val="20"/>
          <w:szCs w:val="20"/>
        </w:rPr>
        <w:t>Note 16 — Leases</w:t>
      </w:r>
    </w:p>
    <w:p w14:paraId="4587C53B" w14:textId="77777777" w:rsidR="00000000" w:rsidRDefault="00C1661D">
      <w:pPr>
        <w:jc w:val="both"/>
        <w:rPr>
          <w:rFonts w:eastAsia="Times New Roman"/>
        </w:rPr>
      </w:pPr>
      <w:r>
        <w:rPr>
          <w:rFonts w:eastAsia="Times New Roman"/>
          <w:b/>
          <w:bCs/>
          <w:color w:val="000000"/>
          <w:sz w:val="20"/>
          <w:szCs w:val="20"/>
        </w:rPr>
        <w:t>Note 17 — Comm</w:t>
      </w:r>
      <w:r>
        <w:rPr>
          <w:rFonts w:eastAsia="Times New Roman"/>
          <w:b/>
          <w:bCs/>
          <w:color w:val="000000"/>
          <w:sz w:val="20"/>
          <w:szCs w:val="20"/>
        </w:rPr>
        <w:t xml:space="preserve">itments and Contingencies </w:t>
      </w:r>
    </w:p>
    <w:p w14:paraId="04A64739" w14:textId="77777777" w:rsidR="00000000" w:rsidRDefault="00C1661D">
      <w:pPr>
        <w:jc w:val="both"/>
        <w:rPr>
          <w:rFonts w:eastAsia="Times New Roman"/>
        </w:rPr>
      </w:pPr>
      <w:r>
        <w:rPr>
          <w:rFonts w:eastAsia="Times New Roman"/>
          <w:b/>
          <w:bCs/>
          <w:color w:val="000000"/>
          <w:sz w:val="20"/>
          <w:szCs w:val="20"/>
        </w:rPr>
        <w:t xml:space="preserve">Note 18 — Fair Value Measurements </w:t>
      </w:r>
    </w:p>
    <w:p w14:paraId="7A070090" w14:textId="77777777" w:rsidR="00000000" w:rsidRDefault="00C1661D">
      <w:pPr>
        <w:jc w:val="both"/>
        <w:rPr>
          <w:rFonts w:eastAsia="Times New Roman"/>
        </w:rPr>
      </w:pPr>
      <w:r>
        <w:rPr>
          <w:rFonts w:eastAsia="Times New Roman"/>
          <w:b/>
          <w:bCs/>
          <w:color w:val="000000"/>
          <w:sz w:val="20"/>
          <w:szCs w:val="20"/>
        </w:rPr>
        <w:t>Note 19 — Derivative Instruments and Hedging Activities</w:t>
      </w:r>
    </w:p>
    <w:p w14:paraId="79AD909E" w14:textId="77777777" w:rsidR="00000000" w:rsidRDefault="00C1661D">
      <w:pPr>
        <w:divId w:val="1044984181"/>
        <w:rPr>
          <w:rFonts w:eastAsia="Times New Roman"/>
        </w:rPr>
      </w:pPr>
      <w:r>
        <w:rPr>
          <w:rFonts w:eastAsia="Times New Roman"/>
          <w:b/>
          <w:bCs/>
          <w:color w:val="000000"/>
          <w:sz w:val="20"/>
          <w:szCs w:val="20"/>
        </w:rPr>
        <w:t xml:space="preserve">Note 20 — Accumulated Other Comprehensive Income (Loss) </w:t>
      </w:r>
    </w:p>
    <w:p w14:paraId="1291E46E" w14:textId="77777777" w:rsidR="00000000" w:rsidRDefault="00C1661D">
      <w:pPr>
        <w:jc w:val="both"/>
        <w:rPr>
          <w:rFonts w:eastAsia="Times New Roman"/>
        </w:rPr>
      </w:pPr>
      <w:r>
        <w:rPr>
          <w:rFonts w:eastAsia="Times New Roman"/>
          <w:b/>
          <w:bCs/>
          <w:color w:val="000000"/>
          <w:sz w:val="20"/>
          <w:szCs w:val="20"/>
        </w:rPr>
        <w:t xml:space="preserve">Note 21 — </w:t>
      </w:r>
      <w:r>
        <w:rPr>
          <w:rFonts w:eastAsia="Times New Roman"/>
          <w:b/>
          <w:bCs/>
          <w:color w:val="000000"/>
          <w:sz w:val="20"/>
          <w:szCs w:val="20"/>
        </w:rPr>
        <w:t xml:space="preserve">Other Operating Income, Net and Other Non-Operating Income (Expense), Net </w:t>
      </w:r>
    </w:p>
    <w:p w14:paraId="01F4FA26" w14:textId="77777777" w:rsidR="00000000" w:rsidRDefault="00C1661D">
      <w:pPr>
        <w:jc w:val="both"/>
        <w:rPr>
          <w:rFonts w:eastAsia="Times New Roman"/>
        </w:rPr>
      </w:pPr>
      <w:r>
        <w:rPr>
          <w:rFonts w:eastAsia="Times New Roman"/>
          <w:b/>
          <w:bCs/>
          <w:color w:val="000000"/>
          <w:sz w:val="20"/>
          <w:szCs w:val="20"/>
        </w:rPr>
        <w:t xml:space="preserve">Note 22 — Equity Method Investments </w:t>
      </w:r>
    </w:p>
    <w:p w14:paraId="2E2D4166" w14:textId="77777777" w:rsidR="00000000" w:rsidRDefault="00C1661D">
      <w:pPr>
        <w:jc w:val="both"/>
        <w:rPr>
          <w:rFonts w:eastAsia="Times New Roman"/>
        </w:rPr>
      </w:pPr>
      <w:r>
        <w:rPr>
          <w:rFonts w:eastAsia="Times New Roman"/>
          <w:b/>
          <w:bCs/>
          <w:color w:val="000000"/>
          <w:sz w:val="20"/>
          <w:szCs w:val="20"/>
        </w:rPr>
        <w:t xml:space="preserve">Note 23 — Segment Information </w:t>
      </w:r>
    </w:p>
    <w:p w14:paraId="1932A560" w14:textId="77777777" w:rsidR="00000000" w:rsidRDefault="00C1661D">
      <w:pPr>
        <w:jc w:val="both"/>
        <w:rPr>
          <w:rFonts w:eastAsia="Times New Roman"/>
        </w:rPr>
      </w:pPr>
      <w:r>
        <w:rPr>
          <w:rFonts w:eastAsia="Times New Roman"/>
          <w:b/>
          <w:bCs/>
          <w:color w:val="000000"/>
          <w:sz w:val="20"/>
          <w:szCs w:val="20"/>
        </w:rPr>
        <w:t>Note 24 — Business Transformation Initiatives</w:t>
      </w:r>
    </w:p>
    <w:p w14:paraId="46FF0AA6" w14:textId="77777777" w:rsidR="00000000" w:rsidRDefault="00C1661D">
      <w:pPr>
        <w:jc w:val="both"/>
        <w:rPr>
          <w:rFonts w:eastAsia="Times New Roman"/>
        </w:rPr>
      </w:pPr>
      <w:r>
        <w:rPr>
          <w:rFonts w:eastAsia="Times New Roman"/>
          <w:b/>
          <w:bCs/>
          <w:color w:val="000000"/>
          <w:sz w:val="20"/>
          <w:szCs w:val="20"/>
        </w:rPr>
        <w:t>Note 25 — Subsequent Events</w:t>
      </w:r>
    </w:p>
    <w:p w14:paraId="414853AD" w14:textId="77777777" w:rsidR="00000000" w:rsidRDefault="00C1661D">
      <w:pPr>
        <w:jc w:val="both"/>
        <w:rPr>
          <w:rFonts w:eastAsia="Times New Roman"/>
        </w:rPr>
      </w:pPr>
    </w:p>
    <w:p w14:paraId="0EBEF7BB" w14:textId="77777777" w:rsidR="00000000" w:rsidRDefault="00C1661D">
      <w:pPr>
        <w:jc w:val="both"/>
        <w:rPr>
          <w:rFonts w:eastAsia="Times New Roman"/>
        </w:rPr>
      </w:pPr>
    </w:p>
    <w:p w14:paraId="4F327947" w14:textId="77777777" w:rsidR="00000000" w:rsidRDefault="00C1661D">
      <w:pPr>
        <w:jc w:val="both"/>
        <w:rPr>
          <w:rFonts w:eastAsia="Times New Roman"/>
        </w:rPr>
      </w:pPr>
      <w:r>
        <w:rPr>
          <w:rFonts w:eastAsia="Times New Roman"/>
          <w:b/>
          <w:bCs/>
          <w:color w:val="000000"/>
          <w:sz w:val="20"/>
          <w:szCs w:val="20"/>
          <w:u w:val="single"/>
        </w:rPr>
        <w:t xml:space="preserve">Note 1 — Nature of Operations </w:t>
      </w:r>
    </w:p>
    <w:p w14:paraId="5E638969" w14:textId="77777777" w:rsidR="00000000" w:rsidRDefault="00C1661D">
      <w:pPr>
        <w:divId w:val="2035768941"/>
        <w:rPr>
          <w:rFonts w:eastAsia="Times New Roman"/>
        </w:rPr>
      </w:pPr>
    </w:p>
    <w:p w14:paraId="2B9B5B36" w14:textId="77777777" w:rsidR="00000000" w:rsidRDefault="00C1661D">
      <w:pPr>
        <w:jc w:val="both"/>
        <w:rPr>
          <w:rFonts w:eastAsia="Times New Roman"/>
        </w:rPr>
      </w:pPr>
      <w:r>
        <w:rPr>
          <w:rFonts w:eastAsia="Times New Roman"/>
          <w:color w:val="000000"/>
          <w:sz w:val="20"/>
          <w:szCs w:val="20"/>
        </w:rPr>
        <w:t xml:space="preserve">UGI is a holding company that, through subsidiaries and affiliates, distributes, stores, transports and markets energy products and related services. In the U.S., we own and operate (1) a retail propane marketing and distribution business; (2) natural gas </w:t>
      </w:r>
      <w:r>
        <w:rPr>
          <w:rFonts w:eastAsia="Times New Roman"/>
          <w:color w:val="000000"/>
          <w:sz w:val="20"/>
          <w:szCs w:val="20"/>
        </w:rPr>
        <w:t>and electric distribution utilities; and (3) energy marketing, midstream infrastructure, storage, natural gas gathering and processing, natural gas production, electricity generation and energy services businesses. In Europe, we market and distribute propa</w:t>
      </w:r>
      <w:r>
        <w:rPr>
          <w:rFonts w:eastAsia="Times New Roman"/>
          <w:color w:val="000000"/>
          <w:sz w:val="20"/>
          <w:szCs w:val="20"/>
        </w:rPr>
        <w:t xml:space="preserve">ne and other LPG, and market other energy products and services. </w:t>
      </w:r>
    </w:p>
    <w:p w14:paraId="0206E6D6" w14:textId="77777777" w:rsidR="00000000" w:rsidRDefault="00C1661D">
      <w:pPr>
        <w:divId w:val="222566511"/>
        <w:rPr>
          <w:rFonts w:eastAsia="Times New Roman"/>
        </w:rPr>
      </w:pPr>
    </w:p>
    <w:p w14:paraId="5DD24667" w14:textId="77777777" w:rsidR="00000000" w:rsidRDefault="00C1661D">
      <w:pPr>
        <w:jc w:val="both"/>
        <w:rPr>
          <w:rFonts w:eastAsia="Times New Roman"/>
        </w:rPr>
      </w:pPr>
      <w:r>
        <w:rPr>
          <w:rFonts w:eastAsia="Times New Roman"/>
          <w:color w:val="000000"/>
          <w:sz w:val="20"/>
          <w:szCs w:val="20"/>
        </w:rPr>
        <w:t>We conduct a domestic propane marketing and distribution business through AmeriGas Partners. AmeriGas Partners conducts a national propane distribution business through its principal opera</w:t>
      </w:r>
      <w:r>
        <w:rPr>
          <w:rFonts w:eastAsia="Times New Roman"/>
          <w:color w:val="000000"/>
          <w:sz w:val="20"/>
          <w:szCs w:val="20"/>
        </w:rPr>
        <w:t xml:space="preserve">ting subsidiary AmeriGas OLP. AmeriGas Partners and AmeriGas OLP are Delaware limited partnerships. UGI’s wholly owned second-tier subsidiary, AmeriGas Propane, Inc., serves as the general partner of AmeriGas Partners. </w:t>
      </w:r>
    </w:p>
    <w:p w14:paraId="66E3D321" w14:textId="77777777" w:rsidR="00000000" w:rsidRDefault="00C1661D">
      <w:pPr>
        <w:jc w:val="both"/>
        <w:rPr>
          <w:rFonts w:eastAsia="Times New Roman"/>
        </w:rPr>
      </w:pPr>
    </w:p>
    <w:p w14:paraId="4D27978B" w14:textId="77777777" w:rsidR="00000000" w:rsidRDefault="00C1661D">
      <w:pPr>
        <w:jc w:val="both"/>
        <w:rPr>
          <w:rFonts w:eastAsia="Times New Roman"/>
        </w:rPr>
      </w:pPr>
      <w:r>
        <w:rPr>
          <w:rFonts w:eastAsia="Times New Roman"/>
          <w:color w:val="000000"/>
          <w:sz w:val="20"/>
          <w:szCs w:val="20"/>
        </w:rPr>
        <w:t>UGI International, through subsidi</w:t>
      </w:r>
      <w:r>
        <w:rPr>
          <w:rFonts w:eastAsia="Times New Roman"/>
          <w:color w:val="000000"/>
          <w:sz w:val="20"/>
          <w:szCs w:val="20"/>
        </w:rPr>
        <w:t xml:space="preserve">aries and affiliates, conducts (1) an LPG distribution business throughout much of Europe and (2) an energy marketing business in France, Belgium, the Netherlands and the United Kingdom. These businesses are conducted principally through our subsidiaries, </w:t>
      </w:r>
      <w:r>
        <w:rPr>
          <w:rFonts w:eastAsia="Times New Roman"/>
          <w:color w:val="000000"/>
          <w:sz w:val="20"/>
          <w:szCs w:val="20"/>
        </w:rPr>
        <w:t xml:space="preserve">UGI France, Flaga, AvantiGas, DVEP and UniverGas. See Note 25 for additional information regarding the October 2022 sale of the United Kingdom energy marketing business and the November 2022 announcement related to the France energy marketing business. </w:t>
      </w:r>
    </w:p>
    <w:p w14:paraId="02ED8152" w14:textId="77777777" w:rsidR="00000000" w:rsidRDefault="00C1661D">
      <w:pPr>
        <w:jc w:val="both"/>
        <w:rPr>
          <w:rFonts w:eastAsia="Times New Roman"/>
        </w:rPr>
      </w:pPr>
    </w:p>
    <w:p w14:paraId="6C86E7C0" w14:textId="77777777" w:rsidR="00000000" w:rsidRDefault="00C1661D">
      <w:pPr>
        <w:jc w:val="both"/>
        <w:rPr>
          <w:rFonts w:eastAsia="Times New Roman"/>
        </w:rPr>
      </w:pPr>
      <w:r>
        <w:rPr>
          <w:rFonts w:eastAsia="Times New Roman"/>
          <w:color w:val="000000"/>
          <w:sz w:val="20"/>
          <w:szCs w:val="20"/>
        </w:rPr>
        <w:t>Energy Services conducts, directly and through subsidiaries and affiliates, energy marketing, including RNG, midstream transmission, LNG storage, natural gas gathering and processing, natural gas and RNG production, electricity generation and energy servic</w:t>
      </w:r>
      <w:r>
        <w:rPr>
          <w:rFonts w:eastAsia="Times New Roman"/>
          <w:color w:val="000000"/>
          <w:sz w:val="20"/>
          <w:szCs w:val="20"/>
        </w:rPr>
        <w:t xml:space="preserve">es businesses primarily in the eastern region of the U.S., eastern Ohio, the panhandle of West Virginia and </w:t>
      </w:r>
    </w:p>
    <w:p w14:paraId="0E759D1A" w14:textId="77777777" w:rsidR="00000000" w:rsidRDefault="00C1661D">
      <w:pPr>
        <w:jc w:val="center"/>
        <w:divId w:val="2013096054"/>
        <w:rPr>
          <w:rFonts w:eastAsia="Times New Roman"/>
        </w:rPr>
      </w:pPr>
      <w:r>
        <w:rPr>
          <w:rFonts w:eastAsia="Times New Roman"/>
          <w:color w:val="000000"/>
          <w:sz w:val="20"/>
          <w:szCs w:val="20"/>
        </w:rPr>
        <w:t>F-11</w:t>
      </w:r>
    </w:p>
    <w:p w14:paraId="5118ABA9" w14:textId="77777777" w:rsidR="00000000" w:rsidRDefault="00C1661D">
      <w:pPr>
        <w:rPr>
          <w:rFonts w:eastAsia="Times New Roman"/>
        </w:rPr>
      </w:pPr>
      <w:r>
        <w:rPr>
          <w:rFonts w:eastAsia="Times New Roman"/>
        </w:rPr>
        <w:pict w14:anchorId="27F3BE9D">
          <v:rect id="_x0000_i1124" style="width:0;height:1.5pt" o:hralign="center" o:hrstd="t" o:hr="t" fillcolor="#a0a0a0" stroked="f"/>
        </w:pict>
      </w:r>
    </w:p>
    <w:p w14:paraId="3A7E5B98" w14:textId="77777777" w:rsidR="00000000" w:rsidRDefault="00C1661D">
      <w:pPr>
        <w:divId w:val="1314063069"/>
        <w:rPr>
          <w:rFonts w:eastAsia="Times New Roman"/>
        </w:rPr>
      </w:pPr>
      <w:hyperlink w:anchor="i3850c3c6c0104e42b9951aac2f16098a_7" w:history="1">
        <w:r>
          <w:rPr>
            <w:rStyle w:val="a3"/>
            <w:rFonts w:eastAsia="Times New Roman"/>
            <w:sz w:val="20"/>
            <w:szCs w:val="20"/>
          </w:rPr>
          <w:t>Table of Contents</w:t>
        </w:r>
      </w:hyperlink>
    </w:p>
    <w:p w14:paraId="1C8CB0F6" w14:textId="77777777" w:rsidR="00000000" w:rsidRDefault="00C1661D">
      <w:pPr>
        <w:divId w:val="1947494067"/>
        <w:rPr>
          <w:rFonts w:eastAsia="Times New Roman"/>
        </w:rPr>
      </w:pPr>
      <w:r>
        <w:rPr>
          <w:rFonts w:eastAsia="Times New Roman"/>
          <w:b/>
          <w:bCs/>
          <w:color w:val="000000"/>
          <w:sz w:val="20"/>
          <w:szCs w:val="20"/>
        </w:rPr>
        <w:t>UGI Corporation and Subsidiari</w:t>
      </w:r>
      <w:r>
        <w:rPr>
          <w:rFonts w:eastAsia="Times New Roman"/>
          <w:b/>
          <w:bCs/>
          <w:color w:val="000000"/>
          <w:sz w:val="20"/>
          <w:szCs w:val="20"/>
        </w:rPr>
        <w:t>es</w:t>
      </w:r>
    </w:p>
    <w:p w14:paraId="5C6D7F91" w14:textId="77777777" w:rsidR="00000000" w:rsidRDefault="00C1661D">
      <w:pPr>
        <w:divId w:val="163864762"/>
        <w:rPr>
          <w:rFonts w:eastAsia="Times New Roman"/>
        </w:rPr>
      </w:pPr>
      <w:r>
        <w:rPr>
          <w:rFonts w:eastAsia="Times New Roman"/>
          <w:b/>
          <w:bCs/>
          <w:color w:val="000000"/>
          <w:sz w:val="20"/>
          <w:szCs w:val="20"/>
        </w:rPr>
        <w:t>Notes to Consolidated Financial Statements</w:t>
      </w:r>
    </w:p>
    <w:p w14:paraId="6FC3D256" w14:textId="77777777" w:rsidR="00000000" w:rsidRDefault="00C1661D">
      <w:pPr>
        <w:divId w:val="1500579063"/>
        <w:rPr>
          <w:rFonts w:eastAsia="Times New Roman"/>
        </w:rPr>
      </w:pPr>
      <w:r>
        <w:rPr>
          <w:rFonts w:eastAsia="Times New Roman"/>
          <w:color w:val="000000"/>
          <w:sz w:val="20"/>
          <w:szCs w:val="20"/>
        </w:rPr>
        <w:t>(Currency in millions, except per share amounts and where indicated otherwise)</w:t>
      </w:r>
    </w:p>
    <w:p w14:paraId="46692654" w14:textId="77777777" w:rsidR="00000000" w:rsidRDefault="00C1661D">
      <w:pPr>
        <w:jc w:val="both"/>
        <w:rPr>
          <w:rFonts w:eastAsia="Times New Roman"/>
        </w:rPr>
      </w:pPr>
      <w:r>
        <w:rPr>
          <w:rFonts w:eastAsia="Times New Roman"/>
          <w:color w:val="000000"/>
          <w:sz w:val="20"/>
          <w:szCs w:val="20"/>
        </w:rPr>
        <w:t xml:space="preserve">California. UGID owns electricity generation facilities principally located in Pennsylvania. Energy Services and its subsidiaries’ </w:t>
      </w:r>
      <w:r>
        <w:rPr>
          <w:rFonts w:eastAsia="Times New Roman"/>
          <w:color w:val="000000"/>
          <w:sz w:val="20"/>
          <w:szCs w:val="20"/>
        </w:rPr>
        <w:t>storage, LNG and portions of its midstream transmission operations are subject to regulation by the FERC.</w:t>
      </w:r>
    </w:p>
    <w:p w14:paraId="4AF02C5F" w14:textId="77777777" w:rsidR="00000000" w:rsidRDefault="00C1661D">
      <w:pPr>
        <w:jc w:val="both"/>
        <w:rPr>
          <w:rFonts w:eastAsia="Times New Roman"/>
        </w:rPr>
      </w:pPr>
    </w:p>
    <w:p w14:paraId="7AE319C4" w14:textId="77777777" w:rsidR="00000000" w:rsidRDefault="00C1661D">
      <w:pPr>
        <w:jc w:val="both"/>
        <w:rPr>
          <w:rFonts w:eastAsia="Times New Roman"/>
        </w:rPr>
      </w:pPr>
      <w:r>
        <w:rPr>
          <w:rFonts w:eastAsia="Times New Roman"/>
          <w:color w:val="000000"/>
          <w:sz w:val="20"/>
          <w:szCs w:val="20"/>
        </w:rPr>
        <w:t>Upon acquisition of Mountaineer on September, 1, 2021, our Utilities segment includes UGI Utilities and Mountaintop Energy Holdings, LLC. For additi</w:t>
      </w:r>
      <w:r>
        <w:rPr>
          <w:rFonts w:eastAsia="Times New Roman"/>
          <w:color w:val="000000"/>
          <w:sz w:val="20"/>
          <w:szCs w:val="20"/>
        </w:rPr>
        <w:t>onal information on the Mountaineer Acquisition, see Note 5. PA Gas Utility serves customers in eastern and central Pennsylvania and in portions of one Maryland county, and Mountaineer serves customers in West Virginia. Electric Utility serves customers in</w:t>
      </w:r>
      <w:r>
        <w:rPr>
          <w:rFonts w:eastAsia="Times New Roman"/>
          <w:color w:val="000000"/>
          <w:sz w:val="20"/>
          <w:szCs w:val="20"/>
        </w:rPr>
        <w:t xml:space="preserve"> portions of Luzerne and Wyoming counties in northeastern Pennsylvania. PA Gas Utility is subject to regulation by the PAPUC and FERC and, with respect to its customers in Maryland, the MDPSC. Mountaineer is subject to regulation by the WVPSC and FERC. Ele</w:t>
      </w:r>
      <w:r>
        <w:rPr>
          <w:rFonts w:eastAsia="Times New Roman"/>
          <w:color w:val="000000"/>
          <w:sz w:val="20"/>
          <w:szCs w:val="20"/>
        </w:rPr>
        <w:t>ctric Utility is subject to regulation by the PAPUC and FERC.</w:t>
      </w:r>
      <w:r>
        <w:rPr>
          <w:rFonts w:eastAsia="Times New Roman"/>
          <w:color w:val="000000"/>
        </w:rPr>
        <w:t xml:space="preserve"> </w:t>
      </w:r>
    </w:p>
    <w:p w14:paraId="75606B90" w14:textId="77777777" w:rsidR="00000000" w:rsidRDefault="00C1661D">
      <w:pPr>
        <w:jc w:val="both"/>
        <w:rPr>
          <w:rFonts w:eastAsia="Times New Roman"/>
        </w:rPr>
      </w:pPr>
    </w:p>
    <w:p w14:paraId="0F0B5ACB" w14:textId="77777777" w:rsidR="00000000" w:rsidRDefault="00C1661D">
      <w:pPr>
        <w:jc w:val="both"/>
        <w:rPr>
          <w:rFonts w:eastAsia="Times New Roman"/>
        </w:rPr>
      </w:pPr>
      <w:r>
        <w:rPr>
          <w:rFonts w:eastAsia="Times New Roman"/>
          <w:b/>
          <w:bCs/>
          <w:color w:val="000000"/>
          <w:sz w:val="20"/>
          <w:szCs w:val="20"/>
          <w:u w:val="single"/>
        </w:rPr>
        <w:t xml:space="preserve">Note 2 — Summary of Significant Accounting Policies </w:t>
      </w:r>
    </w:p>
    <w:p w14:paraId="41A6CB61" w14:textId="77777777" w:rsidR="00000000" w:rsidRDefault="00C1661D">
      <w:pPr>
        <w:jc w:val="both"/>
        <w:divId w:val="1618491762"/>
        <w:rPr>
          <w:rFonts w:eastAsia="Times New Roman"/>
        </w:rPr>
      </w:pPr>
      <w:r>
        <w:rPr>
          <w:rFonts w:eastAsia="Times New Roman"/>
          <w:b/>
          <w:bCs/>
          <w:color w:val="000000"/>
          <w:sz w:val="20"/>
          <w:szCs w:val="20"/>
        </w:rPr>
        <w:t>Basis of Presentation</w:t>
      </w:r>
    </w:p>
    <w:p w14:paraId="36D51378" w14:textId="77777777" w:rsidR="00000000" w:rsidRDefault="00C1661D">
      <w:pPr>
        <w:jc w:val="both"/>
        <w:divId w:val="1776637441"/>
        <w:rPr>
          <w:rFonts w:eastAsia="Times New Roman"/>
        </w:rPr>
      </w:pPr>
      <w:r>
        <w:rPr>
          <w:rFonts w:eastAsia="Times New Roman"/>
          <w:color w:val="000000"/>
          <w:sz w:val="20"/>
          <w:szCs w:val="20"/>
        </w:rPr>
        <w:t>Our consolidated financial statements are prepared in accordance with GAAP. The preparation of financial statements in accordance with GAAP requires management to make estimates and assumptions that affect the reported amounts of assets, liabilities, reven</w:t>
      </w:r>
      <w:r>
        <w:rPr>
          <w:rFonts w:eastAsia="Times New Roman"/>
          <w:color w:val="000000"/>
          <w:sz w:val="20"/>
          <w:szCs w:val="20"/>
        </w:rPr>
        <w:t>ues, expenses and costs. These estimates are based on management’s knowledge of current events, historical experience and various other assumptions that are believed to be reasonable under the circumstances. Accordingly, actual results may be different fro</w:t>
      </w:r>
      <w:r>
        <w:rPr>
          <w:rFonts w:eastAsia="Times New Roman"/>
          <w:color w:val="000000"/>
          <w:sz w:val="20"/>
          <w:szCs w:val="20"/>
        </w:rPr>
        <w:t>m these estimates and assumptions.</w:t>
      </w:r>
    </w:p>
    <w:p w14:paraId="2758A428" w14:textId="77777777" w:rsidR="00000000" w:rsidRDefault="00C1661D">
      <w:pPr>
        <w:jc w:val="both"/>
        <w:divId w:val="2131508381"/>
        <w:rPr>
          <w:rFonts w:eastAsia="Times New Roman"/>
        </w:rPr>
      </w:pPr>
      <w:r>
        <w:rPr>
          <w:rFonts w:eastAsia="Times New Roman"/>
          <w:color w:val="000000"/>
          <w:sz w:val="20"/>
          <w:szCs w:val="20"/>
        </w:rPr>
        <w:t>For purposes of comparability, certain prior-year amounts have been reclassified to conform to the current-year presentation. During the second quarter of Fiscal 2022, the Company reclassified certain amounts on the Conso</w:t>
      </w:r>
      <w:r>
        <w:rPr>
          <w:rFonts w:eastAsia="Times New Roman"/>
          <w:color w:val="000000"/>
          <w:sz w:val="20"/>
          <w:szCs w:val="20"/>
        </w:rPr>
        <w:t>lidated Balance Sheet and Consolidated Statement of Changes in Equity related to the accounting for the Equity Units issued in May 2021.</w:t>
      </w:r>
    </w:p>
    <w:p w14:paraId="0E9E69E7" w14:textId="77777777" w:rsidR="00000000" w:rsidRDefault="00C1661D">
      <w:pPr>
        <w:jc w:val="both"/>
        <w:divId w:val="1909800137"/>
        <w:rPr>
          <w:rFonts w:eastAsia="Times New Roman"/>
        </w:rPr>
      </w:pPr>
      <w:r>
        <w:rPr>
          <w:rFonts w:eastAsia="Times New Roman"/>
          <w:b/>
          <w:bCs/>
          <w:color w:val="000000"/>
          <w:sz w:val="20"/>
          <w:szCs w:val="20"/>
        </w:rPr>
        <w:t>Principles of Consolidation</w:t>
      </w:r>
    </w:p>
    <w:p w14:paraId="6E516E73" w14:textId="77777777" w:rsidR="00000000" w:rsidRDefault="00C1661D">
      <w:pPr>
        <w:jc w:val="both"/>
        <w:divId w:val="1942175570"/>
        <w:rPr>
          <w:rFonts w:eastAsia="Times New Roman"/>
        </w:rPr>
      </w:pPr>
      <w:r>
        <w:rPr>
          <w:rFonts w:eastAsia="Times New Roman"/>
          <w:color w:val="000000"/>
          <w:sz w:val="20"/>
          <w:szCs w:val="20"/>
        </w:rPr>
        <w:t>The consolidated financial statements include the accounts of UGI and its controlled subsid</w:t>
      </w:r>
      <w:r>
        <w:rPr>
          <w:rFonts w:eastAsia="Times New Roman"/>
          <w:color w:val="000000"/>
          <w:sz w:val="20"/>
          <w:szCs w:val="20"/>
        </w:rPr>
        <w:t>iary companies which are majority owned. We report outside ownership interests in other consolidated but less than 100%-owned subsidiaries, as noncontrolling interests. We eliminate intercompany accounts and transactions when we consolidate.</w:t>
      </w:r>
    </w:p>
    <w:p w14:paraId="45072012" w14:textId="77777777" w:rsidR="00000000" w:rsidRDefault="00C1661D">
      <w:pPr>
        <w:jc w:val="both"/>
        <w:divId w:val="1342926161"/>
        <w:rPr>
          <w:rFonts w:eastAsia="Times New Roman"/>
        </w:rPr>
      </w:pPr>
      <w:r>
        <w:rPr>
          <w:rFonts w:eastAsia="Times New Roman"/>
          <w:color w:val="000000"/>
          <w:sz w:val="20"/>
          <w:szCs w:val="20"/>
        </w:rPr>
        <w:t>We account for</w:t>
      </w:r>
      <w:r>
        <w:rPr>
          <w:rFonts w:eastAsia="Times New Roman"/>
          <w:color w:val="000000"/>
          <w:sz w:val="20"/>
          <w:szCs w:val="20"/>
        </w:rPr>
        <w:t xml:space="preserve"> privately held equity securities of entities without readily determinable fair values in which we do not have control, but have significant influence over operating and financial policies, under the equity method. See Note 22 for more information on our e</w:t>
      </w:r>
      <w:r>
        <w:rPr>
          <w:rFonts w:eastAsia="Times New Roman"/>
          <w:color w:val="000000"/>
          <w:sz w:val="20"/>
          <w:szCs w:val="20"/>
        </w:rPr>
        <w:t>quity method investments. Investments in equity securities related to entities in which we do not have significant influence over operating and financial policies are generally initially valued at their cost less impairment (if any) and subsequently remeas</w:t>
      </w:r>
      <w:r>
        <w:rPr>
          <w:rFonts w:eastAsia="Times New Roman"/>
          <w:color w:val="000000"/>
          <w:sz w:val="20"/>
          <w:szCs w:val="20"/>
        </w:rPr>
        <w:t xml:space="preserve">ured at fair value, as applicable, in accordance with the relevant provisions under GAAP. </w:t>
      </w:r>
    </w:p>
    <w:p w14:paraId="3D663AC4" w14:textId="77777777" w:rsidR="00000000" w:rsidRDefault="00C1661D">
      <w:pPr>
        <w:jc w:val="both"/>
        <w:divId w:val="1950769036"/>
        <w:rPr>
          <w:rFonts w:eastAsia="Times New Roman"/>
        </w:rPr>
      </w:pPr>
      <w:r>
        <w:rPr>
          <w:rFonts w:eastAsia="Times New Roman"/>
          <w:b/>
          <w:bCs/>
          <w:color w:val="000000"/>
          <w:sz w:val="20"/>
          <w:szCs w:val="20"/>
        </w:rPr>
        <w:t>Effects of Regulation</w:t>
      </w:r>
    </w:p>
    <w:p w14:paraId="15E93E15" w14:textId="77777777" w:rsidR="00000000" w:rsidRDefault="00C1661D">
      <w:pPr>
        <w:jc w:val="both"/>
        <w:divId w:val="255721574"/>
        <w:rPr>
          <w:rFonts w:eastAsia="Times New Roman"/>
        </w:rPr>
      </w:pPr>
      <w:r>
        <w:rPr>
          <w:rFonts w:eastAsia="Times New Roman"/>
          <w:color w:val="000000"/>
          <w:sz w:val="20"/>
          <w:szCs w:val="20"/>
        </w:rPr>
        <w:t>Certain of our subsidiaries account for the financial effects of regulation in accordance with ASC 980. In accordance with this guidance, incur</w:t>
      </w:r>
      <w:r>
        <w:rPr>
          <w:rFonts w:eastAsia="Times New Roman"/>
          <w:color w:val="000000"/>
          <w:sz w:val="20"/>
          <w:szCs w:val="20"/>
        </w:rPr>
        <w:t>red costs that would otherwise be charged to expense are capitalized and recorded as regulatory assets when it is probable that the incurred costs will be recovered through rates in the future. Similarly, we recognize regulatory liabilities when it is prob</w:t>
      </w:r>
      <w:r>
        <w:rPr>
          <w:rFonts w:eastAsia="Times New Roman"/>
          <w:color w:val="000000"/>
          <w:sz w:val="20"/>
          <w:szCs w:val="20"/>
        </w:rPr>
        <w:t xml:space="preserve">able that regulators will require customer refunds through future rates or when revenue is collected from customers for expenditures that have not yet been incurred. Regulatory assets and liabilities are classified as current if, upon initial recognition, </w:t>
      </w:r>
      <w:r>
        <w:rPr>
          <w:rFonts w:eastAsia="Times New Roman"/>
          <w:color w:val="000000"/>
          <w:sz w:val="20"/>
          <w:szCs w:val="20"/>
        </w:rPr>
        <w:t>the entire amount related to that item will be recovered or refunded within a year of the balance sheet date. Generally, regulatory assets and regulatory liabilities are amortized into expense and income over the periods authorized by the respective regula</w:t>
      </w:r>
      <w:r>
        <w:rPr>
          <w:rFonts w:eastAsia="Times New Roman"/>
          <w:color w:val="000000"/>
          <w:sz w:val="20"/>
          <w:szCs w:val="20"/>
        </w:rPr>
        <w:t>tory body. For additional information regarding the effects of rate regulation on our utility operations, see Note 9.</w:t>
      </w:r>
    </w:p>
    <w:p w14:paraId="2FFF6D0B" w14:textId="77777777" w:rsidR="00000000" w:rsidRDefault="00C1661D">
      <w:pPr>
        <w:jc w:val="both"/>
        <w:divId w:val="1299459877"/>
        <w:rPr>
          <w:rFonts w:eastAsia="Times New Roman"/>
        </w:rPr>
      </w:pPr>
      <w:r>
        <w:rPr>
          <w:rFonts w:eastAsia="Times New Roman"/>
          <w:b/>
          <w:bCs/>
          <w:color w:val="000000"/>
          <w:sz w:val="20"/>
          <w:szCs w:val="20"/>
        </w:rPr>
        <w:t>Fair Value Measurements</w:t>
      </w:r>
    </w:p>
    <w:p w14:paraId="7507086C" w14:textId="77777777" w:rsidR="00000000" w:rsidRDefault="00C1661D">
      <w:pPr>
        <w:jc w:val="both"/>
        <w:divId w:val="705444792"/>
        <w:rPr>
          <w:rFonts w:eastAsia="Times New Roman"/>
        </w:rPr>
      </w:pPr>
      <w:r>
        <w:rPr>
          <w:rFonts w:eastAsia="Times New Roman"/>
          <w:color w:val="000000"/>
          <w:sz w:val="20"/>
          <w:szCs w:val="20"/>
        </w:rPr>
        <w:t>The Company applies fair value measurements on a recurring and, as otherwise required under ASC 820, on a nonrecur</w:t>
      </w:r>
      <w:r>
        <w:rPr>
          <w:rFonts w:eastAsia="Times New Roman"/>
          <w:color w:val="000000"/>
          <w:sz w:val="20"/>
          <w:szCs w:val="20"/>
        </w:rPr>
        <w:t>ring basis. Fair value is defined as the price that would be received to sell an asset or paid to transfer a liability (an exit price) in an orderly transaction between market participants at the measurement date. Fair value measurements performed on a rec</w:t>
      </w:r>
      <w:r>
        <w:rPr>
          <w:rFonts w:eastAsia="Times New Roman"/>
          <w:color w:val="000000"/>
          <w:sz w:val="20"/>
          <w:szCs w:val="20"/>
        </w:rPr>
        <w:t>urring basis principally relate to derivative instruments and investments held in supplemental executive retirement plan grantor trusts.</w:t>
      </w:r>
    </w:p>
    <w:p w14:paraId="29DB17BD" w14:textId="77777777" w:rsidR="00000000" w:rsidRDefault="00C1661D">
      <w:pPr>
        <w:jc w:val="center"/>
        <w:divId w:val="243222621"/>
        <w:rPr>
          <w:rFonts w:eastAsia="Times New Roman"/>
        </w:rPr>
      </w:pPr>
      <w:r>
        <w:rPr>
          <w:rFonts w:eastAsia="Times New Roman"/>
          <w:color w:val="000000"/>
          <w:sz w:val="20"/>
          <w:szCs w:val="20"/>
        </w:rPr>
        <w:t>F-12</w:t>
      </w:r>
    </w:p>
    <w:p w14:paraId="552A74EA" w14:textId="77777777" w:rsidR="00000000" w:rsidRDefault="00C1661D">
      <w:pPr>
        <w:rPr>
          <w:rFonts w:eastAsia="Times New Roman"/>
        </w:rPr>
      </w:pPr>
      <w:r>
        <w:rPr>
          <w:rFonts w:eastAsia="Times New Roman"/>
        </w:rPr>
        <w:pict w14:anchorId="4CE45005">
          <v:rect id="_x0000_i1125" style="width:0;height:1.5pt" o:hralign="center" o:hrstd="t" o:hr="t" fillcolor="#a0a0a0" stroked="f"/>
        </w:pict>
      </w:r>
    </w:p>
    <w:p w14:paraId="58D42B3E" w14:textId="77777777" w:rsidR="00000000" w:rsidRDefault="00C1661D">
      <w:pPr>
        <w:divId w:val="1331520684"/>
        <w:rPr>
          <w:rFonts w:eastAsia="Times New Roman"/>
        </w:rPr>
      </w:pPr>
      <w:hyperlink w:anchor="i3850c3c6c0104e42b9951aac2f16098a_7" w:history="1">
        <w:r>
          <w:rPr>
            <w:rStyle w:val="a3"/>
            <w:rFonts w:eastAsia="Times New Roman"/>
            <w:sz w:val="20"/>
            <w:szCs w:val="20"/>
          </w:rPr>
          <w:t>Table of Contents</w:t>
        </w:r>
      </w:hyperlink>
    </w:p>
    <w:p w14:paraId="5E8BDB7D" w14:textId="77777777" w:rsidR="00000000" w:rsidRDefault="00C1661D">
      <w:pPr>
        <w:divId w:val="932975968"/>
        <w:rPr>
          <w:rFonts w:eastAsia="Times New Roman"/>
        </w:rPr>
      </w:pPr>
      <w:r>
        <w:rPr>
          <w:rFonts w:eastAsia="Times New Roman"/>
          <w:b/>
          <w:bCs/>
          <w:color w:val="000000"/>
          <w:sz w:val="20"/>
          <w:szCs w:val="20"/>
        </w:rPr>
        <w:t>UGI Corporation and Subsidiaries</w:t>
      </w:r>
    </w:p>
    <w:p w14:paraId="36702ED1" w14:textId="77777777" w:rsidR="00000000" w:rsidRDefault="00C1661D">
      <w:pPr>
        <w:divId w:val="506137369"/>
        <w:rPr>
          <w:rFonts w:eastAsia="Times New Roman"/>
        </w:rPr>
      </w:pPr>
      <w:r>
        <w:rPr>
          <w:rFonts w:eastAsia="Times New Roman"/>
          <w:b/>
          <w:bCs/>
          <w:color w:val="000000"/>
          <w:sz w:val="20"/>
          <w:szCs w:val="20"/>
        </w:rPr>
        <w:t>Notes to Consolidated Financial Statements</w:t>
      </w:r>
    </w:p>
    <w:p w14:paraId="08C0CAB1" w14:textId="77777777" w:rsidR="00000000" w:rsidRDefault="00C1661D">
      <w:pPr>
        <w:divId w:val="1081635187"/>
        <w:rPr>
          <w:rFonts w:eastAsia="Times New Roman"/>
        </w:rPr>
      </w:pPr>
      <w:r>
        <w:rPr>
          <w:rFonts w:eastAsia="Times New Roman"/>
          <w:color w:val="000000"/>
          <w:sz w:val="20"/>
          <w:szCs w:val="20"/>
        </w:rPr>
        <w:t>(Currency in millions, except per share amounts and where indicated otherwise)</w:t>
      </w:r>
    </w:p>
    <w:p w14:paraId="672C95B5" w14:textId="77777777" w:rsidR="00000000" w:rsidRDefault="00C1661D">
      <w:pPr>
        <w:jc w:val="both"/>
        <w:divId w:val="1710958001"/>
        <w:rPr>
          <w:rFonts w:eastAsia="Times New Roman"/>
        </w:rPr>
      </w:pPr>
      <w:r>
        <w:rPr>
          <w:rFonts w:eastAsia="Times New Roman"/>
          <w:color w:val="000000"/>
          <w:sz w:val="20"/>
          <w:szCs w:val="20"/>
        </w:rPr>
        <w:t>ASC 820 establishes a fair value hierarchy that prioritizes the inputs to valuation techniques used t</w:t>
      </w:r>
      <w:r>
        <w:rPr>
          <w:rFonts w:eastAsia="Times New Roman"/>
          <w:color w:val="000000"/>
          <w:sz w:val="20"/>
          <w:szCs w:val="20"/>
        </w:rPr>
        <w:t>o measure fair value into three levels. The hierarchy gives the highest priority to quoted prices in active markets for identical assets or liabilities (Level 1 measurements) and the lowest priority to unobservable inputs (Level 3 measurements). A level wi</w:t>
      </w:r>
      <w:r>
        <w:rPr>
          <w:rFonts w:eastAsia="Times New Roman"/>
          <w:color w:val="000000"/>
          <w:sz w:val="20"/>
          <w:szCs w:val="20"/>
        </w:rPr>
        <w:t>thin the fair value hierarchy is based on the lowest level of any input that is significant to the fair value measurement.</w:t>
      </w:r>
    </w:p>
    <w:p w14:paraId="34781D71" w14:textId="77777777" w:rsidR="00000000" w:rsidRDefault="00C1661D">
      <w:pPr>
        <w:jc w:val="both"/>
        <w:divId w:val="29233883"/>
        <w:rPr>
          <w:rFonts w:eastAsia="Times New Roman"/>
        </w:rPr>
      </w:pPr>
      <w:r>
        <w:rPr>
          <w:rFonts w:eastAsia="Times New Roman"/>
          <w:color w:val="000000"/>
          <w:sz w:val="20"/>
          <w:szCs w:val="20"/>
        </w:rPr>
        <w:t>We use the following fair value hierarchy, which prioritizes the inputs to valuation techniques used to measure fair value into three</w:t>
      </w:r>
      <w:r>
        <w:rPr>
          <w:rFonts w:eastAsia="Times New Roman"/>
          <w:color w:val="000000"/>
          <w:sz w:val="20"/>
          <w:szCs w:val="20"/>
        </w:rPr>
        <w:t xml:space="preserve"> broad levels:</w:t>
      </w:r>
    </w:p>
    <w:p w14:paraId="7F0E45F9" w14:textId="77777777" w:rsidR="00000000" w:rsidRDefault="00C1661D">
      <w:pPr>
        <w:ind w:hanging="360"/>
        <w:jc w:val="both"/>
        <w:divId w:val="1603807244"/>
        <w:rPr>
          <w:rFonts w:eastAsia="Times New Roman"/>
        </w:rPr>
      </w:pPr>
      <w:r>
        <w:rPr>
          <w:rFonts w:eastAsia="Times New Roman"/>
          <w:color w:val="000000"/>
          <w:sz w:val="20"/>
          <w:szCs w:val="20"/>
        </w:rPr>
        <w:t>•Level 1 — Quoted prices (unadjusted) in active markets for identical assets and liabilities that we have the ability to access at the measurement date.</w:t>
      </w:r>
    </w:p>
    <w:p w14:paraId="619F5E10" w14:textId="77777777" w:rsidR="00000000" w:rsidRDefault="00C1661D">
      <w:pPr>
        <w:ind w:hanging="360"/>
        <w:jc w:val="both"/>
        <w:divId w:val="1475105601"/>
        <w:rPr>
          <w:rFonts w:eastAsia="Times New Roman"/>
        </w:rPr>
      </w:pPr>
      <w:r>
        <w:rPr>
          <w:rFonts w:eastAsia="Times New Roman"/>
          <w:color w:val="000000"/>
          <w:sz w:val="20"/>
          <w:szCs w:val="20"/>
        </w:rPr>
        <w:t>•Level 2 — Inputs other than quoted prices included within Level 1 that are either direc</w:t>
      </w:r>
      <w:r>
        <w:rPr>
          <w:rFonts w:eastAsia="Times New Roman"/>
          <w:color w:val="000000"/>
          <w:sz w:val="20"/>
          <w:szCs w:val="20"/>
        </w:rPr>
        <w:t>tly or indirectly observable for the asset or liability, including quoted prices for similar assets or liabilities in active markets, quoted prices for identical or similar assets or liabilities in markets that are not active, inputs other than quoted pric</w:t>
      </w:r>
      <w:r>
        <w:rPr>
          <w:rFonts w:eastAsia="Times New Roman"/>
          <w:color w:val="000000"/>
          <w:sz w:val="20"/>
          <w:szCs w:val="20"/>
        </w:rPr>
        <w:t>es that are observable for the asset or liability, and inputs that are derived from observable market data by correlation or other means.</w:t>
      </w:r>
    </w:p>
    <w:p w14:paraId="39E8685A" w14:textId="77777777" w:rsidR="00000000" w:rsidRDefault="00C1661D">
      <w:pPr>
        <w:ind w:hanging="360"/>
        <w:jc w:val="both"/>
        <w:divId w:val="101926771"/>
        <w:rPr>
          <w:rFonts w:eastAsia="Times New Roman"/>
        </w:rPr>
      </w:pPr>
      <w:r>
        <w:rPr>
          <w:rFonts w:eastAsia="Times New Roman"/>
          <w:color w:val="000000"/>
          <w:sz w:val="20"/>
          <w:szCs w:val="20"/>
        </w:rPr>
        <w:t>•Level 3 — Unobservable inputs for the asset or liability including situations where there is little, if any, market a</w:t>
      </w:r>
      <w:r>
        <w:rPr>
          <w:rFonts w:eastAsia="Times New Roman"/>
          <w:color w:val="000000"/>
          <w:sz w:val="20"/>
          <w:szCs w:val="20"/>
        </w:rPr>
        <w:t xml:space="preserve">ctivity for the asset or liability. </w:t>
      </w:r>
    </w:p>
    <w:p w14:paraId="23F804B0" w14:textId="77777777" w:rsidR="00000000" w:rsidRDefault="00C1661D">
      <w:pPr>
        <w:jc w:val="both"/>
        <w:divId w:val="771896629"/>
        <w:rPr>
          <w:rFonts w:eastAsia="Times New Roman"/>
        </w:rPr>
      </w:pPr>
      <w:r>
        <w:rPr>
          <w:rFonts w:eastAsia="Times New Roman"/>
          <w:color w:val="000000"/>
          <w:sz w:val="20"/>
          <w:szCs w:val="20"/>
        </w:rPr>
        <w:t>Fair value is based upon assumptions that market participants would use when pricing an asset or liability, including assumptions about risk and risks inherent in valuation techniques and inputs to valuations. This incl</w:t>
      </w:r>
      <w:r>
        <w:rPr>
          <w:rFonts w:eastAsia="Times New Roman"/>
          <w:color w:val="000000"/>
          <w:sz w:val="20"/>
          <w:szCs w:val="20"/>
        </w:rPr>
        <w:t>udes not only the credit standing of counterparties and credit enhancements but also the impact of our own nonperformance risk on our liabilities. We evaluate the need for credit adjustments to our derivative instrument fair values. These credit adjustment</w:t>
      </w:r>
      <w:r>
        <w:rPr>
          <w:rFonts w:eastAsia="Times New Roman"/>
          <w:color w:val="000000"/>
          <w:sz w:val="20"/>
          <w:szCs w:val="20"/>
        </w:rPr>
        <w:t>s were not material to the fair values of our derivative instruments.</w:t>
      </w:r>
    </w:p>
    <w:p w14:paraId="7CD88C0E" w14:textId="77777777" w:rsidR="00000000" w:rsidRDefault="00C1661D">
      <w:pPr>
        <w:jc w:val="both"/>
        <w:divId w:val="1557743138"/>
        <w:rPr>
          <w:rFonts w:eastAsia="Times New Roman"/>
        </w:rPr>
      </w:pPr>
      <w:r>
        <w:rPr>
          <w:rFonts w:eastAsia="Times New Roman"/>
          <w:b/>
          <w:bCs/>
          <w:color w:val="000000"/>
          <w:sz w:val="20"/>
          <w:szCs w:val="20"/>
        </w:rPr>
        <w:t>Derivative Instruments</w:t>
      </w:r>
    </w:p>
    <w:p w14:paraId="1A81F72A" w14:textId="77777777" w:rsidR="00000000" w:rsidRDefault="00C1661D">
      <w:pPr>
        <w:jc w:val="both"/>
        <w:divId w:val="886525201"/>
        <w:rPr>
          <w:rFonts w:eastAsia="Times New Roman"/>
        </w:rPr>
      </w:pPr>
      <w:r>
        <w:rPr>
          <w:rFonts w:eastAsia="Times New Roman"/>
          <w:color w:val="000000"/>
          <w:sz w:val="20"/>
          <w:szCs w:val="20"/>
        </w:rPr>
        <w:t>Derivative instruments are reported on the Consolidated Balance Sheets at their fair values, unless the NPNS exception is elected. The accounting for changes in fa</w:t>
      </w:r>
      <w:r>
        <w:rPr>
          <w:rFonts w:eastAsia="Times New Roman"/>
          <w:color w:val="000000"/>
          <w:sz w:val="20"/>
          <w:szCs w:val="20"/>
        </w:rPr>
        <w:t>ir value depends upon the purpose of the derivative instrument, whether it is subject to regulatory ratemaking mechanisms or if it qualifies and is designated as a hedge for accounting purposes.</w:t>
      </w:r>
    </w:p>
    <w:p w14:paraId="06F3C653" w14:textId="77777777" w:rsidR="00000000" w:rsidRDefault="00C1661D">
      <w:pPr>
        <w:jc w:val="both"/>
        <w:divId w:val="588543934"/>
        <w:rPr>
          <w:rFonts w:eastAsia="Times New Roman"/>
        </w:rPr>
      </w:pPr>
      <w:r>
        <w:rPr>
          <w:rFonts w:eastAsia="Times New Roman"/>
          <w:color w:val="000000"/>
          <w:sz w:val="20"/>
          <w:szCs w:val="20"/>
        </w:rPr>
        <w:t>Certain of our derivative instruments qualify and are designa</w:t>
      </w:r>
      <w:r>
        <w:rPr>
          <w:rFonts w:eastAsia="Times New Roman"/>
          <w:color w:val="000000"/>
          <w:sz w:val="20"/>
          <w:szCs w:val="20"/>
        </w:rPr>
        <w:t>ted as cash flow hedges. For cash flow hedges, changes in the fair values of the derivative instruments are recorded in AOCI, to the extent effective at offsetting changes in the hedged item, until earnings are affected by the hedged item. We discontinue c</w:t>
      </w:r>
      <w:r>
        <w:rPr>
          <w:rFonts w:eastAsia="Times New Roman"/>
          <w:color w:val="000000"/>
          <w:sz w:val="20"/>
          <w:szCs w:val="20"/>
        </w:rPr>
        <w:t>ash flow hedge accounting if occurrence of the forecasted transaction is determined to be no longer probable. Hedge accounting is also discontinued for derivatives that cease to be highly effective. We do not designate our commodity and certain foreign cur</w:t>
      </w:r>
      <w:r>
        <w:rPr>
          <w:rFonts w:eastAsia="Times New Roman"/>
          <w:color w:val="000000"/>
          <w:sz w:val="20"/>
          <w:szCs w:val="20"/>
        </w:rPr>
        <w:t>rency derivative instruments as hedges under GAAP. Changes in the fair values of these derivative instruments are reflected in net income. Gains and losses on substantially all of the commodity derivative instruments used by Utilities are included in regul</w:t>
      </w:r>
      <w:r>
        <w:rPr>
          <w:rFonts w:eastAsia="Times New Roman"/>
          <w:color w:val="000000"/>
          <w:sz w:val="20"/>
          <w:szCs w:val="20"/>
        </w:rPr>
        <w:t>atory assets or liabilities because it is probable such gains or losses will be recoverable from, or refundable to, customers. From time to time, we also enter into net investment hedges. Gains and losses on net investment hedges that relate to our foreign</w:t>
      </w:r>
      <w:r>
        <w:rPr>
          <w:rFonts w:eastAsia="Times New Roman"/>
          <w:color w:val="000000"/>
          <w:sz w:val="20"/>
          <w:szCs w:val="20"/>
        </w:rPr>
        <w:t xml:space="preserve"> operations are included in the cumulative translation adjustment component in AOCI until such foreign net investment is substantially sold or liquidated.</w:t>
      </w:r>
    </w:p>
    <w:p w14:paraId="510C1D3E" w14:textId="77777777" w:rsidR="00000000" w:rsidRDefault="00C1661D">
      <w:pPr>
        <w:jc w:val="both"/>
        <w:divId w:val="1749690727"/>
        <w:rPr>
          <w:rFonts w:eastAsia="Times New Roman"/>
        </w:rPr>
      </w:pPr>
      <w:r>
        <w:rPr>
          <w:rFonts w:eastAsia="Times New Roman"/>
          <w:color w:val="000000"/>
          <w:sz w:val="20"/>
          <w:szCs w:val="20"/>
        </w:rPr>
        <w:t>Cash flows from derivative instruments, other than certain cross-currency swaps and net investment hedges, if any, are included in cash flows from operating activities on the Consolidated Statements of Cash Flows. Cash flows from the interest portion of ou</w:t>
      </w:r>
      <w:r>
        <w:rPr>
          <w:rFonts w:eastAsia="Times New Roman"/>
          <w:color w:val="000000"/>
          <w:sz w:val="20"/>
          <w:szCs w:val="20"/>
        </w:rPr>
        <w:t>r cross-currency hedges, if any, are included in cash flows from operating activities while cash flows from the currency portion of such hedges, if any, are included in cash flows from financing activities. Cash flows from net investment hedges, if any, ar</w:t>
      </w:r>
      <w:r>
        <w:rPr>
          <w:rFonts w:eastAsia="Times New Roman"/>
          <w:color w:val="000000"/>
          <w:sz w:val="20"/>
          <w:szCs w:val="20"/>
        </w:rPr>
        <w:t>e included in cash flows from investing activities on the Consolidated Statements of Cash Flows.</w:t>
      </w:r>
    </w:p>
    <w:p w14:paraId="58CAAB1D" w14:textId="77777777" w:rsidR="00000000" w:rsidRDefault="00C1661D">
      <w:pPr>
        <w:jc w:val="both"/>
        <w:divId w:val="1662730083"/>
        <w:rPr>
          <w:rFonts w:eastAsia="Times New Roman"/>
        </w:rPr>
      </w:pPr>
      <w:r>
        <w:rPr>
          <w:rFonts w:eastAsia="Times New Roman"/>
          <w:color w:val="000000"/>
          <w:sz w:val="20"/>
          <w:szCs w:val="20"/>
        </w:rPr>
        <w:t xml:space="preserve">For a more detailed description of the derivative instruments we use, our accounting for derivatives, our objectives for using them and other information, see </w:t>
      </w:r>
      <w:r>
        <w:rPr>
          <w:rFonts w:eastAsia="Times New Roman"/>
          <w:color w:val="000000"/>
          <w:sz w:val="20"/>
          <w:szCs w:val="20"/>
        </w:rPr>
        <w:t>Note 19.</w:t>
      </w:r>
    </w:p>
    <w:p w14:paraId="72135E56" w14:textId="77777777" w:rsidR="00000000" w:rsidRDefault="00C1661D">
      <w:pPr>
        <w:jc w:val="both"/>
        <w:divId w:val="1090736512"/>
        <w:rPr>
          <w:rFonts w:eastAsia="Times New Roman"/>
        </w:rPr>
      </w:pPr>
      <w:r>
        <w:rPr>
          <w:rFonts w:eastAsia="Times New Roman"/>
          <w:b/>
          <w:bCs/>
          <w:color w:val="000000"/>
          <w:sz w:val="20"/>
          <w:szCs w:val="20"/>
        </w:rPr>
        <w:t>Business Combination Purchase Price Allocations</w:t>
      </w:r>
    </w:p>
    <w:p w14:paraId="6C16EB2C" w14:textId="77777777" w:rsidR="00000000" w:rsidRDefault="00C1661D">
      <w:pPr>
        <w:jc w:val="both"/>
        <w:divId w:val="1062682374"/>
        <w:rPr>
          <w:rFonts w:eastAsia="Times New Roman"/>
        </w:rPr>
      </w:pPr>
      <w:r>
        <w:rPr>
          <w:rFonts w:eastAsia="Times New Roman"/>
          <w:color w:val="000000"/>
          <w:sz w:val="20"/>
          <w:szCs w:val="20"/>
        </w:rPr>
        <w:t>From time to time, the Company enters into material business combinations. The purchase price is allocated to the various assets acquired and liabilities assumed at their estimated fair value as of t</w:t>
      </w:r>
      <w:r>
        <w:rPr>
          <w:rFonts w:eastAsia="Times New Roman"/>
          <w:color w:val="000000"/>
          <w:sz w:val="20"/>
          <w:szCs w:val="20"/>
        </w:rPr>
        <w:t>he acquisition date with the residual of the purchase price allocated to goodwill. Fair values of assets acquired and liabilities assumed are based upon available information. Estimating fair values is generally subject to significant judgment, estimates a</w:t>
      </w:r>
      <w:r>
        <w:rPr>
          <w:rFonts w:eastAsia="Times New Roman"/>
          <w:color w:val="000000"/>
          <w:sz w:val="20"/>
          <w:szCs w:val="20"/>
        </w:rPr>
        <w:t xml:space="preserve">nd assumptions especially with respect to </w:t>
      </w:r>
    </w:p>
    <w:p w14:paraId="4648E069" w14:textId="77777777" w:rsidR="00000000" w:rsidRDefault="00C1661D">
      <w:pPr>
        <w:jc w:val="center"/>
        <w:divId w:val="1525436945"/>
        <w:rPr>
          <w:rFonts w:eastAsia="Times New Roman"/>
        </w:rPr>
      </w:pPr>
      <w:r>
        <w:rPr>
          <w:rFonts w:eastAsia="Times New Roman"/>
          <w:color w:val="000000"/>
          <w:sz w:val="20"/>
          <w:szCs w:val="20"/>
        </w:rPr>
        <w:t>F-13</w:t>
      </w:r>
    </w:p>
    <w:p w14:paraId="74D5E57F" w14:textId="77777777" w:rsidR="00000000" w:rsidRDefault="00C1661D">
      <w:pPr>
        <w:rPr>
          <w:rFonts w:eastAsia="Times New Roman"/>
        </w:rPr>
      </w:pPr>
      <w:r>
        <w:rPr>
          <w:rFonts w:eastAsia="Times New Roman"/>
        </w:rPr>
        <w:pict w14:anchorId="6DDEB87D">
          <v:rect id="_x0000_i1126" style="width:0;height:1.5pt" o:hralign="center" o:hrstd="t" o:hr="t" fillcolor="#a0a0a0" stroked="f"/>
        </w:pict>
      </w:r>
    </w:p>
    <w:p w14:paraId="4CD232AC" w14:textId="77777777" w:rsidR="00000000" w:rsidRDefault="00C1661D">
      <w:pPr>
        <w:divId w:val="1630210526"/>
        <w:rPr>
          <w:rFonts w:eastAsia="Times New Roman"/>
        </w:rPr>
      </w:pPr>
      <w:hyperlink w:anchor="i3850c3c6c0104e42b9951aac2f16098a_7" w:history="1">
        <w:r>
          <w:rPr>
            <w:rStyle w:val="a3"/>
            <w:rFonts w:eastAsia="Times New Roman"/>
            <w:sz w:val="20"/>
            <w:szCs w:val="20"/>
          </w:rPr>
          <w:t>Table of Contents</w:t>
        </w:r>
      </w:hyperlink>
    </w:p>
    <w:p w14:paraId="36EEBBF0" w14:textId="77777777" w:rsidR="00000000" w:rsidRDefault="00C1661D">
      <w:pPr>
        <w:divId w:val="339239909"/>
        <w:rPr>
          <w:rFonts w:eastAsia="Times New Roman"/>
        </w:rPr>
      </w:pPr>
      <w:r>
        <w:rPr>
          <w:rFonts w:eastAsia="Times New Roman"/>
          <w:b/>
          <w:bCs/>
          <w:color w:val="000000"/>
          <w:sz w:val="20"/>
          <w:szCs w:val="20"/>
        </w:rPr>
        <w:t>UGI Corporation and Subsidiaries</w:t>
      </w:r>
    </w:p>
    <w:p w14:paraId="7FACBCA7" w14:textId="77777777" w:rsidR="00000000" w:rsidRDefault="00C1661D">
      <w:pPr>
        <w:divId w:val="1825776088"/>
        <w:rPr>
          <w:rFonts w:eastAsia="Times New Roman"/>
        </w:rPr>
      </w:pPr>
      <w:r>
        <w:rPr>
          <w:rFonts w:eastAsia="Times New Roman"/>
          <w:b/>
          <w:bCs/>
          <w:color w:val="000000"/>
          <w:sz w:val="20"/>
          <w:szCs w:val="20"/>
        </w:rPr>
        <w:t>Notes to Consolidated Financial Statements</w:t>
      </w:r>
    </w:p>
    <w:p w14:paraId="20CE4409" w14:textId="77777777" w:rsidR="00000000" w:rsidRDefault="00C1661D">
      <w:pPr>
        <w:divId w:val="1753775569"/>
        <w:rPr>
          <w:rFonts w:eastAsia="Times New Roman"/>
        </w:rPr>
      </w:pPr>
      <w:r>
        <w:rPr>
          <w:rFonts w:eastAsia="Times New Roman"/>
          <w:color w:val="000000"/>
          <w:sz w:val="20"/>
          <w:szCs w:val="20"/>
        </w:rPr>
        <w:t>(Currency in million</w:t>
      </w:r>
      <w:r>
        <w:rPr>
          <w:rFonts w:eastAsia="Times New Roman"/>
          <w:color w:val="000000"/>
          <w:sz w:val="20"/>
          <w:szCs w:val="20"/>
        </w:rPr>
        <w:t>s, except per share amounts and where indicated otherwise)</w:t>
      </w:r>
    </w:p>
    <w:p w14:paraId="2414E05E" w14:textId="77777777" w:rsidR="00000000" w:rsidRDefault="00C1661D">
      <w:pPr>
        <w:jc w:val="both"/>
        <w:divId w:val="482742207"/>
        <w:rPr>
          <w:rFonts w:eastAsia="Times New Roman"/>
        </w:rPr>
      </w:pPr>
      <w:r>
        <w:rPr>
          <w:rFonts w:eastAsia="Times New Roman"/>
          <w:color w:val="000000"/>
          <w:sz w:val="20"/>
          <w:szCs w:val="20"/>
        </w:rPr>
        <w:t xml:space="preserve">intangible assets. The allocation of the purchase price may be modified up to one year after the acquisition date, under certain circumstances, as more information is obtained about the fair value </w:t>
      </w:r>
      <w:r>
        <w:rPr>
          <w:rFonts w:eastAsia="Times New Roman"/>
          <w:color w:val="000000"/>
          <w:sz w:val="20"/>
          <w:szCs w:val="20"/>
        </w:rPr>
        <w:t>of assets acquired and liabilities assumed.</w:t>
      </w:r>
    </w:p>
    <w:p w14:paraId="4FF03A7B" w14:textId="77777777" w:rsidR="00000000" w:rsidRDefault="00C1661D">
      <w:pPr>
        <w:jc w:val="both"/>
        <w:divId w:val="783693531"/>
        <w:rPr>
          <w:rFonts w:eastAsia="Times New Roman"/>
        </w:rPr>
      </w:pPr>
      <w:r>
        <w:rPr>
          <w:rFonts w:eastAsia="Times New Roman"/>
          <w:b/>
          <w:bCs/>
          <w:color w:val="000000"/>
          <w:sz w:val="20"/>
          <w:szCs w:val="20"/>
        </w:rPr>
        <w:t>Foreign Currency Translation</w:t>
      </w:r>
    </w:p>
    <w:p w14:paraId="4E0073B3" w14:textId="77777777" w:rsidR="00000000" w:rsidRDefault="00C1661D">
      <w:pPr>
        <w:jc w:val="both"/>
        <w:divId w:val="2092309438"/>
        <w:rPr>
          <w:rFonts w:eastAsia="Times New Roman"/>
        </w:rPr>
      </w:pPr>
      <w:r>
        <w:rPr>
          <w:rFonts w:eastAsia="Times New Roman"/>
          <w:color w:val="000000"/>
          <w:sz w:val="20"/>
          <w:szCs w:val="20"/>
        </w:rPr>
        <w:t>Balance sheets of international subsidiaries are translated into USD using the exchange rate at the balance sheet date. Income statements and equity investee results are translated in</w:t>
      </w:r>
      <w:r>
        <w:rPr>
          <w:rFonts w:eastAsia="Times New Roman"/>
          <w:color w:val="000000"/>
          <w:sz w:val="20"/>
          <w:szCs w:val="20"/>
        </w:rPr>
        <w:t>to USD using an average exchange rate for each reporting period. Where the local currency is the functional currency, translation adjustments are recorded in other comprehensive income. Transactions denominated in currencies other than the functional curre</w:t>
      </w:r>
      <w:r>
        <w:rPr>
          <w:rFonts w:eastAsia="Times New Roman"/>
          <w:color w:val="000000"/>
          <w:sz w:val="20"/>
          <w:szCs w:val="20"/>
        </w:rPr>
        <w:t>ncy are recorded based on exchange rates at the time such transactions arise with the impact of subsequent changes in such rates reflected in the income statement. The functional currency of a significant portion of our international operations is the euro</w:t>
      </w:r>
      <w:r>
        <w:rPr>
          <w:rFonts w:eastAsia="Times New Roman"/>
          <w:color w:val="000000"/>
          <w:sz w:val="20"/>
          <w:szCs w:val="20"/>
        </w:rPr>
        <w:t>.</w:t>
      </w:r>
    </w:p>
    <w:p w14:paraId="02636CE7" w14:textId="77777777" w:rsidR="00000000" w:rsidRDefault="00C1661D">
      <w:pPr>
        <w:jc w:val="both"/>
        <w:divId w:val="1329945906"/>
        <w:rPr>
          <w:rFonts w:eastAsia="Times New Roman"/>
        </w:rPr>
      </w:pPr>
      <w:r>
        <w:rPr>
          <w:rFonts w:eastAsia="Times New Roman"/>
          <w:b/>
          <w:bCs/>
          <w:color w:val="000000"/>
          <w:sz w:val="20"/>
          <w:szCs w:val="20"/>
        </w:rPr>
        <w:t>Revenue Recognition</w:t>
      </w:r>
    </w:p>
    <w:p w14:paraId="3B558959" w14:textId="77777777" w:rsidR="00000000" w:rsidRDefault="00C1661D">
      <w:pPr>
        <w:jc w:val="both"/>
        <w:divId w:val="1896163437"/>
        <w:rPr>
          <w:rFonts w:eastAsia="Times New Roman"/>
        </w:rPr>
      </w:pPr>
      <w:r>
        <w:rPr>
          <w:rFonts w:eastAsia="Times New Roman"/>
          <w:color w:val="000000"/>
          <w:sz w:val="20"/>
          <w:szCs w:val="20"/>
        </w:rPr>
        <w:t>In accordance with ASC 606, the Company recognizes revenue when control of promised goods or services is transferred to customers in an amount that reflects the consideration to which we expect to be entitled in exchange for those goo</w:t>
      </w:r>
      <w:r>
        <w:rPr>
          <w:rFonts w:eastAsia="Times New Roman"/>
          <w:color w:val="000000"/>
          <w:sz w:val="20"/>
          <w:szCs w:val="20"/>
        </w:rPr>
        <w:t>ds or services. Certain revenues such as revenue from leases, financial instruments and other revenues are not within the scope of ASC 606 because they are not from contracts with customers. Such revenues are accounted for in accordance with other GAAP. Re</w:t>
      </w:r>
      <w:r>
        <w:rPr>
          <w:rFonts w:eastAsia="Times New Roman"/>
          <w:color w:val="000000"/>
          <w:sz w:val="20"/>
          <w:szCs w:val="20"/>
        </w:rPr>
        <w:t>venue-related taxes collected on behalf of customers and remitted to taxing authorities, principally sales and use taxes, are not included in revenues. Gross receipts taxes at Midstream &amp; Marketing, Mountaineer and Electric Utility are presented on a gross</w:t>
      </w:r>
      <w:r>
        <w:rPr>
          <w:rFonts w:eastAsia="Times New Roman"/>
          <w:color w:val="000000"/>
          <w:sz w:val="20"/>
          <w:szCs w:val="20"/>
        </w:rPr>
        <w:t xml:space="preserve"> basis. The Company has elected to use the practical expedient to expense the costs to obtain contracts when incurred for contracts that have a term less than one year. The costs incurred to obtain contracts that have durations of longer than one year are </w:t>
      </w:r>
      <w:r>
        <w:rPr>
          <w:rFonts w:eastAsia="Times New Roman"/>
          <w:color w:val="000000"/>
          <w:sz w:val="20"/>
          <w:szCs w:val="20"/>
        </w:rPr>
        <w:t>not material. See Note 4 for additional disclosures regarding the Company’s revenue from contracts with customers.</w:t>
      </w:r>
    </w:p>
    <w:p w14:paraId="5B82F459" w14:textId="77777777" w:rsidR="00000000" w:rsidRDefault="00C1661D">
      <w:pPr>
        <w:jc w:val="both"/>
        <w:divId w:val="1661226861"/>
        <w:rPr>
          <w:rFonts w:eastAsia="Times New Roman"/>
        </w:rPr>
      </w:pPr>
      <w:r>
        <w:rPr>
          <w:rFonts w:eastAsia="Times New Roman"/>
          <w:b/>
          <w:bCs/>
          <w:color w:val="000000"/>
          <w:sz w:val="20"/>
          <w:szCs w:val="20"/>
        </w:rPr>
        <w:t>Accounts Receivable</w:t>
      </w:r>
    </w:p>
    <w:p w14:paraId="49E4E315" w14:textId="77777777" w:rsidR="00000000" w:rsidRDefault="00C1661D">
      <w:pPr>
        <w:jc w:val="both"/>
        <w:divId w:val="957642360"/>
        <w:rPr>
          <w:rFonts w:eastAsia="Times New Roman"/>
        </w:rPr>
      </w:pPr>
      <w:r>
        <w:rPr>
          <w:rFonts w:eastAsia="Times New Roman"/>
          <w:color w:val="000000"/>
          <w:sz w:val="20"/>
          <w:szCs w:val="20"/>
        </w:rPr>
        <w:t>Accounts receivable are reported on the Consolidated Balance Sheets at the gross outstanding amount adjusted for an allow</w:t>
      </w:r>
      <w:r>
        <w:rPr>
          <w:rFonts w:eastAsia="Times New Roman"/>
          <w:color w:val="000000"/>
          <w:sz w:val="20"/>
          <w:szCs w:val="20"/>
        </w:rPr>
        <w:t>ance for doubtful accounts. Accounts receivable that are acquired are initially recorded at fair value on the date of acquisition. Provisions for uncollectible accounts are established based upon our collection experience, the assessment of the collectabil</w:t>
      </w:r>
      <w:r>
        <w:rPr>
          <w:rFonts w:eastAsia="Times New Roman"/>
          <w:color w:val="000000"/>
          <w:sz w:val="20"/>
          <w:szCs w:val="20"/>
        </w:rPr>
        <w:t>ity of specific amounts and the Company’s best estimate of current expected credit losses. Accounts receivable are written off in the period in which the receivable is deemed uncollectible.</w:t>
      </w:r>
    </w:p>
    <w:p w14:paraId="6CE873EB" w14:textId="77777777" w:rsidR="00000000" w:rsidRDefault="00C1661D">
      <w:pPr>
        <w:jc w:val="both"/>
        <w:divId w:val="318508512"/>
        <w:rPr>
          <w:rFonts w:eastAsia="Times New Roman"/>
        </w:rPr>
      </w:pPr>
      <w:r>
        <w:rPr>
          <w:rFonts w:eastAsia="Times New Roman"/>
          <w:b/>
          <w:bCs/>
          <w:color w:val="000000"/>
          <w:sz w:val="20"/>
          <w:szCs w:val="20"/>
        </w:rPr>
        <w:t>LPG Delivery Expenses</w:t>
      </w:r>
    </w:p>
    <w:p w14:paraId="2CB3EFAA" w14:textId="77777777" w:rsidR="00000000" w:rsidRDefault="00C1661D">
      <w:pPr>
        <w:jc w:val="both"/>
        <w:divId w:val="1463767109"/>
        <w:rPr>
          <w:rFonts w:eastAsia="Times New Roman"/>
        </w:rPr>
      </w:pPr>
      <w:r>
        <w:rPr>
          <w:rFonts w:eastAsia="Times New Roman"/>
          <w:color w:val="000000"/>
          <w:sz w:val="20"/>
          <w:szCs w:val="20"/>
        </w:rPr>
        <w:t>Expenses associated with the delivery of LPG</w:t>
      </w:r>
      <w:r>
        <w:rPr>
          <w:rFonts w:eastAsia="Times New Roman"/>
          <w:color w:val="000000"/>
          <w:sz w:val="20"/>
          <w:szCs w:val="20"/>
        </w:rPr>
        <w:t xml:space="preserve"> to customers of the Partnership and our UGI International operations (including vehicle expenses, expenses of delivery personnel, vehicle repair and maintenance and general liability expenses) are classified as </w:t>
      </w:r>
      <w:r>
        <w:rPr>
          <w:rFonts w:eastAsia="Times New Roman"/>
          <w:color w:val="000000"/>
          <w:sz w:val="20"/>
          <w:szCs w:val="20"/>
        </w:rPr>
        <w:t>“</w:t>
      </w:r>
      <w:r>
        <w:rPr>
          <w:rFonts w:eastAsia="Times New Roman"/>
          <w:color w:val="000000"/>
          <w:sz w:val="20"/>
          <w:szCs w:val="20"/>
        </w:rPr>
        <w:t>Operating and administrative expense</w:t>
      </w:r>
      <w:r>
        <w:rPr>
          <w:rFonts w:eastAsia="Times New Roman"/>
          <w:color w:val="000000"/>
          <w:sz w:val="20"/>
          <w:szCs w:val="20"/>
        </w:rPr>
        <w:t>s</w:t>
      </w:r>
      <w:r>
        <w:rPr>
          <w:rFonts w:eastAsia="Times New Roman"/>
          <w:color w:val="000000"/>
          <w:sz w:val="20"/>
          <w:szCs w:val="20"/>
        </w:rPr>
        <w:t>” on t</w:t>
      </w:r>
      <w:r>
        <w:rPr>
          <w:rFonts w:eastAsia="Times New Roman"/>
          <w:color w:val="000000"/>
          <w:sz w:val="20"/>
          <w:szCs w:val="20"/>
        </w:rPr>
        <w:t>he Consolidated Statements of Income. Depreciation expense associated with the Partnership and UGI International delivery vehicles is classified in “Depreciation and amortization” on the Consolidated Statements of Income.</w:t>
      </w:r>
    </w:p>
    <w:p w14:paraId="0DFE18D0" w14:textId="77777777" w:rsidR="00000000" w:rsidRDefault="00C1661D">
      <w:pPr>
        <w:jc w:val="both"/>
        <w:divId w:val="2016490302"/>
        <w:rPr>
          <w:rFonts w:eastAsia="Times New Roman"/>
        </w:rPr>
      </w:pPr>
      <w:r>
        <w:rPr>
          <w:rFonts w:eastAsia="Times New Roman"/>
          <w:b/>
          <w:bCs/>
          <w:color w:val="000000"/>
          <w:sz w:val="20"/>
          <w:szCs w:val="20"/>
        </w:rPr>
        <w:t>Income Taxes</w:t>
      </w:r>
    </w:p>
    <w:p w14:paraId="680AA50C" w14:textId="77777777" w:rsidR="00000000" w:rsidRDefault="00C1661D">
      <w:pPr>
        <w:jc w:val="both"/>
        <w:divId w:val="1773089102"/>
        <w:rPr>
          <w:rFonts w:eastAsia="Times New Roman"/>
        </w:rPr>
      </w:pPr>
      <w:r>
        <w:rPr>
          <w:rFonts w:eastAsia="Times New Roman"/>
          <w:color w:val="000000"/>
          <w:sz w:val="20"/>
          <w:szCs w:val="20"/>
        </w:rPr>
        <w:t>AmeriGas Partners and</w:t>
      </w:r>
      <w:r>
        <w:rPr>
          <w:rFonts w:eastAsia="Times New Roman"/>
          <w:color w:val="000000"/>
          <w:sz w:val="20"/>
          <w:szCs w:val="20"/>
        </w:rPr>
        <w:t xml:space="preserve"> AmeriGas OLP are not directly subject to federal income taxes. Instead, their taxable income or loss is allocated to the individual partners. We record income taxes on (1) our share of the Partnership’s current taxable income or loss and (2) the differenc</w:t>
      </w:r>
      <w:r>
        <w:rPr>
          <w:rFonts w:eastAsia="Times New Roman"/>
          <w:color w:val="000000"/>
          <w:sz w:val="20"/>
          <w:szCs w:val="20"/>
        </w:rPr>
        <w:t>es between the book and tax basis of our investment in the Partnership. AmeriGas OLP has subsidiaries which operate in corporate form and are directly subject to federal and state income taxes. Legislation in certain states allows for taxation of partnersh</w:t>
      </w:r>
      <w:r>
        <w:rPr>
          <w:rFonts w:eastAsia="Times New Roman"/>
          <w:color w:val="000000"/>
          <w:sz w:val="20"/>
          <w:szCs w:val="20"/>
        </w:rPr>
        <w:t xml:space="preserve">ip income and the accompanying financial statements reflect state income taxes resulting from such legislation. </w:t>
      </w:r>
    </w:p>
    <w:p w14:paraId="7B6AB41E" w14:textId="77777777" w:rsidR="00000000" w:rsidRDefault="00C1661D">
      <w:pPr>
        <w:jc w:val="both"/>
        <w:divId w:val="630742790"/>
        <w:rPr>
          <w:rFonts w:eastAsia="Times New Roman"/>
        </w:rPr>
      </w:pPr>
      <w:r>
        <w:rPr>
          <w:rFonts w:eastAsia="Times New Roman"/>
          <w:color w:val="000000"/>
          <w:sz w:val="20"/>
          <w:szCs w:val="20"/>
        </w:rPr>
        <w:t>Utilities records deferred income taxes in the Consolidated Statements of Income resulting from the use of accelerated tax depreciation methods</w:t>
      </w:r>
      <w:r>
        <w:rPr>
          <w:rFonts w:eastAsia="Times New Roman"/>
          <w:color w:val="000000"/>
          <w:sz w:val="20"/>
          <w:szCs w:val="20"/>
        </w:rPr>
        <w:t xml:space="preserve"> based upon amounts recognized for ratemaking purposes. Utilities also records a deferred income tax liability for tax benefits, principally the result of accelerated tax depreciation for state income tax purposes, that are flowed through to ratepayers whe</w:t>
      </w:r>
      <w:r>
        <w:rPr>
          <w:rFonts w:eastAsia="Times New Roman"/>
          <w:color w:val="000000"/>
          <w:sz w:val="20"/>
          <w:szCs w:val="20"/>
        </w:rPr>
        <w:t>n temporary differences originate and records a regulatory income tax asset for the probable increase in future revenues that will result when the temporary differences reverse.</w:t>
      </w:r>
    </w:p>
    <w:p w14:paraId="478CDF47" w14:textId="77777777" w:rsidR="00000000" w:rsidRDefault="00C1661D">
      <w:pPr>
        <w:jc w:val="both"/>
        <w:divId w:val="227889241"/>
        <w:rPr>
          <w:rFonts w:eastAsia="Times New Roman"/>
        </w:rPr>
      </w:pPr>
      <w:r>
        <w:rPr>
          <w:rFonts w:eastAsia="Times New Roman"/>
          <w:color w:val="000000"/>
          <w:sz w:val="20"/>
          <w:szCs w:val="20"/>
        </w:rPr>
        <w:t>We record interest on underpayments and overpayments of income taxes, and income tax penalties, in “Income tax expense” on the Consolidated Statements of Income. Interest income or expense recognized in “Income tax expense” on the Consolidated Statements o</w:t>
      </w:r>
      <w:r>
        <w:rPr>
          <w:rFonts w:eastAsia="Times New Roman"/>
          <w:color w:val="000000"/>
          <w:sz w:val="20"/>
          <w:szCs w:val="20"/>
        </w:rPr>
        <w:t xml:space="preserve">f Income was not material for all periods presented. </w:t>
      </w:r>
    </w:p>
    <w:p w14:paraId="025E94B8" w14:textId="77777777" w:rsidR="00000000" w:rsidRDefault="00C1661D">
      <w:pPr>
        <w:jc w:val="center"/>
        <w:divId w:val="198787011"/>
        <w:rPr>
          <w:rFonts w:eastAsia="Times New Roman"/>
        </w:rPr>
      </w:pPr>
      <w:r>
        <w:rPr>
          <w:rFonts w:eastAsia="Times New Roman"/>
          <w:color w:val="000000"/>
          <w:sz w:val="20"/>
          <w:szCs w:val="20"/>
        </w:rPr>
        <w:t>F-14</w:t>
      </w:r>
    </w:p>
    <w:p w14:paraId="017BF5DE" w14:textId="77777777" w:rsidR="00000000" w:rsidRDefault="00C1661D">
      <w:pPr>
        <w:rPr>
          <w:rFonts w:eastAsia="Times New Roman"/>
        </w:rPr>
      </w:pPr>
      <w:r>
        <w:rPr>
          <w:rFonts w:eastAsia="Times New Roman"/>
        </w:rPr>
        <w:pict w14:anchorId="14588A19">
          <v:rect id="_x0000_i1127" style="width:0;height:1.5pt" o:hralign="center" o:hrstd="t" o:hr="t" fillcolor="#a0a0a0" stroked="f"/>
        </w:pict>
      </w:r>
    </w:p>
    <w:p w14:paraId="0B9400C6" w14:textId="77777777" w:rsidR="00000000" w:rsidRDefault="00C1661D">
      <w:pPr>
        <w:divId w:val="1874806014"/>
        <w:rPr>
          <w:rFonts w:eastAsia="Times New Roman"/>
        </w:rPr>
      </w:pPr>
      <w:hyperlink w:anchor="i3850c3c6c0104e42b9951aac2f16098a_7" w:history="1">
        <w:r>
          <w:rPr>
            <w:rStyle w:val="a3"/>
            <w:rFonts w:eastAsia="Times New Roman"/>
            <w:sz w:val="20"/>
            <w:szCs w:val="20"/>
          </w:rPr>
          <w:t>Table of Contents</w:t>
        </w:r>
      </w:hyperlink>
    </w:p>
    <w:p w14:paraId="47EE5C1A" w14:textId="77777777" w:rsidR="00000000" w:rsidRDefault="00C1661D">
      <w:pPr>
        <w:divId w:val="1907716169"/>
        <w:rPr>
          <w:rFonts w:eastAsia="Times New Roman"/>
        </w:rPr>
      </w:pPr>
      <w:r>
        <w:rPr>
          <w:rFonts w:eastAsia="Times New Roman"/>
          <w:b/>
          <w:bCs/>
          <w:color w:val="000000"/>
          <w:sz w:val="20"/>
          <w:szCs w:val="20"/>
        </w:rPr>
        <w:t>UGI Corporation and Subsidiaries</w:t>
      </w:r>
    </w:p>
    <w:p w14:paraId="1E5036A8" w14:textId="77777777" w:rsidR="00000000" w:rsidRDefault="00C1661D">
      <w:pPr>
        <w:divId w:val="1486968744"/>
        <w:rPr>
          <w:rFonts w:eastAsia="Times New Roman"/>
        </w:rPr>
      </w:pPr>
      <w:r>
        <w:rPr>
          <w:rFonts w:eastAsia="Times New Roman"/>
          <w:b/>
          <w:bCs/>
          <w:color w:val="000000"/>
          <w:sz w:val="20"/>
          <w:szCs w:val="20"/>
        </w:rPr>
        <w:t>Notes to Consolidated Financial Statements</w:t>
      </w:r>
    </w:p>
    <w:p w14:paraId="064D9597" w14:textId="77777777" w:rsidR="00000000" w:rsidRDefault="00C1661D">
      <w:pPr>
        <w:divId w:val="1861159237"/>
        <w:rPr>
          <w:rFonts w:eastAsia="Times New Roman"/>
        </w:rPr>
      </w:pPr>
      <w:r>
        <w:rPr>
          <w:rFonts w:eastAsia="Times New Roman"/>
          <w:color w:val="000000"/>
          <w:sz w:val="20"/>
          <w:szCs w:val="20"/>
        </w:rPr>
        <w:t>(Currency in millions, except per share amounts and where indicated otherwise)</w:t>
      </w:r>
    </w:p>
    <w:p w14:paraId="69706B10" w14:textId="77777777" w:rsidR="00000000" w:rsidRDefault="00C1661D">
      <w:pPr>
        <w:jc w:val="both"/>
        <w:divId w:val="345404161"/>
        <w:rPr>
          <w:rFonts w:eastAsia="Times New Roman"/>
        </w:rPr>
      </w:pPr>
      <w:r>
        <w:rPr>
          <w:rFonts w:eastAsia="Times New Roman"/>
          <w:b/>
          <w:bCs/>
          <w:color w:val="000000"/>
          <w:sz w:val="20"/>
          <w:szCs w:val="20"/>
        </w:rPr>
        <w:t>Earnings Per Common Share</w:t>
      </w:r>
    </w:p>
    <w:p w14:paraId="18C84145" w14:textId="77777777" w:rsidR="00000000" w:rsidRDefault="00C1661D">
      <w:pPr>
        <w:jc w:val="both"/>
        <w:divId w:val="106587180"/>
        <w:rPr>
          <w:rFonts w:eastAsia="Times New Roman"/>
        </w:rPr>
      </w:pPr>
      <w:r>
        <w:rPr>
          <w:rFonts w:eastAsia="Times New Roman"/>
          <w:color w:val="000000"/>
          <w:sz w:val="20"/>
          <w:szCs w:val="20"/>
        </w:rPr>
        <w:t>Basic earnings per share attributable to UGI Corporation stockholders reflect the weighted-average number of common shares outstanding. Diluted earning</w:t>
      </w:r>
      <w:r>
        <w:rPr>
          <w:rFonts w:eastAsia="Times New Roman"/>
          <w:color w:val="000000"/>
          <w:sz w:val="20"/>
          <w:szCs w:val="20"/>
        </w:rPr>
        <w:t>s per share attributable to UGI Corporation include the effects of dilutive stock options, common stock awards and Equity Units. Shares used in computing basic and diluted earnings per share are as follows:</w:t>
      </w:r>
    </w:p>
    <w:tbl>
      <w:tblPr>
        <w:tblW w:w="5000" w:type="pct"/>
        <w:tblCellMar>
          <w:top w:w="15" w:type="dxa"/>
          <w:left w:w="15" w:type="dxa"/>
          <w:bottom w:w="15" w:type="dxa"/>
          <w:right w:w="15" w:type="dxa"/>
        </w:tblCellMar>
        <w:tblLook w:val="04A0" w:firstRow="1" w:lastRow="0" w:firstColumn="1" w:lastColumn="0" w:noHBand="0" w:noVBand="1"/>
      </w:tblPr>
      <w:tblGrid>
        <w:gridCol w:w="58"/>
        <w:gridCol w:w="5095"/>
        <w:gridCol w:w="37"/>
        <w:gridCol w:w="36"/>
        <w:gridCol w:w="36"/>
        <w:gridCol w:w="36"/>
        <w:gridCol w:w="63"/>
        <w:gridCol w:w="831"/>
        <w:gridCol w:w="36"/>
        <w:gridCol w:w="36"/>
        <w:gridCol w:w="36"/>
        <w:gridCol w:w="36"/>
        <w:gridCol w:w="63"/>
        <w:gridCol w:w="831"/>
        <w:gridCol w:w="36"/>
        <w:gridCol w:w="36"/>
        <w:gridCol w:w="36"/>
        <w:gridCol w:w="36"/>
        <w:gridCol w:w="63"/>
        <w:gridCol w:w="833"/>
        <w:gridCol w:w="36"/>
      </w:tblGrid>
      <w:tr w:rsidR="00000000" w14:paraId="25136A87" w14:textId="77777777">
        <w:trPr>
          <w:divId w:val="769008733"/>
        </w:trPr>
        <w:tc>
          <w:tcPr>
            <w:tcW w:w="50" w:type="pct"/>
            <w:vAlign w:val="center"/>
            <w:hideMark/>
          </w:tcPr>
          <w:p w14:paraId="557CC297" w14:textId="77777777" w:rsidR="00000000" w:rsidRDefault="00C1661D">
            <w:pPr>
              <w:jc w:val="both"/>
              <w:rPr>
                <w:rFonts w:eastAsia="Times New Roman"/>
              </w:rPr>
            </w:pPr>
          </w:p>
        </w:tc>
        <w:tc>
          <w:tcPr>
            <w:tcW w:w="3080" w:type="pct"/>
            <w:vAlign w:val="center"/>
            <w:hideMark/>
          </w:tcPr>
          <w:p w14:paraId="2E42027C" w14:textId="77777777" w:rsidR="00000000" w:rsidRDefault="00C1661D">
            <w:pPr>
              <w:spacing w:after="100"/>
              <w:rPr>
                <w:rFonts w:eastAsia="Times New Roman"/>
                <w:sz w:val="20"/>
                <w:szCs w:val="20"/>
              </w:rPr>
            </w:pPr>
          </w:p>
        </w:tc>
        <w:tc>
          <w:tcPr>
            <w:tcW w:w="5" w:type="pct"/>
            <w:vAlign w:val="center"/>
            <w:hideMark/>
          </w:tcPr>
          <w:p w14:paraId="35660A8A" w14:textId="77777777" w:rsidR="00000000" w:rsidRDefault="00C1661D">
            <w:pPr>
              <w:spacing w:after="100"/>
              <w:rPr>
                <w:rFonts w:eastAsia="Times New Roman"/>
                <w:sz w:val="20"/>
                <w:szCs w:val="20"/>
              </w:rPr>
            </w:pPr>
          </w:p>
        </w:tc>
        <w:tc>
          <w:tcPr>
            <w:tcW w:w="5" w:type="pct"/>
            <w:vAlign w:val="center"/>
            <w:hideMark/>
          </w:tcPr>
          <w:p w14:paraId="26AF3284" w14:textId="77777777" w:rsidR="00000000" w:rsidRDefault="00C1661D">
            <w:pPr>
              <w:spacing w:after="100"/>
              <w:rPr>
                <w:rFonts w:eastAsia="Times New Roman"/>
                <w:sz w:val="20"/>
                <w:szCs w:val="20"/>
              </w:rPr>
            </w:pPr>
          </w:p>
        </w:tc>
        <w:tc>
          <w:tcPr>
            <w:tcW w:w="26" w:type="pct"/>
            <w:vAlign w:val="center"/>
            <w:hideMark/>
          </w:tcPr>
          <w:p w14:paraId="2A31B863" w14:textId="77777777" w:rsidR="00000000" w:rsidRDefault="00C1661D">
            <w:pPr>
              <w:spacing w:after="100"/>
              <w:rPr>
                <w:rFonts w:eastAsia="Times New Roman"/>
                <w:sz w:val="20"/>
                <w:szCs w:val="20"/>
              </w:rPr>
            </w:pPr>
          </w:p>
        </w:tc>
        <w:tc>
          <w:tcPr>
            <w:tcW w:w="5" w:type="pct"/>
            <w:vAlign w:val="center"/>
            <w:hideMark/>
          </w:tcPr>
          <w:p w14:paraId="507B7DEA" w14:textId="77777777" w:rsidR="00000000" w:rsidRDefault="00C1661D">
            <w:pPr>
              <w:spacing w:after="100"/>
              <w:rPr>
                <w:rFonts w:eastAsia="Times New Roman"/>
                <w:sz w:val="20"/>
                <w:szCs w:val="20"/>
              </w:rPr>
            </w:pPr>
          </w:p>
        </w:tc>
        <w:tc>
          <w:tcPr>
            <w:tcW w:w="50" w:type="pct"/>
            <w:vAlign w:val="center"/>
            <w:hideMark/>
          </w:tcPr>
          <w:p w14:paraId="2C9A4C95" w14:textId="77777777" w:rsidR="00000000" w:rsidRDefault="00C1661D">
            <w:pPr>
              <w:spacing w:after="100"/>
              <w:rPr>
                <w:rFonts w:eastAsia="Times New Roman"/>
                <w:sz w:val="20"/>
                <w:szCs w:val="20"/>
              </w:rPr>
            </w:pPr>
          </w:p>
        </w:tc>
        <w:tc>
          <w:tcPr>
            <w:tcW w:w="529" w:type="pct"/>
            <w:vAlign w:val="center"/>
            <w:hideMark/>
          </w:tcPr>
          <w:p w14:paraId="3678AA0D" w14:textId="77777777" w:rsidR="00000000" w:rsidRDefault="00C1661D">
            <w:pPr>
              <w:spacing w:after="100"/>
              <w:rPr>
                <w:rFonts w:eastAsia="Times New Roman"/>
                <w:sz w:val="20"/>
                <w:szCs w:val="20"/>
              </w:rPr>
            </w:pPr>
          </w:p>
        </w:tc>
        <w:tc>
          <w:tcPr>
            <w:tcW w:w="5" w:type="pct"/>
            <w:vAlign w:val="center"/>
            <w:hideMark/>
          </w:tcPr>
          <w:p w14:paraId="4E2077DC" w14:textId="77777777" w:rsidR="00000000" w:rsidRDefault="00C1661D">
            <w:pPr>
              <w:spacing w:after="100"/>
              <w:rPr>
                <w:rFonts w:eastAsia="Times New Roman"/>
                <w:sz w:val="20"/>
                <w:szCs w:val="20"/>
              </w:rPr>
            </w:pPr>
          </w:p>
        </w:tc>
        <w:tc>
          <w:tcPr>
            <w:tcW w:w="5" w:type="pct"/>
            <w:vAlign w:val="center"/>
            <w:hideMark/>
          </w:tcPr>
          <w:p w14:paraId="4EA3032B" w14:textId="77777777" w:rsidR="00000000" w:rsidRDefault="00C1661D">
            <w:pPr>
              <w:spacing w:after="100"/>
              <w:rPr>
                <w:rFonts w:eastAsia="Times New Roman"/>
                <w:sz w:val="20"/>
                <w:szCs w:val="20"/>
              </w:rPr>
            </w:pPr>
          </w:p>
        </w:tc>
        <w:tc>
          <w:tcPr>
            <w:tcW w:w="26" w:type="pct"/>
            <w:vAlign w:val="center"/>
            <w:hideMark/>
          </w:tcPr>
          <w:p w14:paraId="5EBD7710" w14:textId="77777777" w:rsidR="00000000" w:rsidRDefault="00C1661D">
            <w:pPr>
              <w:spacing w:after="100"/>
              <w:rPr>
                <w:rFonts w:eastAsia="Times New Roman"/>
                <w:sz w:val="20"/>
                <w:szCs w:val="20"/>
              </w:rPr>
            </w:pPr>
          </w:p>
        </w:tc>
        <w:tc>
          <w:tcPr>
            <w:tcW w:w="5" w:type="pct"/>
            <w:vAlign w:val="center"/>
            <w:hideMark/>
          </w:tcPr>
          <w:p w14:paraId="258D96FA" w14:textId="77777777" w:rsidR="00000000" w:rsidRDefault="00C1661D">
            <w:pPr>
              <w:spacing w:after="100"/>
              <w:rPr>
                <w:rFonts w:eastAsia="Times New Roman"/>
                <w:sz w:val="20"/>
                <w:szCs w:val="20"/>
              </w:rPr>
            </w:pPr>
          </w:p>
        </w:tc>
        <w:tc>
          <w:tcPr>
            <w:tcW w:w="50" w:type="pct"/>
            <w:vAlign w:val="center"/>
            <w:hideMark/>
          </w:tcPr>
          <w:p w14:paraId="43E5B974" w14:textId="77777777" w:rsidR="00000000" w:rsidRDefault="00C1661D">
            <w:pPr>
              <w:spacing w:after="100"/>
              <w:rPr>
                <w:rFonts w:eastAsia="Times New Roman"/>
                <w:sz w:val="20"/>
                <w:szCs w:val="20"/>
              </w:rPr>
            </w:pPr>
          </w:p>
        </w:tc>
        <w:tc>
          <w:tcPr>
            <w:tcW w:w="529" w:type="pct"/>
            <w:vAlign w:val="center"/>
            <w:hideMark/>
          </w:tcPr>
          <w:p w14:paraId="5F087FAA" w14:textId="77777777" w:rsidR="00000000" w:rsidRDefault="00C1661D">
            <w:pPr>
              <w:spacing w:after="100"/>
              <w:rPr>
                <w:rFonts w:eastAsia="Times New Roman"/>
                <w:sz w:val="20"/>
                <w:szCs w:val="20"/>
              </w:rPr>
            </w:pPr>
          </w:p>
        </w:tc>
        <w:tc>
          <w:tcPr>
            <w:tcW w:w="5" w:type="pct"/>
            <w:vAlign w:val="center"/>
            <w:hideMark/>
          </w:tcPr>
          <w:p w14:paraId="64168581" w14:textId="77777777" w:rsidR="00000000" w:rsidRDefault="00C1661D">
            <w:pPr>
              <w:spacing w:after="100"/>
              <w:rPr>
                <w:rFonts w:eastAsia="Times New Roman"/>
                <w:sz w:val="20"/>
                <w:szCs w:val="20"/>
              </w:rPr>
            </w:pPr>
          </w:p>
        </w:tc>
        <w:tc>
          <w:tcPr>
            <w:tcW w:w="5" w:type="pct"/>
            <w:vAlign w:val="center"/>
            <w:hideMark/>
          </w:tcPr>
          <w:p w14:paraId="4F0CA384" w14:textId="77777777" w:rsidR="00000000" w:rsidRDefault="00C1661D">
            <w:pPr>
              <w:spacing w:after="100"/>
              <w:rPr>
                <w:rFonts w:eastAsia="Times New Roman"/>
                <w:sz w:val="20"/>
                <w:szCs w:val="20"/>
              </w:rPr>
            </w:pPr>
          </w:p>
        </w:tc>
        <w:tc>
          <w:tcPr>
            <w:tcW w:w="26" w:type="pct"/>
            <w:vAlign w:val="center"/>
            <w:hideMark/>
          </w:tcPr>
          <w:p w14:paraId="32E9F03F" w14:textId="77777777" w:rsidR="00000000" w:rsidRDefault="00C1661D">
            <w:pPr>
              <w:spacing w:after="100"/>
              <w:rPr>
                <w:rFonts w:eastAsia="Times New Roman"/>
                <w:sz w:val="20"/>
                <w:szCs w:val="20"/>
              </w:rPr>
            </w:pPr>
          </w:p>
        </w:tc>
        <w:tc>
          <w:tcPr>
            <w:tcW w:w="5" w:type="pct"/>
            <w:vAlign w:val="center"/>
            <w:hideMark/>
          </w:tcPr>
          <w:p w14:paraId="53B26CF0" w14:textId="77777777" w:rsidR="00000000" w:rsidRDefault="00C1661D">
            <w:pPr>
              <w:spacing w:after="100"/>
              <w:rPr>
                <w:rFonts w:eastAsia="Times New Roman"/>
                <w:sz w:val="20"/>
                <w:szCs w:val="20"/>
              </w:rPr>
            </w:pPr>
          </w:p>
        </w:tc>
        <w:tc>
          <w:tcPr>
            <w:tcW w:w="50" w:type="pct"/>
            <w:vAlign w:val="center"/>
            <w:hideMark/>
          </w:tcPr>
          <w:p w14:paraId="7F0A1B09" w14:textId="77777777" w:rsidR="00000000" w:rsidRDefault="00C1661D">
            <w:pPr>
              <w:spacing w:after="100"/>
              <w:rPr>
                <w:rFonts w:eastAsia="Times New Roman"/>
                <w:sz w:val="20"/>
                <w:szCs w:val="20"/>
              </w:rPr>
            </w:pPr>
          </w:p>
        </w:tc>
        <w:tc>
          <w:tcPr>
            <w:tcW w:w="530" w:type="pct"/>
            <w:vAlign w:val="center"/>
            <w:hideMark/>
          </w:tcPr>
          <w:p w14:paraId="41BC1F08" w14:textId="77777777" w:rsidR="00000000" w:rsidRDefault="00C1661D">
            <w:pPr>
              <w:spacing w:after="100"/>
              <w:rPr>
                <w:rFonts w:eastAsia="Times New Roman"/>
                <w:sz w:val="20"/>
                <w:szCs w:val="20"/>
              </w:rPr>
            </w:pPr>
          </w:p>
        </w:tc>
        <w:tc>
          <w:tcPr>
            <w:tcW w:w="5" w:type="pct"/>
            <w:vAlign w:val="center"/>
            <w:hideMark/>
          </w:tcPr>
          <w:p w14:paraId="68FF4BFF" w14:textId="77777777" w:rsidR="00000000" w:rsidRDefault="00C1661D">
            <w:pPr>
              <w:spacing w:after="100"/>
              <w:rPr>
                <w:rFonts w:eastAsia="Times New Roman"/>
                <w:sz w:val="20"/>
                <w:szCs w:val="20"/>
              </w:rPr>
            </w:pPr>
          </w:p>
        </w:tc>
      </w:tr>
      <w:tr w:rsidR="00000000" w14:paraId="5D7542FA" w14:textId="77777777">
        <w:trPr>
          <w:divId w:val="769008733"/>
        </w:trPr>
        <w:tc>
          <w:tcPr>
            <w:tcW w:w="0" w:type="auto"/>
            <w:gridSpan w:val="3"/>
            <w:tcMar>
              <w:top w:w="30" w:type="dxa"/>
              <w:left w:w="20" w:type="dxa"/>
              <w:bottom w:w="30" w:type="dxa"/>
              <w:right w:w="20" w:type="dxa"/>
            </w:tcMar>
            <w:vAlign w:val="bottom"/>
            <w:hideMark/>
          </w:tcPr>
          <w:p w14:paraId="74EA7E4D" w14:textId="77777777" w:rsidR="00000000" w:rsidRDefault="00C1661D">
            <w:pPr>
              <w:spacing w:after="100"/>
              <w:rPr>
                <w:rFonts w:eastAsia="Times New Roman"/>
              </w:rPr>
            </w:pPr>
            <w:r>
              <w:rPr>
                <w:rFonts w:eastAsia="Times New Roman"/>
                <w:color w:val="000000"/>
                <w:sz w:val="20"/>
                <w:szCs w:val="20"/>
              </w:rPr>
              <w:t>(Thousands of shares)</w:t>
            </w:r>
          </w:p>
        </w:tc>
        <w:tc>
          <w:tcPr>
            <w:tcW w:w="0" w:type="auto"/>
            <w:gridSpan w:val="3"/>
            <w:tcMar>
              <w:top w:w="0" w:type="dxa"/>
              <w:left w:w="20" w:type="dxa"/>
              <w:bottom w:w="0" w:type="dxa"/>
              <w:right w:w="20" w:type="dxa"/>
            </w:tcMar>
            <w:vAlign w:val="center"/>
            <w:hideMark/>
          </w:tcPr>
          <w:p w14:paraId="62FC5831"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05D03256"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1F27BB40"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2474DF5"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14868354"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768E065" w14:textId="77777777" w:rsidR="00000000" w:rsidRDefault="00C1661D">
            <w:pPr>
              <w:spacing w:after="100"/>
              <w:jc w:val="center"/>
              <w:rPr>
                <w:rFonts w:eastAsia="Times New Roman"/>
              </w:rPr>
            </w:pPr>
            <w:r>
              <w:rPr>
                <w:rFonts w:eastAsia="Times New Roman"/>
                <w:color w:val="000000"/>
                <w:sz w:val="20"/>
                <w:szCs w:val="20"/>
              </w:rPr>
              <w:t>2020</w:t>
            </w:r>
          </w:p>
        </w:tc>
      </w:tr>
      <w:tr w:rsidR="00000000" w14:paraId="34F439D2" w14:textId="77777777">
        <w:trPr>
          <w:divId w:val="76900873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6976B2D" w14:textId="77777777" w:rsidR="00000000" w:rsidRDefault="00C1661D">
            <w:pPr>
              <w:spacing w:after="100"/>
              <w:rPr>
                <w:rFonts w:eastAsia="Times New Roman"/>
              </w:rPr>
            </w:pPr>
            <w:r>
              <w:rPr>
                <w:rFonts w:eastAsia="Times New Roman"/>
                <w:color w:val="000000"/>
                <w:sz w:val="20"/>
                <w:szCs w:val="20"/>
              </w:rPr>
              <w:t xml:space="preserve">Weighted-average common shares outstanding for basic computation </w:t>
            </w:r>
          </w:p>
        </w:tc>
        <w:tc>
          <w:tcPr>
            <w:tcW w:w="0" w:type="auto"/>
            <w:gridSpan w:val="3"/>
            <w:shd w:val="clear" w:color="auto" w:fill="CCEEFF"/>
            <w:tcMar>
              <w:top w:w="0" w:type="dxa"/>
              <w:left w:w="20" w:type="dxa"/>
              <w:bottom w:w="0" w:type="dxa"/>
              <w:right w:w="20" w:type="dxa"/>
            </w:tcMar>
            <w:vAlign w:val="center"/>
            <w:hideMark/>
          </w:tcPr>
          <w:p w14:paraId="29F78EF1" w14:textId="77777777" w:rsidR="00000000" w:rsidRDefault="00C166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33751E" w14:textId="77777777" w:rsidR="00000000" w:rsidRDefault="00C1661D">
            <w:pPr>
              <w:spacing w:after="100"/>
              <w:jc w:val="right"/>
              <w:rPr>
                <w:rFonts w:eastAsia="Times New Roman"/>
              </w:rPr>
            </w:pPr>
            <w:r>
              <w:rPr>
                <w:rFonts w:eastAsia="Times New Roman"/>
                <w:color w:val="000000"/>
                <w:sz w:val="20"/>
                <w:szCs w:val="20"/>
              </w:rPr>
              <w:t>209,940 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20B0E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2F5FD1"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7B9CDC" w14:textId="77777777" w:rsidR="00000000" w:rsidRDefault="00C1661D">
            <w:pPr>
              <w:spacing w:after="100"/>
              <w:jc w:val="right"/>
              <w:rPr>
                <w:rFonts w:eastAsia="Times New Roman"/>
              </w:rPr>
            </w:pPr>
            <w:r>
              <w:rPr>
                <w:rFonts w:eastAsia="Times New Roman"/>
                <w:color w:val="000000"/>
                <w:sz w:val="20"/>
                <w:szCs w:val="20"/>
              </w:rPr>
              <w:t>209,063 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3D65C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769CE5"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6DE4F7" w14:textId="77777777" w:rsidR="00000000" w:rsidRDefault="00C1661D">
            <w:pPr>
              <w:spacing w:after="100"/>
              <w:jc w:val="right"/>
              <w:rPr>
                <w:rFonts w:eastAsia="Times New Roman"/>
              </w:rPr>
            </w:pPr>
            <w:r>
              <w:rPr>
                <w:rFonts w:eastAsia="Times New Roman"/>
                <w:color w:val="000000"/>
                <w:sz w:val="20"/>
                <w:szCs w:val="20"/>
              </w:rPr>
              <w:t>208,928 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F5C787" w14:textId="77777777" w:rsidR="00000000" w:rsidRDefault="00C1661D">
            <w:pPr>
              <w:spacing w:after="100"/>
              <w:jc w:val="right"/>
              <w:rPr>
                <w:rFonts w:eastAsia="Times New Roman"/>
              </w:rPr>
            </w:pPr>
          </w:p>
        </w:tc>
      </w:tr>
      <w:tr w:rsidR="00000000" w14:paraId="7363F7D7" w14:textId="77777777">
        <w:trPr>
          <w:divId w:val="769008733"/>
        </w:trPr>
        <w:tc>
          <w:tcPr>
            <w:tcW w:w="0" w:type="auto"/>
            <w:gridSpan w:val="3"/>
            <w:shd w:val="clear" w:color="auto" w:fill="FFFFFF"/>
            <w:tcMar>
              <w:top w:w="30" w:type="dxa"/>
              <w:left w:w="20" w:type="dxa"/>
              <w:bottom w:w="30" w:type="dxa"/>
              <w:right w:w="20" w:type="dxa"/>
            </w:tcMar>
            <w:vAlign w:val="bottom"/>
            <w:hideMark/>
          </w:tcPr>
          <w:p w14:paraId="185AF479" w14:textId="77777777" w:rsidR="00000000" w:rsidRDefault="00C1661D">
            <w:pPr>
              <w:spacing w:after="100"/>
              <w:rPr>
                <w:rFonts w:eastAsia="Times New Roman"/>
              </w:rPr>
            </w:pPr>
            <w:r>
              <w:rPr>
                <w:rFonts w:eastAsia="Times New Roman"/>
                <w:color w:val="000000"/>
                <w:sz w:val="20"/>
                <w:szCs w:val="20"/>
              </w:rPr>
              <w:t>Incremental shares issuable for stock options, common stock awards and Equity Units (a) (b)</w:t>
            </w:r>
          </w:p>
        </w:tc>
        <w:tc>
          <w:tcPr>
            <w:tcW w:w="0" w:type="auto"/>
            <w:gridSpan w:val="3"/>
            <w:shd w:val="clear" w:color="auto" w:fill="FFFFFF"/>
            <w:tcMar>
              <w:top w:w="0" w:type="dxa"/>
              <w:left w:w="20" w:type="dxa"/>
              <w:bottom w:w="0" w:type="dxa"/>
              <w:right w:w="20" w:type="dxa"/>
            </w:tcMar>
            <w:vAlign w:val="center"/>
            <w:hideMark/>
          </w:tcPr>
          <w:p w14:paraId="74618EDC"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B28402" w14:textId="77777777" w:rsidR="00000000" w:rsidRDefault="00C1661D">
            <w:pPr>
              <w:spacing w:after="100"/>
              <w:jc w:val="right"/>
              <w:rPr>
                <w:rFonts w:eastAsia="Times New Roman"/>
              </w:rPr>
            </w:pPr>
            <w:r>
              <w:rPr>
                <w:rFonts w:eastAsia="Times New Roman"/>
                <w:color w:val="000000"/>
                <w:sz w:val="20"/>
                <w:szCs w:val="20"/>
              </w:rPr>
              <w:t>5,881 </w:t>
            </w:r>
          </w:p>
        </w:tc>
        <w:tc>
          <w:tcPr>
            <w:tcW w:w="0" w:type="auto"/>
            <w:shd w:val="clear" w:color="auto" w:fill="FFFFFF"/>
            <w:tcMar>
              <w:top w:w="30" w:type="dxa"/>
              <w:left w:w="0" w:type="dxa"/>
              <w:bottom w:w="30" w:type="dxa"/>
              <w:right w:w="20" w:type="dxa"/>
            </w:tcMar>
            <w:vAlign w:val="bottom"/>
            <w:hideMark/>
          </w:tcPr>
          <w:p w14:paraId="247F24C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1ECC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D4B6DB" w14:textId="77777777" w:rsidR="00000000" w:rsidRDefault="00C1661D">
            <w:pPr>
              <w:spacing w:after="100"/>
              <w:jc w:val="right"/>
              <w:rPr>
                <w:rFonts w:eastAsia="Times New Roman"/>
              </w:rPr>
            </w:pPr>
            <w:r>
              <w:rPr>
                <w:rFonts w:eastAsia="Times New Roman"/>
                <w:color w:val="000000"/>
                <w:sz w:val="20"/>
                <w:szCs w:val="20"/>
              </w:rPr>
              <w:t>3,063 </w:t>
            </w:r>
          </w:p>
        </w:tc>
        <w:tc>
          <w:tcPr>
            <w:tcW w:w="0" w:type="auto"/>
            <w:shd w:val="clear" w:color="auto" w:fill="FFFFFF"/>
            <w:tcMar>
              <w:top w:w="30" w:type="dxa"/>
              <w:left w:w="0" w:type="dxa"/>
              <w:bottom w:w="30" w:type="dxa"/>
              <w:right w:w="20" w:type="dxa"/>
            </w:tcMar>
            <w:vAlign w:val="bottom"/>
            <w:hideMark/>
          </w:tcPr>
          <w:p w14:paraId="4B77A40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DBC04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6B9485" w14:textId="77777777" w:rsidR="00000000" w:rsidRDefault="00C1661D">
            <w:pPr>
              <w:spacing w:after="100"/>
              <w:jc w:val="right"/>
              <w:rPr>
                <w:rFonts w:eastAsia="Times New Roman"/>
              </w:rPr>
            </w:pPr>
            <w:r>
              <w:rPr>
                <w:rFonts w:eastAsia="Times New Roman"/>
                <w:color w:val="000000"/>
                <w:sz w:val="20"/>
                <w:szCs w:val="20"/>
              </w:rPr>
              <w:t>941 </w:t>
            </w:r>
          </w:p>
        </w:tc>
        <w:tc>
          <w:tcPr>
            <w:tcW w:w="0" w:type="auto"/>
            <w:shd w:val="clear" w:color="auto" w:fill="FFFFFF"/>
            <w:tcMar>
              <w:top w:w="30" w:type="dxa"/>
              <w:left w:w="0" w:type="dxa"/>
              <w:bottom w:w="30" w:type="dxa"/>
              <w:right w:w="20" w:type="dxa"/>
            </w:tcMar>
            <w:vAlign w:val="bottom"/>
            <w:hideMark/>
          </w:tcPr>
          <w:p w14:paraId="3E2D856A" w14:textId="77777777" w:rsidR="00000000" w:rsidRDefault="00C1661D">
            <w:pPr>
              <w:spacing w:after="100"/>
              <w:jc w:val="right"/>
              <w:rPr>
                <w:rFonts w:eastAsia="Times New Roman"/>
              </w:rPr>
            </w:pPr>
          </w:p>
        </w:tc>
      </w:tr>
      <w:tr w:rsidR="00000000" w14:paraId="1E70BA40" w14:textId="77777777">
        <w:trPr>
          <w:divId w:val="769008733"/>
        </w:trPr>
        <w:tc>
          <w:tcPr>
            <w:tcW w:w="0" w:type="auto"/>
            <w:gridSpan w:val="3"/>
            <w:shd w:val="clear" w:color="auto" w:fill="CCEEFF"/>
            <w:tcMar>
              <w:top w:w="30" w:type="dxa"/>
              <w:left w:w="20" w:type="dxa"/>
              <w:bottom w:w="30" w:type="dxa"/>
              <w:right w:w="20" w:type="dxa"/>
            </w:tcMar>
            <w:vAlign w:val="bottom"/>
            <w:hideMark/>
          </w:tcPr>
          <w:p w14:paraId="5D27E61E" w14:textId="77777777" w:rsidR="00000000" w:rsidRDefault="00C1661D">
            <w:pPr>
              <w:spacing w:after="100"/>
              <w:rPr>
                <w:rFonts w:eastAsia="Times New Roman"/>
              </w:rPr>
            </w:pPr>
            <w:r>
              <w:rPr>
                <w:rFonts w:eastAsia="Times New Roman"/>
                <w:color w:val="000000"/>
                <w:sz w:val="20"/>
                <w:szCs w:val="20"/>
              </w:rPr>
              <w:t>Weighted-average common shares outstanding for diluted computation</w:t>
            </w:r>
          </w:p>
        </w:tc>
        <w:tc>
          <w:tcPr>
            <w:tcW w:w="0" w:type="auto"/>
            <w:gridSpan w:val="3"/>
            <w:shd w:val="clear" w:color="auto" w:fill="CCEEFF"/>
            <w:tcMar>
              <w:top w:w="0" w:type="dxa"/>
              <w:left w:w="20" w:type="dxa"/>
              <w:bottom w:w="0" w:type="dxa"/>
              <w:right w:w="20" w:type="dxa"/>
            </w:tcMar>
            <w:vAlign w:val="center"/>
            <w:hideMark/>
          </w:tcPr>
          <w:p w14:paraId="5EB40635" w14:textId="77777777" w:rsidR="00000000" w:rsidRDefault="00C1661D">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5EFC04" w14:textId="77777777" w:rsidR="00000000" w:rsidRDefault="00C1661D">
            <w:pPr>
              <w:spacing w:after="100"/>
              <w:jc w:val="right"/>
              <w:rPr>
                <w:rFonts w:eastAsia="Times New Roman"/>
              </w:rPr>
            </w:pPr>
            <w:r>
              <w:rPr>
                <w:rFonts w:eastAsia="Times New Roman"/>
                <w:color w:val="000000"/>
                <w:sz w:val="20"/>
                <w:szCs w:val="20"/>
              </w:rPr>
              <w:t>215,821 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F6FA5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EEFA74" w14:textId="77777777" w:rsidR="00000000" w:rsidRDefault="00C1661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10B10FB" w14:textId="77777777" w:rsidR="00000000" w:rsidRDefault="00C1661D">
            <w:pPr>
              <w:spacing w:after="100"/>
              <w:jc w:val="right"/>
              <w:rPr>
                <w:rFonts w:eastAsia="Times New Roman"/>
              </w:rPr>
            </w:pPr>
            <w:r>
              <w:rPr>
                <w:rFonts w:eastAsia="Times New Roman"/>
                <w:color w:val="000000"/>
                <w:sz w:val="20"/>
                <w:szCs w:val="20"/>
              </w:rPr>
              <w:t>212,126 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9722A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1A6194" w14:textId="77777777" w:rsidR="00000000" w:rsidRDefault="00C1661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1E219C" w14:textId="77777777" w:rsidR="00000000" w:rsidRDefault="00C1661D">
            <w:pPr>
              <w:spacing w:after="100"/>
              <w:jc w:val="right"/>
              <w:rPr>
                <w:rFonts w:eastAsia="Times New Roman"/>
              </w:rPr>
            </w:pPr>
            <w:r>
              <w:rPr>
                <w:rFonts w:eastAsia="Times New Roman"/>
                <w:color w:val="000000"/>
                <w:sz w:val="20"/>
                <w:szCs w:val="20"/>
              </w:rPr>
              <w:t>209,869 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AFC5C60" w14:textId="77777777" w:rsidR="00000000" w:rsidRDefault="00C1661D">
            <w:pPr>
              <w:spacing w:after="100"/>
              <w:jc w:val="right"/>
              <w:rPr>
                <w:rFonts w:eastAsia="Times New Roman"/>
              </w:rPr>
            </w:pPr>
          </w:p>
        </w:tc>
      </w:tr>
    </w:tbl>
    <w:p w14:paraId="65A5E7E3" w14:textId="77777777" w:rsidR="00000000" w:rsidRDefault="00C1661D">
      <w:pPr>
        <w:jc w:val="both"/>
        <w:rPr>
          <w:rFonts w:eastAsia="Times New Roman"/>
        </w:rPr>
      </w:pPr>
    </w:p>
    <w:p w14:paraId="28BDE9F9" w14:textId="77777777" w:rsidR="00000000" w:rsidRDefault="00C1661D">
      <w:pPr>
        <w:ind w:hanging="360"/>
        <w:jc w:val="both"/>
        <w:rPr>
          <w:rFonts w:eastAsia="Times New Roman"/>
        </w:rPr>
      </w:pPr>
      <w:r>
        <w:rPr>
          <w:rFonts w:eastAsia="Times New Roman"/>
          <w:color w:val="000000"/>
          <w:sz w:val="20"/>
          <w:szCs w:val="20"/>
        </w:rPr>
        <w:t xml:space="preserve">(a)Fiscal 2022 and 2021 includes the impact of common shares assumed to be outstanding under the if-converted method in connection with the May 2021 issuance of Equity Units (see </w:t>
      </w:r>
      <w:r>
        <w:rPr>
          <w:rFonts w:eastAsia="Times New Roman"/>
          <w:color w:val="000000"/>
          <w:sz w:val="20"/>
          <w:szCs w:val="20"/>
        </w:rPr>
        <w:t>Note 13).</w:t>
      </w:r>
    </w:p>
    <w:p w14:paraId="18C5CEA0" w14:textId="77777777" w:rsidR="00000000" w:rsidRDefault="00C1661D">
      <w:pPr>
        <w:ind w:hanging="360"/>
        <w:jc w:val="both"/>
        <w:rPr>
          <w:rFonts w:eastAsia="Times New Roman"/>
        </w:rPr>
      </w:pPr>
      <w:r>
        <w:rPr>
          <w:rFonts w:eastAsia="Times New Roman"/>
          <w:color w:val="000000"/>
          <w:sz w:val="20"/>
          <w:szCs w:val="20"/>
        </w:rPr>
        <w:t xml:space="preserve">(b)For Fiscal 2022, Fiscal 2021 and Fiscal 2020 there were 8,138 shares, 5,267 shares and 7,056 shares, respectively, associated with outstanding stock option awards that were not included in the computation of diluted earnings per share because </w:t>
      </w:r>
      <w:r>
        <w:rPr>
          <w:rFonts w:eastAsia="Times New Roman"/>
          <w:color w:val="000000"/>
          <w:sz w:val="20"/>
          <w:szCs w:val="20"/>
        </w:rPr>
        <w:t>their effect was antidilutive.</w:t>
      </w:r>
    </w:p>
    <w:p w14:paraId="77948971" w14:textId="77777777" w:rsidR="00000000" w:rsidRDefault="00C1661D">
      <w:pPr>
        <w:jc w:val="both"/>
        <w:rPr>
          <w:rFonts w:eastAsia="Times New Roman"/>
        </w:rPr>
      </w:pPr>
    </w:p>
    <w:p w14:paraId="1869B288" w14:textId="77777777" w:rsidR="00000000" w:rsidRDefault="00C1661D">
      <w:pPr>
        <w:jc w:val="both"/>
        <w:rPr>
          <w:rFonts w:eastAsia="Times New Roman"/>
        </w:rPr>
      </w:pPr>
      <w:r>
        <w:rPr>
          <w:rFonts w:eastAsia="Times New Roman"/>
          <w:b/>
          <w:bCs/>
          <w:color w:val="000000"/>
          <w:sz w:val="20"/>
          <w:szCs w:val="20"/>
        </w:rPr>
        <w:t>Cash, Cash Equivalents and Restricted Cash</w:t>
      </w:r>
    </w:p>
    <w:p w14:paraId="29F2D643" w14:textId="77777777" w:rsidR="00000000" w:rsidRDefault="00C1661D">
      <w:pPr>
        <w:jc w:val="both"/>
        <w:divId w:val="85617078"/>
        <w:rPr>
          <w:rFonts w:eastAsia="Times New Roman"/>
        </w:rPr>
      </w:pPr>
      <w:r>
        <w:rPr>
          <w:rFonts w:eastAsia="Times New Roman"/>
          <w:color w:val="000000"/>
          <w:sz w:val="20"/>
          <w:szCs w:val="20"/>
        </w:rPr>
        <w:t>Cash and cash equivalents include cash on hand, cash in banks and highly liquid investments with maturities of three months or less when purchased. Restricted cash principally repr</w:t>
      </w:r>
      <w:r>
        <w:rPr>
          <w:rFonts w:eastAsia="Times New Roman"/>
          <w:color w:val="000000"/>
          <w:sz w:val="20"/>
          <w:szCs w:val="20"/>
        </w:rPr>
        <w:t>esents those cash balances in our commodity futures brokerage accounts that are restricted from withdrawal.</w:t>
      </w:r>
    </w:p>
    <w:p w14:paraId="64128D6C" w14:textId="77777777" w:rsidR="00000000" w:rsidRDefault="00C1661D">
      <w:pPr>
        <w:jc w:val="both"/>
        <w:divId w:val="428815085"/>
        <w:rPr>
          <w:rFonts w:eastAsia="Times New Roman"/>
        </w:rPr>
      </w:pPr>
      <w:r>
        <w:rPr>
          <w:rFonts w:eastAsia="Times New Roman"/>
          <w:color w:val="000000"/>
          <w:sz w:val="20"/>
          <w:szCs w:val="20"/>
        </w:rPr>
        <w:t>The following table provides a reconciliation of the total cash, cash equivalents and restricted cash reported on the Consolidated Balance Sheets to the corresponding amounts reported on the Consolidated Statements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024"/>
        <w:gridCol w:w="36"/>
        <w:gridCol w:w="36"/>
        <w:gridCol w:w="36"/>
        <w:gridCol w:w="36"/>
        <w:gridCol w:w="120"/>
        <w:gridCol w:w="781"/>
        <w:gridCol w:w="36"/>
        <w:gridCol w:w="36"/>
        <w:gridCol w:w="36"/>
        <w:gridCol w:w="36"/>
        <w:gridCol w:w="120"/>
        <w:gridCol w:w="781"/>
        <w:gridCol w:w="36"/>
        <w:gridCol w:w="36"/>
        <w:gridCol w:w="36"/>
        <w:gridCol w:w="36"/>
        <w:gridCol w:w="120"/>
        <w:gridCol w:w="783"/>
        <w:gridCol w:w="36"/>
        <w:gridCol w:w="36"/>
        <w:gridCol w:w="36"/>
      </w:tblGrid>
      <w:tr w:rsidR="00000000" w14:paraId="0C3DB985" w14:textId="77777777">
        <w:trPr>
          <w:divId w:val="1234581449"/>
          <w:jc w:val="center"/>
        </w:trPr>
        <w:tc>
          <w:tcPr>
            <w:tcW w:w="50" w:type="pct"/>
            <w:vAlign w:val="center"/>
            <w:hideMark/>
          </w:tcPr>
          <w:p w14:paraId="36C85435" w14:textId="77777777" w:rsidR="00000000" w:rsidRDefault="00C1661D">
            <w:pPr>
              <w:jc w:val="both"/>
              <w:rPr>
                <w:rFonts w:eastAsia="Times New Roman"/>
              </w:rPr>
            </w:pPr>
          </w:p>
        </w:tc>
        <w:tc>
          <w:tcPr>
            <w:tcW w:w="3080" w:type="pct"/>
            <w:vAlign w:val="center"/>
            <w:hideMark/>
          </w:tcPr>
          <w:p w14:paraId="3E534547" w14:textId="77777777" w:rsidR="00000000" w:rsidRDefault="00C1661D">
            <w:pPr>
              <w:spacing w:after="100"/>
              <w:rPr>
                <w:rFonts w:eastAsia="Times New Roman"/>
                <w:sz w:val="20"/>
                <w:szCs w:val="20"/>
              </w:rPr>
            </w:pPr>
          </w:p>
        </w:tc>
        <w:tc>
          <w:tcPr>
            <w:tcW w:w="5" w:type="pct"/>
            <w:vAlign w:val="center"/>
            <w:hideMark/>
          </w:tcPr>
          <w:p w14:paraId="1B958E56" w14:textId="77777777" w:rsidR="00000000" w:rsidRDefault="00C1661D">
            <w:pPr>
              <w:spacing w:after="100"/>
              <w:rPr>
                <w:rFonts w:eastAsia="Times New Roman"/>
                <w:sz w:val="20"/>
                <w:szCs w:val="20"/>
              </w:rPr>
            </w:pPr>
          </w:p>
        </w:tc>
        <w:tc>
          <w:tcPr>
            <w:tcW w:w="5" w:type="pct"/>
            <w:vAlign w:val="center"/>
            <w:hideMark/>
          </w:tcPr>
          <w:p w14:paraId="53822F0A" w14:textId="77777777" w:rsidR="00000000" w:rsidRDefault="00C1661D">
            <w:pPr>
              <w:spacing w:after="100"/>
              <w:rPr>
                <w:rFonts w:eastAsia="Times New Roman"/>
                <w:sz w:val="20"/>
                <w:szCs w:val="20"/>
              </w:rPr>
            </w:pPr>
          </w:p>
        </w:tc>
        <w:tc>
          <w:tcPr>
            <w:tcW w:w="26" w:type="pct"/>
            <w:vAlign w:val="center"/>
            <w:hideMark/>
          </w:tcPr>
          <w:p w14:paraId="44537C82" w14:textId="77777777" w:rsidR="00000000" w:rsidRDefault="00C1661D">
            <w:pPr>
              <w:spacing w:after="100"/>
              <w:rPr>
                <w:rFonts w:eastAsia="Times New Roman"/>
                <w:sz w:val="20"/>
                <w:szCs w:val="20"/>
              </w:rPr>
            </w:pPr>
          </w:p>
        </w:tc>
        <w:tc>
          <w:tcPr>
            <w:tcW w:w="5" w:type="pct"/>
            <w:vAlign w:val="center"/>
            <w:hideMark/>
          </w:tcPr>
          <w:p w14:paraId="51DC53F4" w14:textId="77777777" w:rsidR="00000000" w:rsidRDefault="00C1661D">
            <w:pPr>
              <w:spacing w:after="100"/>
              <w:rPr>
                <w:rFonts w:eastAsia="Times New Roman"/>
                <w:sz w:val="20"/>
                <w:szCs w:val="20"/>
              </w:rPr>
            </w:pPr>
          </w:p>
        </w:tc>
        <w:tc>
          <w:tcPr>
            <w:tcW w:w="50" w:type="pct"/>
            <w:vAlign w:val="center"/>
            <w:hideMark/>
          </w:tcPr>
          <w:p w14:paraId="0C8D917C" w14:textId="77777777" w:rsidR="00000000" w:rsidRDefault="00C1661D">
            <w:pPr>
              <w:spacing w:after="100"/>
              <w:rPr>
                <w:rFonts w:eastAsia="Times New Roman"/>
                <w:sz w:val="20"/>
                <w:szCs w:val="20"/>
              </w:rPr>
            </w:pPr>
          </w:p>
        </w:tc>
        <w:tc>
          <w:tcPr>
            <w:tcW w:w="529" w:type="pct"/>
            <w:vAlign w:val="center"/>
            <w:hideMark/>
          </w:tcPr>
          <w:p w14:paraId="2E12ED5B" w14:textId="77777777" w:rsidR="00000000" w:rsidRDefault="00C1661D">
            <w:pPr>
              <w:spacing w:after="100"/>
              <w:rPr>
                <w:rFonts w:eastAsia="Times New Roman"/>
                <w:sz w:val="20"/>
                <w:szCs w:val="20"/>
              </w:rPr>
            </w:pPr>
          </w:p>
        </w:tc>
        <w:tc>
          <w:tcPr>
            <w:tcW w:w="5" w:type="pct"/>
            <w:vAlign w:val="center"/>
            <w:hideMark/>
          </w:tcPr>
          <w:p w14:paraId="27289573" w14:textId="77777777" w:rsidR="00000000" w:rsidRDefault="00C1661D">
            <w:pPr>
              <w:spacing w:after="100"/>
              <w:rPr>
                <w:rFonts w:eastAsia="Times New Roman"/>
                <w:sz w:val="20"/>
                <w:szCs w:val="20"/>
              </w:rPr>
            </w:pPr>
          </w:p>
        </w:tc>
        <w:tc>
          <w:tcPr>
            <w:tcW w:w="5" w:type="pct"/>
            <w:vAlign w:val="center"/>
            <w:hideMark/>
          </w:tcPr>
          <w:p w14:paraId="5AFA2B00" w14:textId="77777777" w:rsidR="00000000" w:rsidRDefault="00C1661D">
            <w:pPr>
              <w:spacing w:after="100"/>
              <w:rPr>
                <w:rFonts w:eastAsia="Times New Roman"/>
                <w:sz w:val="20"/>
                <w:szCs w:val="20"/>
              </w:rPr>
            </w:pPr>
          </w:p>
        </w:tc>
        <w:tc>
          <w:tcPr>
            <w:tcW w:w="26" w:type="pct"/>
            <w:vAlign w:val="center"/>
            <w:hideMark/>
          </w:tcPr>
          <w:p w14:paraId="4A50911E" w14:textId="77777777" w:rsidR="00000000" w:rsidRDefault="00C1661D">
            <w:pPr>
              <w:spacing w:after="100"/>
              <w:rPr>
                <w:rFonts w:eastAsia="Times New Roman"/>
                <w:sz w:val="20"/>
                <w:szCs w:val="20"/>
              </w:rPr>
            </w:pPr>
          </w:p>
        </w:tc>
        <w:tc>
          <w:tcPr>
            <w:tcW w:w="5" w:type="pct"/>
            <w:vAlign w:val="center"/>
            <w:hideMark/>
          </w:tcPr>
          <w:p w14:paraId="0FDBF7E1" w14:textId="77777777" w:rsidR="00000000" w:rsidRDefault="00C1661D">
            <w:pPr>
              <w:spacing w:after="100"/>
              <w:rPr>
                <w:rFonts w:eastAsia="Times New Roman"/>
                <w:sz w:val="20"/>
                <w:szCs w:val="20"/>
              </w:rPr>
            </w:pPr>
          </w:p>
        </w:tc>
        <w:tc>
          <w:tcPr>
            <w:tcW w:w="50" w:type="pct"/>
            <w:vAlign w:val="center"/>
            <w:hideMark/>
          </w:tcPr>
          <w:p w14:paraId="04C12D43" w14:textId="77777777" w:rsidR="00000000" w:rsidRDefault="00C1661D">
            <w:pPr>
              <w:spacing w:after="100"/>
              <w:rPr>
                <w:rFonts w:eastAsia="Times New Roman"/>
                <w:sz w:val="20"/>
                <w:szCs w:val="20"/>
              </w:rPr>
            </w:pPr>
          </w:p>
        </w:tc>
        <w:tc>
          <w:tcPr>
            <w:tcW w:w="529" w:type="pct"/>
            <w:vAlign w:val="center"/>
            <w:hideMark/>
          </w:tcPr>
          <w:p w14:paraId="01F21180" w14:textId="77777777" w:rsidR="00000000" w:rsidRDefault="00C1661D">
            <w:pPr>
              <w:spacing w:after="100"/>
              <w:rPr>
                <w:rFonts w:eastAsia="Times New Roman"/>
                <w:sz w:val="20"/>
                <w:szCs w:val="20"/>
              </w:rPr>
            </w:pPr>
          </w:p>
        </w:tc>
        <w:tc>
          <w:tcPr>
            <w:tcW w:w="5" w:type="pct"/>
            <w:vAlign w:val="center"/>
            <w:hideMark/>
          </w:tcPr>
          <w:p w14:paraId="3E960AC8" w14:textId="77777777" w:rsidR="00000000" w:rsidRDefault="00C1661D">
            <w:pPr>
              <w:spacing w:after="100"/>
              <w:rPr>
                <w:rFonts w:eastAsia="Times New Roman"/>
                <w:sz w:val="20"/>
                <w:szCs w:val="20"/>
              </w:rPr>
            </w:pPr>
          </w:p>
        </w:tc>
        <w:tc>
          <w:tcPr>
            <w:tcW w:w="5" w:type="pct"/>
            <w:vAlign w:val="center"/>
            <w:hideMark/>
          </w:tcPr>
          <w:p w14:paraId="1D2865BD" w14:textId="77777777" w:rsidR="00000000" w:rsidRDefault="00C1661D">
            <w:pPr>
              <w:spacing w:after="100"/>
              <w:rPr>
                <w:rFonts w:eastAsia="Times New Roman"/>
                <w:sz w:val="20"/>
                <w:szCs w:val="20"/>
              </w:rPr>
            </w:pPr>
          </w:p>
        </w:tc>
        <w:tc>
          <w:tcPr>
            <w:tcW w:w="26" w:type="pct"/>
            <w:vAlign w:val="center"/>
            <w:hideMark/>
          </w:tcPr>
          <w:p w14:paraId="31D3CE4A" w14:textId="77777777" w:rsidR="00000000" w:rsidRDefault="00C1661D">
            <w:pPr>
              <w:spacing w:after="100"/>
              <w:rPr>
                <w:rFonts w:eastAsia="Times New Roman"/>
                <w:sz w:val="20"/>
                <w:szCs w:val="20"/>
              </w:rPr>
            </w:pPr>
          </w:p>
        </w:tc>
        <w:tc>
          <w:tcPr>
            <w:tcW w:w="5" w:type="pct"/>
            <w:vAlign w:val="center"/>
            <w:hideMark/>
          </w:tcPr>
          <w:p w14:paraId="259DC36D" w14:textId="77777777" w:rsidR="00000000" w:rsidRDefault="00C1661D">
            <w:pPr>
              <w:spacing w:after="100"/>
              <w:rPr>
                <w:rFonts w:eastAsia="Times New Roman"/>
                <w:sz w:val="20"/>
                <w:szCs w:val="20"/>
              </w:rPr>
            </w:pPr>
          </w:p>
        </w:tc>
        <w:tc>
          <w:tcPr>
            <w:tcW w:w="50" w:type="pct"/>
            <w:vAlign w:val="center"/>
            <w:hideMark/>
          </w:tcPr>
          <w:p w14:paraId="305EFE92" w14:textId="77777777" w:rsidR="00000000" w:rsidRDefault="00C1661D">
            <w:pPr>
              <w:spacing w:after="100"/>
              <w:rPr>
                <w:rFonts w:eastAsia="Times New Roman"/>
                <w:sz w:val="20"/>
                <w:szCs w:val="20"/>
              </w:rPr>
            </w:pPr>
          </w:p>
        </w:tc>
        <w:tc>
          <w:tcPr>
            <w:tcW w:w="530" w:type="pct"/>
            <w:vAlign w:val="center"/>
            <w:hideMark/>
          </w:tcPr>
          <w:p w14:paraId="4758F5F0" w14:textId="77777777" w:rsidR="00000000" w:rsidRDefault="00C1661D">
            <w:pPr>
              <w:spacing w:after="100"/>
              <w:rPr>
                <w:rFonts w:eastAsia="Times New Roman"/>
                <w:sz w:val="20"/>
                <w:szCs w:val="20"/>
              </w:rPr>
            </w:pPr>
          </w:p>
        </w:tc>
        <w:tc>
          <w:tcPr>
            <w:tcW w:w="5" w:type="pct"/>
            <w:vAlign w:val="center"/>
            <w:hideMark/>
          </w:tcPr>
          <w:p w14:paraId="3ADFDC4B" w14:textId="77777777" w:rsidR="00000000" w:rsidRDefault="00C1661D">
            <w:pPr>
              <w:spacing w:after="100"/>
              <w:rPr>
                <w:rFonts w:eastAsia="Times New Roman"/>
                <w:sz w:val="20"/>
                <w:szCs w:val="20"/>
              </w:rPr>
            </w:pPr>
          </w:p>
        </w:tc>
        <w:tc>
          <w:tcPr>
            <w:tcW w:w="0" w:type="auto"/>
            <w:vAlign w:val="center"/>
            <w:hideMark/>
          </w:tcPr>
          <w:p w14:paraId="3912F67F" w14:textId="77777777" w:rsidR="00000000" w:rsidRDefault="00C1661D">
            <w:pPr>
              <w:spacing w:after="100"/>
              <w:rPr>
                <w:rFonts w:eastAsia="Times New Roman"/>
                <w:sz w:val="20"/>
                <w:szCs w:val="20"/>
              </w:rPr>
            </w:pPr>
          </w:p>
        </w:tc>
        <w:tc>
          <w:tcPr>
            <w:tcW w:w="0" w:type="auto"/>
            <w:vAlign w:val="center"/>
            <w:hideMark/>
          </w:tcPr>
          <w:p w14:paraId="27874A65" w14:textId="77777777" w:rsidR="00000000" w:rsidRDefault="00C1661D">
            <w:pPr>
              <w:spacing w:after="100"/>
              <w:rPr>
                <w:rFonts w:eastAsia="Times New Roman"/>
                <w:sz w:val="20"/>
                <w:szCs w:val="20"/>
              </w:rPr>
            </w:pPr>
          </w:p>
        </w:tc>
      </w:tr>
      <w:tr w:rsidR="00000000" w14:paraId="228B23DD" w14:textId="77777777">
        <w:trPr>
          <w:divId w:val="1234581449"/>
          <w:jc w:val="center"/>
        </w:trPr>
        <w:tc>
          <w:tcPr>
            <w:tcW w:w="0" w:type="auto"/>
            <w:gridSpan w:val="3"/>
            <w:tcMar>
              <w:top w:w="0" w:type="dxa"/>
              <w:left w:w="20" w:type="dxa"/>
              <w:bottom w:w="0" w:type="dxa"/>
              <w:right w:w="20" w:type="dxa"/>
            </w:tcMar>
            <w:vAlign w:val="center"/>
            <w:hideMark/>
          </w:tcPr>
          <w:p w14:paraId="3702D8F7"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4A57AC"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6121017"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0E001B73"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29D422"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20BBEF86"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4E0B2FB" w14:textId="77777777" w:rsidR="00000000" w:rsidRDefault="00C1661D">
            <w:pPr>
              <w:spacing w:after="100"/>
              <w:jc w:val="center"/>
              <w:rPr>
                <w:rFonts w:eastAsia="Times New Roman"/>
              </w:rPr>
            </w:pPr>
            <w:r>
              <w:rPr>
                <w:rFonts w:eastAsia="Times New Roman"/>
                <w:color w:val="000000"/>
                <w:sz w:val="20"/>
                <w:szCs w:val="20"/>
              </w:rPr>
              <w:t>2020</w:t>
            </w:r>
          </w:p>
        </w:tc>
        <w:tc>
          <w:tcPr>
            <w:tcW w:w="0" w:type="auto"/>
            <w:vAlign w:val="center"/>
            <w:hideMark/>
          </w:tcPr>
          <w:p w14:paraId="1B3F3614" w14:textId="77777777" w:rsidR="00000000" w:rsidRDefault="00C1661D">
            <w:pPr>
              <w:spacing w:after="100"/>
              <w:jc w:val="center"/>
              <w:rPr>
                <w:rFonts w:eastAsia="Times New Roman"/>
              </w:rPr>
            </w:pPr>
          </w:p>
        </w:tc>
        <w:tc>
          <w:tcPr>
            <w:tcW w:w="0" w:type="auto"/>
            <w:vAlign w:val="center"/>
            <w:hideMark/>
          </w:tcPr>
          <w:p w14:paraId="630A7082" w14:textId="77777777" w:rsidR="00000000" w:rsidRDefault="00C1661D">
            <w:pPr>
              <w:spacing w:after="100"/>
              <w:rPr>
                <w:rFonts w:eastAsia="Times New Roman"/>
                <w:sz w:val="20"/>
                <w:szCs w:val="20"/>
              </w:rPr>
            </w:pPr>
          </w:p>
        </w:tc>
      </w:tr>
      <w:tr w:rsidR="00000000" w14:paraId="3AC793D0" w14:textId="77777777">
        <w:trPr>
          <w:divId w:val="1234581449"/>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14:paraId="4EEB99B2" w14:textId="77777777" w:rsidR="00000000" w:rsidRDefault="00C1661D">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14:paraId="3F741549" w14:textId="77777777" w:rsidR="00000000" w:rsidRDefault="00C166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61604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B70D3C" w14:textId="77777777" w:rsidR="00000000" w:rsidRDefault="00C1661D">
            <w:pPr>
              <w:spacing w:after="100"/>
              <w:jc w:val="right"/>
              <w:rPr>
                <w:rFonts w:eastAsia="Times New Roman"/>
              </w:rPr>
            </w:pPr>
            <w:r>
              <w:rPr>
                <w:rFonts w:eastAsia="Times New Roman"/>
                <w:color w:val="000000"/>
                <w:sz w:val="20"/>
                <w:szCs w:val="20"/>
              </w:rPr>
              <w:t>405 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838C4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A9D663"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92763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CD3B05" w14:textId="77777777" w:rsidR="00000000" w:rsidRDefault="00C1661D">
            <w:pPr>
              <w:spacing w:after="100"/>
              <w:jc w:val="right"/>
              <w:rPr>
                <w:rFonts w:eastAsia="Times New Roman"/>
              </w:rPr>
            </w:pPr>
            <w:r>
              <w:rPr>
                <w:rFonts w:eastAsia="Times New Roman"/>
                <w:color w:val="000000"/>
                <w:sz w:val="20"/>
                <w:szCs w:val="20"/>
              </w:rPr>
              <w:t>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5E2D5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FF6756"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2C0F3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502A3C" w14:textId="77777777" w:rsidR="00000000" w:rsidRDefault="00C1661D">
            <w:pPr>
              <w:spacing w:after="100"/>
              <w:jc w:val="right"/>
              <w:rPr>
                <w:rFonts w:eastAsia="Times New Roman"/>
              </w:rPr>
            </w:pPr>
            <w:r>
              <w:rPr>
                <w:rFonts w:eastAsia="Times New Roman"/>
                <w:color w:val="000000"/>
                <w:sz w:val="20"/>
                <w:szCs w:val="20"/>
              </w:rPr>
              <w:t>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7132A9" w14:textId="77777777" w:rsidR="00000000" w:rsidRDefault="00C1661D">
            <w:pPr>
              <w:spacing w:after="100"/>
              <w:jc w:val="right"/>
              <w:rPr>
                <w:rFonts w:eastAsia="Times New Roman"/>
              </w:rPr>
            </w:pPr>
          </w:p>
        </w:tc>
        <w:tc>
          <w:tcPr>
            <w:tcW w:w="0" w:type="auto"/>
            <w:vAlign w:val="center"/>
            <w:hideMark/>
          </w:tcPr>
          <w:p w14:paraId="1EB17FB2" w14:textId="77777777" w:rsidR="00000000" w:rsidRDefault="00C1661D">
            <w:pPr>
              <w:spacing w:after="100"/>
              <w:jc w:val="right"/>
              <w:rPr>
                <w:rFonts w:eastAsia="Times New Roman"/>
                <w:sz w:val="20"/>
                <w:szCs w:val="20"/>
              </w:rPr>
            </w:pPr>
          </w:p>
        </w:tc>
        <w:tc>
          <w:tcPr>
            <w:tcW w:w="0" w:type="auto"/>
            <w:vAlign w:val="center"/>
            <w:hideMark/>
          </w:tcPr>
          <w:p w14:paraId="1A7CA4B6" w14:textId="77777777" w:rsidR="00000000" w:rsidRDefault="00C1661D">
            <w:pPr>
              <w:spacing w:after="100"/>
              <w:rPr>
                <w:rFonts w:eastAsia="Times New Roman"/>
                <w:sz w:val="20"/>
                <w:szCs w:val="20"/>
              </w:rPr>
            </w:pPr>
          </w:p>
        </w:tc>
      </w:tr>
      <w:tr w:rsidR="00000000" w14:paraId="01CAADF9" w14:textId="77777777">
        <w:trPr>
          <w:divId w:val="1234581449"/>
          <w:jc w:val="center"/>
        </w:trPr>
        <w:tc>
          <w:tcPr>
            <w:tcW w:w="0" w:type="auto"/>
            <w:gridSpan w:val="3"/>
            <w:tcMar>
              <w:top w:w="30" w:type="dxa"/>
              <w:left w:w="20" w:type="dxa"/>
              <w:bottom w:w="30" w:type="dxa"/>
              <w:right w:w="20" w:type="dxa"/>
            </w:tcMar>
            <w:hideMark/>
          </w:tcPr>
          <w:p w14:paraId="157E6729" w14:textId="77777777" w:rsidR="00000000" w:rsidRDefault="00C1661D">
            <w:pPr>
              <w:spacing w:after="100"/>
              <w:rPr>
                <w:rFonts w:eastAsia="Times New Roman"/>
              </w:rPr>
            </w:pPr>
            <w:r>
              <w:rPr>
                <w:rFonts w:eastAsia="Times New Roman"/>
                <w:color w:val="000000"/>
                <w:sz w:val="20"/>
                <w:szCs w:val="20"/>
              </w:rPr>
              <w:t>Restricted cash</w:t>
            </w:r>
          </w:p>
        </w:tc>
        <w:tc>
          <w:tcPr>
            <w:tcW w:w="0" w:type="auto"/>
            <w:gridSpan w:val="3"/>
            <w:tcMar>
              <w:top w:w="0" w:type="dxa"/>
              <w:left w:w="20" w:type="dxa"/>
              <w:bottom w:w="0" w:type="dxa"/>
              <w:right w:w="20" w:type="dxa"/>
            </w:tcMar>
            <w:vAlign w:val="center"/>
            <w:hideMark/>
          </w:tcPr>
          <w:p w14:paraId="2D484625" w14:textId="77777777" w:rsidR="00000000" w:rsidRDefault="00C1661D">
            <w:pPr>
              <w:spacing w:after="100"/>
              <w:rPr>
                <w:rFonts w:eastAsia="Times New Roman"/>
              </w:rPr>
            </w:pPr>
          </w:p>
        </w:tc>
        <w:tc>
          <w:tcPr>
            <w:tcW w:w="0" w:type="auto"/>
            <w:gridSpan w:val="2"/>
            <w:tcMar>
              <w:top w:w="30" w:type="dxa"/>
              <w:left w:w="20" w:type="dxa"/>
              <w:bottom w:w="30" w:type="dxa"/>
              <w:right w:w="0" w:type="dxa"/>
            </w:tcMar>
            <w:vAlign w:val="bottom"/>
            <w:hideMark/>
          </w:tcPr>
          <w:p w14:paraId="48B7C066" w14:textId="77777777" w:rsidR="00000000" w:rsidRDefault="00C1661D">
            <w:pPr>
              <w:spacing w:after="100"/>
              <w:jc w:val="right"/>
              <w:rPr>
                <w:rFonts w:eastAsia="Times New Roman"/>
              </w:rPr>
            </w:pPr>
            <w:r>
              <w:rPr>
                <w:rFonts w:eastAsia="Times New Roman"/>
                <w:color w:val="000000"/>
                <w:sz w:val="20"/>
                <w:szCs w:val="20"/>
              </w:rPr>
              <w:t>64 </w:t>
            </w:r>
          </w:p>
        </w:tc>
        <w:tc>
          <w:tcPr>
            <w:tcW w:w="0" w:type="auto"/>
            <w:tcMar>
              <w:top w:w="30" w:type="dxa"/>
              <w:left w:w="0" w:type="dxa"/>
              <w:bottom w:w="30" w:type="dxa"/>
              <w:right w:w="20" w:type="dxa"/>
            </w:tcMar>
            <w:vAlign w:val="bottom"/>
            <w:hideMark/>
          </w:tcPr>
          <w:p w14:paraId="4C5CE36B"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28D5BF6" w14:textId="77777777" w:rsidR="00000000" w:rsidRDefault="00C1661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40DA8E9" w14:textId="77777777" w:rsidR="00000000" w:rsidRDefault="00C1661D">
            <w:pPr>
              <w:spacing w:after="100"/>
              <w:jc w:val="right"/>
              <w:rPr>
                <w:rFonts w:eastAsia="Times New Roman"/>
              </w:rPr>
            </w:pPr>
            <w:r>
              <w:rPr>
                <w:rFonts w:eastAsia="Times New Roman"/>
                <w:color w:val="000000"/>
                <w:sz w:val="20"/>
                <w:szCs w:val="20"/>
              </w:rPr>
              <w:t>22 </w:t>
            </w:r>
          </w:p>
        </w:tc>
        <w:tc>
          <w:tcPr>
            <w:tcW w:w="0" w:type="auto"/>
            <w:tcMar>
              <w:top w:w="30" w:type="dxa"/>
              <w:left w:w="0" w:type="dxa"/>
              <w:bottom w:w="30" w:type="dxa"/>
              <w:right w:w="20" w:type="dxa"/>
            </w:tcMar>
            <w:vAlign w:val="bottom"/>
            <w:hideMark/>
          </w:tcPr>
          <w:p w14:paraId="3B15C37E"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CF9923D" w14:textId="77777777" w:rsidR="00000000" w:rsidRDefault="00C1661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D6C035B" w14:textId="77777777" w:rsidR="00000000" w:rsidRDefault="00C1661D">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14:paraId="53C981B0" w14:textId="77777777" w:rsidR="00000000" w:rsidRDefault="00C1661D">
            <w:pPr>
              <w:spacing w:after="100"/>
              <w:jc w:val="right"/>
              <w:rPr>
                <w:rFonts w:eastAsia="Times New Roman"/>
              </w:rPr>
            </w:pPr>
          </w:p>
        </w:tc>
        <w:tc>
          <w:tcPr>
            <w:tcW w:w="0" w:type="auto"/>
            <w:vAlign w:val="center"/>
            <w:hideMark/>
          </w:tcPr>
          <w:p w14:paraId="74812FA6" w14:textId="77777777" w:rsidR="00000000" w:rsidRDefault="00C1661D">
            <w:pPr>
              <w:spacing w:after="100"/>
              <w:jc w:val="right"/>
              <w:rPr>
                <w:rFonts w:eastAsia="Times New Roman"/>
                <w:sz w:val="20"/>
                <w:szCs w:val="20"/>
              </w:rPr>
            </w:pPr>
          </w:p>
        </w:tc>
        <w:tc>
          <w:tcPr>
            <w:tcW w:w="0" w:type="auto"/>
            <w:vAlign w:val="center"/>
            <w:hideMark/>
          </w:tcPr>
          <w:p w14:paraId="1B0DF708" w14:textId="77777777" w:rsidR="00000000" w:rsidRDefault="00C1661D">
            <w:pPr>
              <w:spacing w:after="100"/>
              <w:rPr>
                <w:rFonts w:eastAsia="Times New Roman"/>
                <w:sz w:val="20"/>
                <w:szCs w:val="20"/>
              </w:rPr>
            </w:pPr>
          </w:p>
        </w:tc>
      </w:tr>
      <w:tr w:rsidR="00000000" w14:paraId="701FF9C6" w14:textId="77777777">
        <w:trPr>
          <w:divId w:val="1234581449"/>
          <w:jc w:val="center"/>
        </w:trPr>
        <w:tc>
          <w:tcPr>
            <w:tcW w:w="0" w:type="auto"/>
            <w:gridSpan w:val="3"/>
            <w:shd w:val="clear" w:color="auto" w:fill="CCEEFF"/>
            <w:tcMar>
              <w:top w:w="30" w:type="dxa"/>
              <w:left w:w="20" w:type="dxa"/>
              <w:bottom w:w="30" w:type="dxa"/>
              <w:right w:w="20" w:type="dxa"/>
            </w:tcMar>
            <w:hideMark/>
          </w:tcPr>
          <w:p w14:paraId="5780E88C" w14:textId="77777777" w:rsidR="00000000" w:rsidRDefault="00C1661D">
            <w:pPr>
              <w:spacing w:after="100"/>
              <w:rPr>
                <w:rFonts w:eastAsia="Times New Roman"/>
              </w:rPr>
            </w:pPr>
            <w:r>
              <w:rPr>
                <w:rFonts w:eastAsia="Times New Roman"/>
                <w:color w:val="000000"/>
                <w:sz w:val="20"/>
                <w:szCs w:val="20"/>
              </w:rPr>
              <w:t>Cash, cash equivalents and restricted cash</w:t>
            </w:r>
          </w:p>
        </w:tc>
        <w:tc>
          <w:tcPr>
            <w:tcW w:w="0" w:type="auto"/>
            <w:gridSpan w:val="3"/>
            <w:shd w:val="clear" w:color="auto" w:fill="CCEEFF"/>
            <w:tcMar>
              <w:top w:w="0" w:type="dxa"/>
              <w:left w:w="20" w:type="dxa"/>
              <w:bottom w:w="0" w:type="dxa"/>
              <w:right w:w="20" w:type="dxa"/>
            </w:tcMar>
            <w:vAlign w:val="center"/>
            <w:hideMark/>
          </w:tcPr>
          <w:p w14:paraId="07661A75" w14:textId="77777777" w:rsidR="00000000" w:rsidRDefault="00C1661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11AB9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F04BFF" w14:textId="77777777" w:rsidR="00000000" w:rsidRDefault="00C1661D">
            <w:pPr>
              <w:spacing w:after="100"/>
              <w:jc w:val="right"/>
              <w:rPr>
                <w:rFonts w:eastAsia="Times New Roman"/>
              </w:rPr>
            </w:pPr>
            <w:r>
              <w:rPr>
                <w:rFonts w:eastAsia="Times New Roman"/>
                <w:color w:val="000000"/>
                <w:sz w:val="20"/>
                <w:szCs w:val="20"/>
              </w:rPr>
              <w:t>469 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A0399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CE72C2"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153D9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E89DC6" w14:textId="77777777" w:rsidR="00000000" w:rsidRDefault="00C1661D">
            <w:pPr>
              <w:spacing w:after="100"/>
              <w:jc w:val="right"/>
              <w:rPr>
                <w:rFonts w:eastAsia="Times New Roman"/>
              </w:rPr>
            </w:pPr>
            <w:r>
              <w:rPr>
                <w:rFonts w:eastAsia="Times New Roman"/>
                <w:color w:val="000000"/>
                <w:sz w:val="20"/>
                <w:szCs w:val="20"/>
              </w:rPr>
              <w:t>877 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F99F8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6AD046"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C4BE1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BC1ADE" w14:textId="77777777" w:rsidR="00000000" w:rsidRDefault="00C1661D">
            <w:pPr>
              <w:spacing w:after="100"/>
              <w:jc w:val="right"/>
              <w:rPr>
                <w:rFonts w:eastAsia="Times New Roman"/>
              </w:rPr>
            </w:pPr>
            <w:r>
              <w:rPr>
                <w:rFonts w:eastAsia="Times New Roman"/>
                <w:color w:val="000000"/>
                <w:sz w:val="20"/>
                <w:szCs w:val="20"/>
              </w:rPr>
              <w:t>357 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5F9330" w14:textId="77777777" w:rsidR="00000000" w:rsidRDefault="00C1661D">
            <w:pPr>
              <w:spacing w:after="100"/>
              <w:jc w:val="right"/>
              <w:rPr>
                <w:rFonts w:eastAsia="Times New Roman"/>
              </w:rPr>
            </w:pPr>
          </w:p>
        </w:tc>
        <w:tc>
          <w:tcPr>
            <w:tcW w:w="0" w:type="auto"/>
            <w:vAlign w:val="center"/>
            <w:hideMark/>
          </w:tcPr>
          <w:p w14:paraId="7C9E6F6D" w14:textId="77777777" w:rsidR="00000000" w:rsidRDefault="00C1661D">
            <w:pPr>
              <w:spacing w:after="100"/>
              <w:jc w:val="right"/>
              <w:rPr>
                <w:rFonts w:eastAsia="Times New Roman"/>
                <w:sz w:val="20"/>
                <w:szCs w:val="20"/>
              </w:rPr>
            </w:pPr>
          </w:p>
        </w:tc>
        <w:tc>
          <w:tcPr>
            <w:tcW w:w="0" w:type="auto"/>
            <w:vAlign w:val="center"/>
            <w:hideMark/>
          </w:tcPr>
          <w:p w14:paraId="6525A461" w14:textId="77777777" w:rsidR="00000000" w:rsidRDefault="00C1661D">
            <w:pPr>
              <w:spacing w:after="100"/>
              <w:rPr>
                <w:rFonts w:eastAsia="Times New Roman"/>
                <w:sz w:val="20"/>
                <w:szCs w:val="20"/>
              </w:rPr>
            </w:pPr>
          </w:p>
        </w:tc>
      </w:tr>
    </w:tbl>
    <w:p w14:paraId="15BE0749" w14:textId="77777777" w:rsidR="00000000" w:rsidRDefault="00C1661D">
      <w:pPr>
        <w:jc w:val="both"/>
        <w:divId w:val="852184851"/>
        <w:rPr>
          <w:rFonts w:eastAsia="Times New Roman"/>
        </w:rPr>
      </w:pPr>
      <w:r>
        <w:rPr>
          <w:rFonts w:eastAsia="Times New Roman"/>
          <w:b/>
          <w:bCs/>
          <w:color w:val="000000"/>
          <w:sz w:val="20"/>
          <w:szCs w:val="20"/>
        </w:rPr>
        <w:t>Inventories</w:t>
      </w:r>
    </w:p>
    <w:p w14:paraId="362A33CB" w14:textId="77777777" w:rsidR="00000000" w:rsidRDefault="00C1661D">
      <w:pPr>
        <w:jc w:val="both"/>
        <w:divId w:val="979074352"/>
        <w:rPr>
          <w:rFonts w:eastAsia="Times New Roman"/>
        </w:rPr>
      </w:pPr>
      <w:r>
        <w:rPr>
          <w:rFonts w:eastAsia="Times New Roman"/>
          <w:color w:val="000000"/>
          <w:sz w:val="20"/>
          <w:szCs w:val="20"/>
        </w:rPr>
        <w:t>Our inventories are stated at the lower of cost or net realizable value. We determine cost using an average cost method for non-utility LPG an</w:t>
      </w:r>
      <w:r>
        <w:rPr>
          <w:rFonts w:eastAsia="Times New Roman"/>
          <w:color w:val="000000"/>
          <w:sz w:val="20"/>
          <w:szCs w:val="20"/>
        </w:rPr>
        <w:t>d natural gas and utility inventories; specific identification for appliances; and the FIFO method for all other inventories.</w:t>
      </w:r>
    </w:p>
    <w:p w14:paraId="0C11B609" w14:textId="77777777" w:rsidR="00000000" w:rsidRDefault="00C1661D">
      <w:pPr>
        <w:jc w:val="both"/>
        <w:divId w:val="1100687933"/>
        <w:rPr>
          <w:rFonts w:eastAsia="Times New Roman"/>
        </w:rPr>
      </w:pPr>
      <w:r>
        <w:rPr>
          <w:rFonts w:eastAsia="Times New Roman"/>
          <w:color w:val="000000"/>
          <w:sz w:val="20"/>
          <w:szCs w:val="20"/>
        </w:rPr>
        <w:t>The Company accounts for renewable energy certificates as inventory, which generally represents costs incurred to generate a certificate for sale. The Company recognizes revenue from the sale of renewable energy certificates when control of the certificate</w:t>
      </w:r>
      <w:r>
        <w:rPr>
          <w:rFonts w:eastAsia="Times New Roman"/>
          <w:color w:val="000000"/>
          <w:sz w:val="20"/>
          <w:szCs w:val="20"/>
        </w:rPr>
        <w:t xml:space="preserve"> is transferred to the buyer, and the cost of the certificate, if any, is then recorded within “Cost of sales” on the Consolidated Statements of Income.</w:t>
      </w:r>
    </w:p>
    <w:p w14:paraId="1E812F18" w14:textId="77777777" w:rsidR="00000000" w:rsidRDefault="00C1661D">
      <w:pPr>
        <w:jc w:val="both"/>
        <w:divId w:val="1885672537"/>
        <w:rPr>
          <w:rFonts w:eastAsia="Times New Roman"/>
        </w:rPr>
      </w:pPr>
      <w:r>
        <w:rPr>
          <w:rFonts w:eastAsia="Times New Roman"/>
          <w:b/>
          <w:bCs/>
          <w:color w:val="000000"/>
          <w:sz w:val="20"/>
          <w:szCs w:val="20"/>
        </w:rPr>
        <w:t>Property, Plant and Equipment and Related Depreciation</w:t>
      </w:r>
    </w:p>
    <w:p w14:paraId="5CF86B8E" w14:textId="77777777" w:rsidR="00000000" w:rsidRDefault="00C1661D">
      <w:pPr>
        <w:jc w:val="both"/>
        <w:divId w:val="838228174"/>
        <w:rPr>
          <w:rFonts w:eastAsia="Times New Roman"/>
        </w:rPr>
      </w:pPr>
      <w:r>
        <w:rPr>
          <w:rFonts w:eastAsia="Times New Roman"/>
          <w:color w:val="000000"/>
          <w:sz w:val="20"/>
          <w:szCs w:val="20"/>
        </w:rPr>
        <w:t>We record property, plant and equipment at the l</w:t>
      </w:r>
      <w:r>
        <w:rPr>
          <w:rFonts w:eastAsia="Times New Roman"/>
          <w:color w:val="000000"/>
          <w:sz w:val="20"/>
          <w:szCs w:val="20"/>
        </w:rPr>
        <w:t>ower of original cost or fair value, if impaired. Capitalized costs include labor, materials and other direct and indirect costs, and for certain operations subject to cost-of-service rate regulation, AFUDC. We also include in property, plant and equipment</w:t>
      </w:r>
      <w:r>
        <w:rPr>
          <w:rFonts w:eastAsia="Times New Roman"/>
          <w:color w:val="000000"/>
          <w:sz w:val="20"/>
          <w:szCs w:val="20"/>
        </w:rPr>
        <w:t xml:space="preserve"> costs associated with computer software we develop or obtain for use in our businesses. The amounts assigned to property, plant and equipment of acquired businesses are based upon estimated fair value at date of acquisition. When we retire or otherwise di</w:t>
      </w:r>
      <w:r>
        <w:rPr>
          <w:rFonts w:eastAsia="Times New Roman"/>
          <w:color w:val="000000"/>
          <w:sz w:val="20"/>
          <w:szCs w:val="20"/>
        </w:rPr>
        <w:t>spose of non-utility plant and equipment, we eliminate the associated cost and accumulated depreciation and recognize any resulting gain or loss in "Other operating income, net" on the Consolidated Statements of Income. For property subject to cost of serv</w:t>
      </w:r>
      <w:r>
        <w:rPr>
          <w:rFonts w:eastAsia="Times New Roman"/>
          <w:color w:val="000000"/>
          <w:sz w:val="20"/>
          <w:szCs w:val="20"/>
        </w:rPr>
        <w:t>ice rate regulation, upon retirement we charge the original cost to accumulated depreciation for financial accounting purposes. Costs incurred to retire UGI Utilities plant and equipment, net of salvage, are recorded in regulatory assets and amortized over</w:t>
      </w:r>
      <w:r>
        <w:rPr>
          <w:rFonts w:eastAsia="Times New Roman"/>
          <w:color w:val="000000"/>
          <w:sz w:val="20"/>
          <w:szCs w:val="20"/>
        </w:rPr>
        <w:t xml:space="preserve"> five years, consistent with prior ratemaking treatment.</w:t>
      </w:r>
    </w:p>
    <w:p w14:paraId="41431D7F" w14:textId="77777777" w:rsidR="00000000" w:rsidRDefault="00C1661D">
      <w:pPr>
        <w:jc w:val="both"/>
        <w:divId w:val="1886525343"/>
        <w:rPr>
          <w:rFonts w:eastAsia="Times New Roman"/>
        </w:rPr>
      </w:pPr>
      <w:r>
        <w:rPr>
          <w:rFonts w:eastAsia="Times New Roman"/>
          <w:color w:val="000000"/>
          <w:sz w:val="20"/>
          <w:szCs w:val="20"/>
        </w:rPr>
        <w:t>We record depreciation expense on non-utility plant and equipment on a straight-line basis over estimated economic useful lives. We record depreciation expense for Utilities’ plant and equipment on a</w:t>
      </w:r>
      <w:r>
        <w:rPr>
          <w:rFonts w:eastAsia="Times New Roman"/>
          <w:color w:val="000000"/>
          <w:sz w:val="20"/>
          <w:szCs w:val="20"/>
        </w:rPr>
        <w:t xml:space="preserve"> straight-line basis based upon the projected </w:t>
      </w:r>
    </w:p>
    <w:p w14:paraId="46CF7517" w14:textId="77777777" w:rsidR="00000000" w:rsidRDefault="00C1661D">
      <w:pPr>
        <w:jc w:val="center"/>
        <w:divId w:val="1253512554"/>
        <w:rPr>
          <w:rFonts w:eastAsia="Times New Roman"/>
        </w:rPr>
      </w:pPr>
      <w:r>
        <w:rPr>
          <w:rFonts w:eastAsia="Times New Roman"/>
          <w:color w:val="000000"/>
          <w:sz w:val="20"/>
          <w:szCs w:val="20"/>
        </w:rPr>
        <w:t>F-15</w:t>
      </w:r>
    </w:p>
    <w:p w14:paraId="1FCBD909" w14:textId="77777777" w:rsidR="00000000" w:rsidRDefault="00C1661D">
      <w:pPr>
        <w:rPr>
          <w:rFonts w:eastAsia="Times New Roman"/>
        </w:rPr>
      </w:pPr>
      <w:r>
        <w:rPr>
          <w:rFonts w:eastAsia="Times New Roman"/>
        </w:rPr>
        <w:pict w14:anchorId="23B6B022">
          <v:rect id="_x0000_i1128" style="width:0;height:1.5pt" o:hralign="center" o:hrstd="t" o:hr="t" fillcolor="#a0a0a0" stroked="f"/>
        </w:pict>
      </w:r>
    </w:p>
    <w:p w14:paraId="6A51F466" w14:textId="77777777" w:rsidR="00000000" w:rsidRDefault="00C1661D">
      <w:pPr>
        <w:divId w:val="1521550557"/>
        <w:rPr>
          <w:rFonts w:eastAsia="Times New Roman"/>
        </w:rPr>
      </w:pPr>
      <w:hyperlink w:anchor="i3850c3c6c0104e42b9951aac2f16098a_7" w:history="1">
        <w:r>
          <w:rPr>
            <w:rStyle w:val="a3"/>
            <w:rFonts w:eastAsia="Times New Roman"/>
            <w:sz w:val="20"/>
            <w:szCs w:val="20"/>
          </w:rPr>
          <w:t>Table of Contents</w:t>
        </w:r>
      </w:hyperlink>
    </w:p>
    <w:p w14:paraId="6519EDDB" w14:textId="77777777" w:rsidR="00000000" w:rsidRDefault="00C1661D">
      <w:pPr>
        <w:divId w:val="166098915"/>
        <w:rPr>
          <w:rFonts w:eastAsia="Times New Roman"/>
        </w:rPr>
      </w:pPr>
      <w:r>
        <w:rPr>
          <w:rFonts w:eastAsia="Times New Roman"/>
          <w:b/>
          <w:bCs/>
          <w:color w:val="000000"/>
          <w:sz w:val="20"/>
          <w:szCs w:val="20"/>
        </w:rPr>
        <w:t>UGI Corporation and Subsidiaries</w:t>
      </w:r>
    </w:p>
    <w:p w14:paraId="2EC6CD9D" w14:textId="77777777" w:rsidR="00000000" w:rsidRDefault="00C1661D">
      <w:pPr>
        <w:divId w:val="1608656680"/>
        <w:rPr>
          <w:rFonts w:eastAsia="Times New Roman"/>
        </w:rPr>
      </w:pPr>
      <w:r>
        <w:rPr>
          <w:rFonts w:eastAsia="Times New Roman"/>
          <w:b/>
          <w:bCs/>
          <w:color w:val="000000"/>
          <w:sz w:val="20"/>
          <w:szCs w:val="20"/>
        </w:rPr>
        <w:t>Notes to Consolidated Financial Statements</w:t>
      </w:r>
    </w:p>
    <w:p w14:paraId="1BCADED2" w14:textId="77777777" w:rsidR="00000000" w:rsidRDefault="00C1661D">
      <w:pPr>
        <w:divId w:val="932319885"/>
        <w:rPr>
          <w:rFonts w:eastAsia="Times New Roman"/>
        </w:rPr>
      </w:pPr>
      <w:r>
        <w:rPr>
          <w:rFonts w:eastAsia="Times New Roman"/>
          <w:color w:val="000000"/>
          <w:sz w:val="20"/>
          <w:szCs w:val="20"/>
        </w:rPr>
        <w:t>(Currency in millions, except per share amounts and where indicated otherwise)</w:t>
      </w:r>
    </w:p>
    <w:p w14:paraId="50D2EF83" w14:textId="77777777" w:rsidR="00000000" w:rsidRDefault="00C1661D">
      <w:pPr>
        <w:jc w:val="both"/>
        <w:divId w:val="1131021294"/>
        <w:rPr>
          <w:rFonts w:eastAsia="Times New Roman"/>
        </w:rPr>
      </w:pPr>
      <w:r>
        <w:rPr>
          <w:rFonts w:eastAsia="Times New Roman"/>
          <w:color w:val="000000"/>
          <w:sz w:val="20"/>
          <w:szCs w:val="20"/>
        </w:rPr>
        <w:t xml:space="preserve">service lives of the various classes of its depreciable property. We classify amortization of computer software and related IT system </w:t>
      </w:r>
      <w:r>
        <w:rPr>
          <w:rFonts w:eastAsia="Times New Roman"/>
          <w:color w:val="000000"/>
          <w:sz w:val="20"/>
          <w:szCs w:val="20"/>
        </w:rPr>
        <w:t>installation costs included in property, plant and equipment as depreciation expense. No depreciation expense is included in cost of sales on the Consolidated Statements of Income.</w:t>
      </w:r>
    </w:p>
    <w:p w14:paraId="473B4A88" w14:textId="77777777" w:rsidR="00000000" w:rsidRDefault="00C1661D">
      <w:pPr>
        <w:jc w:val="both"/>
        <w:divId w:val="1258178326"/>
        <w:rPr>
          <w:rFonts w:eastAsia="Times New Roman"/>
        </w:rPr>
      </w:pPr>
      <w:r>
        <w:rPr>
          <w:rFonts w:eastAsia="Times New Roman"/>
          <w:b/>
          <w:bCs/>
          <w:color w:val="000000"/>
          <w:sz w:val="20"/>
          <w:szCs w:val="20"/>
        </w:rPr>
        <w:t>Goodwill and Intangible Assets</w:t>
      </w:r>
    </w:p>
    <w:p w14:paraId="48A72A5C" w14:textId="77777777" w:rsidR="00000000" w:rsidRDefault="00C1661D">
      <w:pPr>
        <w:jc w:val="both"/>
        <w:divId w:val="825442476"/>
        <w:rPr>
          <w:rFonts w:eastAsia="Times New Roman"/>
        </w:rPr>
      </w:pPr>
      <w:r>
        <w:rPr>
          <w:rFonts w:eastAsia="Times New Roman"/>
          <w:b/>
          <w:bCs/>
          <w:i/>
          <w:iCs/>
          <w:color w:val="000000"/>
          <w:sz w:val="20"/>
          <w:szCs w:val="20"/>
        </w:rPr>
        <w:t>Intangible Assets.</w:t>
      </w:r>
      <w:r>
        <w:rPr>
          <w:rFonts w:eastAsia="Times New Roman"/>
          <w:color w:val="000000"/>
          <w:sz w:val="20"/>
          <w:szCs w:val="20"/>
        </w:rPr>
        <w:t xml:space="preserve"> We amortize intangible as</w:t>
      </w:r>
      <w:r>
        <w:rPr>
          <w:rFonts w:eastAsia="Times New Roman"/>
          <w:color w:val="000000"/>
          <w:sz w:val="20"/>
          <w:szCs w:val="20"/>
        </w:rPr>
        <w:t>sets over their estimated useful lives unless we determine their lives to be indefinite. Estimated useful lives of definite-lived intangible assets, primarily consisting of customer relationships. We test definite-lived intangible assets for impairment whe</w:t>
      </w:r>
      <w:r>
        <w:rPr>
          <w:rFonts w:eastAsia="Times New Roman"/>
          <w:color w:val="000000"/>
          <w:sz w:val="20"/>
          <w:szCs w:val="20"/>
        </w:rPr>
        <w:t>never events or changes in circumstances indicate that the associated carrying amounts may be impaired. Determining whether an impairment loss occurred requires comparing the carrying amount to the estimated fair value of the asset in accordance with ASC 8</w:t>
      </w:r>
      <w:r>
        <w:rPr>
          <w:rFonts w:eastAsia="Times New Roman"/>
          <w:color w:val="000000"/>
          <w:sz w:val="20"/>
          <w:szCs w:val="20"/>
        </w:rPr>
        <w:t>20. Intangible assets with indefinite lives are not amortized but are tested for impairment annually (and more frequently if events or changes in circumstances between annual tests indicate that it is more likely than not that they are impaired) and writte</w:t>
      </w:r>
      <w:r>
        <w:rPr>
          <w:rFonts w:eastAsia="Times New Roman"/>
          <w:color w:val="000000"/>
          <w:sz w:val="20"/>
          <w:szCs w:val="20"/>
        </w:rPr>
        <w:t>n down to fair value, if impaired. See Note 12 for additional information related to an intangible asset impairment recognized in Fiscal 2021.</w:t>
      </w:r>
    </w:p>
    <w:p w14:paraId="5010D4ED" w14:textId="77777777" w:rsidR="00000000" w:rsidRDefault="00C1661D">
      <w:pPr>
        <w:jc w:val="both"/>
        <w:divId w:val="375398901"/>
        <w:rPr>
          <w:rFonts w:eastAsia="Times New Roman"/>
        </w:rPr>
      </w:pPr>
      <w:r>
        <w:rPr>
          <w:rFonts w:eastAsia="Times New Roman"/>
          <w:b/>
          <w:bCs/>
          <w:i/>
          <w:iCs/>
          <w:color w:val="000000"/>
          <w:sz w:val="20"/>
          <w:szCs w:val="20"/>
        </w:rPr>
        <w:t>Goodwill.</w:t>
      </w:r>
      <w:r>
        <w:rPr>
          <w:rFonts w:eastAsia="Times New Roman"/>
          <w:color w:val="000000"/>
          <w:sz w:val="20"/>
          <w:szCs w:val="20"/>
        </w:rPr>
        <w:t xml:space="preserve"> We do not amortize goodwill, but test it at least annually for impairment at the reporting unit level. </w:t>
      </w:r>
      <w:r>
        <w:rPr>
          <w:rFonts w:eastAsia="Times New Roman"/>
          <w:color w:val="000000"/>
          <w:sz w:val="20"/>
          <w:szCs w:val="20"/>
        </w:rPr>
        <w:t xml:space="preserve">A reporting unit is an operating segment, or one level below an operating segment (a component) if it constitutes a business for which discrete financial information is available and regularly reviewed by segment management. Components are aggregated into </w:t>
      </w:r>
      <w:r>
        <w:rPr>
          <w:rFonts w:eastAsia="Times New Roman"/>
          <w:color w:val="000000"/>
          <w:sz w:val="20"/>
          <w:szCs w:val="20"/>
        </w:rPr>
        <w:t>a single reporting unit if they have similar economic characteristics. Each of our reporting units with goodwill is required to perform impairment tests annually or whenever events or circumstances indicate that the value of goodwill may be impaired.</w:t>
      </w:r>
    </w:p>
    <w:p w14:paraId="30C56935" w14:textId="77777777" w:rsidR="00000000" w:rsidRDefault="00C1661D">
      <w:pPr>
        <w:jc w:val="both"/>
        <w:divId w:val="969434780"/>
        <w:rPr>
          <w:rFonts w:eastAsia="Times New Roman"/>
        </w:rPr>
      </w:pPr>
      <w:r>
        <w:rPr>
          <w:rFonts w:eastAsia="Times New Roman"/>
          <w:color w:val="000000"/>
          <w:sz w:val="20"/>
          <w:szCs w:val="20"/>
        </w:rPr>
        <w:t>For c</w:t>
      </w:r>
      <w:r>
        <w:rPr>
          <w:rFonts w:eastAsia="Times New Roman"/>
          <w:color w:val="000000"/>
          <w:sz w:val="20"/>
          <w:szCs w:val="20"/>
        </w:rPr>
        <w:t>ertain of our reporting units with goodwill, we assess qualitative factors to determine whether it is more likely than not that the fair value of such reporting unit is less than its carrying amount. For our other reporting units with goodwill, we bypass t</w:t>
      </w:r>
      <w:r>
        <w:rPr>
          <w:rFonts w:eastAsia="Times New Roman"/>
          <w:color w:val="000000"/>
          <w:sz w:val="20"/>
          <w:szCs w:val="20"/>
        </w:rPr>
        <w:t xml:space="preserve">he qualitative assessment and perform the quantitative assessment by comparing the fair values of the reporting units with their carrying amounts, including goodwill. If the carrying amount of a reporting unit exceeds its fair value, an impairment loss is </w:t>
      </w:r>
      <w:r>
        <w:rPr>
          <w:rFonts w:eastAsia="Times New Roman"/>
          <w:color w:val="000000"/>
          <w:sz w:val="20"/>
          <w:szCs w:val="20"/>
        </w:rPr>
        <w:t xml:space="preserve">recognized in an amount equal to such excess but not to exceed the total amount of the goodwill of the reporting unit. </w:t>
      </w:r>
    </w:p>
    <w:p w14:paraId="2061D951" w14:textId="77777777" w:rsidR="00000000" w:rsidRDefault="00C1661D">
      <w:pPr>
        <w:jc w:val="both"/>
        <w:divId w:val="267978809"/>
        <w:rPr>
          <w:rFonts w:eastAsia="Times New Roman"/>
        </w:rPr>
      </w:pPr>
      <w:r>
        <w:rPr>
          <w:rFonts w:eastAsia="Times New Roman"/>
          <w:color w:val="000000"/>
          <w:sz w:val="20"/>
          <w:szCs w:val="20"/>
        </w:rPr>
        <w:t>With respect to the AmeriGas Propane reporting unit’s Fiscal 2022 impairment test, the Company bypassed the qualitative assessment and p</w:t>
      </w:r>
      <w:r>
        <w:rPr>
          <w:rFonts w:eastAsia="Times New Roman"/>
          <w:color w:val="000000"/>
          <w:sz w:val="20"/>
          <w:szCs w:val="20"/>
        </w:rPr>
        <w:t>erformed a quantitative assessment. Such assessment used a weighting of income and market approaches to determine fair value. For the income approach we used management’s best estimates of future anticipated cash flow performance included in AmeriGas Propa</w:t>
      </w:r>
      <w:r>
        <w:rPr>
          <w:rFonts w:eastAsia="Times New Roman"/>
          <w:color w:val="000000"/>
          <w:sz w:val="20"/>
          <w:szCs w:val="20"/>
        </w:rPr>
        <w:t xml:space="preserve">ne’s latest budget and plan, discounted based upon AmeriGas Propane’s weighted average cost of debt and equity. We also used valuation multiples to determine an estimated fair value using recent transaction market multiples for retail propane distribution </w:t>
      </w:r>
      <w:r>
        <w:rPr>
          <w:rFonts w:eastAsia="Times New Roman"/>
          <w:color w:val="000000"/>
          <w:sz w:val="20"/>
          <w:szCs w:val="20"/>
        </w:rPr>
        <w:t>companies in the U.S. Based upon weighting the fair values estimated using the income and market approaches above, we determined that AmeriGas Propane’s fair value exceeded its carrying value by approximately 30%. While the Company believes that its judgme</w:t>
      </w:r>
      <w:r>
        <w:rPr>
          <w:rFonts w:eastAsia="Times New Roman"/>
          <w:color w:val="000000"/>
          <w:sz w:val="20"/>
          <w:szCs w:val="20"/>
        </w:rPr>
        <w:t>nts used in the quantitative assessment of AmeriGas Propane’s fair value are reasonable based upon currently available facts and circumstances, if AmeriGas Propane were not able to achieve its anticipated results and/or if its weighted average cost of capi</w:t>
      </w:r>
      <w:r>
        <w:rPr>
          <w:rFonts w:eastAsia="Times New Roman"/>
          <w:color w:val="000000"/>
          <w:sz w:val="20"/>
          <w:szCs w:val="20"/>
        </w:rPr>
        <w:t>tal were to increase, its fair value would be adversely affected, which may result in an impairment. There is approximately $2 billion of goodwill in this reporting unit as of September 30, 2022. The Company will continue to monitor its reporting units and</w:t>
      </w:r>
      <w:r>
        <w:rPr>
          <w:rFonts w:eastAsia="Times New Roman"/>
          <w:color w:val="000000"/>
          <w:sz w:val="20"/>
          <w:szCs w:val="20"/>
        </w:rPr>
        <w:t xml:space="preserve"> related goodwill for any possible future non-cash impairment charges.</w:t>
      </w:r>
    </w:p>
    <w:p w14:paraId="64DAC1B4" w14:textId="77777777" w:rsidR="00000000" w:rsidRDefault="00C1661D">
      <w:pPr>
        <w:jc w:val="both"/>
        <w:divId w:val="242763420"/>
        <w:rPr>
          <w:rFonts w:eastAsia="Times New Roman"/>
        </w:rPr>
      </w:pPr>
      <w:r>
        <w:rPr>
          <w:rFonts w:eastAsia="Times New Roman"/>
          <w:color w:val="000000"/>
          <w:sz w:val="20"/>
          <w:szCs w:val="20"/>
        </w:rPr>
        <w:t>There were no accumulated goodwill impairment losses at September 30, 2022 and 2021, and no provisions for goodwill impairments were recognized for all periods presented. For further in</w:t>
      </w:r>
      <w:r>
        <w:rPr>
          <w:rFonts w:eastAsia="Times New Roman"/>
          <w:color w:val="000000"/>
          <w:sz w:val="20"/>
          <w:szCs w:val="20"/>
        </w:rPr>
        <w:t>formation on our goodwill and intangible assets, see Note 12.</w:t>
      </w:r>
    </w:p>
    <w:p w14:paraId="374608F5" w14:textId="77777777" w:rsidR="00000000" w:rsidRDefault="00C1661D">
      <w:pPr>
        <w:jc w:val="both"/>
        <w:divId w:val="1734087599"/>
        <w:rPr>
          <w:rFonts w:eastAsia="Times New Roman"/>
        </w:rPr>
      </w:pPr>
      <w:r>
        <w:rPr>
          <w:rFonts w:eastAsia="Times New Roman"/>
          <w:b/>
          <w:bCs/>
          <w:color w:val="000000"/>
          <w:sz w:val="20"/>
          <w:szCs w:val="20"/>
        </w:rPr>
        <w:t>Impairment of Long-Lived Assets</w:t>
      </w:r>
    </w:p>
    <w:p w14:paraId="14D26E6E" w14:textId="77777777" w:rsidR="00000000" w:rsidRDefault="00C1661D">
      <w:pPr>
        <w:jc w:val="both"/>
        <w:divId w:val="1094394837"/>
        <w:rPr>
          <w:rFonts w:eastAsia="Times New Roman"/>
        </w:rPr>
      </w:pPr>
      <w:r>
        <w:rPr>
          <w:rFonts w:eastAsia="Times New Roman"/>
          <w:color w:val="000000"/>
          <w:sz w:val="20"/>
          <w:szCs w:val="20"/>
        </w:rPr>
        <w:t xml:space="preserve">Impairment testing for long-lived assets (or an asset group) is required when circumstances indicate that such assets may be impaired. If it is determined that a </w:t>
      </w:r>
      <w:r>
        <w:rPr>
          <w:rFonts w:eastAsia="Times New Roman"/>
          <w:color w:val="000000"/>
          <w:sz w:val="20"/>
          <w:szCs w:val="20"/>
        </w:rPr>
        <w:t>triggering event has occurred, we perform a recoverability test based upon estimated undiscounted cash flow projections expected to be realized over the remaining useful life of the long-lived asset. If the undiscounted cash flows used in the recoverabilit</w:t>
      </w:r>
      <w:r>
        <w:rPr>
          <w:rFonts w:eastAsia="Times New Roman"/>
          <w:color w:val="000000"/>
          <w:sz w:val="20"/>
          <w:szCs w:val="20"/>
        </w:rPr>
        <w:t xml:space="preserve">y test are less than the long-lived asset's carrying amount, we determine its fair value. If the fair value is determined to be less than its carrying amount, the long-lived asset is reduced to its estimated fair value and an impairment loss is recognized </w:t>
      </w:r>
      <w:r>
        <w:rPr>
          <w:rFonts w:eastAsia="Times New Roman"/>
          <w:color w:val="000000"/>
          <w:sz w:val="20"/>
          <w:szCs w:val="20"/>
        </w:rPr>
        <w:t>in an amount equal to such shortfall. When determining whether a long-lived asset has been impaired, management groups assets at the lowest level that has identifiable cash flows.</w:t>
      </w:r>
    </w:p>
    <w:p w14:paraId="67E33A1D" w14:textId="77777777" w:rsidR="00000000" w:rsidRDefault="00C1661D">
      <w:pPr>
        <w:jc w:val="both"/>
        <w:rPr>
          <w:rFonts w:eastAsia="Times New Roman"/>
        </w:rPr>
      </w:pPr>
    </w:p>
    <w:p w14:paraId="133967AB" w14:textId="77777777" w:rsidR="00000000" w:rsidRDefault="00C1661D">
      <w:pPr>
        <w:jc w:val="center"/>
        <w:divId w:val="1042903275"/>
        <w:rPr>
          <w:rFonts w:eastAsia="Times New Roman"/>
        </w:rPr>
      </w:pPr>
      <w:r>
        <w:rPr>
          <w:rFonts w:eastAsia="Times New Roman"/>
          <w:color w:val="000000"/>
          <w:sz w:val="20"/>
          <w:szCs w:val="20"/>
        </w:rPr>
        <w:t>F-16</w:t>
      </w:r>
    </w:p>
    <w:p w14:paraId="1C4ACBA3" w14:textId="77777777" w:rsidR="00000000" w:rsidRDefault="00C1661D">
      <w:pPr>
        <w:rPr>
          <w:rFonts w:eastAsia="Times New Roman"/>
        </w:rPr>
      </w:pPr>
      <w:r>
        <w:rPr>
          <w:rFonts w:eastAsia="Times New Roman"/>
        </w:rPr>
        <w:pict w14:anchorId="328FD408">
          <v:rect id="_x0000_i1129" style="width:0;height:1.5pt" o:hralign="center" o:hrstd="t" o:hr="t" fillcolor="#a0a0a0" stroked="f"/>
        </w:pict>
      </w:r>
    </w:p>
    <w:p w14:paraId="7C72EEBF" w14:textId="77777777" w:rsidR="00000000" w:rsidRDefault="00C1661D">
      <w:pPr>
        <w:divId w:val="1770661823"/>
        <w:rPr>
          <w:rFonts w:eastAsia="Times New Roman"/>
        </w:rPr>
      </w:pPr>
      <w:hyperlink w:anchor="i3850c3c6c0104e42b9951aac2f16098a_7" w:history="1">
        <w:r>
          <w:rPr>
            <w:rStyle w:val="a3"/>
            <w:rFonts w:eastAsia="Times New Roman"/>
            <w:sz w:val="20"/>
            <w:szCs w:val="20"/>
          </w:rPr>
          <w:t>Table of Contents</w:t>
        </w:r>
      </w:hyperlink>
    </w:p>
    <w:p w14:paraId="603E20FA" w14:textId="77777777" w:rsidR="00000000" w:rsidRDefault="00C1661D">
      <w:pPr>
        <w:divId w:val="1377004707"/>
        <w:rPr>
          <w:rFonts w:eastAsia="Times New Roman"/>
        </w:rPr>
      </w:pPr>
      <w:r>
        <w:rPr>
          <w:rFonts w:eastAsia="Times New Roman"/>
          <w:b/>
          <w:bCs/>
          <w:color w:val="000000"/>
          <w:sz w:val="20"/>
          <w:szCs w:val="20"/>
        </w:rPr>
        <w:t>UGI Corporation and Subsidiaries</w:t>
      </w:r>
    </w:p>
    <w:p w14:paraId="4A83FFF2" w14:textId="77777777" w:rsidR="00000000" w:rsidRDefault="00C1661D">
      <w:pPr>
        <w:divId w:val="1078556805"/>
        <w:rPr>
          <w:rFonts w:eastAsia="Times New Roman"/>
        </w:rPr>
      </w:pPr>
      <w:r>
        <w:rPr>
          <w:rFonts w:eastAsia="Times New Roman"/>
          <w:b/>
          <w:bCs/>
          <w:color w:val="000000"/>
          <w:sz w:val="20"/>
          <w:szCs w:val="20"/>
        </w:rPr>
        <w:t>Notes to Consolidated Financial Statements</w:t>
      </w:r>
    </w:p>
    <w:p w14:paraId="44FEBAAF" w14:textId="77777777" w:rsidR="00000000" w:rsidRDefault="00C1661D">
      <w:pPr>
        <w:divId w:val="1045521020"/>
        <w:rPr>
          <w:rFonts w:eastAsia="Times New Roman"/>
        </w:rPr>
      </w:pPr>
      <w:r>
        <w:rPr>
          <w:rFonts w:eastAsia="Times New Roman"/>
          <w:color w:val="000000"/>
          <w:sz w:val="20"/>
          <w:szCs w:val="20"/>
        </w:rPr>
        <w:t>(Currency in millions, except per share amounts and where indicated otherwise)</w:t>
      </w:r>
    </w:p>
    <w:p w14:paraId="7B4CA842" w14:textId="77777777" w:rsidR="00000000" w:rsidRDefault="00C1661D">
      <w:pPr>
        <w:jc w:val="both"/>
        <w:rPr>
          <w:rFonts w:eastAsia="Times New Roman"/>
        </w:rPr>
      </w:pPr>
      <w:r>
        <w:rPr>
          <w:rFonts w:eastAsia="Times New Roman"/>
          <w:color w:val="000000"/>
          <w:sz w:val="20"/>
          <w:szCs w:val="20"/>
        </w:rPr>
        <w:t>No material provisions for impairments of long-lived asse</w:t>
      </w:r>
      <w:r>
        <w:rPr>
          <w:rFonts w:eastAsia="Times New Roman"/>
          <w:color w:val="000000"/>
          <w:sz w:val="20"/>
          <w:szCs w:val="20"/>
        </w:rPr>
        <w:t>ts were recorded during Fiscal 2022. See Note 5 for further information on the losses associated with assets held for sale and the dispositions of Conemaugh and HVAC during Fiscal 2020.</w:t>
      </w:r>
    </w:p>
    <w:p w14:paraId="46DFE044" w14:textId="77777777" w:rsidR="00000000" w:rsidRDefault="00C1661D">
      <w:pPr>
        <w:jc w:val="both"/>
        <w:divId w:val="1244031342"/>
        <w:rPr>
          <w:rFonts w:eastAsia="Times New Roman"/>
        </w:rPr>
      </w:pPr>
      <w:r>
        <w:rPr>
          <w:rFonts w:eastAsia="Times New Roman"/>
          <w:b/>
          <w:bCs/>
          <w:color w:val="000000"/>
          <w:sz w:val="20"/>
          <w:szCs w:val="20"/>
        </w:rPr>
        <w:t>Refundable Tank and Cylinder Deposits</w:t>
      </w:r>
    </w:p>
    <w:p w14:paraId="15AB66F3" w14:textId="77777777" w:rsidR="00000000" w:rsidRDefault="00C1661D">
      <w:pPr>
        <w:jc w:val="both"/>
        <w:divId w:val="1043823211"/>
        <w:rPr>
          <w:rFonts w:eastAsia="Times New Roman"/>
        </w:rPr>
      </w:pPr>
      <w:r>
        <w:rPr>
          <w:rFonts w:eastAsia="Times New Roman"/>
          <w:color w:val="000000"/>
          <w:sz w:val="20"/>
          <w:szCs w:val="20"/>
        </w:rPr>
        <w:t>Included in “</w:t>
      </w:r>
      <w:r>
        <w:rPr>
          <w:rFonts w:eastAsia="Times New Roman"/>
          <w:color w:val="000000"/>
          <w:sz w:val="20"/>
          <w:szCs w:val="20"/>
        </w:rPr>
        <w:t>Other noncurrent liabilities” on our Consolidated Balance Sheets are customer paid deposits on tanks and cylinders primarily owned by subsidiaries of UGI France of $243 and $296 at September 30, 2022 and 2021, respectively. Deposits are refundable to custo</w:t>
      </w:r>
      <w:r>
        <w:rPr>
          <w:rFonts w:eastAsia="Times New Roman"/>
          <w:color w:val="000000"/>
          <w:sz w:val="20"/>
          <w:szCs w:val="20"/>
        </w:rPr>
        <w:t xml:space="preserve">mers when the tanks or cylinders are returned in accordance with contract terms. </w:t>
      </w:r>
    </w:p>
    <w:p w14:paraId="6B992E60" w14:textId="77777777" w:rsidR="00000000" w:rsidRDefault="00C1661D">
      <w:pPr>
        <w:jc w:val="both"/>
        <w:rPr>
          <w:rFonts w:eastAsia="Times New Roman"/>
        </w:rPr>
      </w:pPr>
    </w:p>
    <w:p w14:paraId="6E94F842" w14:textId="77777777" w:rsidR="00000000" w:rsidRDefault="00C1661D">
      <w:pPr>
        <w:jc w:val="both"/>
        <w:rPr>
          <w:rFonts w:eastAsia="Times New Roman"/>
        </w:rPr>
      </w:pPr>
      <w:r>
        <w:rPr>
          <w:rFonts w:eastAsia="Times New Roman"/>
          <w:b/>
          <w:bCs/>
          <w:color w:val="000000"/>
          <w:sz w:val="20"/>
          <w:szCs w:val="20"/>
        </w:rPr>
        <w:t>Environmental Matters</w:t>
      </w:r>
    </w:p>
    <w:p w14:paraId="6404DEA8" w14:textId="77777777" w:rsidR="00000000" w:rsidRDefault="00C1661D">
      <w:pPr>
        <w:jc w:val="both"/>
        <w:divId w:val="2006862278"/>
        <w:rPr>
          <w:rFonts w:eastAsia="Times New Roman"/>
        </w:rPr>
      </w:pPr>
      <w:r>
        <w:rPr>
          <w:rFonts w:eastAsia="Times New Roman"/>
          <w:color w:val="000000"/>
          <w:sz w:val="20"/>
          <w:szCs w:val="20"/>
        </w:rPr>
        <w:t>We are subject to environmental laws and regulations intended to mitigate or remove the effects of past operations and improve or maintain the quality</w:t>
      </w:r>
      <w:r>
        <w:rPr>
          <w:rFonts w:eastAsia="Times New Roman"/>
          <w:color w:val="000000"/>
          <w:sz w:val="20"/>
          <w:szCs w:val="20"/>
        </w:rPr>
        <w:t xml:space="preserve"> of the environment. These laws and regulations require the removal or remedy of the effect on the environment of the disposal or release of certain specified hazardous substances at current or former operating sites.</w:t>
      </w:r>
    </w:p>
    <w:p w14:paraId="29DEB56A" w14:textId="77777777" w:rsidR="00000000" w:rsidRDefault="00C1661D">
      <w:pPr>
        <w:jc w:val="both"/>
        <w:divId w:val="1430391373"/>
        <w:rPr>
          <w:rFonts w:eastAsia="Times New Roman"/>
        </w:rPr>
      </w:pPr>
      <w:r>
        <w:rPr>
          <w:rFonts w:eastAsia="Times New Roman"/>
          <w:color w:val="000000"/>
          <w:sz w:val="20"/>
          <w:szCs w:val="20"/>
        </w:rPr>
        <w:t>Environmental reserves are accrued whe</w:t>
      </w:r>
      <w:r>
        <w:rPr>
          <w:rFonts w:eastAsia="Times New Roman"/>
          <w:color w:val="000000"/>
          <w:sz w:val="20"/>
          <w:szCs w:val="20"/>
        </w:rPr>
        <w:t>n assessments indicate that it is probable that a liability has been incurred and an amount can be reasonably estimated. Amounts recorded as</w:t>
      </w:r>
      <w:r>
        <w:rPr>
          <w:rFonts w:eastAsia="Times New Roman"/>
          <w:color w:val="000000"/>
          <w:sz w:val="20"/>
          <w:szCs w:val="20"/>
        </w:rPr>
        <w:t xml:space="preserve"> </w:t>
      </w:r>
      <w:r>
        <w:rPr>
          <w:rFonts w:eastAsia="Times New Roman"/>
          <w:color w:val="000000"/>
          <w:sz w:val="20"/>
          <w:szCs w:val="20"/>
        </w:rPr>
        <w:t>environmental liabilities on the Consolidated Balance Sheet</w:t>
      </w:r>
      <w:r>
        <w:rPr>
          <w:rFonts w:eastAsia="Times New Roman"/>
          <w:color w:val="000000"/>
          <w:sz w:val="20"/>
          <w:szCs w:val="20"/>
        </w:rPr>
        <w:t>s</w:t>
      </w:r>
      <w:r>
        <w:rPr>
          <w:rFonts w:eastAsia="Times New Roman"/>
          <w:color w:val="000000"/>
          <w:sz w:val="20"/>
          <w:szCs w:val="20"/>
        </w:rPr>
        <w:t xml:space="preserve"> represent our best estimate of costs expected to be in</w:t>
      </w:r>
      <w:r>
        <w:rPr>
          <w:rFonts w:eastAsia="Times New Roman"/>
          <w:color w:val="000000"/>
          <w:sz w:val="20"/>
          <w:szCs w:val="20"/>
        </w:rPr>
        <w:t>curred or, if no best estimate can be made, the minimum liability associated with a range of expected environmental investigation and remediation costs. These estimates are based upon a number of factors including whether the Company will be responsible fo</w:t>
      </w:r>
      <w:r>
        <w:rPr>
          <w:rFonts w:eastAsia="Times New Roman"/>
          <w:color w:val="000000"/>
          <w:sz w:val="20"/>
          <w:szCs w:val="20"/>
        </w:rPr>
        <w:t>r such remediation, the scope and cost of the remediation work to be performed, the portion of costs that will be shared with other potentially responsible parties, the timing of the remediation and possible impact of changes in technology, and the regulat</w:t>
      </w:r>
      <w:r>
        <w:rPr>
          <w:rFonts w:eastAsia="Times New Roman"/>
          <w:color w:val="000000"/>
          <w:sz w:val="20"/>
          <w:szCs w:val="20"/>
        </w:rPr>
        <w:t xml:space="preserve">ions and requirements of local governmental authorities. Our estimated liability for environmental contamination is reduced to reflect anticipated participation of other responsible parties but is not reduced for possible recovery from insurance carriers. </w:t>
      </w:r>
      <w:r>
        <w:rPr>
          <w:rFonts w:eastAsia="Times New Roman"/>
          <w:color w:val="000000"/>
          <w:sz w:val="20"/>
          <w:szCs w:val="20"/>
        </w:rPr>
        <w:t>Under GAAP, if the amount and timing of cash payments associated with environmental investigation and cleanup are reliably determinable, such liabilities are discounted to reflect the time value of money. We intend to pursue recovery of incurred costs thro</w:t>
      </w:r>
      <w:r>
        <w:rPr>
          <w:rFonts w:eastAsia="Times New Roman"/>
          <w:color w:val="000000"/>
          <w:sz w:val="20"/>
          <w:szCs w:val="20"/>
        </w:rPr>
        <w:t xml:space="preserve">ugh all appropriate means, including regulatory relief. PA Gas Utility receives ratemaking recognition of environmental investigation and remediation costs associated with in-state environmental sites.  This ratemaking recognition balances the accumulated </w:t>
      </w:r>
      <w:r>
        <w:rPr>
          <w:rFonts w:eastAsia="Times New Roman"/>
          <w:color w:val="000000"/>
          <w:sz w:val="20"/>
          <w:szCs w:val="20"/>
        </w:rPr>
        <w:t>difference between historical costs and rate recoveries with an estimate of future costs associated with the sites. For further information, see Note 17.</w:t>
      </w:r>
    </w:p>
    <w:p w14:paraId="5FE269F0" w14:textId="77777777" w:rsidR="00000000" w:rsidRDefault="00C1661D">
      <w:pPr>
        <w:jc w:val="both"/>
        <w:divId w:val="1173569325"/>
        <w:rPr>
          <w:rFonts w:eastAsia="Times New Roman"/>
        </w:rPr>
      </w:pPr>
      <w:r>
        <w:rPr>
          <w:rFonts w:eastAsia="Times New Roman"/>
          <w:b/>
          <w:bCs/>
          <w:color w:val="000000"/>
          <w:sz w:val="20"/>
          <w:szCs w:val="20"/>
        </w:rPr>
        <w:t>Loss Contingencies Subject to Insurance</w:t>
      </w:r>
    </w:p>
    <w:p w14:paraId="0C071281" w14:textId="77777777" w:rsidR="00000000" w:rsidRDefault="00C1661D">
      <w:pPr>
        <w:jc w:val="both"/>
        <w:divId w:val="803356340"/>
        <w:rPr>
          <w:rFonts w:eastAsia="Times New Roman"/>
        </w:rPr>
      </w:pPr>
      <w:r>
        <w:rPr>
          <w:rFonts w:eastAsia="Times New Roman"/>
          <w:color w:val="000000"/>
          <w:sz w:val="20"/>
          <w:szCs w:val="20"/>
        </w:rPr>
        <w:t>We are subject to risk of loss for general, automobile and product liability, and workers’ compensation claims for which we obtain insurance coverage under insurance policies that are subject to self-insured retentions or deductibles. In accordance with GA</w:t>
      </w:r>
      <w:r>
        <w:rPr>
          <w:rFonts w:eastAsia="Times New Roman"/>
          <w:color w:val="000000"/>
          <w:sz w:val="20"/>
          <w:szCs w:val="20"/>
        </w:rPr>
        <w:t>AP, we record accruals when it is probable that a liability exists and the amount or range of amounts can be reasonably estimated. When no amount within a range of possible loss is a better estimate than any other amount within the range, liabilities recor</w:t>
      </w:r>
      <w:r>
        <w:rPr>
          <w:rFonts w:eastAsia="Times New Roman"/>
          <w:color w:val="000000"/>
          <w:sz w:val="20"/>
          <w:szCs w:val="20"/>
        </w:rPr>
        <w:t>ded are based upon the low end of the range. For litigation and pending claims including those covered by insurance policies, the analysis of probable loss is performed on a case by case basis and includes an evaluation of the nature of the claim, the proc</w:t>
      </w:r>
      <w:r>
        <w:rPr>
          <w:rFonts w:eastAsia="Times New Roman"/>
          <w:color w:val="000000"/>
          <w:sz w:val="20"/>
          <w:szCs w:val="20"/>
        </w:rPr>
        <w:t>edural status of the matter, the probability or likelihood of success in prosecuting or defending the claim, the information available with respect to the claim, the opinions and views of outside counsel and other advisors, and past experience in similar m</w:t>
      </w:r>
      <w:r>
        <w:rPr>
          <w:rFonts w:eastAsia="Times New Roman"/>
          <w:color w:val="000000"/>
          <w:sz w:val="20"/>
          <w:szCs w:val="20"/>
        </w:rPr>
        <w:t>atters. With respect to unasserted claims arising from unreported incidents, we may use the work of specialists to estimate the ultimate losses to be incurred using actuarially determined loss development factors applied to actual claims data. Our estimate</w:t>
      </w:r>
      <w:r>
        <w:rPr>
          <w:rFonts w:eastAsia="Times New Roman"/>
          <w:color w:val="000000"/>
          <w:sz w:val="20"/>
          <w:szCs w:val="20"/>
        </w:rPr>
        <w:t>d reserves for loss contingencies may differ materially from the ultimate liability and such reserves may change materially as more information becomes available and estimated reserves are adjusted. We maintain insurance coverage such that our net exposure</w:t>
      </w:r>
      <w:r>
        <w:rPr>
          <w:rFonts w:eastAsia="Times New Roman"/>
          <w:color w:val="000000"/>
          <w:sz w:val="20"/>
          <w:szCs w:val="20"/>
        </w:rPr>
        <w:t xml:space="preserve"> for claims covered by insurance would be limited to the self-insured retentions or deductibles, claims above which would be paid by the insurance carrier. For such claims, we record a receivable related to the amount of the liability expected to be paid b</w:t>
      </w:r>
      <w:r>
        <w:rPr>
          <w:rFonts w:eastAsia="Times New Roman"/>
          <w:color w:val="000000"/>
          <w:sz w:val="20"/>
          <w:szCs w:val="20"/>
        </w:rPr>
        <w:t>y insurance.</w:t>
      </w:r>
    </w:p>
    <w:p w14:paraId="065D8B13" w14:textId="77777777" w:rsidR="00000000" w:rsidRDefault="00C1661D">
      <w:pPr>
        <w:jc w:val="both"/>
        <w:divId w:val="718742604"/>
        <w:rPr>
          <w:rFonts w:eastAsia="Times New Roman"/>
        </w:rPr>
      </w:pPr>
      <w:r>
        <w:rPr>
          <w:rFonts w:eastAsia="Times New Roman"/>
          <w:b/>
          <w:bCs/>
          <w:color w:val="000000"/>
          <w:sz w:val="20"/>
          <w:szCs w:val="20"/>
        </w:rPr>
        <w:t>Employee Retirement Plans</w:t>
      </w:r>
    </w:p>
    <w:p w14:paraId="4DAD11D2" w14:textId="77777777" w:rsidR="00000000" w:rsidRDefault="00C1661D">
      <w:pPr>
        <w:jc w:val="both"/>
        <w:divId w:val="283007565"/>
        <w:rPr>
          <w:rFonts w:eastAsia="Times New Roman"/>
        </w:rPr>
      </w:pPr>
      <w:r>
        <w:rPr>
          <w:rFonts w:eastAsia="Times New Roman"/>
          <w:color w:val="000000"/>
          <w:sz w:val="20"/>
          <w:szCs w:val="20"/>
        </w:rPr>
        <w:t>We use a market-related value of plan assets and an expected long-term rate of return to determine the expected return on assets of our U.S. pension and other postretirement plans. The market-related value of plan ass</w:t>
      </w:r>
      <w:r>
        <w:rPr>
          <w:rFonts w:eastAsia="Times New Roman"/>
          <w:color w:val="000000"/>
          <w:sz w:val="20"/>
          <w:szCs w:val="20"/>
        </w:rPr>
        <w:t>ets, other than equity investments, is based upon fair values. The market-related value of equity investments is calculated by rolling forward the prior-year’s market-related value with contributions, disbursements and the expected return on plan assets. O</w:t>
      </w:r>
      <w:r>
        <w:rPr>
          <w:rFonts w:eastAsia="Times New Roman"/>
          <w:color w:val="000000"/>
          <w:sz w:val="20"/>
          <w:szCs w:val="20"/>
        </w:rPr>
        <w:t>ne third of the difference between the expected and the actual value is then added to or subtracted from the expected value to determine the new market-related value (see Note 8).</w:t>
      </w:r>
    </w:p>
    <w:p w14:paraId="03918ECB" w14:textId="77777777" w:rsidR="00000000" w:rsidRDefault="00C1661D">
      <w:pPr>
        <w:jc w:val="center"/>
        <w:divId w:val="1735393380"/>
        <w:rPr>
          <w:rFonts w:eastAsia="Times New Roman"/>
        </w:rPr>
      </w:pPr>
      <w:r>
        <w:rPr>
          <w:rFonts w:eastAsia="Times New Roman"/>
          <w:color w:val="000000"/>
          <w:sz w:val="20"/>
          <w:szCs w:val="20"/>
        </w:rPr>
        <w:t>F-17</w:t>
      </w:r>
    </w:p>
    <w:p w14:paraId="021FABA3" w14:textId="77777777" w:rsidR="00000000" w:rsidRDefault="00C1661D">
      <w:pPr>
        <w:rPr>
          <w:rFonts w:eastAsia="Times New Roman"/>
        </w:rPr>
      </w:pPr>
      <w:r>
        <w:rPr>
          <w:rFonts w:eastAsia="Times New Roman"/>
        </w:rPr>
        <w:pict w14:anchorId="52C5FBEA">
          <v:rect id="_x0000_i1130" style="width:0;height:1.5pt" o:hralign="center" o:hrstd="t" o:hr="t" fillcolor="#a0a0a0" stroked="f"/>
        </w:pict>
      </w:r>
    </w:p>
    <w:p w14:paraId="14082DF0" w14:textId="77777777" w:rsidR="00000000" w:rsidRDefault="00C1661D">
      <w:pPr>
        <w:divId w:val="1033388907"/>
        <w:rPr>
          <w:rFonts w:eastAsia="Times New Roman"/>
        </w:rPr>
      </w:pPr>
      <w:hyperlink w:anchor="i3850c3c6c0104e42b9951aac2f16098a_7" w:history="1">
        <w:r>
          <w:rPr>
            <w:rStyle w:val="a3"/>
            <w:rFonts w:eastAsia="Times New Roman"/>
            <w:sz w:val="20"/>
            <w:szCs w:val="20"/>
          </w:rPr>
          <w:t>Table of Contents</w:t>
        </w:r>
      </w:hyperlink>
    </w:p>
    <w:p w14:paraId="18D6F9A1" w14:textId="77777777" w:rsidR="00000000" w:rsidRDefault="00C1661D">
      <w:pPr>
        <w:divId w:val="66080670"/>
        <w:rPr>
          <w:rFonts w:eastAsia="Times New Roman"/>
        </w:rPr>
      </w:pPr>
      <w:r>
        <w:rPr>
          <w:rFonts w:eastAsia="Times New Roman"/>
          <w:b/>
          <w:bCs/>
          <w:color w:val="000000"/>
          <w:sz w:val="20"/>
          <w:szCs w:val="20"/>
        </w:rPr>
        <w:t>UGI Corporation and Subsidiaries</w:t>
      </w:r>
    </w:p>
    <w:p w14:paraId="0A334AC4" w14:textId="77777777" w:rsidR="00000000" w:rsidRDefault="00C1661D">
      <w:pPr>
        <w:divId w:val="29186828"/>
        <w:rPr>
          <w:rFonts w:eastAsia="Times New Roman"/>
        </w:rPr>
      </w:pPr>
      <w:r>
        <w:rPr>
          <w:rFonts w:eastAsia="Times New Roman"/>
          <w:b/>
          <w:bCs/>
          <w:color w:val="000000"/>
          <w:sz w:val="20"/>
          <w:szCs w:val="20"/>
        </w:rPr>
        <w:t>Notes to Consolidated Financial Statements</w:t>
      </w:r>
    </w:p>
    <w:p w14:paraId="6CC7FA4C" w14:textId="77777777" w:rsidR="00000000" w:rsidRDefault="00C1661D">
      <w:pPr>
        <w:divId w:val="257711202"/>
        <w:rPr>
          <w:rFonts w:eastAsia="Times New Roman"/>
        </w:rPr>
      </w:pPr>
      <w:r>
        <w:rPr>
          <w:rFonts w:eastAsia="Times New Roman"/>
          <w:color w:val="000000"/>
          <w:sz w:val="20"/>
          <w:szCs w:val="20"/>
        </w:rPr>
        <w:t>(Currency in millions, except per share amounts and where indicated otherwise)</w:t>
      </w:r>
    </w:p>
    <w:p w14:paraId="4EDA1F2F" w14:textId="77777777" w:rsidR="00000000" w:rsidRDefault="00C1661D">
      <w:pPr>
        <w:jc w:val="both"/>
        <w:rPr>
          <w:rFonts w:eastAsia="Times New Roman"/>
        </w:rPr>
      </w:pPr>
    </w:p>
    <w:p w14:paraId="20EB255E" w14:textId="77777777" w:rsidR="00000000" w:rsidRDefault="00C1661D">
      <w:pPr>
        <w:jc w:val="both"/>
        <w:rPr>
          <w:rFonts w:eastAsia="Times New Roman"/>
        </w:rPr>
      </w:pPr>
      <w:r>
        <w:rPr>
          <w:rFonts w:eastAsia="Times New Roman"/>
          <w:b/>
          <w:bCs/>
          <w:color w:val="000000"/>
          <w:sz w:val="20"/>
          <w:szCs w:val="20"/>
          <w:u w:val="single"/>
        </w:rPr>
        <w:t xml:space="preserve">Note 3 — Accounting Changes </w:t>
      </w:r>
    </w:p>
    <w:p w14:paraId="78055213" w14:textId="77777777" w:rsidR="00000000" w:rsidRDefault="00C1661D">
      <w:pPr>
        <w:jc w:val="both"/>
        <w:divId w:val="1629317287"/>
        <w:rPr>
          <w:rFonts w:eastAsia="Times New Roman"/>
        </w:rPr>
      </w:pPr>
      <w:r>
        <w:rPr>
          <w:rFonts w:eastAsia="Times New Roman"/>
          <w:b/>
          <w:bCs/>
          <w:color w:val="000000"/>
          <w:sz w:val="20"/>
          <w:szCs w:val="20"/>
        </w:rPr>
        <w:t>New Accounting Standard Adop</w:t>
      </w:r>
      <w:r>
        <w:rPr>
          <w:rFonts w:eastAsia="Times New Roman"/>
          <w:b/>
          <w:bCs/>
          <w:color w:val="000000"/>
          <w:sz w:val="20"/>
          <w:szCs w:val="20"/>
        </w:rPr>
        <w:t>ted in Fiscal 2022</w:t>
      </w:r>
    </w:p>
    <w:p w14:paraId="7F2A9550" w14:textId="77777777" w:rsidR="00000000" w:rsidRDefault="00C1661D">
      <w:pPr>
        <w:jc w:val="both"/>
        <w:divId w:val="1893542595"/>
        <w:rPr>
          <w:rFonts w:eastAsia="Times New Roman"/>
        </w:rPr>
      </w:pPr>
      <w:r>
        <w:rPr>
          <w:rFonts w:eastAsia="Times New Roman"/>
          <w:b/>
          <w:bCs/>
          <w:i/>
          <w:iCs/>
          <w:color w:val="000000"/>
          <w:sz w:val="20"/>
          <w:szCs w:val="20"/>
        </w:rPr>
        <w:t xml:space="preserve">Income Taxes. </w:t>
      </w:r>
      <w:r>
        <w:rPr>
          <w:rFonts w:eastAsia="Times New Roman"/>
          <w:color w:val="000000"/>
          <w:sz w:val="20"/>
          <w:szCs w:val="20"/>
        </w:rPr>
        <w:t>Effective October 1, 2021, the Company adopted ASU 2019-12, “Income Taxes (Topic 740): Simplifying the Accounting for Income Taxes” prospectively and retrospectively where deemed applicable. This ASU simplifies the accounti</w:t>
      </w:r>
      <w:r>
        <w:rPr>
          <w:rFonts w:eastAsia="Times New Roman"/>
          <w:color w:val="000000"/>
          <w:sz w:val="20"/>
          <w:szCs w:val="20"/>
        </w:rPr>
        <w:t>ng for income taxes by eliminating certain exceptions within the existing guidance for recognizing deferred taxes for equity method investments, performing intraperiod allocations and calculating income taxes in interim periods. Further, this ASU clarifies</w:t>
      </w:r>
      <w:r>
        <w:rPr>
          <w:rFonts w:eastAsia="Times New Roman"/>
          <w:color w:val="000000"/>
          <w:sz w:val="20"/>
          <w:szCs w:val="20"/>
        </w:rPr>
        <w:t xml:space="preserve"> existing guidance related to, among other things, recognizing deferred taxes for goodwill and allocated taxes to members of a consolidated group. The adoption of the new guidance did not have a material impact on our consolidated financial statements.</w:t>
      </w:r>
      <w:r>
        <w:rPr>
          <w:rFonts w:eastAsia="Times New Roman"/>
          <w:color w:val="000000"/>
        </w:rPr>
        <w:t xml:space="preserve"> </w:t>
      </w:r>
    </w:p>
    <w:p w14:paraId="1FAF2C5B" w14:textId="77777777" w:rsidR="00000000" w:rsidRDefault="00C1661D">
      <w:pPr>
        <w:jc w:val="both"/>
        <w:divId w:val="93022200"/>
        <w:rPr>
          <w:rFonts w:eastAsia="Times New Roman"/>
        </w:rPr>
      </w:pPr>
      <w:r>
        <w:rPr>
          <w:rFonts w:eastAsia="Times New Roman"/>
          <w:b/>
          <w:bCs/>
          <w:color w:val="000000"/>
          <w:sz w:val="20"/>
          <w:szCs w:val="20"/>
        </w:rPr>
        <w:t>Ne</w:t>
      </w:r>
      <w:r>
        <w:rPr>
          <w:rFonts w:eastAsia="Times New Roman"/>
          <w:b/>
          <w:bCs/>
          <w:color w:val="000000"/>
          <w:sz w:val="20"/>
          <w:szCs w:val="20"/>
        </w:rPr>
        <w:t>w Accounting Standard Adopted Effective October 1, 2022</w:t>
      </w:r>
    </w:p>
    <w:p w14:paraId="1E455024" w14:textId="77777777" w:rsidR="00000000" w:rsidRDefault="00C1661D">
      <w:pPr>
        <w:jc w:val="both"/>
        <w:rPr>
          <w:rFonts w:eastAsia="Times New Roman"/>
        </w:rPr>
      </w:pPr>
    </w:p>
    <w:p w14:paraId="64202794" w14:textId="77777777" w:rsidR="00000000" w:rsidRDefault="00C1661D">
      <w:pPr>
        <w:jc w:val="both"/>
        <w:rPr>
          <w:rFonts w:eastAsia="Times New Roman"/>
        </w:rPr>
      </w:pPr>
      <w:r>
        <w:rPr>
          <w:rFonts w:eastAsia="Times New Roman"/>
          <w:b/>
          <w:bCs/>
          <w:i/>
          <w:iCs/>
          <w:color w:val="000000"/>
          <w:sz w:val="20"/>
          <w:szCs w:val="20"/>
        </w:rPr>
        <w:t>Debt and Derivatives and Hedging</w:t>
      </w:r>
      <w:r>
        <w:rPr>
          <w:rFonts w:eastAsia="Times New Roman"/>
          <w:color w:val="000000"/>
          <w:sz w:val="20"/>
          <w:szCs w:val="20"/>
        </w:rPr>
        <w:t>. Effective October 1, 2022, the Company adopted ASU 2020-06, “Debt - Debt with Conversion and Other Options (Subtopic 470-20) and Derivatives and Hedging – Contracts</w:t>
      </w:r>
      <w:r>
        <w:rPr>
          <w:rFonts w:eastAsia="Times New Roman"/>
          <w:color w:val="000000"/>
          <w:sz w:val="20"/>
          <w:szCs w:val="20"/>
        </w:rPr>
        <w:t xml:space="preserve"> in Entity’s Own Equity (Subtopic 815-40),” using the modified retrospective approach. The amendments in this ASU affect entities that issue convertible instruments and/or contracts indexed to and potentially settled in an entity’s own equity. This ASU red</w:t>
      </w:r>
      <w:r>
        <w:rPr>
          <w:rFonts w:eastAsia="Times New Roman"/>
          <w:color w:val="000000"/>
          <w:sz w:val="20"/>
          <w:szCs w:val="20"/>
        </w:rPr>
        <w:t>uces the number of accounting models for convertible debt instruments and convertible preferred stock, expands disclosure requirements for convertible instruments, and simplifies the related earnings per share guidance. The adoption of the new guidance did</w:t>
      </w:r>
      <w:r>
        <w:rPr>
          <w:rFonts w:eastAsia="Times New Roman"/>
          <w:color w:val="000000"/>
          <w:sz w:val="20"/>
          <w:szCs w:val="20"/>
        </w:rPr>
        <w:t xml:space="preserve"> not have a material impact on our consolidated financial statements. </w:t>
      </w:r>
    </w:p>
    <w:p w14:paraId="409B42F0" w14:textId="77777777" w:rsidR="00000000" w:rsidRDefault="00C1661D">
      <w:pPr>
        <w:jc w:val="both"/>
        <w:divId w:val="1212883731"/>
        <w:rPr>
          <w:rFonts w:eastAsia="Times New Roman"/>
        </w:rPr>
      </w:pPr>
    </w:p>
    <w:p w14:paraId="1F63D9CA" w14:textId="77777777" w:rsidR="00000000" w:rsidRDefault="00C1661D">
      <w:pPr>
        <w:divId w:val="846210387"/>
        <w:rPr>
          <w:rFonts w:eastAsia="Times New Roman"/>
        </w:rPr>
      </w:pPr>
      <w:r>
        <w:rPr>
          <w:rFonts w:eastAsia="Times New Roman"/>
          <w:b/>
          <w:bCs/>
          <w:color w:val="000000"/>
          <w:sz w:val="20"/>
          <w:szCs w:val="20"/>
          <w:u w:val="single"/>
        </w:rPr>
        <w:t>Note 4 — Revenue from Contracts with Customers</w:t>
      </w:r>
    </w:p>
    <w:p w14:paraId="54A6E3BD" w14:textId="77777777" w:rsidR="00000000" w:rsidRDefault="00C1661D">
      <w:pPr>
        <w:divId w:val="1790706050"/>
        <w:rPr>
          <w:rFonts w:eastAsia="Times New Roman"/>
        </w:rPr>
      </w:pPr>
    </w:p>
    <w:p w14:paraId="217B9CD5" w14:textId="77777777" w:rsidR="00000000" w:rsidRDefault="00C1661D">
      <w:pPr>
        <w:jc w:val="both"/>
        <w:rPr>
          <w:rFonts w:eastAsia="Times New Roman"/>
        </w:rPr>
      </w:pPr>
      <w:r>
        <w:rPr>
          <w:rFonts w:eastAsia="Times New Roman"/>
          <w:color w:val="000000"/>
          <w:sz w:val="20"/>
          <w:szCs w:val="20"/>
        </w:rPr>
        <w:t>The Company recognizes revenue when control of promised goods or services is transferred to customers in an amount that reflects the c</w:t>
      </w:r>
      <w:r>
        <w:rPr>
          <w:rFonts w:eastAsia="Times New Roman"/>
          <w:color w:val="000000"/>
          <w:sz w:val="20"/>
          <w:szCs w:val="20"/>
        </w:rPr>
        <w:t xml:space="preserve">onsideration to which we expect to be entitled in exchange for those goods or services. The Company generally has the right to consideration from a customer in an amount that corresponds directly with the value to the customer for performance completed to </w:t>
      </w:r>
      <w:r>
        <w:rPr>
          <w:rFonts w:eastAsia="Times New Roman"/>
          <w:color w:val="000000"/>
          <w:sz w:val="20"/>
          <w:szCs w:val="20"/>
        </w:rPr>
        <w:t xml:space="preserve">date. As such, we have elected to recognize revenue in the amount to which we have a right to invoice except in the case of certain of Utilities’ large delivery service customers and Midstream &amp; Marketing’s peaking contracts for which we recognize revenue </w:t>
      </w:r>
      <w:r>
        <w:rPr>
          <w:rFonts w:eastAsia="Times New Roman"/>
          <w:color w:val="000000"/>
          <w:sz w:val="20"/>
          <w:szCs w:val="20"/>
        </w:rPr>
        <w:t>on a straight-line basis over the term of the contract, consistent with when the performance obligations are satisfied by the Company.</w:t>
      </w:r>
    </w:p>
    <w:p w14:paraId="1E3C62AF" w14:textId="77777777" w:rsidR="00000000" w:rsidRDefault="00C1661D">
      <w:pPr>
        <w:divId w:val="1603995612"/>
        <w:rPr>
          <w:rFonts w:eastAsia="Times New Roman"/>
        </w:rPr>
      </w:pPr>
    </w:p>
    <w:p w14:paraId="0DA29C1C" w14:textId="77777777" w:rsidR="00000000" w:rsidRDefault="00C1661D">
      <w:pPr>
        <w:jc w:val="both"/>
        <w:divId w:val="2063553474"/>
        <w:rPr>
          <w:rFonts w:eastAsia="Times New Roman"/>
        </w:rPr>
      </w:pPr>
      <w:r>
        <w:rPr>
          <w:rFonts w:eastAsia="Times New Roman"/>
          <w:color w:val="000000"/>
          <w:sz w:val="20"/>
          <w:szCs w:val="20"/>
        </w:rPr>
        <w:t>We do not have a significant financing component in our contracts because we receive payment shortly before, at, or sho</w:t>
      </w:r>
      <w:r>
        <w:rPr>
          <w:rFonts w:eastAsia="Times New Roman"/>
          <w:color w:val="000000"/>
          <w:sz w:val="20"/>
          <w:szCs w:val="20"/>
        </w:rPr>
        <w:t>rtly after the transfer of control of the good or service. Because the period between the time the performance obligation is satisfied and payment is received is generally one year or less, the Company has elected to apply the significant financing compone</w:t>
      </w:r>
      <w:r>
        <w:rPr>
          <w:rFonts w:eastAsia="Times New Roman"/>
          <w:color w:val="000000"/>
          <w:sz w:val="20"/>
          <w:szCs w:val="20"/>
        </w:rPr>
        <w:t>nt practical expedient and no amount of consideration has been allocated as a financing component.</w:t>
      </w:r>
    </w:p>
    <w:p w14:paraId="324B8B0E" w14:textId="77777777" w:rsidR="00000000" w:rsidRDefault="00C1661D">
      <w:pPr>
        <w:jc w:val="both"/>
        <w:divId w:val="1506363824"/>
        <w:rPr>
          <w:rFonts w:eastAsia="Times New Roman"/>
        </w:rPr>
      </w:pPr>
      <w:r>
        <w:rPr>
          <w:rFonts w:eastAsia="Times New Roman"/>
          <w:color w:val="000000"/>
          <w:sz w:val="20"/>
          <w:szCs w:val="20"/>
        </w:rPr>
        <w:t>The Company’s revenues from contracts with customers are discussed below.</w:t>
      </w:r>
    </w:p>
    <w:p w14:paraId="17226A5C" w14:textId="77777777" w:rsidR="00000000" w:rsidRDefault="00C1661D">
      <w:pPr>
        <w:jc w:val="both"/>
        <w:divId w:val="344674653"/>
        <w:rPr>
          <w:rFonts w:eastAsia="Times New Roman"/>
        </w:rPr>
      </w:pPr>
      <w:r>
        <w:rPr>
          <w:rFonts w:eastAsia="Times New Roman"/>
          <w:b/>
          <w:bCs/>
          <w:color w:val="000000"/>
          <w:sz w:val="20"/>
          <w:szCs w:val="20"/>
          <w:u w:val="single"/>
        </w:rPr>
        <w:t>Utility Revenues</w:t>
      </w:r>
    </w:p>
    <w:p w14:paraId="1E570FD5" w14:textId="77777777" w:rsidR="00000000" w:rsidRDefault="00C1661D">
      <w:pPr>
        <w:jc w:val="both"/>
        <w:rPr>
          <w:rFonts w:eastAsia="Times New Roman"/>
        </w:rPr>
      </w:pPr>
      <w:r>
        <w:rPr>
          <w:rFonts w:eastAsia="Times New Roman"/>
          <w:color w:val="000000"/>
          <w:sz w:val="20"/>
          <w:szCs w:val="20"/>
        </w:rPr>
        <w:t>Utilities supplies natural gas and electricity and provides distribution services of natural gas and electricity to residential, commercial, and industrial customers who are generally billed at standard regulated tariff rates approved by the regulatory bod</w:t>
      </w:r>
      <w:r>
        <w:rPr>
          <w:rFonts w:eastAsia="Times New Roman"/>
          <w:color w:val="000000"/>
          <w:sz w:val="20"/>
          <w:szCs w:val="20"/>
        </w:rPr>
        <w:t>ies through the ratemaking process. Tariff rates include a component that provides for a reasonable opportunity to recover operating costs and expenses and to earn a return on net investment, and a component that provides for the recovery, subject to reaso</w:t>
      </w:r>
      <w:r>
        <w:rPr>
          <w:rFonts w:eastAsia="Times New Roman"/>
          <w:color w:val="000000"/>
          <w:sz w:val="20"/>
          <w:szCs w:val="20"/>
        </w:rPr>
        <w:t xml:space="preserve">nableness reviews, of PGC, PGA and DS costs. </w:t>
      </w:r>
    </w:p>
    <w:p w14:paraId="0D073201" w14:textId="77777777" w:rsidR="00000000" w:rsidRDefault="00C1661D">
      <w:pPr>
        <w:jc w:val="both"/>
        <w:rPr>
          <w:rFonts w:eastAsia="Times New Roman"/>
        </w:rPr>
      </w:pPr>
    </w:p>
    <w:p w14:paraId="6815F8BF" w14:textId="77777777" w:rsidR="00000000" w:rsidRDefault="00C1661D">
      <w:pPr>
        <w:jc w:val="both"/>
        <w:rPr>
          <w:rFonts w:eastAsia="Times New Roman"/>
        </w:rPr>
      </w:pPr>
      <w:r>
        <w:rPr>
          <w:rFonts w:eastAsia="Times New Roman"/>
          <w:color w:val="000000"/>
          <w:sz w:val="20"/>
          <w:szCs w:val="20"/>
        </w:rPr>
        <w:t>Customers may choose to purchase their natural gas and electricity from Utilities, or, alternatively, may contract separately with alternate suppliers. Accordingly, our contracts with customers comprise two p</w:t>
      </w:r>
      <w:r>
        <w:rPr>
          <w:rFonts w:eastAsia="Times New Roman"/>
          <w:color w:val="000000"/>
          <w:sz w:val="20"/>
          <w:szCs w:val="20"/>
        </w:rPr>
        <w:t>romised goods or services: (1) delivery service of natural gas and electricity through the Company’s utility distribution systems and (2) the natural gas or electricity commodity itself for those customers who choose to purchase the natural gas or electric</w:t>
      </w:r>
      <w:r>
        <w:rPr>
          <w:rFonts w:eastAsia="Times New Roman"/>
          <w:color w:val="000000"/>
          <w:sz w:val="20"/>
          <w:szCs w:val="20"/>
        </w:rPr>
        <w:t>ity directly from the Company. Revenue is not recorded for the sale of natural gas or electricity to customers who have contracted separately with alternate suppliers. For those customers who choose to purchase their natural gas or electricity from the Com</w:t>
      </w:r>
      <w:r>
        <w:rPr>
          <w:rFonts w:eastAsia="Times New Roman"/>
          <w:color w:val="000000"/>
          <w:sz w:val="20"/>
          <w:szCs w:val="20"/>
        </w:rPr>
        <w:t xml:space="preserve">pany, the performance obligation includes both the supply of the commodity and the delivery service. </w:t>
      </w:r>
    </w:p>
    <w:p w14:paraId="2DF4B3EB" w14:textId="77777777" w:rsidR="00000000" w:rsidRDefault="00C1661D">
      <w:pPr>
        <w:jc w:val="center"/>
        <w:divId w:val="238902574"/>
        <w:rPr>
          <w:rFonts w:eastAsia="Times New Roman"/>
        </w:rPr>
      </w:pPr>
      <w:r>
        <w:rPr>
          <w:rFonts w:eastAsia="Times New Roman"/>
          <w:color w:val="000000"/>
          <w:sz w:val="20"/>
          <w:szCs w:val="20"/>
        </w:rPr>
        <w:t>F-18</w:t>
      </w:r>
    </w:p>
    <w:p w14:paraId="1FA713DE" w14:textId="77777777" w:rsidR="00000000" w:rsidRDefault="00C1661D">
      <w:pPr>
        <w:rPr>
          <w:rFonts w:eastAsia="Times New Roman"/>
        </w:rPr>
      </w:pPr>
      <w:r>
        <w:rPr>
          <w:rFonts w:eastAsia="Times New Roman"/>
        </w:rPr>
        <w:pict w14:anchorId="105E2504">
          <v:rect id="_x0000_i1131" style="width:0;height:1.5pt" o:hralign="center" o:hrstd="t" o:hr="t" fillcolor="#a0a0a0" stroked="f"/>
        </w:pict>
      </w:r>
    </w:p>
    <w:p w14:paraId="67B1E8CA" w14:textId="77777777" w:rsidR="00000000" w:rsidRDefault="00C1661D">
      <w:pPr>
        <w:divId w:val="1904825750"/>
        <w:rPr>
          <w:rFonts w:eastAsia="Times New Roman"/>
        </w:rPr>
      </w:pPr>
      <w:hyperlink w:anchor="i3850c3c6c0104e42b9951aac2f16098a_7" w:history="1">
        <w:r>
          <w:rPr>
            <w:rStyle w:val="a3"/>
            <w:rFonts w:eastAsia="Times New Roman"/>
            <w:sz w:val="20"/>
            <w:szCs w:val="20"/>
          </w:rPr>
          <w:t>Table of Contents</w:t>
        </w:r>
      </w:hyperlink>
    </w:p>
    <w:p w14:paraId="2F3C6F9D" w14:textId="77777777" w:rsidR="00000000" w:rsidRDefault="00C1661D">
      <w:pPr>
        <w:divId w:val="107238115"/>
        <w:rPr>
          <w:rFonts w:eastAsia="Times New Roman"/>
        </w:rPr>
      </w:pPr>
      <w:r>
        <w:rPr>
          <w:rFonts w:eastAsia="Times New Roman"/>
          <w:b/>
          <w:bCs/>
          <w:color w:val="000000"/>
          <w:sz w:val="20"/>
          <w:szCs w:val="20"/>
        </w:rPr>
        <w:t>UGI Corporation and Subsidiaries</w:t>
      </w:r>
    </w:p>
    <w:p w14:paraId="3C92B8E5" w14:textId="77777777" w:rsidR="00000000" w:rsidRDefault="00C1661D">
      <w:pPr>
        <w:divId w:val="1861696300"/>
        <w:rPr>
          <w:rFonts w:eastAsia="Times New Roman"/>
        </w:rPr>
      </w:pPr>
      <w:r>
        <w:rPr>
          <w:rFonts w:eastAsia="Times New Roman"/>
          <w:b/>
          <w:bCs/>
          <w:color w:val="000000"/>
          <w:sz w:val="20"/>
          <w:szCs w:val="20"/>
        </w:rPr>
        <w:t>Notes to Consolidated Financial Statements</w:t>
      </w:r>
    </w:p>
    <w:p w14:paraId="63CC0161" w14:textId="77777777" w:rsidR="00000000" w:rsidRDefault="00C1661D">
      <w:pPr>
        <w:divId w:val="810516235"/>
        <w:rPr>
          <w:rFonts w:eastAsia="Times New Roman"/>
        </w:rPr>
      </w:pPr>
      <w:r>
        <w:rPr>
          <w:rFonts w:eastAsia="Times New Roman"/>
          <w:color w:val="000000"/>
          <w:sz w:val="20"/>
          <w:szCs w:val="20"/>
        </w:rPr>
        <w:t>(Currency in millions, except per share amounts and where indicated otherwise)</w:t>
      </w:r>
    </w:p>
    <w:p w14:paraId="245DDE6D" w14:textId="77777777" w:rsidR="00000000" w:rsidRDefault="00C1661D">
      <w:pPr>
        <w:jc w:val="both"/>
        <w:rPr>
          <w:rFonts w:eastAsia="Times New Roman"/>
        </w:rPr>
      </w:pPr>
    </w:p>
    <w:p w14:paraId="402ABC90" w14:textId="77777777" w:rsidR="00000000" w:rsidRDefault="00C1661D">
      <w:pPr>
        <w:jc w:val="both"/>
        <w:rPr>
          <w:rFonts w:eastAsia="Times New Roman"/>
        </w:rPr>
      </w:pPr>
      <w:r>
        <w:rPr>
          <w:rFonts w:eastAsia="Times New Roman"/>
          <w:color w:val="000000"/>
          <w:sz w:val="20"/>
          <w:szCs w:val="20"/>
        </w:rPr>
        <w:t>The terms of our core market customer contracts are generally considered day-to-day as customers ca</w:t>
      </w:r>
      <w:r>
        <w:rPr>
          <w:rFonts w:eastAsia="Times New Roman"/>
          <w:color w:val="000000"/>
          <w:sz w:val="20"/>
          <w:szCs w:val="20"/>
        </w:rPr>
        <w:t xml:space="preserve">n discontinue service at any time without penalty. Performance obligations are generally satisfied over time as the natural gas or electricity is delivered to customers, at which point the customers simultaneously receive and consume the benefits provided </w:t>
      </w:r>
      <w:r>
        <w:rPr>
          <w:rFonts w:eastAsia="Times New Roman"/>
          <w:color w:val="000000"/>
          <w:sz w:val="20"/>
          <w:szCs w:val="20"/>
        </w:rPr>
        <w:t>by the delivery service and, when applicable, the commodity. Amounts are billed to customers based upon the reading of a customer’s meter, which occurs on a cycle basis throughout each reporting period. An unbilled amount is recorded at the end of each rep</w:t>
      </w:r>
      <w:r>
        <w:rPr>
          <w:rFonts w:eastAsia="Times New Roman"/>
          <w:color w:val="000000"/>
          <w:sz w:val="20"/>
          <w:szCs w:val="20"/>
        </w:rPr>
        <w:t>orting period based upon estimated amounts of natural gas or electricity delivered to customers since the date of the last meter reading. These unbilled estimates consider various factors such as historical customer usage patterns, customer rates and weath</w:t>
      </w:r>
      <w:r>
        <w:rPr>
          <w:rFonts w:eastAsia="Times New Roman"/>
          <w:color w:val="000000"/>
          <w:sz w:val="20"/>
          <w:szCs w:val="20"/>
        </w:rPr>
        <w:t xml:space="preserve">er. </w:t>
      </w:r>
    </w:p>
    <w:p w14:paraId="4290A64C" w14:textId="77777777" w:rsidR="00000000" w:rsidRDefault="00C1661D">
      <w:pPr>
        <w:jc w:val="both"/>
        <w:rPr>
          <w:rFonts w:eastAsia="Times New Roman"/>
        </w:rPr>
      </w:pPr>
    </w:p>
    <w:p w14:paraId="42487E1D" w14:textId="77777777" w:rsidR="00000000" w:rsidRDefault="00C1661D">
      <w:pPr>
        <w:jc w:val="both"/>
        <w:rPr>
          <w:rFonts w:eastAsia="Times New Roman"/>
        </w:rPr>
      </w:pPr>
      <w:r>
        <w:rPr>
          <w:rFonts w:eastAsia="Times New Roman"/>
          <w:color w:val="000000"/>
          <w:sz w:val="20"/>
          <w:szCs w:val="20"/>
        </w:rPr>
        <w:t xml:space="preserve">Utilities has certain fixed-term contracts with large commercial and industrial customers to provide natural gas delivery services at contracted rates and at volumes generally based on the customer’s needs. The performance obligation to provide the </w:t>
      </w:r>
      <w:r>
        <w:rPr>
          <w:rFonts w:eastAsia="Times New Roman"/>
          <w:color w:val="000000"/>
          <w:sz w:val="20"/>
          <w:szCs w:val="20"/>
        </w:rPr>
        <w:t>contracted delivery service for these large commercial and industrial customers is satisfied over time and revenue is generally recognized on a straight-line basis.</w:t>
      </w:r>
    </w:p>
    <w:p w14:paraId="721AE377" w14:textId="77777777" w:rsidR="00000000" w:rsidRDefault="00C1661D">
      <w:pPr>
        <w:jc w:val="both"/>
        <w:rPr>
          <w:rFonts w:eastAsia="Times New Roman"/>
        </w:rPr>
      </w:pPr>
    </w:p>
    <w:p w14:paraId="0C9550A2" w14:textId="77777777" w:rsidR="00000000" w:rsidRDefault="00C1661D">
      <w:pPr>
        <w:jc w:val="both"/>
        <w:divId w:val="913903700"/>
        <w:rPr>
          <w:rFonts w:eastAsia="Times New Roman"/>
        </w:rPr>
      </w:pPr>
      <w:r>
        <w:rPr>
          <w:rFonts w:eastAsia="Times New Roman"/>
          <w:color w:val="000000"/>
          <w:sz w:val="20"/>
          <w:szCs w:val="20"/>
        </w:rPr>
        <w:t>Utilities makes off-system sales whereby natural gas delivered to our system in excess of</w:t>
      </w:r>
      <w:r>
        <w:rPr>
          <w:rFonts w:eastAsia="Times New Roman"/>
          <w:color w:val="000000"/>
          <w:sz w:val="20"/>
          <w:szCs w:val="20"/>
        </w:rPr>
        <w:t xml:space="preserve"> amounts needed to fulfill our distribution system needs is sold to other customers, primarily other distributors of natural gas, based on an agreed-upon price and volume between the Company and the counterparty. Utilities also sells excess natural gas cap</w:t>
      </w:r>
      <w:r>
        <w:rPr>
          <w:rFonts w:eastAsia="Times New Roman"/>
          <w:color w:val="000000"/>
          <w:sz w:val="20"/>
          <w:szCs w:val="20"/>
        </w:rPr>
        <w:t>acity whereby interstate pipeline capacity in excess of amounts needed to meet our customer obligations is sold to other distributors of natural gas based upon an agreed-upon rate. Off-system sales and capacity releases are generally entered into one month</w:t>
      </w:r>
      <w:r>
        <w:rPr>
          <w:rFonts w:eastAsia="Times New Roman"/>
          <w:color w:val="000000"/>
          <w:sz w:val="20"/>
          <w:szCs w:val="20"/>
        </w:rPr>
        <w:t xml:space="preserve"> at a time and comprise the sale of a specific volume of gas or pipeline capacity at a specific delivery point or points over a specific time. As such, performance obligations associated with off-system sales and capacity release customers are satisfied, a</w:t>
      </w:r>
      <w:r>
        <w:rPr>
          <w:rFonts w:eastAsia="Times New Roman"/>
          <w:color w:val="000000"/>
          <w:sz w:val="20"/>
          <w:szCs w:val="20"/>
        </w:rPr>
        <w:t xml:space="preserve">nd associated revenue is recorded, when the agreed upon volume of natural gas is delivered or capacity is provided, and title is transferred, in accordance with the contract terms. </w:t>
      </w:r>
    </w:p>
    <w:p w14:paraId="574308D4" w14:textId="77777777" w:rsidR="00000000" w:rsidRDefault="00C1661D">
      <w:pPr>
        <w:jc w:val="both"/>
        <w:divId w:val="1874725801"/>
        <w:rPr>
          <w:rFonts w:eastAsia="Times New Roman"/>
        </w:rPr>
      </w:pPr>
      <w:r>
        <w:rPr>
          <w:rFonts w:eastAsia="Times New Roman"/>
          <w:color w:val="000000"/>
          <w:sz w:val="20"/>
          <w:szCs w:val="20"/>
        </w:rPr>
        <w:t xml:space="preserve">Electric Utility provides transmission services to PJM by allowing PJM to </w:t>
      </w:r>
      <w:r>
        <w:rPr>
          <w:rFonts w:eastAsia="Times New Roman"/>
          <w:color w:val="000000"/>
          <w:sz w:val="20"/>
          <w:szCs w:val="20"/>
        </w:rPr>
        <w:t>access Electric Utility’s electricity transmission facilities. In exchange for providing access, PJM pays Electric Utility consideration determined by a formula-based rate approved by the FERC. The formula-based rate, which is updated annually, allows reco</w:t>
      </w:r>
      <w:r>
        <w:rPr>
          <w:rFonts w:eastAsia="Times New Roman"/>
          <w:color w:val="000000"/>
          <w:sz w:val="20"/>
          <w:szCs w:val="20"/>
        </w:rPr>
        <w:t xml:space="preserve">very of costs incurred to provide transmission services and return on transmission-related net investment. We recognize revenue over time as we provide transmission service. </w:t>
      </w:r>
    </w:p>
    <w:p w14:paraId="41B68CC6" w14:textId="77777777" w:rsidR="00000000" w:rsidRDefault="00C1661D">
      <w:pPr>
        <w:jc w:val="both"/>
        <w:divId w:val="1310674666"/>
        <w:rPr>
          <w:rFonts w:eastAsia="Times New Roman"/>
        </w:rPr>
      </w:pPr>
      <w:r>
        <w:rPr>
          <w:rFonts w:eastAsia="Times New Roman"/>
          <w:color w:val="000000"/>
          <w:sz w:val="20"/>
          <w:szCs w:val="20"/>
        </w:rPr>
        <w:t xml:space="preserve">Other Utility revenues represent revenues from other ancillary services provided </w:t>
      </w:r>
      <w:r>
        <w:rPr>
          <w:rFonts w:eastAsia="Times New Roman"/>
          <w:color w:val="000000"/>
          <w:sz w:val="20"/>
          <w:szCs w:val="20"/>
        </w:rPr>
        <w:t>to customers and are generally recorded as the service is provided to customers.</w:t>
      </w:r>
    </w:p>
    <w:p w14:paraId="13436704" w14:textId="77777777" w:rsidR="00000000" w:rsidRDefault="00C1661D">
      <w:pPr>
        <w:jc w:val="both"/>
        <w:divId w:val="2067877751"/>
        <w:rPr>
          <w:rFonts w:eastAsia="Times New Roman"/>
        </w:rPr>
      </w:pPr>
      <w:r>
        <w:rPr>
          <w:rFonts w:eastAsia="Times New Roman"/>
          <w:b/>
          <w:bCs/>
          <w:color w:val="000000"/>
          <w:sz w:val="20"/>
          <w:szCs w:val="20"/>
          <w:u w:val="single"/>
        </w:rPr>
        <w:t>Non-Utility Revenues</w:t>
      </w:r>
    </w:p>
    <w:p w14:paraId="1BD3CB30" w14:textId="77777777" w:rsidR="00000000" w:rsidRDefault="00C1661D">
      <w:pPr>
        <w:jc w:val="both"/>
        <w:divId w:val="473719541"/>
        <w:rPr>
          <w:rFonts w:eastAsia="Times New Roman"/>
        </w:rPr>
      </w:pPr>
      <w:r>
        <w:rPr>
          <w:rFonts w:eastAsia="Times New Roman"/>
          <w:color w:val="000000"/>
          <w:sz w:val="20"/>
          <w:szCs w:val="20"/>
          <w:u w:val="single"/>
        </w:rPr>
        <w:t>LPG</w:t>
      </w:r>
      <w:r>
        <w:rPr>
          <w:rFonts w:eastAsia="Times New Roman"/>
          <w:color w:val="000000"/>
          <w:sz w:val="20"/>
          <w:szCs w:val="20"/>
        </w:rPr>
        <w:t>. AmeriGas Propane and UGI International record revenue principally from the sale of LPG to retail and wholesale customers. The primary performance obl</w:t>
      </w:r>
      <w:r>
        <w:rPr>
          <w:rFonts w:eastAsia="Times New Roman"/>
          <w:color w:val="000000"/>
          <w:sz w:val="20"/>
          <w:szCs w:val="20"/>
        </w:rPr>
        <w:t>igation associated with the sale of LPG is the delivery of LPG to (1) the customer’s point of delivery for retail customers and (2) the customer’s specified location where LPG is picked up by wholesale customers, at which point control of the LPG is transf</w:t>
      </w:r>
      <w:r>
        <w:rPr>
          <w:rFonts w:eastAsia="Times New Roman"/>
          <w:color w:val="000000"/>
          <w:sz w:val="20"/>
          <w:szCs w:val="20"/>
        </w:rPr>
        <w:t>erred to the customer, the performance obligation is satisfied, and the associated revenue is recognized. For contracts with retail customers that consume LPG from a metered tank, we recognize revenue as LPG is consumed, at which point we have the right to</w:t>
      </w:r>
      <w:r>
        <w:rPr>
          <w:rFonts w:eastAsia="Times New Roman"/>
          <w:color w:val="000000"/>
          <w:sz w:val="20"/>
          <w:szCs w:val="20"/>
        </w:rPr>
        <w:t xml:space="preserve"> invoice, and generally invoice monthly based on consumption. </w:t>
      </w:r>
    </w:p>
    <w:p w14:paraId="2726B5E6" w14:textId="77777777" w:rsidR="00000000" w:rsidRDefault="00C1661D">
      <w:pPr>
        <w:jc w:val="both"/>
        <w:divId w:val="2104832579"/>
        <w:rPr>
          <w:rFonts w:eastAsia="Times New Roman"/>
        </w:rPr>
      </w:pPr>
      <w:r>
        <w:rPr>
          <w:rFonts w:eastAsia="Times New Roman"/>
          <w:color w:val="000000"/>
          <w:sz w:val="20"/>
          <w:szCs w:val="20"/>
        </w:rPr>
        <w:t>Contracts with customers comprise different types of contracts with varying length terms, fixed or variable prices, and fixed or variable quantities. Contracts with our residential customers, w</w:t>
      </w:r>
      <w:r>
        <w:rPr>
          <w:rFonts w:eastAsia="Times New Roman"/>
          <w:color w:val="000000"/>
          <w:sz w:val="20"/>
          <w:szCs w:val="20"/>
        </w:rPr>
        <w:t>hich comprise a substantial number of our customer contracts, are generally one year or less. Customer contracts for the sale of LPG include fixed-price, fixed-quantity contracts under which LPG is provided to customers at a fixed price and a fixed volume,</w:t>
      </w:r>
      <w:r>
        <w:rPr>
          <w:rFonts w:eastAsia="Times New Roman"/>
          <w:color w:val="000000"/>
          <w:sz w:val="20"/>
          <w:szCs w:val="20"/>
        </w:rPr>
        <w:t xml:space="preserve"> and contracts that provide for the sale of LPG at market prices at date of delivery with no fixed volumes. AmeriGas Propane offers contracts that permit customers to lock in a fixed price for their volumes for a fee and also provide customers with the opt</w:t>
      </w:r>
      <w:r>
        <w:rPr>
          <w:rFonts w:eastAsia="Times New Roman"/>
          <w:color w:val="000000"/>
          <w:sz w:val="20"/>
          <w:szCs w:val="20"/>
        </w:rPr>
        <w:t>ion to pre-buy a fixed amount of LPG at a fixed price. Amounts received under pre-buy arrangements are recorded as a contract liability when received and recorded as revenue when LPG is delivered and control is transferred to the customer. Fee revenue asso</w:t>
      </w:r>
      <w:r>
        <w:rPr>
          <w:rFonts w:eastAsia="Times New Roman"/>
          <w:color w:val="000000"/>
          <w:sz w:val="20"/>
          <w:szCs w:val="20"/>
        </w:rPr>
        <w:t>ciated with fixed-price contracts are recorded as contract liabilities and recorded ratably over the contract period.</w:t>
      </w:r>
    </w:p>
    <w:p w14:paraId="131CFAA5" w14:textId="77777777" w:rsidR="00000000" w:rsidRDefault="00C1661D">
      <w:pPr>
        <w:jc w:val="both"/>
        <w:divId w:val="1240091639"/>
        <w:rPr>
          <w:rFonts w:eastAsia="Times New Roman"/>
        </w:rPr>
      </w:pPr>
      <w:r>
        <w:rPr>
          <w:rFonts w:eastAsia="Times New Roman"/>
          <w:color w:val="000000"/>
          <w:sz w:val="20"/>
          <w:szCs w:val="20"/>
        </w:rPr>
        <w:t>AmeriGas Propane and UGI International also distribute LPG to customers in portable cylinders. Under certain contracts, filled cylinders a</w:t>
      </w:r>
      <w:r>
        <w:rPr>
          <w:rFonts w:eastAsia="Times New Roman"/>
          <w:color w:val="000000"/>
          <w:sz w:val="20"/>
          <w:szCs w:val="20"/>
        </w:rPr>
        <w:t>re delivered, and control is transferred, to a reseller. In such instances, the reseller is our customer and we record revenue upon delivery to the reseller. Under other contracts, filled cylinders are delivered to a reseller, but the Company retains contr</w:t>
      </w:r>
      <w:r>
        <w:rPr>
          <w:rFonts w:eastAsia="Times New Roman"/>
          <w:color w:val="000000"/>
          <w:sz w:val="20"/>
          <w:szCs w:val="20"/>
        </w:rPr>
        <w:t xml:space="preserve">ol of the cylinders. In such instances, we record revenue at the time the reseller transfers control of the cylinder to the end user. </w:t>
      </w:r>
    </w:p>
    <w:p w14:paraId="59C8475C" w14:textId="77777777" w:rsidR="00000000" w:rsidRDefault="00C1661D">
      <w:pPr>
        <w:jc w:val="center"/>
        <w:divId w:val="1732803711"/>
        <w:rPr>
          <w:rFonts w:eastAsia="Times New Roman"/>
        </w:rPr>
      </w:pPr>
      <w:r>
        <w:rPr>
          <w:rFonts w:eastAsia="Times New Roman"/>
          <w:color w:val="000000"/>
          <w:sz w:val="20"/>
          <w:szCs w:val="20"/>
        </w:rPr>
        <w:t>F-19</w:t>
      </w:r>
    </w:p>
    <w:p w14:paraId="73666FD5" w14:textId="77777777" w:rsidR="00000000" w:rsidRDefault="00C1661D">
      <w:pPr>
        <w:rPr>
          <w:rFonts w:eastAsia="Times New Roman"/>
        </w:rPr>
      </w:pPr>
      <w:r>
        <w:rPr>
          <w:rFonts w:eastAsia="Times New Roman"/>
        </w:rPr>
        <w:pict w14:anchorId="06BEB83D">
          <v:rect id="_x0000_i1132" style="width:0;height:1.5pt" o:hralign="center" o:hrstd="t" o:hr="t" fillcolor="#a0a0a0" stroked="f"/>
        </w:pict>
      </w:r>
    </w:p>
    <w:p w14:paraId="3BDD2F4C" w14:textId="77777777" w:rsidR="00000000" w:rsidRDefault="00C1661D">
      <w:pPr>
        <w:divId w:val="748113048"/>
        <w:rPr>
          <w:rFonts w:eastAsia="Times New Roman"/>
        </w:rPr>
      </w:pPr>
      <w:hyperlink w:anchor="i3850c3c6c0104e42b9951aac2f16098a_7" w:history="1">
        <w:r>
          <w:rPr>
            <w:rStyle w:val="a3"/>
            <w:rFonts w:eastAsia="Times New Roman"/>
            <w:sz w:val="20"/>
            <w:szCs w:val="20"/>
          </w:rPr>
          <w:t>Table of Contents</w:t>
        </w:r>
      </w:hyperlink>
    </w:p>
    <w:p w14:paraId="2F6C4642" w14:textId="77777777" w:rsidR="00000000" w:rsidRDefault="00C1661D">
      <w:pPr>
        <w:divId w:val="222838149"/>
        <w:rPr>
          <w:rFonts w:eastAsia="Times New Roman"/>
        </w:rPr>
      </w:pPr>
      <w:r>
        <w:rPr>
          <w:rFonts w:eastAsia="Times New Roman"/>
          <w:b/>
          <w:bCs/>
          <w:color w:val="000000"/>
          <w:sz w:val="20"/>
          <w:szCs w:val="20"/>
        </w:rPr>
        <w:t xml:space="preserve">UGI </w:t>
      </w:r>
      <w:r>
        <w:rPr>
          <w:rFonts w:eastAsia="Times New Roman"/>
          <w:b/>
          <w:bCs/>
          <w:color w:val="000000"/>
          <w:sz w:val="20"/>
          <w:szCs w:val="20"/>
        </w:rPr>
        <w:t>Corporation and Subsidiaries</w:t>
      </w:r>
    </w:p>
    <w:p w14:paraId="67D02F09" w14:textId="77777777" w:rsidR="00000000" w:rsidRDefault="00C1661D">
      <w:pPr>
        <w:divId w:val="574097859"/>
        <w:rPr>
          <w:rFonts w:eastAsia="Times New Roman"/>
        </w:rPr>
      </w:pPr>
      <w:r>
        <w:rPr>
          <w:rFonts w:eastAsia="Times New Roman"/>
          <w:b/>
          <w:bCs/>
          <w:color w:val="000000"/>
          <w:sz w:val="20"/>
          <w:szCs w:val="20"/>
        </w:rPr>
        <w:t>Notes to Consolidated Financial Statements</w:t>
      </w:r>
    </w:p>
    <w:p w14:paraId="38A95D0A" w14:textId="77777777" w:rsidR="00000000" w:rsidRDefault="00C1661D">
      <w:pPr>
        <w:divId w:val="305864337"/>
        <w:rPr>
          <w:rFonts w:eastAsia="Times New Roman"/>
        </w:rPr>
      </w:pPr>
      <w:r>
        <w:rPr>
          <w:rFonts w:eastAsia="Times New Roman"/>
          <w:color w:val="000000"/>
          <w:sz w:val="20"/>
          <w:szCs w:val="20"/>
        </w:rPr>
        <w:t>(Currency in millions, except per share amounts and where indicated otherwise)</w:t>
      </w:r>
    </w:p>
    <w:p w14:paraId="54630A45" w14:textId="77777777" w:rsidR="00000000" w:rsidRDefault="00C1661D">
      <w:pPr>
        <w:jc w:val="both"/>
        <w:divId w:val="1881046222"/>
        <w:rPr>
          <w:rFonts w:eastAsia="Times New Roman"/>
        </w:rPr>
      </w:pPr>
      <w:r>
        <w:rPr>
          <w:rFonts w:eastAsia="Times New Roman"/>
          <w:color w:val="000000"/>
          <w:sz w:val="20"/>
          <w:szCs w:val="20"/>
        </w:rPr>
        <w:t>Certain retail LPG customers for AmeriGas Propane receive credits which we account for as variable consideration. We estimate these credits based upon past practices and historical customer experience and we reduce our revenues recognized for these credits</w:t>
      </w:r>
      <w:r>
        <w:rPr>
          <w:rFonts w:eastAsia="Times New Roman"/>
          <w:color w:val="000000"/>
          <w:sz w:val="20"/>
          <w:szCs w:val="20"/>
        </w:rPr>
        <w:t>.</w:t>
      </w:r>
    </w:p>
    <w:p w14:paraId="768DD766" w14:textId="77777777" w:rsidR="00000000" w:rsidRDefault="00C1661D">
      <w:pPr>
        <w:jc w:val="both"/>
        <w:divId w:val="540023398"/>
        <w:rPr>
          <w:rFonts w:eastAsia="Times New Roman"/>
        </w:rPr>
      </w:pPr>
      <w:r>
        <w:rPr>
          <w:rFonts w:eastAsia="Times New Roman"/>
          <w:color w:val="000000"/>
          <w:sz w:val="20"/>
          <w:szCs w:val="20"/>
          <w:u w:val="single"/>
        </w:rPr>
        <w:t>Energy Marketing.</w:t>
      </w:r>
      <w:r>
        <w:rPr>
          <w:rFonts w:eastAsia="Times New Roman"/>
          <w:color w:val="000000"/>
          <w:sz w:val="20"/>
          <w:szCs w:val="20"/>
        </w:rPr>
        <w:t xml:space="preserve"> Midstream &amp; Marketing and UGI International operate energy marketing businesses that sell energy commodities, principally natural gas and electricity, to residential, commercial, industrial and wholesale customers. </w:t>
      </w:r>
    </w:p>
    <w:p w14:paraId="3A8D5832" w14:textId="77777777" w:rsidR="00000000" w:rsidRDefault="00C1661D">
      <w:pPr>
        <w:jc w:val="both"/>
        <w:divId w:val="1072049849"/>
        <w:rPr>
          <w:rFonts w:eastAsia="Times New Roman"/>
        </w:rPr>
      </w:pPr>
      <w:r>
        <w:rPr>
          <w:rFonts w:eastAsia="Times New Roman"/>
          <w:color w:val="000000"/>
          <w:sz w:val="20"/>
          <w:szCs w:val="20"/>
        </w:rPr>
        <w:t>Midstream &amp; Marketin</w:t>
      </w:r>
      <w:r>
        <w:rPr>
          <w:rFonts w:eastAsia="Times New Roman"/>
          <w:color w:val="000000"/>
          <w:sz w:val="20"/>
          <w:szCs w:val="20"/>
        </w:rPr>
        <w:t>g and UGI International market natural gas and electricity on full-requirements or agreed-upon volume bases under contracts with varying length terms and at fixed or floating prices that are based on market indices adjusted for differences in price between</w:t>
      </w:r>
      <w:r>
        <w:rPr>
          <w:rFonts w:eastAsia="Times New Roman"/>
          <w:color w:val="000000"/>
          <w:sz w:val="20"/>
          <w:szCs w:val="20"/>
        </w:rPr>
        <w:t xml:space="preserve"> the market location and delivery locations. Performance obligations associated with these contracts primarily comprise the delivery of the natural gas and electricity over a contractual period of time. Performance obligations also include other energy-rel</w:t>
      </w:r>
      <w:r>
        <w:rPr>
          <w:rFonts w:eastAsia="Times New Roman"/>
          <w:color w:val="000000"/>
          <w:sz w:val="20"/>
          <w:szCs w:val="20"/>
        </w:rPr>
        <w:t>ated ancillary services provided to customers such as capacity. For performance obligations that are satisfied at a point in time such as the delivery of natural gas, revenue is recorded when customers take control of the natural gas. Revenue is recorded f</w:t>
      </w:r>
      <w:r>
        <w:rPr>
          <w:rFonts w:eastAsia="Times New Roman"/>
          <w:color w:val="000000"/>
          <w:sz w:val="20"/>
          <w:szCs w:val="20"/>
        </w:rPr>
        <w:t>or performance obligations that qualify as a series, when customers consume the natural gas or electricity is delivered, which corresponds to the amount invoiced to the customer. For transactions where the price or volume is not fixed, the transaction pric</w:t>
      </w:r>
      <w:r>
        <w:rPr>
          <w:rFonts w:eastAsia="Times New Roman"/>
          <w:color w:val="000000"/>
          <w:sz w:val="20"/>
          <w:szCs w:val="20"/>
        </w:rPr>
        <w:t xml:space="preserve">e is not determined until delivery occurs. The billed amount, and the revenue recorded, is based upon consumption by the customer. </w:t>
      </w:r>
    </w:p>
    <w:p w14:paraId="5B7D3E9E" w14:textId="77777777" w:rsidR="00000000" w:rsidRDefault="00C1661D">
      <w:pPr>
        <w:jc w:val="both"/>
        <w:divId w:val="1966541858"/>
        <w:rPr>
          <w:rFonts w:eastAsia="Times New Roman"/>
        </w:rPr>
      </w:pPr>
      <w:r>
        <w:rPr>
          <w:rFonts w:eastAsia="Times New Roman"/>
          <w:color w:val="000000"/>
          <w:sz w:val="20"/>
          <w:szCs w:val="20"/>
          <w:u w:val="single"/>
        </w:rPr>
        <w:t>Midstream.</w:t>
      </w:r>
      <w:r>
        <w:rPr>
          <w:rFonts w:eastAsia="Times New Roman"/>
          <w:color w:val="000000"/>
          <w:sz w:val="20"/>
          <w:szCs w:val="20"/>
        </w:rPr>
        <w:t xml:space="preserve"> Midstream &amp; Marketing provides natural gas pipeline transportation, natural gas gathering, natural gas processing</w:t>
      </w:r>
      <w:r>
        <w:rPr>
          <w:rFonts w:eastAsia="Times New Roman"/>
          <w:color w:val="000000"/>
          <w:sz w:val="20"/>
          <w:szCs w:val="20"/>
        </w:rPr>
        <w:t xml:space="preserve"> and natural gas underground storage services, which generally contain a performance obligation for the Company to have availability to transport or store a product. Additionally, the Company provides stand-ready services to sell supplemental energy produc</w:t>
      </w:r>
      <w:r>
        <w:rPr>
          <w:rFonts w:eastAsia="Times New Roman"/>
          <w:color w:val="000000"/>
          <w:sz w:val="20"/>
          <w:szCs w:val="20"/>
        </w:rPr>
        <w:t>ts and related services, primarily LNG and propane-air mixtures during periods of high demand that typically result from cold weather. The Company also sells LNG to end-user customers for use by trucks, drilling rigs and other motored vehicles and equipmen</w:t>
      </w:r>
      <w:r>
        <w:rPr>
          <w:rFonts w:eastAsia="Times New Roman"/>
          <w:color w:val="000000"/>
          <w:sz w:val="20"/>
          <w:szCs w:val="20"/>
        </w:rPr>
        <w:t xml:space="preserve">t, and facilities that are located off the natural gas grid. </w:t>
      </w:r>
    </w:p>
    <w:p w14:paraId="6ED82609" w14:textId="77777777" w:rsidR="00000000" w:rsidRDefault="00C1661D">
      <w:pPr>
        <w:jc w:val="both"/>
        <w:divId w:val="1872066812"/>
        <w:rPr>
          <w:rFonts w:eastAsia="Times New Roman"/>
        </w:rPr>
      </w:pPr>
      <w:r>
        <w:rPr>
          <w:rFonts w:eastAsia="Times New Roman"/>
          <w:color w:val="000000"/>
          <w:sz w:val="20"/>
          <w:szCs w:val="20"/>
        </w:rPr>
        <w:t>Contracts for natural gas transportation and gathering services are typically long-term contracts with terms of up to 30 years, while contracts for storage are typically for one-year or multiple storage season periods. Contracts to provide natural gas duri</w:t>
      </w:r>
      <w:r>
        <w:rPr>
          <w:rFonts w:eastAsia="Times New Roman"/>
          <w:color w:val="000000"/>
          <w:sz w:val="20"/>
          <w:szCs w:val="20"/>
        </w:rPr>
        <w:t>ng periods of high demand have terms of up to 15 years. Contracts to sell LNG for trucks, drilling rigs and other motor vehicles and facilities are typically short-term (less than one year). Depending on the type of services provided or goods sold, midstre</w:t>
      </w:r>
      <w:r>
        <w:rPr>
          <w:rFonts w:eastAsia="Times New Roman"/>
          <w:color w:val="000000"/>
          <w:sz w:val="20"/>
          <w:szCs w:val="20"/>
        </w:rPr>
        <w:t>am revenues may consist of demand rates, commodity rates, and transportation rates and may include other fees for ancillary services. Pipeline transportation, natural gas gathering and storage services provided and services to stand ready to sell supplemen</w:t>
      </w:r>
      <w:r>
        <w:rPr>
          <w:rFonts w:eastAsia="Times New Roman"/>
          <w:color w:val="000000"/>
          <w:sz w:val="20"/>
          <w:szCs w:val="20"/>
        </w:rPr>
        <w:t xml:space="preserve">tal energy products and services each are considered to have a single performance obligation satisfied through the passage of time ratably based upon providing a stand-ready service generally on a monthly basis. Contracts to sell LNG to end-user customers </w:t>
      </w:r>
      <w:r>
        <w:rPr>
          <w:rFonts w:eastAsia="Times New Roman"/>
          <w:color w:val="000000"/>
          <w:sz w:val="20"/>
          <w:szCs w:val="20"/>
        </w:rPr>
        <w:t>contain performance obligations to deliver LNG over the term of the contract and revenue is recognized at a point in time when the control of the energy products is transferred to the customer. The price in the contract corresponds to our efforts to satisf</w:t>
      </w:r>
      <w:r>
        <w:rPr>
          <w:rFonts w:eastAsia="Times New Roman"/>
          <w:color w:val="000000"/>
          <w:sz w:val="20"/>
          <w:szCs w:val="20"/>
        </w:rPr>
        <w:t>y the performance obligation and reflects the consideration we expect to receive for the satisfied performance obligation, and, therefore, the revenue is recognized based on the volume delivered and the price within the contract. In cases where shipping an</w:t>
      </w:r>
      <w:r>
        <w:rPr>
          <w:rFonts w:eastAsia="Times New Roman"/>
          <w:color w:val="000000"/>
          <w:sz w:val="20"/>
          <w:szCs w:val="20"/>
        </w:rPr>
        <w:t xml:space="preserve">d handling occurs prior to the LNG being delivered to the customer’s storage vessel, we have elected to treat this as a cost of fulfillment and not a separate performance obligation. Revenues are typically billed and payment received monthly. Advance fees </w:t>
      </w:r>
      <w:r>
        <w:rPr>
          <w:rFonts w:eastAsia="Times New Roman"/>
          <w:color w:val="000000"/>
          <w:sz w:val="20"/>
          <w:szCs w:val="20"/>
        </w:rPr>
        <w:t xml:space="preserve">received from customers for stand-ready services are deferred as contract liabilities and revenue is recognized ratably over time as the performance obligation is satisfied over a period less than one year. </w:t>
      </w:r>
    </w:p>
    <w:p w14:paraId="75382406" w14:textId="77777777" w:rsidR="00000000" w:rsidRDefault="00C1661D">
      <w:pPr>
        <w:jc w:val="both"/>
        <w:divId w:val="231551520"/>
        <w:rPr>
          <w:rFonts w:eastAsia="Times New Roman"/>
        </w:rPr>
      </w:pPr>
      <w:r>
        <w:rPr>
          <w:rFonts w:eastAsia="Times New Roman"/>
          <w:color w:val="000000"/>
          <w:sz w:val="20"/>
          <w:szCs w:val="20"/>
          <w:u w:val="single"/>
        </w:rPr>
        <w:t>Electricity Generation.</w:t>
      </w:r>
      <w:r>
        <w:rPr>
          <w:rFonts w:eastAsia="Times New Roman"/>
          <w:color w:val="000000"/>
          <w:sz w:val="20"/>
          <w:szCs w:val="20"/>
        </w:rPr>
        <w:t xml:space="preserve"> Midstream &amp; Marketing se</w:t>
      </w:r>
      <w:r>
        <w:rPr>
          <w:rFonts w:eastAsia="Times New Roman"/>
          <w:color w:val="000000"/>
          <w:sz w:val="20"/>
          <w:szCs w:val="20"/>
        </w:rPr>
        <w:t>lls power generated from electricity generation assets in the wholesale electricity markets administered by PJM regional transmission organization. Power contracts with PJM consist of the sale of power, capacity and ancillary services, all of which are con</w:t>
      </w:r>
      <w:r>
        <w:rPr>
          <w:rFonts w:eastAsia="Times New Roman"/>
          <w:color w:val="000000"/>
          <w:sz w:val="20"/>
          <w:szCs w:val="20"/>
        </w:rPr>
        <w:t>sidered a bundle of various services. Performance obligations are satisfied over time, generally on a daily basis, as electricity is delivered to and simultaneously consumed by the customer. As such, the Company has elected to recognize revenue in the amou</w:t>
      </w:r>
      <w:r>
        <w:rPr>
          <w:rFonts w:eastAsia="Times New Roman"/>
          <w:color w:val="000000"/>
          <w:sz w:val="20"/>
          <w:szCs w:val="20"/>
        </w:rPr>
        <w:t>nt to which we have a right to invoice which is based on market prices at the time of the delivery of the electricity to the customers.</w:t>
      </w:r>
    </w:p>
    <w:p w14:paraId="05CAE4A8" w14:textId="77777777" w:rsidR="00000000" w:rsidRDefault="00C1661D">
      <w:pPr>
        <w:jc w:val="both"/>
        <w:divId w:val="2111390600"/>
        <w:rPr>
          <w:rFonts w:eastAsia="Times New Roman"/>
        </w:rPr>
      </w:pPr>
      <w:r>
        <w:rPr>
          <w:rFonts w:eastAsia="Times New Roman"/>
          <w:color w:val="000000"/>
          <w:sz w:val="20"/>
          <w:szCs w:val="20"/>
          <w:u w:val="single"/>
        </w:rPr>
        <w:t>Other.</w:t>
      </w:r>
      <w:r>
        <w:rPr>
          <w:rFonts w:eastAsia="Times New Roman"/>
          <w:color w:val="000000"/>
          <w:sz w:val="20"/>
          <w:szCs w:val="20"/>
        </w:rPr>
        <w:t xml:space="preserve"> Other revenues from contracts with customers are generated primarily from services and products provided by Midst</w:t>
      </w:r>
      <w:r>
        <w:rPr>
          <w:rFonts w:eastAsia="Times New Roman"/>
          <w:color w:val="000000"/>
          <w:sz w:val="20"/>
          <w:szCs w:val="20"/>
        </w:rPr>
        <w:t>ream &amp; Marketing’s HVAC business, prior to its sale in September 2020, and AmeriGas Propane’s parts and services business. The performance obligations of these businesses include installation, repair and warranty agreements associated with HVAC equipment a</w:t>
      </w:r>
      <w:r>
        <w:rPr>
          <w:rFonts w:eastAsia="Times New Roman"/>
          <w:color w:val="000000"/>
          <w:sz w:val="20"/>
          <w:szCs w:val="20"/>
        </w:rPr>
        <w:t>nd installation services provided for combined heat and power and solar panel installations. For installation and repair goods and services, the performance obligations under these contracts are satisfied, and revenue is recognized, as control of the produ</w:t>
      </w:r>
      <w:r>
        <w:rPr>
          <w:rFonts w:eastAsia="Times New Roman"/>
          <w:color w:val="000000"/>
          <w:sz w:val="20"/>
          <w:szCs w:val="20"/>
        </w:rPr>
        <w:t>ct is transferred or the services are rendered. For warranty services, revenue is recorded ratably over the warranty period. Other LPG revenues from contracts with customers are generated primarily from certain fees AmeriGas Propane and UGI International c</w:t>
      </w:r>
      <w:r>
        <w:rPr>
          <w:rFonts w:eastAsia="Times New Roman"/>
          <w:color w:val="000000"/>
          <w:sz w:val="20"/>
          <w:szCs w:val="20"/>
        </w:rPr>
        <w:t xml:space="preserve">harge associated with the delivery of LPG, including hazmat safety compliance, inspection, </w:t>
      </w:r>
    </w:p>
    <w:p w14:paraId="53B2B8DA" w14:textId="77777777" w:rsidR="00000000" w:rsidRDefault="00C1661D">
      <w:pPr>
        <w:jc w:val="center"/>
        <w:divId w:val="1655406283"/>
        <w:rPr>
          <w:rFonts w:eastAsia="Times New Roman"/>
        </w:rPr>
      </w:pPr>
      <w:r>
        <w:rPr>
          <w:rFonts w:eastAsia="Times New Roman"/>
          <w:color w:val="000000"/>
          <w:sz w:val="20"/>
          <w:szCs w:val="20"/>
        </w:rPr>
        <w:t>F-20</w:t>
      </w:r>
    </w:p>
    <w:p w14:paraId="0A6A6967" w14:textId="77777777" w:rsidR="00000000" w:rsidRDefault="00C1661D">
      <w:pPr>
        <w:rPr>
          <w:rFonts w:eastAsia="Times New Roman"/>
        </w:rPr>
      </w:pPr>
      <w:r>
        <w:rPr>
          <w:rFonts w:eastAsia="Times New Roman"/>
        </w:rPr>
        <w:pict w14:anchorId="5DAEAEF6">
          <v:rect id="_x0000_i1133" style="width:0;height:1.5pt" o:hralign="center" o:hrstd="t" o:hr="t" fillcolor="#a0a0a0" stroked="f"/>
        </w:pict>
      </w:r>
    </w:p>
    <w:p w14:paraId="2F5A3E9B" w14:textId="77777777" w:rsidR="00000000" w:rsidRDefault="00C1661D">
      <w:pPr>
        <w:divId w:val="1110517097"/>
        <w:rPr>
          <w:rFonts w:eastAsia="Times New Roman"/>
        </w:rPr>
      </w:pPr>
      <w:hyperlink w:anchor="i3850c3c6c0104e42b9951aac2f16098a_7" w:history="1">
        <w:r>
          <w:rPr>
            <w:rStyle w:val="a3"/>
            <w:rFonts w:eastAsia="Times New Roman"/>
            <w:sz w:val="20"/>
            <w:szCs w:val="20"/>
          </w:rPr>
          <w:t>Table of Contents</w:t>
        </w:r>
      </w:hyperlink>
    </w:p>
    <w:p w14:paraId="34207DE7" w14:textId="77777777" w:rsidR="00000000" w:rsidRDefault="00C1661D">
      <w:pPr>
        <w:divId w:val="1300114687"/>
        <w:rPr>
          <w:rFonts w:eastAsia="Times New Roman"/>
        </w:rPr>
      </w:pPr>
      <w:r>
        <w:rPr>
          <w:rFonts w:eastAsia="Times New Roman"/>
          <w:b/>
          <w:bCs/>
          <w:color w:val="000000"/>
          <w:sz w:val="20"/>
          <w:szCs w:val="20"/>
        </w:rPr>
        <w:t>UGI Corporation and Subsidiaries</w:t>
      </w:r>
    </w:p>
    <w:p w14:paraId="5D8AC63B" w14:textId="77777777" w:rsidR="00000000" w:rsidRDefault="00C1661D">
      <w:pPr>
        <w:divId w:val="1339384328"/>
        <w:rPr>
          <w:rFonts w:eastAsia="Times New Roman"/>
        </w:rPr>
      </w:pPr>
      <w:r>
        <w:rPr>
          <w:rFonts w:eastAsia="Times New Roman"/>
          <w:b/>
          <w:bCs/>
          <w:color w:val="000000"/>
          <w:sz w:val="20"/>
          <w:szCs w:val="20"/>
        </w:rPr>
        <w:t>Notes to Cons</w:t>
      </w:r>
      <w:r>
        <w:rPr>
          <w:rFonts w:eastAsia="Times New Roman"/>
          <w:b/>
          <w:bCs/>
          <w:color w:val="000000"/>
          <w:sz w:val="20"/>
          <w:szCs w:val="20"/>
        </w:rPr>
        <w:t>olidated Financial Statements</w:t>
      </w:r>
    </w:p>
    <w:p w14:paraId="2FE3B1EE" w14:textId="77777777" w:rsidR="00000000" w:rsidRDefault="00C1661D">
      <w:pPr>
        <w:divId w:val="1962685376"/>
        <w:rPr>
          <w:rFonts w:eastAsia="Times New Roman"/>
        </w:rPr>
      </w:pPr>
      <w:r>
        <w:rPr>
          <w:rFonts w:eastAsia="Times New Roman"/>
          <w:color w:val="000000"/>
          <w:sz w:val="20"/>
          <w:szCs w:val="20"/>
        </w:rPr>
        <w:t>(Currency in millions, except per share amounts and where indicated otherwise)</w:t>
      </w:r>
    </w:p>
    <w:p w14:paraId="4D2DD1E6" w14:textId="77777777" w:rsidR="00000000" w:rsidRDefault="00C1661D">
      <w:pPr>
        <w:jc w:val="both"/>
        <w:divId w:val="757601117"/>
        <w:rPr>
          <w:rFonts w:eastAsia="Times New Roman"/>
        </w:rPr>
      </w:pPr>
      <w:r>
        <w:rPr>
          <w:rFonts w:eastAsia="Times New Roman"/>
          <w:color w:val="000000"/>
          <w:sz w:val="20"/>
          <w:szCs w:val="20"/>
        </w:rPr>
        <w:t>metering, installation, fuel recovery and certain other services. Revenues from fees are typically recorded when the LPG is delivered to the custom</w:t>
      </w:r>
      <w:r>
        <w:rPr>
          <w:rFonts w:eastAsia="Times New Roman"/>
          <w:color w:val="000000"/>
          <w:sz w:val="20"/>
          <w:szCs w:val="20"/>
        </w:rPr>
        <w:t xml:space="preserve">er or the associated service is completed. </w:t>
      </w:r>
    </w:p>
    <w:p w14:paraId="71DA479B" w14:textId="77777777" w:rsidR="00000000" w:rsidRDefault="00C1661D">
      <w:pPr>
        <w:jc w:val="both"/>
        <w:divId w:val="1745446788"/>
        <w:rPr>
          <w:rFonts w:eastAsia="Times New Roman"/>
        </w:rPr>
      </w:pPr>
      <w:r>
        <w:rPr>
          <w:rFonts w:eastAsia="Times New Roman"/>
          <w:b/>
          <w:bCs/>
          <w:color w:val="000000"/>
          <w:sz w:val="20"/>
          <w:szCs w:val="20"/>
        </w:rPr>
        <w:t>Revenue Disaggregation</w:t>
      </w:r>
    </w:p>
    <w:p w14:paraId="5DFA0A74" w14:textId="77777777" w:rsidR="00000000" w:rsidRDefault="00C1661D">
      <w:pPr>
        <w:jc w:val="both"/>
        <w:divId w:val="1686977335"/>
        <w:rPr>
          <w:rFonts w:eastAsia="Times New Roman"/>
        </w:rPr>
      </w:pPr>
      <w:r>
        <w:rPr>
          <w:rFonts w:eastAsia="Times New Roman"/>
          <w:color w:val="000000"/>
          <w:sz w:val="20"/>
          <w:szCs w:val="20"/>
        </w:rPr>
        <w:t>The following tables present our disaggregated revenues by reportable segment during Fiscal 2022, Fiscal 2021 and Fiscal 2020:</w:t>
      </w:r>
    </w:p>
    <w:tbl>
      <w:tblPr>
        <w:tblW w:w="4985" w:type="pct"/>
        <w:tblCellMar>
          <w:top w:w="15" w:type="dxa"/>
          <w:left w:w="15" w:type="dxa"/>
          <w:bottom w:w="15" w:type="dxa"/>
          <w:right w:w="15" w:type="dxa"/>
        </w:tblCellMar>
        <w:tblLook w:val="04A0" w:firstRow="1" w:lastRow="0" w:firstColumn="1" w:lastColumn="0" w:noHBand="0" w:noVBand="1"/>
      </w:tblPr>
      <w:tblGrid>
        <w:gridCol w:w="40"/>
        <w:gridCol w:w="2008"/>
        <w:gridCol w:w="38"/>
        <w:gridCol w:w="36"/>
        <w:gridCol w:w="36"/>
        <w:gridCol w:w="36"/>
        <w:gridCol w:w="100"/>
        <w:gridCol w:w="480"/>
        <w:gridCol w:w="36"/>
        <w:gridCol w:w="36"/>
        <w:gridCol w:w="36"/>
        <w:gridCol w:w="36"/>
        <w:gridCol w:w="101"/>
        <w:gridCol w:w="801"/>
        <w:gridCol w:w="36"/>
        <w:gridCol w:w="36"/>
        <w:gridCol w:w="36"/>
        <w:gridCol w:w="36"/>
        <w:gridCol w:w="101"/>
        <w:gridCol w:w="647"/>
        <w:gridCol w:w="36"/>
        <w:gridCol w:w="36"/>
        <w:gridCol w:w="36"/>
        <w:gridCol w:w="36"/>
        <w:gridCol w:w="101"/>
        <w:gridCol w:w="758"/>
        <w:gridCol w:w="36"/>
        <w:gridCol w:w="36"/>
        <w:gridCol w:w="36"/>
        <w:gridCol w:w="36"/>
        <w:gridCol w:w="101"/>
        <w:gridCol w:w="684"/>
        <w:gridCol w:w="36"/>
        <w:gridCol w:w="36"/>
        <w:gridCol w:w="36"/>
        <w:gridCol w:w="36"/>
        <w:gridCol w:w="101"/>
        <w:gridCol w:w="483"/>
        <w:gridCol w:w="36"/>
        <w:gridCol w:w="36"/>
        <w:gridCol w:w="36"/>
        <w:gridCol w:w="36"/>
        <w:gridCol w:w="101"/>
        <w:gridCol w:w="628"/>
        <w:gridCol w:w="36"/>
      </w:tblGrid>
      <w:tr w:rsidR="00000000" w14:paraId="2193F62D" w14:textId="77777777">
        <w:trPr>
          <w:divId w:val="1686977335"/>
        </w:trPr>
        <w:tc>
          <w:tcPr>
            <w:tcW w:w="50" w:type="pct"/>
            <w:vAlign w:val="center"/>
            <w:hideMark/>
          </w:tcPr>
          <w:p w14:paraId="5C6FFBCD" w14:textId="77777777" w:rsidR="00000000" w:rsidRDefault="00C1661D">
            <w:pPr>
              <w:jc w:val="both"/>
              <w:rPr>
                <w:rFonts w:eastAsia="Times New Roman"/>
              </w:rPr>
            </w:pPr>
          </w:p>
        </w:tc>
        <w:tc>
          <w:tcPr>
            <w:tcW w:w="1389" w:type="pct"/>
            <w:vAlign w:val="center"/>
            <w:hideMark/>
          </w:tcPr>
          <w:p w14:paraId="4F1BC462" w14:textId="77777777" w:rsidR="00000000" w:rsidRDefault="00C1661D">
            <w:pPr>
              <w:spacing w:after="100"/>
              <w:rPr>
                <w:rFonts w:eastAsia="Times New Roman"/>
                <w:sz w:val="20"/>
                <w:szCs w:val="20"/>
              </w:rPr>
            </w:pPr>
          </w:p>
        </w:tc>
        <w:tc>
          <w:tcPr>
            <w:tcW w:w="5" w:type="pct"/>
            <w:vAlign w:val="center"/>
            <w:hideMark/>
          </w:tcPr>
          <w:p w14:paraId="7749C66E" w14:textId="77777777" w:rsidR="00000000" w:rsidRDefault="00C1661D">
            <w:pPr>
              <w:spacing w:after="100"/>
              <w:rPr>
                <w:rFonts w:eastAsia="Times New Roman"/>
                <w:sz w:val="20"/>
                <w:szCs w:val="20"/>
              </w:rPr>
            </w:pPr>
          </w:p>
        </w:tc>
        <w:tc>
          <w:tcPr>
            <w:tcW w:w="5" w:type="pct"/>
            <w:vAlign w:val="center"/>
            <w:hideMark/>
          </w:tcPr>
          <w:p w14:paraId="644E5A34" w14:textId="77777777" w:rsidR="00000000" w:rsidRDefault="00C1661D">
            <w:pPr>
              <w:spacing w:after="100"/>
              <w:rPr>
                <w:rFonts w:eastAsia="Times New Roman"/>
                <w:sz w:val="20"/>
                <w:szCs w:val="20"/>
              </w:rPr>
            </w:pPr>
          </w:p>
        </w:tc>
        <w:tc>
          <w:tcPr>
            <w:tcW w:w="41" w:type="pct"/>
            <w:vAlign w:val="center"/>
            <w:hideMark/>
          </w:tcPr>
          <w:p w14:paraId="2CE75AA1" w14:textId="77777777" w:rsidR="00000000" w:rsidRDefault="00C1661D">
            <w:pPr>
              <w:spacing w:after="100"/>
              <w:rPr>
                <w:rFonts w:eastAsia="Times New Roman"/>
                <w:sz w:val="20"/>
                <w:szCs w:val="20"/>
              </w:rPr>
            </w:pPr>
          </w:p>
        </w:tc>
        <w:tc>
          <w:tcPr>
            <w:tcW w:w="5" w:type="pct"/>
            <w:vAlign w:val="center"/>
            <w:hideMark/>
          </w:tcPr>
          <w:p w14:paraId="428C8EE1" w14:textId="77777777" w:rsidR="00000000" w:rsidRDefault="00C1661D">
            <w:pPr>
              <w:spacing w:after="100"/>
              <w:rPr>
                <w:rFonts w:eastAsia="Times New Roman"/>
                <w:sz w:val="20"/>
                <w:szCs w:val="20"/>
              </w:rPr>
            </w:pPr>
          </w:p>
        </w:tc>
        <w:tc>
          <w:tcPr>
            <w:tcW w:w="50" w:type="pct"/>
            <w:vAlign w:val="center"/>
            <w:hideMark/>
          </w:tcPr>
          <w:p w14:paraId="25523704" w14:textId="77777777" w:rsidR="00000000" w:rsidRDefault="00C1661D">
            <w:pPr>
              <w:spacing w:after="100"/>
              <w:rPr>
                <w:rFonts w:eastAsia="Times New Roman"/>
                <w:sz w:val="20"/>
                <w:szCs w:val="20"/>
              </w:rPr>
            </w:pPr>
          </w:p>
        </w:tc>
        <w:tc>
          <w:tcPr>
            <w:tcW w:w="384" w:type="pct"/>
            <w:vAlign w:val="center"/>
            <w:hideMark/>
          </w:tcPr>
          <w:p w14:paraId="5E154FCB" w14:textId="77777777" w:rsidR="00000000" w:rsidRDefault="00C1661D">
            <w:pPr>
              <w:spacing w:after="100"/>
              <w:rPr>
                <w:rFonts w:eastAsia="Times New Roman"/>
                <w:sz w:val="20"/>
                <w:szCs w:val="20"/>
              </w:rPr>
            </w:pPr>
          </w:p>
        </w:tc>
        <w:tc>
          <w:tcPr>
            <w:tcW w:w="5" w:type="pct"/>
            <w:vAlign w:val="center"/>
            <w:hideMark/>
          </w:tcPr>
          <w:p w14:paraId="72A3198D" w14:textId="77777777" w:rsidR="00000000" w:rsidRDefault="00C1661D">
            <w:pPr>
              <w:spacing w:after="100"/>
              <w:rPr>
                <w:rFonts w:eastAsia="Times New Roman"/>
                <w:sz w:val="20"/>
                <w:szCs w:val="20"/>
              </w:rPr>
            </w:pPr>
          </w:p>
        </w:tc>
        <w:tc>
          <w:tcPr>
            <w:tcW w:w="5" w:type="pct"/>
            <w:vAlign w:val="center"/>
            <w:hideMark/>
          </w:tcPr>
          <w:p w14:paraId="76182B42" w14:textId="77777777" w:rsidR="00000000" w:rsidRDefault="00C1661D">
            <w:pPr>
              <w:spacing w:after="100"/>
              <w:rPr>
                <w:rFonts w:eastAsia="Times New Roman"/>
                <w:sz w:val="20"/>
                <w:szCs w:val="20"/>
              </w:rPr>
            </w:pPr>
          </w:p>
        </w:tc>
        <w:tc>
          <w:tcPr>
            <w:tcW w:w="41" w:type="pct"/>
            <w:vAlign w:val="center"/>
            <w:hideMark/>
          </w:tcPr>
          <w:p w14:paraId="184078B1" w14:textId="77777777" w:rsidR="00000000" w:rsidRDefault="00C1661D">
            <w:pPr>
              <w:spacing w:after="100"/>
              <w:rPr>
                <w:rFonts w:eastAsia="Times New Roman"/>
                <w:sz w:val="20"/>
                <w:szCs w:val="20"/>
              </w:rPr>
            </w:pPr>
          </w:p>
        </w:tc>
        <w:tc>
          <w:tcPr>
            <w:tcW w:w="5" w:type="pct"/>
            <w:vAlign w:val="center"/>
            <w:hideMark/>
          </w:tcPr>
          <w:p w14:paraId="7C62DF8F" w14:textId="77777777" w:rsidR="00000000" w:rsidRDefault="00C1661D">
            <w:pPr>
              <w:spacing w:after="100"/>
              <w:rPr>
                <w:rFonts w:eastAsia="Times New Roman"/>
                <w:sz w:val="20"/>
                <w:szCs w:val="20"/>
              </w:rPr>
            </w:pPr>
          </w:p>
        </w:tc>
        <w:tc>
          <w:tcPr>
            <w:tcW w:w="50" w:type="pct"/>
            <w:vAlign w:val="center"/>
            <w:hideMark/>
          </w:tcPr>
          <w:p w14:paraId="7827792A" w14:textId="77777777" w:rsidR="00000000" w:rsidRDefault="00C1661D">
            <w:pPr>
              <w:spacing w:after="100"/>
              <w:rPr>
                <w:rFonts w:eastAsia="Times New Roman"/>
                <w:sz w:val="20"/>
                <w:szCs w:val="20"/>
              </w:rPr>
            </w:pPr>
          </w:p>
        </w:tc>
        <w:tc>
          <w:tcPr>
            <w:tcW w:w="450" w:type="pct"/>
            <w:vAlign w:val="center"/>
            <w:hideMark/>
          </w:tcPr>
          <w:p w14:paraId="1D604927" w14:textId="77777777" w:rsidR="00000000" w:rsidRDefault="00C1661D">
            <w:pPr>
              <w:spacing w:after="100"/>
              <w:rPr>
                <w:rFonts w:eastAsia="Times New Roman"/>
                <w:sz w:val="20"/>
                <w:szCs w:val="20"/>
              </w:rPr>
            </w:pPr>
          </w:p>
        </w:tc>
        <w:tc>
          <w:tcPr>
            <w:tcW w:w="5" w:type="pct"/>
            <w:vAlign w:val="center"/>
            <w:hideMark/>
          </w:tcPr>
          <w:p w14:paraId="11E3319E" w14:textId="77777777" w:rsidR="00000000" w:rsidRDefault="00C1661D">
            <w:pPr>
              <w:spacing w:after="100"/>
              <w:rPr>
                <w:rFonts w:eastAsia="Times New Roman"/>
                <w:sz w:val="20"/>
                <w:szCs w:val="20"/>
              </w:rPr>
            </w:pPr>
          </w:p>
        </w:tc>
        <w:tc>
          <w:tcPr>
            <w:tcW w:w="5" w:type="pct"/>
            <w:vAlign w:val="center"/>
            <w:hideMark/>
          </w:tcPr>
          <w:p w14:paraId="53F322B5" w14:textId="77777777" w:rsidR="00000000" w:rsidRDefault="00C1661D">
            <w:pPr>
              <w:spacing w:after="100"/>
              <w:rPr>
                <w:rFonts w:eastAsia="Times New Roman"/>
                <w:sz w:val="20"/>
                <w:szCs w:val="20"/>
              </w:rPr>
            </w:pPr>
          </w:p>
        </w:tc>
        <w:tc>
          <w:tcPr>
            <w:tcW w:w="41" w:type="pct"/>
            <w:vAlign w:val="center"/>
            <w:hideMark/>
          </w:tcPr>
          <w:p w14:paraId="31876F51" w14:textId="77777777" w:rsidR="00000000" w:rsidRDefault="00C1661D">
            <w:pPr>
              <w:spacing w:after="100"/>
              <w:rPr>
                <w:rFonts w:eastAsia="Times New Roman"/>
                <w:sz w:val="20"/>
                <w:szCs w:val="20"/>
              </w:rPr>
            </w:pPr>
          </w:p>
        </w:tc>
        <w:tc>
          <w:tcPr>
            <w:tcW w:w="5" w:type="pct"/>
            <w:vAlign w:val="center"/>
            <w:hideMark/>
          </w:tcPr>
          <w:p w14:paraId="33C6500B" w14:textId="77777777" w:rsidR="00000000" w:rsidRDefault="00C1661D">
            <w:pPr>
              <w:spacing w:after="100"/>
              <w:rPr>
                <w:rFonts w:eastAsia="Times New Roman"/>
                <w:sz w:val="20"/>
                <w:szCs w:val="20"/>
              </w:rPr>
            </w:pPr>
          </w:p>
        </w:tc>
        <w:tc>
          <w:tcPr>
            <w:tcW w:w="50" w:type="pct"/>
            <w:vAlign w:val="center"/>
            <w:hideMark/>
          </w:tcPr>
          <w:p w14:paraId="59F972C3" w14:textId="77777777" w:rsidR="00000000" w:rsidRDefault="00C1661D">
            <w:pPr>
              <w:spacing w:after="100"/>
              <w:rPr>
                <w:rFonts w:eastAsia="Times New Roman"/>
                <w:sz w:val="20"/>
                <w:szCs w:val="20"/>
              </w:rPr>
            </w:pPr>
          </w:p>
        </w:tc>
        <w:tc>
          <w:tcPr>
            <w:tcW w:w="392" w:type="pct"/>
            <w:vAlign w:val="center"/>
            <w:hideMark/>
          </w:tcPr>
          <w:p w14:paraId="51B48897" w14:textId="77777777" w:rsidR="00000000" w:rsidRDefault="00C1661D">
            <w:pPr>
              <w:spacing w:after="100"/>
              <w:rPr>
                <w:rFonts w:eastAsia="Times New Roman"/>
                <w:sz w:val="20"/>
                <w:szCs w:val="20"/>
              </w:rPr>
            </w:pPr>
          </w:p>
        </w:tc>
        <w:tc>
          <w:tcPr>
            <w:tcW w:w="5" w:type="pct"/>
            <w:vAlign w:val="center"/>
            <w:hideMark/>
          </w:tcPr>
          <w:p w14:paraId="15E8FC53" w14:textId="77777777" w:rsidR="00000000" w:rsidRDefault="00C1661D">
            <w:pPr>
              <w:spacing w:after="100"/>
              <w:rPr>
                <w:rFonts w:eastAsia="Times New Roman"/>
                <w:sz w:val="20"/>
                <w:szCs w:val="20"/>
              </w:rPr>
            </w:pPr>
          </w:p>
        </w:tc>
        <w:tc>
          <w:tcPr>
            <w:tcW w:w="5" w:type="pct"/>
            <w:vAlign w:val="center"/>
            <w:hideMark/>
          </w:tcPr>
          <w:p w14:paraId="2624AC1C" w14:textId="77777777" w:rsidR="00000000" w:rsidRDefault="00C1661D">
            <w:pPr>
              <w:spacing w:after="100"/>
              <w:rPr>
                <w:rFonts w:eastAsia="Times New Roman"/>
                <w:sz w:val="20"/>
                <w:szCs w:val="20"/>
              </w:rPr>
            </w:pPr>
          </w:p>
        </w:tc>
        <w:tc>
          <w:tcPr>
            <w:tcW w:w="41" w:type="pct"/>
            <w:vAlign w:val="center"/>
            <w:hideMark/>
          </w:tcPr>
          <w:p w14:paraId="67EB6B3C" w14:textId="77777777" w:rsidR="00000000" w:rsidRDefault="00C1661D">
            <w:pPr>
              <w:spacing w:after="100"/>
              <w:rPr>
                <w:rFonts w:eastAsia="Times New Roman"/>
                <w:sz w:val="20"/>
                <w:szCs w:val="20"/>
              </w:rPr>
            </w:pPr>
          </w:p>
        </w:tc>
        <w:tc>
          <w:tcPr>
            <w:tcW w:w="5" w:type="pct"/>
            <w:vAlign w:val="center"/>
            <w:hideMark/>
          </w:tcPr>
          <w:p w14:paraId="4D7DDE6C" w14:textId="77777777" w:rsidR="00000000" w:rsidRDefault="00C1661D">
            <w:pPr>
              <w:spacing w:after="100"/>
              <w:rPr>
                <w:rFonts w:eastAsia="Times New Roman"/>
                <w:sz w:val="20"/>
                <w:szCs w:val="20"/>
              </w:rPr>
            </w:pPr>
          </w:p>
        </w:tc>
        <w:tc>
          <w:tcPr>
            <w:tcW w:w="50" w:type="pct"/>
            <w:vAlign w:val="center"/>
            <w:hideMark/>
          </w:tcPr>
          <w:p w14:paraId="70CAB836" w14:textId="77777777" w:rsidR="00000000" w:rsidRDefault="00C1661D">
            <w:pPr>
              <w:spacing w:after="100"/>
              <w:rPr>
                <w:rFonts w:eastAsia="Times New Roman"/>
                <w:sz w:val="20"/>
                <w:szCs w:val="20"/>
              </w:rPr>
            </w:pPr>
          </w:p>
        </w:tc>
        <w:tc>
          <w:tcPr>
            <w:tcW w:w="421" w:type="pct"/>
            <w:vAlign w:val="center"/>
            <w:hideMark/>
          </w:tcPr>
          <w:p w14:paraId="2C09EDCC" w14:textId="77777777" w:rsidR="00000000" w:rsidRDefault="00C1661D">
            <w:pPr>
              <w:spacing w:after="100"/>
              <w:rPr>
                <w:rFonts w:eastAsia="Times New Roman"/>
                <w:sz w:val="20"/>
                <w:szCs w:val="20"/>
              </w:rPr>
            </w:pPr>
          </w:p>
        </w:tc>
        <w:tc>
          <w:tcPr>
            <w:tcW w:w="5" w:type="pct"/>
            <w:vAlign w:val="center"/>
            <w:hideMark/>
          </w:tcPr>
          <w:p w14:paraId="13F48075" w14:textId="77777777" w:rsidR="00000000" w:rsidRDefault="00C1661D">
            <w:pPr>
              <w:spacing w:after="100"/>
              <w:rPr>
                <w:rFonts w:eastAsia="Times New Roman"/>
                <w:sz w:val="20"/>
                <w:szCs w:val="20"/>
              </w:rPr>
            </w:pPr>
          </w:p>
        </w:tc>
        <w:tc>
          <w:tcPr>
            <w:tcW w:w="5" w:type="pct"/>
            <w:vAlign w:val="center"/>
            <w:hideMark/>
          </w:tcPr>
          <w:p w14:paraId="25F0B7B6" w14:textId="77777777" w:rsidR="00000000" w:rsidRDefault="00C1661D">
            <w:pPr>
              <w:spacing w:after="100"/>
              <w:rPr>
                <w:rFonts w:eastAsia="Times New Roman"/>
                <w:sz w:val="20"/>
                <w:szCs w:val="20"/>
              </w:rPr>
            </w:pPr>
          </w:p>
        </w:tc>
        <w:tc>
          <w:tcPr>
            <w:tcW w:w="41" w:type="pct"/>
            <w:vAlign w:val="center"/>
            <w:hideMark/>
          </w:tcPr>
          <w:p w14:paraId="1EC4853B" w14:textId="77777777" w:rsidR="00000000" w:rsidRDefault="00C1661D">
            <w:pPr>
              <w:spacing w:after="100"/>
              <w:rPr>
                <w:rFonts w:eastAsia="Times New Roman"/>
                <w:sz w:val="20"/>
                <w:szCs w:val="20"/>
              </w:rPr>
            </w:pPr>
          </w:p>
        </w:tc>
        <w:tc>
          <w:tcPr>
            <w:tcW w:w="5" w:type="pct"/>
            <w:vAlign w:val="center"/>
            <w:hideMark/>
          </w:tcPr>
          <w:p w14:paraId="7437E02D" w14:textId="77777777" w:rsidR="00000000" w:rsidRDefault="00C1661D">
            <w:pPr>
              <w:spacing w:after="100"/>
              <w:rPr>
                <w:rFonts w:eastAsia="Times New Roman"/>
                <w:sz w:val="20"/>
                <w:szCs w:val="20"/>
              </w:rPr>
            </w:pPr>
          </w:p>
        </w:tc>
        <w:tc>
          <w:tcPr>
            <w:tcW w:w="50" w:type="pct"/>
            <w:vAlign w:val="center"/>
            <w:hideMark/>
          </w:tcPr>
          <w:p w14:paraId="1EA023F2" w14:textId="77777777" w:rsidR="00000000" w:rsidRDefault="00C1661D">
            <w:pPr>
              <w:spacing w:after="100"/>
              <w:rPr>
                <w:rFonts w:eastAsia="Times New Roman"/>
                <w:sz w:val="20"/>
                <w:szCs w:val="20"/>
              </w:rPr>
            </w:pPr>
          </w:p>
        </w:tc>
        <w:tc>
          <w:tcPr>
            <w:tcW w:w="421" w:type="pct"/>
            <w:vAlign w:val="center"/>
            <w:hideMark/>
          </w:tcPr>
          <w:p w14:paraId="008FCFAA" w14:textId="77777777" w:rsidR="00000000" w:rsidRDefault="00C1661D">
            <w:pPr>
              <w:spacing w:after="100"/>
              <w:rPr>
                <w:rFonts w:eastAsia="Times New Roman"/>
                <w:sz w:val="20"/>
                <w:szCs w:val="20"/>
              </w:rPr>
            </w:pPr>
          </w:p>
        </w:tc>
        <w:tc>
          <w:tcPr>
            <w:tcW w:w="5" w:type="pct"/>
            <w:vAlign w:val="center"/>
            <w:hideMark/>
          </w:tcPr>
          <w:p w14:paraId="281E4A95" w14:textId="77777777" w:rsidR="00000000" w:rsidRDefault="00C1661D">
            <w:pPr>
              <w:spacing w:after="100"/>
              <w:rPr>
                <w:rFonts w:eastAsia="Times New Roman"/>
                <w:sz w:val="20"/>
                <w:szCs w:val="20"/>
              </w:rPr>
            </w:pPr>
          </w:p>
        </w:tc>
        <w:tc>
          <w:tcPr>
            <w:tcW w:w="5" w:type="pct"/>
            <w:vAlign w:val="center"/>
            <w:hideMark/>
          </w:tcPr>
          <w:p w14:paraId="2D1FF4D9" w14:textId="77777777" w:rsidR="00000000" w:rsidRDefault="00C1661D">
            <w:pPr>
              <w:spacing w:after="100"/>
              <w:rPr>
                <w:rFonts w:eastAsia="Times New Roman"/>
                <w:sz w:val="20"/>
                <w:szCs w:val="20"/>
              </w:rPr>
            </w:pPr>
          </w:p>
        </w:tc>
        <w:tc>
          <w:tcPr>
            <w:tcW w:w="41" w:type="pct"/>
            <w:vAlign w:val="center"/>
            <w:hideMark/>
          </w:tcPr>
          <w:p w14:paraId="3E00E915" w14:textId="77777777" w:rsidR="00000000" w:rsidRDefault="00C1661D">
            <w:pPr>
              <w:spacing w:after="100"/>
              <w:rPr>
                <w:rFonts w:eastAsia="Times New Roman"/>
                <w:sz w:val="20"/>
                <w:szCs w:val="20"/>
              </w:rPr>
            </w:pPr>
          </w:p>
        </w:tc>
        <w:tc>
          <w:tcPr>
            <w:tcW w:w="5" w:type="pct"/>
            <w:vAlign w:val="center"/>
            <w:hideMark/>
          </w:tcPr>
          <w:p w14:paraId="43FAAE52" w14:textId="77777777" w:rsidR="00000000" w:rsidRDefault="00C1661D">
            <w:pPr>
              <w:spacing w:after="100"/>
              <w:rPr>
                <w:rFonts w:eastAsia="Times New Roman"/>
                <w:sz w:val="20"/>
                <w:szCs w:val="20"/>
              </w:rPr>
            </w:pPr>
          </w:p>
        </w:tc>
        <w:tc>
          <w:tcPr>
            <w:tcW w:w="50" w:type="pct"/>
            <w:vAlign w:val="center"/>
            <w:hideMark/>
          </w:tcPr>
          <w:p w14:paraId="02FE604D" w14:textId="77777777" w:rsidR="00000000" w:rsidRDefault="00C1661D">
            <w:pPr>
              <w:spacing w:after="100"/>
              <w:rPr>
                <w:rFonts w:eastAsia="Times New Roman"/>
                <w:sz w:val="20"/>
                <w:szCs w:val="20"/>
              </w:rPr>
            </w:pPr>
          </w:p>
        </w:tc>
        <w:tc>
          <w:tcPr>
            <w:tcW w:w="362" w:type="pct"/>
            <w:vAlign w:val="center"/>
            <w:hideMark/>
          </w:tcPr>
          <w:p w14:paraId="73C11BA6" w14:textId="77777777" w:rsidR="00000000" w:rsidRDefault="00C1661D">
            <w:pPr>
              <w:spacing w:after="100"/>
              <w:rPr>
                <w:rFonts w:eastAsia="Times New Roman"/>
                <w:sz w:val="20"/>
                <w:szCs w:val="20"/>
              </w:rPr>
            </w:pPr>
          </w:p>
        </w:tc>
        <w:tc>
          <w:tcPr>
            <w:tcW w:w="5" w:type="pct"/>
            <w:vAlign w:val="center"/>
            <w:hideMark/>
          </w:tcPr>
          <w:p w14:paraId="524E998E" w14:textId="77777777" w:rsidR="00000000" w:rsidRDefault="00C1661D">
            <w:pPr>
              <w:spacing w:after="100"/>
              <w:rPr>
                <w:rFonts w:eastAsia="Times New Roman"/>
                <w:sz w:val="20"/>
                <w:szCs w:val="20"/>
              </w:rPr>
            </w:pPr>
          </w:p>
        </w:tc>
        <w:tc>
          <w:tcPr>
            <w:tcW w:w="5" w:type="pct"/>
            <w:vAlign w:val="center"/>
            <w:hideMark/>
          </w:tcPr>
          <w:p w14:paraId="2C65BCDF" w14:textId="77777777" w:rsidR="00000000" w:rsidRDefault="00C1661D">
            <w:pPr>
              <w:spacing w:after="100"/>
              <w:rPr>
                <w:rFonts w:eastAsia="Times New Roman"/>
                <w:sz w:val="20"/>
                <w:szCs w:val="20"/>
              </w:rPr>
            </w:pPr>
          </w:p>
        </w:tc>
        <w:tc>
          <w:tcPr>
            <w:tcW w:w="41" w:type="pct"/>
            <w:vAlign w:val="center"/>
            <w:hideMark/>
          </w:tcPr>
          <w:p w14:paraId="560B7A25" w14:textId="77777777" w:rsidR="00000000" w:rsidRDefault="00C1661D">
            <w:pPr>
              <w:spacing w:after="100"/>
              <w:rPr>
                <w:rFonts w:eastAsia="Times New Roman"/>
                <w:sz w:val="20"/>
                <w:szCs w:val="20"/>
              </w:rPr>
            </w:pPr>
          </w:p>
        </w:tc>
        <w:tc>
          <w:tcPr>
            <w:tcW w:w="5" w:type="pct"/>
            <w:vAlign w:val="center"/>
            <w:hideMark/>
          </w:tcPr>
          <w:p w14:paraId="1159D40E" w14:textId="77777777" w:rsidR="00000000" w:rsidRDefault="00C1661D">
            <w:pPr>
              <w:spacing w:after="100"/>
              <w:rPr>
                <w:rFonts w:eastAsia="Times New Roman"/>
                <w:sz w:val="20"/>
                <w:szCs w:val="20"/>
              </w:rPr>
            </w:pPr>
          </w:p>
        </w:tc>
        <w:tc>
          <w:tcPr>
            <w:tcW w:w="50" w:type="pct"/>
            <w:vAlign w:val="center"/>
            <w:hideMark/>
          </w:tcPr>
          <w:p w14:paraId="3E28E52B" w14:textId="77777777" w:rsidR="00000000" w:rsidRDefault="00C1661D">
            <w:pPr>
              <w:spacing w:after="100"/>
              <w:rPr>
                <w:rFonts w:eastAsia="Times New Roman"/>
                <w:sz w:val="20"/>
                <w:szCs w:val="20"/>
              </w:rPr>
            </w:pPr>
          </w:p>
        </w:tc>
        <w:tc>
          <w:tcPr>
            <w:tcW w:w="377" w:type="pct"/>
            <w:vAlign w:val="center"/>
            <w:hideMark/>
          </w:tcPr>
          <w:p w14:paraId="41EC726C" w14:textId="77777777" w:rsidR="00000000" w:rsidRDefault="00C1661D">
            <w:pPr>
              <w:spacing w:after="100"/>
              <w:rPr>
                <w:rFonts w:eastAsia="Times New Roman"/>
                <w:sz w:val="20"/>
                <w:szCs w:val="20"/>
              </w:rPr>
            </w:pPr>
          </w:p>
        </w:tc>
        <w:tc>
          <w:tcPr>
            <w:tcW w:w="5" w:type="pct"/>
            <w:vAlign w:val="center"/>
            <w:hideMark/>
          </w:tcPr>
          <w:p w14:paraId="26EE5DDF" w14:textId="77777777" w:rsidR="00000000" w:rsidRDefault="00C1661D">
            <w:pPr>
              <w:spacing w:after="100"/>
              <w:rPr>
                <w:rFonts w:eastAsia="Times New Roman"/>
                <w:sz w:val="20"/>
                <w:szCs w:val="20"/>
              </w:rPr>
            </w:pPr>
          </w:p>
        </w:tc>
      </w:tr>
      <w:tr w:rsidR="00000000" w14:paraId="01825EB4" w14:textId="77777777">
        <w:trPr>
          <w:divId w:val="1686977335"/>
        </w:trPr>
        <w:tc>
          <w:tcPr>
            <w:tcW w:w="0" w:type="auto"/>
            <w:gridSpan w:val="3"/>
            <w:tcMar>
              <w:top w:w="30" w:type="dxa"/>
              <w:left w:w="20" w:type="dxa"/>
              <w:bottom w:w="30" w:type="dxa"/>
              <w:right w:w="20" w:type="dxa"/>
            </w:tcMar>
            <w:vAlign w:val="bottom"/>
            <w:hideMark/>
          </w:tcPr>
          <w:p w14:paraId="4457DEBC" w14:textId="77777777" w:rsidR="00000000" w:rsidRDefault="00C1661D">
            <w:pPr>
              <w:spacing w:after="100"/>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7A08A996"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395ED0C9" w14:textId="77777777" w:rsidR="00000000" w:rsidRDefault="00C1661D">
            <w:pPr>
              <w:spacing w:after="100"/>
              <w:jc w:val="center"/>
              <w:rPr>
                <w:rFonts w:eastAsia="Times New Roman"/>
              </w:rPr>
            </w:pPr>
            <w:r>
              <w:rPr>
                <w:rFonts w:eastAsia="Times New Roman"/>
                <w:color w:val="000000"/>
                <w:sz w:val="16"/>
                <w:szCs w:val="16"/>
              </w:rPr>
              <w:t> </w:t>
            </w: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14:paraId="057C7B13"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38A4965" w14:textId="77777777" w:rsidR="00000000" w:rsidRDefault="00C1661D">
            <w:pPr>
              <w:spacing w:after="100"/>
              <w:jc w:val="center"/>
              <w:rPr>
                <w:rFonts w:eastAsia="Times New Roman"/>
              </w:rPr>
            </w:pPr>
            <w:r>
              <w:rPr>
                <w:rFonts w:eastAsia="Times New Roman"/>
                <w:color w:val="000000"/>
                <w:sz w:val="16"/>
                <w:szCs w:val="16"/>
              </w:rPr>
              <w:t> Eliminations</w:t>
            </w:r>
            <w:r>
              <w:rPr>
                <w:rFonts w:eastAsia="Times New Roman"/>
                <w:color w:val="000000"/>
                <w:sz w:val="16"/>
                <w:szCs w:val="16"/>
              </w:rPr>
              <w:br/>
              <w:t>(a)</w:t>
            </w:r>
          </w:p>
        </w:tc>
        <w:tc>
          <w:tcPr>
            <w:tcW w:w="0" w:type="auto"/>
            <w:gridSpan w:val="3"/>
            <w:tcMar>
              <w:top w:w="0" w:type="dxa"/>
              <w:left w:w="20" w:type="dxa"/>
              <w:bottom w:w="0" w:type="dxa"/>
              <w:right w:w="20" w:type="dxa"/>
            </w:tcMar>
            <w:vAlign w:val="center"/>
            <w:hideMark/>
          </w:tcPr>
          <w:p w14:paraId="3B2E51BA"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022296" w14:textId="77777777" w:rsidR="00000000" w:rsidRDefault="00C1661D">
            <w:pPr>
              <w:spacing w:after="100"/>
              <w:jc w:val="center"/>
              <w:rPr>
                <w:rFonts w:eastAsia="Times New Roman"/>
              </w:rPr>
            </w:pPr>
            <w:r>
              <w:rPr>
                <w:rFonts w:eastAsia="Times New Roman"/>
                <w:color w:val="000000"/>
                <w:sz w:val="16"/>
                <w:szCs w:val="16"/>
              </w:rPr>
              <w:t> AmeriGas Propane</w:t>
            </w:r>
          </w:p>
        </w:tc>
        <w:tc>
          <w:tcPr>
            <w:tcW w:w="0" w:type="auto"/>
            <w:gridSpan w:val="3"/>
            <w:tcMar>
              <w:top w:w="0" w:type="dxa"/>
              <w:left w:w="20" w:type="dxa"/>
              <w:bottom w:w="0" w:type="dxa"/>
              <w:right w:w="20" w:type="dxa"/>
            </w:tcMar>
            <w:vAlign w:val="center"/>
            <w:hideMark/>
          </w:tcPr>
          <w:p w14:paraId="1BF5C26A"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E3021F7" w14:textId="77777777" w:rsidR="00000000" w:rsidRDefault="00C1661D">
            <w:pPr>
              <w:spacing w:after="100"/>
              <w:jc w:val="center"/>
              <w:rPr>
                <w:rFonts w:eastAsia="Times New Roman"/>
              </w:rPr>
            </w:pPr>
            <w:r>
              <w:rPr>
                <w:rFonts w:eastAsia="Times New Roman"/>
                <w:color w:val="000000"/>
                <w:sz w:val="16"/>
                <w:szCs w:val="16"/>
              </w:rPr>
              <w:t> UGI International</w:t>
            </w:r>
          </w:p>
        </w:tc>
        <w:tc>
          <w:tcPr>
            <w:tcW w:w="0" w:type="auto"/>
            <w:gridSpan w:val="3"/>
            <w:tcMar>
              <w:top w:w="0" w:type="dxa"/>
              <w:left w:w="20" w:type="dxa"/>
              <w:bottom w:w="0" w:type="dxa"/>
              <w:right w:w="20" w:type="dxa"/>
            </w:tcMar>
            <w:vAlign w:val="center"/>
            <w:hideMark/>
          </w:tcPr>
          <w:p w14:paraId="5793E92E"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0656B7E" w14:textId="77777777" w:rsidR="00000000" w:rsidRDefault="00C1661D">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14:paraId="2DD99C30"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049A7FF" w14:textId="77777777" w:rsidR="00000000" w:rsidRDefault="00C1661D">
            <w:pPr>
              <w:spacing w:after="100"/>
              <w:jc w:val="center"/>
              <w:rPr>
                <w:rFonts w:eastAsia="Times New Roman"/>
              </w:rPr>
            </w:pPr>
            <w:r>
              <w:rPr>
                <w:rFonts w:eastAsia="Times New Roman"/>
                <w:color w:val="000000"/>
                <w:sz w:val="16"/>
                <w:szCs w:val="16"/>
              </w:rPr>
              <w:t>Utilities</w:t>
            </w:r>
          </w:p>
        </w:tc>
        <w:tc>
          <w:tcPr>
            <w:tcW w:w="0" w:type="auto"/>
            <w:gridSpan w:val="3"/>
            <w:tcMar>
              <w:top w:w="0" w:type="dxa"/>
              <w:left w:w="20" w:type="dxa"/>
              <w:bottom w:w="0" w:type="dxa"/>
              <w:right w:w="20" w:type="dxa"/>
            </w:tcMar>
            <w:vAlign w:val="center"/>
            <w:hideMark/>
          </w:tcPr>
          <w:p w14:paraId="74BE8AD8"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CE17CED" w14:textId="77777777" w:rsidR="00000000" w:rsidRDefault="00C1661D">
            <w:pPr>
              <w:spacing w:after="100"/>
              <w:jc w:val="center"/>
              <w:rPr>
                <w:rFonts w:eastAsia="Times New Roman"/>
              </w:rPr>
            </w:pPr>
            <w:r>
              <w:rPr>
                <w:rFonts w:eastAsia="Times New Roman"/>
                <w:color w:val="000000"/>
                <w:sz w:val="16"/>
                <w:szCs w:val="16"/>
              </w:rPr>
              <w:t> Corporate &amp; Other</w:t>
            </w:r>
          </w:p>
        </w:tc>
      </w:tr>
      <w:tr w:rsidR="00000000" w14:paraId="2CD3FB85" w14:textId="77777777">
        <w:trPr>
          <w:divId w:val="1686977335"/>
        </w:trPr>
        <w:tc>
          <w:tcPr>
            <w:tcW w:w="0" w:type="auto"/>
            <w:gridSpan w:val="3"/>
            <w:shd w:val="clear" w:color="auto" w:fill="CCEEFF"/>
            <w:tcMar>
              <w:top w:w="30" w:type="dxa"/>
              <w:left w:w="20" w:type="dxa"/>
              <w:bottom w:w="30" w:type="dxa"/>
              <w:right w:w="20" w:type="dxa"/>
            </w:tcMar>
            <w:vAlign w:val="bottom"/>
            <w:hideMark/>
          </w:tcPr>
          <w:p w14:paraId="0177C143" w14:textId="77777777" w:rsidR="00000000" w:rsidRDefault="00C1661D">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14:paraId="6A3DDEB6"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95DA5F"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E74F78"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E08A1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1E1927"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B7B89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32823C"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BADC96"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AD4774"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9AF944"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599486"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A3A50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FF0144"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E07421" w14:textId="77777777" w:rsidR="00000000" w:rsidRDefault="00C1661D">
            <w:pPr>
              <w:spacing w:after="100"/>
              <w:rPr>
                <w:rFonts w:eastAsia="Times New Roman"/>
                <w:sz w:val="20"/>
                <w:szCs w:val="20"/>
              </w:rPr>
            </w:pPr>
          </w:p>
        </w:tc>
      </w:tr>
      <w:tr w:rsidR="00000000" w14:paraId="0C0A83E0" w14:textId="77777777">
        <w:trPr>
          <w:divId w:val="1686977335"/>
        </w:trPr>
        <w:tc>
          <w:tcPr>
            <w:tcW w:w="0" w:type="auto"/>
            <w:gridSpan w:val="3"/>
            <w:shd w:val="clear" w:color="auto" w:fill="FFFFFF"/>
            <w:tcMar>
              <w:top w:w="30" w:type="dxa"/>
              <w:left w:w="20" w:type="dxa"/>
              <w:bottom w:w="30" w:type="dxa"/>
              <w:right w:w="20" w:type="dxa"/>
            </w:tcMar>
            <w:vAlign w:val="bottom"/>
            <w:hideMark/>
          </w:tcPr>
          <w:p w14:paraId="5B64D583" w14:textId="77777777" w:rsidR="00000000" w:rsidRDefault="00C1661D">
            <w:pPr>
              <w:spacing w:after="100"/>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14:paraId="465FE545"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EB6A5F"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5CA457"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1971AC"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2ACC0B"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E2A5E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026115"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535340"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AD71F3"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F95DDB"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926796"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9CB4D8"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D283A9"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119EEC" w14:textId="77777777" w:rsidR="00000000" w:rsidRDefault="00C1661D">
            <w:pPr>
              <w:spacing w:after="100"/>
              <w:rPr>
                <w:rFonts w:eastAsia="Times New Roman"/>
                <w:sz w:val="20"/>
                <w:szCs w:val="20"/>
              </w:rPr>
            </w:pPr>
          </w:p>
        </w:tc>
      </w:tr>
      <w:tr w:rsidR="00000000" w14:paraId="6C688B5D" w14:textId="77777777">
        <w:trPr>
          <w:divId w:val="1686977335"/>
        </w:trPr>
        <w:tc>
          <w:tcPr>
            <w:tcW w:w="0" w:type="auto"/>
            <w:gridSpan w:val="3"/>
            <w:shd w:val="clear" w:color="auto" w:fill="CCEEFF"/>
            <w:tcMar>
              <w:top w:w="30" w:type="dxa"/>
              <w:left w:w="155" w:type="dxa"/>
              <w:bottom w:w="30" w:type="dxa"/>
              <w:right w:w="20" w:type="dxa"/>
            </w:tcMar>
            <w:vAlign w:val="bottom"/>
            <w:hideMark/>
          </w:tcPr>
          <w:p w14:paraId="0A71EE70" w14:textId="77777777" w:rsidR="00000000" w:rsidRDefault="00C1661D">
            <w:pPr>
              <w:spacing w:after="100"/>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14:paraId="4FD4EBCB"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66B1EC"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C48926"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CE2530"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7566A0"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EEC6D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4F013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EE966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0C340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349EED"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C1AE5C"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4AC51B"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7873CD"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FF54E4" w14:textId="77777777" w:rsidR="00000000" w:rsidRDefault="00C1661D">
            <w:pPr>
              <w:spacing w:after="100"/>
              <w:rPr>
                <w:rFonts w:eastAsia="Times New Roman"/>
                <w:sz w:val="20"/>
                <w:szCs w:val="20"/>
              </w:rPr>
            </w:pPr>
          </w:p>
        </w:tc>
      </w:tr>
      <w:tr w:rsidR="00C1661D" w14:paraId="123BF193" w14:textId="77777777">
        <w:trPr>
          <w:divId w:val="1686977335"/>
        </w:trPr>
        <w:tc>
          <w:tcPr>
            <w:tcW w:w="0" w:type="auto"/>
            <w:gridSpan w:val="3"/>
            <w:shd w:val="clear" w:color="auto" w:fill="FFFFFF"/>
            <w:tcMar>
              <w:top w:w="30" w:type="dxa"/>
              <w:left w:w="245" w:type="dxa"/>
              <w:bottom w:w="30" w:type="dxa"/>
              <w:right w:w="20" w:type="dxa"/>
            </w:tcMar>
            <w:vAlign w:val="bottom"/>
            <w:hideMark/>
          </w:tcPr>
          <w:p w14:paraId="01B75524" w14:textId="77777777" w:rsidR="00000000" w:rsidRDefault="00C1661D">
            <w:pPr>
              <w:spacing w:after="100"/>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14:paraId="7149FE59"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EAF85F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EB3E372" w14:textId="77777777" w:rsidR="00000000" w:rsidRDefault="00C1661D">
            <w:pPr>
              <w:spacing w:after="100"/>
              <w:jc w:val="right"/>
              <w:rPr>
                <w:rFonts w:eastAsia="Times New Roman"/>
              </w:rPr>
            </w:pPr>
            <w:r>
              <w:rPr>
                <w:rFonts w:eastAsia="Times New Roman"/>
                <w:color w:val="000000"/>
                <w:sz w:val="16"/>
                <w:szCs w:val="16"/>
              </w:rPr>
              <w:t>875 </w:t>
            </w:r>
          </w:p>
        </w:tc>
        <w:tc>
          <w:tcPr>
            <w:tcW w:w="0" w:type="auto"/>
            <w:shd w:val="clear" w:color="auto" w:fill="FFFFFF"/>
            <w:tcMar>
              <w:top w:w="30" w:type="dxa"/>
              <w:left w:w="0" w:type="dxa"/>
              <w:bottom w:w="30" w:type="dxa"/>
              <w:right w:w="20" w:type="dxa"/>
            </w:tcMar>
            <w:vAlign w:val="bottom"/>
            <w:hideMark/>
          </w:tcPr>
          <w:p w14:paraId="0629708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E6B90"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0017DE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448EECC"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CFDF20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3BFD26"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6B4A29"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408D8F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2776B6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60C7D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DFEA2F"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227EDC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0DAE4D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8A8A6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ECCAB7"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829AFE3"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24D766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C4063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B2F39A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DC4AFE9" w14:textId="77777777" w:rsidR="00000000" w:rsidRDefault="00C1661D">
            <w:pPr>
              <w:spacing w:after="100"/>
              <w:jc w:val="right"/>
              <w:rPr>
                <w:rFonts w:eastAsia="Times New Roman"/>
              </w:rPr>
            </w:pPr>
            <w:r>
              <w:rPr>
                <w:rFonts w:eastAsia="Times New Roman"/>
                <w:color w:val="000000"/>
                <w:sz w:val="16"/>
                <w:szCs w:val="16"/>
              </w:rPr>
              <w:t>875 </w:t>
            </w:r>
          </w:p>
        </w:tc>
        <w:tc>
          <w:tcPr>
            <w:tcW w:w="0" w:type="auto"/>
            <w:shd w:val="clear" w:color="auto" w:fill="FFFFFF"/>
            <w:tcMar>
              <w:top w:w="30" w:type="dxa"/>
              <w:left w:w="0" w:type="dxa"/>
              <w:bottom w:w="30" w:type="dxa"/>
              <w:right w:w="20" w:type="dxa"/>
            </w:tcMar>
            <w:vAlign w:val="bottom"/>
            <w:hideMark/>
          </w:tcPr>
          <w:p w14:paraId="5D9D720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B93EF"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D73688"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153B8E1"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3E84F6D" w14:textId="77777777" w:rsidR="00000000" w:rsidRDefault="00C1661D">
            <w:pPr>
              <w:spacing w:after="100"/>
              <w:jc w:val="right"/>
              <w:rPr>
                <w:rFonts w:eastAsia="Times New Roman"/>
              </w:rPr>
            </w:pPr>
          </w:p>
        </w:tc>
      </w:tr>
      <w:tr w:rsidR="00000000" w14:paraId="3EDAE3B4" w14:textId="77777777">
        <w:trPr>
          <w:divId w:val="1686977335"/>
        </w:trPr>
        <w:tc>
          <w:tcPr>
            <w:tcW w:w="0" w:type="auto"/>
            <w:gridSpan w:val="3"/>
            <w:shd w:val="clear" w:color="auto" w:fill="CCEEFF"/>
            <w:tcMar>
              <w:top w:w="30" w:type="dxa"/>
              <w:left w:w="245" w:type="dxa"/>
              <w:bottom w:w="30" w:type="dxa"/>
              <w:right w:w="20" w:type="dxa"/>
            </w:tcMar>
            <w:vAlign w:val="bottom"/>
            <w:hideMark/>
          </w:tcPr>
          <w:p w14:paraId="20AF5A3D" w14:textId="77777777" w:rsidR="00000000" w:rsidRDefault="00C1661D">
            <w:pPr>
              <w:spacing w:after="100"/>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14:paraId="022594BB"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C770BE" w14:textId="77777777" w:rsidR="00000000" w:rsidRDefault="00C1661D">
            <w:pPr>
              <w:spacing w:after="100"/>
              <w:jc w:val="right"/>
              <w:rPr>
                <w:rFonts w:eastAsia="Times New Roman"/>
              </w:rPr>
            </w:pPr>
            <w:r>
              <w:rPr>
                <w:rFonts w:eastAsia="Times New Roman"/>
                <w:color w:val="000000"/>
                <w:sz w:val="16"/>
                <w:szCs w:val="16"/>
              </w:rPr>
              <w:t>365 </w:t>
            </w:r>
          </w:p>
        </w:tc>
        <w:tc>
          <w:tcPr>
            <w:tcW w:w="0" w:type="auto"/>
            <w:shd w:val="clear" w:color="auto" w:fill="CCEEFF"/>
            <w:tcMar>
              <w:top w:w="30" w:type="dxa"/>
              <w:left w:w="0" w:type="dxa"/>
              <w:bottom w:w="30" w:type="dxa"/>
              <w:right w:w="20" w:type="dxa"/>
            </w:tcMar>
            <w:vAlign w:val="bottom"/>
            <w:hideMark/>
          </w:tcPr>
          <w:p w14:paraId="5C3D2CA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E7B8C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A93CA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489BF7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842E4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F003AD"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2C9F24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60F70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F24C11"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C5D17A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61DFC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D1A06B"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003F04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25B19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1B4AAA" w14:textId="77777777" w:rsidR="00000000" w:rsidRDefault="00C1661D">
            <w:pPr>
              <w:spacing w:after="100"/>
              <w:jc w:val="right"/>
              <w:rPr>
                <w:rFonts w:eastAsia="Times New Roman"/>
              </w:rPr>
            </w:pPr>
            <w:r>
              <w:rPr>
                <w:rFonts w:eastAsia="Times New Roman"/>
                <w:color w:val="000000"/>
                <w:sz w:val="16"/>
                <w:szCs w:val="16"/>
              </w:rPr>
              <w:t>365 </w:t>
            </w:r>
          </w:p>
        </w:tc>
        <w:tc>
          <w:tcPr>
            <w:tcW w:w="0" w:type="auto"/>
            <w:shd w:val="clear" w:color="auto" w:fill="CCEEFF"/>
            <w:tcMar>
              <w:top w:w="30" w:type="dxa"/>
              <w:left w:w="0" w:type="dxa"/>
              <w:bottom w:w="30" w:type="dxa"/>
              <w:right w:w="20" w:type="dxa"/>
            </w:tcMar>
            <w:vAlign w:val="bottom"/>
            <w:hideMark/>
          </w:tcPr>
          <w:p w14:paraId="610C674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E2E19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F52CA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5BFEC59" w14:textId="77777777" w:rsidR="00000000" w:rsidRDefault="00C1661D">
            <w:pPr>
              <w:spacing w:after="100"/>
              <w:jc w:val="right"/>
              <w:rPr>
                <w:rFonts w:eastAsia="Times New Roman"/>
              </w:rPr>
            </w:pPr>
          </w:p>
        </w:tc>
      </w:tr>
      <w:tr w:rsidR="00000000" w14:paraId="78AF4190" w14:textId="77777777">
        <w:trPr>
          <w:divId w:val="1686977335"/>
        </w:trPr>
        <w:tc>
          <w:tcPr>
            <w:tcW w:w="0" w:type="auto"/>
            <w:gridSpan w:val="3"/>
            <w:shd w:val="clear" w:color="auto" w:fill="FFFFFF"/>
            <w:tcMar>
              <w:top w:w="30" w:type="dxa"/>
              <w:left w:w="155" w:type="dxa"/>
              <w:bottom w:w="30" w:type="dxa"/>
              <w:right w:w="20" w:type="dxa"/>
            </w:tcMar>
            <w:vAlign w:val="bottom"/>
            <w:hideMark/>
          </w:tcPr>
          <w:p w14:paraId="6E5E5444" w14:textId="77777777" w:rsidR="00000000" w:rsidRDefault="00C1661D">
            <w:pPr>
              <w:spacing w:after="100"/>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14:paraId="33D3B9C7"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8AD18C" w14:textId="77777777" w:rsidR="00000000" w:rsidRDefault="00C1661D">
            <w:pPr>
              <w:spacing w:after="100"/>
              <w:jc w:val="right"/>
              <w:rPr>
                <w:rFonts w:eastAsia="Times New Roman"/>
              </w:rPr>
            </w:pPr>
            <w:r>
              <w:rPr>
                <w:rFonts w:eastAsia="Times New Roman"/>
                <w:color w:val="000000"/>
                <w:sz w:val="16"/>
                <w:szCs w:val="16"/>
              </w:rPr>
              <w:t>171 </w:t>
            </w:r>
          </w:p>
        </w:tc>
        <w:tc>
          <w:tcPr>
            <w:tcW w:w="0" w:type="auto"/>
            <w:shd w:val="clear" w:color="auto" w:fill="FFFFFF"/>
            <w:tcMar>
              <w:top w:w="30" w:type="dxa"/>
              <w:left w:w="0" w:type="dxa"/>
              <w:bottom w:w="30" w:type="dxa"/>
              <w:right w:w="20" w:type="dxa"/>
            </w:tcMar>
            <w:vAlign w:val="bottom"/>
            <w:hideMark/>
          </w:tcPr>
          <w:p w14:paraId="5495C1E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3D615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CB0717"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0DBCCB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48FCF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1C8471"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311A33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AE54D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FA4F6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5C4968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CEB14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739F2D"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BAE458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E577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5F0B29" w14:textId="77777777" w:rsidR="00000000" w:rsidRDefault="00C1661D">
            <w:pPr>
              <w:spacing w:after="100"/>
              <w:jc w:val="right"/>
              <w:rPr>
                <w:rFonts w:eastAsia="Times New Roman"/>
              </w:rPr>
            </w:pPr>
            <w:r>
              <w:rPr>
                <w:rFonts w:eastAsia="Times New Roman"/>
                <w:color w:val="000000"/>
                <w:sz w:val="16"/>
                <w:szCs w:val="16"/>
              </w:rPr>
              <w:t>171 </w:t>
            </w:r>
          </w:p>
        </w:tc>
        <w:tc>
          <w:tcPr>
            <w:tcW w:w="0" w:type="auto"/>
            <w:shd w:val="clear" w:color="auto" w:fill="FFFFFF"/>
            <w:tcMar>
              <w:top w:w="30" w:type="dxa"/>
              <w:left w:w="0" w:type="dxa"/>
              <w:bottom w:w="30" w:type="dxa"/>
              <w:right w:w="20" w:type="dxa"/>
            </w:tcMar>
            <w:vAlign w:val="bottom"/>
            <w:hideMark/>
          </w:tcPr>
          <w:p w14:paraId="473BF8F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C9EF3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EC187A"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774034C" w14:textId="77777777" w:rsidR="00000000" w:rsidRDefault="00C1661D">
            <w:pPr>
              <w:spacing w:after="100"/>
              <w:jc w:val="right"/>
              <w:rPr>
                <w:rFonts w:eastAsia="Times New Roman"/>
              </w:rPr>
            </w:pPr>
          </w:p>
        </w:tc>
      </w:tr>
      <w:tr w:rsidR="00000000" w14:paraId="233440AD" w14:textId="77777777">
        <w:trPr>
          <w:divId w:val="1686977335"/>
        </w:trPr>
        <w:tc>
          <w:tcPr>
            <w:tcW w:w="0" w:type="auto"/>
            <w:gridSpan w:val="3"/>
            <w:shd w:val="clear" w:color="auto" w:fill="CCEEFF"/>
            <w:tcMar>
              <w:top w:w="30" w:type="dxa"/>
              <w:left w:w="155" w:type="dxa"/>
              <w:bottom w:w="30" w:type="dxa"/>
              <w:right w:w="20" w:type="dxa"/>
            </w:tcMar>
            <w:vAlign w:val="bottom"/>
            <w:hideMark/>
          </w:tcPr>
          <w:p w14:paraId="76733209" w14:textId="77777777" w:rsidR="00000000" w:rsidRDefault="00C1661D">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14:paraId="3C5385DF"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438690" w14:textId="77777777" w:rsidR="00000000" w:rsidRDefault="00C1661D">
            <w:pPr>
              <w:spacing w:after="100"/>
              <w:jc w:val="right"/>
              <w:rPr>
                <w:rFonts w:eastAsia="Times New Roman"/>
              </w:rPr>
            </w:pPr>
            <w:r>
              <w:rPr>
                <w:rFonts w:eastAsia="Times New Roman"/>
                <w:color w:val="000000"/>
                <w:sz w:val="16"/>
                <w:szCs w:val="16"/>
              </w:rPr>
              <w:t>76 </w:t>
            </w:r>
          </w:p>
        </w:tc>
        <w:tc>
          <w:tcPr>
            <w:tcW w:w="0" w:type="auto"/>
            <w:shd w:val="clear" w:color="auto" w:fill="CCEEFF"/>
            <w:tcMar>
              <w:top w:w="30" w:type="dxa"/>
              <w:left w:w="0" w:type="dxa"/>
              <w:bottom w:w="30" w:type="dxa"/>
              <w:right w:w="20" w:type="dxa"/>
            </w:tcMar>
            <w:vAlign w:val="bottom"/>
            <w:hideMark/>
          </w:tcPr>
          <w:p w14:paraId="188E384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10C57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754F3C" w14:textId="77777777" w:rsidR="00000000" w:rsidRDefault="00C1661D">
            <w:pPr>
              <w:spacing w:after="100"/>
              <w:jc w:val="right"/>
              <w:rPr>
                <w:rFonts w:eastAsia="Times New Roman"/>
              </w:rPr>
            </w:pPr>
            <w:r>
              <w:rPr>
                <w:rFonts w:eastAsia="Times New Roman"/>
                <w:color w:val="000000"/>
                <w:sz w:val="16"/>
                <w:szCs w:val="16"/>
              </w:rPr>
              <w:t>(104)</w:t>
            </w:r>
          </w:p>
        </w:tc>
        <w:tc>
          <w:tcPr>
            <w:tcW w:w="0" w:type="auto"/>
            <w:shd w:val="clear" w:color="auto" w:fill="CCEEFF"/>
            <w:tcMar>
              <w:top w:w="30" w:type="dxa"/>
              <w:left w:w="0" w:type="dxa"/>
              <w:bottom w:w="30" w:type="dxa"/>
              <w:right w:w="20" w:type="dxa"/>
            </w:tcMar>
            <w:vAlign w:val="bottom"/>
            <w:hideMark/>
          </w:tcPr>
          <w:p w14:paraId="106D902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1175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2859C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90877C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8541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EE58FD"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5D88D9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BCD61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6DE9FA"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5B5E97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C99B2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51C763" w14:textId="77777777" w:rsidR="00000000" w:rsidRDefault="00C1661D">
            <w:pPr>
              <w:spacing w:after="100"/>
              <w:jc w:val="right"/>
              <w:rPr>
                <w:rFonts w:eastAsia="Times New Roman"/>
              </w:rPr>
            </w:pPr>
            <w:r>
              <w:rPr>
                <w:rFonts w:eastAsia="Times New Roman"/>
                <w:color w:val="000000"/>
                <w:sz w:val="16"/>
                <w:szCs w:val="16"/>
              </w:rPr>
              <w:t>180 </w:t>
            </w:r>
          </w:p>
        </w:tc>
        <w:tc>
          <w:tcPr>
            <w:tcW w:w="0" w:type="auto"/>
            <w:shd w:val="clear" w:color="auto" w:fill="CCEEFF"/>
            <w:tcMar>
              <w:top w:w="30" w:type="dxa"/>
              <w:left w:w="0" w:type="dxa"/>
              <w:bottom w:w="30" w:type="dxa"/>
              <w:right w:w="20" w:type="dxa"/>
            </w:tcMar>
            <w:vAlign w:val="bottom"/>
            <w:hideMark/>
          </w:tcPr>
          <w:p w14:paraId="775AFED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EFBB8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F9E4B7"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0C7FCA6" w14:textId="77777777" w:rsidR="00000000" w:rsidRDefault="00C1661D">
            <w:pPr>
              <w:spacing w:after="100"/>
              <w:jc w:val="right"/>
              <w:rPr>
                <w:rFonts w:eastAsia="Times New Roman"/>
              </w:rPr>
            </w:pPr>
          </w:p>
        </w:tc>
      </w:tr>
      <w:tr w:rsidR="00000000" w14:paraId="2EB47EA2" w14:textId="77777777">
        <w:trPr>
          <w:divId w:val="1686977335"/>
        </w:trPr>
        <w:tc>
          <w:tcPr>
            <w:tcW w:w="0" w:type="auto"/>
            <w:gridSpan w:val="3"/>
            <w:shd w:val="clear" w:color="auto" w:fill="FFFFFF"/>
            <w:tcMar>
              <w:top w:w="30" w:type="dxa"/>
              <w:left w:w="155" w:type="dxa"/>
              <w:bottom w:w="30" w:type="dxa"/>
              <w:right w:w="20" w:type="dxa"/>
            </w:tcMar>
            <w:vAlign w:val="bottom"/>
            <w:hideMark/>
          </w:tcPr>
          <w:p w14:paraId="26A1F48E" w14:textId="77777777" w:rsidR="00000000" w:rsidRDefault="00C1661D">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2E2FBEE8"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BBA385" w14:textId="77777777" w:rsidR="00000000" w:rsidRDefault="00C1661D">
            <w:pPr>
              <w:spacing w:after="100"/>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vAlign w:val="bottom"/>
            <w:hideMark/>
          </w:tcPr>
          <w:p w14:paraId="517D0BF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0FD3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3FE653" w14:textId="77777777" w:rsidR="00000000" w:rsidRDefault="00C1661D">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14:paraId="5373DDD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1232D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35ECC7"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7C9536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9075D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05D5DC"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0EA0C1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DEF73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BFEF65"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74FE8D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A4FA7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2895A6" w14:textId="77777777" w:rsidR="00000000" w:rsidRDefault="00C1661D">
            <w:pPr>
              <w:spacing w:after="100"/>
              <w:jc w:val="right"/>
              <w:rPr>
                <w:rFonts w:eastAsia="Times New Roman"/>
              </w:rPr>
            </w:pPr>
            <w:r>
              <w:rPr>
                <w:rFonts w:eastAsia="Times New Roman"/>
                <w:color w:val="000000"/>
                <w:sz w:val="16"/>
                <w:szCs w:val="16"/>
              </w:rPr>
              <w:t>24 </w:t>
            </w:r>
          </w:p>
        </w:tc>
        <w:tc>
          <w:tcPr>
            <w:tcW w:w="0" w:type="auto"/>
            <w:shd w:val="clear" w:color="auto" w:fill="FFFFFF"/>
            <w:tcMar>
              <w:top w:w="30" w:type="dxa"/>
              <w:left w:w="0" w:type="dxa"/>
              <w:bottom w:w="30" w:type="dxa"/>
              <w:right w:w="20" w:type="dxa"/>
            </w:tcMar>
            <w:vAlign w:val="bottom"/>
            <w:hideMark/>
          </w:tcPr>
          <w:p w14:paraId="3B01B78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EB898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0873DD" w14:textId="77777777" w:rsidR="00000000" w:rsidRDefault="00C1661D">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D519B03" w14:textId="77777777" w:rsidR="00000000" w:rsidRDefault="00C1661D">
            <w:pPr>
              <w:spacing w:after="100"/>
              <w:jc w:val="right"/>
              <w:rPr>
                <w:rFonts w:eastAsia="Times New Roman"/>
              </w:rPr>
            </w:pPr>
          </w:p>
        </w:tc>
      </w:tr>
      <w:tr w:rsidR="00000000" w14:paraId="1C9C76C8" w14:textId="77777777">
        <w:trPr>
          <w:divId w:val="1686977335"/>
        </w:trPr>
        <w:tc>
          <w:tcPr>
            <w:tcW w:w="0" w:type="auto"/>
            <w:gridSpan w:val="3"/>
            <w:shd w:val="clear" w:color="auto" w:fill="CCEEFF"/>
            <w:tcMar>
              <w:top w:w="30" w:type="dxa"/>
              <w:left w:w="20" w:type="dxa"/>
              <w:bottom w:w="30" w:type="dxa"/>
              <w:right w:w="20" w:type="dxa"/>
            </w:tcMar>
            <w:vAlign w:val="bottom"/>
            <w:hideMark/>
          </w:tcPr>
          <w:p w14:paraId="5D6ADDB3" w14:textId="77777777" w:rsidR="00000000" w:rsidRDefault="00C1661D">
            <w:pPr>
              <w:spacing w:after="100"/>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14:paraId="67C7F57D" w14:textId="77777777" w:rsidR="00000000" w:rsidRDefault="00C166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21B7F7" w14:textId="77777777" w:rsidR="00000000" w:rsidRDefault="00C1661D">
            <w:pPr>
              <w:spacing w:after="100"/>
              <w:jc w:val="right"/>
              <w:rPr>
                <w:rFonts w:eastAsia="Times New Roman"/>
              </w:rPr>
            </w:pPr>
            <w:r>
              <w:rPr>
                <w:rFonts w:eastAsia="Times New Roman"/>
                <w:color w:val="000000"/>
                <w:sz w:val="16"/>
                <w:szCs w:val="16"/>
              </w:rPr>
              <w:t>1,510 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9B6CB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A6E7ED"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1C2619" w14:textId="77777777" w:rsidR="00000000" w:rsidRDefault="00C1661D">
            <w:pPr>
              <w:spacing w:after="100"/>
              <w:jc w:val="right"/>
              <w:rPr>
                <w:rFonts w:eastAsia="Times New Roman"/>
              </w:rPr>
            </w:pPr>
            <w:r>
              <w:rPr>
                <w:rFonts w:eastAsia="Times New Roman"/>
                <w:color w:val="000000"/>
                <w:sz w:val="16"/>
                <w:szCs w:val="16"/>
              </w:rPr>
              <w:t>(105)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EE4CF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0CAA28"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E87A01"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9D380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7C4AB3"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4A9829"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BC1C4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95E99F"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304F15"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5695B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B9A8ED"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926F15" w14:textId="77777777" w:rsidR="00000000" w:rsidRDefault="00C1661D">
            <w:pPr>
              <w:spacing w:after="100"/>
              <w:jc w:val="right"/>
              <w:rPr>
                <w:rFonts w:eastAsia="Times New Roman"/>
              </w:rPr>
            </w:pPr>
            <w:r>
              <w:rPr>
                <w:rFonts w:eastAsia="Times New Roman"/>
                <w:color w:val="000000"/>
                <w:sz w:val="16"/>
                <w:szCs w:val="16"/>
              </w:rPr>
              <w:t>1,615 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BC2A1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A73CF9"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DAF207"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83BAA8" w14:textId="77777777" w:rsidR="00000000" w:rsidRDefault="00C1661D">
            <w:pPr>
              <w:spacing w:after="100"/>
              <w:jc w:val="right"/>
              <w:rPr>
                <w:rFonts w:eastAsia="Times New Roman"/>
              </w:rPr>
            </w:pPr>
          </w:p>
        </w:tc>
      </w:tr>
      <w:tr w:rsidR="00000000" w14:paraId="45782BDC" w14:textId="77777777">
        <w:trPr>
          <w:divId w:val="1686977335"/>
        </w:trPr>
        <w:tc>
          <w:tcPr>
            <w:tcW w:w="0" w:type="auto"/>
            <w:gridSpan w:val="3"/>
            <w:shd w:val="clear" w:color="auto" w:fill="FFFFFF"/>
            <w:tcMar>
              <w:top w:w="30" w:type="dxa"/>
              <w:left w:w="20" w:type="dxa"/>
              <w:bottom w:w="30" w:type="dxa"/>
              <w:right w:w="20" w:type="dxa"/>
            </w:tcMar>
            <w:vAlign w:val="bottom"/>
            <w:hideMark/>
          </w:tcPr>
          <w:p w14:paraId="39858F87" w14:textId="77777777" w:rsidR="00000000" w:rsidRDefault="00C1661D">
            <w:pPr>
              <w:spacing w:after="100"/>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14:paraId="53E002B6"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3D4E3B2"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300CDD"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36A5506"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4C9FC0"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39930B0"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EDA2A8"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585F540"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1E7982"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F28413A"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5B0F1C"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5F7220"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A9FE01"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82580A" w14:textId="77777777" w:rsidR="00000000" w:rsidRDefault="00C1661D">
            <w:pPr>
              <w:spacing w:after="100"/>
              <w:rPr>
                <w:rFonts w:eastAsia="Times New Roman"/>
                <w:sz w:val="20"/>
                <w:szCs w:val="20"/>
              </w:rPr>
            </w:pPr>
          </w:p>
        </w:tc>
      </w:tr>
      <w:tr w:rsidR="00000000" w14:paraId="4D3AE0B3" w14:textId="77777777">
        <w:trPr>
          <w:divId w:val="1686977335"/>
        </w:trPr>
        <w:tc>
          <w:tcPr>
            <w:tcW w:w="0" w:type="auto"/>
            <w:gridSpan w:val="3"/>
            <w:shd w:val="clear" w:color="auto" w:fill="CCEEFF"/>
            <w:tcMar>
              <w:top w:w="30" w:type="dxa"/>
              <w:left w:w="155" w:type="dxa"/>
              <w:bottom w:w="30" w:type="dxa"/>
              <w:right w:w="20" w:type="dxa"/>
            </w:tcMar>
            <w:vAlign w:val="bottom"/>
            <w:hideMark/>
          </w:tcPr>
          <w:p w14:paraId="2E37618D" w14:textId="77777777" w:rsidR="00000000" w:rsidRDefault="00C1661D">
            <w:pPr>
              <w:spacing w:after="100"/>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14:paraId="1DA634C4"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43152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902E40"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4B0AF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F17F8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B61BF0"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5A7B0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2DFE1A"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7A076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7A0F9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B42D21"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3423B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4A8CA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01C6F8" w14:textId="77777777" w:rsidR="00000000" w:rsidRDefault="00C1661D">
            <w:pPr>
              <w:spacing w:after="100"/>
              <w:rPr>
                <w:rFonts w:eastAsia="Times New Roman"/>
                <w:sz w:val="20"/>
                <w:szCs w:val="20"/>
              </w:rPr>
            </w:pPr>
          </w:p>
        </w:tc>
      </w:tr>
      <w:tr w:rsidR="00000000" w14:paraId="62502D1C" w14:textId="77777777">
        <w:trPr>
          <w:divId w:val="1686977335"/>
        </w:trPr>
        <w:tc>
          <w:tcPr>
            <w:tcW w:w="0" w:type="auto"/>
            <w:gridSpan w:val="3"/>
            <w:shd w:val="clear" w:color="auto" w:fill="FFFFFF"/>
            <w:tcMar>
              <w:top w:w="30" w:type="dxa"/>
              <w:left w:w="245" w:type="dxa"/>
              <w:bottom w:w="30" w:type="dxa"/>
              <w:right w:w="20" w:type="dxa"/>
            </w:tcMar>
            <w:vAlign w:val="bottom"/>
            <w:hideMark/>
          </w:tcPr>
          <w:p w14:paraId="66CB0D3D" w14:textId="77777777" w:rsidR="00000000" w:rsidRDefault="00C1661D">
            <w:pPr>
              <w:spacing w:after="100"/>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14:paraId="16C7D1AD"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C39EA3" w14:textId="77777777" w:rsidR="00000000" w:rsidRDefault="00C1661D">
            <w:pPr>
              <w:spacing w:after="100"/>
              <w:jc w:val="right"/>
              <w:rPr>
                <w:rFonts w:eastAsia="Times New Roman"/>
              </w:rPr>
            </w:pPr>
            <w:r>
              <w:rPr>
                <w:rFonts w:eastAsia="Times New Roman"/>
                <w:color w:val="000000"/>
                <w:sz w:val="16"/>
                <w:szCs w:val="16"/>
              </w:rPr>
              <w:t>4,436 </w:t>
            </w:r>
          </w:p>
        </w:tc>
        <w:tc>
          <w:tcPr>
            <w:tcW w:w="0" w:type="auto"/>
            <w:shd w:val="clear" w:color="auto" w:fill="FFFFFF"/>
            <w:tcMar>
              <w:top w:w="30" w:type="dxa"/>
              <w:left w:w="0" w:type="dxa"/>
              <w:bottom w:w="30" w:type="dxa"/>
              <w:right w:w="20" w:type="dxa"/>
            </w:tcMar>
            <w:vAlign w:val="bottom"/>
            <w:hideMark/>
          </w:tcPr>
          <w:p w14:paraId="0DA97CF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B56C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AD351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ED96AB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DF1E3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97A908" w14:textId="77777777" w:rsidR="00000000" w:rsidRDefault="00C1661D">
            <w:pPr>
              <w:spacing w:after="100"/>
              <w:jc w:val="right"/>
              <w:rPr>
                <w:rFonts w:eastAsia="Times New Roman"/>
              </w:rPr>
            </w:pPr>
            <w:r>
              <w:rPr>
                <w:rFonts w:eastAsia="Times New Roman"/>
                <w:color w:val="000000"/>
                <w:sz w:val="16"/>
                <w:szCs w:val="16"/>
              </w:rPr>
              <w:t>2,439 </w:t>
            </w:r>
          </w:p>
        </w:tc>
        <w:tc>
          <w:tcPr>
            <w:tcW w:w="0" w:type="auto"/>
            <w:shd w:val="clear" w:color="auto" w:fill="FFFFFF"/>
            <w:tcMar>
              <w:top w:w="30" w:type="dxa"/>
              <w:left w:w="0" w:type="dxa"/>
              <w:bottom w:w="30" w:type="dxa"/>
              <w:right w:w="20" w:type="dxa"/>
            </w:tcMar>
            <w:vAlign w:val="bottom"/>
            <w:hideMark/>
          </w:tcPr>
          <w:p w14:paraId="443C6B7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F308E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AA2005" w14:textId="77777777" w:rsidR="00000000" w:rsidRDefault="00C1661D">
            <w:pPr>
              <w:spacing w:after="100"/>
              <w:jc w:val="right"/>
              <w:rPr>
                <w:rFonts w:eastAsia="Times New Roman"/>
              </w:rPr>
            </w:pPr>
            <w:r>
              <w:rPr>
                <w:rFonts w:eastAsia="Times New Roman"/>
                <w:color w:val="000000"/>
                <w:sz w:val="16"/>
                <w:szCs w:val="16"/>
              </w:rPr>
              <w:t>1,997 </w:t>
            </w:r>
          </w:p>
        </w:tc>
        <w:tc>
          <w:tcPr>
            <w:tcW w:w="0" w:type="auto"/>
            <w:shd w:val="clear" w:color="auto" w:fill="FFFFFF"/>
            <w:tcMar>
              <w:top w:w="30" w:type="dxa"/>
              <w:left w:w="0" w:type="dxa"/>
              <w:bottom w:w="30" w:type="dxa"/>
              <w:right w:w="20" w:type="dxa"/>
            </w:tcMar>
            <w:vAlign w:val="bottom"/>
            <w:hideMark/>
          </w:tcPr>
          <w:p w14:paraId="039B5B4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A59A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1D92A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B91471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60755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82C22E"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D60397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88C95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A10345"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50740DC" w14:textId="77777777" w:rsidR="00000000" w:rsidRDefault="00C1661D">
            <w:pPr>
              <w:spacing w:after="100"/>
              <w:jc w:val="right"/>
              <w:rPr>
                <w:rFonts w:eastAsia="Times New Roman"/>
              </w:rPr>
            </w:pPr>
          </w:p>
        </w:tc>
      </w:tr>
      <w:tr w:rsidR="00000000" w14:paraId="5E453538" w14:textId="77777777">
        <w:trPr>
          <w:divId w:val="1686977335"/>
        </w:trPr>
        <w:tc>
          <w:tcPr>
            <w:tcW w:w="0" w:type="auto"/>
            <w:gridSpan w:val="3"/>
            <w:shd w:val="clear" w:color="auto" w:fill="CCEEFF"/>
            <w:tcMar>
              <w:top w:w="30" w:type="dxa"/>
              <w:left w:w="245" w:type="dxa"/>
              <w:bottom w:w="30" w:type="dxa"/>
              <w:right w:w="20" w:type="dxa"/>
            </w:tcMar>
            <w:vAlign w:val="bottom"/>
            <w:hideMark/>
          </w:tcPr>
          <w:p w14:paraId="38DF684F" w14:textId="77777777" w:rsidR="00000000" w:rsidRDefault="00C1661D">
            <w:pPr>
              <w:spacing w:after="100"/>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14:paraId="6DB17012"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25466B" w14:textId="77777777" w:rsidR="00000000" w:rsidRDefault="00C1661D">
            <w:pPr>
              <w:spacing w:after="100"/>
              <w:jc w:val="right"/>
              <w:rPr>
                <w:rFonts w:eastAsia="Times New Roman"/>
              </w:rPr>
            </w:pPr>
            <w:r>
              <w:rPr>
                <w:rFonts w:eastAsia="Times New Roman"/>
                <w:color w:val="000000"/>
                <w:sz w:val="16"/>
                <w:szCs w:val="16"/>
              </w:rPr>
              <w:t>496 </w:t>
            </w:r>
          </w:p>
        </w:tc>
        <w:tc>
          <w:tcPr>
            <w:tcW w:w="0" w:type="auto"/>
            <w:shd w:val="clear" w:color="auto" w:fill="CCEEFF"/>
            <w:tcMar>
              <w:top w:w="30" w:type="dxa"/>
              <w:left w:w="0" w:type="dxa"/>
              <w:bottom w:w="30" w:type="dxa"/>
              <w:right w:w="20" w:type="dxa"/>
            </w:tcMar>
            <w:vAlign w:val="bottom"/>
            <w:hideMark/>
          </w:tcPr>
          <w:p w14:paraId="700B55A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E1DF4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3E968E"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522AC9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44D38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72FF37" w14:textId="77777777" w:rsidR="00000000" w:rsidRDefault="00C1661D">
            <w:pPr>
              <w:spacing w:after="100"/>
              <w:jc w:val="right"/>
              <w:rPr>
                <w:rFonts w:eastAsia="Times New Roman"/>
              </w:rPr>
            </w:pPr>
            <w:r>
              <w:rPr>
                <w:rFonts w:eastAsia="Times New Roman"/>
                <w:color w:val="000000"/>
                <w:sz w:val="16"/>
                <w:szCs w:val="16"/>
              </w:rPr>
              <w:t>218 </w:t>
            </w:r>
          </w:p>
        </w:tc>
        <w:tc>
          <w:tcPr>
            <w:tcW w:w="0" w:type="auto"/>
            <w:shd w:val="clear" w:color="auto" w:fill="CCEEFF"/>
            <w:tcMar>
              <w:top w:w="30" w:type="dxa"/>
              <w:left w:w="0" w:type="dxa"/>
              <w:bottom w:w="30" w:type="dxa"/>
              <w:right w:w="20" w:type="dxa"/>
            </w:tcMar>
            <w:vAlign w:val="bottom"/>
            <w:hideMark/>
          </w:tcPr>
          <w:p w14:paraId="03B5A46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7162A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E19873" w14:textId="77777777" w:rsidR="00000000" w:rsidRDefault="00C1661D">
            <w:pPr>
              <w:spacing w:after="100"/>
              <w:jc w:val="right"/>
              <w:rPr>
                <w:rFonts w:eastAsia="Times New Roman"/>
              </w:rPr>
            </w:pPr>
            <w:r>
              <w:rPr>
                <w:rFonts w:eastAsia="Times New Roman"/>
                <w:color w:val="000000"/>
                <w:sz w:val="16"/>
                <w:szCs w:val="16"/>
              </w:rPr>
              <w:t>278 </w:t>
            </w:r>
          </w:p>
        </w:tc>
        <w:tc>
          <w:tcPr>
            <w:tcW w:w="0" w:type="auto"/>
            <w:shd w:val="clear" w:color="auto" w:fill="CCEEFF"/>
            <w:tcMar>
              <w:top w:w="30" w:type="dxa"/>
              <w:left w:w="0" w:type="dxa"/>
              <w:bottom w:w="30" w:type="dxa"/>
              <w:right w:w="20" w:type="dxa"/>
            </w:tcMar>
            <w:vAlign w:val="bottom"/>
            <w:hideMark/>
          </w:tcPr>
          <w:p w14:paraId="5BA2451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40C6C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17FC6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63A78A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33369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C156B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B28252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2673C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3489FD"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E9E6994" w14:textId="77777777" w:rsidR="00000000" w:rsidRDefault="00C1661D">
            <w:pPr>
              <w:spacing w:after="100"/>
              <w:jc w:val="right"/>
              <w:rPr>
                <w:rFonts w:eastAsia="Times New Roman"/>
              </w:rPr>
            </w:pPr>
          </w:p>
        </w:tc>
      </w:tr>
      <w:tr w:rsidR="00000000" w14:paraId="207C916E" w14:textId="77777777">
        <w:trPr>
          <w:divId w:val="1686977335"/>
        </w:trPr>
        <w:tc>
          <w:tcPr>
            <w:tcW w:w="0" w:type="auto"/>
            <w:gridSpan w:val="3"/>
            <w:shd w:val="clear" w:color="auto" w:fill="FFFFFF"/>
            <w:tcMar>
              <w:top w:w="30" w:type="dxa"/>
              <w:left w:w="155" w:type="dxa"/>
              <w:bottom w:w="30" w:type="dxa"/>
              <w:right w:w="20" w:type="dxa"/>
            </w:tcMar>
            <w:vAlign w:val="bottom"/>
            <w:hideMark/>
          </w:tcPr>
          <w:p w14:paraId="2017991C" w14:textId="77777777" w:rsidR="00000000" w:rsidRDefault="00C1661D">
            <w:pPr>
              <w:spacing w:after="100"/>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14:paraId="44599300"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6939F2" w14:textId="77777777" w:rsidR="00000000" w:rsidRDefault="00C1661D">
            <w:pPr>
              <w:spacing w:after="100"/>
              <w:jc w:val="right"/>
              <w:rPr>
                <w:rFonts w:eastAsia="Times New Roman"/>
              </w:rPr>
            </w:pPr>
            <w:r>
              <w:rPr>
                <w:rFonts w:eastAsia="Times New Roman"/>
                <w:color w:val="000000"/>
                <w:sz w:val="16"/>
                <w:szCs w:val="16"/>
              </w:rPr>
              <w:t>2,951 </w:t>
            </w:r>
          </w:p>
        </w:tc>
        <w:tc>
          <w:tcPr>
            <w:tcW w:w="0" w:type="auto"/>
            <w:shd w:val="clear" w:color="auto" w:fill="FFFFFF"/>
            <w:tcMar>
              <w:top w:w="30" w:type="dxa"/>
              <w:left w:w="0" w:type="dxa"/>
              <w:bottom w:w="30" w:type="dxa"/>
              <w:right w:w="20" w:type="dxa"/>
            </w:tcMar>
            <w:vAlign w:val="bottom"/>
            <w:hideMark/>
          </w:tcPr>
          <w:p w14:paraId="4EE0D5A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7222B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ABA526" w14:textId="77777777" w:rsidR="00000000" w:rsidRDefault="00C1661D">
            <w:pPr>
              <w:spacing w:after="100"/>
              <w:jc w:val="right"/>
              <w:rPr>
                <w:rFonts w:eastAsia="Times New Roman"/>
              </w:rPr>
            </w:pPr>
            <w:r>
              <w:rPr>
                <w:rFonts w:eastAsia="Times New Roman"/>
                <w:color w:val="000000"/>
                <w:sz w:val="16"/>
                <w:szCs w:val="16"/>
              </w:rPr>
              <w:t>(264)</w:t>
            </w:r>
          </w:p>
        </w:tc>
        <w:tc>
          <w:tcPr>
            <w:tcW w:w="0" w:type="auto"/>
            <w:shd w:val="clear" w:color="auto" w:fill="FFFFFF"/>
            <w:tcMar>
              <w:top w:w="30" w:type="dxa"/>
              <w:left w:w="0" w:type="dxa"/>
              <w:bottom w:w="30" w:type="dxa"/>
              <w:right w:w="20" w:type="dxa"/>
            </w:tcMar>
            <w:vAlign w:val="bottom"/>
            <w:hideMark/>
          </w:tcPr>
          <w:p w14:paraId="46EB594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CCD4A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06FF08"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572B31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4E5E3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8229EC" w14:textId="77777777" w:rsidR="00000000" w:rsidRDefault="00C1661D">
            <w:pPr>
              <w:spacing w:after="100"/>
              <w:jc w:val="right"/>
              <w:rPr>
                <w:rFonts w:eastAsia="Times New Roman"/>
              </w:rPr>
            </w:pPr>
            <w:r>
              <w:rPr>
                <w:rFonts w:eastAsia="Times New Roman"/>
                <w:color w:val="000000"/>
                <w:sz w:val="16"/>
                <w:szCs w:val="16"/>
              </w:rPr>
              <w:t>1,298 </w:t>
            </w:r>
          </w:p>
        </w:tc>
        <w:tc>
          <w:tcPr>
            <w:tcW w:w="0" w:type="auto"/>
            <w:shd w:val="clear" w:color="auto" w:fill="FFFFFF"/>
            <w:tcMar>
              <w:top w:w="30" w:type="dxa"/>
              <w:left w:w="0" w:type="dxa"/>
              <w:bottom w:w="30" w:type="dxa"/>
              <w:right w:w="20" w:type="dxa"/>
            </w:tcMar>
            <w:vAlign w:val="bottom"/>
            <w:hideMark/>
          </w:tcPr>
          <w:p w14:paraId="3D8EFB9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573DF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F18366" w14:textId="77777777" w:rsidR="00000000" w:rsidRDefault="00C1661D">
            <w:pPr>
              <w:spacing w:after="100"/>
              <w:jc w:val="right"/>
              <w:rPr>
                <w:rFonts w:eastAsia="Times New Roman"/>
              </w:rPr>
            </w:pPr>
            <w:r>
              <w:rPr>
                <w:rFonts w:eastAsia="Times New Roman"/>
                <w:color w:val="000000"/>
                <w:sz w:val="16"/>
                <w:szCs w:val="16"/>
              </w:rPr>
              <w:t>1,917 </w:t>
            </w:r>
          </w:p>
        </w:tc>
        <w:tc>
          <w:tcPr>
            <w:tcW w:w="0" w:type="auto"/>
            <w:shd w:val="clear" w:color="auto" w:fill="FFFFFF"/>
            <w:tcMar>
              <w:top w:w="30" w:type="dxa"/>
              <w:left w:w="0" w:type="dxa"/>
              <w:bottom w:w="30" w:type="dxa"/>
              <w:right w:w="20" w:type="dxa"/>
            </w:tcMar>
            <w:vAlign w:val="bottom"/>
            <w:hideMark/>
          </w:tcPr>
          <w:p w14:paraId="1E4AC94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179D5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FC5E43"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6B8FEA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0DAC4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97CDD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7C01F45" w14:textId="77777777" w:rsidR="00000000" w:rsidRDefault="00C1661D">
            <w:pPr>
              <w:spacing w:after="100"/>
              <w:jc w:val="right"/>
              <w:rPr>
                <w:rFonts w:eastAsia="Times New Roman"/>
              </w:rPr>
            </w:pPr>
          </w:p>
        </w:tc>
      </w:tr>
      <w:tr w:rsidR="00000000" w14:paraId="4B04C30C" w14:textId="77777777">
        <w:trPr>
          <w:divId w:val="1686977335"/>
        </w:trPr>
        <w:tc>
          <w:tcPr>
            <w:tcW w:w="0" w:type="auto"/>
            <w:gridSpan w:val="3"/>
            <w:shd w:val="clear" w:color="auto" w:fill="CCEEFF"/>
            <w:tcMar>
              <w:top w:w="30" w:type="dxa"/>
              <w:left w:w="155" w:type="dxa"/>
              <w:bottom w:w="30" w:type="dxa"/>
              <w:right w:w="20" w:type="dxa"/>
            </w:tcMar>
            <w:vAlign w:val="bottom"/>
            <w:hideMark/>
          </w:tcPr>
          <w:p w14:paraId="65E3EA12" w14:textId="77777777" w:rsidR="00000000" w:rsidRDefault="00C1661D">
            <w:pPr>
              <w:spacing w:after="100"/>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14:paraId="7397AED2"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1A98EA"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690EC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685329"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4B438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6B7B9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7079D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FEF2DC"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B7E63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08D056"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2D37C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C2950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DC1A69"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EE2B6E" w14:textId="77777777" w:rsidR="00000000" w:rsidRDefault="00C1661D">
            <w:pPr>
              <w:spacing w:after="100"/>
              <w:rPr>
                <w:rFonts w:eastAsia="Times New Roman"/>
                <w:sz w:val="20"/>
                <w:szCs w:val="20"/>
              </w:rPr>
            </w:pPr>
          </w:p>
        </w:tc>
      </w:tr>
      <w:tr w:rsidR="00000000" w14:paraId="0D912BA4" w14:textId="77777777">
        <w:trPr>
          <w:divId w:val="1686977335"/>
        </w:trPr>
        <w:tc>
          <w:tcPr>
            <w:tcW w:w="0" w:type="auto"/>
            <w:gridSpan w:val="3"/>
            <w:shd w:val="clear" w:color="auto" w:fill="FFFFFF"/>
            <w:tcMar>
              <w:top w:w="30" w:type="dxa"/>
              <w:left w:w="245" w:type="dxa"/>
              <w:bottom w:w="30" w:type="dxa"/>
              <w:right w:w="20" w:type="dxa"/>
            </w:tcMar>
            <w:vAlign w:val="bottom"/>
            <w:hideMark/>
          </w:tcPr>
          <w:p w14:paraId="10BB8405" w14:textId="77777777" w:rsidR="00000000" w:rsidRDefault="00C1661D">
            <w:pPr>
              <w:spacing w:after="100"/>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14:paraId="04C4736F"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8D24F7" w14:textId="77777777" w:rsidR="00000000" w:rsidRDefault="00C1661D">
            <w:pPr>
              <w:spacing w:after="100"/>
              <w:jc w:val="right"/>
              <w:rPr>
                <w:rFonts w:eastAsia="Times New Roman"/>
              </w:rPr>
            </w:pPr>
            <w:r>
              <w:rPr>
                <w:rFonts w:eastAsia="Times New Roman"/>
                <w:color w:val="000000"/>
                <w:sz w:val="16"/>
                <w:szCs w:val="16"/>
              </w:rPr>
              <w:t>211 </w:t>
            </w:r>
          </w:p>
        </w:tc>
        <w:tc>
          <w:tcPr>
            <w:tcW w:w="0" w:type="auto"/>
            <w:shd w:val="clear" w:color="auto" w:fill="FFFFFF"/>
            <w:tcMar>
              <w:top w:w="30" w:type="dxa"/>
              <w:left w:w="0" w:type="dxa"/>
              <w:bottom w:w="30" w:type="dxa"/>
              <w:right w:w="20" w:type="dxa"/>
            </w:tcMar>
            <w:vAlign w:val="bottom"/>
            <w:hideMark/>
          </w:tcPr>
          <w:p w14:paraId="64D0080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D198F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E6F993"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2016A2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2F7C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F9107A"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5F9C7B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708DC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FC08B8"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1E77D9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CA08B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BCF574" w14:textId="77777777" w:rsidR="00000000" w:rsidRDefault="00C1661D">
            <w:pPr>
              <w:spacing w:after="100"/>
              <w:jc w:val="right"/>
              <w:rPr>
                <w:rFonts w:eastAsia="Times New Roman"/>
              </w:rPr>
            </w:pPr>
            <w:r>
              <w:rPr>
                <w:rFonts w:eastAsia="Times New Roman"/>
                <w:color w:val="000000"/>
                <w:sz w:val="16"/>
                <w:szCs w:val="16"/>
              </w:rPr>
              <w:t>211 </w:t>
            </w:r>
          </w:p>
        </w:tc>
        <w:tc>
          <w:tcPr>
            <w:tcW w:w="0" w:type="auto"/>
            <w:shd w:val="clear" w:color="auto" w:fill="FFFFFF"/>
            <w:tcMar>
              <w:top w:w="30" w:type="dxa"/>
              <w:left w:w="0" w:type="dxa"/>
              <w:bottom w:w="30" w:type="dxa"/>
              <w:right w:w="20" w:type="dxa"/>
            </w:tcMar>
            <w:vAlign w:val="bottom"/>
            <w:hideMark/>
          </w:tcPr>
          <w:p w14:paraId="012113A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FA823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63694D"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DCBA03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CD3CE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A59613"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67B26EE" w14:textId="77777777" w:rsidR="00000000" w:rsidRDefault="00C1661D">
            <w:pPr>
              <w:spacing w:after="100"/>
              <w:jc w:val="right"/>
              <w:rPr>
                <w:rFonts w:eastAsia="Times New Roman"/>
              </w:rPr>
            </w:pPr>
          </w:p>
        </w:tc>
      </w:tr>
      <w:tr w:rsidR="00000000" w14:paraId="0F8CC0D5" w14:textId="77777777">
        <w:trPr>
          <w:divId w:val="1686977335"/>
        </w:trPr>
        <w:tc>
          <w:tcPr>
            <w:tcW w:w="0" w:type="auto"/>
            <w:gridSpan w:val="3"/>
            <w:shd w:val="clear" w:color="auto" w:fill="CCEEFF"/>
            <w:tcMar>
              <w:top w:w="30" w:type="dxa"/>
              <w:left w:w="245" w:type="dxa"/>
              <w:bottom w:w="30" w:type="dxa"/>
              <w:right w:w="20" w:type="dxa"/>
            </w:tcMar>
            <w:vAlign w:val="bottom"/>
            <w:hideMark/>
          </w:tcPr>
          <w:p w14:paraId="1543E861" w14:textId="77777777" w:rsidR="00000000" w:rsidRDefault="00C1661D">
            <w:pPr>
              <w:spacing w:after="100"/>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14:paraId="693694BF"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F55679" w14:textId="77777777" w:rsidR="00000000" w:rsidRDefault="00C1661D">
            <w:pPr>
              <w:spacing w:after="100"/>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14:paraId="7803602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CD6A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133203" w14:textId="77777777" w:rsidR="00000000" w:rsidRDefault="00C1661D">
            <w:pPr>
              <w:spacing w:after="100"/>
              <w:jc w:val="right"/>
              <w:rPr>
                <w:rFonts w:eastAsia="Times New Roman"/>
              </w:rPr>
            </w:pPr>
            <w:r>
              <w:rPr>
                <w:rFonts w:eastAsia="Times New Roman"/>
                <w:color w:val="000000"/>
                <w:sz w:val="16"/>
                <w:szCs w:val="16"/>
              </w:rPr>
              <w:t>(105)</w:t>
            </w:r>
          </w:p>
        </w:tc>
        <w:tc>
          <w:tcPr>
            <w:tcW w:w="0" w:type="auto"/>
            <w:shd w:val="clear" w:color="auto" w:fill="CCEEFF"/>
            <w:tcMar>
              <w:top w:w="30" w:type="dxa"/>
              <w:left w:w="0" w:type="dxa"/>
              <w:bottom w:w="30" w:type="dxa"/>
              <w:right w:w="20" w:type="dxa"/>
            </w:tcMar>
            <w:vAlign w:val="bottom"/>
            <w:hideMark/>
          </w:tcPr>
          <w:p w14:paraId="6D726E2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F9094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E53E9C"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29FB66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2524B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FE937D"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46D0AC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439BE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C0F9C8" w14:textId="77777777" w:rsidR="00000000" w:rsidRDefault="00C1661D">
            <w:pPr>
              <w:spacing w:after="100"/>
              <w:jc w:val="right"/>
              <w:rPr>
                <w:rFonts w:eastAsia="Times New Roman"/>
              </w:rPr>
            </w:pPr>
            <w:r>
              <w:rPr>
                <w:rFonts w:eastAsia="Times New Roman"/>
                <w:color w:val="000000"/>
                <w:sz w:val="16"/>
                <w:szCs w:val="16"/>
              </w:rPr>
              <w:t>153 </w:t>
            </w:r>
          </w:p>
        </w:tc>
        <w:tc>
          <w:tcPr>
            <w:tcW w:w="0" w:type="auto"/>
            <w:shd w:val="clear" w:color="auto" w:fill="CCEEFF"/>
            <w:tcMar>
              <w:top w:w="30" w:type="dxa"/>
              <w:left w:w="0" w:type="dxa"/>
              <w:bottom w:w="30" w:type="dxa"/>
              <w:right w:w="20" w:type="dxa"/>
            </w:tcMar>
            <w:vAlign w:val="bottom"/>
            <w:hideMark/>
          </w:tcPr>
          <w:p w14:paraId="383B5A1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B84B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200779"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2CB8B5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E69E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213A6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8C959F3" w14:textId="77777777" w:rsidR="00000000" w:rsidRDefault="00C1661D">
            <w:pPr>
              <w:spacing w:after="100"/>
              <w:jc w:val="right"/>
              <w:rPr>
                <w:rFonts w:eastAsia="Times New Roman"/>
              </w:rPr>
            </w:pPr>
          </w:p>
        </w:tc>
      </w:tr>
      <w:tr w:rsidR="00000000" w14:paraId="04110236" w14:textId="77777777">
        <w:trPr>
          <w:divId w:val="1686977335"/>
        </w:trPr>
        <w:tc>
          <w:tcPr>
            <w:tcW w:w="0" w:type="auto"/>
            <w:gridSpan w:val="3"/>
            <w:shd w:val="clear" w:color="auto" w:fill="FFFFFF"/>
            <w:tcMar>
              <w:top w:w="30" w:type="dxa"/>
              <w:left w:w="245" w:type="dxa"/>
              <w:bottom w:w="30" w:type="dxa"/>
              <w:right w:w="20" w:type="dxa"/>
            </w:tcMar>
            <w:vAlign w:val="bottom"/>
            <w:hideMark/>
          </w:tcPr>
          <w:p w14:paraId="25CE6108" w14:textId="77777777" w:rsidR="00000000" w:rsidRDefault="00C1661D">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796D257A"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43B4A6" w14:textId="77777777" w:rsidR="00000000" w:rsidRDefault="00C1661D">
            <w:pPr>
              <w:spacing w:after="100"/>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bottom"/>
            <w:hideMark/>
          </w:tcPr>
          <w:p w14:paraId="1F7643E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18020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1E1B1"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C0C0A6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8201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F3997A"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5539A9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5F42D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9408CD"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2225A0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E4387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575ED1" w14:textId="77777777" w:rsidR="00000000" w:rsidRDefault="00C1661D">
            <w:pPr>
              <w:spacing w:after="100"/>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bottom"/>
            <w:hideMark/>
          </w:tcPr>
          <w:p w14:paraId="52DD2ED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5B1A2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06B2B7"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002F5F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1E1C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5ECD2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4F05C48" w14:textId="77777777" w:rsidR="00000000" w:rsidRDefault="00C1661D">
            <w:pPr>
              <w:spacing w:after="100"/>
              <w:jc w:val="right"/>
              <w:rPr>
                <w:rFonts w:eastAsia="Times New Roman"/>
              </w:rPr>
            </w:pPr>
          </w:p>
        </w:tc>
      </w:tr>
      <w:tr w:rsidR="00000000" w14:paraId="0FB6958E" w14:textId="77777777">
        <w:trPr>
          <w:divId w:val="1686977335"/>
        </w:trPr>
        <w:tc>
          <w:tcPr>
            <w:tcW w:w="0" w:type="auto"/>
            <w:gridSpan w:val="3"/>
            <w:shd w:val="clear" w:color="auto" w:fill="CCEEFF"/>
            <w:tcMar>
              <w:top w:w="30" w:type="dxa"/>
              <w:left w:w="155" w:type="dxa"/>
              <w:bottom w:w="30" w:type="dxa"/>
              <w:right w:w="20" w:type="dxa"/>
            </w:tcMar>
            <w:vAlign w:val="bottom"/>
            <w:hideMark/>
          </w:tcPr>
          <w:p w14:paraId="1B8E931B" w14:textId="77777777" w:rsidR="00000000" w:rsidRDefault="00C1661D">
            <w:pPr>
              <w:spacing w:after="100"/>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14:paraId="47AE4335"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551E47" w14:textId="77777777" w:rsidR="00000000" w:rsidRDefault="00C1661D">
            <w:pPr>
              <w:spacing w:after="100"/>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14:paraId="73772AF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B8F14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0DC2CD"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9F73CA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E375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FD1329"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ED50C1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3DECD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B36161"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4AB69F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D8E5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195B84" w14:textId="77777777" w:rsidR="00000000" w:rsidRDefault="00C1661D">
            <w:pPr>
              <w:spacing w:after="100"/>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14:paraId="75D8C99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BAA29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FD2525"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C86DA8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B327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4B873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5906670" w14:textId="77777777" w:rsidR="00000000" w:rsidRDefault="00C1661D">
            <w:pPr>
              <w:spacing w:after="100"/>
              <w:jc w:val="right"/>
              <w:rPr>
                <w:rFonts w:eastAsia="Times New Roman"/>
              </w:rPr>
            </w:pPr>
          </w:p>
        </w:tc>
      </w:tr>
      <w:tr w:rsidR="00000000" w14:paraId="56A35C7E" w14:textId="77777777">
        <w:trPr>
          <w:divId w:val="1686977335"/>
        </w:trPr>
        <w:tc>
          <w:tcPr>
            <w:tcW w:w="0" w:type="auto"/>
            <w:gridSpan w:val="3"/>
            <w:shd w:val="clear" w:color="auto" w:fill="FFFFFF"/>
            <w:tcMar>
              <w:top w:w="30" w:type="dxa"/>
              <w:left w:w="155" w:type="dxa"/>
              <w:bottom w:w="30" w:type="dxa"/>
              <w:right w:w="20" w:type="dxa"/>
            </w:tcMar>
            <w:vAlign w:val="bottom"/>
            <w:hideMark/>
          </w:tcPr>
          <w:p w14:paraId="6A942B45" w14:textId="77777777" w:rsidR="00000000" w:rsidRDefault="00C1661D">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514CE93B"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9C5D3F" w14:textId="77777777" w:rsidR="00000000" w:rsidRDefault="00C1661D">
            <w:pPr>
              <w:spacing w:after="100"/>
              <w:jc w:val="right"/>
              <w:rPr>
                <w:rFonts w:eastAsia="Times New Roman"/>
              </w:rPr>
            </w:pPr>
            <w:r>
              <w:rPr>
                <w:rFonts w:eastAsia="Times New Roman"/>
                <w:color w:val="000000"/>
                <w:sz w:val="16"/>
                <w:szCs w:val="16"/>
              </w:rPr>
              <w:t>286 </w:t>
            </w:r>
          </w:p>
        </w:tc>
        <w:tc>
          <w:tcPr>
            <w:tcW w:w="0" w:type="auto"/>
            <w:shd w:val="clear" w:color="auto" w:fill="FFFFFF"/>
            <w:tcMar>
              <w:top w:w="30" w:type="dxa"/>
              <w:left w:w="0" w:type="dxa"/>
              <w:bottom w:w="30" w:type="dxa"/>
              <w:right w:w="20" w:type="dxa"/>
            </w:tcMar>
            <w:vAlign w:val="bottom"/>
            <w:hideMark/>
          </w:tcPr>
          <w:p w14:paraId="1FB1E11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46FA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0CBDD3"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8DB252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2D8A1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182372" w14:textId="77777777" w:rsidR="00000000" w:rsidRDefault="00C1661D">
            <w:pPr>
              <w:spacing w:after="100"/>
              <w:jc w:val="right"/>
              <w:rPr>
                <w:rFonts w:eastAsia="Times New Roman"/>
              </w:rPr>
            </w:pPr>
            <w:r>
              <w:rPr>
                <w:rFonts w:eastAsia="Times New Roman"/>
                <w:color w:val="000000"/>
                <w:sz w:val="16"/>
                <w:szCs w:val="16"/>
              </w:rPr>
              <w:t>207 </w:t>
            </w:r>
          </w:p>
        </w:tc>
        <w:tc>
          <w:tcPr>
            <w:tcW w:w="0" w:type="auto"/>
            <w:shd w:val="clear" w:color="auto" w:fill="FFFFFF"/>
            <w:tcMar>
              <w:top w:w="30" w:type="dxa"/>
              <w:left w:w="0" w:type="dxa"/>
              <w:bottom w:w="30" w:type="dxa"/>
              <w:right w:w="20" w:type="dxa"/>
            </w:tcMar>
            <w:vAlign w:val="bottom"/>
            <w:hideMark/>
          </w:tcPr>
          <w:p w14:paraId="6914ACF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3D91B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0C2CF1" w14:textId="77777777" w:rsidR="00000000" w:rsidRDefault="00C1661D">
            <w:pPr>
              <w:spacing w:after="100"/>
              <w:jc w:val="right"/>
              <w:rPr>
                <w:rFonts w:eastAsia="Times New Roman"/>
              </w:rPr>
            </w:pPr>
            <w:r>
              <w:rPr>
                <w:rFonts w:eastAsia="Times New Roman"/>
                <w:color w:val="000000"/>
                <w:sz w:val="16"/>
                <w:szCs w:val="16"/>
              </w:rPr>
              <w:t>79 </w:t>
            </w:r>
          </w:p>
        </w:tc>
        <w:tc>
          <w:tcPr>
            <w:tcW w:w="0" w:type="auto"/>
            <w:shd w:val="clear" w:color="auto" w:fill="FFFFFF"/>
            <w:tcMar>
              <w:top w:w="30" w:type="dxa"/>
              <w:left w:w="0" w:type="dxa"/>
              <w:bottom w:w="30" w:type="dxa"/>
              <w:right w:w="20" w:type="dxa"/>
            </w:tcMar>
            <w:vAlign w:val="bottom"/>
            <w:hideMark/>
          </w:tcPr>
          <w:p w14:paraId="3024DF0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8C382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53F821"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F62E56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076AF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9FA21A"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21AC2D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B2AF9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061D4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E9CF658" w14:textId="77777777" w:rsidR="00000000" w:rsidRDefault="00C1661D">
            <w:pPr>
              <w:spacing w:after="100"/>
              <w:jc w:val="right"/>
              <w:rPr>
                <w:rFonts w:eastAsia="Times New Roman"/>
              </w:rPr>
            </w:pPr>
          </w:p>
        </w:tc>
      </w:tr>
      <w:tr w:rsidR="00000000" w14:paraId="77D66C37" w14:textId="77777777">
        <w:trPr>
          <w:divId w:val="1686977335"/>
        </w:trPr>
        <w:tc>
          <w:tcPr>
            <w:tcW w:w="0" w:type="auto"/>
            <w:gridSpan w:val="3"/>
            <w:shd w:val="clear" w:color="auto" w:fill="CCEEFF"/>
            <w:tcMar>
              <w:top w:w="30" w:type="dxa"/>
              <w:left w:w="20" w:type="dxa"/>
              <w:bottom w:w="30" w:type="dxa"/>
              <w:right w:w="20" w:type="dxa"/>
            </w:tcMar>
            <w:vAlign w:val="bottom"/>
            <w:hideMark/>
          </w:tcPr>
          <w:p w14:paraId="54203566" w14:textId="77777777" w:rsidR="00000000" w:rsidRDefault="00C1661D">
            <w:pPr>
              <w:spacing w:after="100"/>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14:paraId="72AD6BE9" w14:textId="77777777" w:rsidR="00000000" w:rsidRDefault="00C166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11AC08" w14:textId="77777777" w:rsidR="00000000" w:rsidRDefault="00C1661D">
            <w:pPr>
              <w:spacing w:after="100"/>
              <w:jc w:val="right"/>
              <w:rPr>
                <w:rFonts w:eastAsia="Times New Roman"/>
              </w:rPr>
            </w:pPr>
            <w:r>
              <w:rPr>
                <w:rFonts w:eastAsia="Times New Roman"/>
                <w:color w:val="000000"/>
                <w:sz w:val="16"/>
                <w:szCs w:val="16"/>
              </w:rPr>
              <w:t>8,471 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014F0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427CA3"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B4851C" w14:textId="77777777" w:rsidR="00000000" w:rsidRDefault="00C1661D">
            <w:pPr>
              <w:spacing w:after="100"/>
              <w:jc w:val="right"/>
              <w:rPr>
                <w:rFonts w:eastAsia="Times New Roman"/>
              </w:rPr>
            </w:pPr>
            <w:r>
              <w:rPr>
                <w:rFonts w:eastAsia="Times New Roman"/>
                <w:color w:val="000000"/>
                <w:sz w:val="16"/>
                <w:szCs w:val="16"/>
              </w:rPr>
              <w:t>(369)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633B7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C47B3"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877C36" w14:textId="77777777" w:rsidR="00000000" w:rsidRDefault="00C1661D">
            <w:pPr>
              <w:spacing w:after="100"/>
              <w:jc w:val="right"/>
              <w:rPr>
                <w:rFonts w:eastAsia="Times New Roman"/>
              </w:rPr>
            </w:pPr>
            <w:r>
              <w:rPr>
                <w:rFonts w:eastAsia="Times New Roman"/>
                <w:color w:val="000000"/>
                <w:sz w:val="16"/>
                <w:szCs w:val="16"/>
              </w:rPr>
              <w:t>2,864 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B509D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468DD6"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BC2EC5" w14:textId="77777777" w:rsidR="00000000" w:rsidRDefault="00C1661D">
            <w:pPr>
              <w:spacing w:after="100"/>
              <w:jc w:val="right"/>
              <w:rPr>
                <w:rFonts w:eastAsia="Times New Roman"/>
              </w:rPr>
            </w:pPr>
            <w:r>
              <w:rPr>
                <w:rFonts w:eastAsia="Times New Roman"/>
                <w:color w:val="000000"/>
                <w:sz w:val="16"/>
                <w:szCs w:val="16"/>
              </w:rPr>
              <w:t>3,652 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5B283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2287FF"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C7F616" w14:textId="77777777" w:rsidR="00000000" w:rsidRDefault="00C1661D">
            <w:pPr>
              <w:spacing w:after="100"/>
              <w:jc w:val="right"/>
              <w:rPr>
                <w:rFonts w:eastAsia="Times New Roman"/>
              </w:rPr>
            </w:pPr>
            <w:r>
              <w:rPr>
                <w:rFonts w:eastAsia="Times New Roman"/>
                <w:color w:val="000000"/>
                <w:sz w:val="16"/>
                <w:szCs w:val="16"/>
              </w:rPr>
              <w:t>2,324 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38898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00CA38"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5ABFF4"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82C5F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F2464A"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7F5461"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D502BA" w14:textId="77777777" w:rsidR="00000000" w:rsidRDefault="00C1661D">
            <w:pPr>
              <w:spacing w:after="100"/>
              <w:jc w:val="right"/>
              <w:rPr>
                <w:rFonts w:eastAsia="Times New Roman"/>
              </w:rPr>
            </w:pPr>
          </w:p>
        </w:tc>
      </w:tr>
      <w:tr w:rsidR="00000000" w14:paraId="3355F69F" w14:textId="77777777">
        <w:trPr>
          <w:divId w:val="1686977335"/>
        </w:trPr>
        <w:tc>
          <w:tcPr>
            <w:tcW w:w="0" w:type="auto"/>
            <w:gridSpan w:val="3"/>
            <w:shd w:val="clear" w:color="auto" w:fill="FFFFFF"/>
            <w:tcMar>
              <w:top w:w="30" w:type="dxa"/>
              <w:left w:w="20" w:type="dxa"/>
              <w:bottom w:w="30" w:type="dxa"/>
              <w:right w:w="20" w:type="dxa"/>
            </w:tcMar>
            <w:vAlign w:val="bottom"/>
            <w:hideMark/>
          </w:tcPr>
          <w:p w14:paraId="7802613B" w14:textId="77777777" w:rsidR="00000000" w:rsidRDefault="00C1661D">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14:paraId="0E58F9F7" w14:textId="77777777" w:rsidR="00000000" w:rsidRDefault="00C166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7A3101" w14:textId="77777777" w:rsidR="00000000" w:rsidRDefault="00C1661D">
            <w:pPr>
              <w:spacing w:after="100"/>
              <w:jc w:val="right"/>
              <w:rPr>
                <w:rFonts w:eastAsia="Times New Roman"/>
              </w:rPr>
            </w:pPr>
            <w:r>
              <w:rPr>
                <w:rFonts w:eastAsia="Times New Roman"/>
                <w:color w:val="000000"/>
                <w:sz w:val="16"/>
                <w:szCs w:val="16"/>
              </w:rPr>
              <w:t>9,981 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B6B6A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89DC7E"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DC8D9D" w14:textId="77777777" w:rsidR="00000000" w:rsidRDefault="00C1661D">
            <w:pPr>
              <w:spacing w:after="100"/>
              <w:jc w:val="right"/>
              <w:rPr>
                <w:rFonts w:eastAsia="Times New Roman"/>
              </w:rPr>
            </w:pPr>
            <w:r>
              <w:rPr>
                <w:rFonts w:eastAsia="Times New Roman"/>
                <w:color w:val="000000"/>
                <w:sz w:val="16"/>
                <w:szCs w:val="16"/>
              </w:rPr>
              <w:t>(474)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31909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848816"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65734F" w14:textId="77777777" w:rsidR="00000000" w:rsidRDefault="00C1661D">
            <w:pPr>
              <w:spacing w:after="100"/>
              <w:jc w:val="right"/>
              <w:rPr>
                <w:rFonts w:eastAsia="Times New Roman"/>
              </w:rPr>
            </w:pPr>
            <w:r>
              <w:rPr>
                <w:rFonts w:eastAsia="Times New Roman"/>
                <w:color w:val="000000"/>
                <w:sz w:val="16"/>
                <w:szCs w:val="16"/>
              </w:rPr>
              <w:t>2,864 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0563D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3BCD0"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FF810F" w14:textId="77777777" w:rsidR="00000000" w:rsidRDefault="00C1661D">
            <w:pPr>
              <w:spacing w:after="100"/>
              <w:jc w:val="right"/>
              <w:rPr>
                <w:rFonts w:eastAsia="Times New Roman"/>
              </w:rPr>
            </w:pPr>
            <w:r>
              <w:rPr>
                <w:rFonts w:eastAsia="Times New Roman"/>
                <w:color w:val="000000"/>
                <w:sz w:val="16"/>
                <w:szCs w:val="16"/>
              </w:rPr>
              <w:t>3,652 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06DBE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2F7413"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84F59C" w14:textId="77777777" w:rsidR="00000000" w:rsidRDefault="00C1661D">
            <w:pPr>
              <w:spacing w:after="100"/>
              <w:jc w:val="right"/>
              <w:rPr>
                <w:rFonts w:eastAsia="Times New Roman"/>
              </w:rPr>
            </w:pPr>
            <w:r>
              <w:rPr>
                <w:rFonts w:eastAsia="Times New Roman"/>
                <w:color w:val="000000"/>
                <w:sz w:val="16"/>
                <w:szCs w:val="16"/>
              </w:rPr>
              <w:t>2,324 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CF536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FD902"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F4F0DA" w14:textId="77777777" w:rsidR="00000000" w:rsidRDefault="00C1661D">
            <w:pPr>
              <w:spacing w:after="100"/>
              <w:jc w:val="right"/>
              <w:rPr>
                <w:rFonts w:eastAsia="Times New Roman"/>
              </w:rPr>
            </w:pPr>
            <w:r>
              <w:rPr>
                <w:rFonts w:eastAsia="Times New Roman"/>
                <w:color w:val="000000"/>
                <w:sz w:val="16"/>
                <w:szCs w:val="16"/>
              </w:rPr>
              <w:t>1,615 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C8ADD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C1F85C"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61A070"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54B950" w14:textId="77777777" w:rsidR="00000000" w:rsidRDefault="00C1661D">
            <w:pPr>
              <w:spacing w:after="100"/>
              <w:jc w:val="right"/>
              <w:rPr>
                <w:rFonts w:eastAsia="Times New Roman"/>
              </w:rPr>
            </w:pPr>
          </w:p>
        </w:tc>
      </w:tr>
      <w:tr w:rsidR="00000000" w14:paraId="3E9506C6" w14:textId="77777777">
        <w:trPr>
          <w:divId w:val="1686977335"/>
        </w:trPr>
        <w:tc>
          <w:tcPr>
            <w:tcW w:w="0" w:type="auto"/>
            <w:gridSpan w:val="3"/>
            <w:shd w:val="clear" w:color="auto" w:fill="CCEEFF"/>
            <w:tcMar>
              <w:top w:w="30" w:type="dxa"/>
              <w:left w:w="20" w:type="dxa"/>
              <w:bottom w:w="30" w:type="dxa"/>
              <w:right w:w="20" w:type="dxa"/>
            </w:tcMar>
            <w:vAlign w:val="bottom"/>
            <w:hideMark/>
          </w:tcPr>
          <w:p w14:paraId="03E31353" w14:textId="77777777" w:rsidR="00000000" w:rsidRDefault="00C1661D">
            <w:pPr>
              <w:spacing w:after="100"/>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14:paraId="3968F74C"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E3F588" w14:textId="77777777" w:rsidR="00000000" w:rsidRDefault="00C1661D">
            <w:pPr>
              <w:spacing w:after="100"/>
              <w:jc w:val="right"/>
              <w:rPr>
                <w:rFonts w:eastAsia="Times New Roman"/>
              </w:rPr>
            </w:pPr>
            <w:r>
              <w:rPr>
                <w:rFonts w:eastAsia="Times New Roman"/>
                <w:color w:val="000000"/>
                <w:sz w:val="16"/>
                <w:szCs w:val="16"/>
              </w:rPr>
              <w:t>125 </w:t>
            </w:r>
          </w:p>
        </w:tc>
        <w:tc>
          <w:tcPr>
            <w:tcW w:w="0" w:type="auto"/>
            <w:shd w:val="clear" w:color="auto" w:fill="CCEEFF"/>
            <w:tcMar>
              <w:top w:w="30" w:type="dxa"/>
              <w:left w:w="0" w:type="dxa"/>
              <w:bottom w:w="30" w:type="dxa"/>
              <w:right w:w="20" w:type="dxa"/>
            </w:tcMar>
            <w:vAlign w:val="bottom"/>
            <w:hideMark/>
          </w:tcPr>
          <w:p w14:paraId="664F0A7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52646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E3B5F0" w14:textId="77777777" w:rsidR="00000000" w:rsidRDefault="00C1661D">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14:paraId="4AC79A3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73459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4141AA" w14:textId="77777777" w:rsidR="00000000" w:rsidRDefault="00C1661D">
            <w:pPr>
              <w:spacing w:after="100"/>
              <w:jc w:val="right"/>
              <w:rPr>
                <w:rFonts w:eastAsia="Times New Roman"/>
              </w:rPr>
            </w:pPr>
            <w:r>
              <w:rPr>
                <w:rFonts w:eastAsia="Times New Roman"/>
                <w:color w:val="000000"/>
                <w:sz w:val="16"/>
                <w:szCs w:val="16"/>
              </w:rPr>
              <w:t>79 </w:t>
            </w:r>
          </w:p>
        </w:tc>
        <w:tc>
          <w:tcPr>
            <w:tcW w:w="0" w:type="auto"/>
            <w:shd w:val="clear" w:color="auto" w:fill="CCEEFF"/>
            <w:tcMar>
              <w:top w:w="30" w:type="dxa"/>
              <w:left w:w="0" w:type="dxa"/>
              <w:bottom w:w="30" w:type="dxa"/>
              <w:right w:w="20" w:type="dxa"/>
            </w:tcMar>
            <w:vAlign w:val="bottom"/>
            <w:hideMark/>
          </w:tcPr>
          <w:p w14:paraId="3580FD1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AF9C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CE3D7B" w14:textId="77777777" w:rsidR="00000000" w:rsidRDefault="00C1661D">
            <w:pPr>
              <w:spacing w:after="100"/>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14:paraId="1B199C3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B69B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6342A2" w14:textId="77777777" w:rsidR="00000000" w:rsidRDefault="00C1661D">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14:paraId="5E0020A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F2BFA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AE461A" w14:textId="77777777" w:rsidR="00000000" w:rsidRDefault="00C1661D">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14:paraId="14C4194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A9DB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518F62" w14:textId="77777777" w:rsidR="00000000" w:rsidRDefault="00C1661D">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14:paraId="4FF67FE3" w14:textId="77777777" w:rsidR="00000000" w:rsidRDefault="00C1661D">
            <w:pPr>
              <w:spacing w:after="100"/>
              <w:jc w:val="right"/>
              <w:rPr>
                <w:rFonts w:eastAsia="Times New Roman"/>
              </w:rPr>
            </w:pPr>
          </w:p>
        </w:tc>
      </w:tr>
      <w:tr w:rsidR="00C1661D" w14:paraId="3D461954" w14:textId="77777777">
        <w:trPr>
          <w:divId w:val="1686977335"/>
        </w:trPr>
        <w:tc>
          <w:tcPr>
            <w:tcW w:w="0" w:type="auto"/>
            <w:gridSpan w:val="3"/>
            <w:shd w:val="clear" w:color="auto" w:fill="FFFFFF"/>
            <w:tcMar>
              <w:top w:w="30" w:type="dxa"/>
              <w:left w:w="20" w:type="dxa"/>
              <w:bottom w:w="30" w:type="dxa"/>
              <w:right w:w="20" w:type="dxa"/>
            </w:tcMar>
            <w:vAlign w:val="bottom"/>
            <w:hideMark/>
          </w:tcPr>
          <w:p w14:paraId="7631B590" w14:textId="77777777" w:rsidR="00000000" w:rsidRDefault="00C1661D">
            <w:pPr>
              <w:spacing w:after="100"/>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14:paraId="6C0F5B22" w14:textId="77777777" w:rsidR="00000000" w:rsidRDefault="00C1661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281114"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23EB22" w14:textId="77777777" w:rsidR="00000000" w:rsidRDefault="00C1661D">
            <w:pPr>
              <w:spacing w:after="100"/>
              <w:jc w:val="right"/>
              <w:rPr>
                <w:rFonts w:eastAsia="Times New Roman"/>
              </w:rPr>
            </w:pPr>
            <w:r>
              <w:rPr>
                <w:rFonts w:eastAsia="Times New Roman"/>
                <w:color w:val="000000"/>
                <w:sz w:val="16"/>
                <w:szCs w:val="16"/>
              </w:rPr>
              <w:t>10,106 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003A0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F5E6F"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496A936"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E62AC5" w14:textId="77777777" w:rsidR="00000000" w:rsidRDefault="00C1661D">
            <w:pPr>
              <w:spacing w:after="100"/>
              <w:jc w:val="right"/>
              <w:rPr>
                <w:rFonts w:eastAsia="Times New Roman"/>
              </w:rPr>
            </w:pPr>
            <w:r>
              <w:rPr>
                <w:rFonts w:eastAsia="Times New Roman"/>
                <w:color w:val="000000"/>
                <w:sz w:val="16"/>
                <w:szCs w:val="16"/>
              </w:rPr>
              <w:t>(477)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03C39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72A98E"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DF8D8C"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45FFFC" w14:textId="77777777" w:rsidR="00000000" w:rsidRDefault="00C1661D">
            <w:pPr>
              <w:spacing w:after="100"/>
              <w:jc w:val="right"/>
              <w:rPr>
                <w:rFonts w:eastAsia="Times New Roman"/>
              </w:rPr>
            </w:pPr>
            <w:r>
              <w:rPr>
                <w:rFonts w:eastAsia="Times New Roman"/>
                <w:color w:val="000000"/>
                <w:sz w:val="16"/>
                <w:szCs w:val="16"/>
              </w:rPr>
              <w:t>2,943 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7A555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9C381"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3DE2DE"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4350F34" w14:textId="77777777" w:rsidR="00000000" w:rsidRDefault="00C1661D">
            <w:pPr>
              <w:spacing w:after="100"/>
              <w:jc w:val="right"/>
              <w:rPr>
                <w:rFonts w:eastAsia="Times New Roman"/>
              </w:rPr>
            </w:pPr>
            <w:r>
              <w:rPr>
                <w:rFonts w:eastAsia="Times New Roman"/>
                <w:color w:val="000000"/>
                <w:sz w:val="16"/>
                <w:szCs w:val="16"/>
              </w:rPr>
              <w:t>3,686 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2950C5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074643"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1F5E51"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722B6E" w14:textId="77777777" w:rsidR="00000000" w:rsidRDefault="00C1661D">
            <w:pPr>
              <w:spacing w:after="100"/>
              <w:jc w:val="right"/>
              <w:rPr>
                <w:rFonts w:eastAsia="Times New Roman"/>
              </w:rPr>
            </w:pPr>
            <w:r>
              <w:rPr>
                <w:rFonts w:eastAsia="Times New Roman"/>
                <w:color w:val="000000"/>
                <w:sz w:val="16"/>
                <w:szCs w:val="16"/>
              </w:rPr>
              <w:t>2,326 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F90B4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328758"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7F3207"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AF2882" w14:textId="77777777" w:rsidR="00000000" w:rsidRDefault="00C1661D">
            <w:pPr>
              <w:spacing w:after="100"/>
              <w:jc w:val="right"/>
              <w:rPr>
                <w:rFonts w:eastAsia="Times New Roman"/>
              </w:rPr>
            </w:pPr>
            <w:r>
              <w:rPr>
                <w:rFonts w:eastAsia="Times New Roman"/>
                <w:color w:val="000000"/>
                <w:sz w:val="16"/>
                <w:szCs w:val="16"/>
              </w:rPr>
              <w:t>1,620 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B1E7B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12D48F"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0714892"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F9BB9E" w14:textId="77777777" w:rsidR="00000000" w:rsidRDefault="00C1661D">
            <w:pPr>
              <w:spacing w:after="100"/>
              <w:jc w:val="right"/>
              <w:rPr>
                <w:rFonts w:eastAsia="Times New Roman"/>
              </w:rPr>
            </w:pPr>
            <w:r>
              <w:rPr>
                <w:rFonts w:eastAsia="Times New Roman"/>
                <w:color w:val="000000"/>
                <w:sz w:val="16"/>
                <w:szCs w:val="16"/>
              </w:rPr>
              <w:t>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9F672D" w14:textId="77777777" w:rsidR="00000000" w:rsidRDefault="00C1661D">
            <w:pPr>
              <w:spacing w:after="100"/>
              <w:jc w:val="right"/>
              <w:rPr>
                <w:rFonts w:eastAsia="Times New Roman"/>
              </w:rPr>
            </w:pPr>
          </w:p>
        </w:tc>
      </w:tr>
    </w:tbl>
    <w:p w14:paraId="454683EE" w14:textId="77777777" w:rsidR="00000000" w:rsidRDefault="00C1661D">
      <w:pPr>
        <w:jc w:val="center"/>
        <w:divId w:val="1442989838"/>
        <w:rPr>
          <w:rFonts w:eastAsia="Times New Roman"/>
        </w:rPr>
      </w:pPr>
      <w:r>
        <w:rPr>
          <w:rFonts w:eastAsia="Times New Roman"/>
          <w:color w:val="000000"/>
          <w:sz w:val="20"/>
          <w:szCs w:val="20"/>
        </w:rPr>
        <w:t>F-21</w:t>
      </w:r>
    </w:p>
    <w:p w14:paraId="3D402830" w14:textId="77777777" w:rsidR="00000000" w:rsidRDefault="00C1661D">
      <w:pPr>
        <w:rPr>
          <w:rFonts w:eastAsia="Times New Roman"/>
        </w:rPr>
      </w:pPr>
      <w:r>
        <w:rPr>
          <w:rFonts w:eastAsia="Times New Roman"/>
        </w:rPr>
        <w:pict w14:anchorId="117AF30E">
          <v:rect id="_x0000_i1134" style="width:0;height:1.5pt" o:hralign="center" o:hrstd="t" o:hr="t" fillcolor="#a0a0a0" stroked="f"/>
        </w:pict>
      </w:r>
    </w:p>
    <w:p w14:paraId="61529466" w14:textId="77777777" w:rsidR="00000000" w:rsidRDefault="00C1661D">
      <w:pPr>
        <w:divId w:val="1805540547"/>
        <w:rPr>
          <w:rFonts w:eastAsia="Times New Roman"/>
        </w:rPr>
      </w:pPr>
      <w:hyperlink w:anchor="i3850c3c6c0104e42b9951aac2f16098a_7" w:history="1">
        <w:r>
          <w:rPr>
            <w:rStyle w:val="a3"/>
            <w:rFonts w:eastAsia="Times New Roman"/>
            <w:sz w:val="20"/>
            <w:szCs w:val="20"/>
          </w:rPr>
          <w:t>Ta</w:t>
        </w:r>
        <w:r>
          <w:rPr>
            <w:rStyle w:val="a3"/>
            <w:rFonts w:eastAsia="Times New Roman"/>
            <w:sz w:val="20"/>
            <w:szCs w:val="20"/>
          </w:rPr>
          <w:t>ble of Contents</w:t>
        </w:r>
      </w:hyperlink>
    </w:p>
    <w:p w14:paraId="3813FA87" w14:textId="77777777" w:rsidR="00000000" w:rsidRDefault="00C1661D">
      <w:pPr>
        <w:divId w:val="1320187128"/>
        <w:rPr>
          <w:rFonts w:eastAsia="Times New Roman"/>
        </w:rPr>
      </w:pPr>
      <w:r>
        <w:rPr>
          <w:rFonts w:eastAsia="Times New Roman"/>
          <w:b/>
          <w:bCs/>
          <w:color w:val="000000"/>
          <w:sz w:val="20"/>
          <w:szCs w:val="20"/>
        </w:rPr>
        <w:t>UGI Corporation and Subsidiaries</w:t>
      </w:r>
    </w:p>
    <w:p w14:paraId="717ECEFA" w14:textId="77777777" w:rsidR="00000000" w:rsidRDefault="00C1661D">
      <w:pPr>
        <w:divId w:val="2036693564"/>
        <w:rPr>
          <w:rFonts w:eastAsia="Times New Roman"/>
        </w:rPr>
      </w:pPr>
      <w:r>
        <w:rPr>
          <w:rFonts w:eastAsia="Times New Roman"/>
          <w:b/>
          <w:bCs/>
          <w:color w:val="000000"/>
          <w:sz w:val="20"/>
          <w:szCs w:val="20"/>
        </w:rPr>
        <w:t>Notes to Consolidated Financial Statements</w:t>
      </w:r>
    </w:p>
    <w:p w14:paraId="28D74708" w14:textId="77777777" w:rsidR="00000000" w:rsidRDefault="00C1661D">
      <w:pPr>
        <w:divId w:val="2118285260"/>
        <w:rPr>
          <w:rFonts w:eastAsia="Times New Roman"/>
        </w:rPr>
      </w:pPr>
      <w:r>
        <w:rPr>
          <w:rFonts w:eastAsia="Times New Roman"/>
          <w:color w:val="000000"/>
          <w:sz w:val="20"/>
          <w:szCs w:val="20"/>
        </w:rPr>
        <w:t>(Currency in millions, except per share amounts and where indicated otherwise)</w:t>
      </w:r>
    </w:p>
    <w:tbl>
      <w:tblPr>
        <w:tblW w:w="4985" w:type="pct"/>
        <w:tblCellMar>
          <w:top w:w="15" w:type="dxa"/>
          <w:left w:w="15" w:type="dxa"/>
          <w:bottom w:w="15" w:type="dxa"/>
          <w:right w:w="15" w:type="dxa"/>
        </w:tblCellMar>
        <w:tblLook w:val="04A0" w:firstRow="1" w:lastRow="0" w:firstColumn="1" w:lastColumn="0" w:noHBand="0" w:noVBand="1"/>
      </w:tblPr>
      <w:tblGrid>
        <w:gridCol w:w="40"/>
        <w:gridCol w:w="2082"/>
        <w:gridCol w:w="38"/>
        <w:gridCol w:w="36"/>
        <w:gridCol w:w="36"/>
        <w:gridCol w:w="36"/>
        <w:gridCol w:w="100"/>
        <w:gridCol w:w="406"/>
        <w:gridCol w:w="36"/>
        <w:gridCol w:w="36"/>
        <w:gridCol w:w="36"/>
        <w:gridCol w:w="36"/>
        <w:gridCol w:w="101"/>
        <w:gridCol w:w="801"/>
        <w:gridCol w:w="36"/>
        <w:gridCol w:w="36"/>
        <w:gridCol w:w="36"/>
        <w:gridCol w:w="36"/>
        <w:gridCol w:w="101"/>
        <w:gridCol w:w="647"/>
        <w:gridCol w:w="36"/>
        <w:gridCol w:w="36"/>
        <w:gridCol w:w="36"/>
        <w:gridCol w:w="36"/>
        <w:gridCol w:w="101"/>
        <w:gridCol w:w="758"/>
        <w:gridCol w:w="36"/>
        <w:gridCol w:w="36"/>
        <w:gridCol w:w="36"/>
        <w:gridCol w:w="36"/>
        <w:gridCol w:w="101"/>
        <w:gridCol w:w="684"/>
        <w:gridCol w:w="36"/>
        <w:gridCol w:w="36"/>
        <w:gridCol w:w="36"/>
        <w:gridCol w:w="36"/>
        <w:gridCol w:w="101"/>
        <w:gridCol w:w="483"/>
        <w:gridCol w:w="36"/>
        <w:gridCol w:w="36"/>
        <w:gridCol w:w="36"/>
        <w:gridCol w:w="36"/>
        <w:gridCol w:w="101"/>
        <w:gridCol w:w="628"/>
        <w:gridCol w:w="36"/>
      </w:tblGrid>
      <w:tr w:rsidR="00000000" w14:paraId="4493A314" w14:textId="77777777">
        <w:trPr>
          <w:divId w:val="1048069374"/>
        </w:trPr>
        <w:tc>
          <w:tcPr>
            <w:tcW w:w="50" w:type="pct"/>
            <w:vAlign w:val="center"/>
            <w:hideMark/>
          </w:tcPr>
          <w:p w14:paraId="65CCBB45" w14:textId="77777777" w:rsidR="00000000" w:rsidRDefault="00C1661D">
            <w:pPr>
              <w:rPr>
                <w:rFonts w:eastAsia="Times New Roman"/>
              </w:rPr>
            </w:pPr>
          </w:p>
        </w:tc>
        <w:tc>
          <w:tcPr>
            <w:tcW w:w="1389" w:type="pct"/>
            <w:vAlign w:val="center"/>
            <w:hideMark/>
          </w:tcPr>
          <w:p w14:paraId="7A393D33" w14:textId="77777777" w:rsidR="00000000" w:rsidRDefault="00C1661D">
            <w:pPr>
              <w:spacing w:after="100"/>
              <w:rPr>
                <w:rFonts w:eastAsia="Times New Roman"/>
                <w:sz w:val="20"/>
                <w:szCs w:val="20"/>
              </w:rPr>
            </w:pPr>
          </w:p>
        </w:tc>
        <w:tc>
          <w:tcPr>
            <w:tcW w:w="5" w:type="pct"/>
            <w:vAlign w:val="center"/>
            <w:hideMark/>
          </w:tcPr>
          <w:p w14:paraId="00EDC664" w14:textId="77777777" w:rsidR="00000000" w:rsidRDefault="00C1661D">
            <w:pPr>
              <w:spacing w:after="100"/>
              <w:rPr>
                <w:rFonts w:eastAsia="Times New Roman"/>
                <w:sz w:val="20"/>
                <w:szCs w:val="20"/>
              </w:rPr>
            </w:pPr>
          </w:p>
        </w:tc>
        <w:tc>
          <w:tcPr>
            <w:tcW w:w="5" w:type="pct"/>
            <w:vAlign w:val="center"/>
            <w:hideMark/>
          </w:tcPr>
          <w:p w14:paraId="3CE09D5B" w14:textId="77777777" w:rsidR="00000000" w:rsidRDefault="00C1661D">
            <w:pPr>
              <w:spacing w:after="100"/>
              <w:rPr>
                <w:rFonts w:eastAsia="Times New Roman"/>
                <w:sz w:val="20"/>
                <w:szCs w:val="20"/>
              </w:rPr>
            </w:pPr>
          </w:p>
        </w:tc>
        <w:tc>
          <w:tcPr>
            <w:tcW w:w="41" w:type="pct"/>
            <w:vAlign w:val="center"/>
            <w:hideMark/>
          </w:tcPr>
          <w:p w14:paraId="10017A4A" w14:textId="77777777" w:rsidR="00000000" w:rsidRDefault="00C1661D">
            <w:pPr>
              <w:spacing w:after="100"/>
              <w:rPr>
                <w:rFonts w:eastAsia="Times New Roman"/>
                <w:sz w:val="20"/>
                <w:szCs w:val="20"/>
              </w:rPr>
            </w:pPr>
          </w:p>
        </w:tc>
        <w:tc>
          <w:tcPr>
            <w:tcW w:w="5" w:type="pct"/>
            <w:vAlign w:val="center"/>
            <w:hideMark/>
          </w:tcPr>
          <w:p w14:paraId="23BD19BD" w14:textId="77777777" w:rsidR="00000000" w:rsidRDefault="00C1661D">
            <w:pPr>
              <w:spacing w:after="100"/>
              <w:rPr>
                <w:rFonts w:eastAsia="Times New Roman"/>
                <w:sz w:val="20"/>
                <w:szCs w:val="20"/>
              </w:rPr>
            </w:pPr>
          </w:p>
        </w:tc>
        <w:tc>
          <w:tcPr>
            <w:tcW w:w="50" w:type="pct"/>
            <w:vAlign w:val="center"/>
            <w:hideMark/>
          </w:tcPr>
          <w:p w14:paraId="28912B9F" w14:textId="77777777" w:rsidR="00000000" w:rsidRDefault="00C1661D">
            <w:pPr>
              <w:spacing w:after="100"/>
              <w:rPr>
                <w:rFonts w:eastAsia="Times New Roman"/>
                <w:sz w:val="20"/>
                <w:szCs w:val="20"/>
              </w:rPr>
            </w:pPr>
          </w:p>
        </w:tc>
        <w:tc>
          <w:tcPr>
            <w:tcW w:w="384" w:type="pct"/>
            <w:vAlign w:val="center"/>
            <w:hideMark/>
          </w:tcPr>
          <w:p w14:paraId="644342EF" w14:textId="77777777" w:rsidR="00000000" w:rsidRDefault="00C1661D">
            <w:pPr>
              <w:spacing w:after="100"/>
              <w:rPr>
                <w:rFonts w:eastAsia="Times New Roman"/>
                <w:sz w:val="20"/>
                <w:szCs w:val="20"/>
              </w:rPr>
            </w:pPr>
          </w:p>
        </w:tc>
        <w:tc>
          <w:tcPr>
            <w:tcW w:w="5" w:type="pct"/>
            <w:vAlign w:val="center"/>
            <w:hideMark/>
          </w:tcPr>
          <w:p w14:paraId="036BB24E" w14:textId="77777777" w:rsidR="00000000" w:rsidRDefault="00C1661D">
            <w:pPr>
              <w:spacing w:after="100"/>
              <w:rPr>
                <w:rFonts w:eastAsia="Times New Roman"/>
                <w:sz w:val="20"/>
                <w:szCs w:val="20"/>
              </w:rPr>
            </w:pPr>
          </w:p>
        </w:tc>
        <w:tc>
          <w:tcPr>
            <w:tcW w:w="5" w:type="pct"/>
            <w:vAlign w:val="center"/>
            <w:hideMark/>
          </w:tcPr>
          <w:p w14:paraId="55A407E4" w14:textId="77777777" w:rsidR="00000000" w:rsidRDefault="00C1661D">
            <w:pPr>
              <w:spacing w:after="100"/>
              <w:rPr>
                <w:rFonts w:eastAsia="Times New Roman"/>
                <w:sz w:val="20"/>
                <w:szCs w:val="20"/>
              </w:rPr>
            </w:pPr>
          </w:p>
        </w:tc>
        <w:tc>
          <w:tcPr>
            <w:tcW w:w="41" w:type="pct"/>
            <w:vAlign w:val="center"/>
            <w:hideMark/>
          </w:tcPr>
          <w:p w14:paraId="10CFA074" w14:textId="77777777" w:rsidR="00000000" w:rsidRDefault="00C1661D">
            <w:pPr>
              <w:spacing w:after="100"/>
              <w:rPr>
                <w:rFonts w:eastAsia="Times New Roman"/>
                <w:sz w:val="20"/>
                <w:szCs w:val="20"/>
              </w:rPr>
            </w:pPr>
          </w:p>
        </w:tc>
        <w:tc>
          <w:tcPr>
            <w:tcW w:w="5" w:type="pct"/>
            <w:vAlign w:val="center"/>
            <w:hideMark/>
          </w:tcPr>
          <w:p w14:paraId="084B47D4" w14:textId="77777777" w:rsidR="00000000" w:rsidRDefault="00C1661D">
            <w:pPr>
              <w:spacing w:after="100"/>
              <w:rPr>
                <w:rFonts w:eastAsia="Times New Roman"/>
                <w:sz w:val="20"/>
                <w:szCs w:val="20"/>
              </w:rPr>
            </w:pPr>
          </w:p>
        </w:tc>
        <w:tc>
          <w:tcPr>
            <w:tcW w:w="50" w:type="pct"/>
            <w:vAlign w:val="center"/>
            <w:hideMark/>
          </w:tcPr>
          <w:p w14:paraId="4B0F40A5" w14:textId="77777777" w:rsidR="00000000" w:rsidRDefault="00C1661D">
            <w:pPr>
              <w:spacing w:after="100"/>
              <w:rPr>
                <w:rFonts w:eastAsia="Times New Roman"/>
                <w:sz w:val="20"/>
                <w:szCs w:val="20"/>
              </w:rPr>
            </w:pPr>
          </w:p>
        </w:tc>
        <w:tc>
          <w:tcPr>
            <w:tcW w:w="450" w:type="pct"/>
            <w:vAlign w:val="center"/>
            <w:hideMark/>
          </w:tcPr>
          <w:p w14:paraId="232FCF5D" w14:textId="77777777" w:rsidR="00000000" w:rsidRDefault="00C1661D">
            <w:pPr>
              <w:spacing w:after="100"/>
              <w:rPr>
                <w:rFonts w:eastAsia="Times New Roman"/>
                <w:sz w:val="20"/>
                <w:szCs w:val="20"/>
              </w:rPr>
            </w:pPr>
          </w:p>
        </w:tc>
        <w:tc>
          <w:tcPr>
            <w:tcW w:w="5" w:type="pct"/>
            <w:vAlign w:val="center"/>
            <w:hideMark/>
          </w:tcPr>
          <w:p w14:paraId="7C32D8F4" w14:textId="77777777" w:rsidR="00000000" w:rsidRDefault="00C1661D">
            <w:pPr>
              <w:spacing w:after="100"/>
              <w:rPr>
                <w:rFonts w:eastAsia="Times New Roman"/>
                <w:sz w:val="20"/>
                <w:szCs w:val="20"/>
              </w:rPr>
            </w:pPr>
          </w:p>
        </w:tc>
        <w:tc>
          <w:tcPr>
            <w:tcW w:w="5" w:type="pct"/>
            <w:vAlign w:val="center"/>
            <w:hideMark/>
          </w:tcPr>
          <w:p w14:paraId="45BA155B" w14:textId="77777777" w:rsidR="00000000" w:rsidRDefault="00C1661D">
            <w:pPr>
              <w:spacing w:after="100"/>
              <w:rPr>
                <w:rFonts w:eastAsia="Times New Roman"/>
                <w:sz w:val="20"/>
                <w:szCs w:val="20"/>
              </w:rPr>
            </w:pPr>
          </w:p>
        </w:tc>
        <w:tc>
          <w:tcPr>
            <w:tcW w:w="41" w:type="pct"/>
            <w:vAlign w:val="center"/>
            <w:hideMark/>
          </w:tcPr>
          <w:p w14:paraId="0ED222B2" w14:textId="77777777" w:rsidR="00000000" w:rsidRDefault="00C1661D">
            <w:pPr>
              <w:spacing w:after="100"/>
              <w:rPr>
                <w:rFonts w:eastAsia="Times New Roman"/>
                <w:sz w:val="20"/>
                <w:szCs w:val="20"/>
              </w:rPr>
            </w:pPr>
          </w:p>
        </w:tc>
        <w:tc>
          <w:tcPr>
            <w:tcW w:w="5" w:type="pct"/>
            <w:vAlign w:val="center"/>
            <w:hideMark/>
          </w:tcPr>
          <w:p w14:paraId="2E89C9F3" w14:textId="77777777" w:rsidR="00000000" w:rsidRDefault="00C1661D">
            <w:pPr>
              <w:spacing w:after="100"/>
              <w:rPr>
                <w:rFonts w:eastAsia="Times New Roman"/>
                <w:sz w:val="20"/>
                <w:szCs w:val="20"/>
              </w:rPr>
            </w:pPr>
          </w:p>
        </w:tc>
        <w:tc>
          <w:tcPr>
            <w:tcW w:w="50" w:type="pct"/>
            <w:vAlign w:val="center"/>
            <w:hideMark/>
          </w:tcPr>
          <w:p w14:paraId="77154D76" w14:textId="77777777" w:rsidR="00000000" w:rsidRDefault="00C1661D">
            <w:pPr>
              <w:spacing w:after="100"/>
              <w:rPr>
                <w:rFonts w:eastAsia="Times New Roman"/>
                <w:sz w:val="20"/>
                <w:szCs w:val="20"/>
              </w:rPr>
            </w:pPr>
          </w:p>
        </w:tc>
        <w:tc>
          <w:tcPr>
            <w:tcW w:w="392" w:type="pct"/>
            <w:vAlign w:val="center"/>
            <w:hideMark/>
          </w:tcPr>
          <w:p w14:paraId="07498E13" w14:textId="77777777" w:rsidR="00000000" w:rsidRDefault="00C1661D">
            <w:pPr>
              <w:spacing w:after="100"/>
              <w:rPr>
                <w:rFonts w:eastAsia="Times New Roman"/>
                <w:sz w:val="20"/>
                <w:szCs w:val="20"/>
              </w:rPr>
            </w:pPr>
          </w:p>
        </w:tc>
        <w:tc>
          <w:tcPr>
            <w:tcW w:w="5" w:type="pct"/>
            <w:vAlign w:val="center"/>
            <w:hideMark/>
          </w:tcPr>
          <w:p w14:paraId="2BDC1917" w14:textId="77777777" w:rsidR="00000000" w:rsidRDefault="00C1661D">
            <w:pPr>
              <w:spacing w:after="100"/>
              <w:rPr>
                <w:rFonts w:eastAsia="Times New Roman"/>
                <w:sz w:val="20"/>
                <w:szCs w:val="20"/>
              </w:rPr>
            </w:pPr>
          </w:p>
        </w:tc>
        <w:tc>
          <w:tcPr>
            <w:tcW w:w="5" w:type="pct"/>
            <w:vAlign w:val="center"/>
            <w:hideMark/>
          </w:tcPr>
          <w:p w14:paraId="35BB44F3" w14:textId="77777777" w:rsidR="00000000" w:rsidRDefault="00C1661D">
            <w:pPr>
              <w:spacing w:after="100"/>
              <w:rPr>
                <w:rFonts w:eastAsia="Times New Roman"/>
                <w:sz w:val="20"/>
                <w:szCs w:val="20"/>
              </w:rPr>
            </w:pPr>
          </w:p>
        </w:tc>
        <w:tc>
          <w:tcPr>
            <w:tcW w:w="41" w:type="pct"/>
            <w:vAlign w:val="center"/>
            <w:hideMark/>
          </w:tcPr>
          <w:p w14:paraId="6C50DD97" w14:textId="77777777" w:rsidR="00000000" w:rsidRDefault="00C1661D">
            <w:pPr>
              <w:spacing w:after="100"/>
              <w:rPr>
                <w:rFonts w:eastAsia="Times New Roman"/>
                <w:sz w:val="20"/>
                <w:szCs w:val="20"/>
              </w:rPr>
            </w:pPr>
          </w:p>
        </w:tc>
        <w:tc>
          <w:tcPr>
            <w:tcW w:w="5" w:type="pct"/>
            <w:vAlign w:val="center"/>
            <w:hideMark/>
          </w:tcPr>
          <w:p w14:paraId="7551D659" w14:textId="77777777" w:rsidR="00000000" w:rsidRDefault="00C1661D">
            <w:pPr>
              <w:spacing w:after="100"/>
              <w:rPr>
                <w:rFonts w:eastAsia="Times New Roman"/>
                <w:sz w:val="20"/>
                <w:szCs w:val="20"/>
              </w:rPr>
            </w:pPr>
          </w:p>
        </w:tc>
        <w:tc>
          <w:tcPr>
            <w:tcW w:w="50" w:type="pct"/>
            <w:vAlign w:val="center"/>
            <w:hideMark/>
          </w:tcPr>
          <w:p w14:paraId="5F991522" w14:textId="77777777" w:rsidR="00000000" w:rsidRDefault="00C1661D">
            <w:pPr>
              <w:spacing w:after="100"/>
              <w:rPr>
                <w:rFonts w:eastAsia="Times New Roman"/>
                <w:sz w:val="20"/>
                <w:szCs w:val="20"/>
              </w:rPr>
            </w:pPr>
          </w:p>
        </w:tc>
        <w:tc>
          <w:tcPr>
            <w:tcW w:w="421" w:type="pct"/>
            <w:vAlign w:val="center"/>
            <w:hideMark/>
          </w:tcPr>
          <w:p w14:paraId="0ECC9C7C" w14:textId="77777777" w:rsidR="00000000" w:rsidRDefault="00C1661D">
            <w:pPr>
              <w:spacing w:after="100"/>
              <w:rPr>
                <w:rFonts w:eastAsia="Times New Roman"/>
                <w:sz w:val="20"/>
                <w:szCs w:val="20"/>
              </w:rPr>
            </w:pPr>
          </w:p>
        </w:tc>
        <w:tc>
          <w:tcPr>
            <w:tcW w:w="5" w:type="pct"/>
            <w:vAlign w:val="center"/>
            <w:hideMark/>
          </w:tcPr>
          <w:p w14:paraId="5A9C006F" w14:textId="77777777" w:rsidR="00000000" w:rsidRDefault="00C1661D">
            <w:pPr>
              <w:spacing w:after="100"/>
              <w:rPr>
                <w:rFonts w:eastAsia="Times New Roman"/>
                <w:sz w:val="20"/>
                <w:szCs w:val="20"/>
              </w:rPr>
            </w:pPr>
          </w:p>
        </w:tc>
        <w:tc>
          <w:tcPr>
            <w:tcW w:w="5" w:type="pct"/>
            <w:vAlign w:val="center"/>
            <w:hideMark/>
          </w:tcPr>
          <w:p w14:paraId="2DC995CA" w14:textId="77777777" w:rsidR="00000000" w:rsidRDefault="00C1661D">
            <w:pPr>
              <w:spacing w:after="100"/>
              <w:rPr>
                <w:rFonts w:eastAsia="Times New Roman"/>
                <w:sz w:val="20"/>
                <w:szCs w:val="20"/>
              </w:rPr>
            </w:pPr>
          </w:p>
        </w:tc>
        <w:tc>
          <w:tcPr>
            <w:tcW w:w="41" w:type="pct"/>
            <w:vAlign w:val="center"/>
            <w:hideMark/>
          </w:tcPr>
          <w:p w14:paraId="29843CB4" w14:textId="77777777" w:rsidR="00000000" w:rsidRDefault="00C1661D">
            <w:pPr>
              <w:spacing w:after="100"/>
              <w:rPr>
                <w:rFonts w:eastAsia="Times New Roman"/>
                <w:sz w:val="20"/>
                <w:szCs w:val="20"/>
              </w:rPr>
            </w:pPr>
          </w:p>
        </w:tc>
        <w:tc>
          <w:tcPr>
            <w:tcW w:w="5" w:type="pct"/>
            <w:vAlign w:val="center"/>
            <w:hideMark/>
          </w:tcPr>
          <w:p w14:paraId="51198275" w14:textId="77777777" w:rsidR="00000000" w:rsidRDefault="00C1661D">
            <w:pPr>
              <w:spacing w:after="100"/>
              <w:rPr>
                <w:rFonts w:eastAsia="Times New Roman"/>
                <w:sz w:val="20"/>
                <w:szCs w:val="20"/>
              </w:rPr>
            </w:pPr>
          </w:p>
        </w:tc>
        <w:tc>
          <w:tcPr>
            <w:tcW w:w="50" w:type="pct"/>
            <w:vAlign w:val="center"/>
            <w:hideMark/>
          </w:tcPr>
          <w:p w14:paraId="5AAE9DC4" w14:textId="77777777" w:rsidR="00000000" w:rsidRDefault="00C1661D">
            <w:pPr>
              <w:spacing w:after="100"/>
              <w:rPr>
                <w:rFonts w:eastAsia="Times New Roman"/>
                <w:sz w:val="20"/>
                <w:szCs w:val="20"/>
              </w:rPr>
            </w:pPr>
          </w:p>
        </w:tc>
        <w:tc>
          <w:tcPr>
            <w:tcW w:w="421" w:type="pct"/>
            <w:vAlign w:val="center"/>
            <w:hideMark/>
          </w:tcPr>
          <w:p w14:paraId="77E74B2E" w14:textId="77777777" w:rsidR="00000000" w:rsidRDefault="00C1661D">
            <w:pPr>
              <w:spacing w:after="100"/>
              <w:rPr>
                <w:rFonts w:eastAsia="Times New Roman"/>
                <w:sz w:val="20"/>
                <w:szCs w:val="20"/>
              </w:rPr>
            </w:pPr>
          </w:p>
        </w:tc>
        <w:tc>
          <w:tcPr>
            <w:tcW w:w="5" w:type="pct"/>
            <w:vAlign w:val="center"/>
            <w:hideMark/>
          </w:tcPr>
          <w:p w14:paraId="7F3C21E3" w14:textId="77777777" w:rsidR="00000000" w:rsidRDefault="00C1661D">
            <w:pPr>
              <w:spacing w:after="100"/>
              <w:rPr>
                <w:rFonts w:eastAsia="Times New Roman"/>
                <w:sz w:val="20"/>
                <w:szCs w:val="20"/>
              </w:rPr>
            </w:pPr>
          </w:p>
        </w:tc>
        <w:tc>
          <w:tcPr>
            <w:tcW w:w="5" w:type="pct"/>
            <w:vAlign w:val="center"/>
            <w:hideMark/>
          </w:tcPr>
          <w:p w14:paraId="40ECFD2C" w14:textId="77777777" w:rsidR="00000000" w:rsidRDefault="00C1661D">
            <w:pPr>
              <w:spacing w:after="100"/>
              <w:rPr>
                <w:rFonts w:eastAsia="Times New Roman"/>
                <w:sz w:val="20"/>
                <w:szCs w:val="20"/>
              </w:rPr>
            </w:pPr>
          </w:p>
        </w:tc>
        <w:tc>
          <w:tcPr>
            <w:tcW w:w="41" w:type="pct"/>
            <w:vAlign w:val="center"/>
            <w:hideMark/>
          </w:tcPr>
          <w:p w14:paraId="5EB956A0" w14:textId="77777777" w:rsidR="00000000" w:rsidRDefault="00C1661D">
            <w:pPr>
              <w:spacing w:after="100"/>
              <w:rPr>
                <w:rFonts w:eastAsia="Times New Roman"/>
                <w:sz w:val="20"/>
                <w:szCs w:val="20"/>
              </w:rPr>
            </w:pPr>
          </w:p>
        </w:tc>
        <w:tc>
          <w:tcPr>
            <w:tcW w:w="5" w:type="pct"/>
            <w:vAlign w:val="center"/>
            <w:hideMark/>
          </w:tcPr>
          <w:p w14:paraId="073D2992" w14:textId="77777777" w:rsidR="00000000" w:rsidRDefault="00C1661D">
            <w:pPr>
              <w:spacing w:after="100"/>
              <w:rPr>
                <w:rFonts w:eastAsia="Times New Roman"/>
                <w:sz w:val="20"/>
                <w:szCs w:val="20"/>
              </w:rPr>
            </w:pPr>
          </w:p>
        </w:tc>
        <w:tc>
          <w:tcPr>
            <w:tcW w:w="50" w:type="pct"/>
            <w:vAlign w:val="center"/>
            <w:hideMark/>
          </w:tcPr>
          <w:p w14:paraId="507079AA" w14:textId="77777777" w:rsidR="00000000" w:rsidRDefault="00C1661D">
            <w:pPr>
              <w:spacing w:after="100"/>
              <w:rPr>
                <w:rFonts w:eastAsia="Times New Roman"/>
                <w:sz w:val="20"/>
                <w:szCs w:val="20"/>
              </w:rPr>
            </w:pPr>
          </w:p>
        </w:tc>
        <w:tc>
          <w:tcPr>
            <w:tcW w:w="362" w:type="pct"/>
            <w:vAlign w:val="center"/>
            <w:hideMark/>
          </w:tcPr>
          <w:p w14:paraId="05F84E5F" w14:textId="77777777" w:rsidR="00000000" w:rsidRDefault="00C1661D">
            <w:pPr>
              <w:spacing w:after="100"/>
              <w:rPr>
                <w:rFonts w:eastAsia="Times New Roman"/>
                <w:sz w:val="20"/>
                <w:szCs w:val="20"/>
              </w:rPr>
            </w:pPr>
          </w:p>
        </w:tc>
        <w:tc>
          <w:tcPr>
            <w:tcW w:w="5" w:type="pct"/>
            <w:vAlign w:val="center"/>
            <w:hideMark/>
          </w:tcPr>
          <w:p w14:paraId="21E33D4C" w14:textId="77777777" w:rsidR="00000000" w:rsidRDefault="00C1661D">
            <w:pPr>
              <w:spacing w:after="100"/>
              <w:rPr>
                <w:rFonts w:eastAsia="Times New Roman"/>
                <w:sz w:val="20"/>
                <w:szCs w:val="20"/>
              </w:rPr>
            </w:pPr>
          </w:p>
        </w:tc>
        <w:tc>
          <w:tcPr>
            <w:tcW w:w="5" w:type="pct"/>
            <w:vAlign w:val="center"/>
            <w:hideMark/>
          </w:tcPr>
          <w:p w14:paraId="25B35B96" w14:textId="77777777" w:rsidR="00000000" w:rsidRDefault="00C1661D">
            <w:pPr>
              <w:spacing w:after="100"/>
              <w:rPr>
                <w:rFonts w:eastAsia="Times New Roman"/>
                <w:sz w:val="20"/>
                <w:szCs w:val="20"/>
              </w:rPr>
            </w:pPr>
          </w:p>
        </w:tc>
        <w:tc>
          <w:tcPr>
            <w:tcW w:w="41" w:type="pct"/>
            <w:vAlign w:val="center"/>
            <w:hideMark/>
          </w:tcPr>
          <w:p w14:paraId="6CCD4E33" w14:textId="77777777" w:rsidR="00000000" w:rsidRDefault="00C1661D">
            <w:pPr>
              <w:spacing w:after="100"/>
              <w:rPr>
                <w:rFonts w:eastAsia="Times New Roman"/>
                <w:sz w:val="20"/>
                <w:szCs w:val="20"/>
              </w:rPr>
            </w:pPr>
          </w:p>
        </w:tc>
        <w:tc>
          <w:tcPr>
            <w:tcW w:w="5" w:type="pct"/>
            <w:vAlign w:val="center"/>
            <w:hideMark/>
          </w:tcPr>
          <w:p w14:paraId="1B3DEA06" w14:textId="77777777" w:rsidR="00000000" w:rsidRDefault="00C1661D">
            <w:pPr>
              <w:spacing w:after="100"/>
              <w:rPr>
                <w:rFonts w:eastAsia="Times New Roman"/>
                <w:sz w:val="20"/>
                <w:szCs w:val="20"/>
              </w:rPr>
            </w:pPr>
          </w:p>
        </w:tc>
        <w:tc>
          <w:tcPr>
            <w:tcW w:w="50" w:type="pct"/>
            <w:vAlign w:val="center"/>
            <w:hideMark/>
          </w:tcPr>
          <w:p w14:paraId="3147A672" w14:textId="77777777" w:rsidR="00000000" w:rsidRDefault="00C1661D">
            <w:pPr>
              <w:spacing w:after="100"/>
              <w:rPr>
                <w:rFonts w:eastAsia="Times New Roman"/>
                <w:sz w:val="20"/>
                <w:szCs w:val="20"/>
              </w:rPr>
            </w:pPr>
          </w:p>
        </w:tc>
        <w:tc>
          <w:tcPr>
            <w:tcW w:w="377" w:type="pct"/>
            <w:vAlign w:val="center"/>
            <w:hideMark/>
          </w:tcPr>
          <w:p w14:paraId="24C93B15" w14:textId="77777777" w:rsidR="00000000" w:rsidRDefault="00C1661D">
            <w:pPr>
              <w:spacing w:after="100"/>
              <w:rPr>
                <w:rFonts w:eastAsia="Times New Roman"/>
                <w:sz w:val="20"/>
                <w:szCs w:val="20"/>
              </w:rPr>
            </w:pPr>
          </w:p>
        </w:tc>
        <w:tc>
          <w:tcPr>
            <w:tcW w:w="5" w:type="pct"/>
            <w:vAlign w:val="center"/>
            <w:hideMark/>
          </w:tcPr>
          <w:p w14:paraId="56EC5C09" w14:textId="77777777" w:rsidR="00000000" w:rsidRDefault="00C1661D">
            <w:pPr>
              <w:spacing w:after="100"/>
              <w:rPr>
                <w:rFonts w:eastAsia="Times New Roman"/>
                <w:sz w:val="20"/>
                <w:szCs w:val="20"/>
              </w:rPr>
            </w:pPr>
          </w:p>
        </w:tc>
      </w:tr>
      <w:tr w:rsidR="00000000" w14:paraId="2F247511" w14:textId="77777777">
        <w:trPr>
          <w:divId w:val="1048069374"/>
        </w:trPr>
        <w:tc>
          <w:tcPr>
            <w:tcW w:w="0" w:type="auto"/>
            <w:gridSpan w:val="3"/>
            <w:tcMar>
              <w:top w:w="30" w:type="dxa"/>
              <w:left w:w="20" w:type="dxa"/>
              <w:bottom w:w="30" w:type="dxa"/>
              <w:right w:w="20" w:type="dxa"/>
            </w:tcMar>
            <w:vAlign w:val="bottom"/>
            <w:hideMark/>
          </w:tcPr>
          <w:p w14:paraId="6EE41FFD" w14:textId="77777777" w:rsidR="00000000" w:rsidRDefault="00C1661D">
            <w:pPr>
              <w:spacing w:after="100"/>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40AC1210"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243DD20C" w14:textId="77777777" w:rsidR="00000000" w:rsidRDefault="00C1661D">
            <w:pPr>
              <w:spacing w:after="100"/>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14:paraId="72AFCEDA"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D9F7FBF" w14:textId="77777777" w:rsidR="00000000" w:rsidRDefault="00C1661D">
            <w:pPr>
              <w:spacing w:after="100"/>
              <w:jc w:val="center"/>
              <w:rPr>
                <w:rFonts w:eastAsia="Times New Roman"/>
              </w:rPr>
            </w:pPr>
            <w:r>
              <w:rPr>
                <w:rFonts w:eastAsia="Times New Roman"/>
                <w:color w:val="000000"/>
                <w:sz w:val="16"/>
                <w:szCs w:val="16"/>
              </w:rPr>
              <w:t> </w:t>
            </w:r>
            <w:r>
              <w:rPr>
                <w:rFonts w:eastAsia="Times New Roman"/>
                <w:color w:val="000000"/>
                <w:sz w:val="16"/>
                <w:szCs w:val="16"/>
              </w:rPr>
              <w:t>Eliminations</w:t>
            </w:r>
            <w:r>
              <w:rPr>
                <w:rFonts w:eastAsia="Times New Roman"/>
                <w:color w:val="000000"/>
                <w:sz w:val="16"/>
                <w:szCs w:val="16"/>
              </w:rPr>
              <w:br/>
              <w:t>(a)</w:t>
            </w:r>
          </w:p>
        </w:tc>
        <w:tc>
          <w:tcPr>
            <w:tcW w:w="0" w:type="auto"/>
            <w:gridSpan w:val="3"/>
            <w:tcMar>
              <w:top w:w="0" w:type="dxa"/>
              <w:left w:w="20" w:type="dxa"/>
              <w:bottom w:w="0" w:type="dxa"/>
              <w:right w:w="20" w:type="dxa"/>
            </w:tcMar>
            <w:vAlign w:val="center"/>
            <w:hideMark/>
          </w:tcPr>
          <w:p w14:paraId="4AF4BAA5"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9A93A3D" w14:textId="77777777" w:rsidR="00000000" w:rsidRDefault="00C1661D">
            <w:pPr>
              <w:spacing w:after="100"/>
              <w:jc w:val="center"/>
              <w:rPr>
                <w:rFonts w:eastAsia="Times New Roman"/>
              </w:rPr>
            </w:pPr>
            <w:r>
              <w:rPr>
                <w:rFonts w:eastAsia="Times New Roman"/>
                <w:color w:val="000000"/>
                <w:sz w:val="16"/>
                <w:szCs w:val="16"/>
              </w:rPr>
              <w:t> AmeriGas Propane</w:t>
            </w:r>
          </w:p>
        </w:tc>
        <w:tc>
          <w:tcPr>
            <w:tcW w:w="0" w:type="auto"/>
            <w:gridSpan w:val="3"/>
            <w:tcMar>
              <w:top w:w="0" w:type="dxa"/>
              <w:left w:w="20" w:type="dxa"/>
              <w:bottom w:w="0" w:type="dxa"/>
              <w:right w:w="20" w:type="dxa"/>
            </w:tcMar>
            <w:vAlign w:val="center"/>
            <w:hideMark/>
          </w:tcPr>
          <w:p w14:paraId="5C2BF805"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DD6CB0F" w14:textId="77777777" w:rsidR="00000000" w:rsidRDefault="00C1661D">
            <w:pPr>
              <w:spacing w:after="100"/>
              <w:jc w:val="center"/>
              <w:rPr>
                <w:rFonts w:eastAsia="Times New Roman"/>
              </w:rPr>
            </w:pPr>
            <w:r>
              <w:rPr>
                <w:rFonts w:eastAsia="Times New Roman"/>
                <w:color w:val="000000"/>
                <w:sz w:val="16"/>
                <w:szCs w:val="16"/>
              </w:rPr>
              <w:t> UGI International</w:t>
            </w:r>
          </w:p>
        </w:tc>
        <w:tc>
          <w:tcPr>
            <w:tcW w:w="0" w:type="auto"/>
            <w:gridSpan w:val="3"/>
            <w:tcMar>
              <w:top w:w="0" w:type="dxa"/>
              <w:left w:w="20" w:type="dxa"/>
              <w:bottom w:w="0" w:type="dxa"/>
              <w:right w:w="20" w:type="dxa"/>
            </w:tcMar>
            <w:vAlign w:val="center"/>
            <w:hideMark/>
          </w:tcPr>
          <w:p w14:paraId="5438BFDC"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254AB8" w14:textId="77777777" w:rsidR="00000000" w:rsidRDefault="00C1661D">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14:paraId="51B0289E"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E1322F1" w14:textId="77777777" w:rsidR="00000000" w:rsidRDefault="00C1661D">
            <w:pPr>
              <w:spacing w:after="100"/>
              <w:jc w:val="center"/>
              <w:rPr>
                <w:rFonts w:eastAsia="Times New Roman"/>
              </w:rPr>
            </w:pPr>
            <w:r>
              <w:rPr>
                <w:rFonts w:eastAsia="Times New Roman"/>
                <w:color w:val="000000"/>
                <w:sz w:val="16"/>
                <w:szCs w:val="16"/>
              </w:rPr>
              <w:t>Utilities</w:t>
            </w:r>
          </w:p>
        </w:tc>
        <w:tc>
          <w:tcPr>
            <w:tcW w:w="0" w:type="auto"/>
            <w:gridSpan w:val="3"/>
            <w:tcMar>
              <w:top w:w="0" w:type="dxa"/>
              <w:left w:w="20" w:type="dxa"/>
              <w:bottom w:w="0" w:type="dxa"/>
              <w:right w:w="20" w:type="dxa"/>
            </w:tcMar>
            <w:vAlign w:val="center"/>
            <w:hideMark/>
          </w:tcPr>
          <w:p w14:paraId="6F3066D1"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EE55617" w14:textId="77777777" w:rsidR="00000000" w:rsidRDefault="00C1661D">
            <w:pPr>
              <w:spacing w:after="100"/>
              <w:jc w:val="center"/>
              <w:rPr>
                <w:rFonts w:eastAsia="Times New Roman"/>
              </w:rPr>
            </w:pPr>
            <w:r>
              <w:rPr>
                <w:rFonts w:eastAsia="Times New Roman"/>
                <w:color w:val="000000"/>
                <w:sz w:val="16"/>
                <w:szCs w:val="16"/>
              </w:rPr>
              <w:t> Corporate &amp; Other</w:t>
            </w:r>
          </w:p>
        </w:tc>
      </w:tr>
      <w:tr w:rsidR="00000000" w14:paraId="284D7E6E" w14:textId="77777777">
        <w:trPr>
          <w:divId w:val="1048069374"/>
        </w:trPr>
        <w:tc>
          <w:tcPr>
            <w:tcW w:w="0" w:type="auto"/>
            <w:gridSpan w:val="3"/>
            <w:shd w:val="clear" w:color="auto" w:fill="CCEEFF"/>
            <w:tcMar>
              <w:top w:w="30" w:type="dxa"/>
              <w:left w:w="20" w:type="dxa"/>
              <w:bottom w:w="30" w:type="dxa"/>
              <w:right w:w="20" w:type="dxa"/>
            </w:tcMar>
            <w:vAlign w:val="bottom"/>
            <w:hideMark/>
          </w:tcPr>
          <w:p w14:paraId="24ABD64F" w14:textId="77777777" w:rsidR="00000000" w:rsidRDefault="00C1661D">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14:paraId="6F4952F6"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00A56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D6019D"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08A97F"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5B2F39"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2F7F7D"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3AB9D3"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F79E3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7D26D4"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47691D"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9825B3"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EB054B"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36C9BE"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1E63A0A" w14:textId="77777777" w:rsidR="00000000" w:rsidRDefault="00C1661D">
            <w:pPr>
              <w:spacing w:after="100"/>
              <w:rPr>
                <w:rFonts w:eastAsia="Times New Roman"/>
                <w:sz w:val="20"/>
                <w:szCs w:val="20"/>
              </w:rPr>
            </w:pPr>
          </w:p>
        </w:tc>
      </w:tr>
      <w:tr w:rsidR="00000000" w14:paraId="05DB291B" w14:textId="77777777">
        <w:trPr>
          <w:divId w:val="1048069374"/>
        </w:trPr>
        <w:tc>
          <w:tcPr>
            <w:tcW w:w="0" w:type="auto"/>
            <w:gridSpan w:val="3"/>
            <w:shd w:val="clear" w:color="auto" w:fill="FFFFFF"/>
            <w:tcMar>
              <w:top w:w="30" w:type="dxa"/>
              <w:left w:w="20" w:type="dxa"/>
              <w:bottom w:w="30" w:type="dxa"/>
              <w:right w:w="20" w:type="dxa"/>
            </w:tcMar>
            <w:vAlign w:val="bottom"/>
            <w:hideMark/>
          </w:tcPr>
          <w:p w14:paraId="3FF811E9" w14:textId="77777777" w:rsidR="00000000" w:rsidRDefault="00C1661D">
            <w:pPr>
              <w:spacing w:after="100"/>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14:paraId="2AD3EA38"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CD2044"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5B93D7"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436F5A"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13BE23"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723AE0"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498E60"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E7BB09"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FF3104"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08644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FB10EB"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C4D23A"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C1C028"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F58424" w14:textId="77777777" w:rsidR="00000000" w:rsidRDefault="00C1661D">
            <w:pPr>
              <w:spacing w:after="100"/>
              <w:rPr>
                <w:rFonts w:eastAsia="Times New Roman"/>
                <w:sz w:val="20"/>
                <w:szCs w:val="20"/>
              </w:rPr>
            </w:pPr>
          </w:p>
        </w:tc>
      </w:tr>
      <w:tr w:rsidR="00000000" w14:paraId="0B12AC10" w14:textId="77777777">
        <w:trPr>
          <w:divId w:val="1048069374"/>
        </w:trPr>
        <w:tc>
          <w:tcPr>
            <w:tcW w:w="0" w:type="auto"/>
            <w:gridSpan w:val="3"/>
            <w:shd w:val="clear" w:color="auto" w:fill="CCEEFF"/>
            <w:tcMar>
              <w:top w:w="30" w:type="dxa"/>
              <w:left w:w="155" w:type="dxa"/>
              <w:bottom w:w="30" w:type="dxa"/>
              <w:right w:w="20" w:type="dxa"/>
            </w:tcMar>
            <w:vAlign w:val="bottom"/>
            <w:hideMark/>
          </w:tcPr>
          <w:p w14:paraId="43C4A3FC" w14:textId="77777777" w:rsidR="00000000" w:rsidRDefault="00C1661D">
            <w:pPr>
              <w:spacing w:after="100"/>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14:paraId="69D3D6B5"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E0C7A0"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57383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146FD1"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129CF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1C62E9"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0B3A71"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CDEAEC"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BA52D4"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08427D"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EBAD7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69C7F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28B7CD"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201D59" w14:textId="77777777" w:rsidR="00000000" w:rsidRDefault="00C1661D">
            <w:pPr>
              <w:spacing w:after="100"/>
              <w:rPr>
                <w:rFonts w:eastAsia="Times New Roman"/>
                <w:sz w:val="20"/>
                <w:szCs w:val="20"/>
              </w:rPr>
            </w:pPr>
          </w:p>
        </w:tc>
      </w:tr>
      <w:tr w:rsidR="00C1661D" w14:paraId="7E701329" w14:textId="77777777">
        <w:trPr>
          <w:divId w:val="1048069374"/>
        </w:trPr>
        <w:tc>
          <w:tcPr>
            <w:tcW w:w="0" w:type="auto"/>
            <w:gridSpan w:val="3"/>
            <w:shd w:val="clear" w:color="auto" w:fill="FFFFFF"/>
            <w:tcMar>
              <w:top w:w="30" w:type="dxa"/>
              <w:left w:w="245" w:type="dxa"/>
              <w:bottom w:w="30" w:type="dxa"/>
              <w:right w:w="20" w:type="dxa"/>
            </w:tcMar>
            <w:vAlign w:val="bottom"/>
            <w:hideMark/>
          </w:tcPr>
          <w:p w14:paraId="665F9549" w14:textId="77777777" w:rsidR="00000000" w:rsidRDefault="00C1661D">
            <w:pPr>
              <w:spacing w:after="100"/>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14:paraId="7BEF098D"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C4E65FA"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6AAF620" w14:textId="77777777" w:rsidR="00000000" w:rsidRDefault="00C1661D">
            <w:pPr>
              <w:spacing w:after="100"/>
              <w:jc w:val="right"/>
              <w:rPr>
                <w:rFonts w:eastAsia="Times New Roman"/>
              </w:rPr>
            </w:pPr>
            <w:r>
              <w:rPr>
                <w:rFonts w:eastAsia="Times New Roman"/>
                <w:color w:val="000000"/>
                <w:sz w:val="16"/>
                <w:szCs w:val="16"/>
              </w:rPr>
              <w:t>568 </w:t>
            </w:r>
          </w:p>
        </w:tc>
        <w:tc>
          <w:tcPr>
            <w:tcW w:w="0" w:type="auto"/>
            <w:shd w:val="clear" w:color="auto" w:fill="FFFFFF"/>
            <w:tcMar>
              <w:top w:w="30" w:type="dxa"/>
              <w:left w:w="0" w:type="dxa"/>
              <w:bottom w:w="30" w:type="dxa"/>
              <w:right w:w="20" w:type="dxa"/>
            </w:tcMar>
            <w:vAlign w:val="bottom"/>
            <w:hideMark/>
          </w:tcPr>
          <w:p w14:paraId="67B0D5F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0DEC6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330CA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47A19D8"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B3E5AD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0E9F7"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98C711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BDC2AD8"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8647AF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CED936"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6FA0E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07D28F8"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C99848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7D8E4D"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C8EB5A"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DF9AB33"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E296C4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C2587"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A8934B"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C2789A0" w14:textId="77777777" w:rsidR="00000000" w:rsidRDefault="00C1661D">
            <w:pPr>
              <w:spacing w:after="100"/>
              <w:jc w:val="right"/>
              <w:rPr>
                <w:rFonts w:eastAsia="Times New Roman"/>
              </w:rPr>
            </w:pPr>
            <w:r>
              <w:rPr>
                <w:rFonts w:eastAsia="Times New Roman"/>
                <w:color w:val="000000"/>
                <w:sz w:val="16"/>
                <w:szCs w:val="16"/>
              </w:rPr>
              <w:t>568 </w:t>
            </w:r>
          </w:p>
        </w:tc>
        <w:tc>
          <w:tcPr>
            <w:tcW w:w="0" w:type="auto"/>
            <w:shd w:val="clear" w:color="auto" w:fill="FFFFFF"/>
            <w:tcMar>
              <w:top w:w="30" w:type="dxa"/>
              <w:left w:w="0" w:type="dxa"/>
              <w:bottom w:w="30" w:type="dxa"/>
              <w:right w:w="20" w:type="dxa"/>
            </w:tcMar>
            <w:vAlign w:val="bottom"/>
            <w:hideMark/>
          </w:tcPr>
          <w:p w14:paraId="53D78FD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B55D2F"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C48B26"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E1AF7A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B9CEE55" w14:textId="77777777" w:rsidR="00000000" w:rsidRDefault="00C1661D">
            <w:pPr>
              <w:spacing w:after="100"/>
              <w:jc w:val="right"/>
              <w:rPr>
                <w:rFonts w:eastAsia="Times New Roman"/>
              </w:rPr>
            </w:pPr>
          </w:p>
        </w:tc>
      </w:tr>
      <w:tr w:rsidR="00000000" w14:paraId="6E233458" w14:textId="77777777">
        <w:trPr>
          <w:divId w:val="1048069374"/>
        </w:trPr>
        <w:tc>
          <w:tcPr>
            <w:tcW w:w="0" w:type="auto"/>
            <w:gridSpan w:val="3"/>
            <w:shd w:val="clear" w:color="auto" w:fill="CCEEFF"/>
            <w:tcMar>
              <w:top w:w="30" w:type="dxa"/>
              <w:left w:w="245" w:type="dxa"/>
              <w:bottom w:w="30" w:type="dxa"/>
              <w:right w:w="20" w:type="dxa"/>
            </w:tcMar>
            <w:vAlign w:val="bottom"/>
            <w:hideMark/>
          </w:tcPr>
          <w:p w14:paraId="2C9BF578" w14:textId="77777777" w:rsidR="00000000" w:rsidRDefault="00C1661D">
            <w:pPr>
              <w:spacing w:after="100"/>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14:paraId="7624D3E2"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E17664" w14:textId="77777777" w:rsidR="00000000" w:rsidRDefault="00C1661D">
            <w:pPr>
              <w:spacing w:after="100"/>
              <w:jc w:val="right"/>
              <w:rPr>
                <w:rFonts w:eastAsia="Times New Roman"/>
              </w:rPr>
            </w:pPr>
            <w:r>
              <w:rPr>
                <w:rFonts w:eastAsia="Times New Roman"/>
                <w:color w:val="000000"/>
                <w:sz w:val="16"/>
                <w:szCs w:val="16"/>
              </w:rPr>
              <w:t>218 </w:t>
            </w:r>
          </w:p>
        </w:tc>
        <w:tc>
          <w:tcPr>
            <w:tcW w:w="0" w:type="auto"/>
            <w:shd w:val="clear" w:color="auto" w:fill="CCEEFF"/>
            <w:tcMar>
              <w:top w:w="30" w:type="dxa"/>
              <w:left w:w="0" w:type="dxa"/>
              <w:bottom w:w="30" w:type="dxa"/>
              <w:right w:w="20" w:type="dxa"/>
            </w:tcMar>
            <w:vAlign w:val="bottom"/>
            <w:hideMark/>
          </w:tcPr>
          <w:p w14:paraId="4D87CCB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C67CF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B44DA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A1384F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E1B3D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BD9925"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EA9104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387C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DDD343"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5FE7A9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B2F1F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F96027"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6EAA6A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0984B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34D445" w14:textId="77777777" w:rsidR="00000000" w:rsidRDefault="00C1661D">
            <w:pPr>
              <w:spacing w:after="100"/>
              <w:jc w:val="right"/>
              <w:rPr>
                <w:rFonts w:eastAsia="Times New Roman"/>
              </w:rPr>
            </w:pPr>
            <w:r>
              <w:rPr>
                <w:rFonts w:eastAsia="Times New Roman"/>
                <w:color w:val="000000"/>
                <w:sz w:val="16"/>
                <w:szCs w:val="16"/>
              </w:rPr>
              <w:t>218 </w:t>
            </w:r>
          </w:p>
        </w:tc>
        <w:tc>
          <w:tcPr>
            <w:tcW w:w="0" w:type="auto"/>
            <w:shd w:val="clear" w:color="auto" w:fill="CCEEFF"/>
            <w:tcMar>
              <w:top w:w="30" w:type="dxa"/>
              <w:left w:w="0" w:type="dxa"/>
              <w:bottom w:w="30" w:type="dxa"/>
              <w:right w:w="20" w:type="dxa"/>
            </w:tcMar>
            <w:vAlign w:val="bottom"/>
            <w:hideMark/>
          </w:tcPr>
          <w:p w14:paraId="18C01D9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3C822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5ABB09"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4C61511" w14:textId="77777777" w:rsidR="00000000" w:rsidRDefault="00C1661D">
            <w:pPr>
              <w:spacing w:after="100"/>
              <w:jc w:val="right"/>
              <w:rPr>
                <w:rFonts w:eastAsia="Times New Roman"/>
              </w:rPr>
            </w:pPr>
          </w:p>
        </w:tc>
      </w:tr>
      <w:tr w:rsidR="00000000" w14:paraId="06D91059" w14:textId="77777777">
        <w:trPr>
          <w:divId w:val="1048069374"/>
        </w:trPr>
        <w:tc>
          <w:tcPr>
            <w:tcW w:w="0" w:type="auto"/>
            <w:gridSpan w:val="3"/>
            <w:shd w:val="clear" w:color="auto" w:fill="FFFFFF"/>
            <w:tcMar>
              <w:top w:w="30" w:type="dxa"/>
              <w:left w:w="155" w:type="dxa"/>
              <w:bottom w:w="30" w:type="dxa"/>
              <w:right w:w="20" w:type="dxa"/>
            </w:tcMar>
            <w:vAlign w:val="bottom"/>
            <w:hideMark/>
          </w:tcPr>
          <w:p w14:paraId="579C07E2" w14:textId="77777777" w:rsidR="00000000" w:rsidRDefault="00C1661D">
            <w:pPr>
              <w:spacing w:after="100"/>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14:paraId="17E742F1"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FFE93A" w14:textId="77777777" w:rsidR="00000000" w:rsidRDefault="00C1661D">
            <w:pPr>
              <w:spacing w:after="100"/>
              <w:jc w:val="right"/>
              <w:rPr>
                <w:rFonts w:eastAsia="Times New Roman"/>
              </w:rPr>
            </w:pPr>
            <w:r>
              <w:rPr>
                <w:rFonts w:eastAsia="Times New Roman"/>
                <w:color w:val="000000"/>
                <w:sz w:val="16"/>
                <w:szCs w:val="16"/>
              </w:rPr>
              <w:t>148 </w:t>
            </w:r>
          </w:p>
        </w:tc>
        <w:tc>
          <w:tcPr>
            <w:tcW w:w="0" w:type="auto"/>
            <w:shd w:val="clear" w:color="auto" w:fill="FFFFFF"/>
            <w:tcMar>
              <w:top w:w="30" w:type="dxa"/>
              <w:left w:w="0" w:type="dxa"/>
              <w:bottom w:w="30" w:type="dxa"/>
              <w:right w:w="20" w:type="dxa"/>
            </w:tcMar>
            <w:vAlign w:val="bottom"/>
            <w:hideMark/>
          </w:tcPr>
          <w:p w14:paraId="7DA3091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A0D24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B0EC7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46BEA3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0441A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577411"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F0C863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84F3B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86C596"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657137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36FF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3B0A2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800850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FD479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B0866F" w14:textId="77777777" w:rsidR="00000000" w:rsidRDefault="00C1661D">
            <w:pPr>
              <w:spacing w:after="100"/>
              <w:jc w:val="right"/>
              <w:rPr>
                <w:rFonts w:eastAsia="Times New Roman"/>
              </w:rPr>
            </w:pPr>
            <w:r>
              <w:rPr>
                <w:rFonts w:eastAsia="Times New Roman"/>
                <w:color w:val="000000"/>
                <w:sz w:val="16"/>
                <w:szCs w:val="16"/>
              </w:rPr>
              <w:t>148 </w:t>
            </w:r>
          </w:p>
        </w:tc>
        <w:tc>
          <w:tcPr>
            <w:tcW w:w="0" w:type="auto"/>
            <w:shd w:val="clear" w:color="auto" w:fill="FFFFFF"/>
            <w:tcMar>
              <w:top w:w="30" w:type="dxa"/>
              <w:left w:w="0" w:type="dxa"/>
              <w:bottom w:w="30" w:type="dxa"/>
              <w:right w:w="20" w:type="dxa"/>
            </w:tcMar>
            <w:vAlign w:val="bottom"/>
            <w:hideMark/>
          </w:tcPr>
          <w:p w14:paraId="68221F9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23112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56574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75EB1D4" w14:textId="77777777" w:rsidR="00000000" w:rsidRDefault="00C1661D">
            <w:pPr>
              <w:spacing w:after="100"/>
              <w:jc w:val="right"/>
              <w:rPr>
                <w:rFonts w:eastAsia="Times New Roman"/>
              </w:rPr>
            </w:pPr>
          </w:p>
        </w:tc>
      </w:tr>
      <w:tr w:rsidR="00000000" w14:paraId="48D6F2B2" w14:textId="77777777">
        <w:trPr>
          <w:divId w:val="1048069374"/>
        </w:trPr>
        <w:tc>
          <w:tcPr>
            <w:tcW w:w="0" w:type="auto"/>
            <w:gridSpan w:val="3"/>
            <w:shd w:val="clear" w:color="auto" w:fill="CCEEFF"/>
            <w:tcMar>
              <w:top w:w="30" w:type="dxa"/>
              <w:left w:w="155" w:type="dxa"/>
              <w:bottom w:w="30" w:type="dxa"/>
              <w:right w:w="20" w:type="dxa"/>
            </w:tcMar>
            <w:vAlign w:val="bottom"/>
            <w:hideMark/>
          </w:tcPr>
          <w:p w14:paraId="5054E366" w14:textId="77777777" w:rsidR="00000000" w:rsidRDefault="00C1661D">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14:paraId="63A49B51"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E75568" w14:textId="77777777" w:rsidR="00000000" w:rsidRDefault="00C1661D">
            <w:pPr>
              <w:spacing w:after="100"/>
              <w:jc w:val="right"/>
              <w:rPr>
                <w:rFonts w:eastAsia="Times New Roman"/>
              </w:rPr>
            </w:pPr>
            <w:r>
              <w:rPr>
                <w:rFonts w:eastAsia="Times New Roman"/>
                <w:color w:val="000000"/>
                <w:sz w:val="16"/>
                <w:szCs w:val="16"/>
              </w:rPr>
              <w:t>51 </w:t>
            </w:r>
          </w:p>
        </w:tc>
        <w:tc>
          <w:tcPr>
            <w:tcW w:w="0" w:type="auto"/>
            <w:shd w:val="clear" w:color="auto" w:fill="CCEEFF"/>
            <w:tcMar>
              <w:top w:w="30" w:type="dxa"/>
              <w:left w:w="0" w:type="dxa"/>
              <w:bottom w:w="30" w:type="dxa"/>
              <w:right w:w="20" w:type="dxa"/>
            </w:tcMar>
            <w:vAlign w:val="bottom"/>
            <w:hideMark/>
          </w:tcPr>
          <w:p w14:paraId="11C44E9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0818E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B111AA" w14:textId="77777777" w:rsidR="00000000" w:rsidRDefault="00C1661D">
            <w:pPr>
              <w:spacing w:after="100"/>
              <w:jc w:val="right"/>
              <w:rPr>
                <w:rFonts w:eastAsia="Times New Roman"/>
              </w:rPr>
            </w:pPr>
            <w:r>
              <w:rPr>
                <w:rFonts w:eastAsia="Times New Roman"/>
                <w:color w:val="000000"/>
                <w:sz w:val="16"/>
                <w:szCs w:val="16"/>
              </w:rPr>
              <w:t>(62)</w:t>
            </w:r>
          </w:p>
        </w:tc>
        <w:tc>
          <w:tcPr>
            <w:tcW w:w="0" w:type="auto"/>
            <w:shd w:val="clear" w:color="auto" w:fill="CCEEFF"/>
            <w:tcMar>
              <w:top w:w="30" w:type="dxa"/>
              <w:left w:w="0" w:type="dxa"/>
              <w:bottom w:w="30" w:type="dxa"/>
              <w:right w:w="20" w:type="dxa"/>
            </w:tcMar>
            <w:vAlign w:val="bottom"/>
            <w:hideMark/>
          </w:tcPr>
          <w:p w14:paraId="1BFF913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73628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984DBC"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4EAD39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C49E8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0263E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7BE897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CE5F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FEE3B5"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F7292B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722E3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632035" w14:textId="77777777" w:rsidR="00000000" w:rsidRDefault="00C1661D">
            <w:pPr>
              <w:spacing w:after="100"/>
              <w:jc w:val="right"/>
              <w:rPr>
                <w:rFonts w:eastAsia="Times New Roman"/>
              </w:rPr>
            </w:pPr>
            <w:r>
              <w:rPr>
                <w:rFonts w:eastAsia="Times New Roman"/>
                <w:color w:val="000000"/>
                <w:sz w:val="16"/>
                <w:szCs w:val="16"/>
              </w:rPr>
              <w:t>113 </w:t>
            </w:r>
          </w:p>
        </w:tc>
        <w:tc>
          <w:tcPr>
            <w:tcW w:w="0" w:type="auto"/>
            <w:shd w:val="clear" w:color="auto" w:fill="CCEEFF"/>
            <w:tcMar>
              <w:top w:w="30" w:type="dxa"/>
              <w:left w:w="0" w:type="dxa"/>
              <w:bottom w:w="30" w:type="dxa"/>
              <w:right w:w="20" w:type="dxa"/>
            </w:tcMar>
            <w:vAlign w:val="bottom"/>
            <w:hideMark/>
          </w:tcPr>
          <w:p w14:paraId="01D78E9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86CC2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534AC3"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9681414" w14:textId="77777777" w:rsidR="00000000" w:rsidRDefault="00C1661D">
            <w:pPr>
              <w:spacing w:after="100"/>
              <w:jc w:val="right"/>
              <w:rPr>
                <w:rFonts w:eastAsia="Times New Roman"/>
              </w:rPr>
            </w:pPr>
          </w:p>
        </w:tc>
      </w:tr>
      <w:tr w:rsidR="00000000" w14:paraId="6798E31F" w14:textId="77777777">
        <w:trPr>
          <w:divId w:val="1048069374"/>
        </w:trPr>
        <w:tc>
          <w:tcPr>
            <w:tcW w:w="0" w:type="auto"/>
            <w:gridSpan w:val="3"/>
            <w:shd w:val="clear" w:color="auto" w:fill="FFFFFF"/>
            <w:tcMar>
              <w:top w:w="30" w:type="dxa"/>
              <w:left w:w="155" w:type="dxa"/>
              <w:bottom w:w="30" w:type="dxa"/>
              <w:right w:w="20" w:type="dxa"/>
            </w:tcMar>
            <w:vAlign w:val="bottom"/>
            <w:hideMark/>
          </w:tcPr>
          <w:p w14:paraId="79296FAD" w14:textId="77777777" w:rsidR="00000000" w:rsidRDefault="00C1661D">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45AE37F5"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A59270" w14:textId="77777777" w:rsidR="00000000" w:rsidRDefault="00C1661D">
            <w:pPr>
              <w:spacing w:after="100"/>
              <w:jc w:val="right"/>
              <w:rPr>
                <w:rFonts w:eastAsia="Times New Roman"/>
              </w:rPr>
            </w:pPr>
            <w:r>
              <w:rPr>
                <w:rFonts w:eastAsia="Times New Roman"/>
                <w:color w:val="000000"/>
                <w:sz w:val="16"/>
                <w:szCs w:val="16"/>
              </w:rPr>
              <w:t>21 </w:t>
            </w:r>
          </w:p>
        </w:tc>
        <w:tc>
          <w:tcPr>
            <w:tcW w:w="0" w:type="auto"/>
            <w:shd w:val="clear" w:color="auto" w:fill="FFFFFF"/>
            <w:tcMar>
              <w:top w:w="30" w:type="dxa"/>
              <w:left w:w="0" w:type="dxa"/>
              <w:bottom w:w="30" w:type="dxa"/>
              <w:right w:w="20" w:type="dxa"/>
            </w:tcMar>
            <w:vAlign w:val="bottom"/>
            <w:hideMark/>
          </w:tcPr>
          <w:p w14:paraId="35EFA3C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6A37D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ED48AA" w14:textId="77777777" w:rsidR="00000000" w:rsidRDefault="00C1661D">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14:paraId="28096A8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480BB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F73DE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20FBF5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2CF57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D226FB"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D2E46F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65857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BEEDBD"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FB369F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F5F23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590F34" w14:textId="77777777" w:rsidR="00000000" w:rsidRDefault="00C1661D">
            <w:pPr>
              <w:spacing w:after="100"/>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vAlign w:val="bottom"/>
            <w:hideMark/>
          </w:tcPr>
          <w:p w14:paraId="71A909B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6AAC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32E438"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36A1449" w14:textId="77777777" w:rsidR="00000000" w:rsidRDefault="00C1661D">
            <w:pPr>
              <w:spacing w:after="100"/>
              <w:jc w:val="right"/>
              <w:rPr>
                <w:rFonts w:eastAsia="Times New Roman"/>
              </w:rPr>
            </w:pPr>
          </w:p>
        </w:tc>
      </w:tr>
      <w:tr w:rsidR="00000000" w14:paraId="0D519FB2" w14:textId="77777777">
        <w:trPr>
          <w:divId w:val="1048069374"/>
        </w:trPr>
        <w:tc>
          <w:tcPr>
            <w:tcW w:w="0" w:type="auto"/>
            <w:gridSpan w:val="3"/>
            <w:shd w:val="clear" w:color="auto" w:fill="CCEEFF"/>
            <w:tcMar>
              <w:top w:w="30" w:type="dxa"/>
              <w:left w:w="20" w:type="dxa"/>
              <w:bottom w:w="30" w:type="dxa"/>
              <w:right w:w="20" w:type="dxa"/>
            </w:tcMar>
            <w:vAlign w:val="bottom"/>
            <w:hideMark/>
          </w:tcPr>
          <w:p w14:paraId="6F4E1BB6" w14:textId="77777777" w:rsidR="00000000" w:rsidRDefault="00C1661D">
            <w:pPr>
              <w:spacing w:after="100"/>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14:paraId="228A1433" w14:textId="77777777" w:rsidR="00000000" w:rsidRDefault="00C166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359E67" w14:textId="77777777" w:rsidR="00000000" w:rsidRDefault="00C1661D">
            <w:pPr>
              <w:spacing w:after="100"/>
              <w:jc w:val="right"/>
              <w:rPr>
                <w:rFonts w:eastAsia="Times New Roman"/>
              </w:rPr>
            </w:pPr>
            <w:r>
              <w:rPr>
                <w:rFonts w:eastAsia="Times New Roman"/>
                <w:color w:val="000000"/>
                <w:sz w:val="16"/>
                <w:szCs w:val="16"/>
              </w:rPr>
              <w:t>1,006 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0A9FE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A5032A"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771630" w14:textId="77777777" w:rsidR="00000000" w:rsidRDefault="00C1661D">
            <w:pPr>
              <w:spacing w:after="100"/>
              <w:jc w:val="right"/>
              <w:rPr>
                <w:rFonts w:eastAsia="Times New Roman"/>
              </w:rPr>
            </w:pPr>
            <w:r>
              <w:rPr>
                <w:rFonts w:eastAsia="Times New Roman"/>
                <w:color w:val="000000"/>
                <w:sz w:val="16"/>
                <w:szCs w:val="16"/>
              </w:rPr>
              <w:t>(64)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9ADE3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4AE4D4"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3974F4"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48899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3FEC3"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E1578F"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E8BED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ED6F21"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CD341C"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54D80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09E26"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EFD939" w14:textId="77777777" w:rsidR="00000000" w:rsidRDefault="00C1661D">
            <w:pPr>
              <w:spacing w:after="100"/>
              <w:jc w:val="right"/>
              <w:rPr>
                <w:rFonts w:eastAsia="Times New Roman"/>
              </w:rPr>
            </w:pPr>
            <w:r>
              <w:rPr>
                <w:rFonts w:eastAsia="Times New Roman"/>
                <w:color w:val="000000"/>
                <w:sz w:val="16"/>
                <w:szCs w:val="16"/>
              </w:rPr>
              <w:t>1,070 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6D02C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04013"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76D0BA"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322F69" w14:textId="77777777" w:rsidR="00000000" w:rsidRDefault="00C1661D">
            <w:pPr>
              <w:spacing w:after="100"/>
              <w:jc w:val="right"/>
              <w:rPr>
                <w:rFonts w:eastAsia="Times New Roman"/>
              </w:rPr>
            </w:pPr>
          </w:p>
        </w:tc>
      </w:tr>
      <w:tr w:rsidR="00000000" w14:paraId="2546992E" w14:textId="77777777">
        <w:trPr>
          <w:divId w:val="1048069374"/>
        </w:trPr>
        <w:tc>
          <w:tcPr>
            <w:tcW w:w="0" w:type="auto"/>
            <w:gridSpan w:val="3"/>
            <w:shd w:val="clear" w:color="auto" w:fill="FFFFFF"/>
            <w:tcMar>
              <w:top w:w="30" w:type="dxa"/>
              <w:left w:w="20" w:type="dxa"/>
              <w:bottom w:w="30" w:type="dxa"/>
              <w:right w:w="20" w:type="dxa"/>
            </w:tcMar>
            <w:vAlign w:val="bottom"/>
            <w:hideMark/>
          </w:tcPr>
          <w:p w14:paraId="0F682D42" w14:textId="77777777" w:rsidR="00000000" w:rsidRDefault="00C1661D">
            <w:pPr>
              <w:spacing w:after="100"/>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14:paraId="2A9CFC4B"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3878F6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9456AD"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FCE0DE6"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F835B4"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3310BB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9A3BDA"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6F6D6A9"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9601A3"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3C9A7CD"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37384A"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3776066"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BA0A17"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D21D073" w14:textId="77777777" w:rsidR="00000000" w:rsidRDefault="00C1661D">
            <w:pPr>
              <w:spacing w:after="100"/>
              <w:rPr>
                <w:rFonts w:eastAsia="Times New Roman"/>
                <w:sz w:val="20"/>
                <w:szCs w:val="20"/>
              </w:rPr>
            </w:pPr>
          </w:p>
        </w:tc>
      </w:tr>
      <w:tr w:rsidR="00000000" w14:paraId="5400A335" w14:textId="77777777">
        <w:trPr>
          <w:divId w:val="1048069374"/>
        </w:trPr>
        <w:tc>
          <w:tcPr>
            <w:tcW w:w="0" w:type="auto"/>
            <w:gridSpan w:val="3"/>
            <w:shd w:val="clear" w:color="auto" w:fill="CCEEFF"/>
            <w:tcMar>
              <w:top w:w="30" w:type="dxa"/>
              <w:left w:w="155" w:type="dxa"/>
              <w:bottom w:w="30" w:type="dxa"/>
              <w:right w:w="20" w:type="dxa"/>
            </w:tcMar>
            <w:vAlign w:val="bottom"/>
            <w:hideMark/>
          </w:tcPr>
          <w:p w14:paraId="206F458A" w14:textId="77777777" w:rsidR="00000000" w:rsidRDefault="00C1661D">
            <w:pPr>
              <w:spacing w:after="100"/>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14:paraId="67CB9214"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AFE60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186F71"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77EDC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EAFB09"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AD7B2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59B2A6"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27685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DAA9E0"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B3A8C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5FA3A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17109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E37A04"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CCE882" w14:textId="77777777" w:rsidR="00000000" w:rsidRDefault="00C1661D">
            <w:pPr>
              <w:spacing w:after="100"/>
              <w:rPr>
                <w:rFonts w:eastAsia="Times New Roman"/>
                <w:sz w:val="20"/>
                <w:szCs w:val="20"/>
              </w:rPr>
            </w:pPr>
          </w:p>
        </w:tc>
      </w:tr>
      <w:tr w:rsidR="00000000" w14:paraId="39DF877B" w14:textId="77777777">
        <w:trPr>
          <w:divId w:val="1048069374"/>
        </w:trPr>
        <w:tc>
          <w:tcPr>
            <w:tcW w:w="0" w:type="auto"/>
            <w:gridSpan w:val="3"/>
            <w:shd w:val="clear" w:color="auto" w:fill="FFFFFF"/>
            <w:tcMar>
              <w:top w:w="30" w:type="dxa"/>
              <w:left w:w="245" w:type="dxa"/>
              <w:bottom w:w="30" w:type="dxa"/>
              <w:right w:w="20" w:type="dxa"/>
            </w:tcMar>
            <w:vAlign w:val="bottom"/>
            <w:hideMark/>
          </w:tcPr>
          <w:p w14:paraId="37821C3E" w14:textId="77777777" w:rsidR="00000000" w:rsidRDefault="00C1661D">
            <w:pPr>
              <w:spacing w:after="100"/>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14:paraId="15825742"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5A458F" w14:textId="77777777" w:rsidR="00000000" w:rsidRDefault="00C1661D">
            <w:pPr>
              <w:spacing w:after="100"/>
              <w:jc w:val="right"/>
              <w:rPr>
                <w:rFonts w:eastAsia="Times New Roman"/>
              </w:rPr>
            </w:pPr>
            <w:r>
              <w:rPr>
                <w:rFonts w:eastAsia="Times New Roman"/>
                <w:color w:val="000000"/>
                <w:sz w:val="16"/>
                <w:szCs w:val="16"/>
              </w:rPr>
              <w:t>3,957 </w:t>
            </w:r>
          </w:p>
        </w:tc>
        <w:tc>
          <w:tcPr>
            <w:tcW w:w="0" w:type="auto"/>
            <w:shd w:val="clear" w:color="auto" w:fill="FFFFFF"/>
            <w:tcMar>
              <w:top w:w="30" w:type="dxa"/>
              <w:left w:w="0" w:type="dxa"/>
              <w:bottom w:w="30" w:type="dxa"/>
              <w:right w:w="20" w:type="dxa"/>
            </w:tcMar>
            <w:vAlign w:val="bottom"/>
            <w:hideMark/>
          </w:tcPr>
          <w:p w14:paraId="562B5CD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95481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FABB9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AFAB27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E7FB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955CB3" w14:textId="77777777" w:rsidR="00000000" w:rsidRDefault="00C1661D">
            <w:pPr>
              <w:spacing w:after="100"/>
              <w:jc w:val="right"/>
              <w:rPr>
                <w:rFonts w:eastAsia="Times New Roman"/>
              </w:rPr>
            </w:pPr>
            <w:r>
              <w:rPr>
                <w:rFonts w:eastAsia="Times New Roman"/>
                <w:color w:val="000000"/>
                <w:sz w:val="16"/>
                <w:szCs w:val="16"/>
              </w:rPr>
              <w:t>2,203 </w:t>
            </w:r>
          </w:p>
        </w:tc>
        <w:tc>
          <w:tcPr>
            <w:tcW w:w="0" w:type="auto"/>
            <w:shd w:val="clear" w:color="auto" w:fill="FFFFFF"/>
            <w:tcMar>
              <w:top w:w="30" w:type="dxa"/>
              <w:left w:w="0" w:type="dxa"/>
              <w:bottom w:w="30" w:type="dxa"/>
              <w:right w:w="20" w:type="dxa"/>
            </w:tcMar>
            <w:vAlign w:val="bottom"/>
            <w:hideMark/>
          </w:tcPr>
          <w:p w14:paraId="3A12301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CBE63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4C3349" w14:textId="77777777" w:rsidR="00000000" w:rsidRDefault="00C1661D">
            <w:pPr>
              <w:spacing w:after="100"/>
              <w:jc w:val="right"/>
              <w:rPr>
                <w:rFonts w:eastAsia="Times New Roman"/>
              </w:rPr>
            </w:pPr>
            <w:r>
              <w:rPr>
                <w:rFonts w:eastAsia="Times New Roman"/>
                <w:color w:val="000000"/>
                <w:sz w:val="16"/>
                <w:szCs w:val="16"/>
              </w:rPr>
              <w:t>1,754 </w:t>
            </w:r>
          </w:p>
        </w:tc>
        <w:tc>
          <w:tcPr>
            <w:tcW w:w="0" w:type="auto"/>
            <w:shd w:val="clear" w:color="auto" w:fill="FFFFFF"/>
            <w:tcMar>
              <w:top w:w="30" w:type="dxa"/>
              <w:left w:w="0" w:type="dxa"/>
              <w:bottom w:w="30" w:type="dxa"/>
              <w:right w:w="20" w:type="dxa"/>
            </w:tcMar>
            <w:vAlign w:val="bottom"/>
            <w:hideMark/>
          </w:tcPr>
          <w:p w14:paraId="015846C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0BA5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190786"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A42914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CD5BF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4DEB85"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B51308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F4B0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AE879D"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79568B9" w14:textId="77777777" w:rsidR="00000000" w:rsidRDefault="00C1661D">
            <w:pPr>
              <w:spacing w:after="100"/>
              <w:jc w:val="right"/>
              <w:rPr>
                <w:rFonts w:eastAsia="Times New Roman"/>
              </w:rPr>
            </w:pPr>
          </w:p>
        </w:tc>
      </w:tr>
      <w:tr w:rsidR="00000000" w14:paraId="67B42505" w14:textId="77777777">
        <w:trPr>
          <w:divId w:val="1048069374"/>
        </w:trPr>
        <w:tc>
          <w:tcPr>
            <w:tcW w:w="0" w:type="auto"/>
            <w:gridSpan w:val="3"/>
            <w:shd w:val="clear" w:color="auto" w:fill="CCEEFF"/>
            <w:tcMar>
              <w:top w:w="30" w:type="dxa"/>
              <w:left w:w="245" w:type="dxa"/>
              <w:bottom w:w="30" w:type="dxa"/>
              <w:right w:w="20" w:type="dxa"/>
            </w:tcMar>
            <w:vAlign w:val="bottom"/>
            <w:hideMark/>
          </w:tcPr>
          <w:p w14:paraId="4F5D4057" w14:textId="77777777" w:rsidR="00000000" w:rsidRDefault="00C1661D">
            <w:pPr>
              <w:spacing w:after="100"/>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14:paraId="477A2E75"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552B13" w14:textId="77777777" w:rsidR="00000000" w:rsidRDefault="00C1661D">
            <w:pPr>
              <w:spacing w:after="100"/>
              <w:jc w:val="right"/>
              <w:rPr>
                <w:rFonts w:eastAsia="Times New Roman"/>
              </w:rPr>
            </w:pPr>
            <w:r>
              <w:rPr>
                <w:rFonts w:eastAsia="Times New Roman"/>
                <w:color w:val="000000"/>
                <w:sz w:val="16"/>
                <w:szCs w:val="16"/>
              </w:rPr>
              <w:t>328 </w:t>
            </w:r>
          </w:p>
        </w:tc>
        <w:tc>
          <w:tcPr>
            <w:tcW w:w="0" w:type="auto"/>
            <w:shd w:val="clear" w:color="auto" w:fill="CCEEFF"/>
            <w:tcMar>
              <w:top w:w="30" w:type="dxa"/>
              <w:left w:w="0" w:type="dxa"/>
              <w:bottom w:w="30" w:type="dxa"/>
              <w:right w:w="20" w:type="dxa"/>
            </w:tcMar>
            <w:vAlign w:val="bottom"/>
            <w:hideMark/>
          </w:tcPr>
          <w:p w14:paraId="1F62595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090AA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E9C803"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7AAE8C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B1751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E58F73" w14:textId="77777777" w:rsidR="00000000" w:rsidRDefault="00C1661D">
            <w:pPr>
              <w:spacing w:after="100"/>
              <w:jc w:val="right"/>
              <w:rPr>
                <w:rFonts w:eastAsia="Times New Roman"/>
              </w:rPr>
            </w:pPr>
            <w:r>
              <w:rPr>
                <w:rFonts w:eastAsia="Times New Roman"/>
                <w:color w:val="000000"/>
                <w:sz w:val="16"/>
                <w:szCs w:val="16"/>
              </w:rPr>
              <w:t>139 </w:t>
            </w:r>
          </w:p>
        </w:tc>
        <w:tc>
          <w:tcPr>
            <w:tcW w:w="0" w:type="auto"/>
            <w:shd w:val="clear" w:color="auto" w:fill="CCEEFF"/>
            <w:tcMar>
              <w:top w:w="30" w:type="dxa"/>
              <w:left w:w="0" w:type="dxa"/>
              <w:bottom w:w="30" w:type="dxa"/>
              <w:right w:w="20" w:type="dxa"/>
            </w:tcMar>
            <w:vAlign w:val="bottom"/>
            <w:hideMark/>
          </w:tcPr>
          <w:p w14:paraId="0DBD336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69BD6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92E63D" w14:textId="77777777" w:rsidR="00000000" w:rsidRDefault="00C1661D">
            <w:pPr>
              <w:spacing w:after="100"/>
              <w:jc w:val="right"/>
              <w:rPr>
                <w:rFonts w:eastAsia="Times New Roman"/>
              </w:rPr>
            </w:pPr>
            <w:r>
              <w:rPr>
                <w:rFonts w:eastAsia="Times New Roman"/>
                <w:color w:val="000000"/>
                <w:sz w:val="16"/>
                <w:szCs w:val="16"/>
              </w:rPr>
              <w:t>189 </w:t>
            </w:r>
          </w:p>
        </w:tc>
        <w:tc>
          <w:tcPr>
            <w:tcW w:w="0" w:type="auto"/>
            <w:shd w:val="clear" w:color="auto" w:fill="CCEEFF"/>
            <w:tcMar>
              <w:top w:w="30" w:type="dxa"/>
              <w:left w:w="0" w:type="dxa"/>
              <w:bottom w:w="30" w:type="dxa"/>
              <w:right w:w="20" w:type="dxa"/>
            </w:tcMar>
            <w:vAlign w:val="bottom"/>
            <w:hideMark/>
          </w:tcPr>
          <w:p w14:paraId="03978E4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8E9C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6DE197"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4745DB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3AD7C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746833"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FCE38E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68ED1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5CBE5D"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1FFA6F1" w14:textId="77777777" w:rsidR="00000000" w:rsidRDefault="00C1661D">
            <w:pPr>
              <w:spacing w:after="100"/>
              <w:jc w:val="right"/>
              <w:rPr>
                <w:rFonts w:eastAsia="Times New Roman"/>
              </w:rPr>
            </w:pPr>
          </w:p>
        </w:tc>
      </w:tr>
      <w:tr w:rsidR="00000000" w14:paraId="64921C3F" w14:textId="77777777">
        <w:trPr>
          <w:divId w:val="1048069374"/>
        </w:trPr>
        <w:tc>
          <w:tcPr>
            <w:tcW w:w="0" w:type="auto"/>
            <w:gridSpan w:val="3"/>
            <w:shd w:val="clear" w:color="auto" w:fill="FFFFFF"/>
            <w:tcMar>
              <w:top w:w="30" w:type="dxa"/>
              <w:left w:w="155" w:type="dxa"/>
              <w:bottom w:w="30" w:type="dxa"/>
              <w:right w:w="20" w:type="dxa"/>
            </w:tcMar>
            <w:vAlign w:val="bottom"/>
            <w:hideMark/>
          </w:tcPr>
          <w:p w14:paraId="04FD16DF" w14:textId="77777777" w:rsidR="00000000" w:rsidRDefault="00C1661D">
            <w:pPr>
              <w:spacing w:after="100"/>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14:paraId="7C632B9F"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8D5EF6" w14:textId="77777777" w:rsidR="00000000" w:rsidRDefault="00C1661D">
            <w:pPr>
              <w:spacing w:after="100"/>
              <w:jc w:val="right"/>
              <w:rPr>
                <w:rFonts w:eastAsia="Times New Roman"/>
              </w:rPr>
            </w:pPr>
            <w:r>
              <w:rPr>
                <w:rFonts w:eastAsia="Times New Roman"/>
                <w:color w:val="000000"/>
                <w:sz w:val="16"/>
                <w:szCs w:val="16"/>
              </w:rPr>
              <w:t>1,564 </w:t>
            </w:r>
          </w:p>
        </w:tc>
        <w:tc>
          <w:tcPr>
            <w:tcW w:w="0" w:type="auto"/>
            <w:shd w:val="clear" w:color="auto" w:fill="FFFFFF"/>
            <w:tcMar>
              <w:top w:w="30" w:type="dxa"/>
              <w:left w:w="0" w:type="dxa"/>
              <w:bottom w:w="30" w:type="dxa"/>
              <w:right w:w="20" w:type="dxa"/>
            </w:tcMar>
            <w:vAlign w:val="bottom"/>
            <w:hideMark/>
          </w:tcPr>
          <w:p w14:paraId="6180C1E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CBB0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BECC49" w14:textId="77777777" w:rsidR="00000000" w:rsidRDefault="00C1661D">
            <w:pPr>
              <w:spacing w:after="100"/>
              <w:jc w:val="right"/>
              <w:rPr>
                <w:rFonts w:eastAsia="Times New Roman"/>
              </w:rPr>
            </w:pPr>
            <w:r>
              <w:rPr>
                <w:rFonts w:eastAsia="Times New Roman"/>
                <w:color w:val="000000"/>
                <w:sz w:val="16"/>
                <w:szCs w:val="16"/>
              </w:rPr>
              <w:t>(126)</w:t>
            </w:r>
          </w:p>
        </w:tc>
        <w:tc>
          <w:tcPr>
            <w:tcW w:w="0" w:type="auto"/>
            <w:shd w:val="clear" w:color="auto" w:fill="FFFFFF"/>
            <w:tcMar>
              <w:top w:w="30" w:type="dxa"/>
              <w:left w:w="0" w:type="dxa"/>
              <w:bottom w:w="30" w:type="dxa"/>
              <w:right w:w="20" w:type="dxa"/>
            </w:tcMar>
            <w:vAlign w:val="bottom"/>
            <w:hideMark/>
          </w:tcPr>
          <w:p w14:paraId="08AFEBD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6FFA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BA8921"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C2B7A3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BCDB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10DC59" w14:textId="77777777" w:rsidR="00000000" w:rsidRDefault="00C1661D">
            <w:pPr>
              <w:spacing w:after="100"/>
              <w:jc w:val="right"/>
              <w:rPr>
                <w:rFonts w:eastAsia="Times New Roman"/>
              </w:rPr>
            </w:pPr>
            <w:r>
              <w:rPr>
                <w:rFonts w:eastAsia="Times New Roman"/>
                <w:color w:val="000000"/>
                <w:sz w:val="16"/>
                <w:szCs w:val="16"/>
              </w:rPr>
              <w:t>605 </w:t>
            </w:r>
          </w:p>
        </w:tc>
        <w:tc>
          <w:tcPr>
            <w:tcW w:w="0" w:type="auto"/>
            <w:shd w:val="clear" w:color="auto" w:fill="FFFFFF"/>
            <w:tcMar>
              <w:top w:w="30" w:type="dxa"/>
              <w:left w:w="0" w:type="dxa"/>
              <w:bottom w:w="30" w:type="dxa"/>
              <w:right w:w="20" w:type="dxa"/>
            </w:tcMar>
            <w:vAlign w:val="bottom"/>
            <w:hideMark/>
          </w:tcPr>
          <w:p w14:paraId="06E2129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EFA63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C8356A" w14:textId="77777777" w:rsidR="00000000" w:rsidRDefault="00C1661D">
            <w:pPr>
              <w:spacing w:after="100"/>
              <w:jc w:val="right"/>
              <w:rPr>
                <w:rFonts w:eastAsia="Times New Roman"/>
              </w:rPr>
            </w:pPr>
            <w:r>
              <w:rPr>
                <w:rFonts w:eastAsia="Times New Roman"/>
                <w:color w:val="000000"/>
                <w:sz w:val="16"/>
                <w:szCs w:val="16"/>
              </w:rPr>
              <w:t>1,085 </w:t>
            </w:r>
          </w:p>
        </w:tc>
        <w:tc>
          <w:tcPr>
            <w:tcW w:w="0" w:type="auto"/>
            <w:shd w:val="clear" w:color="auto" w:fill="FFFFFF"/>
            <w:tcMar>
              <w:top w:w="30" w:type="dxa"/>
              <w:left w:w="0" w:type="dxa"/>
              <w:bottom w:w="30" w:type="dxa"/>
              <w:right w:w="20" w:type="dxa"/>
            </w:tcMar>
            <w:vAlign w:val="bottom"/>
            <w:hideMark/>
          </w:tcPr>
          <w:p w14:paraId="40B60E8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57536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26E5B6"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74774C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579AD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DCB5F9"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03DF950" w14:textId="77777777" w:rsidR="00000000" w:rsidRDefault="00C1661D">
            <w:pPr>
              <w:spacing w:after="100"/>
              <w:jc w:val="right"/>
              <w:rPr>
                <w:rFonts w:eastAsia="Times New Roman"/>
              </w:rPr>
            </w:pPr>
          </w:p>
        </w:tc>
      </w:tr>
      <w:tr w:rsidR="00000000" w14:paraId="0EC5CCBE" w14:textId="77777777">
        <w:trPr>
          <w:divId w:val="1048069374"/>
        </w:trPr>
        <w:tc>
          <w:tcPr>
            <w:tcW w:w="0" w:type="auto"/>
            <w:gridSpan w:val="3"/>
            <w:shd w:val="clear" w:color="auto" w:fill="CCEEFF"/>
            <w:tcMar>
              <w:top w:w="30" w:type="dxa"/>
              <w:left w:w="155" w:type="dxa"/>
              <w:bottom w:w="30" w:type="dxa"/>
              <w:right w:w="20" w:type="dxa"/>
            </w:tcMar>
            <w:vAlign w:val="bottom"/>
            <w:hideMark/>
          </w:tcPr>
          <w:p w14:paraId="545280D7" w14:textId="77777777" w:rsidR="00000000" w:rsidRDefault="00C1661D">
            <w:pPr>
              <w:spacing w:after="100"/>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14:paraId="7C25AC2B"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AD55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E6939C"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B9CC4C"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DF469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A3030B"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B872B9"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15DFC1"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35999A"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525C0C"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A2248F"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61408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F4D52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A13046" w14:textId="77777777" w:rsidR="00000000" w:rsidRDefault="00C1661D">
            <w:pPr>
              <w:spacing w:after="100"/>
              <w:rPr>
                <w:rFonts w:eastAsia="Times New Roman"/>
                <w:sz w:val="20"/>
                <w:szCs w:val="20"/>
              </w:rPr>
            </w:pPr>
          </w:p>
        </w:tc>
      </w:tr>
      <w:tr w:rsidR="00000000" w14:paraId="5B8CE9C2" w14:textId="77777777">
        <w:trPr>
          <w:divId w:val="1048069374"/>
        </w:trPr>
        <w:tc>
          <w:tcPr>
            <w:tcW w:w="0" w:type="auto"/>
            <w:gridSpan w:val="3"/>
            <w:shd w:val="clear" w:color="auto" w:fill="FFFFFF"/>
            <w:tcMar>
              <w:top w:w="30" w:type="dxa"/>
              <w:left w:w="245" w:type="dxa"/>
              <w:bottom w:w="30" w:type="dxa"/>
              <w:right w:w="20" w:type="dxa"/>
            </w:tcMar>
            <w:vAlign w:val="bottom"/>
            <w:hideMark/>
          </w:tcPr>
          <w:p w14:paraId="554C4A4C" w14:textId="77777777" w:rsidR="00000000" w:rsidRDefault="00C1661D">
            <w:pPr>
              <w:spacing w:after="100"/>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14:paraId="6ACB2511"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59E6C1" w14:textId="77777777" w:rsidR="00000000" w:rsidRDefault="00C1661D">
            <w:pPr>
              <w:spacing w:after="100"/>
              <w:jc w:val="right"/>
              <w:rPr>
                <w:rFonts w:eastAsia="Times New Roman"/>
              </w:rPr>
            </w:pPr>
            <w:r>
              <w:rPr>
                <w:rFonts w:eastAsia="Times New Roman"/>
                <w:color w:val="000000"/>
                <w:sz w:val="16"/>
                <w:szCs w:val="16"/>
              </w:rPr>
              <w:t>181 </w:t>
            </w:r>
          </w:p>
        </w:tc>
        <w:tc>
          <w:tcPr>
            <w:tcW w:w="0" w:type="auto"/>
            <w:shd w:val="clear" w:color="auto" w:fill="FFFFFF"/>
            <w:tcMar>
              <w:top w:w="30" w:type="dxa"/>
              <w:left w:w="0" w:type="dxa"/>
              <w:bottom w:w="30" w:type="dxa"/>
              <w:right w:w="20" w:type="dxa"/>
            </w:tcMar>
            <w:vAlign w:val="bottom"/>
            <w:hideMark/>
          </w:tcPr>
          <w:p w14:paraId="29F62B0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E0FE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15C326"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2EC70A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AAAD6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CC2AFB"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499A6B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E8C6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7D5369"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8F5D6F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45547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C7428A" w14:textId="77777777" w:rsidR="00000000" w:rsidRDefault="00C1661D">
            <w:pPr>
              <w:spacing w:after="100"/>
              <w:jc w:val="right"/>
              <w:rPr>
                <w:rFonts w:eastAsia="Times New Roman"/>
              </w:rPr>
            </w:pPr>
            <w:r>
              <w:rPr>
                <w:rFonts w:eastAsia="Times New Roman"/>
                <w:color w:val="000000"/>
                <w:sz w:val="16"/>
                <w:szCs w:val="16"/>
              </w:rPr>
              <w:t>181 </w:t>
            </w:r>
          </w:p>
        </w:tc>
        <w:tc>
          <w:tcPr>
            <w:tcW w:w="0" w:type="auto"/>
            <w:shd w:val="clear" w:color="auto" w:fill="FFFFFF"/>
            <w:tcMar>
              <w:top w:w="30" w:type="dxa"/>
              <w:left w:w="0" w:type="dxa"/>
              <w:bottom w:w="30" w:type="dxa"/>
              <w:right w:w="20" w:type="dxa"/>
            </w:tcMar>
            <w:vAlign w:val="bottom"/>
            <w:hideMark/>
          </w:tcPr>
          <w:p w14:paraId="775056A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989E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CB651D"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BF2E45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2F09D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9A53E8"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6919EFB" w14:textId="77777777" w:rsidR="00000000" w:rsidRDefault="00C1661D">
            <w:pPr>
              <w:spacing w:after="100"/>
              <w:jc w:val="right"/>
              <w:rPr>
                <w:rFonts w:eastAsia="Times New Roman"/>
              </w:rPr>
            </w:pPr>
          </w:p>
        </w:tc>
      </w:tr>
      <w:tr w:rsidR="00000000" w14:paraId="55484640" w14:textId="77777777">
        <w:trPr>
          <w:divId w:val="1048069374"/>
        </w:trPr>
        <w:tc>
          <w:tcPr>
            <w:tcW w:w="0" w:type="auto"/>
            <w:gridSpan w:val="3"/>
            <w:shd w:val="clear" w:color="auto" w:fill="CCEEFF"/>
            <w:tcMar>
              <w:top w:w="30" w:type="dxa"/>
              <w:left w:w="245" w:type="dxa"/>
              <w:bottom w:w="30" w:type="dxa"/>
              <w:right w:w="20" w:type="dxa"/>
            </w:tcMar>
            <w:vAlign w:val="bottom"/>
            <w:hideMark/>
          </w:tcPr>
          <w:p w14:paraId="47F0AADE" w14:textId="77777777" w:rsidR="00000000" w:rsidRDefault="00C1661D">
            <w:pPr>
              <w:spacing w:after="100"/>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14:paraId="76D7D5FF"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397F30" w14:textId="77777777" w:rsidR="00000000" w:rsidRDefault="00C1661D">
            <w:pPr>
              <w:spacing w:after="100"/>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14:paraId="25D12F7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7296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9BEBDF" w14:textId="77777777" w:rsidR="00000000" w:rsidRDefault="00C1661D">
            <w:pPr>
              <w:spacing w:after="100"/>
              <w:jc w:val="right"/>
              <w:rPr>
                <w:rFonts w:eastAsia="Times New Roman"/>
              </w:rPr>
            </w:pPr>
            <w:r>
              <w:rPr>
                <w:rFonts w:eastAsia="Times New Roman"/>
                <w:color w:val="000000"/>
                <w:sz w:val="16"/>
                <w:szCs w:val="16"/>
              </w:rPr>
              <w:t>(98)</w:t>
            </w:r>
          </w:p>
        </w:tc>
        <w:tc>
          <w:tcPr>
            <w:tcW w:w="0" w:type="auto"/>
            <w:shd w:val="clear" w:color="auto" w:fill="CCEEFF"/>
            <w:tcMar>
              <w:top w:w="30" w:type="dxa"/>
              <w:left w:w="0" w:type="dxa"/>
              <w:bottom w:w="30" w:type="dxa"/>
              <w:right w:w="20" w:type="dxa"/>
            </w:tcMar>
            <w:vAlign w:val="bottom"/>
            <w:hideMark/>
          </w:tcPr>
          <w:p w14:paraId="2CB49E3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271D9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A61F3C"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3093FA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DBB11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2503B6"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60C46D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068B5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1C24EE" w14:textId="77777777" w:rsidR="00000000" w:rsidRDefault="00C1661D">
            <w:pPr>
              <w:spacing w:after="100"/>
              <w:jc w:val="right"/>
              <w:rPr>
                <w:rFonts w:eastAsia="Times New Roman"/>
              </w:rPr>
            </w:pPr>
            <w:r>
              <w:rPr>
                <w:rFonts w:eastAsia="Times New Roman"/>
                <w:color w:val="000000"/>
                <w:sz w:val="16"/>
                <w:szCs w:val="16"/>
              </w:rPr>
              <w:t>114 </w:t>
            </w:r>
          </w:p>
        </w:tc>
        <w:tc>
          <w:tcPr>
            <w:tcW w:w="0" w:type="auto"/>
            <w:shd w:val="clear" w:color="auto" w:fill="CCEEFF"/>
            <w:tcMar>
              <w:top w:w="30" w:type="dxa"/>
              <w:left w:w="0" w:type="dxa"/>
              <w:bottom w:w="30" w:type="dxa"/>
              <w:right w:w="20" w:type="dxa"/>
            </w:tcMar>
            <w:vAlign w:val="bottom"/>
            <w:hideMark/>
          </w:tcPr>
          <w:p w14:paraId="70C18B4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086A2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DD015A"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E89D9D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763E8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48C64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AECB0D3" w14:textId="77777777" w:rsidR="00000000" w:rsidRDefault="00C1661D">
            <w:pPr>
              <w:spacing w:after="100"/>
              <w:jc w:val="right"/>
              <w:rPr>
                <w:rFonts w:eastAsia="Times New Roman"/>
              </w:rPr>
            </w:pPr>
          </w:p>
        </w:tc>
      </w:tr>
      <w:tr w:rsidR="00000000" w14:paraId="6C63EACB" w14:textId="77777777">
        <w:trPr>
          <w:divId w:val="1048069374"/>
        </w:trPr>
        <w:tc>
          <w:tcPr>
            <w:tcW w:w="0" w:type="auto"/>
            <w:gridSpan w:val="3"/>
            <w:shd w:val="clear" w:color="auto" w:fill="FFFFFF"/>
            <w:tcMar>
              <w:top w:w="30" w:type="dxa"/>
              <w:left w:w="245" w:type="dxa"/>
              <w:bottom w:w="30" w:type="dxa"/>
              <w:right w:w="20" w:type="dxa"/>
            </w:tcMar>
            <w:vAlign w:val="bottom"/>
            <w:hideMark/>
          </w:tcPr>
          <w:p w14:paraId="50BBD68C" w14:textId="77777777" w:rsidR="00000000" w:rsidRDefault="00C1661D">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512295C5"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D88966" w14:textId="77777777" w:rsidR="00000000" w:rsidRDefault="00C1661D">
            <w:pPr>
              <w:spacing w:after="100"/>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14:paraId="2C1BD7E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7C96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3695F6"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F23EFE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B6920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0E24F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4ABDCB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3EFD9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92A08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324663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72B87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1B1DDE" w14:textId="77777777" w:rsidR="00000000" w:rsidRDefault="00C1661D">
            <w:pPr>
              <w:spacing w:after="100"/>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14:paraId="2D55C4C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6B258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8B124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548A85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6E481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D0E00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C2ED9BD" w14:textId="77777777" w:rsidR="00000000" w:rsidRDefault="00C1661D">
            <w:pPr>
              <w:spacing w:after="100"/>
              <w:jc w:val="right"/>
              <w:rPr>
                <w:rFonts w:eastAsia="Times New Roman"/>
              </w:rPr>
            </w:pPr>
          </w:p>
        </w:tc>
      </w:tr>
      <w:tr w:rsidR="00000000" w14:paraId="4E779D91" w14:textId="77777777">
        <w:trPr>
          <w:divId w:val="1048069374"/>
        </w:trPr>
        <w:tc>
          <w:tcPr>
            <w:tcW w:w="0" w:type="auto"/>
            <w:gridSpan w:val="3"/>
            <w:shd w:val="clear" w:color="auto" w:fill="CCEEFF"/>
            <w:tcMar>
              <w:top w:w="30" w:type="dxa"/>
              <w:left w:w="155" w:type="dxa"/>
              <w:bottom w:w="30" w:type="dxa"/>
              <w:right w:w="20" w:type="dxa"/>
            </w:tcMar>
            <w:vAlign w:val="bottom"/>
            <w:hideMark/>
          </w:tcPr>
          <w:p w14:paraId="5033645B" w14:textId="77777777" w:rsidR="00000000" w:rsidRDefault="00C1661D">
            <w:pPr>
              <w:spacing w:after="100"/>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14:paraId="5E9DE594"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7D3588" w14:textId="77777777" w:rsidR="00000000" w:rsidRDefault="00C1661D">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14:paraId="607B894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4E780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609651"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B73643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D7593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8622F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8F7457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12F9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FA83C5"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39E225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9739B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8F1055" w14:textId="77777777" w:rsidR="00000000" w:rsidRDefault="00C1661D">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14:paraId="43724C5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E7A00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F371D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862B5D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E6110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282E48"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68459D8" w14:textId="77777777" w:rsidR="00000000" w:rsidRDefault="00C1661D">
            <w:pPr>
              <w:spacing w:after="100"/>
              <w:jc w:val="right"/>
              <w:rPr>
                <w:rFonts w:eastAsia="Times New Roman"/>
              </w:rPr>
            </w:pPr>
          </w:p>
        </w:tc>
      </w:tr>
      <w:tr w:rsidR="00000000" w14:paraId="667975E5" w14:textId="77777777">
        <w:trPr>
          <w:divId w:val="1048069374"/>
        </w:trPr>
        <w:tc>
          <w:tcPr>
            <w:tcW w:w="0" w:type="auto"/>
            <w:gridSpan w:val="3"/>
            <w:shd w:val="clear" w:color="auto" w:fill="FFFFFF"/>
            <w:tcMar>
              <w:top w:w="30" w:type="dxa"/>
              <w:left w:w="155" w:type="dxa"/>
              <w:bottom w:w="30" w:type="dxa"/>
              <w:right w:w="20" w:type="dxa"/>
            </w:tcMar>
            <w:vAlign w:val="bottom"/>
            <w:hideMark/>
          </w:tcPr>
          <w:p w14:paraId="5DE4A54E" w14:textId="77777777" w:rsidR="00000000" w:rsidRDefault="00C1661D">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27A6952D"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B5B225" w14:textId="77777777" w:rsidR="00000000" w:rsidRDefault="00C1661D">
            <w:pPr>
              <w:spacing w:after="100"/>
              <w:jc w:val="right"/>
              <w:rPr>
                <w:rFonts w:eastAsia="Times New Roman"/>
              </w:rPr>
            </w:pPr>
            <w:r>
              <w:rPr>
                <w:rFonts w:eastAsia="Times New Roman"/>
                <w:color w:val="000000"/>
                <w:sz w:val="16"/>
                <w:szCs w:val="16"/>
              </w:rPr>
              <w:t>275 </w:t>
            </w:r>
          </w:p>
        </w:tc>
        <w:tc>
          <w:tcPr>
            <w:tcW w:w="0" w:type="auto"/>
            <w:shd w:val="clear" w:color="auto" w:fill="FFFFFF"/>
            <w:tcMar>
              <w:top w:w="30" w:type="dxa"/>
              <w:left w:w="0" w:type="dxa"/>
              <w:bottom w:w="30" w:type="dxa"/>
              <w:right w:w="20" w:type="dxa"/>
            </w:tcMar>
            <w:vAlign w:val="bottom"/>
            <w:hideMark/>
          </w:tcPr>
          <w:p w14:paraId="2180044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3081D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F1E67B"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D23BA3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AB153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5A8F6B" w14:textId="77777777" w:rsidR="00000000" w:rsidRDefault="00C1661D">
            <w:pPr>
              <w:spacing w:after="100"/>
              <w:jc w:val="right"/>
              <w:rPr>
                <w:rFonts w:eastAsia="Times New Roman"/>
              </w:rPr>
            </w:pPr>
            <w:r>
              <w:rPr>
                <w:rFonts w:eastAsia="Times New Roman"/>
                <w:color w:val="000000"/>
                <w:sz w:val="16"/>
                <w:szCs w:val="16"/>
              </w:rPr>
              <w:t>206 </w:t>
            </w:r>
          </w:p>
        </w:tc>
        <w:tc>
          <w:tcPr>
            <w:tcW w:w="0" w:type="auto"/>
            <w:shd w:val="clear" w:color="auto" w:fill="FFFFFF"/>
            <w:tcMar>
              <w:top w:w="30" w:type="dxa"/>
              <w:left w:w="0" w:type="dxa"/>
              <w:bottom w:w="30" w:type="dxa"/>
              <w:right w:w="20" w:type="dxa"/>
            </w:tcMar>
            <w:vAlign w:val="bottom"/>
            <w:hideMark/>
          </w:tcPr>
          <w:p w14:paraId="213CAFA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B3A7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6F9652" w14:textId="77777777" w:rsidR="00000000" w:rsidRDefault="00C1661D">
            <w:pPr>
              <w:spacing w:after="100"/>
              <w:jc w:val="right"/>
              <w:rPr>
                <w:rFonts w:eastAsia="Times New Roman"/>
              </w:rPr>
            </w:pPr>
            <w:r>
              <w:rPr>
                <w:rFonts w:eastAsia="Times New Roman"/>
                <w:color w:val="000000"/>
                <w:sz w:val="16"/>
                <w:szCs w:val="16"/>
              </w:rPr>
              <w:t>69 </w:t>
            </w:r>
          </w:p>
        </w:tc>
        <w:tc>
          <w:tcPr>
            <w:tcW w:w="0" w:type="auto"/>
            <w:shd w:val="clear" w:color="auto" w:fill="FFFFFF"/>
            <w:tcMar>
              <w:top w:w="30" w:type="dxa"/>
              <w:left w:w="0" w:type="dxa"/>
              <w:bottom w:w="30" w:type="dxa"/>
              <w:right w:w="20" w:type="dxa"/>
            </w:tcMar>
            <w:vAlign w:val="bottom"/>
            <w:hideMark/>
          </w:tcPr>
          <w:p w14:paraId="24E6712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8FA2D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66B207"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AC8788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C5BA6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8CBA97"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CDEFD0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9E155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A67B7B"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5DC10B4" w14:textId="77777777" w:rsidR="00000000" w:rsidRDefault="00C1661D">
            <w:pPr>
              <w:spacing w:after="100"/>
              <w:jc w:val="right"/>
              <w:rPr>
                <w:rFonts w:eastAsia="Times New Roman"/>
              </w:rPr>
            </w:pPr>
          </w:p>
        </w:tc>
      </w:tr>
      <w:tr w:rsidR="00000000" w14:paraId="7DFE77B9" w14:textId="77777777">
        <w:trPr>
          <w:divId w:val="1048069374"/>
        </w:trPr>
        <w:tc>
          <w:tcPr>
            <w:tcW w:w="0" w:type="auto"/>
            <w:gridSpan w:val="3"/>
            <w:shd w:val="clear" w:color="auto" w:fill="CCEEFF"/>
            <w:tcMar>
              <w:top w:w="30" w:type="dxa"/>
              <w:left w:w="20" w:type="dxa"/>
              <w:bottom w:w="30" w:type="dxa"/>
              <w:right w:w="20" w:type="dxa"/>
            </w:tcMar>
            <w:vAlign w:val="bottom"/>
            <w:hideMark/>
          </w:tcPr>
          <w:p w14:paraId="5CACCE59" w14:textId="77777777" w:rsidR="00000000" w:rsidRDefault="00C1661D">
            <w:pPr>
              <w:spacing w:after="100"/>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14:paraId="6C750558" w14:textId="77777777" w:rsidR="00000000" w:rsidRDefault="00C166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5AF914" w14:textId="77777777" w:rsidR="00000000" w:rsidRDefault="00C1661D">
            <w:pPr>
              <w:spacing w:after="100"/>
              <w:jc w:val="right"/>
              <w:rPr>
                <w:rFonts w:eastAsia="Times New Roman"/>
              </w:rPr>
            </w:pPr>
            <w:r>
              <w:rPr>
                <w:rFonts w:eastAsia="Times New Roman"/>
                <w:color w:val="000000"/>
                <w:sz w:val="16"/>
                <w:szCs w:val="16"/>
              </w:rPr>
              <w:t>6,342 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1254B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482819"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373573" w14:textId="77777777" w:rsidR="00000000" w:rsidRDefault="00C1661D">
            <w:pPr>
              <w:spacing w:after="100"/>
              <w:jc w:val="right"/>
              <w:rPr>
                <w:rFonts w:eastAsia="Times New Roman"/>
              </w:rPr>
            </w:pPr>
            <w:r>
              <w:rPr>
                <w:rFonts w:eastAsia="Times New Roman"/>
                <w:color w:val="000000"/>
                <w:sz w:val="16"/>
                <w:szCs w:val="16"/>
              </w:rPr>
              <w:t>(224)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0A6BF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CF836"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2B17D9" w14:textId="77777777" w:rsidR="00000000" w:rsidRDefault="00C1661D">
            <w:pPr>
              <w:spacing w:after="100"/>
              <w:jc w:val="right"/>
              <w:rPr>
                <w:rFonts w:eastAsia="Times New Roman"/>
              </w:rPr>
            </w:pPr>
            <w:r>
              <w:rPr>
                <w:rFonts w:eastAsia="Times New Roman"/>
                <w:color w:val="000000"/>
                <w:sz w:val="16"/>
                <w:szCs w:val="16"/>
              </w:rPr>
              <w:t>2,548 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3E865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4C5BE"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12F9D0" w14:textId="77777777" w:rsidR="00000000" w:rsidRDefault="00C1661D">
            <w:pPr>
              <w:spacing w:after="100"/>
              <w:jc w:val="right"/>
              <w:rPr>
                <w:rFonts w:eastAsia="Times New Roman"/>
              </w:rPr>
            </w:pPr>
            <w:r>
              <w:rPr>
                <w:rFonts w:eastAsia="Times New Roman"/>
                <w:color w:val="000000"/>
                <w:sz w:val="16"/>
                <w:szCs w:val="16"/>
              </w:rPr>
              <w:t>2,617 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06A11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5DD06F"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120232" w14:textId="77777777" w:rsidR="00000000" w:rsidRDefault="00C1661D">
            <w:pPr>
              <w:spacing w:after="100"/>
              <w:jc w:val="right"/>
              <w:rPr>
                <w:rFonts w:eastAsia="Times New Roman"/>
              </w:rPr>
            </w:pPr>
            <w:r>
              <w:rPr>
                <w:rFonts w:eastAsia="Times New Roman"/>
                <w:color w:val="000000"/>
                <w:sz w:val="16"/>
                <w:szCs w:val="16"/>
              </w:rPr>
              <w:t>1,401 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EB2A2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BC1864"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009D74"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A53EE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6B4D55"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8283CE"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074C14" w14:textId="77777777" w:rsidR="00000000" w:rsidRDefault="00C1661D">
            <w:pPr>
              <w:spacing w:after="100"/>
              <w:jc w:val="right"/>
              <w:rPr>
                <w:rFonts w:eastAsia="Times New Roman"/>
              </w:rPr>
            </w:pPr>
          </w:p>
        </w:tc>
      </w:tr>
      <w:tr w:rsidR="00000000" w14:paraId="2D3E64F6" w14:textId="77777777">
        <w:trPr>
          <w:divId w:val="1048069374"/>
        </w:trPr>
        <w:tc>
          <w:tcPr>
            <w:tcW w:w="0" w:type="auto"/>
            <w:gridSpan w:val="3"/>
            <w:shd w:val="clear" w:color="auto" w:fill="FFFFFF"/>
            <w:tcMar>
              <w:top w:w="30" w:type="dxa"/>
              <w:left w:w="20" w:type="dxa"/>
              <w:bottom w:w="30" w:type="dxa"/>
              <w:right w:w="20" w:type="dxa"/>
            </w:tcMar>
            <w:vAlign w:val="bottom"/>
            <w:hideMark/>
          </w:tcPr>
          <w:p w14:paraId="2643F9F5" w14:textId="77777777" w:rsidR="00000000" w:rsidRDefault="00C1661D">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14:paraId="18D8E853" w14:textId="77777777" w:rsidR="00000000" w:rsidRDefault="00C166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557418" w14:textId="77777777" w:rsidR="00000000" w:rsidRDefault="00C1661D">
            <w:pPr>
              <w:spacing w:after="100"/>
              <w:jc w:val="right"/>
              <w:rPr>
                <w:rFonts w:eastAsia="Times New Roman"/>
              </w:rPr>
            </w:pPr>
            <w:r>
              <w:rPr>
                <w:rFonts w:eastAsia="Times New Roman"/>
                <w:color w:val="000000"/>
                <w:sz w:val="16"/>
                <w:szCs w:val="16"/>
              </w:rPr>
              <w:t>7,348 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53A28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FA8EE"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5084CE" w14:textId="77777777" w:rsidR="00000000" w:rsidRDefault="00C1661D">
            <w:pPr>
              <w:spacing w:after="100"/>
              <w:jc w:val="right"/>
              <w:rPr>
                <w:rFonts w:eastAsia="Times New Roman"/>
              </w:rPr>
            </w:pPr>
            <w:r>
              <w:rPr>
                <w:rFonts w:eastAsia="Times New Roman"/>
                <w:color w:val="000000"/>
                <w:sz w:val="16"/>
                <w:szCs w:val="16"/>
              </w:rPr>
              <w:t>(288)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03C49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99316B"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098C91" w14:textId="77777777" w:rsidR="00000000" w:rsidRDefault="00C1661D">
            <w:pPr>
              <w:spacing w:after="100"/>
              <w:jc w:val="right"/>
              <w:rPr>
                <w:rFonts w:eastAsia="Times New Roman"/>
              </w:rPr>
            </w:pPr>
            <w:r>
              <w:rPr>
                <w:rFonts w:eastAsia="Times New Roman"/>
                <w:color w:val="000000"/>
                <w:sz w:val="16"/>
                <w:szCs w:val="16"/>
              </w:rPr>
              <w:t>2,548 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62877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F2E20D"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D6EB0F" w14:textId="77777777" w:rsidR="00000000" w:rsidRDefault="00C1661D">
            <w:pPr>
              <w:spacing w:after="100"/>
              <w:jc w:val="right"/>
              <w:rPr>
                <w:rFonts w:eastAsia="Times New Roman"/>
              </w:rPr>
            </w:pPr>
            <w:r>
              <w:rPr>
                <w:rFonts w:eastAsia="Times New Roman"/>
                <w:color w:val="000000"/>
                <w:sz w:val="16"/>
                <w:szCs w:val="16"/>
              </w:rPr>
              <w:t>2,617 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046C3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B8B560"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1308A7" w14:textId="77777777" w:rsidR="00000000" w:rsidRDefault="00C1661D">
            <w:pPr>
              <w:spacing w:after="100"/>
              <w:jc w:val="right"/>
              <w:rPr>
                <w:rFonts w:eastAsia="Times New Roman"/>
              </w:rPr>
            </w:pPr>
            <w:r>
              <w:rPr>
                <w:rFonts w:eastAsia="Times New Roman"/>
                <w:color w:val="000000"/>
                <w:sz w:val="16"/>
                <w:szCs w:val="16"/>
              </w:rPr>
              <w:t>1,401 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3FD44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BF4099"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1DE5C6" w14:textId="77777777" w:rsidR="00000000" w:rsidRDefault="00C1661D">
            <w:pPr>
              <w:spacing w:after="100"/>
              <w:jc w:val="right"/>
              <w:rPr>
                <w:rFonts w:eastAsia="Times New Roman"/>
              </w:rPr>
            </w:pPr>
            <w:r>
              <w:rPr>
                <w:rFonts w:eastAsia="Times New Roman"/>
                <w:color w:val="000000"/>
                <w:sz w:val="16"/>
                <w:szCs w:val="16"/>
              </w:rPr>
              <w:t>1,070 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04E5F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F763D6"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BDF59D"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845F06" w14:textId="77777777" w:rsidR="00000000" w:rsidRDefault="00C1661D">
            <w:pPr>
              <w:spacing w:after="100"/>
              <w:jc w:val="right"/>
              <w:rPr>
                <w:rFonts w:eastAsia="Times New Roman"/>
              </w:rPr>
            </w:pPr>
          </w:p>
        </w:tc>
      </w:tr>
      <w:tr w:rsidR="00000000" w14:paraId="7717C539" w14:textId="77777777">
        <w:trPr>
          <w:divId w:val="1048069374"/>
        </w:trPr>
        <w:tc>
          <w:tcPr>
            <w:tcW w:w="0" w:type="auto"/>
            <w:gridSpan w:val="3"/>
            <w:shd w:val="clear" w:color="auto" w:fill="CCEEFF"/>
            <w:tcMar>
              <w:top w:w="30" w:type="dxa"/>
              <w:left w:w="20" w:type="dxa"/>
              <w:bottom w:w="30" w:type="dxa"/>
              <w:right w:w="20" w:type="dxa"/>
            </w:tcMar>
            <w:vAlign w:val="bottom"/>
            <w:hideMark/>
          </w:tcPr>
          <w:p w14:paraId="4DB40DE7" w14:textId="77777777" w:rsidR="00000000" w:rsidRDefault="00C1661D">
            <w:pPr>
              <w:spacing w:after="100"/>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14:paraId="0F863D46"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E95E8D" w14:textId="77777777" w:rsidR="00000000" w:rsidRDefault="00C1661D">
            <w:pPr>
              <w:spacing w:after="100"/>
              <w:jc w:val="right"/>
              <w:rPr>
                <w:rFonts w:eastAsia="Times New Roman"/>
              </w:rPr>
            </w:pPr>
            <w:r>
              <w:rPr>
                <w:rFonts w:eastAsia="Times New Roman"/>
                <w:color w:val="000000"/>
                <w:sz w:val="16"/>
                <w:szCs w:val="16"/>
              </w:rPr>
              <w:t>99 </w:t>
            </w:r>
          </w:p>
        </w:tc>
        <w:tc>
          <w:tcPr>
            <w:tcW w:w="0" w:type="auto"/>
            <w:shd w:val="clear" w:color="auto" w:fill="CCEEFF"/>
            <w:tcMar>
              <w:top w:w="30" w:type="dxa"/>
              <w:left w:w="0" w:type="dxa"/>
              <w:bottom w:w="30" w:type="dxa"/>
              <w:right w:w="20" w:type="dxa"/>
            </w:tcMar>
            <w:vAlign w:val="bottom"/>
            <w:hideMark/>
          </w:tcPr>
          <w:p w14:paraId="32DD22F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2114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ACA9B4" w14:textId="77777777" w:rsidR="00000000" w:rsidRDefault="00C1661D">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14:paraId="68F735F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DEC4F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37D97A" w14:textId="77777777" w:rsidR="00000000" w:rsidRDefault="00C1661D">
            <w:pPr>
              <w:spacing w:after="100"/>
              <w:jc w:val="right"/>
              <w:rPr>
                <w:rFonts w:eastAsia="Times New Roman"/>
              </w:rPr>
            </w:pPr>
            <w:r>
              <w:rPr>
                <w:rFonts w:eastAsia="Times New Roman"/>
                <w:color w:val="000000"/>
                <w:sz w:val="16"/>
                <w:szCs w:val="16"/>
              </w:rPr>
              <w:t>66 </w:t>
            </w:r>
          </w:p>
        </w:tc>
        <w:tc>
          <w:tcPr>
            <w:tcW w:w="0" w:type="auto"/>
            <w:shd w:val="clear" w:color="auto" w:fill="CCEEFF"/>
            <w:tcMar>
              <w:top w:w="30" w:type="dxa"/>
              <w:left w:w="0" w:type="dxa"/>
              <w:bottom w:w="30" w:type="dxa"/>
              <w:right w:w="20" w:type="dxa"/>
            </w:tcMar>
            <w:vAlign w:val="bottom"/>
            <w:hideMark/>
          </w:tcPr>
          <w:p w14:paraId="409F06B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D296B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EDCA32" w14:textId="77777777" w:rsidR="00000000" w:rsidRDefault="00C1661D">
            <w:pPr>
              <w:spacing w:after="100"/>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14:paraId="0972AB7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28E32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9E15DF" w14:textId="77777777" w:rsidR="00000000" w:rsidRDefault="00C1661D">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14:paraId="01B9DE4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15AE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5A3016" w14:textId="77777777" w:rsidR="00000000" w:rsidRDefault="00C1661D">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14:paraId="77F37B6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D12BB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866EC9" w14:textId="77777777" w:rsidR="00000000" w:rsidRDefault="00C1661D">
            <w:pPr>
              <w:spacing w:after="100"/>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14:paraId="6954D90D" w14:textId="77777777" w:rsidR="00000000" w:rsidRDefault="00C1661D">
            <w:pPr>
              <w:spacing w:after="100"/>
              <w:jc w:val="right"/>
              <w:rPr>
                <w:rFonts w:eastAsia="Times New Roman"/>
              </w:rPr>
            </w:pPr>
          </w:p>
        </w:tc>
      </w:tr>
      <w:tr w:rsidR="00C1661D" w14:paraId="41DE4F63" w14:textId="77777777">
        <w:trPr>
          <w:divId w:val="1048069374"/>
        </w:trPr>
        <w:tc>
          <w:tcPr>
            <w:tcW w:w="0" w:type="auto"/>
            <w:gridSpan w:val="3"/>
            <w:shd w:val="clear" w:color="auto" w:fill="FFFFFF"/>
            <w:tcMar>
              <w:top w:w="30" w:type="dxa"/>
              <w:left w:w="20" w:type="dxa"/>
              <w:bottom w:w="30" w:type="dxa"/>
              <w:right w:w="20" w:type="dxa"/>
            </w:tcMar>
            <w:vAlign w:val="bottom"/>
            <w:hideMark/>
          </w:tcPr>
          <w:p w14:paraId="65F6256C" w14:textId="77777777" w:rsidR="00000000" w:rsidRDefault="00C1661D">
            <w:pPr>
              <w:spacing w:after="100"/>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14:paraId="2F069B0B" w14:textId="77777777" w:rsidR="00000000" w:rsidRDefault="00C1661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76C3AC"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63D6CB0" w14:textId="77777777" w:rsidR="00000000" w:rsidRDefault="00C1661D">
            <w:pPr>
              <w:spacing w:after="100"/>
              <w:jc w:val="right"/>
              <w:rPr>
                <w:rFonts w:eastAsia="Times New Roman"/>
              </w:rPr>
            </w:pPr>
            <w:r>
              <w:rPr>
                <w:rFonts w:eastAsia="Times New Roman"/>
                <w:color w:val="000000"/>
                <w:sz w:val="16"/>
                <w:szCs w:val="16"/>
              </w:rPr>
              <w:t>7,447 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D7F4F2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0DC792"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3ADEB80"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3087EF" w14:textId="77777777" w:rsidR="00000000" w:rsidRDefault="00C1661D">
            <w:pPr>
              <w:spacing w:after="100"/>
              <w:jc w:val="right"/>
              <w:rPr>
                <w:rFonts w:eastAsia="Times New Roman"/>
              </w:rPr>
            </w:pPr>
            <w:r>
              <w:rPr>
                <w:rFonts w:eastAsia="Times New Roman"/>
                <w:color w:val="000000"/>
                <w:sz w:val="16"/>
                <w:szCs w:val="16"/>
              </w:rPr>
              <w:t>(291)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DBAE0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AFD9A0"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3C8081"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1AA33E" w14:textId="77777777" w:rsidR="00000000" w:rsidRDefault="00C1661D">
            <w:pPr>
              <w:spacing w:after="100"/>
              <w:jc w:val="right"/>
              <w:rPr>
                <w:rFonts w:eastAsia="Times New Roman"/>
              </w:rPr>
            </w:pPr>
            <w:r>
              <w:rPr>
                <w:rFonts w:eastAsia="Times New Roman"/>
                <w:color w:val="000000"/>
                <w:sz w:val="16"/>
                <w:szCs w:val="16"/>
              </w:rPr>
              <w:t>2,614 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F534D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F952ED"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DEF5618"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C6A446" w14:textId="77777777" w:rsidR="00000000" w:rsidRDefault="00C1661D">
            <w:pPr>
              <w:spacing w:after="100"/>
              <w:jc w:val="right"/>
              <w:rPr>
                <w:rFonts w:eastAsia="Times New Roman"/>
              </w:rPr>
            </w:pPr>
            <w:r>
              <w:rPr>
                <w:rFonts w:eastAsia="Times New Roman"/>
                <w:color w:val="000000"/>
                <w:sz w:val="16"/>
                <w:szCs w:val="16"/>
              </w:rPr>
              <w:t>2,651 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98C4D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C3EA14"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F80523"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6EA03EE" w14:textId="77777777" w:rsidR="00000000" w:rsidRDefault="00C1661D">
            <w:pPr>
              <w:spacing w:after="100"/>
              <w:jc w:val="right"/>
              <w:rPr>
                <w:rFonts w:eastAsia="Times New Roman"/>
              </w:rPr>
            </w:pPr>
            <w:r>
              <w:rPr>
                <w:rFonts w:eastAsia="Times New Roman"/>
                <w:color w:val="000000"/>
                <w:sz w:val="16"/>
                <w:szCs w:val="16"/>
              </w:rPr>
              <w:t>1,406 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A590B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E5CE1"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2E02D3"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2F1F62" w14:textId="77777777" w:rsidR="00000000" w:rsidRDefault="00C1661D">
            <w:pPr>
              <w:spacing w:after="100"/>
              <w:jc w:val="right"/>
              <w:rPr>
                <w:rFonts w:eastAsia="Times New Roman"/>
              </w:rPr>
            </w:pPr>
            <w:r>
              <w:rPr>
                <w:rFonts w:eastAsia="Times New Roman"/>
                <w:color w:val="000000"/>
                <w:sz w:val="16"/>
                <w:szCs w:val="16"/>
              </w:rPr>
              <w:t>1,079 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D3DE6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8BDAF"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61C481"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BC7236" w14:textId="77777777" w:rsidR="00000000" w:rsidRDefault="00C1661D">
            <w:pPr>
              <w:spacing w:after="100"/>
              <w:jc w:val="right"/>
              <w:rPr>
                <w:rFonts w:eastAsia="Times New Roman"/>
              </w:rPr>
            </w:pPr>
            <w:r>
              <w:rPr>
                <w:rFonts w:eastAsia="Times New Roman"/>
                <w:color w:val="000000"/>
                <w:sz w:val="16"/>
                <w:szCs w:val="16"/>
              </w:rPr>
              <w:t>(12)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766A72" w14:textId="77777777" w:rsidR="00000000" w:rsidRDefault="00C1661D">
            <w:pPr>
              <w:spacing w:after="100"/>
              <w:jc w:val="right"/>
              <w:rPr>
                <w:rFonts w:eastAsia="Times New Roman"/>
              </w:rPr>
            </w:pPr>
          </w:p>
        </w:tc>
      </w:tr>
    </w:tbl>
    <w:p w14:paraId="089856BE" w14:textId="77777777" w:rsidR="00000000" w:rsidRDefault="00C1661D">
      <w:pPr>
        <w:jc w:val="center"/>
        <w:divId w:val="1577284131"/>
        <w:rPr>
          <w:rFonts w:eastAsia="Times New Roman"/>
        </w:rPr>
      </w:pPr>
      <w:r>
        <w:rPr>
          <w:rFonts w:eastAsia="Times New Roman"/>
          <w:color w:val="000000"/>
          <w:sz w:val="20"/>
          <w:szCs w:val="20"/>
        </w:rPr>
        <w:t>F-22</w:t>
      </w:r>
    </w:p>
    <w:p w14:paraId="57447F54" w14:textId="77777777" w:rsidR="00000000" w:rsidRDefault="00C1661D">
      <w:pPr>
        <w:rPr>
          <w:rFonts w:eastAsia="Times New Roman"/>
        </w:rPr>
      </w:pPr>
      <w:r>
        <w:rPr>
          <w:rFonts w:eastAsia="Times New Roman"/>
        </w:rPr>
        <w:pict w14:anchorId="34CB11D7">
          <v:rect id="_x0000_i1135" style="width:0;height:1.5pt" o:hralign="center" o:hrstd="t" o:hr="t" fillcolor="#a0a0a0" stroked="f"/>
        </w:pict>
      </w:r>
    </w:p>
    <w:p w14:paraId="79D59E37" w14:textId="77777777" w:rsidR="00000000" w:rsidRDefault="00C1661D">
      <w:pPr>
        <w:divId w:val="392429667"/>
        <w:rPr>
          <w:rFonts w:eastAsia="Times New Roman"/>
        </w:rPr>
      </w:pPr>
      <w:hyperlink w:anchor="i3850c3c6c0104e42b9951aac2f16098a_7" w:history="1">
        <w:r>
          <w:rPr>
            <w:rStyle w:val="a3"/>
            <w:rFonts w:eastAsia="Times New Roman"/>
            <w:sz w:val="20"/>
            <w:szCs w:val="20"/>
          </w:rPr>
          <w:t>Ta</w:t>
        </w:r>
        <w:r>
          <w:rPr>
            <w:rStyle w:val="a3"/>
            <w:rFonts w:eastAsia="Times New Roman"/>
            <w:sz w:val="20"/>
            <w:szCs w:val="20"/>
          </w:rPr>
          <w:t>ble of Contents</w:t>
        </w:r>
      </w:hyperlink>
    </w:p>
    <w:p w14:paraId="1323A8FB" w14:textId="77777777" w:rsidR="00000000" w:rsidRDefault="00C1661D">
      <w:pPr>
        <w:divId w:val="1733965727"/>
        <w:rPr>
          <w:rFonts w:eastAsia="Times New Roman"/>
        </w:rPr>
      </w:pPr>
      <w:r>
        <w:rPr>
          <w:rFonts w:eastAsia="Times New Roman"/>
          <w:b/>
          <w:bCs/>
          <w:color w:val="000000"/>
          <w:sz w:val="20"/>
          <w:szCs w:val="20"/>
        </w:rPr>
        <w:t>UGI Corporation and Subsidiaries</w:t>
      </w:r>
    </w:p>
    <w:p w14:paraId="5A16688B" w14:textId="77777777" w:rsidR="00000000" w:rsidRDefault="00C1661D">
      <w:pPr>
        <w:divId w:val="1595899858"/>
        <w:rPr>
          <w:rFonts w:eastAsia="Times New Roman"/>
        </w:rPr>
      </w:pPr>
      <w:r>
        <w:rPr>
          <w:rFonts w:eastAsia="Times New Roman"/>
          <w:b/>
          <w:bCs/>
          <w:color w:val="000000"/>
          <w:sz w:val="20"/>
          <w:szCs w:val="20"/>
        </w:rPr>
        <w:t>Notes to Consolidated Financial Statements</w:t>
      </w:r>
    </w:p>
    <w:p w14:paraId="28B581A7" w14:textId="77777777" w:rsidR="00000000" w:rsidRDefault="00C1661D">
      <w:pPr>
        <w:divId w:val="953292010"/>
        <w:rPr>
          <w:rFonts w:eastAsia="Times New Roman"/>
        </w:rPr>
      </w:pPr>
      <w:r>
        <w:rPr>
          <w:rFonts w:eastAsia="Times New Roman"/>
          <w:color w:val="000000"/>
          <w:sz w:val="20"/>
          <w:szCs w:val="20"/>
        </w:rPr>
        <w:t>(Currency in millions, except per share amounts and where indicated otherwise)</w:t>
      </w:r>
    </w:p>
    <w:tbl>
      <w:tblPr>
        <w:tblW w:w="4985" w:type="pct"/>
        <w:tblCellMar>
          <w:top w:w="15" w:type="dxa"/>
          <w:left w:w="15" w:type="dxa"/>
          <w:bottom w:w="15" w:type="dxa"/>
          <w:right w:w="15" w:type="dxa"/>
        </w:tblCellMar>
        <w:tblLook w:val="04A0" w:firstRow="1" w:lastRow="0" w:firstColumn="1" w:lastColumn="0" w:noHBand="0" w:noVBand="1"/>
      </w:tblPr>
      <w:tblGrid>
        <w:gridCol w:w="40"/>
        <w:gridCol w:w="2082"/>
        <w:gridCol w:w="38"/>
        <w:gridCol w:w="36"/>
        <w:gridCol w:w="36"/>
        <w:gridCol w:w="36"/>
        <w:gridCol w:w="100"/>
        <w:gridCol w:w="406"/>
        <w:gridCol w:w="36"/>
        <w:gridCol w:w="36"/>
        <w:gridCol w:w="36"/>
        <w:gridCol w:w="36"/>
        <w:gridCol w:w="101"/>
        <w:gridCol w:w="801"/>
        <w:gridCol w:w="36"/>
        <w:gridCol w:w="36"/>
        <w:gridCol w:w="36"/>
        <w:gridCol w:w="36"/>
        <w:gridCol w:w="101"/>
        <w:gridCol w:w="647"/>
        <w:gridCol w:w="36"/>
        <w:gridCol w:w="36"/>
        <w:gridCol w:w="36"/>
        <w:gridCol w:w="36"/>
        <w:gridCol w:w="101"/>
        <w:gridCol w:w="758"/>
        <w:gridCol w:w="36"/>
        <w:gridCol w:w="36"/>
        <w:gridCol w:w="36"/>
        <w:gridCol w:w="36"/>
        <w:gridCol w:w="101"/>
        <w:gridCol w:w="684"/>
        <w:gridCol w:w="36"/>
        <w:gridCol w:w="36"/>
        <w:gridCol w:w="36"/>
        <w:gridCol w:w="36"/>
        <w:gridCol w:w="101"/>
        <w:gridCol w:w="483"/>
        <w:gridCol w:w="36"/>
        <w:gridCol w:w="36"/>
        <w:gridCol w:w="36"/>
        <w:gridCol w:w="36"/>
        <w:gridCol w:w="101"/>
        <w:gridCol w:w="628"/>
        <w:gridCol w:w="36"/>
      </w:tblGrid>
      <w:tr w:rsidR="00000000" w14:paraId="7D3CD2BE" w14:textId="77777777">
        <w:trPr>
          <w:divId w:val="469056260"/>
        </w:trPr>
        <w:tc>
          <w:tcPr>
            <w:tcW w:w="50" w:type="pct"/>
            <w:vAlign w:val="center"/>
            <w:hideMark/>
          </w:tcPr>
          <w:p w14:paraId="563B9F63" w14:textId="77777777" w:rsidR="00000000" w:rsidRDefault="00C1661D">
            <w:pPr>
              <w:rPr>
                <w:rFonts w:eastAsia="Times New Roman"/>
              </w:rPr>
            </w:pPr>
          </w:p>
        </w:tc>
        <w:tc>
          <w:tcPr>
            <w:tcW w:w="1389" w:type="pct"/>
            <w:vAlign w:val="center"/>
            <w:hideMark/>
          </w:tcPr>
          <w:p w14:paraId="485E69E3" w14:textId="77777777" w:rsidR="00000000" w:rsidRDefault="00C1661D">
            <w:pPr>
              <w:spacing w:after="100"/>
              <w:rPr>
                <w:rFonts w:eastAsia="Times New Roman"/>
                <w:sz w:val="20"/>
                <w:szCs w:val="20"/>
              </w:rPr>
            </w:pPr>
          </w:p>
        </w:tc>
        <w:tc>
          <w:tcPr>
            <w:tcW w:w="5" w:type="pct"/>
            <w:vAlign w:val="center"/>
            <w:hideMark/>
          </w:tcPr>
          <w:p w14:paraId="691109E5" w14:textId="77777777" w:rsidR="00000000" w:rsidRDefault="00C1661D">
            <w:pPr>
              <w:spacing w:after="100"/>
              <w:rPr>
                <w:rFonts w:eastAsia="Times New Roman"/>
                <w:sz w:val="20"/>
                <w:szCs w:val="20"/>
              </w:rPr>
            </w:pPr>
          </w:p>
        </w:tc>
        <w:tc>
          <w:tcPr>
            <w:tcW w:w="5" w:type="pct"/>
            <w:vAlign w:val="center"/>
            <w:hideMark/>
          </w:tcPr>
          <w:p w14:paraId="4DB58DA0" w14:textId="77777777" w:rsidR="00000000" w:rsidRDefault="00C1661D">
            <w:pPr>
              <w:spacing w:after="100"/>
              <w:rPr>
                <w:rFonts w:eastAsia="Times New Roman"/>
                <w:sz w:val="20"/>
                <w:szCs w:val="20"/>
              </w:rPr>
            </w:pPr>
          </w:p>
        </w:tc>
        <w:tc>
          <w:tcPr>
            <w:tcW w:w="41" w:type="pct"/>
            <w:vAlign w:val="center"/>
            <w:hideMark/>
          </w:tcPr>
          <w:p w14:paraId="4907217F" w14:textId="77777777" w:rsidR="00000000" w:rsidRDefault="00C1661D">
            <w:pPr>
              <w:spacing w:after="100"/>
              <w:rPr>
                <w:rFonts w:eastAsia="Times New Roman"/>
                <w:sz w:val="20"/>
                <w:szCs w:val="20"/>
              </w:rPr>
            </w:pPr>
          </w:p>
        </w:tc>
        <w:tc>
          <w:tcPr>
            <w:tcW w:w="5" w:type="pct"/>
            <w:vAlign w:val="center"/>
            <w:hideMark/>
          </w:tcPr>
          <w:p w14:paraId="319CCDF8" w14:textId="77777777" w:rsidR="00000000" w:rsidRDefault="00C1661D">
            <w:pPr>
              <w:spacing w:after="100"/>
              <w:rPr>
                <w:rFonts w:eastAsia="Times New Roman"/>
                <w:sz w:val="20"/>
                <w:szCs w:val="20"/>
              </w:rPr>
            </w:pPr>
          </w:p>
        </w:tc>
        <w:tc>
          <w:tcPr>
            <w:tcW w:w="50" w:type="pct"/>
            <w:vAlign w:val="center"/>
            <w:hideMark/>
          </w:tcPr>
          <w:p w14:paraId="67966BD9" w14:textId="77777777" w:rsidR="00000000" w:rsidRDefault="00C1661D">
            <w:pPr>
              <w:spacing w:after="100"/>
              <w:rPr>
                <w:rFonts w:eastAsia="Times New Roman"/>
                <w:sz w:val="20"/>
                <w:szCs w:val="20"/>
              </w:rPr>
            </w:pPr>
          </w:p>
        </w:tc>
        <w:tc>
          <w:tcPr>
            <w:tcW w:w="384" w:type="pct"/>
            <w:vAlign w:val="center"/>
            <w:hideMark/>
          </w:tcPr>
          <w:p w14:paraId="10B44BFC" w14:textId="77777777" w:rsidR="00000000" w:rsidRDefault="00C1661D">
            <w:pPr>
              <w:spacing w:after="100"/>
              <w:rPr>
                <w:rFonts w:eastAsia="Times New Roman"/>
                <w:sz w:val="20"/>
                <w:szCs w:val="20"/>
              </w:rPr>
            </w:pPr>
          </w:p>
        </w:tc>
        <w:tc>
          <w:tcPr>
            <w:tcW w:w="5" w:type="pct"/>
            <w:vAlign w:val="center"/>
            <w:hideMark/>
          </w:tcPr>
          <w:p w14:paraId="6FD3C874" w14:textId="77777777" w:rsidR="00000000" w:rsidRDefault="00C1661D">
            <w:pPr>
              <w:spacing w:after="100"/>
              <w:rPr>
                <w:rFonts w:eastAsia="Times New Roman"/>
                <w:sz w:val="20"/>
                <w:szCs w:val="20"/>
              </w:rPr>
            </w:pPr>
          </w:p>
        </w:tc>
        <w:tc>
          <w:tcPr>
            <w:tcW w:w="5" w:type="pct"/>
            <w:vAlign w:val="center"/>
            <w:hideMark/>
          </w:tcPr>
          <w:p w14:paraId="2ABDF60A" w14:textId="77777777" w:rsidR="00000000" w:rsidRDefault="00C1661D">
            <w:pPr>
              <w:spacing w:after="100"/>
              <w:rPr>
                <w:rFonts w:eastAsia="Times New Roman"/>
                <w:sz w:val="20"/>
                <w:szCs w:val="20"/>
              </w:rPr>
            </w:pPr>
          </w:p>
        </w:tc>
        <w:tc>
          <w:tcPr>
            <w:tcW w:w="41" w:type="pct"/>
            <w:vAlign w:val="center"/>
            <w:hideMark/>
          </w:tcPr>
          <w:p w14:paraId="5494A6B0" w14:textId="77777777" w:rsidR="00000000" w:rsidRDefault="00C1661D">
            <w:pPr>
              <w:spacing w:after="100"/>
              <w:rPr>
                <w:rFonts w:eastAsia="Times New Roman"/>
                <w:sz w:val="20"/>
                <w:szCs w:val="20"/>
              </w:rPr>
            </w:pPr>
          </w:p>
        </w:tc>
        <w:tc>
          <w:tcPr>
            <w:tcW w:w="5" w:type="pct"/>
            <w:vAlign w:val="center"/>
            <w:hideMark/>
          </w:tcPr>
          <w:p w14:paraId="65CB8B99" w14:textId="77777777" w:rsidR="00000000" w:rsidRDefault="00C1661D">
            <w:pPr>
              <w:spacing w:after="100"/>
              <w:rPr>
                <w:rFonts w:eastAsia="Times New Roman"/>
                <w:sz w:val="20"/>
                <w:szCs w:val="20"/>
              </w:rPr>
            </w:pPr>
          </w:p>
        </w:tc>
        <w:tc>
          <w:tcPr>
            <w:tcW w:w="50" w:type="pct"/>
            <w:vAlign w:val="center"/>
            <w:hideMark/>
          </w:tcPr>
          <w:p w14:paraId="4CB7485E" w14:textId="77777777" w:rsidR="00000000" w:rsidRDefault="00C1661D">
            <w:pPr>
              <w:spacing w:after="100"/>
              <w:rPr>
                <w:rFonts w:eastAsia="Times New Roman"/>
                <w:sz w:val="20"/>
                <w:szCs w:val="20"/>
              </w:rPr>
            </w:pPr>
          </w:p>
        </w:tc>
        <w:tc>
          <w:tcPr>
            <w:tcW w:w="450" w:type="pct"/>
            <w:vAlign w:val="center"/>
            <w:hideMark/>
          </w:tcPr>
          <w:p w14:paraId="2E602B8C" w14:textId="77777777" w:rsidR="00000000" w:rsidRDefault="00C1661D">
            <w:pPr>
              <w:spacing w:after="100"/>
              <w:rPr>
                <w:rFonts w:eastAsia="Times New Roman"/>
                <w:sz w:val="20"/>
                <w:szCs w:val="20"/>
              </w:rPr>
            </w:pPr>
          </w:p>
        </w:tc>
        <w:tc>
          <w:tcPr>
            <w:tcW w:w="5" w:type="pct"/>
            <w:vAlign w:val="center"/>
            <w:hideMark/>
          </w:tcPr>
          <w:p w14:paraId="3A7354D4" w14:textId="77777777" w:rsidR="00000000" w:rsidRDefault="00C1661D">
            <w:pPr>
              <w:spacing w:after="100"/>
              <w:rPr>
                <w:rFonts w:eastAsia="Times New Roman"/>
                <w:sz w:val="20"/>
                <w:szCs w:val="20"/>
              </w:rPr>
            </w:pPr>
          </w:p>
        </w:tc>
        <w:tc>
          <w:tcPr>
            <w:tcW w:w="5" w:type="pct"/>
            <w:vAlign w:val="center"/>
            <w:hideMark/>
          </w:tcPr>
          <w:p w14:paraId="758A20FA" w14:textId="77777777" w:rsidR="00000000" w:rsidRDefault="00C1661D">
            <w:pPr>
              <w:spacing w:after="100"/>
              <w:rPr>
                <w:rFonts w:eastAsia="Times New Roman"/>
                <w:sz w:val="20"/>
                <w:szCs w:val="20"/>
              </w:rPr>
            </w:pPr>
          </w:p>
        </w:tc>
        <w:tc>
          <w:tcPr>
            <w:tcW w:w="41" w:type="pct"/>
            <w:vAlign w:val="center"/>
            <w:hideMark/>
          </w:tcPr>
          <w:p w14:paraId="4F202077" w14:textId="77777777" w:rsidR="00000000" w:rsidRDefault="00C1661D">
            <w:pPr>
              <w:spacing w:after="100"/>
              <w:rPr>
                <w:rFonts w:eastAsia="Times New Roman"/>
                <w:sz w:val="20"/>
                <w:szCs w:val="20"/>
              </w:rPr>
            </w:pPr>
          </w:p>
        </w:tc>
        <w:tc>
          <w:tcPr>
            <w:tcW w:w="5" w:type="pct"/>
            <w:vAlign w:val="center"/>
            <w:hideMark/>
          </w:tcPr>
          <w:p w14:paraId="1E8A42A2" w14:textId="77777777" w:rsidR="00000000" w:rsidRDefault="00C1661D">
            <w:pPr>
              <w:spacing w:after="100"/>
              <w:rPr>
                <w:rFonts w:eastAsia="Times New Roman"/>
                <w:sz w:val="20"/>
                <w:szCs w:val="20"/>
              </w:rPr>
            </w:pPr>
          </w:p>
        </w:tc>
        <w:tc>
          <w:tcPr>
            <w:tcW w:w="50" w:type="pct"/>
            <w:vAlign w:val="center"/>
            <w:hideMark/>
          </w:tcPr>
          <w:p w14:paraId="392B0CAE" w14:textId="77777777" w:rsidR="00000000" w:rsidRDefault="00C1661D">
            <w:pPr>
              <w:spacing w:after="100"/>
              <w:rPr>
                <w:rFonts w:eastAsia="Times New Roman"/>
                <w:sz w:val="20"/>
                <w:szCs w:val="20"/>
              </w:rPr>
            </w:pPr>
          </w:p>
        </w:tc>
        <w:tc>
          <w:tcPr>
            <w:tcW w:w="392" w:type="pct"/>
            <w:vAlign w:val="center"/>
            <w:hideMark/>
          </w:tcPr>
          <w:p w14:paraId="43924228" w14:textId="77777777" w:rsidR="00000000" w:rsidRDefault="00C1661D">
            <w:pPr>
              <w:spacing w:after="100"/>
              <w:rPr>
                <w:rFonts w:eastAsia="Times New Roman"/>
                <w:sz w:val="20"/>
                <w:szCs w:val="20"/>
              </w:rPr>
            </w:pPr>
          </w:p>
        </w:tc>
        <w:tc>
          <w:tcPr>
            <w:tcW w:w="5" w:type="pct"/>
            <w:vAlign w:val="center"/>
            <w:hideMark/>
          </w:tcPr>
          <w:p w14:paraId="5D00D54B" w14:textId="77777777" w:rsidR="00000000" w:rsidRDefault="00C1661D">
            <w:pPr>
              <w:spacing w:after="100"/>
              <w:rPr>
                <w:rFonts w:eastAsia="Times New Roman"/>
                <w:sz w:val="20"/>
                <w:szCs w:val="20"/>
              </w:rPr>
            </w:pPr>
          </w:p>
        </w:tc>
        <w:tc>
          <w:tcPr>
            <w:tcW w:w="5" w:type="pct"/>
            <w:vAlign w:val="center"/>
            <w:hideMark/>
          </w:tcPr>
          <w:p w14:paraId="04037325" w14:textId="77777777" w:rsidR="00000000" w:rsidRDefault="00C1661D">
            <w:pPr>
              <w:spacing w:after="100"/>
              <w:rPr>
                <w:rFonts w:eastAsia="Times New Roman"/>
                <w:sz w:val="20"/>
                <w:szCs w:val="20"/>
              </w:rPr>
            </w:pPr>
          </w:p>
        </w:tc>
        <w:tc>
          <w:tcPr>
            <w:tcW w:w="41" w:type="pct"/>
            <w:vAlign w:val="center"/>
            <w:hideMark/>
          </w:tcPr>
          <w:p w14:paraId="1364FE34" w14:textId="77777777" w:rsidR="00000000" w:rsidRDefault="00C1661D">
            <w:pPr>
              <w:spacing w:after="100"/>
              <w:rPr>
                <w:rFonts w:eastAsia="Times New Roman"/>
                <w:sz w:val="20"/>
                <w:szCs w:val="20"/>
              </w:rPr>
            </w:pPr>
          </w:p>
        </w:tc>
        <w:tc>
          <w:tcPr>
            <w:tcW w:w="5" w:type="pct"/>
            <w:vAlign w:val="center"/>
            <w:hideMark/>
          </w:tcPr>
          <w:p w14:paraId="2478C75E" w14:textId="77777777" w:rsidR="00000000" w:rsidRDefault="00C1661D">
            <w:pPr>
              <w:spacing w:after="100"/>
              <w:rPr>
                <w:rFonts w:eastAsia="Times New Roman"/>
                <w:sz w:val="20"/>
                <w:szCs w:val="20"/>
              </w:rPr>
            </w:pPr>
          </w:p>
        </w:tc>
        <w:tc>
          <w:tcPr>
            <w:tcW w:w="50" w:type="pct"/>
            <w:vAlign w:val="center"/>
            <w:hideMark/>
          </w:tcPr>
          <w:p w14:paraId="488516A6" w14:textId="77777777" w:rsidR="00000000" w:rsidRDefault="00C1661D">
            <w:pPr>
              <w:spacing w:after="100"/>
              <w:rPr>
                <w:rFonts w:eastAsia="Times New Roman"/>
                <w:sz w:val="20"/>
                <w:szCs w:val="20"/>
              </w:rPr>
            </w:pPr>
          </w:p>
        </w:tc>
        <w:tc>
          <w:tcPr>
            <w:tcW w:w="421" w:type="pct"/>
            <w:vAlign w:val="center"/>
            <w:hideMark/>
          </w:tcPr>
          <w:p w14:paraId="34C2AC4E" w14:textId="77777777" w:rsidR="00000000" w:rsidRDefault="00C1661D">
            <w:pPr>
              <w:spacing w:after="100"/>
              <w:rPr>
                <w:rFonts w:eastAsia="Times New Roman"/>
                <w:sz w:val="20"/>
                <w:szCs w:val="20"/>
              </w:rPr>
            </w:pPr>
          </w:p>
        </w:tc>
        <w:tc>
          <w:tcPr>
            <w:tcW w:w="5" w:type="pct"/>
            <w:vAlign w:val="center"/>
            <w:hideMark/>
          </w:tcPr>
          <w:p w14:paraId="2B59098C" w14:textId="77777777" w:rsidR="00000000" w:rsidRDefault="00C1661D">
            <w:pPr>
              <w:spacing w:after="100"/>
              <w:rPr>
                <w:rFonts w:eastAsia="Times New Roman"/>
                <w:sz w:val="20"/>
                <w:szCs w:val="20"/>
              </w:rPr>
            </w:pPr>
          </w:p>
        </w:tc>
        <w:tc>
          <w:tcPr>
            <w:tcW w:w="5" w:type="pct"/>
            <w:vAlign w:val="center"/>
            <w:hideMark/>
          </w:tcPr>
          <w:p w14:paraId="11D01834" w14:textId="77777777" w:rsidR="00000000" w:rsidRDefault="00C1661D">
            <w:pPr>
              <w:spacing w:after="100"/>
              <w:rPr>
                <w:rFonts w:eastAsia="Times New Roman"/>
                <w:sz w:val="20"/>
                <w:szCs w:val="20"/>
              </w:rPr>
            </w:pPr>
          </w:p>
        </w:tc>
        <w:tc>
          <w:tcPr>
            <w:tcW w:w="41" w:type="pct"/>
            <w:vAlign w:val="center"/>
            <w:hideMark/>
          </w:tcPr>
          <w:p w14:paraId="773D3C48" w14:textId="77777777" w:rsidR="00000000" w:rsidRDefault="00C1661D">
            <w:pPr>
              <w:spacing w:after="100"/>
              <w:rPr>
                <w:rFonts w:eastAsia="Times New Roman"/>
                <w:sz w:val="20"/>
                <w:szCs w:val="20"/>
              </w:rPr>
            </w:pPr>
          </w:p>
        </w:tc>
        <w:tc>
          <w:tcPr>
            <w:tcW w:w="5" w:type="pct"/>
            <w:vAlign w:val="center"/>
            <w:hideMark/>
          </w:tcPr>
          <w:p w14:paraId="033E9B9C" w14:textId="77777777" w:rsidR="00000000" w:rsidRDefault="00C1661D">
            <w:pPr>
              <w:spacing w:after="100"/>
              <w:rPr>
                <w:rFonts w:eastAsia="Times New Roman"/>
                <w:sz w:val="20"/>
                <w:szCs w:val="20"/>
              </w:rPr>
            </w:pPr>
          </w:p>
        </w:tc>
        <w:tc>
          <w:tcPr>
            <w:tcW w:w="50" w:type="pct"/>
            <w:vAlign w:val="center"/>
            <w:hideMark/>
          </w:tcPr>
          <w:p w14:paraId="13E4501E" w14:textId="77777777" w:rsidR="00000000" w:rsidRDefault="00C1661D">
            <w:pPr>
              <w:spacing w:after="100"/>
              <w:rPr>
                <w:rFonts w:eastAsia="Times New Roman"/>
                <w:sz w:val="20"/>
                <w:szCs w:val="20"/>
              </w:rPr>
            </w:pPr>
          </w:p>
        </w:tc>
        <w:tc>
          <w:tcPr>
            <w:tcW w:w="421" w:type="pct"/>
            <w:vAlign w:val="center"/>
            <w:hideMark/>
          </w:tcPr>
          <w:p w14:paraId="38E25B54" w14:textId="77777777" w:rsidR="00000000" w:rsidRDefault="00C1661D">
            <w:pPr>
              <w:spacing w:after="100"/>
              <w:rPr>
                <w:rFonts w:eastAsia="Times New Roman"/>
                <w:sz w:val="20"/>
                <w:szCs w:val="20"/>
              </w:rPr>
            </w:pPr>
          </w:p>
        </w:tc>
        <w:tc>
          <w:tcPr>
            <w:tcW w:w="5" w:type="pct"/>
            <w:vAlign w:val="center"/>
            <w:hideMark/>
          </w:tcPr>
          <w:p w14:paraId="5ED67A7C" w14:textId="77777777" w:rsidR="00000000" w:rsidRDefault="00C1661D">
            <w:pPr>
              <w:spacing w:after="100"/>
              <w:rPr>
                <w:rFonts w:eastAsia="Times New Roman"/>
                <w:sz w:val="20"/>
                <w:szCs w:val="20"/>
              </w:rPr>
            </w:pPr>
          </w:p>
        </w:tc>
        <w:tc>
          <w:tcPr>
            <w:tcW w:w="5" w:type="pct"/>
            <w:vAlign w:val="center"/>
            <w:hideMark/>
          </w:tcPr>
          <w:p w14:paraId="6525C022" w14:textId="77777777" w:rsidR="00000000" w:rsidRDefault="00C1661D">
            <w:pPr>
              <w:spacing w:after="100"/>
              <w:rPr>
                <w:rFonts w:eastAsia="Times New Roman"/>
                <w:sz w:val="20"/>
                <w:szCs w:val="20"/>
              </w:rPr>
            </w:pPr>
          </w:p>
        </w:tc>
        <w:tc>
          <w:tcPr>
            <w:tcW w:w="41" w:type="pct"/>
            <w:vAlign w:val="center"/>
            <w:hideMark/>
          </w:tcPr>
          <w:p w14:paraId="7448D76D" w14:textId="77777777" w:rsidR="00000000" w:rsidRDefault="00C1661D">
            <w:pPr>
              <w:spacing w:after="100"/>
              <w:rPr>
                <w:rFonts w:eastAsia="Times New Roman"/>
                <w:sz w:val="20"/>
                <w:szCs w:val="20"/>
              </w:rPr>
            </w:pPr>
          </w:p>
        </w:tc>
        <w:tc>
          <w:tcPr>
            <w:tcW w:w="5" w:type="pct"/>
            <w:vAlign w:val="center"/>
            <w:hideMark/>
          </w:tcPr>
          <w:p w14:paraId="297D7333" w14:textId="77777777" w:rsidR="00000000" w:rsidRDefault="00C1661D">
            <w:pPr>
              <w:spacing w:after="100"/>
              <w:rPr>
                <w:rFonts w:eastAsia="Times New Roman"/>
                <w:sz w:val="20"/>
                <w:szCs w:val="20"/>
              </w:rPr>
            </w:pPr>
          </w:p>
        </w:tc>
        <w:tc>
          <w:tcPr>
            <w:tcW w:w="50" w:type="pct"/>
            <w:vAlign w:val="center"/>
            <w:hideMark/>
          </w:tcPr>
          <w:p w14:paraId="4CB93615" w14:textId="77777777" w:rsidR="00000000" w:rsidRDefault="00C1661D">
            <w:pPr>
              <w:spacing w:after="100"/>
              <w:rPr>
                <w:rFonts w:eastAsia="Times New Roman"/>
                <w:sz w:val="20"/>
                <w:szCs w:val="20"/>
              </w:rPr>
            </w:pPr>
          </w:p>
        </w:tc>
        <w:tc>
          <w:tcPr>
            <w:tcW w:w="362" w:type="pct"/>
            <w:vAlign w:val="center"/>
            <w:hideMark/>
          </w:tcPr>
          <w:p w14:paraId="785C9333" w14:textId="77777777" w:rsidR="00000000" w:rsidRDefault="00C1661D">
            <w:pPr>
              <w:spacing w:after="100"/>
              <w:rPr>
                <w:rFonts w:eastAsia="Times New Roman"/>
                <w:sz w:val="20"/>
                <w:szCs w:val="20"/>
              </w:rPr>
            </w:pPr>
          </w:p>
        </w:tc>
        <w:tc>
          <w:tcPr>
            <w:tcW w:w="5" w:type="pct"/>
            <w:vAlign w:val="center"/>
            <w:hideMark/>
          </w:tcPr>
          <w:p w14:paraId="128807FD" w14:textId="77777777" w:rsidR="00000000" w:rsidRDefault="00C1661D">
            <w:pPr>
              <w:spacing w:after="100"/>
              <w:rPr>
                <w:rFonts w:eastAsia="Times New Roman"/>
                <w:sz w:val="20"/>
                <w:szCs w:val="20"/>
              </w:rPr>
            </w:pPr>
          </w:p>
        </w:tc>
        <w:tc>
          <w:tcPr>
            <w:tcW w:w="5" w:type="pct"/>
            <w:vAlign w:val="center"/>
            <w:hideMark/>
          </w:tcPr>
          <w:p w14:paraId="07A71D27" w14:textId="77777777" w:rsidR="00000000" w:rsidRDefault="00C1661D">
            <w:pPr>
              <w:spacing w:after="100"/>
              <w:rPr>
                <w:rFonts w:eastAsia="Times New Roman"/>
                <w:sz w:val="20"/>
                <w:szCs w:val="20"/>
              </w:rPr>
            </w:pPr>
          </w:p>
        </w:tc>
        <w:tc>
          <w:tcPr>
            <w:tcW w:w="41" w:type="pct"/>
            <w:vAlign w:val="center"/>
            <w:hideMark/>
          </w:tcPr>
          <w:p w14:paraId="31160309" w14:textId="77777777" w:rsidR="00000000" w:rsidRDefault="00C1661D">
            <w:pPr>
              <w:spacing w:after="100"/>
              <w:rPr>
                <w:rFonts w:eastAsia="Times New Roman"/>
                <w:sz w:val="20"/>
                <w:szCs w:val="20"/>
              </w:rPr>
            </w:pPr>
          </w:p>
        </w:tc>
        <w:tc>
          <w:tcPr>
            <w:tcW w:w="5" w:type="pct"/>
            <w:vAlign w:val="center"/>
            <w:hideMark/>
          </w:tcPr>
          <w:p w14:paraId="347F4E01" w14:textId="77777777" w:rsidR="00000000" w:rsidRDefault="00C1661D">
            <w:pPr>
              <w:spacing w:after="100"/>
              <w:rPr>
                <w:rFonts w:eastAsia="Times New Roman"/>
                <w:sz w:val="20"/>
                <w:szCs w:val="20"/>
              </w:rPr>
            </w:pPr>
          </w:p>
        </w:tc>
        <w:tc>
          <w:tcPr>
            <w:tcW w:w="50" w:type="pct"/>
            <w:vAlign w:val="center"/>
            <w:hideMark/>
          </w:tcPr>
          <w:p w14:paraId="12E05F1F" w14:textId="77777777" w:rsidR="00000000" w:rsidRDefault="00C1661D">
            <w:pPr>
              <w:spacing w:after="100"/>
              <w:rPr>
                <w:rFonts w:eastAsia="Times New Roman"/>
                <w:sz w:val="20"/>
                <w:szCs w:val="20"/>
              </w:rPr>
            </w:pPr>
          </w:p>
        </w:tc>
        <w:tc>
          <w:tcPr>
            <w:tcW w:w="377" w:type="pct"/>
            <w:vAlign w:val="center"/>
            <w:hideMark/>
          </w:tcPr>
          <w:p w14:paraId="44ADEB2C" w14:textId="77777777" w:rsidR="00000000" w:rsidRDefault="00C1661D">
            <w:pPr>
              <w:spacing w:after="100"/>
              <w:rPr>
                <w:rFonts w:eastAsia="Times New Roman"/>
                <w:sz w:val="20"/>
                <w:szCs w:val="20"/>
              </w:rPr>
            </w:pPr>
          </w:p>
        </w:tc>
        <w:tc>
          <w:tcPr>
            <w:tcW w:w="5" w:type="pct"/>
            <w:vAlign w:val="center"/>
            <w:hideMark/>
          </w:tcPr>
          <w:p w14:paraId="5F23D8B0" w14:textId="77777777" w:rsidR="00000000" w:rsidRDefault="00C1661D">
            <w:pPr>
              <w:spacing w:after="100"/>
              <w:rPr>
                <w:rFonts w:eastAsia="Times New Roman"/>
                <w:sz w:val="20"/>
                <w:szCs w:val="20"/>
              </w:rPr>
            </w:pPr>
          </w:p>
        </w:tc>
      </w:tr>
      <w:tr w:rsidR="00000000" w14:paraId="60C39008" w14:textId="77777777">
        <w:trPr>
          <w:divId w:val="469056260"/>
        </w:trPr>
        <w:tc>
          <w:tcPr>
            <w:tcW w:w="0" w:type="auto"/>
            <w:gridSpan w:val="3"/>
            <w:tcMar>
              <w:top w:w="30" w:type="dxa"/>
              <w:left w:w="20" w:type="dxa"/>
              <w:bottom w:w="30" w:type="dxa"/>
              <w:right w:w="20" w:type="dxa"/>
            </w:tcMar>
            <w:vAlign w:val="bottom"/>
            <w:hideMark/>
          </w:tcPr>
          <w:p w14:paraId="216DB810" w14:textId="77777777" w:rsidR="00000000" w:rsidRDefault="00C1661D">
            <w:pPr>
              <w:spacing w:after="100"/>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093B0D2A"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3974C572" w14:textId="77777777" w:rsidR="00000000" w:rsidRDefault="00C1661D">
            <w:pPr>
              <w:spacing w:after="100"/>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14:paraId="4FC7814D"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B84D7A" w14:textId="77777777" w:rsidR="00000000" w:rsidRDefault="00C1661D">
            <w:pPr>
              <w:spacing w:after="100"/>
              <w:jc w:val="center"/>
              <w:rPr>
                <w:rFonts w:eastAsia="Times New Roman"/>
              </w:rPr>
            </w:pPr>
            <w:r>
              <w:rPr>
                <w:rFonts w:eastAsia="Times New Roman"/>
                <w:color w:val="000000"/>
                <w:sz w:val="16"/>
                <w:szCs w:val="16"/>
              </w:rPr>
              <w:t> </w:t>
            </w:r>
            <w:r>
              <w:rPr>
                <w:rFonts w:eastAsia="Times New Roman"/>
                <w:color w:val="000000"/>
                <w:sz w:val="16"/>
                <w:szCs w:val="16"/>
              </w:rPr>
              <w:t>Eliminations</w:t>
            </w:r>
            <w:r>
              <w:rPr>
                <w:rFonts w:eastAsia="Times New Roman"/>
                <w:color w:val="000000"/>
                <w:sz w:val="16"/>
                <w:szCs w:val="16"/>
              </w:rPr>
              <w:br/>
              <w:t>(a)</w:t>
            </w:r>
          </w:p>
        </w:tc>
        <w:tc>
          <w:tcPr>
            <w:tcW w:w="0" w:type="auto"/>
            <w:gridSpan w:val="3"/>
            <w:tcMar>
              <w:top w:w="0" w:type="dxa"/>
              <w:left w:w="20" w:type="dxa"/>
              <w:bottom w:w="0" w:type="dxa"/>
              <w:right w:w="20" w:type="dxa"/>
            </w:tcMar>
            <w:vAlign w:val="center"/>
            <w:hideMark/>
          </w:tcPr>
          <w:p w14:paraId="40810761"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104E7B6" w14:textId="77777777" w:rsidR="00000000" w:rsidRDefault="00C1661D">
            <w:pPr>
              <w:spacing w:after="100"/>
              <w:jc w:val="center"/>
              <w:rPr>
                <w:rFonts w:eastAsia="Times New Roman"/>
              </w:rPr>
            </w:pPr>
            <w:r>
              <w:rPr>
                <w:rFonts w:eastAsia="Times New Roman"/>
                <w:color w:val="000000"/>
                <w:sz w:val="16"/>
                <w:szCs w:val="16"/>
              </w:rPr>
              <w:t> AmeriGas Propane</w:t>
            </w:r>
          </w:p>
        </w:tc>
        <w:tc>
          <w:tcPr>
            <w:tcW w:w="0" w:type="auto"/>
            <w:gridSpan w:val="3"/>
            <w:tcMar>
              <w:top w:w="0" w:type="dxa"/>
              <w:left w:w="20" w:type="dxa"/>
              <w:bottom w:w="0" w:type="dxa"/>
              <w:right w:w="20" w:type="dxa"/>
            </w:tcMar>
            <w:vAlign w:val="center"/>
            <w:hideMark/>
          </w:tcPr>
          <w:p w14:paraId="2439F1EF"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0315DE" w14:textId="77777777" w:rsidR="00000000" w:rsidRDefault="00C1661D">
            <w:pPr>
              <w:spacing w:after="100"/>
              <w:jc w:val="center"/>
              <w:rPr>
                <w:rFonts w:eastAsia="Times New Roman"/>
              </w:rPr>
            </w:pPr>
            <w:r>
              <w:rPr>
                <w:rFonts w:eastAsia="Times New Roman"/>
                <w:color w:val="000000"/>
                <w:sz w:val="16"/>
                <w:szCs w:val="16"/>
              </w:rPr>
              <w:t> UGI International</w:t>
            </w:r>
          </w:p>
        </w:tc>
        <w:tc>
          <w:tcPr>
            <w:tcW w:w="0" w:type="auto"/>
            <w:gridSpan w:val="3"/>
            <w:tcMar>
              <w:top w:w="0" w:type="dxa"/>
              <w:left w:w="20" w:type="dxa"/>
              <w:bottom w:w="0" w:type="dxa"/>
              <w:right w:w="20" w:type="dxa"/>
            </w:tcMar>
            <w:vAlign w:val="center"/>
            <w:hideMark/>
          </w:tcPr>
          <w:p w14:paraId="376AE0C2"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A3D36AA" w14:textId="77777777" w:rsidR="00000000" w:rsidRDefault="00C1661D">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14:paraId="3966D679"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93EBB12" w14:textId="77777777" w:rsidR="00000000" w:rsidRDefault="00C1661D">
            <w:pPr>
              <w:spacing w:after="100"/>
              <w:jc w:val="center"/>
              <w:rPr>
                <w:rFonts w:eastAsia="Times New Roman"/>
              </w:rPr>
            </w:pPr>
            <w:r>
              <w:rPr>
                <w:rFonts w:eastAsia="Times New Roman"/>
                <w:color w:val="000000"/>
                <w:sz w:val="16"/>
                <w:szCs w:val="16"/>
              </w:rPr>
              <w:t>Utilities</w:t>
            </w:r>
          </w:p>
        </w:tc>
        <w:tc>
          <w:tcPr>
            <w:tcW w:w="0" w:type="auto"/>
            <w:gridSpan w:val="3"/>
            <w:tcMar>
              <w:top w:w="0" w:type="dxa"/>
              <w:left w:w="20" w:type="dxa"/>
              <w:bottom w:w="0" w:type="dxa"/>
              <w:right w:w="20" w:type="dxa"/>
            </w:tcMar>
            <w:vAlign w:val="center"/>
            <w:hideMark/>
          </w:tcPr>
          <w:p w14:paraId="369B7695"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5211231" w14:textId="77777777" w:rsidR="00000000" w:rsidRDefault="00C1661D">
            <w:pPr>
              <w:spacing w:after="100"/>
              <w:jc w:val="center"/>
              <w:rPr>
                <w:rFonts w:eastAsia="Times New Roman"/>
              </w:rPr>
            </w:pPr>
            <w:r>
              <w:rPr>
                <w:rFonts w:eastAsia="Times New Roman"/>
                <w:color w:val="000000"/>
                <w:sz w:val="16"/>
                <w:szCs w:val="16"/>
              </w:rPr>
              <w:t> Corporate &amp; Other</w:t>
            </w:r>
          </w:p>
        </w:tc>
      </w:tr>
      <w:tr w:rsidR="00000000" w14:paraId="385BCFF5" w14:textId="77777777">
        <w:trPr>
          <w:divId w:val="469056260"/>
        </w:trPr>
        <w:tc>
          <w:tcPr>
            <w:tcW w:w="0" w:type="auto"/>
            <w:gridSpan w:val="3"/>
            <w:shd w:val="clear" w:color="auto" w:fill="CCEEFF"/>
            <w:tcMar>
              <w:top w:w="30" w:type="dxa"/>
              <w:left w:w="20" w:type="dxa"/>
              <w:bottom w:w="30" w:type="dxa"/>
              <w:right w:w="20" w:type="dxa"/>
            </w:tcMar>
            <w:vAlign w:val="bottom"/>
            <w:hideMark/>
          </w:tcPr>
          <w:p w14:paraId="49795F84" w14:textId="77777777" w:rsidR="00000000" w:rsidRDefault="00C1661D">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14:paraId="50523846"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45AFCA"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75DAD4"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59005C"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6FA151"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8C5661"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DA7254"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60B5A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25261A"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337EE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981406"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44F556"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849ED6"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CE533A" w14:textId="77777777" w:rsidR="00000000" w:rsidRDefault="00C1661D">
            <w:pPr>
              <w:spacing w:after="100"/>
              <w:rPr>
                <w:rFonts w:eastAsia="Times New Roman"/>
                <w:sz w:val="20"/>
                <w:szCs w:val="20"/>
              </w:rPr>
            </w:pPr>
          </w:p>
        </w:tc>
      </w:tr>
      <w:tr w:rsidR="00000000" w14:paraId="35B1CAAA" w14:textId="77777777">
        <w:trPr>
          <w:divId w:val="469056260"/>
        </w:trPr>
        <w:tc>
          <w:tcPr>
            <w:tcW w:w="0" w:type="auto"/>
            <w:gridSpan w:val="3"/>
            <w:shd w:val="clear" w:color="auto" w:fill="FFFFFF"/>
            <w:tcMar>
              <w:top w:w="30" w:type="dxa"/>
              <w:left w:w="20" w:type="dxa"/>
              <w:bottom w:w="30" w:type="dxa"/>
              <w:right w:w="20" w:type="dxa"/>
            </w:tcMar>
            <w:vAlign w:val="bottom"/>
            <w:hideMark/>
          </w:tcPr>
          <w:p w14:paraId="3545B575" w14:textId="77777777" w:rsidR="00000000" w:rsidRDefault="00C1661D">
            <w:pPr>
              <w:spacing w:after="100"/>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14:paraId="4E4F1FF8"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A5E76"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56A7E3"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73933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E2B604"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6D6A8E"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9D9EC7"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E1264A"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86B13D"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4A2829"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F36CD0"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A218B7"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9B0FD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BA934C" w14:textId="77777777" w:rsidR="00000000" w:rsidRDefault="00C1661D">
            <w:pPr>
              <w:spacing w:after="100"/>
              <w:rPr>
                <w:rFonts w:eastAsia="Times New Roman"/>
                <w:sz w:val="20"/>
                <w:szCs w:val="20"/>
              </w:rPr>
            </w:pPr>
          </w:p>
        </w:tc>
      </w:tr>
      <w:tr w:rsidR="00000000" w14:paraId="5582CDF3" w14:textId="77777777">
        <w:trPr>
          <w:divId w:val="469056260"/>
        </w:trPr>
        <w:tc>
          <w:tcPr>
            <w:tcW w:w="0" w:type="auto"/>
            <w:gridSpan w:val="3"/>
            <w:shd w:val="clear" w:color="auto" w:fill="CCEEFF"/>
            <w:tcMar>
              <w:top w:w="30" w:type="dxa"/>
              <w:left w:w="155" w:type="dxa"/>
              <w:bottom w:w="30" w:type="dxa"/>
              <w:right w:w="20" w:type="dxa"/>
            </w:tcMar>
            <w:vAlign w:val="bottom"/>
            <w:hideMark/>
          </w:tcPr>
          <w:p w14:paraId="00B89F7F" w14:textId="77777777" w:rsidR="00000000" w:rsidRDefault="00C1661D">
            <w:pPr>
              <w:spacing w:after="100"/>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14:paraId="45CB8668"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F0114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D2EF3D"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30BDF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F49F8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9895A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B1BD2D"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B31FD9"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D979A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1D1A3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83974F"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5077B0"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0C4114"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296134" w14:textId="77777777" w:rsidR="00000000" w:rsidRDefault="00C1661D">
            <w:pPr>
              <w:spacing w:after="100"/>
              <w:rPr>
                <w:rFonts w:eastAsia="Times New Roman"/>
                <w:sz w:val="20"/>
                <w:szCs w:val="20"/>
              </w:rPr>
            </w:pPr>
          </w:p>
        </w:tc>
      </w:tr>
      <w:tr w:rsidR="00C1661D" w14:paraId="4570476D" w14:textId="77777777">
        <w:trPr>
          <w:divId w:val="469056260"/>
        </w:trPr>
        <w:tc>
          <w:tcPr>
            <w:tcW w:w="0" w:type="auto"/>
            <w:gridSpan w:val="3"/>
            <w:shd w:val="clear" w:color="auto" w:fill="FFFFFF"/>
            <w:tcMar>
              <w:top w:w="30" w:type="dxa"/>
              <w:left w:w="245" w:type="dxa"/>
              <w:bottom w:w="30" w:type="dxa"/>
              <w:right w:w="20" w:type="dxa"/>
            </w:tcMar>
            <w:vAlign w:val="bottom"/>
            <w:hideMark/>
          </w:tcPr>
          <w:p w14:paraId="1623B6C0" w14:textId="77777777" w:rsidR="00000000" w:rsidRDefault="00C1661D">
            <w:pPr>
              <w:spacing w:after="100"/>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14:paraId="7326A48F"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C8406B9"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002BBF3" w14:textId="77777777" w:rsidR="00000000" w:rsidRDefault="00C1661D">
            <w:pPr>
              <w:spacing w:after="100"/>
              <w:jc w:val="right"/>
              <w:rPr>
                <w:rFonts w:eastAsia="Times New Roman"/>
              </w:rPr>
            </w:pPr>
            <w:r>
              <w:rPr>
                <w:rFonts w:eastAsia="Times New Roman"/>
                <w:color w:val="000000"/>
                <w:sz w:val="16"/>
                <w:szCs w:val="16"/>
              </w:rPr>
              <w:t>563 </w:t>
            </w:r>
          </w:p>
        </w:tc>
        <w:tc>
          <w:tcPr>
            <w:tcW w:w="0" w:type="auto"/>
            <w:shd w:val="clear" w:color="auto" w:fill="FFFFFF"/>
            <w:tcMar>
              <w:top w:w="30" w:type="dxa"/>
              <w:left w:w="0" w:type="dxa"/>
              <w:bottom w:w="30" w:type="dxa"/>
              <w:right w:w="20" w:type="dxa"/>
            </w:tcMar>
            <w:vAlign w:val="bottom"/>
            <w:hideMark/>
          </w:tcPr>
          <w:p w14:paraId="63F143D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C3DABB"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AB130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3068868"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CABB77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AA97E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92C89F"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B2742B8"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C37673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7F385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FA14496"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8D1064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5EBDA0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18AD90"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C757EF"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78557F3"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18BBCF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DC8E8C"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55434A"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2032ABA" w14:textId="77777777" w:rsidR="00000000" w:rsidRDefault="00C1661D">
            <w:pPr>
              <w:spacing w:after="100"/>
              <w:jc w:val="right"/>
              <w:rPr>
                <w:rFonts w:eastAsia="Times New Roman"/>
              </w:rPr>
            </w:pPr>
            <w:r>
              <w:rPr>
                <w:rFonts w:eastAsia="Times New Roman"/>
                <w:color w:val="000000"/>
                <w:sz w:val="16"/>
                <w:szCs w:val="16"/>
              </w:rPr>
              <w:t>563 </w:t>
            </w:r>
          </w:p>
        </w:tc>
        <w:tc>
          <w:tcPr>
            <w:tcW w:w="0" w:type="auto"/>
            <w:shd w:val="clear" w:color="auto" w:fill="FFFFFF"/>
            <w:tcMar>
              <w:top w:w="30" w:type="dxa"/>
              <w:left w:w="0" w:type="dxa"/>
              <w:bottom w:w="30" w:type="dxa"/>
              <w:right w:w="20" w:type="dxa"/>
            </w:tcMar>
            <w:vAlign w:val="bottom"/>
            <w:hideMark/>
          </w:tcPr>
          <w:p w14:paraId="3E8AE7E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F05E70"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63EBBF"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D57B801"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93AF25A" w14:textId="77777777" w:rsidR="00000000" w:rsidRDefault="00C1661D">
            <w:pPr>
              <w:spacing w:after="100"/>
              <w:jc w:val="right"/>
              <w:rPr>
                <w:rFonts w:eastAsia="Times New Roman"/>
              </w:rPr>
            </w:pPr>
          </w:p>
        </w:tc>
      </w:tr>
      <w:tr w:rsidR="00000000" w14:paraId="2F28E418" w14:textId="77777777">
        <w:trPr>
          <w:divId w:val="469056260"/>
        </w:trPr>
        <w:tc>
          <w:tcPr>
            <w:tcW w:w="0" w:type="auto"/>
            <w:gridSpan w:val="3"/>
            <w:shd w:val="clear" w:color="auto" w:fill="CCEEFF"/>
            <w:tcMar>
              <w:top w:w="30" w:type="dxa"/>
              <w:left w:w="245" w:type="dxa"/>
              <w:bottom w:w="30" w:type="dxa"/>
              <w:right w:w="20" w:type="dxa"/>
            </w:tcMar>
            <w:vAlign w:val="bottom"/>
            <w:hideMark/>
          </w:tcPr>
          <w:p w14:paraId="7F710D8A" w14:textId="77777777" w:rsidR="00000000" w:rsidRDefault="00C1661D">
            <w:pPr>
              <w:spacing w:after="100"/>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14:paraId="2F216B62"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215902" w14:textId="77777777" w:rsidR="00000000" w:rsidRDefault="00C1661D">
            <w:pPr>
              <w:spacing w:after="100"/>
              <w:jc w:val="right"/>
              <w:rPr>
                <w:rFonts w:eastAsia="Times New Roman"/>
              </w:rPr>
            </w:pPr>
            <w:r>
              <w:rPr>
                <w:rFonts w:eastAsia="Times New Roman"/>
                <w:color w:val="000000"/>
                <w:sz w:val="16"/>
                <w:szCs w:val="16"/>
              </w:rPr>
              <w:t>215 </w:t>
            </w:r>
          </w:p>
        </w:tc>
        <w:tc>
          <w:tcPr>
            <w:tcW w:w="0" w:type="auto"/>
            <w:shd w:val="clear" w:color="auto" w:fill="CCEEFF"/>
            <w:tcMar>
              <w:top w:w="30" w:type="dxa"/>
              <w:left w:w="0" w:type="dxa"/>
              <w:bottom w:w="30" w:type="dxa"/>
              <w:right w:w="20" w:type="dxa"/>
            </w:tcMar>
            <w:vAlign w:val="bottom"/>
            <w:hideMark/>
          </w:tcPr>
          <w:p w14:paraId="0A60635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D0C51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27040A"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5D2BBF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80CAE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F46B76"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6CB778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4E12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2DE1EB"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F40C4E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CF4F5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2308D5"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916998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0C110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F61C99" w14:textId="77777777" w:rsidR="00000000" w:rsidRDefault="00C1661D">
            <w:pPr>
              <w:spacing w:after="100"/>
              <w:jc w:val="right"/>
              <w:rPr>
                <w:rFonts w:eastAsia="Times New Roman"/>
              </w:rPr>
            </w:pPr>
            <w:r>
              <w:rPr>
                <w:rFonts w:eastAsia="Times New Roman"/>
                <w:color w:val="000000"/>
                <w:sz w:val="16"/>
                <w:szCs w:val="16"/>
              </w:rPr>
              <w:t>215 </w:t>
            </w:r>
          </w:p>
        </w:tc>
        <w:tc>
          <w:tcPr>
            <w:tcW w:w="0" w:type="auto"/>
            <w:shd w:val="clear" w:color="auto" w:fill="CCEEFF"/>
            <w:tcMar>
              <w:top w:w="30" w:type="dxa"/>
              <w:left w:w="0" w:type="dxa"/>
              <w:bottom w:w="30" w:type="dxa"/>
              <w:right w:w="20" w:type="dxa"/>
            </w:tcMar>
            <w:vAlign w:val="bottom"/>
            <w:hideMark/>
          </w:tcPr>
          <w:p w14:paraId="5CB3F85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4BFF5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90B575"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78E0A2B" w14:textId="77777777" w:rsidR="00000000" w:rsidRDefault="00C1661D">
            <w:pPr>
              <w:spacing w:after="100"/>
              <w:jc w:val="right"/>
              <w:rPr>
                <w:rFonts w:eastAsia="Times New Roman"/>
              </w:rPr>
            </w:pPr>
          </w:p>
        </w:tc>
      </w:tr>
      <w:tr w:rsidR="00000000" w14:paraId="5DA4DFBC" w14:textId="77777777">
        <w:trPr>
          <w:divId w:val="469056260"/>
        </w:trPr>
        <w:tc>
          <w:tcPr>
            <w:tcW w:w="0" w:type="auto"/>
            <w:gridSpan w:val="3"/>
            <w:shd w:val="clear" w:color="auto" w:fill="FFFFFF"/>
            <w:tcMar>
              <w:top w:w="30" w:type="dxa"/>
              <w:left w:w="155" w:type="dxa"/>
              <w:bottom w:w="30" w:type="dxa"/>
              <w:right w:w="20" w:type="dxa"/>
            </w:tcMar>
            <w:vAlign w:val="bottom"/>
            <w:hideMark/>
          </w:tcPr>
          <w:p w14:paraId="4EC349B4" w14:textId="77777777" w:rsidR="00000000" w:rsidRDefault="00C1661D">
            <w:pPr>
              <w:spacing w:after="100"/>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14:paraId="34EF6831"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7CE58F" w14:textId="77777777" w:rsidR="00000000" w:rsidRDefault="00C1661D">
            <w:pPr>
              <w:spacing w:after="100"/>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14:paraId="557F7CE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7C7F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EE4576"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3EBA2B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D76E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577FD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1D13C7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0992C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4F8A57"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37B2D7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8BB31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62BEDE"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8411CF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022E0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AC1F19" w14:textId="77777777" w:rsidR="00000000" w:rsidRDefault="00C1661D">
            <w:pPr>
              <w:spacing w:after="100"/>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14:paraId="3932059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0CF69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5C504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37F81D6" w14:textId="77777777" w:rsidR="00000000" w:rsidRDefault="00C1661D">
            <w:pPr>
              <w:spacing w:after="100"/>
              <w:jc w:val="right"/>
              <w:rPr>
                <w:rFonts w:eastAsia="Times New Roman"/>
              </w:rPr>
            </w:pPr>
          </w:p>
        </w:tc>
      </w:tr>
      <w:tr w:rsidR="00000000" w14:paraId="31027660" w14:textId="77777777">
        <w:trPr>
          <w:divId w:val="469056260"/>
        </w:trPr>
        <w:tc>
          <w:tcPr>
            <w:tcW w:w="0" w:type="auto"/>
            <w:gridSpan w:val="3"/>
            <w:shd w:val="clear" w:color="auto" w:fill="CCEEFF"/>
            <w:tcMar>
              <w:top w:w="30" w:type="dxa"/>
              <w:left w:w="155" w:type="dxa"/>
              <w:bottom w:w="30" w:type="dxa"/>
              <w:right w:w="20" w:type="dxa"/>
            </w:tcMar>
            <w:vAlign w:val="bottom"/>
            <w:hideMark/>
          </w:tcPr>
          <w:p w14:paraId="192805D7" w14:textId="77777777" w:rsidR="00000000" w:rsidRDefault="00C1661D">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14:paraId="2F74DB14"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055D2B" w14:textId="77777777" w:rsidR="00000000" w:rsidRDefault="00C1661D">
            <w:pPr>
              <w:spacing w:after="100"/>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14:paraId="35D3F85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EBD50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589E86" w14:textId="77777777" w:rsidR="00000000" w:rsidRDefault="00C1661D">
            <w:pPr>
              <w:spacing w:after="100"/>
              <w:jc w:val="right"/>
              <w:rPr>
                <w:rFonts w:eastAsia="Times New Roman"/>
              </w:rPr>
            </w:pPr>
            <w:r>
              <w:rPr>
                <w:rFonts w:eastAsia="Times New Roman"/>
                <w:color w:val="000000"/>
                <w:sz w:val="16"/>
                <w:szCs w:val="16"/>
              </w:rPr>
              <w:t>(45)</w:t>
            </w:r>
          </w:p>
        </w:tc>
        <w:tc>
          <w:tcPr>
            <w:tcW w:w="0" w:type="auto"/>
            <w:shd w:val="clear" w:color="auto" w:fill="CCEEFF"/>
            <w:tcMar>
              <w:top w:w="30" w:type="dxa"/>
              <w:left w:w="0" w:type="dxa"/>
              <w:bottom w:w="30" w:type="dxa"/>
              <w:right w:w="20" w:type="dxa"/>
            </w:tcMar>
            <w:vAlign w:val="bottom"/>
            <w:hideMark/>
          </w:tcPr>
          <w:p w14:paraId="23C655D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D901A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218C55"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C116DD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FF6E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A0947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B6BDC0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E4500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DE2C4C"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E565C1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16C6C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D48899" w14:textId="77777777" w:rsidR="00000000" w:rsidRDefault="00C1661D">
            <w:pPr>
              <w:spacing w:after="100"/>
              <w:jc w:val="right"/>
              <w:rPr>
                <w:rFonts w:eastAsia="Times New Roman"/>
              </w:rPr>
            </w:pPr>
            <w:r>
              <w:rPr>
                <w:rFonts w:eastAsia="Times New Roman"/>
                <w:color w:val="000000"/>
                <w:sz w:val="16"/>
                <w:szCs w:val="16"/>
              </w:rPr>
              <w:t>93 </w:t>
            </w:r>
          </w:p>
        </w:tc>
        <w:tc>
          <w:tcPr>
            <w:tcW w:w="0" w:type="auto"/>
            <w:shd w:val="clear" w:color="auto" w:fill="CCEEFF"/>
            <w:tcMar>
              <w:top w:w="30" w:type="dxa"/>
              <w:left w:w="0" w:type="dxa"/>
              <w:bottom w:w="30" w:type="dxa"/>
              <w:right w:w="20" w:type="dxa"/>
            </w:tcMar>
            <w:vAlign w:val="bottom"/>
            <w:hideMark/>
          </w:tcPr>
          <w:p w14:paraId="4A893A4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8DE12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037ED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C24F61B" w14:textId="77777777" w:rsidR="00000000" w:rsidRDefault="00C1661D">
            <w:pPr>
              <w:spacing w:after="100"/>
              <w:jc w:val="right"/>
              <w:rPr>
                <w:rFonts w:eastAsia="Times New Roman"/>
              </w:rPr>
            </w:pPr>
          </w:p>
        </w:tc>
      </w:tr>
      <w:tr w:rsidR="00000000" w14:paraId="31DBD29C" w14:textId="77777777">
        <w:trPr>
          <w:divId w:val="469056260"/>
        </w:trPr>
        <w:tc>
          <w:tcPr>
            <w:tcW w:w="0" w:type="auto"/>
            <w:gridSpan w:val="3"/>
            <w:shd w:val="clear" w:color="auto" w:fill="FFFFFF"/>
            <w:tcMar>
              <w:top w:w="30" w:type="dxa"/>
              <w:left w:w="155" w:type="dxa"/>
              <w:bottom w:w="30" w:type="dxa"/>
              <w:right w:w="20" w:type="dxa"/>
            </w:tcMar>
            <w:vAlign w:val="bottom"/>
            <w:hideMark/>
          </w:tcPr>
          <w:p w14:paraId="4684116C" w14:textId="77777777" w:rsidR="00000000" w:rsidRDefault="00C1661D">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539D4030"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B4571D" w14:textId="77777777" w:rsidR="00000000" w:rsidRDefault="00C1661D">
            <w:pPr>
              <w:spacing w:after="100"/>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14:paraId="6B7EE00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656D5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20AC1A" w14:textId="77777777" w:rsidR="00000000" w:rsidRDefault="00C1661D">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14:paraId="7B7720E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65EB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DC64D3"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614E46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8AC63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E214EE"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4499AB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2524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DB2CC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E52D1E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4B301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807311" w14:textId="77777777" w:rsidR="00000000" w:rsidRDefault="00C1661D">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14:paraId="07CB1A1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384D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FC32AE"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030F961" w14:textId="77777777" w:rsidR="00000000" w:rsidRDefault="00C1661D">
            <w:pPr>
              <w:spacing w:after="100"/>
              <w:jc w:val="right"/>
              <w:rPr>
                <w:rFonts w:eastAsia="Times New Roman"/>
              </w:rPr>
            </w:pPr>
          </w:p>
        </w:tc>
      </w:tr>
      <w:tr w:rsidR="00000000" w14:paraId="763D3E0E" w14:textId="77777777">
        <w:trPr>
          <w:divId w:val="469056260"/>
        </w:trPr>
        <w:tc>
          <w:tcPr>
            <w:tcW w:w="0" w:type="auto"/>
            <w:gridSpan w:val="3"/>
            <w:shd w:val="clear" w:color="auto" w:fill="CCEEFF"/>
            <w:tcMar>
              <w:top w:w="30" w:type="dxa"/>
              <w:left w:w="20" w:type="dxa"/>
              <w:bottom w:w="30" w:type="dxa"/>
              <w:right w:w="20" w:type="dxa"/>
            </w:tcMar>
            <w:vAlign w:val="bottom"/>
            <w:hideMark/>
          </w:tcPr>
          <w:p w14:paraId="592B7261" w14:textId="77777777" w:rsidR="00000000" w:rsidRDefault="00C1661D">
            <w:pPr>
              <w:spacing w:after="100"/>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14:paraId="72CFC68E" w14:textId="77777777" w:rsidR="00000000" w:rsidRDefault="00C166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013531" w14:textId="77777777" w:rsidR="00000000" w:rsidRDefault="00C1661D">
            <w:pPr>
              <w:spacing w:after="100"/>
              <w:jc w:val="right"/>
              <w:rPr>
                <w:rFonts w:eastAsia="Times New Roman"/>
              </w:rPr>
            </w:pPr>
            <w:r>
              <w:rPr>
                <w:rFonts w:eastAsia="Times New Roman"/>
                <w:color w:val="000000"/>
                <w:sz w:val="16"/>
                <w:szCs w:val="16"/>
              </w:rPr>
              <w:t>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62592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37B39"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9B00D1" w14:textId="77777777" w:rsidR="00000000" w:rsidRDefault="00C1661D">
            <w:pPr>
              <w:spacing w:after="100"/>
              <w:jc w:val="right"/>
              <w:rPr>
                <w:rFonts w:eastAsia="Times New Roman"/>
              </w:rPr>
            </w:pPr>
            <w:r>
              <w:rPr>
                <w:rFonts w:eastAsia="Times New Roman"/>
                <w:color w:val="000000"/>
                <w:sz w:val="16"/>
                <w:szCs w:val="16"/>
              </w:rPr>
              <w:t>(47)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7B13D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B5D921"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57AAA4"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3A45B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928701"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520A4F"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621D1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3C603"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D0512F"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C747B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176145"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FB5E79" w14:textId="77777777" w:rsidR="00000000" w:rsidRDefault="00C1661D">
            <w:pPr>
              <w:spacing w:after="100"/>
              <w:jc w:val="right"/>
              <w:rPr>
                <w:rFonts w:eastAsia="Times New Roman"/>
              </w:rPr>
            </w:pPr>
            <w:r>
              <w:rPr>
                <w:rFonts w:eastAsia="Times New Roman"/>
                <w:color w:val="000000"/>
                <w:sz w:val="16"/>
                <w:szCs w:val="16"/>
              </w:rPr>
              <w:t>1,029 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64099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D0EA8F"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C3175D"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641318" w14:textId="77777777" w:rsidR="00000000" w:rsidRDefault="00C1661D">
            <w:pPr>
              <w:spacing w:after="100"/>
              <w:jc w:val="right"/>
              <w:rPr>
                <w:rFonts w:eastAsia="Times New Roman"/>
              </w:rPr>
            </w:pPr>
          </w:p>
        </w:tc>
      </w:tr>
      <w:tr w:rsidR="00000000" w14:paraId="3BB132BF" w14:textId="77777777">
        <w:trPr>
          <w:divId w:val="469056260"/>
        </w:trPr>
        <w:tc>
          <w:tcPr>
            <w:tcW w:w="0" w:type="auto"/>
            <w:gridSpan w:val="3"/>
            <w:shd w:val="clear" w:color="auto" w:fill="FFFFFF"/>
            <w:tcMar>
              <w:top w:w="30" w:type="dxa"/>
              <w:left w:w="20" w:type="dxa"/>
              <w:bottom w:w="30" w:type="dxa"/>
              <w:right w:w="20" w:type="dxa"/>
            </w:tcMar>
            <w:vAlign w:val="bottom"/>
            <w:hideMark/>
          </w:tcPr>
          <w:p w14:paraId="2682A416" w14:textId="77777777" w:rsidR="00000000" w:rsidRDefault="00C1661D">
            <w:pPr>
              <w:spacing w:after="100"/>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14:paraId="7CDDA359"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DD098D9"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849F11"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8D707AC"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4E29AC"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DA1A3AB"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10BE73"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6707C3"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A19057"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2B44E8"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FF2FF3"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CDF7BE8"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A14C13"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F031BF" w14:textId="77777777" w:rsidR="00000000" w:rsidRDefault="00C1661D">
            <w:pPr>
              <w:spacing w:after="100"/>
              <w:rPr>
                <w:rFonts w:eastAsia="Times New Roman"/>
                <w:sz w:val="20"/>
                <w:szCs w:val="20"/>
              </w:rPr>
            </w:pPr>
          </w:p>
        </w:tc>
      </w:tr>
      <w:tr w:rsidR="00000000" w14:paraId="4822686C" w14:textId="77777777">
        <w:trPr>
          <w:divId w:val="469056260"/>
        </w:trPr>
        <w:tc>
          <w:tcPr>
            <w:tcW w:w="0" w:type="auto"/>
            <w:gridSpan w:val="3"/>
            <w:shd w:val="clear" w:color="auto" w:fill="CCEEFF"/>
            <w:tcMar>
              <w:top w:w="30" w:type="dxa"/>
              <w:left w:w="155" w:type="dxa"/>
              <w:bottom w:w="30" w:type="dxa"/>
              <w:right w:w="20" w:type="dxa"/>
            </w:tcMar>
            <w:vAlign w:val="bottom"/>
            <w:hideMark/>
          </w:tcPr>
          <w:p w14:paraId="17F4925F" w14:textId="77777777" w:rsidR="00000000" w:rsidRDefault="00C1661D">
            <w:pPr>
              <w:spacing w:after="100"/>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14:paraId="1C9FF6D8"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CD7604"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353E1C"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9C9D0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40DBC0"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3B3629"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997B7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226364"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4BC10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39113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576059"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18149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DAD20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B822F9" w14:textId="77777777" w:rsidR="00000000" w:rsidRDefault="00C1661D">
            <w:pPr>
              <w:spacing w:after="100"/>
              <w:rPr>
                <w:rFonts w:eastAsia="Times New Roman"/>
                <w:sz w:val="20"/>
                <w:szCs w:val="20"/>
              </w:rPr>
            </w:pPr>
          </w:p>
        </w:tc>
      </w:tr>
      <w:tr w:rsidR="00000000" w14:paraId="68FC8D2F" w14:textId="77777777">
        <w:trPr>
          <w:divId w:val="469056260"/>
        </w:trPr>
        <w:tc>
          <w:tcPr>
            <w:tcW w:w="0" w:type="auto"/>
            <w:gridSpan w:val="3"/>
            <w:shd w:val="clear" w:color="auto" w:fill="FFFFFF"/>
            <w:tcMar>
              <w:top w:w="30" w:type="dxa"/>
              <w:left w:w="245" w:type="dxa"/>
              <w:bottom w:w="30" w:type="dxa"/>
              <w:right w:w="20" w:type="dxa"/>
            </w:tcMar>
            <w:vAlign w:val="bottom"/>
            <w:hideMark/>
          </w:tcPr>
          <w:p w14:paraId="6B0CD963" w14:textId="77777777" w:rsidR="00000000" w:rsidRDefault="00C1661D">
            <w:pPr>
              <w:spacing w:after="100"/>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14:paraId="66FCA938"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F4A5BC" w14:textId="77777777" w:rsidR="00000000" w:rsidRDefault="00C1661D">
            <w:pPr>
              <w:spacing w:after="100"/>
              <w:jc w:val="right"/>
              <w:rPr>
                <w:rFonts w:eastAsia="Times New Roman"/>
              </w:rPr>
            </w:pPr>
            <w:r>
              <w:rPr>
                <w:rFonts w:eastAsia="Times New Roman"/>
                <w:color w:val="000000"/>
                <w:sz w:val="16"/>
                <w:szCs w:val="16"/>
              </w:rPr>
              <w:t>3,499 </w:t>
            </w:r>
          </w:p>
        </w:tc>
        <w:tc>
          <w:tcPr>
            <w:tcW w:w="0" w:type="auto"/>
            <w:shd w:val="clear" w:color="auto" w:fill="FFFFFF"/>
            <w:tcMar>
              <w:top w:w="30" w:type="dxa"/>
              <w:left w:w="0" w:type="dxa"/>
              <w:bottom w:w="30" w:type="dxa"/>
              <w:right w:w="20" w:type="dxa"/>
            </w:tcMar>
            <w:vAlign w:val="bottom"/>
            <w:hideMark/>
          </w:tcPr>
          <w:p w14:paraId="1586CF5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CD700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50CA6A"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1720BC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3A2E1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0680DE" w14:textId="77777777" w:rsidR="00000000" w:rsidRDefault="00C1661D">
            <w:pPr>
              <w:spacing w:after="100"/>
              <w:jc w:val="right"/>
              <w:rPr>
                <w:rFonts w:eastAsia="Times New Roman"/>
              </w:rPr>
            </w:pPr>
            <w:r>
              <w:rPr>
                <w:rFonts w:eastAsia="Times New Roman"/>
                <w:color w:val="000000"/>
                <w:sz w:val="16"/>
                <w:szCs w:val="16"/>
              </w:rPr>
              <w:t>2,037 </w:t>
            </w:r>
          </w:p>
        </w:tc>
        <w:tc>
          <w:tcPr>
            <w:tcW w:w="0" w:type="auto"/>
            <w:shd w:val="clear" w:color="auto" w:fill="FFFFFF"/>
            <w:tcMar>
              <w:top w:w="30" w:type="dxa"/>
              <w:left w:w="0" w:type="dxa"/>
              <w:bottom w:w="30" w:type="dxa"/>
              <w:right w:w="20" w:type="dxa"/>
            </w:tcMar>
            <w:vAlign w:val="bottom"/>
            <w:hideMark/>
          </w:tcPr>
          <w:p w14:paraId="728AA92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720C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01E26F" w14:textId="77777777" w:rsidR="00000000" w:rsidRDefault="00C1661D">
            <w:pPr>
              <w:spacing w:after="100"/>
              <w:jc w:val="right"/>
              <w:rPr>
                <w:rFonts w:eastAsia="Times New Roman"/>
              </w:rPr>
            </w:pPr>
            <w:r>
              <w:rPr>
                <w:rFonts w:eastAsia="Times New Roman"/>
                <w:color w:val="000000"/>
                <w:sz w:val="16"/>
                <w:szCs w:val="16"/>
              </w:rPr>
              <w:t>1,462 </w:t>
            </w:r>
          </w:p>
        </w:tc>
        <w:tc>
          <w:tcPr>
            <w:tcW w:w="0" w:type="auto"/>
            <w:shd w:val="clear" w:color="auto" w:fill="FFFFFF"/>
            <w:tcMar>
              <w:top w:w="30" w:type="dxa"/>
              <w:left w:w="0" w:type="dxa"/>
              <w:bottom w:w="30" w:type="dxa"/>
              <w:right w:w="20" w:type="dxa"/>
            </w:tcMar>
            <w:vAlign w:val="bottom"/>
            <w:hideMark/>
          </w:tcPr>
          <w:p w14:paraId="1E58C29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2E2E3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B0BF03"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39CC2A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E4AEC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12CD67" w14:textId="77777777" w:rsidR="00000000" w:rsidRDefault="00C1661D">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35EEDF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DB046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44B2B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28810E1" w14:textId="77777777" w:rsidR="00000000" w:rsidRDefault="00C1661D">
            <w:pPr>
              <w:spacing w:after="100"/>
              <w:jc w:val="right"/>
              <w:rPr>
                <w:rFonts w:eastAsia="Times New Roman"/>
              </w:rPr>
            </w:pPr>
          </w:p>
        </w:tc>
      </w:tr>
      <w:tr w:rsidR="00000000" w14:paraId="271269A9" w14:textId="77777777">
        <w:trPr>
          <w:divId w:val="469056260"/>
        </w:trPr>
        <w:tc>
          <w:tcPr>
            <w:tcW w:w="0" w:type="auto"/>
            <w:gridSpan w:val="3"/>
            <w:shd w:val="clear" w:color="auto" w:fill="CCEEFF"/>
            <w:tcMar>
              <w:top w:w="30" w:type="dxa"/>
              <w:left w:w="245" w:type="dxa"/>
              <w:bottom w:w="30" w:type="dxa"/>
              <w:right w:w="20" w:type="dxa"/>
            </w:tcMar>
            <w:vAlign w:val="bottom"/>
            <w:hideMark/>
          </w:tcPr>
          <w:p w14:paraId="3BC1313F" w14:textId="77777777" w:rsidR="00000000" w:rsidRDefault="00C1661D">
            <w:pPr>
              <w:spacing w:after="100"/>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14:paraId="7D8B0A4F"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178364" w14:textId="77777777" w:rsidR="00000000" w:rsidRDefault="00C1661D">
            <w:pPr>
              <w:spacing w:after="100"/>
              <w:jc w:val="right"/>
              <w:rPr>
                <w:rFonts w:eastAsia="Times New Roman"/>
              </w:rPr>
            </w:pPr>
            <w:r>
              <w:rPr>
                <w:rFonts w:eastAsia="Times New Roman"/>
                <w:color w:val="000000"/>
                <w:sz w:val="16"/>
                <w:szCs w:val="16"/>
              </w:rPr>
              <w:t>211 </w:t>
            </w:r>
          </w:p>
        </w:tc>
        <w:tc>
          <w:tcPr>
            <w:tcW w:w="0" w:type="auto"/>
            <w:shd w:val="clear" w:color="auto" w:fill="CCEEFF"/>
            <w:tcMar>
              <w:top w:w="30" w:type="dxa"/>
              <w:left w:w="0" w:type="dxa"/>
              <w:bottom w:w="30" w:type="dxa"/>
              <w:right w:w="20" w:type="dxa"/>
            </w:tcMar>
            <w:vAlign w:val="bottom"/>
            <w:hideMark/>
          </w:tcPr>
          <w:p w14:paraId="5318758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62CDC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7E566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AC50C3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72D50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624939" w14:textId="77777777" w:rsidR="00000000" w:rsidRDefault="00C1661D">
            <w:pPr>
              <w:spacing w:after="100"/>
              <w:jc w:val="right"/>
              <w:rPr>
                <w:rFonts w:eastAsia="Times New Roman"/>
              </w:rPr>
            </w:pPr>
            <w:r>
              <w:rPr>
                <w:rFonts w:eastAsia="Times New Roman"/>
                <w:color w:val="000000"/>
                <w:sz w:val="16"/>
                <w:szCs w:val="16"/>
              </w:rPr>
              <w:t>63 </w:t>
            </w:r>
          </w:p>
        </w:tc>
        <w:tc>
          <w:tcPr>
            <w:tcW w:w="0" w:type="auto"/>
            <w:shd w:val="clear" w:color="auto" w:fill="CCEEFF"/>
            <w:tcMar>
              <w:top w:w="30" w:type="dxa"/>
              <w:left w:w="0" w:type="dxa"/>
              <w:bottom w:w="30" w:type="dxa"/>
              <w:right w:w="20" w:type="dxa"/>
            </w:tcMar>
            <w:vAlign w:val="bottom"/>
            <w:hideMark/>
          </w:tcPr>
          <w:p w14:paraId="79A0030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A0C5A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CACA91" w14:textId="77777777" w:rsidR="00000000" w:rsidRDefault="00C1661D">
            <w:pPr>
              <w:spacing w:after="100"/>
              <w:jc w:val="right"/>
              <w:rPr>
                <w:rFonts w:eastAsia="Times New Roman"/>
              </w:rPr>
            </w:pPr>
            <w:r>
              <w:rPr>
                <w:rFonts w:eastAsia="Times New Roman"/>
                <w:color w:val="000000"/>
                <w:sz w:val="16"/>
                <w:szCs w:val="16"/>
              </w:rPr>
              <w:t>148 </w:t>
            </w:r>
          </w:p>
        </w:tc>
        <w:tc>
          <w:tcPr>
            <w:tcW w:w="0" w:type="auto"/>
            <w:shd w:val="clear" w:color="auto" w:fill="CCEEFF"/>
            <w:tcMar>
              <w:top w:w="30" w:type="dxa"/>
              <w:left w:w="0" w:type="dxa"/>
              <w:bottom w:w="30" w:type="dxa"/>
              <w:right w:w="20" w:type="dxa"/>
            </w:tcMar>
            <w:vAlign w:val="bottom"/>
            <w:hideMark/>
          </w:tcPr>
          <w:p w14:paraId="02C9FA0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8A118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CFFF6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684FCB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DFAF1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4D623E"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9BED0A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5727E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29A38"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3030CE5" w14:textId="77777777" w:rsidR="00000000" w:rsidRDefault="00C1661D">
            <w:pPr>
              <w:spacing w:after="100"/>
              <w:jc w:val="right"/>
              <w:rPr>
                <w:rFonts w:eastAsia="Times New Roman"/>
              </w:rPr>
            </w:pPr>
          </w:p>
        </w:tc>
      </w:tr>
      <w:tr w:rsidR="00000000" w14:paraId="3BA26707" w14:textId="77777777">
        <w:trPr>
          <w:divId w:val="469056260"/>
        </w:trPr>
        <w:tc>
          <w:tcPr>
            <w:tcW w:w="0" w:type="auto"/>
            <w:gridSpan w:val="3"/>
            <w:shd w:val="clear" w:color="auto" w:fill="FFFFFF"/>
            <w:tcMar>
              <w:top w:w="30" w:type="dxa"/>
              <w:left w:w="155" w:type="dxa"/>
              <w:bottom w:w="30" w:type="dxa"/>
              <w:right w:w="20" w:type="dxa"/>
            </w:tcMar>
            <w:vAlign w:val="bottom"/>
            <w:hideMark/>
          </w:tcPr>
          <w:p w14:paraId="086C4248" w14:textId="77777777" w:rsidR="00000000" w:rsidRDefault="00C1661D">
            <w:pPr>
              <w:spacing w:after="100"/>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14:paraId="3C376C05"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37C792" w14:textId="77777777" w:rsidR="00000000" w:rsidRDefault="00C1661D">
            <w:pPr>
              <w:spacing w:after="100"/>
              <w:jc w:val="right"/>
              <w:rPr>
                <w:rFonts w:eastAsia="Times New Roman"/>
              </w:rPr>
            </w:pPr>
            <w:r>
              <w:rPr>
                <w:rFonts w:eastAsia="Times New Roman"/>
                <w:color w:val="000000"/>
                <w:sz w:val="16"/>
                <w:szCs w:val="16"/>
              </w:rPr>
              <w:t>1,233 </w:t>
            </w:r>
          </w:p>
        </w:tc>
        <w:tc>
          <w:tcPr>
            <w:tcW w:w="0" w:type="auto"/>
            <w:shd w:val="clear" w:color="auto" w:fill="FFFFFF"/>
            <w:tcMar>
              <w:top w:w="30" w:type="dxa"/>
              <w:left w:w="0" w:type="dxa"/>
              <w:bottom w:w="30" w:type="dxa"/>
              <w:right w:w="20" w:type="dxa"/>
            </w:tcMar>
            <w:vAlign w:val="bottom"/>
            <w:hideMark/>
          </w:tcPr>
          <w:p w14:paraId="37EFF80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A925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9CC1C4" w14:textId="77777777" w:rsidR="00000000" w:rsidRDefault="00C1661D">
            <w:pPr>
              <w:spacing w:after="100"/>
              <w:jc w:val="right"/>
              <w:rPr>
                <w:rFonts w:eastAsia="Times New Roman"/>
              </w:rPr>
            </w:pPr>
            <w:r>
              <w:rPr>
                <w:rFonts w:eastAsia="Times New Roman"/>
                <w:color w:val="000000"/>
                <w:sz w:val="16"/>
                <w:szCs w:val="16"/>
              </w:rPr>
              <w:t>(79)</w:t>
            </w:r>
          </w:p>
        </w:tc>
        <w:tc>
          <w:tcPr>
            <w:tcW w:w="0" w:type="auto"/>
            <w:shd w:val="clear" w:color="auto" w:fill="FFFFFF"/>
            <w:tcMar>
              <w:top w:w="30" w:type="dxa"/>
              <w:left w:w="0" w:type="dxa"/>
              <w:bottom w:w="30" w:type="dxa"/>
              <w:right w:w="20" w:type="dxa"/>
            </w:tcMar>
            <w:vAlign w:val="bottom"/>
            <w:hideMark/>
          </w:tcPr>
          <w:p w14:paraId="74C22B7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0AFF2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EA48C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EF64E6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29F4D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A3DEBC" w14:textId="77777777" w:rsidR="00000000" w:rsidRDefault="00C1661D">
            <w:pPr>
              <w:spacing w:after="100"/>
              <w:jc w:val="right"/>
              <w:rPr>
                <w:rFonts w:eastAsia="Times New Roman"/>
              </w:rPr>
            </w:pPr>
            <w:r>
              <w:rPr>
                <w:rFonts w:eastAsia="Times New Roman"/>
                <w:color w:val="000000"/>
                <w:sz w:val="16"/>
                <w:szCs w:val="16"/>
              </w:rPr>
              <w:t>434 </w:t>
            </w:r>
          </w:p>
        </w:tc>
        <w:tc>
          <w:tcPr>
            <w:tcW w:w="0" w:type="auto"/>
            <w:shd w:val="clear" w:color="auto" w:fill="FFFFFF"/>
            <w:tcMar>
              <w:top w:w="30" w:type="dxa"/>
              <w:left w:w="0" w:type="dxa"/>
              <w:bottom w:w="30" w:type="dxa"/>
              <w:right w:w="20" w:type="dxa"/>
            </w:tcMar>
            <w:vAlign w:val="bottom"/>
            <w:hideMark/>
          </w:tcPr>
          <w:p w14:paraId="67A4B65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37AC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BACC7B" w14:textId="77777777" w:rsidR="00000000" w:rsidRDefault="00C1661D">
            <w:pPr>
              <w:spacing w:after="100"/>
              <w:jc w:val="right"/>
              <w:rPr>
                <w:rFonts w:eastAsia="Times New Roman"/>
              </w:rPr>
            </w:pPr>
            <w:r>
              <w:rPr>
                <w:rFonts w:eastAsia="Times New Roman"/>
                <w:color w:val="000000"/>
                <w:sz w:val="16"/>
                <w:szCs w:val="16"/>
              </w:rPr>
              <w:t>878 </w:t>
            </w:r>
          </w:p>
        </w:tc>
        <w:tc>
          <w:tcPr>
            <w:tcW w:w="0" w:type="auto"/>
            <w:shd w:val="clear" w:color="auto" w:fill="FFFFFF"/>
            <w:tcMar>
              <w:top w:w="30" w:type="dxa"/>
              <w:left w:w="0" w:type="dxa"/>
              <w:bottom w:w="30" w:type="dxa"/>
              <w:right w:w="20" w:type="dxa"/>
            </w:tcMar>
            <w:vAlign w:val="bottom"/>
            <w:hideMark/>
          </w:tcPr>
          <w:p w14:paraId="48438BD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9567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5690B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BF95CA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64F6D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5DA2F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740CA6B" w14:textId="77777777" w:rsidR="00000000" w:rsidRDefault="00C1661D">
            <w:pPr>
              <w:spacing w:after="100"/>
              <w:jc w:val="right"/>
              <w:rPr>
                <w:rFonts w:eastAsia="Times New Roman"/>
              </w:rPr>
            </w:pPr>
          </w:p>
        </w:tc>
      </w:tr>
      <w:tr w:rsidR="00000000" w14:paraId="102985CB" w14:textId="77777777">
        <w:trPr>
          <w:divId w:val="469056260"/>
        </w:trPr>
        <w:tc>
          <w:tcPr>
            <w:tcW w:w="0" w:type="auto"/>
            <w:gridSpan w:val="3"/>
            <w:shd w:val="clear" w:color="auto" w:fill="CCEEFF"/>
            <w:tcMar>
              <w:top w:w="30" w:type="dxa"/>
              <w:left w:w="155" w:type="dxa"/>
              <w:bottom w:w="30" w:type="dxa"/>
              <w:right w:w="20" w:type="dxa"/>
            </w:tcMar>
            <w:vAlign w:val="bottom"/>
            <w:hideMark/>
          </w:tcPr>
          <w:p w14:paraId="6057508E" w14:textId="77777777" w:rsidR="00000000" w:rsidRDefault="00C1661D">
            <w:pPr>
              <w:spacing w:after="100"/>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14:paraId="10BA4FB3"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90400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F4F04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B2ECA6"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2D64C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7F591F"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8AAA4A"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B3C34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57784C"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AEDEF6"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AC7E0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6B935A"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00E87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E31856" w14:textId="77777777" w:rsidR="00000000" w:rsidRDefault="00C1661D">
            <w:pPr>
              <w:spacing w:after="100"/>
              <w:rPr>
                <w:rFonts w:eastAsia="Times New Roman"/>
                <w:sz w:val="20"/>
                <w:szCs w:val="20"/>
              </w:rPr>
            </w:pPr>
          </w:p>
        </w:tc>
      </w:tr>
      <w:tr w:rsidR="00000000" w14:paraId="25C06DF4" w14:textId="77777777">
        <w:trPr>
          <w:divId w:val="469056260"/>
        </w:trPr>
        <w:tc>
          <w:tcPr>
            <w:tcW w:w="0" w:type="auto"/>
            <w:gridSpan w:val="3"/>
            <w:shd w:val="clear" w:color="auto" w:fill="FFFFFF"/>
            <w:tcMar>
              <w:top w:w="30" w:type="dxa"/>
              <w:left w:w="245" w:type="dxa"/>
              <w:bottom w:w="30" w:type="dxa"/>
              <w:right w:w="20" w:type="dxa"/>
            </w:tcMar>
            <w:vAlign w:val="bottom"/>
            <w:hideMark/>
          </w:tcPr>
          <w:p w14:paraId="23FE7B77" w14:textId="77777777" w:rsidR="00000000" w:rsidRDefault="00C1661D">
            <w:pPr>
              <w:spacing w:after="100"/>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14:paraId="74D338FA"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3DCA3A" w14:textId="77777777" w:rsidR="00000000" w:rsidRDefault="00C1661D">
            <w:pPr>
              <w:spacing w:after="100"/>
              <w:jc w:val="right"/>
              <w:rPr>
                <w:rFonts w:eastAsia="Times New Roman"/>
              </w:rPr>
            </w:pPr>
            <w:r>
              <w:rPr>
                <w:rFonts w:eastAsia="Times New Roman"/>
                <w:color w:val="000000"/>
                <w:sz w:val="16"/>
                <w:szCs w:val="16"/>
              </w:rPr>
              <w:t>168 </w:t>
            </w:r>
          </w:p>
        </w:tc>
        <w:tc>
          <w:tcPr>
            <w:tcW w:w="0" w:type="auto"/>
            <w:shd w:val="clear" w:color="auto" w:fill="FFFFFF"/>
            <w:tcMar>
              <w:top w:w="30" w:type="dxa"/>
              <w:left w:w="0" w:type="dxa"/>
              <w:bottom w:w="30" w:type="dxa"/>
              <w:right w:w="20" w:type="dxa"/>
            </w:tcMar>
            <w:vAlign w:val="bottom"/>
            <w:hideMark/>
          </w:tcPr>
          <w:p w14:paraId="6B83F33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15ED7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4353C8"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5F1F4E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4DF6B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FDF94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D5036B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4FC6D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8D4249"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A34CC3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8BA18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C013A0" w14:textId="77777777" w:rsidR="00000000" w:rsidRDefault="00C1661D">
            <w:pPr>
              <w:spacing w:after="100"/>
              <w:jc w:val="right"/>
              <w:rPr>
                <w:rFonts w:eastAsia="Times New Roman"/>
              </w:rPr>
            </w:pPr>
            <w:r>
              <w:rPr>
                <w:rFonts w:eastAsia="Times New Roman"/>
                <w:color w:val="000000"/>
                <w:sz w:val="16"/>
                <w:szCs w:val="16"/>
              </w:rPr>
              <w:t>168 </w:t>
            </w:r>
          </w:p>
        </w:tc>
        <w:tc>
          <w:tcPr>
            <w:tcW w:w="0" w:type="auto"/>
            <w:shd w:val="clear" w:color="auto" w:fill="FFFFFF"/>
            <w:tcMar>
              <w:top w:w="30" w:type="dxa"/>
              <w:left w:w="0" w:type="dxa"/>
              <w:bottom w:w="30" w:type="dxa"/>
              <w:right w:w="20" w:type="dxa"/>
            </w:tcMar>
            <w:vAlign w:val="bottom"/>
            <w:hideMark/>
          </w:tcPr>
          <w:p w14:paraId="14BDD6D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7B74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6F932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06C65D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8C489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CAA8F1"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AC013B2" w14:textId="77777777" w:rsidR="00000000" w:rsidRDefault="00C1661D">
            <w:pPr>
              <w:spacing w:after="100"/>
              <w:jc w:val="right"/>
              <w:rPr>
                <w:rFonts w:eastAsia="Times New Roman"/>
              </w:rPr>
            </w:pPr>
          </w:p>
        </w:tc>
      </w:tr>
      <w:tr w:rsidR="00000000" w14:paraId="5E8B140F" w14:textId="77777777">
        <w:trPr>
          <w:divId w:val="469056260"/>
        </w:trPr>
        <w:tc>
          <w:tcPr>
            <w:tcW w:w="0" w:type="auto"/>
            <w:gridSpan w:val="3"/>
            <w:shd w:val="clear" w:color="auto" w:fill="CCEEFF"/>
            <w:tcMar>
              <w:top w:w="30" w:type="dxa"/>
              <w:left w:w="245" w:type="dxa"/>
              <w:bottom w:w="30" w:type="dxa"/>
              <w:right w:w="20" w:type="dxa"/>
            </w:tcMar>
            <w:vAlign w:val="bottom"/>
            <w:hideMark/>
          </w:tcPr>
          <w:p w14:paraId="6246FEC2" w14:textId="77777777" w:rsidR="00000000" w:rsidRDefault="00C1661D">
            <w:pPr>
              <w:spacing w:after="100"/>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14:paraId="58A83F80"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990856" w14:textId="77777777" w:rsidR="00000000" w:rsidRDefault="00C1661D">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14:paraId="0EE1A83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FA2E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180AC5" w14:textId="77777777" w:rsidR="00000000" w:rsidRDefault="00C1661D">
            <w:pPr>
              <w:spacing w:after="100"/>
              <w:jc w:val="right"/>
              <w:rPr>
                <w:rFonts w:eastAsia="Times New Roman"/>
              </w:rPr>
            </w:pPr>
            <w:r>
              <w:rPr>
                <w:rFonts w:eastAsia="Times New Roman"/>
                <w:color w:val="000000"/>
                <w:sz w:val="16"/>
                <w:szCs w:val="16"/>
              </w:rPr>
              <w:t>(100)</w:t>
            </w:r>
          </w:p>
        </w:tc>
        <w:tc>
          <w:tcPr>
            <w:tcW w:w="0" w:type="auto"/>
            <w:shd w:val="clear" w:color="auto" w:fill="CCEEFF"/>
            <w:tcMar>
              <w:top w:w="30" w:type="dxa"/>
              <w:left w:w="0" w:type="dxa"/>
              <w:bottom w:w="30" w:type="dxa"/>
              <w:right w:w="20" w:type="dxa"/>
            </w:tcMar>
            <w:vAlign w:val="bottom"/>
            <w:hideMark/>
          </w:tcPr>
          <w:p w14:paraId="0062058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7AF45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FCA7D1"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5BEC89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22A75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79B36E"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EE5571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4B7FF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795323" w14:textId="77777777" w:rsidR="00000000" w:rsidRDefault="00C1661D">
            <w:pPr>
              <w:spacing w:after="100"/>
              <w:jc w:val="right"/>
              <w:rPr>
                <w:rFonts w:eastAsia="Times New Roman"/>
              </w:rPr>
            </w:pPr>
            <w:r>
              <w:rPr>
                <w:rFonts w:eastAsia="Times New Roman"/>
                <w:color w:val="000000"/>
                <w:sz w:val="16"/>
                <w:szCs w:val="16"/>
              </w:rPr>
              <w:t>106 </w:t>
            </w:r>
          </w:p>
        </w:tc>
        <w:tc>
          <w:tcPr>
            <w:tcW w:w="0" w:type="auto"/>
            <w:shd w:val="clear" w:color="auto" w:fill="CCEEFF"/>
            <w:tcMar>
              <w:top w:w="30" w:type="dxa"/>
              <w:left w:w="0" w:type="dxa"/>
              <w:bottom w:w="30" w:type="dxa"/>
              <w:right w:w="20" w:type="dxa"/>
            </w:tcMar>
            <w:vAlign w:val="bottom"/>
            <w:hideMark/>
          </w:tcPr>
          <w:p w14:paraId="0F77643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4B9D0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D38DE6"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3F79CA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276C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D4B48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01D491F" w14:textId="77777777" w:rsidR="00000000" w:rsidRDefault="00C1661D">
            <w:pPr>
              <w:spacing w:after="100"/>
              <w:jc w:val="right"/>
              <w:rPr>
                <w:rFonts w:eastAsia="Times New Roman"/>
              </w:rPr>
            </w:pPr>
          </w:p>
        </w:tc>
      </w:tr>
      <w:tr w:rsidR="00000000" w14:paraId="55212C2E" w14:textId="77777777">
        <w:trPr>
          <w:divId w:val="469056260"/>
        </w:trPr>
        <w:tc>
          <w:tcPr>
            <w:tcW w:w="0" w:type="auto"/>
            <w:gridSpan w:val="3"/>
            <w:shd w:val="clear" w:color="auto" w:fill="FFFFFF"/>
            <w:tcMar>
              <w:top w:w="30" w:type="dxa"/>
              <w:left w:w="245" w:type="dxa"/>
              <w:bottom w:w="30" w:type="dxa"/>
              <w:right w:w="20" w:type="dxa"/>
            </w:tcMar>
            <w:vAlign w:val="bottom"/>
            <w:hideMark/>
          </w:tcPr>
          <w:p w14:paraId="188D6F93" w14:textId="77777777" w:rsidR="00000000" w:rsidRDefault="00C1661D">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04FE1201"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055B4D" w14:textId="77777777" w:rsidR="00000000" w:rsidRDefault="00C1661D">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14:paraId="428C4F8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D3842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816FB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CA66A2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437BB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EDE6A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BB5B5C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CA1B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A3AE76"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268B05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41104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197F22" w14:textId="77777777" w:rsidR="00000000" w:rsidRDefault="00C1661D">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14:paraId="192EF5F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E206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4DE0F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0BB490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EC81D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3DAA61"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7BE2869" w14:textId="77777777" w:rsidR="00000000" w:rsidRDefault="00C1661D">
            <w:pPr>
              <w:spacing w:after="100"/>
              <w:jc w:val="right"/>
              <w:rPr>
                <w:rFonts w:eastAsia="Times New Roman"/>
              </w:rPr>
            </w:pPr>
          </w:p>
        </w:tc>
      </w:tr>
      <w:tr w:rsidR="00000000" w14:paraId="7343DB7D" w14:textId="77777777">
        <w:trPr>
          <w:divId w:val="469056260"/>
        </w:trPr>
        <w:tc>
          <w:tcPr>
            <w:tcW w:w="0" w:type="auto"/>
            <w:gridSpan w:val="3"/>
            <w:shd w:val="clear" w:color="auto" w:fill="CCEEFF"/>
            <w:tcMar>
              <w:top w:w="30" w:type="dxa"/>
              <w:left w:w="155" w:type="dxa"/>
              <w:bottom w:w="30" w:type="dxa"/>
              <w:right w:w="20" w:type="dxa"/>
            </w:tcMar>
            <w:vAlign w:val="bottom"/>
            <w:hideMark/>
          </w:tcPr>
          <w:p w14:paraId="74A8D5D2" w14:textId="77777777" w:rsidR="00000000" w:rsidRDefault="00C1661D">
            <w:pPr>
              <w:spacing w:after="100"/>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14:paraId="0C1FD5D3"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5AAEEF" w14:textId="77777777" w:rsidR="00000000" w:rsidRDefault="00C1661D">
            <w:pPr>
              <w:spacing w:after="100"/>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14:paraId="7DF5D1E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8264E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65F7F7"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DE696D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35CDB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209E19"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F5DF1A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0CAC4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3AB987"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6EC225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ED791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4A030D" w14:textId="77777777" w:rsidR="00000000" w:rsidRDefault="00C1661D">
            <w:pPr>
              <w:spacing w:after="100"/>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14:paraId="2263D1F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7A5B6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1054A1"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48B8DC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CA53A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F6D62C"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C8346E7" w14:textId="77777777" w:rsidR="00000000" w:rsidRDefault="00C1661D">
            <w:pPr>
              <w:spacing w:after="100"/>
              <w:jc w:val="right"/>
              <w:rPr>
                <w:rFonts w:eastAsia="Times New Roman"/>
              </w:rPr>
            </w:pPr>
          </w:p>
        </w:tc>
      </w:tr>
      <w:tr w:rsidR="00000000" w14:paraId="02428BB4" w14:textId="77777777">
        <w:trPr>
          <w:divId w:val="469056260"/>
        </w:trPr>
        <w:tc>
          <w:tcPr>
            <w:tcW w:w="0" w:type="auto"/>
            <w:gridSpan w:val="3"/>
            <w:shd w:val="clear" w:color="auto" w:fill="FFFFFF"/>
            <w:tcMar>
              <w:top w:w="30" w:type="dxa"/>
              <w:left w:w="155" w:type="dxa"/>
              <w:bottom w:w="30" w:type="dxa"/>
              <w:right w:w="20" w:type="dxa"/>
            </w:tcMar>
            <w:vAlign w:val="bottom"/>
            <w:hideMark/>
          </w:tcPr>
          <w:p w14:paraId="0D4846DF" w14:textId="77777777" w:rsidR="00000000" w:rsidRDefault="00C1661D">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28D38140" w14:textId="77777777" w:rsidR="00000000" w:rsidRDefault="00C1661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123C7B" w14:textId="77777777" w:rsidR="00000000" w:rsidRDefault="00C1661D">
            <w:pPr>
              <w:spacing w:after="100"/>
              <w:jc w:val="right"/>
              <w:rPr>
                <w:rFonts w:eastAsia="Times New Roman"/>
              </w:rPr>
            </w:pPr>
            <w:r>
              <w:rPr>
                <w:rFonts w:eastAsia="Times New Roman"/>
                <w:color w:val="000000"/>
                <w:sz w:val="16"/>
                <w:szCs w:val="16"/>
              </w:rPr>
              <w:t>312 </w:t>
            </w:r>
          </w:p>
        </w:tc>
        <w:tc>
          <w:tcPr>
            <w:tcW w:w="0" w:type="auto"/>
            <w:shd w:val="clear" w:color="auto" w:fill="FFFFFF"/>
            <w:tcMar>
              <w:top w:w="30" w:type="dxa"/>
              <w:left w:w="0" w:type="dxa"/>
              <w:bottom w:w="30" w:type="dxa"/>
              <w:right w:w="20" w:type="dxa"/>
            </w:tcMar>
            <w:vAlign w:val="bottom"/>
            <w:hideMark/>
          </w:tcPr>
          <w:p w14:paraId="37A7186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60A3A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721A66" w14:textId="77777777" w:rsidR="00000000" w:rsidRDefault="00C1661D">
            <w:pPr>
              <w:spacing w:after="100"/>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bottom"/>
            <w:hideMark/>
          </w:tcPr>
          <w:p w14:paraId="526B9CC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9B94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F5F432" w14:textId="77777777" w:rsidR="00000000" w:rsidRDefault="00C1661D">
            <w:pPr>
              <w:spacing w:after="100"/>
              <w:jc w:val="right"/>
              <w:rPr>
                <w:rFonts w:eastAsia="Times New Roman"/>
              </w:rPr>
            </w:pPr>
            <w:r>
              <w:rPr>
                <w:rFonts w:eastAsia="Times New Roman"/>
                <w:color w:val="000000"/>
                <w:sz w:val="16"/>
                <w:szCs w:val="16"/>
              </w:rPr>
              <w:t>215 </w:t>
            </w:r>
          </w:p>
        </w:tc>
        <w:tc>
          <w:tcPr>
            <w:tcW w:w="0" w:type="auto"/>
            <w:shd w:val="clear" w:color="auto" w:fill="FFFFFF"/>
            <w:tcMar>
              <w:top w:w="30" w:type="dxa"/>
              <w:left w:w="0" w:type="dxa"/>
              <w:bottom w:w="30" w:type="dxa"/>
              <w:right w:w="20" w:type="dxa"/>
            </w:tcMar>
            <w:vAlign w:val="bottom"/>
            <w:hideMark/>
          </w:tcPr>
          <w:p w14:paraId="4DA5F15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9566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E46A30" w14:textId="77777777" w:rsidR="00000000" w:rsidRDefault="00C1661D">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14:paraId="73CA72E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A6DBF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524B41" w14:textId="77777777" w:rsidR="00000000" w:rsidRDefault="00C1661D">
            <w:pPr>
              <w:spacing w:after="100"/>
              <w:jc w:val="right"/>
              <w:rPr>
                <w:rFonts w:eastAsia="Times New Roman"/>
              </w:rPr>
            </w:pPr>
            <w:r>
              <w:rPr>
                <w:rFonts w:eastAsia="Times New Roman"/>
                <w:color w:val="000000"/>
                <w:sz w:val="16"/>
                <w:szCs w:val="16"/>
              </w:rPr>
              <w:t>40 </w:t>
            </w:r>
          </w:p>
        </w:tc>
        <w:tc>
          <w:tcPr>
            <w:tcW w:w="0" w:type="auto"/>
            <w:shd w:val="clear" w:color="auto" w:fill="FFFFFF"/>
            <w:tcMar>
              <w:top w:w="30" w:type="dxa"/>
              <w:left w:w="0" w:type="dxa"/>
              <w:bottom w:w="30" w:type="dxa"/>
              <w:right w:w="20" w:type="dxa"/>
            </w:tcMar>
            <w:vAlign w:val="bottom"/>
            <w:hideMark/>
          </w:tcPr>
          <w:p w14:paraId="141DEE5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4DE8B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E544D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48DD05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7E0E8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FFBC49"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AE730A9" w14:textId="77777777" w:rsidR="00000000" w:rsidRDefault="00C1661D">
            <w:pPr>
              <w:spacing w:after="100"/>
              <w:jc w:val="right"/>
              <w:rPr>
                <w:rFonts w:eastAsia="Times New Roman"/>
              </w:rPr>
            </w:pPr>
          </w:p>
        </w:tc>
      </w:tr>
      <w:tr w:rsidR="00000000" w14:paraId="65A5B999" w14:textId="77777777">
        <w:trPr>
          <w:divId w:val="469056260"/>
        </w:trPr>
        <w:tc>
          <w:tcPr>
            <w:tcW w:w="0" w:type="auto"/>
            <w:gridSpan w:val="3"/>
            <w:shd w:val="clear" w:color="auto" w:fill="CCEEFF"/>
            <w:tcMar>
              <w:top w:w="30" w:type="dxa"/>
              <w:left w:w="20" w:type="dxa"/>
              <w:bottom w:w="30" w:type="dxa"/>
              <w:right w:w="20" w:type="dxa"/>
            </w:tcMar>
            <w:vAlign w:val="bottom"/>
            <w:hideMark/>
          </w:tcPr>
          <w:p w14:paraId="4DF636BB" w14:textId="77777777" w:rsidR="00000000" w:rsidRDefault="00C1661D">
            <w:pPr>
              <w:spacing w:after="100"/>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14:paraId="799E8291" w14:textId="77777777" w:rsidR="00000000" w:rsidRDefault="00C1661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03F554" w14:textId="77777777" w:rsidR="00000000" w:rsidRDefault="00C1661D">
            <w:pPr>
              <w:spacing w:after="100"/>
              <w:jc w:val="right"/>
              <w:rPr>
                <w:rFonts w:eastAsia="Times New Roman"/>
              </w:rPr>
            </w:pPr>
            <w:r>
              <w:rPr>
                <w:rFonts w:eastAsia="Times New Roman"/>
                <w:color w:val="000000"/>
                <w:sz w:val="16"/>
                <w:szCs w:val="16"/>
              </w:rPr>
              <w:t>5,470 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E76CB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4249C1"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14171A" w14:textId="77777777" w:rsidR="00000000" w:rsidRDefault="00C1661D">
            <w:pPr>
              <w:spacing w:after="100"/>
              <w:jc w:val="right"/>
              <w:rPr>
                <w:rFonts w:eastAsia="Times New Roman"/>
              </w:rPr>
            </w:pPr>
            <w:r>
              <w:rPr>
                <w:rFonts w:eastAsia="Times New Roman"/>
                <w:color w:val="000000"/>
                <w:sz w:val="16"/>
                <w:szCs w:val="16"/>
              </w:rPr>
              <w:t>(182)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C71DC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CF4E1E"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F4860C" w14:textId="77777777" w:rsidR="00000000" w:rsidRDefault="00C1661D">
            <w:pPr>
              <w:spacing w:after="100"/>
              <w:jc w:val="right"/>
              <w:rPr>
                <w:rFonts w:eastAsia="Times New Roman"/>
              </w:rPr>
            </w:pPr>
            <w:r>
              <w:rPr>
                <w:rFonts w:eastAsia="Times New Roman"/>
                <w:color w:val="000000"/>
                <w:sz w:val="16"/>
                <w:szCs w:val="16"/>
              </w:rPr>
              <w:t>2,315 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C7808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9BADB6"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640F22" w14:textId="77777777" w:rsidR="00000000" w:rsidRDefault="00C1661D">
            <w:pPr>
              <w:spacing w:after="100"/>
              <w:jc w:val="right"/>
              <w:rPr>
                <w:rFonts w:eastAsia="Times New Roman"/>
              </w:rPr>
            </w:pPr>
            <w:r>
              <w:rPr>
                <w:rFonts w:eastAsia="Times New Roman"/>
                <w:color w:val="000000"/>
                <w:sz w:val="16"/>
                <w:szCs w:val="16"/>
              </w:rPr>
              <w:t>2,104 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A57A7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5835BE"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12A64B" w14:textId="77777777" w:rsidR="00000000" w:rsidRDefault="00C1661D">
            <w:pPr>
              <w:spacing w:after="100"/>
              <w:jc w:val="right"/>
              <w:rPr>
                <w:rFonts w:eastAsia="Times New Roman"/>
              </w:rPr>
            </w:pPr>
            <w:r>
              <w:rPr>
                <w:rFonts w:eastAsia="Times New Roman"/>
                <w:color w:val="000000"/>
                <w:sz w:val="16"/>
                <w:szCs w:val="16"/>
              </w:rPr>
              <w:t>1,233 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82773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246F5F"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D142B1"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F8361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046F5"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EEF1BC"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BC6CC5" w14:textId="77777777" w:rsidR="00000000" w:rsidRDefault="00C1661D">
            <w:pPr>
              <w:spacing w:after="100"/>
              <w:jc w:val="right"/>
              <w:rPr>
                <w:rFonts w:eastAsia="Times New Roman"/>
              </w:rPr>
            </w:pPr>
          </w:p>
        </w:tc>
      </w:tr>
      <w:tr w:rsidR="00000000" w14:paraId="6517D9A8" w14:textId="77777777">
        <w:trPr>
          <w:divId w:val="469056260"/>
        </w:trPr>
        <w:tc>
          <w:tcPr>
            <w:tcW w:w="0" w:type="auto"/>
            <w:gridSpan w:val="3"/>
            <w:shd w:val="clear" w:color="auto" w:fill="FFFFFF"/>
            <w:tcMar>
              <w:top w:w="30" w:type="dxa"/>
              <w:left w:w="20" w:type="dxa"/>
              <w:bottom w:w="30" w:type="dxa"/>
              <w:right w:w="20" w:type="dxa"/>
            </w:tcMar>
            <w:vAlign w:val="bottom"/>
            <w:hideMark/>
          </w:tcPr>
          <w:p w14:paraId="21CE2256" w14:textId="77777777" w:rsidR="00000000" w:rsidRDefault="00C1661D">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14:paraId="7C080B77" w14:textId="77777777" w:rsidR="00000000" w:rsidRDefault="00C1661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ACC658" w14:textId="77777777" w:rsidR="00000000" w:rsidRDefault="00C1661D">
            <w:pPr>
              <w:spacing w:after="100"/>
              <w:jc w:val="right"/>
              <w:rPr>
                <w:rFonts w:eastAsia="Times New Roman"/>
              </w:rPr>
            </w:pPr>
            <w:r>
              <w:rPr>
                <w:rFonts w:eastAsia="Times New Roman"/>
                <w:color w:val="000000"/>
                <w:sz w:val="16"/>
                <w:szCs w:val="16"/>
              </w:rPr>
              <w:t>6,452 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42106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7B6774"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3C9D89" w14:textId="77777777" w:rsidR="00000000" w:rsidRDefault="00C1661D">
            <w:pPr>
              <w:spacing w:after="100"/>
              <w:jc w:val="right"/>
              <w:rPr>
                <w:rFonts w:eastAsia="Times New Roman"/>
              </w:rPr>
            </w:pPr>
            <w:r>
              <w:rPr>
                <w:rFonts w:eastAsia="Times New Roman"/>
                <w:color w:val="000000"/>
                <w:sz w:val="16"/>
                <w:szCs w:val="16"/>
              </w:rPr>
              <w:t>(229)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748D2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57D8BA"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221CF4" w14:textId="77777777" w:rsidR="00000000" w:rsidRDefault="00C1661D">
            <w:pPr>
              <w:spacing w:after="100"/>
              <w:jc w:val="right"/>
              <w:rPr>
                <w:rFonts w:eastAsia="Times New Roman"/>
              </w:rPr>
            </w:pPr>
            <w:r>
              <w:rPr>
                <w:rFonts w:eastAsia="Times New Roman"/>
                <w:color w:val="000000"/>
                <w:sz w:val="16"/>
                <w:szCs w:val="16"/>
              </w:rPr>
              <w:t>2,315 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BD9E2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67F12B"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9BB34B" w14:textId="77777777" w:rsidR="00000000" w:rsidRDefault="00C1661D">
            <w:pPr>
              <w:spacing w:after="100"/>
              <w:jc w:val="right"/>
              <w:rPr>
                <w:rFonts w:eastAsia="Times New Roman"/>
              </w:rPr>
            </w:pPr>
            <w:r>
              <w:rPr>
                <w:rFonts w:eastAsia="Times New Roman"/>
                <w:color w:val="000000"/>
                <w:sz w:val="16"/>
                <w:szCs w:val="16"/>
              </w:rPr>
              <w:t>2,104 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3A38A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9D75E8"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C10114" w14:textId="77777777" w:rsidR="00000000" w:rsidRDefault="00C1661D">
            <w:pPr>
              <w:spacing w:after="100"/>
              <w:jc w:val="right"/>
              <w:rPr>
                <w:rFonts w:eastAsia="Times New Roman"/>
              </w:rPr>
            </w:pPr>
            <w:r>
              <w:rPr>
                <w:rFonts w:eastAsia="Times New Roman"/>
                <w:color w:val="000000"/>
                <w:sz w:val="16"/>
                <w:szCs w:val="16"/>
              </w:rPr>
              <w:t>1,233 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530DC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45010E"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466DE6" w14:textId="77777777" w:rsidR="00000000" w:rsidRDefault="00C1661D">
            <w:pPr>
              <w:spacing w:after="100"/>
              <w:jc w:val="right"/>
              <w:rPr>
                <w:rFonts w:eastAsia="Times New Roman"/>
              </w:rPr>
            </w:pPr>
            <w:r>
              <w:rPr>
                <w:rFonts w:eastAsia="Times New Roman"/>
                <w:color w:val="000000"/>
                <w:sz w:val="16"/>
                <w:szCs w:val="16"/>
              </w:rPr>
              <w:t>1,029 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F2D51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E69B18"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D8AE3C"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A0D4FD" w14:textId="77777777" w:rsidR="00000000" w:rsidRDefault="00C1661D">
            <w:pPr>
              <w:spacing w:after="100"/>
              <w:jc w:val="right"/>
              <w:rPr>
                <w:rFonts w:eastAsia="Times New Roman"/>
              </w:rPr>
            </w:pPr>
          </w:p>
        </w:tc>
      </w:tr>
      <w:tr w:rsidR="00000000" w14:paraId="5EBA7B65" w14:textId="77777777">
        <w:trPr>
          <w:divId w:val="469056260"/>
        </w:trPr>
        <w:tc>
          <w:tcPr>
            <w:tcW w:w="0" w:type="auto"/>
            <w:gridSpan w:val="3"/>
            <w:shd w:val="clear" w:color="auto" w:fill="CCEEFF"/>
            <w:tcMar>
              <w:top w:w="30" w:type="dxa"/>
              <w:left w:w="20" w:type="dxa"/>
              <w:bottom w:w="30" w:type="dxa"/>
              <w:right w:w="20" w:type="dxa"/>
            </w:tcMar>
            <w:vAlign w:val="bottom"/>
            <w:hideMark/>
          </w:tcPr>
          <w:p w14:paraId="5F05FA97" w14:textId="77777777" w:rsidR="00000000" w:rsidRDefault="00C1661D">
            <w:pPr>
              <w:spacing w:after="100"/>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14:paraId="036B56AA" w14:textId="77777777" w:rsidR="00000000" w:rsidRDefault="00C1661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E86923" w14:textId="77777777" w:rsidR="00000000" w:rsidRDefault="00C1661D">
            <w:pPr>
              <w:spacing w:after="100"/>
              <w:jc w:val="right"/>
              <w:rPr>
                <w:rFonts w:eastAsia="Times New Roman"/>
              </w:rPr>
            </w:pPr>
            <w:r>
              <w:rPr>
                <w:rFonts w:eastAsia="Times New Roman"/>
                <w:color w:val="000000"/>
                <w:sz w:val="16"/>
                <w:szCs w:val="16"/>
              </w:rPr>
              <w:t>107 </w:t>
            </w:r>
          </w:p>
        </w:tc>
        <w:tc>
          <w:tcPr>
            <w:tcW w:w="0" w:type="auto"/>
            <w:shd w:val="clear" w:color="auto" w:fill="CCEEFF"/>
            <w:tcMar>
              <w:top w:w="30" w:type="dxa"/>
              <w:left w:w="0" w:type="dxa"/>
              <w:bottom w:w="30" w:type="dxa"/>
              <w:right w:w="20" w:type="dxa"/>
            </w:tcMar>
            <w:vAlign w:val="bottom"/>
            <w:hideMark/>
          </w:tcPr>
          <w:p w14:paraId="3A16321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C760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996E19" w14:textId="77777777" w:rsidR="00000000" w:rsidRDefault="00C1661D">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14:paraId="4421705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005A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4678E5" w14:textId="77777777" w:rsidR="00000000" w:rsidRDefault="00C1661D">
            <w:pPr>
              <w:spacing w:after="100"/>
              <w:jc w:val="right"/>
              <w:rPr>
                <w:rFonts w:eastAsia="Times New Roman"/>
              </w:rPr>
            </w:pPr>
            <w:r>
              <w:rPr>
                <w:rFonts w:eastAsia="Times New Roman"/>
                <w:color w:val="000000"/>
                <w:sz w:val="16"/>
                <w:szCs w:val="16"/>
              </w:rPr>
              <w:t>66 </w:t>
            </w:r>
          </w:p>
        </w:tc>
        <w:tc>
          <w:tcPr>
            <w:tcW w:w="0" w:type="auto"/>
            <w:shd w:val="clear" w:color="auto" w:fill="CCEEFF"/>
            <w:tcMar>
              <w:top w:w="30" w:type="dxa"/>
              <w:left w:w="0" w:type="dxa"/>
              <w:bottom w:w="30" w:type="dxa"/>
              <w:right w:w="20" w:type="dxa"/>
            </w:tcMar>
            <w:vAlign w:val="bottom"/>
            <w:hideMark/>
          </w:tcPr>
          <w:p w14:paraId="1C98A1C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82950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9AEEB3" w14:textId="77777777" w:rsidR="00000000" w:rsidRDefault="00C1661D">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14:paraId="24C430B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8E386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1658F4" w14:textId="77777777" w:rsidR="00000000" w:rsidRDefault="00C1661D">
            <w:pPr>
              <w:spacing w:after="100"/>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bottom"/>
            <w:hideMark/>
          </w:tcPr>
          <w:p w14:paraId="505F4F7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77BB3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559E38" w14:textId="77777777" w:rsidR="00000000" w:rsidRDefault="00C1661D">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16A3AC9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20624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667C89" w14:textId="77777777" w:rsidR="00000000" w:rsidRDefault="00C1661D">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14:paraId="17C43F3B" w14:textId="77777777" w:rsidR="00000000" w:rsidRDefault="00C1661D">
            <w:pPr>
              <w:spacing w:after="100"/>
              <w:jc w:val="right"/>
              <w:rPr>
                <w:rFonts w:eastAsia="Times New Roman"/>
              </w:rPr>
            </w:pPr>
          </w:p>
        </w:tc>
      </w:tr>
      <w:tr w:rsidR="00C1661D" w14:paraId="34125DB2" w14:textId="77777777">
        <w:trPr>
          <w:divId w:val="469056260"/>
        </w:trPr>
        <w:tc>
          <w:tcPr>
            <w:tcW w:w="0" w:type="auto"/>
            <w:gridSpan w:val="3"/>
            <w:shd w:val="clear" w:color="auto" w:fill="FFFFFF"/>
            <w:tcMar>
              <w:top w:w="30" w:type="dxa"/>
              <w:left w:w="20" w:type="dxa"/>
              <w:bottom w:w="30" w:type="dxa"/>
              <w:right w:w="20" w:type="dxa"/>
            </w:tcMar>
            <w:vAlign w:val="bottom"/>
            <w:hideMark/>
          </w:tcPr>
          <w:p w14:paraId="331CBE0A" w14:textId="77777777" w:rsidR="00000000" w:rsidRDefault="00C1661D">
            <w:pPr>
              <w:spacing w:after="100"/>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14:paraId="70B35222" w14:textId="77777777" w:rsidR="00000000" w:rsidRDefault="00C1661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A62CDA7"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B783757" w14:textId="77777777" w:rsidR="00000000" w:rsidRDefault="00C1661D">
            <w:pPr>
              <w:spacing w:after="100"/>
              <w:jc w:val="right"/>
              <w:rPr>
                <w:rFonts w:eastAsia="Times New Roman"/>
              </w:rPr>
            </w:pPr>
            <w:r>
              <w:rPr>
                <w:rFonts w:eastAsia="Times New Roman"/>
                <w:color w:val="000000"/>
                <w:sz w:val="16"/>
                <w:szCs w:val="16"/>
              </w:rPr>
              <w:t>6,559 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DEFDCD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F92FCD"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ABAEAE"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590F91" w14:textId="77777777" w:rsidR="00000000" w:rsidRDefault="00C1661D">
            <w:pPr>
              <w:spacing w:after="100"/>
              <w:jc w:val="right"/>
              <w:rPr>
                <w:rFonts w:eastAsia="Times New Roman"/>
              </w:rPr>
            </w:pPr>
            <w:r>
              <w:rPr>
                <w:rFonts w:eastAsia="Times New Roman"/>
                <w:color w:val="000000"/>
                <w:sz w:val="16"/>
                <w:szCs w:val="16"/>
              </w:rPr>
              <w:t>(232)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B71D0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E11F83"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829E22"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F96B5F" w14:textId="77777777" w:rsidR="00000000" w:rsidRDefault="00C1661D">
            <w:pPr>
              <w:spacing w:after="100"/>
              <w:jc w:val="right"/>
              <w:rPr>
                <w:rFonts w:eastAsia="Times New Roman"/>
              </w:rPr>
            </w:pPr>
            <w:r>
              <w:rPr>
                <w:rFonts w:eastAsia="Times New Roman"/>
                <w:color w:val="000000"/>
                <w:sz w:val="16"/>
                <w:szCs w:val="16"/>
              </w:rPr>
              <w:t>2,381 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99007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B2BC3A"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EBDA5B"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F24B45E" w14:textId="77777777" w:rsidR="00000000" w:rsidRDefault="00C1661D">
            <w:pPr>
              <w:spacing w:after="100"/>
              <w:jc w:val="right"/>
              <w:rPr>
                <w:rFonts w:eastAsia="Times New Roman"/>
              </w:rPr>
            </w:pPr>
            <w:r>
              <w:rPr>
                <w:rFonts w:eastAsia="Times New Roman"/>
                <w:color w:val="000000"/>
                <w:sz w:val="16"/>
                <w:szCs w:val="16"/>
              </w:rPr>
              <w:t>2,127 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2855C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6FDF7A"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DD350C"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48CC3A" w14:textId="77777777" w:rsidR="00000000" w:rsidRDefault="00C1661D">
            <w:pPr>
              <w:spacing w:after="100"/>
              <w:jc w:val="right"/>
              <w:rPr>
                <w:rFonts w:eastAsia="Times New Roman"/>
              </w:rPr>
            </w:pPr>
            <w:r>
              <w:rPr>
                <w:rFonts w:eastAsia="Times New Roman"/>
                <w:color w:val="000000"/>
                <w:sz w:val="16"/>
                <w:szCs w:val="16"/>
              </w:rPr>
              <w:t>1,247 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CF8FC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AD247"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F1CE9A"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98FB77F" w14:textId="77777777" w:rsidR="00000000" w:rsidRDefault="00C1661D">
            <w:pPr>
              <w:spacing w:after="100"/>
              <w:jc w:val="right"/>
              <w:rPr>
                <w:rFonts w:eastAsia="Times New Roman"/>
              </w:rPr>
            </w:pPr>
            <w:r>
              <w:rPr>
                <w:rFonts w:eastAsia="Times New Roman"/>
                <w:color w:val="000000"/>
                <w:sz w:val="16"/>
                <w:szCs w:val="16"/>
              </w:rPr>
              <w:t>1,030 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7F5CE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1BD4A0"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4B8B546"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0F0C47" w14:textId="77777777" w:rsidR="00000000" w:rsidRDefault="00C1661D">
            <w:pPr>
              <w:spacing w:after="100"/>
              <w:jc w:val="right"/>
              <w:rPr>
                <w:rFonts w:eastAsia="Times New Roman"/>
              </w:rPr>
            </w:pPr>
            <w:r>
              <w:rPr>
                <w:rFonts w:eastAsia="Times New Roman"/>
                <w:color w:val="000000"/>
                <w:sz w:val="16"/>
                <w:szCs w:val="16"/>
              </w:rPr>
              <w:t>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56F56E" w14:textId="77777777" w:rsidR="00000000" w:rsidRDefault="00C1661D">
            <w:pPr>
              <w:spacing w:after="100"/>
              <w:jc w:val="right"/>
              <w:rPr>
                <w:rFonts w:eastAsia="Times New Roman"/>
              </w:rPr>
            </w:pPr>
          </w:p>
        </w:tc>
      </w:tr>
    </w:tbl>
    <w:p w14:paraId="3FA13C3F" w14:textId="77777777" w:rsidR="00000000" w:rsidRDefault="00C1661D">
      <w:pPr>
        <w:ind w:hanging="360"/>
        <w:divId w:val="707680432"/>
        <w:rPr>
          <w:rFonts w:eastAsia="Times New Roman"/>
        </w:rPr>
      </w:pPr>
      <w:r>
        <w:rPr>
          <w:rFonts w:eastAsia="Times New Roman"/>
          <w:color w:val="000000"/>
          <w:sz w:val="20"/>
          <w:szCs w:val="20"/>
        </w:rPr>
        <w:t>(a)Includes intersegment revenues principally among Midstream &amp; Marketing, Utilities and AmeriGas Pro</w:t>
      </w:r>
      <w:r>
        <w:rPr>
          <w:rFonts w:eastAsia="Times New Roman"/>
          <w:color w:val="000000"/>
          <w:sz w:val="20"/>
          <w:szCs w:val="20"/>
        </w:rPr>
        <w:t>pane.</w:t>
      </w:r>
    </w:p>
    <w:p w14:paraId="27911AC6" w14:textId="77777777" w:rsidR="00000000" w:rsidRDefault="00C1661D">
      <w:pPr>
        <w:ind w:hanging="360"/>
        <w:jc w:val="both"/>
        <w:rPr>
          <w:rFonts w:eastAsia="Times New Roman"/>
        </w:rPr>
      </w:pPr>
      <w:r>
        <w:rPr>
          <w:rFonts w:eastAsia="Times New Roman"/>
          <w:color w:val="000000"/>
          <w:sz w:val="20"/>
          <w:szCs w:val="20"/>
        </w:rPr>
        <w:t>(b)</w:t>
      </w:r>
      <w:r>
        <w:rPr>
          <w:rFonts w:eastAsia="Times New Roman"/>
          <w:color w:val="000000"/>
          <w:sz w:val="20"/>
          <w:szCs w:val="20"/>
        </w:rPr>
        <w:t>Primarily represents revenues from tank rentals at AmeriGas Propane and UGI International, rental revenues from certain assets at Midstream &amp; Marketing, revenues from alternative revenue programs at Utilities, and gains and losses on commodity derivative i</w:t>
      </w:r>
      <w:r>
        <w:rPr>
          <w:rFonts w:eastAsia="Times New Roman"/>
          <w:color w:val="000000"/>
          <w:sz w:val="20"/>
          <w:szCs w:val="20"/>
        </w:rPr>
        <w:t>nstruments not associated with current-period transactions reflected in Corporate &amp; Other, none of which are within the scope of ASC 606 and are accounted for in accordance with other GAAP.</w:t>
      </w:r>
    </w:p>
    <w:p w14:paraId="04BCE843" w14:textId="77777777" w:rsidR="00000000" w:rsidRDefault="00C1661D">
      <w:pPr>
        <w:jc w:val="both"/>
        <w:rPr>
          <w:rFonts w:eastAsia="Times New Roman"/>
        </w:rPr>
      </w:pPr>
    </w:p>
    <w:p w14:paraId="5E270D02" w14:textId="77777777" w:rsidR="00000000" w:rsidRDefault="00C1661D">
      <w:pPr>
        <w:jc w:val="both"/>
        <w:rPr>
          <w:rFonts w:eastAsia="Times New Roman"/>
        </w:rPr>
      </w:pPr>
      <w:r>
        <w:rPr>
          <w:rFonts w:eastAsia="Times New Roman"/>
          <w:b/>
          <w:bCs/>
          <w:color w:val="000000"/>
          <w:sz w:val="20"/>
          <w:szCs w:val="20"/>
        </w:rPr>
        <w:t>Contract Balances</w:t>
      </w:r>
    </w:p>
    <w:p w14:paraId="1B2AE82F" w14:textId="77777777" w:rsidR="00000000" w:rsidRDefault="00C1661D">
      <w:pPr>
        <w:jc w:val="both"/>
        <w:rPr>
          <w:rFonts w:eastAsia="Times New Roman"/>
        </w:rPr>
      </w:pPr>
    </w:p>
    <w:p w14:paraId="581A2079" w14:textId="77777777" w:rsidR="00000000" w:rsidRDefault="00C1661D">
      <w:pPr>
        <w:jc w:val="both"/>
        <w:rPr>
          <w:rFonts w:eastAsia="Times New Roman"/>
        </w:rPr>
      </w:pPr>
      <w:r>
        <w:rPr>
          <w:rFonts w:eastAsia="Times New Roman"/>
          <w:color w:val="000000"/>
          <w:sz w:val="20"/>
          <w:szCs w:val="20"/>
        </w:rPr>
        <w:t>The timing of revenue recognition may differ</w:t>
      </w:r>
      <w:r>
        <w:rPr>
          <w:rFonts w:eastAsia="Times New Roman"/>
          <w:color w:val="000000"/>
          <w:sz w:val="20"/>
          <w:szCs w:val="20"/>
        </w:rPr>
        <w:t xml:space="preserve"> from the timing of invoicing to customers or cash receipts. Contract assets represent our right to consideration after the performance obligations have been satisfied when such right is conditioned on something other than the passage of time. Contract ass</w:t>
      </w:r>
      <w:r>
        <w:rPr>
          <w:rFonts w:eastAsia="Times New Roman"/>
          <w:color w:val="000000"/>
          <w:sz w:val="20"/>
          <w:szCs w:val="20"/>
        </w:rPr>
        <w:t>ets were not material at September 30, 2022 and 2021. Substantially all of our receivables are unconditional rights to consideration and are included in “Accounts receivable” and, in the case of Utilities, “Accrued utility revenues” on the Consolidated Bal</w:t>
      </w:r>
      <w:r>
        <w:rPr>
          <w:rFonts w:eastAsia="Times New Roman"/>
          <w:color w:val="000000"/>
          <w:sz w:val="20"/>
          <w:szCs w:val="20"/>
        </w:rPr>
        <w:t xml:space="preserve">ance Sheets. Amounts billed are generally due within the following month. </w:t>
      </w:r>
    </w:p>
    <w:p w14:paraId="7D5CB425" w14:textId="77777777" w:rsidR="00000000" w:rsidRDefault="00C1661D">
      <w:pPr>
        <w:jc w:val="both"/>
        <w:rPr>
          <w:rFonts w:eastAsia="Times New Roman"/>
        </w:rPr>
      </w:pPr>
    </w:p>
    <w:p w14:paraId="6877E8C0" w14:textId="77777777" w:rsidR="00000000" w:rsidRDefault="00C1661D">
      <w:pPr>
        <w:jc w:val="both"/>
        <w:rPr>
          <w:rFonts w:eastAsia="Times New Roman"/>
        </w:rPr>
      </w:pPr>
      <w:r>
        <w:rPr>
          <w:rFonts w:eastAsia="Times New Roman"/>
          <w:color w:val="000000"/>
          <w:sz w:val="20"/>
          <w:szCs w:val="20"/>
        </w:rPr>
        <w:t>Contract liabilities arise when payment from a customer is received before the performance obligations have been satisfied and represent the Company’s obligations to transfer good</w:t>
      </w:r>
      <w:r>
        <w:rPr>
          <w:rFonts w:eastAsia="Times New Roman"/>
          <w:color w:val="000000"/>
          <w:sz w:val="20"/>
          <w:szCs w:val="20"/>
        </w:rPr>
        <w:t>s or services to a customer for which we have received consideration. The balances of contract liabilities were $164 and $149 at September 30, 2022 and 2021, respectively, and are primarily included in “Deposits and Advances” on the Consolidated Balance Sh</w:t>
      </w:r>
      <w:r>
        <w:rPr>
          <w:rFonts w:eastAsia="Times New Roman"/>
          <w:color w:val="000000"/>
          <w:sz w:val="20"/>
          <w:szCs w:val="20"/>
        </w:rPr>
        <w:t xml:space="preserve">eets. Revenues recognized during Fiscal 2022, Fiscal 2021 and Fiscal 2020 from the amount included in contract liabilities at September 30, 2021, September 30, 2020 and September 30, 2019 was $119, $138 and $122, respectively. </w:t>
      </w:r>
    </w:p>
    <w:p w14:paraId="5B28EA96" w14:textId="77777777" w:rsidR="00000000" w:rsidRDefault="00C1661D">
      <w:pPr>
        <w:jc w:val="center"/>
        <w:divId w:val="1755663224"/>
        <w:rPr>
          <w:rFonts w:eastAsia="Times New Roman"/>
        </w:rPr>
      </w:pPr>
      <w:r>
        <w:rPr>
          <w:rFonts w:eastAsia="Times New Roman"/>
          <w:color w:val="000000"/>
          <w:sz w:val="20"/>
          <w:szCs w:val="20"/>
        </w:rPr>
        <w:t>F-23</w:t>
      </w:r>
    </w:p>
    <w:p w14:paraId="4BBC585B" w14:textId="77777777" w:rsidR="00000000" w:rsidRDefault="00C1661D">
      <w:pPr>
        <w:rPr>
          <w:rFonts w:eastAsia="Times New Roman"/>
        </w:rPr>
      </w:pPr>
      <w:r>
        <w:rPr>
          <w:rFonts w:eastAsia="Times New Roman"/>
        </w:rPr>
        <w:pict w14:anchorId="6D782FF5">
          <v:rect id="_x0000_i1136" style="width:0;height:1.5pt" o:hralign="center" o:hrstd="t" o:hr="t" fillcolor="#a0a0a0" stroked="f"/>
        </w:pict>
      </w:r>
    </w:p>
    <w:p w14:paraId="13966910" w14:textId="77777777" w:rsidR="00000000" w:rsidRDefault="00C1661D">
      <w:pPr>
        <w:divId w:val="948319817"/>
        <w:rPr>
          <w:rFonts w:eastAsia="Times New Roman"/>
        </w:rPr>
      </w:pPr>
      <w:hyperlink w:anchor="i3850c3c6c0104e42b9951aac2f16098a_7" w:history="1">
        <w:r>
          <w:rPr>
            <w:rStyle w:val="a3"/>
            <w:rFonts w:eastAsia="Times New Roman"/>
            <w:sz w:val="20"/>
            <w:szCs w:val="20"/>
          </w:rPr>
          <w:t>Table of Contents</w:t>
        </w:r>
      </w:hyperlink>
    </w:p>
    <w:p w14:paraId="0C4941AA" w14:textId="77777777" w:rsidR="00000000" w:rsidRDefault="00C1661D">
      <w:pPr>
        <w:divId w:val="678314151"/>
        <w:rPr>
          <w:rFonts w:eastAsia="Times New Roman"/>
        </w:rPr>
      </w:pPr>
      <w:r>
        <w:rPr>
          <w:rFonts w:eastAsia="Times New Roman"/>
          <w:b/>
          <w:bCs/>
          <w:color w:val="000000"/>
          <w:sz w:val="20"/>
          <w:szCs w:val="20"/>
        </w:rPr>
        <w:t>UGI Corporation and Subsidiaries</w:t>
      </w:r>
    </w:p>
    <w:p w14:paraId="7168C8BB" w14:textId="77777777" w:rsidR="00000000" w:rsidRDefault="00C1661D">
      <w:pPr>
        <w:divId w:val="1536458210"/>
        <w:rPr>
          <w:rFonts w:eastAsia="Times New Roman"/>
        </w:rPr>
      </w:pPr>
      <w:r>
        <w:rPr>
          <w:rFonts w:eastAsia="Times New Roman"/>
          <w:b/>
          <w:bCs/>
          <w:color w:val="000000"/>
          <w:sz w:val="20"/>
          <w:szCs w:val="20"/>
        </w:rPr>
        <w:t>Notes to Consolidated Financial Statements</w:t>
      </w:r>
    </w:p>
    <w:p w14:paraId="5BE9B40E" w14:textId="77777777" w:rsidR="00000000" w:rsidRDefault="00C1661D">
      <w:pPr>
        <w:divId w:val="2074504732"/>
        <w:rPr>
          <w:rFonts w:eastAsia="Times New Roman"/>
        </w:rPr>
      </w:pPr>
      <w:r>
        <w:rPr>
          <w:rFonts w:eastAsia="Times New Roman"/>
          <w:color w:val="000000"/>
          <w:sz w:val="20"/>
          <w:szCs w:val="20"/>
        </w:rPr>
        <w:t>(Currency in millions, except per share amounts and where indicated otherwise)</w:t>
      </w:r>
    </w:p>
    <w:p w14:paraId="2FAD5C52" w14:textId="77777777" w:rsidR="00000000" w:rsidRDefault="00C1661D">
      <w:pPr>
        <w:jc w:val="both"/>
        <w:divId w:val="1429739311"/>
        <w:rPr>
          <w:rFonts w:eastAsia="Times New Roman"/>
        </w:rPr>
      </w:pPr>
      <w:r>
        <w:rPr>
          <w:rFonts w:eastAsia="Times New Roman"/>
          <w:b/>
          <w:bCs/>
          <w:color w:val="000000"/>
          <w:sz w:val="20"/>
          <w:szCs w:val="20"/>
        </w:rPr>
        <w:t>Remaining Performance Obligations</w:t>
      </w:r>
    </w:p>
    <w:p w14:paraId="28BB8A76" w14:textId="77777777" w:rsidR="00000000" w:rsidRDefault="00C1661D">
      <w:pPr>
        <w:jc w:val="both"/>
        <w:divId w:val="2052148784"/>
        <w:rPr>
          <w:rFonts w:eastAsia="Times New Roman"/>
        </w:rPr>
      </w:pPr>
      <w:r>
        <w:rPr>
          <w:rFonts w:eastAsia="Times New Roman"/>
          <w:color w:val="000000"/>
          <w:sz w:val="20"/>
          <w:szCs w:val="20"/>
        </w:rPr>
        <w:t>The Company excludes disclosures related to the aggregate amount of the transaction price allocated to certain performance obligations that are</w:t>
      </w:r>
      <w:r>
        <w:rPr>
          <w:rFonts w:eastAsia="Times New Roman"/>
          <w:color w:val="000000"/>
          <w:sz w:val="20"/>
          <w:szCs w:val="20"/>
        </w:rPr>
        <w:t xml:space="preserve"> unsatisfied as of the end of the reporting period because these contracts have an initial expected term of one year or less, or we have a right to bill the customer in an amount that corresponds directly with the value of services provided to the customer</w:t>
      </w:r>
      <w:r>
        <w:rPr>
          <w:rFonts w:eastAsia="Times New Roman"/>
          <w:color w:val="000000"/>
          <w:sz w:val="20"/>
          <w:szCs w:val="20"/>
        </w:rPr>
        <w:t xml:space="preserve"> to date. Certain contracts with customers at Midstream &amp; Marketing and Utilities contain minimum future performance obligations through 2047 and 2053, respectively. At September 30, 2022, Midstream &amp; Marketing and Utilities expect to record approximately </w:t>
      </w:r>
      <w:r>
        <w:rPr>
          <w:rFonts w:eastAsia="Times New Roman"/>
          <w:color w:val="000000"/>
          <w:sz w:val="20"/>
          <w:szCs w:val="20"/>
        </w:rPr>
        <w:t>$2.4 billion and $0.2 billion of revenues, respectively, related to the minimum future performance obligations over the remaining terms of the related contracts.</w:t>
      </w:r>
    </w:p>
    <w:p w14:paraId="3DBB8E16" w14:textId="77777777" w:rsidR="00000000" w:rsidRDefault="00C1661D">
      <w:pPr>
        <w:jc w:val="both"/>
        <w:rPr>
          <w:rFonts w:eastAsia="Times New Roman"/>
        </w:rPr>
      </w:pPr>
      <w:r>
        <w:rPr>
          <w:rFonts w:eastAsia="Times New Roman"/>
          <w:b/>
          <w:bCs/>
          <w:color w:val="000000"/>
          <w:sz w:val="20"/>
          <w:szCs w:val="20"/>
          <w:u w:val="single"/>
        </w:rPr>
        <w:t>Note 5 — Acquisitions and Dispositions</w:t>
      </w:r>
      <w:r>
        <w:rPr>
          <w:rFonts w:eastAsia="Times New Roman"/>
          <w:b/>
          <w:bCs/>
          <w:color w:val="000000"/>
          <w:sz w:val="20"/>
          <w:szCs w:val="20"/>
        </w:rPr>
        <w:t xml:space="preserve"> </w:t>
      </w:r>
    </w:p>
    <w:p w14:paraId="5F46A4D4" w14:textId="77777777" w:rsidR="00000000" w:rsidRDefault="00C1661D">
      <w:pPr>
        <w:jc w:val="both"/>
        <w:rPr>
          <w:rFonts w:eastAsia="Times New Roman"/>
        </w:rPr>
      </w:pPr>
    </w:p>
    <w:p w14:paraId="342E33C1" w14:textId="77777777" w:rsidR="00000000" w:rsidRDefault="00C1661D">
      <w:pPr>
        <w:jc w:val="both"/>
        <w:rPr>
          <w:rFonts w:eastAsia="Times New Roman"/>
        </w:rPr>
      </w:pPr>
      <w:r>
        <w:rPr>
          <w:rFonts w:eastAsia="Times New Roman"/>
          <w:b/>
          <w:bCs/>
          <w:color w:val="000000"/>
          <w:sz w:val="20"/>
          <w:szCs w:val="20"/>
        </w:rPr>
        <w:t>Mountaineer Acquisition</w:t>
      </w:r>
    </w:p>
    <w:p w14:paraId="6B844BAD" w14:textId="77777777" w:rsidR="00000000" w:rsidRDefault="00C1661D">
      <w:pPr>
        <w:jc w:val="both"/>
        <w:rPr>
          <w:rFonts w:eastAsia="Times New Roman"/>
        </w:rPr>
      </w:pPr>
    </w:p>
    <w:p w14:paraId="4D582083" w14:textId="77777777" w:rsidR="00000000" w:rsidRDefault="00C1661D">
      <w:pPr>
        <w:jc w:val="both"/>
        <w:rPr>
          <w:rFonts w:eastAsia="Times New Roman"/>
        </w:rPr>
      </w:pPr>
      <w:r>
        <w:rPr>
          <w:rFonts w:eastAsia="Times New Roman"/>
          <w:color w:val="000000"/>
          <w:sz w:val="20"/>
          <w:szCs w:val="20"/>
        </w:rPr>
        <w:t xml:space="preserve">On September 1, 2021, UGI </w:t>
      </w:r>
      <w:r>
        <w:rPr>
          <w:rFonts w:eastAsia="Times New Roman"/>
          <w:color w:val="000000"/>
          <w:sz w:val="20"/>
          <w:szCs w:val="20"/>
        </w:rPr>
        <w:t>completed the Mountaineer Acquisition in which UGI acquired all of the equity interests in Mountaineer, the largest natural gas distribution company in West Virginia, for a purchase price of $540, including the assumption of $140 principal amounts of long-</w:t>
      </w:r>
      <w:r>
        <w:rPr>
          <w:rFonts w:eastAsia="Times New Roman"/>
          <w:color w:val="000000"/>
          <w:sz w:val="20"/>
          <w:szCs w:val="20"/>
        </w:rPr>
        <w:t>term debt. The Mountaineer Acquisition was consummated pursuant to a purchase and sale agreement between UGI and the iCON Sellers and is consistent with our growth strategies, including expanding our core utility operations in the mid-Atlantic region.</w:t>
      </w:r>
      <w:r>
        <w:rPr>
          <w:rFonts w:eastAsia="Times New Roman"/>
          <w:color w:val="000000"/>
        </w:rPr>
        <w:t xml:space="preserve"> </w:t>
      </w:r>
      <w:r>
        <w:rPr>
          <w:rFonts w:eastAsia="Times New Roman"/>
          <w:color w:val="000000"/>
          <w:sz w:val="20"/>
          <w:szCs w:val="20"/>
        </w:rPr>
        <w:t xml:space="preserve">The </w:t>
      </w:r>
      <w:r>
        <w:rPr>
          <w:rFonts w:eastAsia="Times New Roman"/>
          <w:color w:val="000000"/>
          <w:sz w:val="20"/>
          <w:szCs w:val="20"/>
        </w:rPr>
        <w:t xml:space="preserve">Mountaineer Acquisition was funded with cash proceeds from </w:t>
      </w:r>
      <w:r>
        <w:rPr>
          <w:rFonts w:eastAsia="Times New Roman"/>
          <w:color w:val="000000"/>
          <w:sz w:val="20"/>
          <w:szCs w:val="20"/>
          <w:shd w:val="clear" w:color="auto" w:fill="FFFFFF"/>
        </w:rPr>
        <w:t>the 2021 UGI Corporation Senior Credit Facility $215 term loan and cash on hand including proceeds from the issuance of Equity Units</w:t>
      </w:r>
      <w:r>
        <w:rPr>
          <w:rFonts w:eastAsia="Times New Roman"/>
          <w:color w:val="000000"/>
          <w:sz w:val="20"/>
          <w:szCs w:val="20"/>
        </w:rPr>
        <w:t>. Accounts associated with Mountaineer are included within our Ut</w:t>
      </w:r>
      <w:r>
        <w:rPr>
          <w:rFonts w:eastAsia="Times New Roman"/>
          <w:color w:val="000000"/>
          <w:sz w:val="20"/>
          <w:szCs w:val="20"/>
        </w:rPr>
        <w:t>ilities reportable segment.</w:t>
      </w:r>
    </w:p>
    <w:p w14:paraId="48E41463" w14:textId="77777777" w:rsidR="00000000" w:rsidRDefault="00C1661D">
      <w:pPr>
        <w:divId w:val="817499906"/>
        <w:rPr>
          <w:rFonts w:eastAsia="Times New Roman"/>
        </w:rPr>
      </w:pPr>
    </w:p>
    <w:p w14:paraId="70EEE8C9" w14:textId="77777777" w:rsidR="00000000" w:rsidRDefault="00C1661D">
      <w:pPr>
        <w:jc w:val="both"/>
        <w:rPr>
          <w:rFonts w:eastAsia="Times New Roman"/>
        </w:rPr>
      </w:pPr>
      <w:r>
        <w:rPr>
          <w:rFonts w:eastAsia="Times New Roman"/>
          <w:color w:val="000000"/>
          <w:sz w:val="20"/>
          <w:szCs w:val="20"/>
        </w:rPr>
        <w:t>The Company has accounted for the Mountaineer Acquisition using the acquisition method. During Fiscal 2022, the Company recorded an adjustment to decrease goodwill by $5 primarily reflecting an adjustment to a valuation allowa</w:t>
      </w:r>
      <w:r>
        <w:rPr>
          <w:rFonts w:eastAsia="Times New Roman"/>
          <w:color w:val="000000"/>
          <w:sz w:val="20"/>
          <w:szCs w:val="20"/>
        </w:rPr>
        <w:t xml:space="preserve">nce on certain deferred income taxes. The Consolidated Balance Sheet at September 30, 2022, reflects the final allocation of the purchase price to the assets acquired and liabilities assumed for the Mountaineer Acquisition. </w:t>
      </w:r>
    </w:p>
    <w:p w14:paraId="18656A85" w14:textId="77777777" w:rsidR="00000000" w:rsidRDefault="00C1661D">
      <w:pPr>
        <w:jc w:val="center"/>
        <w:divId w:val="1183711395"/>
        <w:rPr>
          <w:rFonts w:eastAsia="Times New Roman"/>
        </w:rPr>
      </w:pPr>
      <w:r>
        <w:rPr>
          <w:rFonts w:eastAsia="Times New Roman"/>
          <w:color w:val="000000"/>
          <w:sz w:val="20"/>
          <w:szCs w:val="20"/>
        </w:rPr>
        <w:t>F-24</w:t>
      </w:r>
    </w:p>
    <w:p w14:paraId="05B441C4" w14:textId="77777777" w:rsidR="00000000" w:rsidRDefault="00C1661D">
      <w:pPr>
        <w:rPr>
          <w:rFonts w:eastAsia="Times New Roman"/>
        </w:rPr>
      </w:pPr>
      <w:r>
        <w:rPr>
          <w:rFonts w:eastAsia="Times New Roman"/>
        </w:rPr>
        <w:pict w14:anchorId="36D4B574">
          <v:rect id="_x0000_i1137" style="width:0;height:1.5pt" o:hralign="center" o:hrstd="t" o:hr="t" fillcolor="#a0a0a0" stroked="f"/>
        </w:pict>
      </w:r>
    </w:p>
    <w:p w14:paraId="6F4BC0AF" w14:textId="77777777" w:rsidR="00000000" w:rsidRDefault="00C1661D">
      <w:pPr>
        <w:divId w:val="2117599944"/>
        <w:rPr>
          <w:rFonts w:eastAsia="Times New Roman"/>
        </w:rPr>
      </w:pPr>
      <w:hyperlink w:anchor="i3850c3c6c0104e42b9951aac2f16098a_7" w:history="1">
        <w:r>
          <w:rPr>
            <w:rStyle w:val="a3"/>
            <w:rFonts w:eastAsia="Times New Roman"/>
            <w:sz w:val="20"/>
            <w:szCs w:val="20"/>
          </w:rPr>
          <w:t>Table of Contents</w:t>
        </w:r>
      </w:hyperlink>
    </w:p>
    <w:p w14:paraId="482BFA87" w14:textId="77777777" w:rsidR="00000000" w:rsidRDefault="00C1661D">
      <w:pPr>
        <w:divId w:val="1025862395"/>
        <w:rPr>
          <w:rFonts w:eastAsia="Times New Roman"/>
        </w:rPr>
      </w:pPr>
      <w:r>
        <w:rPr>
          <w:rFonts w:eastAsia="Times New Roman"/>
          <w:b/>
          <w:bCs/>
          <w:color w:val="000000"/>
          <w:sz w:val="20"/>
          <w:szCs w:val="20"/>
        </w:rPr>
        <w:t>UGI Corporation and Subsidiaries</w:t>
      </w:r>
    </w:p>
    <w:p w14:paraId="5A36D7BF" w14:textId="77777777" w:rsidR="00000000" w:rsidRDefault="00C1661D">
      <w:pPr>
        <w:divId w:val="1038968854"/>
        <w:rPr>
          <w:rFonts w:eastAsia="Times New Roman"/>
        </w:rPr>
      </w:pPr>
      <w:r>
        <w:rPr>
          <w:rFonts w:eastAsia="Times New Roman"/>
          <w:b/>
          <w:bCs/>
          <w:color w:val="000000"/>
          <w:sz w:val="20"/>
          <w:szCs w:val="20"/>
        </w:rPr>
        <w:t>Notes to Consolidated Financial Statements</w:t>
      </w:r>
    </w:p>
    <w:p w14:paraId="04FF97E7" w14:textId="77777777" w:rsidR="00000000" w:rsidRDefault="00C1661D">
      <w:pPr>
        <w:divId w:val="779838022"/>
        <w:rPr>
          <w:rFonts w:eastAsia="Times New Roman"/>
        </w:rPr>
      </w:pPr>
      <w:r>
        <w:rPr>
          <w:rFonts w:eastAsia="Times New Roman"/>
          <w:color w:val="000000"/>
          <w:sz w:val="20"/>
          <w:szCs w:val="20"/>
        </w:rPr>
        <w:t>(Currency in millions, except per share amounts and where indicated otherwise)</w:t>
      </w:r>
    </w:p>
    <w:p w14:paraId="5C732067" w14:textId="77777777" w:rsidR="00000000" w:rsidRDefault="00C1661D">
      <w:pPr>
        <w:jc w:val="both"/>
        <w:rPr>
          <w:rFonts w:eastAsia="Times New Roman"/>
        </w:rPr>
      </w:pPr>
      <w:r>
        <w:rPr>
          <w:rFonts w:eastAsia="Times New Roman"/>
          <w:color w:val="000000"/>
          <w:sz w:val="20"/>
          <w:szCs w:val="20"/>
        </w:rPr>
        <w:t xml:space="preserve">The components of the Mountaineer purchase price allocations are as follows: </w:t>
      </w:r>
    </w:p>
    <w:p w14:paraId="47AF050E" w14:textId="77777777" w:rsidR="00000000" w:rsidRDefault="00C1661D">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
        <w:gridCol w:w="7006"/>
        <w:gridCol w:w="37"/>
        <w:gridCol w:w="120"/>
        <w:gridCol w:w="1055"/>
        <w:gridCol w:w="36"/>
      </w:tblGrid>
      <w:tr w:rsidR="00000000" w14:paraId="2FFC484B" w14:textId="77777777">
        <w:tc>
          <w:tcPr>
            <w:tcW w:w="50" w:type="pct"/>
            <w:vAlign w:val="center"/>
            <w:hideMark/>
          </w:tcPr>
          <w:p w14:paraId="2061CAAC" w14:textId="77777777" w:rsidR="00000000" w:rsidRDefault="00C1661D">
            <w:pPr>
              <w:jc w:val="both"/>
              <w:rPr>
                <w:rFonts w:eastAsia="Times New Roman"/>
              </w:rPr>
            </w:pPr>
          </w:p>
        </w:tc>
        <w:tc>
          <w:tcPr>
            <w:tcW w:w="4235" w:type="pct"/>
            <w:vAlign w:val="center"/>
            <w:hideMark/>
          </w:tcPr>
          <w:p w14:paraId="62A8E121" w14:textId="77777777" w:rsidR="00000000" w:rsidRDefault="00C1661D">
            <w:pPr>
              <w:spacing w:after="100"/>
              <w:rPr>
                <w:rFonts w:eastAsia="Times New Roman"/>
                <w:sz w:val="20"/>
                <w:szCs w:val="20"/>
              </w:rPr>
            </w:pPr>
          </w:p>
        </w:tc>
        <w:tc>
          <w:tcPr>
            <w:tcW w:w="5" w:type="pct"/>
            <w:vAlign w:val="center"/>
            <w:hideMark/>
          </w:tcPr>
          <w:p w14:paraId="03D1951F" w14:textId="77777777" w:rsidR="00000000" w:rsidRDefault="00C1661D">
            <w:pPr>
              <w:spacing w:after="100"/>
              <w:rPr>
                <w:rFonts w:eastAsia="Times New Roman"/>
                <w:sz w:val="20"/>
                <w:szCs w:val="20"/>
              </w:rPr>
            </w:pPr>
          </w:p>
        </w:tc>
        <w:tc>
          <w:tcPr>
            <w:tcW w:w="50" w:type="pct"/>
            <w:vAlign w:val="center"/>
            <w:hideMark/>
          </w:tcPr>
          <w:p w14:paraId="1A52697B" w14:textId="77777777" w:rsidR="00000000" w:rsidRDefault="00C1661D">
            <w:pPr>
              <w:spacing w:after="100"/>
              <w:rPr>
                <w:rFonts w:eastAsia="Times New Roman"/>
                <w:sz w:val="20"/>
                <w:szCs w:val="20"/>
              </w:rPr>
            </w:pPr>
          </w:p>
        </w:tc>
        <w:tc>
          <w:tcPr>
            <w:tcW w:w="654" w:type="pct"/>
            <w:vAlign w:val="center"/>
            <w:hideMark/>
          </w:tcPr>
          <w:p w14:paraId="66A55565" w14:textId="77777777" w:rsidR="00000000" w:rsidRDefault="00C1661D">
            <w:pPr>
              <w:spacing w:after="100"/>
              <w:rPr>
                <w:rFonts w:eastAsia="Times New Roman"/>
                <w:sz w:val="20"/>
                <w:szCs w:val="20"/>
              </w:rPr>
            </w:pPr>
          </w:p>
        </w:tc>
        <w:tc>
          <w:tcPr>
            <w:tcW w:w="5" w:type="pct"/>
            <w:vAlign w:val="center"/>
            <w:hideMark/>
          </w:tcPr>
          <w:p w14:paraId="6FC9E8FE" w14:textId="77777777" w:rsidR="00000000" w:rsidRDefault="00C1661D">
            <w:pPr>
              <w:spacing w:after="100"/>
              <w:rPr>
                <w:rFonts w:eastAsia="Times New Roman"/>
                <w:sz w:val="20"/>
                <w:szCs w:val="20"/>
              </w:rPr>
            </w:pPr>
          </w:p>
        </w:tc>
      </w:tr>
      <w:tr w:rsidR="00000000" w14:paraId="35AB043A" w14:textId="77777777">
        <w:tc>
          <w:tcPr>
            <w:tcW w:w="0" w:type="auto"/>
            <w:gridSpan w:val="3"/>
            <w:shd w:val="clear" w:color="auto" w:fill="CCEEFF"/>
            <w:tcMar>
              <w:top w:w="30" w:type="dxa"/>
              <w:left w:w="20" w:type="dxa"/>
              <w:bottom w:w="30" w:type="dxa"/>
              <w:right w:w="20" w:type="dxa"/>
            </w:tcMar>
            <w:vAlign w:val="bottom"/>
            <w:hideMark/>
          </w:tcPr>
          <w:p w14:paraId="7C6E2E00" w14:textId="77777777" w:rsidR="00000000" w:rsidRDefault="00C1661D">
            <w:pPr>
              <w:spacing w:after="100"/>
              <w:rPr>
                <w:rFonts w:eastAsia="Times New Roman"/>
              </w:rPr>
            </w:pPr>
            <w:r>
              <w:rPr>
                <w:rFonts w:eastAsia="Times New Roman"/>
                <w:color w:val="000000"/>
                <w:sz w:val="20"/>
                <w:szCs w:val="20"/>
              </w:rPr>
              <w:t>Assets acquired:</w:t>
            </w:r>
          </w:p>
        </w:tc>
        <w:tc>
          <w:tcPr>
            <w:tcW w:w="0" w:type="auto"/>
            <w:gridSpan w:val="3"/>
            <w:shd w:val="clear" w:color="auto" w:fill="CCEEFF"/>
            <w:tcMar>
              <w:top w:w="0" w:type="dxa"/>
              <w:left w:w="20" w:type="dxa"/>
              <w:bottom w:w="0" w:type="dxa"/>
              <w:right w:w="20" w:type="dxa"/>
            </w:tcMar>
            <w:vAlign w:val="center"/>
            <w:hideMark/>
          </w:tcPr>
          <w:p w14:paraId="29E79E27" w14:textId="77777777" w:rsidR="00000000" w:rsidRDefault="00C1661D">
            <w:pPr>
              <w:spacing w:after="100"/>
              <w:rPr>
                <w:rFonts w:eastAsia="Times New Roman"/>
              </w:rPr>
            </w:pPr>
          </w:p>
        </w:tc>
      </w:tr>
      <w:tr w:rsidR="00000000" w14:paraId="4A901172" w14:textId="77777777">
        <w:tc>
          <w:tcPr>
            <w:tcW w:w="0" w:type="auto"/>
            <w:gridSpan w:val="3"/>
            <w:shd w:val="clear" w:color="auto" w:fill="FFFFFF"/>
            <w:tcMar>
              <w:top w:w="30" w:type="dxa"/>
              <w:left w:w="515" w:type="dxa"/>
              <w:bottom w:w="30" w:type="dxa"/>
              <w:right w:w="20" w:type="dxa"/>
            </w:tcMar>
            <w:vAlign w:val="bottom"/>
            <w:hideMark/>
          </w:tcPr>
          <w:p w14:paraId="7CCDF889" w14:textId="77777777" w:rsidR="00000000" w:rsidRDefault="00C1661D">
            <w:pPr>
              <w:spacing w:after="100"/>
              <w:rPr>
                <w:rFonts w:eastAsia="Times New Roman"/>
              </w:rPr>
            </w:pPr>
            <w:r>
              <w:rPr>
                <w:rFonts w:eastAsia="Times New Roman"/>
                <w:color w:val="000000"/>
                <w:sz w:val="20"/>
                <w:szCs w:val="20"/>
              </w:rPr>
              <w:t xml:space="preserve">Cash and cash equivalents </w:t>
            </w:r>
          </w:p>
        </w:tc>
        <w:tc>
          <w:tcPr>
            <w:tcW w:w="0" w:type="auto"/>
            <w:shd w:val="clear" w:color="auto" w:fill="FFFFFF"/>
            <w:tcMar>
              <w:top w:w="30" w:type="dxa"/>
              <w:left w:w="20" w:type="dxa"/>
              <w:bottom w:w="30" w:type="dxa"/>
              <w:right w:w="0" w:type="dxa"/>
            </w:tcMar>
            <w:vAlign w:val="bottom"/>
            <w:hideMark/>
          </w:tcPr>
          <w:p w14:paraId="04C4AD5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8398E30"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23107CCA" w14:textId="77777777" w:rsidR="00000000" w:rsidRDefault="00C1661D">
            <w:pPr>
              <w:spacing w:after="100"/>
              <w:jc w:val="right"/>
              <w:rPr>
                <w:rFonts w:eastAsia="Times New Roman"/>
              </w:rPr>
            </w:pPr>
          </w:p>
        </w:tc>
      </w:tr>
      <w:tr w:rsidR="00000000" w14:paraId="74EA204C" w14:textId="77777777">
        <w:tc>
          <w:tcPr>
            <w:tcW w:w="0" w:type="auto"/>
            <w:gridSpan w:val="3"/>
            <w:shd w:val="clear" w:color="auto" w:fill="CCEEFF"/>
            <w:tcMar>
              <w:top w:w="30" w:type="dxa"/>
              <w:left w:w="515" w:type="dxa"/>
              <w:bottom w:w="30" w:type="dxa"/>
              <w:right w:w="20" w:type="dxa"/>
            </w:tcMar>
            <w:vAlign w:val="bottom"/>
            <w:hideMark/>
          </w:tcPr>
          <w:p w14:paraId="13FA27DF" w14:textId="77777777" w:rsidR="00000000" w:rsidRDefault="00C1661D">
            <w:pPr>
              <w:spacing w:after="100"/>
              <w:rPr>
                <w:rFonts w:eastAsia="Times New Roman"/>
              </w:rPr>
            </w:pPr>
            <w:r>
              <w:rPr>
                <w:rFonts w:eastAsia="Times New Roman"/>
                <w:color w:val="000000"/>
                <w:sz w:val="20"/>
                <w:szCs w:val="20"/>
              </w:rPr>
              <w:t xml:space="preserve">Accounts receivable </w:t>
            </w:r>
          </w:p>
        </w:tc>
        <w:tc>
          <w:tcPr>
            <w:tcW w:w="0" w:type="auto"/>
            <w:gridSpan w:val="2"/>
            <w:shd w:val="clear" w:color="auto" w:fill="CCEEFF"/>
            <w:tcMar>
              <w:top w:w="30" w:type="dxa"/>
              <w:left w:w="20" w:type="dxa"/>
              <w:bottom w:w="30" w:type="dxa"/>
              <w:right w:w="0" w:type="dxa"/>
            </w:tcMar>
            <w:vAlign w:val="bottom"/>
            <w:hideMark/>
          </w:tcPr>
          <w:p w14:paraId="7ED8473C" w14:textId="77777777" w:rsidR="00000000" w:rsidRDefault="00C1661D">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4A31D5F6" w14:textId="77777777" w:rsidR="00000000" w:rsidRDefault="00C1661D">
            <w:pPr>
              <w:spacing w:after="100"/>
              <w:jc w:val="right"/>
              <w:rPr>
                <w:rFonts w:eastAsia="Times New Roman"/>
              </w:rPr>
            </w:pPr>
          </w:p>
        </w:tc>
      </w:tr>
      <w:tr w:rsidR="00000000" w14:paraId="04B7149B" w14:textId="77777777">
        <w:tc>
          <w:tcPr>
            <w:tcW w:w="0" w:type="auto"/>
            <w:gridSpan w:val="3"/>
            <w:shd w:val="clear" w:color="auto" w:fill="FFFFFF"/>
            <w:tcMar>
              <w:top w:w="30" w:type="dxa"/>
              <w:left w:w="515" w:type="dxa"/>
              <w:bottom w:w="30" w:type="dxa"/>
              <w:right w:w="20" w:type="dxa"/>
            </w:tcMar>
            <w:vAlign w:val="bottom"/>
            <w:hideMark/>
          </w:tcPr>
          <w:p w14:paraId="54E5ECF5" w14:textId="77777777" w:rsidR="00000000" w:rsidRDefault="00C1661D">
            <w:pPr>
              <w:spacing w:after="100"/>
              <w:rPr>
                <w:rFonts w:eastAsia="Times New Roman"/>
              </w:rPr>
            </w:pPr>
            <w:r>
              <w:rPr>
                <w:rFonts w:eastAsia="Times New Roman"/>
                <w:color w:val="000000"/>
                <w:sz w:val="20"/>
                <w:szCs w:val="20"/>
              </w:rPr>
              <w:t xml:space="preserve">Inventories </w:t>
            </w:r>
          </w:p>
        </w:tc>
        <w:tc>
          <w:tcPr>
            <w:tcW w:w="0" w:type="auto"/>
            <w:gridSpan w:val="2"/>
            <w:shd w:val="clear" w:color="auto" w:fill="FFFFFF"/>
            <w:tcMar>
              <w:top w:w="30" w:type="dxa"/>
              <w:left w:w="20" w:type="dxa"/>
              <w:bottom w:w="30" w:type="dxa"/>
              <w:right w:w="0" w:type="dxa"/>
            </w:tcMar>
            <w:vAlign w:val="bottom"/>
            <w:hideMark/>
          </w:tcPr>
          <w:p w14:paraId="13C05BD5" w14:textId="77777777" w:rsidR="00000000" w:rsidRDefault="00C1661D">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14:paraId="558FB246" w14:textId="77777777" w:rsidR="00000000" w:rsidRDefault="00C1661D">
            <w:pPr>
              <w:spacing w:after="100"/>
              <w:jc w:val="right"/>
              <w:rPr>
                <w:rFonts w:eastAsia="Times New Roman"/>
              </w:rPr>
            </w:pPr>
          </w:p>
        </w:tc>
      </w:tr>
      <w:tr w:rsidR="00000000" w14:paraId="0C7B081B" w14:textId="77777777">
        <w:tc>
          <w:tcPr>
            <w:tcW w:w="0" w:type="auto"/>
            <w:gridSpan w:val="3"/>
            <w:shd w:val="clear" w:color="auto" w:fill="CCEEFF"/>
            <w:tcMar>
              <w:top w:w="30" w:type="dxa"/>
              <w:left w:w="515" w:type="dxa"/>
              <w:bottom w:w="30" w:type="dxa"/>
              <w:right w:w="20" w:type="dxa"/>
            </w:tcMar>
            <w:vAlign w:val="bottom"/>
            <w:hideMark/>
          </w:tcPr>
          <w:p w14:paraId="7E9E245E" w14:textId="77777777" w:rsidR="00000000" w:rsidRDefault="00C1661D">
            <w:pPr>
              <w:spacing w:after="100"/>
              <w:rPr>
                <w:rFonts w:eastAsia="Times New Roman"/>
              </w:rPr>
            </w:pPr>
            <w:r>
              <w:rPr>
                <w:rFonts w:eastAsia="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14:paraId="13E634D8" w14:textId="77777777" w:rsidR="00000000" w:rsidRDefault="00C1661D">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0185FE57" w14:textId="77777777" w:rsidR="00000000" w:rsidRDefault="00C1661D">
            <w:pPr>
              <w:spacing w:after="100"/>
              <w:jc w:val="right"/>
              <w:rPr>
                <w:rFonts w:eastAsia="Times New Roman"/>
              </w:rPr>
            </w:pPr>
          </w:p>
        </w:tc>
      </w:tr>
      <w:tr w:rsidR="00000000" w14:paraId="0F6EB1DA" w14:textId="77777777">
        <w:tc>
          <w:tcPr>
            <w:tcW w:w="0" w:type="auto"/>
            <w:gridSpan w:val="3"/>
            <w:shd w:val="clear" w:color="auto" w:fill="FFFFFF"/>
            <w:tcMar>
              <w:top w:w="30" w:type="dxa"/>
              <w:left w:w="515" w:type="dxa"/>
              <w:bottom w:w="30" w:type="dxa"/>
              <w:right w:w="20" w:type="dxa"/>
            </w:tcMar>
            <w:vAlign w:val="bottom"/>
            <w:hideMark/>
          </w:tcPr>
          <w:p w14:paraId="66F2A5A3" w14:textId="77777777" w:rsidR="00000000" w:rsidRDefault="00C1661D">
            <w:pPr>
              <w:spacing w:after="100"/>
              <w:rPr>
                <w:rFonts w:eastAsia="Times New Roman"/>
              </w:rPr>
            </w:pPr>
            <w:r>
              <w:rPr>
                <w:rFonts w:eastAsia="Times New Roman"/>
                <w:color w:val="000000"/>
                <w:sz w:val="20"/>
                <w:szCs w:val="20"/>
              </w:rPr>
              <w:t xml:space="preserve">Property, plant and equipment </w:t>
            </w:r>
          </w:p>
        </w:tc>
        <w:tc>
          <w:tcPr>
            <w:tcW w:w="0" w:type="auto"/>
            <w:gridSpan w:val="2"/>
            <w:shd w:val="clear" w:color="auto" w:fill="FFFFFF"/>
            <w:tcMar>
              <w:top w:w="30" w:type="dxa"/>
              <w:left w:w="20" w:type="dxa"/>
              <w:bottom w:w="30" w:type="dxa"/>
              <w:right w:w="0" w:type="dxa"/>
            </w:tcMar>
            <w:vAlign w:val="bottom"/>
            <w:hideMark/>
          </w:tcPr>
          <w:p w14:paraId="05C93B8B" w14:textId="77777777" w:rsidR="00000000" w:rsidRDefault="00C1661D">
            <w:pPr>
              <w:spacing w:after="100"/>
              <w:jc w:val="right"/>
              <w:rPr>
                <w:rFonts w:eastAsia="Times New Roman"/>
              </w:rPr>
            </w:pPr>
            <w:r>
              <w:rPr>
                <w:rFonts w:eastAsia="Times New Roman"/>
                <w:color w:val="000000"/>
                <w:sz w:val="20"/>
                <w:szCs w:val="20"/>
              </w:rPr>
              <w:t>397 </w:t>
            </w:r>
          </w:p>
        </w:tc>
        <w:tc>
          <w:tcPr>
            <w:tcW w:w="0" w:type="auto"/>
            <w:shd w:val="clear" w:color="auto" w:fill="FFFFFF"/>
            <w:tcMar>
              <w:top w:w="30" w:type="dxa"/>
              <w:left w:w="0" w:type="dxa"/>
              <w:bottom w:w="30" w:type="dxa"/>
              <w:right w:w="20" w:type="dxa"/>
            </w:tcMar>
            <w:vAlign w:val="bottom"/>
            <w:hideMark/>
          </w:tcPr>
          <w:p w14:paraId="13FDECB6" w14:textId="77777777" w:rsidR="00000000" w:rsidRDefault="00C1661D">
            <w:pPr>
              <w:spacing w:after="100"/>
              <w:jc w:val="right"/>
              <w:rPr>
                <w:rFonts w:eastAsia="Times New Roman"/>
              </w:rPr>
            </w:pPr>
          </w:p>
        </w:tc>
      </w:tr>
      <w:tr w:rsidR="00000000" w14:paraId="385CA758" w14:textId="77777777">
        <w:tc>
          <w:tcPr>
            <w:tcW w:w="0" w:type="auto"/>
            <w:gridSpan w:val="3"/>
            <w:shd w:val="clear" w:color="auto" w:fill="CCEEFF"/>
            <w:tcMar>
              <w:top w:w="30" w:type="dxa"/>
              <w:left w:w="515" w:type="dxa"/>
              <w:bottom w:w="30" w:type="dxa"/>
              <w:right w:w="20" w:type="dxa"/>
            </w:tcMar>
            <w:vAlign w:val="bottom"/>
            <w:hideMark/>
          </w:tcPr>
          <w:p w14:paraId="24A9A05C" w14:textId="77777777" w:rsidR="00000000" w:rsidRDefault="00C1661D">
            <w:pPr>
              <w:spacing w:after="100"/>
              <w:rPr>
                <w:rFonts w:eastAsia="Times New Roman"/>
              </w:rPr>
            </w:pPr>
            <w:r>
              <w:rPr>
                <w:rFonts w:eastAsia="Times New Roman"/>
                <w:color w:val="000000"/>
                <w:sz w:val="20"/>
                <w:szCs w:val="20"/>
              </w:rPr>
              <w:t xml:space="preserve">Other noncurrent assets </w:t>
            </w:r>
          </w:p>
        </w:tc>
        <w:tc>
          <w:tcPr>
            <w:tcW w:w="0" w:type="auto"/>
            <w:gridSpan w:val="2"/>
            <w:shd w:val="clear" w:color="auto" w:fill="CCEEFF"/>
            <w:tcMar>
              <w:top w:w="30" w:type="dxa"/>
              <w:left w:w="20" w:type="dxa"/>
              <w:bottom w:w="30" w:type="dxa"/>
              <w:right w:w="0" w:type="dxa"/>
            </w:tcMar>
            <w:vAlign w:val="bottom"/>
            <w:hideMark/>
          </w:tcPr>
          <w:p w14:paraId="1A79AAB0" w14:textId="77777777" w:rsidR="00000000" w:rsidRDefault="00C1661D">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14:paraId="4895DD6E" w14:textId="77777777" w:rsidR="00000000" w:rsidRDefault="00C1661D">
            <w:pPr>
              <w:spacing w:after="100"/>
              <w:jc w:val="right"/>
              <w:rPr>
                <w:rFonts w:eastAsia="Times New Roman"/>
              </w:rPr>
            </w:pPr>
          </w:p>
        </w:tc>
      </w:tr>
      <w:tr w:rsidR="00000000" w14:paraId="49995020" w14:textId="77777777">
        <w:tc>
          <w:tcPr>
            <w:tcW w:w="0" w:type="auto"/>
            <w:gridSpan w:val="3"/>
            <w:shd w:val="clear" w:color="auto" w:fill="FFFFFF"/>
            <w:tcMar>
              <w:top w:w="30" w:type="dxa"/>
              <w:left w:w="20" w:type="dxa"/>
              <w:bottom w:w="30" w:type="dxa"/>
              <w:right w:w="20" w:type="dxa"/>
            </w:tcMar>
            <w:vAlign w:val="bottom"/>
            <w:hideMark/>
          </w:tcPr>
          <w:p w14:paraId="558CA166" w14:textId="77777777" w:rsidR="00000000" w:rsidRDefault="00C1661D">
            <w:pPr>
              <w:spacing w:after="100"/>
              <w:rPr>
                <w:rFonts w:eastAsia="Times New Roman"/>
              </w:rPr>
            </w:pPr>
            <w:r>
              <w:rPr>
                <w:rFonts w:eastAsia="Times New Roman"/>
                <w:color w:val="000000"/>
                <w:sz w:val="20"/>
                <w:szCs w:val="20"/>
              </w:rPr>
              <w:t>Total assets acquired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18BC5F"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FF34B8" w14:textId="77777777" w:rsidR="00000000" w:rsidRDefault="00C1661D">
            <w:pPr>
              <w:spacing w:after="100"/>
              <w:jc w:val="right"/>
              <w:rPr>
                <w:rFonts w:eastAsia="Times New Roman"/>
              </w:rPr>
            </w:pPr>
            <w:r>
              <w:rPr>
                <w:rFonts w:eastAsia="Times New Roman"/>
                <w:color w:val="000000"/>
                <w:sz w:val="20"/>
                <w:szCs w:val="20"/>
              </w:rPr>
              <w:t>524 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965720" w14:textId="77777777" w:rsidR="00000000" w:rsidRDefault="00C1661D">
            <w:pPr>
              <w:spacing w:after="100"/>
              <w:jc w:val="right"/>
              <w:rPr>
                <w:rFonts w:eastAsia="Times New Roman"/>
              </w:rPr>
            </w:pPr>
          </w:p>
        </w:tc>
      </w:tr>
      <w:tr w:rsidR="00000000" w14:paraId="67EAF04D" w14:textId="77777777">
        <w:trPr>
          <w:trHeight w:val="300"/>
        </w:trPr>
        <w:tc>
          <w:tcPr>
            <w:tcW w:w="0" w:type="auto"/>
            <w:gridSpan w:val="3"/>
            <w:shd w:val="clear" w:color="auto" w:fill="CCEEFF"/>
            <w:tcMar>
              <w:top w:w="0" w:type="dxa"/>
              <w:left w:w="20" w:type="dxa"/>
              <w:bottom w:w="0" w:type="dxa"/>
              <w:right w:w="20" w:type="dxa"/>
            </w:tcMar>
            <w:vAlign w:val="center"/>
            <w:hideMark/>
          </w:tcPr>
          <w:p w14:paraId="19A3ABE0" w14:textId="77777777" w:rsidR="00000000" w:rsidRDefault="00C1661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057875" w14:textId="77777777" w:rsidR="00000000" w:rsidRDefault="00C1661D">
            <w:pPr>
              <w:spacing w:after="100"/>
              <w:rPr>
                <w:rFonts w:eastAsia="Times New Roman"/>
                <w:sz w:val="20"/>
                <w:szCs w:val="20"/>
              </w:rPr>
            </w:pPr>
          </w:p>
        </w:tc>
      </w:tr>
      <w:tr w:rsidR="00000000" w14:paraId="2DEEE426" w14:textId="77777777">
        <w:tc>
          <w:tcPr>
            <w:tcW w:w="0" w:type="auto"/>
            <w:gridSpan w:val="3"/>
            <w:shd w:val="clear" w:color="auto" w:fill="FFFFFF"/>
            <w:tcMar>
              <w:top w:w="30" w:type="dxa"/>
              <w:left w:w="20" w:type="dxa"/>
              <w:bottom w:w="30" w:type="dxa"/>
              <w:right w:w="20" w:type="dxa"/>
            </w:tcMar>
            <w:vAlign w:val="bottom"/>
            <w:hideMark/>
          </w:tcPr>
          <w:p w14:paraId="3B11A4F9" w14:textId="77777777" w:rsidR="00000000" w:rsidRDefault="00C1661D">
            <w:pPr>
              <w:spacing w:after="100"/>
              <w:rPr>
                <w:rFonts w:eastAsia="Times New Roman"/>
              </w:rPr>
            </w:pPr>
            <w:r>
              <w:rPr>
                <w:rFonts w:eastAsia="Times New Roman"/>
                <w:color w:val="000000"/>
                <w:sz w:val="20"/>
                <w:szCs w:val="20"/>
              </w:rPr>
              <w:t>Liabilities assumed:</w:t>
            </w:r>
          </w:p>
        </w:tc>
        <w:tc>
          <w:tcPr>
            <w:tcW w:w="0" w:type="auto"/>
            <w:gridSpan w:val="3"/>
            <w:shd w:val="clear" w:color="auto" w:fill="FFFFFF"/>
            <w:tcMar>
              <w:top w:w="0" w:type="dxa"/>
              <w:left w:w="20" w:type="dxa"/>
              <w:bottom w:w="0" w:type="dxa"/>
              <w:right w:w="20" w:type="dxa"/>
            </w:tcMar>
            <w:vAlign w:val="center"/>
            <w:hideMark/>
          </w:tcPr>
          <w:p w14:paraId="2EF2A69F" w14:textId="77777777" w:rsidR="00000000" w:rsidRDefault="00C1661D">
            <w:pPr>
              <w:spacing w:after="100"/>
              <w:rPr>
                <w:rFonts w:eastAsia="Times New Roman"/>
              </w:rPr>
            </w:pPr>
          </w:p>
        </w:tc>
      </w:tr>
      <w:tr w:rsidR="00000000" w14:paraId="7C042CDB" w14:textId="77777777">
        <w:tc>
          <w:tcPr>
            <w:tcW w:w="0" w:type="auto"/>
            <w:gridSpan w:val="3"/>
            <w:shd w:val="clear" w:color="auto" w:fill="CCEEFF"/>
            <w:tcMar>
              <w:top w:w="30" w:type="dxa"/>
              <w:left w:w="515" w:type="dxa"/>
              <w:bottom w:w="30" w:type="dxa"/>
              <w:right w:w="20" w:type="dxa"/>
            </w:tcMar>
            <w:vAlign w:val="bottom"/>
            <w:hideMark/>
          </w:tcPr>
          <w:p w14:paraId="40B35D19" w14:textId="77777777" w:rsidR="00000000" w:rsidRDefault="00C1661D">
            <w:pPr>
              <w:spacing w:after="100"/>
              <w:rPr>
                <w:rFonts w:eastAsia="Times New Roman"/>
              </w:rPr>
            </w:pPr>
            <w:r>
              <w:rPr>
                <w:rFonts w:eastAsia="Times New Roman"/>
                <w:color w:val="000000"/>
                <w:sz w:val="20"/>
                <w:szCs w:val="20"/>
              </w:rPr>
              <w:t> </w:t>
            </w:r>
            <w:r>
              <w:rPr>
                <w:rFonts w:eastAsia="Times New Roman"/>
                <w:color w:val="000000"/>
                <w:sz w:val="20"/>
                <w:szCs w:val="20"/>
              </w:rPr>
              <w:t xml:space="preserve">Short-term borrowings </w:t>
            </w:r>
          </w:p>
        </w:tc>
        <w:tc>
          <w:tcPr>
            <w:tcW w:w="0" w:type="auto"/>
            <w:shd w:val="clear" w:color="auto" w:fill="CCEEFF"/>
            <w:tcMar>
              <w:top w:w="30" w:type="dxa"/>
              <w:left w:w="20" w:type="dxa"/>
              <w:bottom w:w="30" w:type="dxa"/>
              <w:right w:w="0" w:type="dxa"/>
            </w:tcMar>
            <w:vAlign w:val="bottom"/>
            <w:hideMark/>
          </w:tcPr>
          <w:p w14:paraId="3C07530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0086625" w14:textId="77777777" w:rsidR="00000000" w:rsidRDefault="00C1661D">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14:paraId="5D435AED" w14:textId="77777777" w:rsidR="00000000" w:rsidRDefault="00C1661D">
            <w:pPr>
              <w:spacing w:after="100"/>
              <w:jc w:val="right"/>
              <w:rPr>
                <w:rFonts w:eastAsia="Times New Roman"/>
              </w:rPr>
            </w:pPr>
          </w:p>
        </w:tc>
      </w:tr>
      <w:tr w:rsidR="00000000" w14:paraId="2B6176C1" w14:textId="77777777">
        <w:tc>
          <w:tcPr>
            <w:tcW w:w="0" w:type="auto"/>
            <w:gridSpan w:val="3"/>
            <w:shd w:val="clear" w:color="auto" w:fill="FFFFFF"/>
            <w:tcMar>
              <w:top w:w="30" w:type="dxa"/>
              <w:left w:w="515" w:type="dxa"/>
              <w:bottom w:w="30" w:type="dxa"/>
              <w:right w:w="20" w:type="dxa"/>
            </w:tcMar>
            <w:vAlign w:val="bottom"/>
            <w:hideMark/>
          </w:tcPr>
          <w:p w14:paraId="4739D794" w14:textId="77777777" w:rsidR="00000000" w:rsidRDefault="00C1661D">
            <w:pPr>
              <w:spacing w:after="100"/>
              <w:rPr>
                <w:rFonts w:eastAsia="Times New Roman"/>
              </w:rPr>
            </w:pPr>
            <w:r>
              <w:rPr>
                <w:rFonts w:eastAsia="Times New Roman"/>
                <w:color w:val="000000"/>
                <w:sz w:val="20"/>
                <w:szCs w:val="20"/>
              </w:rPr>
              <w:t xml:space="preserve"> Accounts payable </w:t>
            </w:r>
          </w:p>
        </w:tc>
        <w:tc>
          <w:tcPr>
            <w:tcW w:w="0" w:type="auto"/>
            <w:gridSpan w:val="2"/>
            <w:shd w:val="clear" w:color="auto" w:fill="FFFFFF"/>
            <w:tcMar>
              <w:top w:w="30" w:type="dxa"/>
              <w:left w:w="20" w:type="dxa"/>
              <w:bottom w:w="30" w:type="dxa"/>
              <w:right w:w="0" w:type="dxa"/>
            </w:tcMar>
            <w:vAlign w:val="bottom"/>
            <w:hideMark/>
          </w:tcPr>
          <w:p w14:paraId="111012B9" w14:textId="77777777" w:rsidR="00000000" w:rsidRDefault="00C1661D">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30AB0166" w14:textId="77777777" w:rsidR="00000000" w:rsidRDefault="00C1661D">
            <w:pPr>
              <w:spacing w:after="100"/>
              <w:jc w:val="right"/>
              <w:rPr>
                <w:rFonts w:eastAsia="Times New Roman"/>
              </w:rPr>
            </w:pPr>
          </w:p>
        </w:tc>
      </w:tr>
      <w:tr w:rsidR="00000000" w14:paraId="03DC38A4" w14:textId="77777777">
        <w:tc>
          <w:tcPr>
            <w:tcW w:w="0" w:type="auto"/>
            <w:gridSpan w:val="3"/>
            <w:shd w:val="clear" w:color="auto" w:fill="CCEEFF"/>
            <w:tcMar>
              <w:top w:w="30" w:type="dxa"/>
              <w:left w:w="515" w:type="dxa"/>
              <w:bottom w:w="30" w:type="dxa"/>
              <w:right w:w="20" w:type="dxa"/>
            </w:tcMar>
            <w:vAlign w:val="bottom"/>
            <w:hideMark/>
          </w:tcPr>
          <w:p w14:paraId="551595A4" w14:textId="77777777" w:rsidR="00000000" w:rsidRDefault="00C1661D">
            <w:pPr>
              <w:spacing w:after="100"/>
              <w:rPr>
                <w:rFonts w:eastAsia="Times New Roman"/>
              </w:rPr>
            </w:pPr>
            <w:r>
              <w:rPr>
                <w:rFonts w:eastAsia="Times New Roman"/>
                <w:color w:val="000000"/>
                <w:sz w:val="20"/>
                <w:szCs w:val="20"/>
              </w:rPr>
              <w:t xml:space="preserve"> Other current liabilities </w:t>
            </w:r>
          </w:p>
        </w:tc>
        <w:tc>
          <w:tcPr>
            <w:tcW w:w="0" w:type="auto"/>
            <w:gridSpan w:val="2"/>
            <w:shd w:val="clear" w:color="auto" w:fill="CCEEFF"/>
            <w:tcMar>
              <w:top w:w="30" w:type="dxa"/>
              <w:left w:w="20" w:type="dxa"/>
              <w:bottom w:w="30" w:type="dxa"/>
              <w:right w:w="0" w:type="dxa"/>
            </w:tcMar>
            <w:vAlign w:val="bottom"/>
            <w:hideMark/>
          </w:tcPr>
          <w:p w14:paraId="381A9204" w14:textId="77777777" w:rsidR="00000000" w:rsidRDefault="00C1661D">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14:paraId="6E606A55" w14:textId="77777777" w:rsidR="00000000" w:rsidRDefault="00C1661D">
            <w:pPr>
              <w:spacing w:after="100"/>
              <w:jc w:val="right"/>
              <w:rPr>
                <w:rFonts w:eastAsia="Times New Roman"/>
              </w:rPr>
            </w:pPr>
          </w:p>
        </w:tc>
      </w:tr>
      <w:tr w:rsidR="00000000" w14:paraId="12E93851" w14:textId="77777777">
        <w:tc>
          <w:tcPr>
            <w:tcW w:w="0" w:type="auto"/>
            <w:gridSpan w:val="3"/>
            <w:shd w:val="clear" w:color="auto" w:fill="FFFFFF"/>
            <w:tcMar>
              <w:top w:w="30" w:type="dxa"/>
              <w:left w:w="515" w:type="dxa"/>
              <w:bottom w:w="30" w:type="dxa"/>
              <w:right w:w="20" w:type="dxa"/>
            </w:tcMar>
            <w:vAlign w:val="bottom"/>
            <w:hideMark/>
          </w:tcPr>
          <w:p w14:paraId="3275A580" w14:textId="77777777" w:rsidR="00000000" w:rsidRDefault="00C1661D">
            <w:pPr>
              <w:spacing w:after="100"/>
              <w:rPr>
                <w:rFonts w:eastAsia="Times New Roman"/>
              </w:rPr>
            </w:pPr>
            <w:r>
              <w:rPr>
                <w:rFonts w:eastAsia="Times New Roman"/>
                <w:color w:val="000000"/>
                <w:sz w:val="20"/>
                <w:szCs w:val="20"/>
              </w:rPr>
              <w:t xml:space="preserve"> Long-term debt </w:t>
            </w:r>
          </w:p>
        </w:tc>
        <w:tc>
          <w:tcPr>
            <w:tcW w:w="0" w:type="auto"/>
            <w:gridSpan w:val="2"/>
            <w:shd w:val="clear" w:color="auto" w:fill="FFFFFF"/>
            <w:tcMar>
              <w:top w:w="30" w:type="dxa"/>
              <w:left w:w="20" w:type="dxa"/>
              <w:bottom w:w="30" w:type="dxa"/>
              <w:right w:w="0" w:type="dxa"/>
            </w:tcMar>
            <w:vAlign w:val="bottom"/>
            <w:hideMark/>
          </w:tcPr>
          <w:p w14:paraId="665AE2A2" w14:textId="77777777" w:rsidR="00000000" w:rsidRDefault="00C1661D">
            <w:pPr>
              <w:spacing w:after="100"/>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14:paraId="47B55777" w14:textId="77777777" w:rsidR="00000000" w:rsidRDefault="00C1661D">
            <w:pPr>
              <w:spacing w:after="100"/>
              <w:jc w:val="right"/>
              <w:rPr>
                <w:rFonts w:eastAsia="Times New Roman"/>
              </w:rPr>
            </w:pPr>
          </w:p>
        </w:tc>
      </w:tr>
      <w:tr w:rsidR="00000000" w14:paraId="45EFA304" w14:textId="77777777">
        <w:tc>
          <w:tcPr>
            <w:tcW w:w="0" w:type="auto"/>
            <w:gridSpan w:val="3"/>
            <w:shd w:val="clear" w:color="auto" w:fill="CCEEFF"/>
            <w:tcMar>
              <w:top w:w="30" w:type="dxa"/>
              <w:left w:w="515" w:type="dxa"/>
              <w:bottom w:w="30" w:type="dxa"/>
              <w:right w:w="20" w:type="dxa"/>
            </w:tcMar>
            <w:vAlign w:val="bottom"/>
            <w:hideMark/>
          </w:tcPr>
          <w:p w14:paraId="182224DD" w14:textId="77777777" w:rsidR="00000000" w:rsidRDefault="00C1661D">
            <w:pPr>
              <w:spacing w:after="100"/>
              <w:rPr>
                <w:rFonts w:eastAsia="Times New Roman"/>
              </w:rPr>
            </w:pPr>
            <w:r>
              <w:rPr>
                <w:rFonts w:eastAsia="Times New Roman"/>
                <w:color w:val="000000"/>
                <w:sz w:val="20"/>
                <w:szCs w:val="20"/>
              </w:rPr>
              <w:t xml:space="preserve">Pension and other postretirement benefit obligation </w:t>
            </w:r>
          </w:p>
        </w:tc>
        <w:tc>
          <w:tcPr>
            <w:tcW w:w="0" w:type="auto"/>
            <w:gridSpan w:val="2"/>
            <w:shd w:val="clear" w:color="auto" w:fill="CCEEFF"/>
            <w:tcMar>
              <w:top w:w="30" w:type="dxa"/>
              <w:left w:w="20" w:type="dxa"/>
              <w:bottom w:w="30" w:type="dxa"/>
              <w:right w:w="0" w:type="dxa"/>
            </w:tcMar>
            <w:vAlign w:val="bottom"/>
            <w:hideMark/>
          </w:tcPr>
          <w:p w14:paraId="70ECF6EB" w14:textId="77777777" w:rsidR="00000000" w:rsidRDefault="00C1661D">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14:paraId="4DC97DE5" w14:textId="77777777" w:rsidR="00000000" w:rsidRDefault="00C1661D">
            <w:pPr>
              <w:spacing w:after="100"/>
              <w:jc w:val="right"/>
              <w:rPr>
                <w:rFonts w:eastAsia="Times New Roman"/>
              </w:rPr>
            </w:pPr>
          </w:p>
        </w:tc>
      </w:tr>
      <w:tr w:rsidR="00000000" w14:paraId="1023A308" w14:textId="77777777">
        <w:tc>
          <w:tcPr>
            <w:tcW w:w="0" w:type="auto"/>
            <w:gridSpan w:val="3"/>
            <w:shd w:val="clear" w:color="auto" w:fill="FFFFFF"/>
            <w:tcMar>
              <w:top w:w="30" w:type="dxa"/>
              <w:left w:w="515" w:type="dxa"/>
              <w:bottom w:w="30" w:type="dxa"/>
              <w:right w:w="20" w:type="dxa"/>
            </w:tcMar>
            <w:vAlign w:val="bottom"/>
            <w:hideMark/>
          </w:tcPr>
          <w:p w14:paraId="154DAEB7" w14:textId="77777777" w:rsidR="00000000" w:rsidRDefault="00C1661D">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60346949" w14:textId="77777777" w:rsidR="00000000" w:rsidRDefault="00C1661D">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55B8084F" w14:textId="77777777" w:rsidR="00000000" w:rsidRDefault="00C1661D">
            <w:pPr>
              <w:spacing w:after="100"/>
              <w:jc w:val="right"/>
              <w:rPr>
                <w:rFonts w:eastAsia="Times New Roman"/>
              </w:rPr>
            </w:pPr>
          </w:p>
        </w:tc>
      </w:tr>
      <w:tr w:rsidR="00000000" w14:paraId="05F92506" w14:textId="77777777">
        <w:tc>
          <w:tcPr>
            <w:tcW w:w="0" w:type="auto"/>
            <w:gridSpan w:val="3"/>
            <w:shd w:val="clear" w:color="auto" w:fill="CCEEFF"/>
            <w:tcMar>
              <w:top w:w="30" w:type="dxa"/>
              <w:left w:w="515" w:type="dxa"/>
              <w:bottom w:w="30" w:type="dxa"/>
              <w:right w:w="20" w:type="dxa"/>
            </w:tcMar>
            <w:vAlign w:val="bottom"/>
            <w:hideMark/>
          </w:tcPr>
          <w:p w14:paraId="423225B3" w14:textId="77777777" w:rsidR="00000000" w:rsidRDefault="00C1661D">
            <w:pPr>
              <w:spacing w:after="100"/>
              <w:rPr>
                <w:rFonts w:eastAsia="Times New Roman"/>
              </w:rPr>
            </w:pPr>
            <w:r>
              <w:rPr>
                <w:rFonts w:eastAsia="Times New Roman"/>
                <w:color w:val="000000"/>
                <w:sz w:val="20"/>
                <w:szCs w:val="20"/>
              </w:rPr>
              <w:t> </w:t>
            </w:r>
            <w:r>
              <w:rPr>
                <w:rFonts w:eastAsia="Times New Roman"/>
                <w:color w:val="000000"/>
                <w:sz w:val="20"/>
                <w:szCs w:val="20"/>
              </w:rPr>
              <w:t xml:space="preserve">Other noncurrent liabilities </w:t>
            </w:r>
          </w:p>
        </w:tc>
        <w:tc>
          <w:tcPr>
            <w:tcW w:w="0" w:type="auto"/>
            <w:gridSpan w:val="2"/>
            <w:shd w:val="clear" w:color="auto" w:fill="CCEEFF"/>
            <w:tcMar>
              <w:top w:w="30" w:type="dxa"/>
              <w:left w:w="20" w:type="dxa"/>
              <w:bottom w:w="30" w:type="dxa"/>
              <w:right w:w="0" w:type="dxa"/>
            </w:tcMar>
            <w:vAlign w:val="bottom"/>
            <w:hideMark/>
          </w:tcPr>
          <w:p w14:paraId="18DD1BEC" w14:textId="77777777" w:rsidR="00000000" w:rsidRDefault="00C1661D">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14:paraId="7584E2AE" w14:textId="77777777" w:rsidR="00000000" w:rsidRDefault="00C1661D">
            <w:pPr>
              <w:spacing w:after="100"/>
              <w:jc w:val="right"/>
              <w:rPr>
                <w:rFonts w:eastAsia="Times New Roman"/>
              </w:rPr>
            </w:pPr>
          </w:p>
        </w:tc>
      </w:tr>
      <w:tr w:rsidR="00000000" w14:paraId="045469FE" w14:textId="77777777">
        <w:tc>
          <w:tcPr>
            <w:tcW w:w="0" w:type="auto"/>
            <w:gridSpan w:val="3"/>
            <w:shd w:val="clear" w:color="auto" w:fill="FFFFFF"/>
            <w:tcMar>
              <w:top w:w="30" w:type="dxa"/>
              <w:left w:w="20" w:type="dxa"/>
              <w:bottom w:w="30" w:type="dxa"/>
              <w:right w:w="20" w:type="dxa"/>
            </w:tcMar>
            <w:vAlign w:val="bottom"/>
            <w:hideMark/>
          </w:tcPr>
          <w:p w14:paraId="420E1BBD" w14:textId="77777777" w:rsidR="00000000" w:rsidRDefault="00C1661D">
            <w:pPr>
              <w:spacing w:after="100"/>
              <w:rPr>
                <w:rFonts w:eastAsia="Times New Roman"/>
              </w:rPr>
            </w:pPr>
            <w:r>
              <w:rPr>
                <w:rFonts w:eastAsia="Times New Roman"/>
                <w:color w:val="000000"/>
                <w:sz w:val="20"/>
                <w:szCs w:val="20"/>
              </w:rPr>
              <w:t>Total liabilities assumed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4B033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C741DB" w14:textId="77777777" w:rsidR="00000000" w:rsidRDefault="00C1661D">
            <w:pPr>
              <w:spacing w:after="100"/>
              <w:jc w:val="right"/>
              <w:rPr>
                <w:rFonts w:eastAsia="Times New Roman"/>
              </w:rPr>
            </w:pPr>
            <w:r>
              <w:rPr>
                <w:rFonts w:eastAsia="Times New Roman"/>
                <w:color w:val="000000"/>
                <w:sz w:val="20"/>
                <w:szCs w:val="20"/>
              </w:rPr>
              <w:t>374 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361F1D" w14:textId="77777777" w:rsidR="00000000" w:rsidRDefault="00C1661D">
            <w:pPr>
              <w:spacing w:after="100"/>
              <w:jc w:val="right"/>
              <w:rPr>
                <w:rFonts w:eastAsia="Times New Roman"/>
              </w:rPr>
            </w:pPr>
          </w:p>
        </w:tc>
      </w:tr>
      <w:tr w:rsidR="00000000" w14:paraId="0586103D" w14:textId="77777777">
        <w:tc>
          <w:tcPr>
            <w:tcW w:w="0" w:type="auto"/>
            <w:gridSpan w:val="3"/>
            <w:shd w:val="clear" w:color="auto" w:fill="CCEEFF"/>
            <w:tcMar>
              <w:top w:w="30" w:type="dxa"/>
              <w:left w:w="515" w:type="dxa"/>
              <w:bottom w:w="30" w:type="dxa"/>
              <w:right w:w="20" w:type="dxa"/>
            </w:tcMar>
            <w:vAlign w:val="bottom"/>
            <w:hideMark/>
          </w:tcPr>
          <w:p w14:paraId="3572E035" w14:textId="77777777" w:rsidR="00000000" w:rsidRDefault="00C1661D">
            <w:pPr>
              <w:spacing w:after="100"/>
              <w:rPr>
                <w:rFonts w:eastAsia="Times New Roman"/>
              </w:rPr>
            </w:pPr>
            <w:r>
              <w:rPr>
                <w:rFonts w:eastAsia="Times New Roman"/>
                <w:color w:val="000000"/>
                <w:sz w:val="20"/>
                <w:szCs w:val="20"/>
              </w:rPr>
              <w:t>Goodwill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102E2B" w14:textId="77777777" w:rsidR="00000000" w:rsidRDefault="00C1661D">
            <w:pPr>
              <w:spacing w:after="100"/>
              <w:jc w:val="right"/>
              <w:rPr>
                <w:rFonts w:eastAsia="Times New Roman"/>
              </w:rPr>
            </w:pPr>
            <w:r>
              <w:rPr>
                <w:rFonts w:eastAsia="Times New Roman"/>
                <w:color w:val="000000"/>
                <w:sz w:val="20"/>
                <w:szCs w:val="20"/>
              </w:rPr>
              <w:t>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C7E416" w14:textId="77777777" w:rsidR="00000000" w:rsidRDefault="00C1661D">
            <w:pPr>
              <w:spacing w:after="100"/>
              <w:jc w:val="right"/>
              <w:rPr>
                <w:rFonts w:eastAsia="Times New Roman"/>
              </w:rPr>
            </w:pPr>
          </w:p>
        </w:tc>
      </w:tr>
      <w:tr w:rsidR="00000000" w14:paraId="61C6F741" w14:textId="77777777">
        <w:tc>
          <w:tcPr>
            <w:tcW w:w="0" w:type="auto"/>
            <w:gridSpan w:val="3"/>
            <w:shd w:val="clear" w:color="auto" w:fill="FFFFFF"/>
            <w:tcMar>
              <w:top w:w="30" w:type="dxa"/>
              <w:left w:w="20" w:type="dxa"/>
              <w:bottom w:w="30" w:type="dxa"/>
              <w:right w:w="20" w:type="dxa"/>
            </w:tcMar>
            <w:vAlign w:val="bottom"/>
            <w:hideMark/>
          </w:tcPr>
          <w:p w14:paraId="0329AB89" w14:textId="77777777" w:rsidR="00000000" w:rsidRDefault="00C1661D">
            <w:pPr>
              <w:spacing w:after="100"/>
              <w:rPr>
                <w:rFonts w:eastAsia="Times New Roman"/>
              </w:rPr>
            </w:pPr>
            <w:r>
              <w:rPr>
                <w:rFonts w:eastAsia="Times New Roman"/>
                <w:color w:val="000000"/>
                <w:sz w:val="20"/>
                <w:szCs w:val="20"/>
              </w:rPr>
              <w:t>Net consideration transferred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A66329"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A37052C" w14:textId="77777777" w:rsidR="00000000" w:rsidRDefault="00C1661D">
            <w:pPr>
              <w:spacing w:after="100"/>
              <w:jc w:val="right"/>
              <w:rPr>
                <w:rFonts w:eastAsia="Times New Roman"/>
              </w:rPr>
            </w:pPr>
            <w:r>
              <w:rPr>
                <w:rFonts w:eastAsia="Times New Roman"/>
                <w:color w:val="000000"/>
                <w:sz w:val="20"/>
                <w:szCs w:val="20"/>
              </w:rPr>
              <w:t>400 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CE3B54" w14:textId="77777777" w:rsidR="00000000" w:rsidRDefault="00C1661D">
            <w:pPr>
              <w:spacing w:after="100"/>
              <w:jc w:val="right"/>
              <w:rPr>
                <w:rFonts w:eastAsia="Times New Roman"/>
              </w:rPr>
            </w:pPr>
          </w:p>
        </w:tc>
      </w:tr>
    </w:tbl>
    <w:p w14:paraId="29086EA1" w14:textId="77777777" w:rsidR="00000000" w:rsidRDefault="00C1661D">
      <w:pPr>
        <w:jc w:val="both"/>
        <w:rPr>
          <w:rFonts w:eastAsia="Times New Roman"/>
        </w:rPr>
      </w:pPr>
    </w:p>
    <w:p w14:paraId="4388CD30" w14:textId="77777777" w:rsidR="00000000" w:rsidRDefault="00C1661D">
      <w:pPr>
        <w:jc w:val="both"/>
        <w:rPr>
          <w:rFonts w:eastAsia="Times New Roman"/>
        </w:rPr>
      </w:pPr>
      <w:r>
        <w:rPr>
          <w:rFonts w:eastAsia="Times New Roman"/>
          <w:color w:val="000000"/>
          <w:sz w:val="20"/>
          <w:szCs w:val="20"/>
        </w:rPr>
        <w:t>Mountaineer is a regulated entity which accounts for the financial effects of regulation in accordance with ASC 980. The effects of regulation can impact the fair value of certain assets and liabilities acquired, and as such, the measurement of the fair va</w:t>
      </w:r>
      <w:r>
        <w:rPr>
          <w:rFonts w:eastAsia="Times New Roman"/>
          <w:color w:val="000000"/>
          <w:sz w:val="20"/>
          <w:szCs w:val="20"/>
        </w:rPr>
        <w:t>lue of regulated property assets using the predecessor’s carrying value is generally accepted since regulation attaches to the assets and regulation is so pervasive that the regulation extends to the individual assets. In certain other instances where asse</w:t>
      </w:r>
      <w:r>
        <w:rPr>
          <w:rFonts w:eastAsia="Times New Roman"/>
          <w:color w:val="000000"/>
          <w:sz w:val="20"/>
          <w:szCs w:val="20"/>
        </w:rPr>
        <w:t>ts or liabilities are subject to rate recovery, we recorded fair value adjustments to such assets and liabilities as regulatory assets and liabilities.</w:t>
      </w:r>
    </w:p>
    <w:p w14:paraId="723474D7" w14:textId="77777777" w:rsidR="00000000" w:rsidRDefault="00C1661D">
      <w:pPr>
        <w:jc w:val="both"/>
        <w:rPr>
          <w:rFonts w:eastAsia="Times New Roman"/>
        </w:rPr>
      </w:pPr>
      <w:r>
        <w:rPr>
          <w:rFonts w:eastAsia="Times New Roman"/>
          <w:color w:val="000000"/>
          <w:sz w:val="20"/>
          <w:szCs w:val="20"/>
        </w:rPr>
        <w:t>The excess of the purchase price for the Mountaineer Acquisition over the fair values of the assets acqu</w:t>
      </w:r>
      <w:r>
        <w:rPr>
          <w:rFonts w:eastAsia="Times New Roman"/>
          <w:color w:val="000000"/>
          <w:sz w:val="20"/>
          <w:szCs w:val="20"/>
        </w:rPr>
        <w:t>ired and liabilities assumed has been reflected as goodwill, assigned to the Utilities reportable segment. Goodwill is attributable to the assembled workforce of Mountaineer, planned customer growth and planned growth in rate base through continued investm</w:t>
      </w:r>
      <w:r>
        <w:rPr>
          <w:rFonts w:eastAsia="Times New Roman"/>
          <w:color w:val="000000"/>
          <w:sz w:val="20"/>
          <w:szCs w:val="20"/>
        </w:rPr>
        <w:t>ent in utility infrastructure. The goodwill recognized from the Mountaineer Acquisition is not expected to be deductible for income tax purposes</w:t>
      </w:r>
      <w:r>
        <w:rPr>
          <w:rFonts w:eastAsia="Times New Roman"/>
          <w:color w:val="000000"/>
        </w:rPr>
        <w:t>.</w:t>
      </w:r>
    </w:p>
    <w:p w14:paraId="6173441B" w14:textId="77777777" w:rsidR="00000000" w:rsidRDefault="00C1661D">
      <w:pPr>
        <w:jc w:val="both"/>
        <w:rPr>
          <w:rFonts w:eastAsia="Times New Roman"/>
        </w:rPr>
      </w:pPr>
    </w:p>
    <w:p w14:paraId="1E089E25" w14:textId="77777777" w:rsidR="00000000" w:rsidRDefault="00C1661D">
      <w:pPr>
        <w:jc w:val="both"/>
        <w:rPr>
          <w:rFonts w:eastAsia="Times New Roman"/>
        </w:rPr>
      </w:pPr>
      <w:r>
        <w:rPr>
          <w:rFonts w:eastAsia="Times New Roman"/>
          <w:color w:val="000000"/>
          <w:sz w:val="20"/>
          <w:szCs w:val="20"/>
        </w:rPr>
        <w:t>The Company recognized $13 of direct transaction-related costs associated with the Mountaineer Acquisition d</w:t>
      </w:r>
      <w:r>
        <w:rPr>
          <w:rFonts w:eastAsia="Times New Roman"/>
          <w:color w:val="000000"/>
          <w:sz w:val="20"/>
          <w:szCs w:val="20"/>
        </w:rPr>
        <w:t>uring Fiscal 2021, which costs are reflected in “Operating and administrative expenses” on the 2021 Consolidated Statement of Income. The Mountaineer Acquisition did not have a material impact on the Company’s revenues or net income attributable to UGI for</w:t>
      </w:r>
      <w:r>
        <w:rPr>
          <w:rFonts w:eastAsia="Times New Roman"/>
          <w:color w:val="000000"/>
          <w:sz w:val="20"/>
          <w:szCs w:val="20"/>
        </w:rPr>
        <w:t xml:space="preserve"> Fiscal 2021.</w:t>
      </w:r>
      <w:r>
        <w:rPr>
          <w:rFonts w:eastAsia="Times New Roman"/>
          <w:color w:val="000000"/>
        </w:rPr>
        <w:t xml:space="preserve"> </w:t>
      </w:r>
      <w:r>
        <w:rPr>
          <w:rFonts w:eastAsia="Times New Roman"/>
          <w:color w:val="000000"/>
          <w:sz w:val="20"/>
          <w:szCs w:val="20"/>
        </w:rPr>
        <w:t>In addition, the impact of the Mountaineer Acquisition on a pro forma basis as if the Mountaineer Acquisition had occurred on October 1, 2019 was not material to the Company’s revenues or net income for Fiscal 2021 and Fiscal 2020</w:t>
      </w:r>
      <w:r>
        <w:rPr>
          <w:rFonts w:eastAsia="Times New Roman"/>
          <w:color w:val="000000"/>
        </w:rPr>
        <w:t>.</w:t>
      </w:r>
    </w:p>
    <w:p w14:paraId="4BA7BF37" w14:textId="77777777" w:rsidR="00000000" w:rsidRDefault="00C1661D">
      <w:pPr>
        <w:jc w:val="both"/>
        <w:rPr>
          <w:rFonts w:eastAsia="Times New Roman"/>
        </w:rPr>
      </w:pPr>
    </w:p>
    <w:p w14:paraId="7D5F8FA5" w14:textId="77777777" w:rsidR="00000000" w:rsidRDefault="00C1661D">
      <w:pPr>
        <w:jc w:val="both"/>
        <w:rPr>
          <w:rFonts w:eastAsia="Times New Roman"/>
        </w:rPr>
      </w:pPr>
      <w:r>
        <w:rPr>
          <w:rFonts w:eastAsia="Times New Roman"/>
          <w:b/>
          <w:bCs/>
          <w:color w:val="000000"/>
          <w:sz w:val="20"/>
          <w:szCs w:val="20"/>
        </w:rPr>
        <w:t>Other Ac</w:t>
      </w:r>
      <w:r>
        <w:rPr>
          <w:rFonts w:eastAsia="Times New Roman"/>
          <w:b/>
          <w:bCs/>
          <w:color w:val="000000"/>
          <w:sz w:val="20"/>
          <w:szCs w:val="20"/>
        </w:rPr>
        <w:t>quisitions</w:t>
      </w:r>
    </w:p>
    <w:p w14:paraId="5616B802" w14:textId="77777777" w:rsidR="00000000" w:rsidRDefault="00C1661D">
      <w:pPr>
        <w:jc w:val="both"/>
        <w:rPr>
          <w:rFonts w:eastAsia="Times New Roman"/>
        </w:rPr>
      </w:pPr>
    </w:p>
    <w:p w14:paraId="409E035C" w14:textId="77777777" w:rsidR="00000000" w:rsidRDefault="00C1661D">
      <w:pPr>
        <w:jc w:val="both"/>
        <w:rPr>
          <w:rFonts w:eastAsia="Times New Roman"/>
        </w:rPr>
      </w:pPr>
      <w:r>
        <w:rPr>
          <w:rFonts w:eastAsia="Times New Roman"/>
          <w:color w:val="000000"/>
          <w:sz w:val="20"/>
          <w:szCs w:val="20"/>
        </w:rPr>
        <w:t>During Fiscal 2021, UGI International acquired several LPG retail businesses and an energy marketing business in Europe. During Fiscal 2020, Energy Services acquired GHI, a Houston, Texas-based renewable natural gas company currently doing bus</w:t>
      </w:r>
      <w:r>
        <w:rPr>
          <w:rFonts w:eastAsia="Times New Roman"/>
          <w:color w:val="000000"/>
          <w:sz w:val="20"/>
          <w:szCs w:val="20"/>
        </w:rPr>
        <w:t xml:space="preserve">iness in California. </w:t>
      </w:r>
    </w:p>
    <w:p w14:paraId="08F3CA13" w14:textId="77777777" w:rsidR="00000000" w:rsidRDefault="00C1661D">
      <w:pPr>
        <w:jc w:val="both"/>
        <w:rPr>
          <w:rFonts w:eastAsia="Times New Roman"/>
        </w:rPr>
      </w:pPr>
    </w:p>
    <w:p w14:paraId="0B9BF2BA" w14:textId="77777777" w:rsidR="00000000" w:rsidRDefault="00C1661D">
      <w:pPr>
        <w:jc w:val="center"/>
        <w:divId w:val="410352601"/>
        <w:rPr>
          <w:rFonts w:eastAsia="Times New Roman"/>
        </w:rPr>
      </w:pPr>
      <w:r>
        <w:rPr>
          <w:rFonts w:eastAsia="Times New Roman"/>
          <w:color w:val="000000"/>
          <w:sz w:val="20"/>
          <w:szCs w:val="20"/>
        </w:rPr>
        <w:t>F-25</w:t>
      </w:r>
    </w:p>
    <w:p w14:paraId="78BB8968" w14:textId="77777777" w:rsidR="00000000" w:rsidRDefault="00C1661D">
      <w:pPr>
        <w:rPr>
          <w:rFonts w:eastAsia="Times New Roman"/>
        </w:rPr>
      </w:pPr>
      <w:r>
        <w:rPr>
          <w:rFonts w:eastAsia="Times New Roman"/>
        </w:rPr>
        <w:pict w14:anchorId="1941E8E7">
          <v:rect id="_x0000_i1138" style="width:0;height:1.5pt" o:hralign="center" o:hrstd="t" o:hr="t" fillcolor="#a0a0a0" stroked="f"/>
        </w:pict>
      </w:r>
    </w:p>
    <w:p w14:paraId="4D9351B1" w14:textId="77777777" w:rsidR="00000000" w:rsidRDefault="00C1661D">
      <w:pPr>
        <w:divId w:val="2080323224"/>
        <w:rPr>
          <w:rFonts w:eastAsia="Times New Roman"/>
        </w:rPr>
      </w:pPr>
      <w:hyperlink w:anchor="i3850c3c6c0104e42b9951aac2f16098a_7" w:history="1">
        <w:r>
          <w:rPr>
            <w:rStyle w:val="a3"/>
            <w:rFonts w:eastAsia="Times New Roman"/>
            <w:sz w:val="20"/>
            <w:szCs w:val="20"/>
          </w:rPr>
          <w:t>Table of Contents</w:t>
        </w:r>
      </w:hyperlink>
    </w:p>
    <w:p w14:paraId="27B1D755" w14:textId="77777777" w:rsidR="00000000" w:rsidRDefault="00C1661D">
      <w:pPr>
        <w:divId w:val="158229577"/>
        <w:rPr>
          <w:rFonts w:eastAsia="Times New Roman"/>
        </w:rPr>
      </w:pPr>
      <w:r>
        <w:rPr>
          <w:rFonts w:eastAsia="Times New Roman"/>
          <w:b/>
          <w:bCs/>
          <w:color w:val="000000"/>
          <w:sz w:val="20"/>
          <w:szCs w:val="20"/>
        </w:rPr>
        <w:t>UGI Corporation and Subsidiaries</w:t>
      </w:r>
    </w:p>
    <w:p w14:paraId="6C9E9E29" w14:textId="77777777" w:rsidR="00000000" w:rsidRDefault="00C1661D">
      <w:pPr>
        <w:divId w:val="1623724403"/>
        <w:rPr>
          <w:rFonts w:eastAsia="Times New Roman"/>
        </w:rPr>
      </w:pPr>
      <w:r>
        <w:rPr>
          <w:rFonts w:eastAsia="Times New Roman"/>
          <w:b/>
          <w:bCs/>
          <w:color w:val="000000"/>
          <w:sz w:val="20"/>
          <w:szCs w:val="20"/>
        </w:rPr>
        <w:t>Notes to Consolidated Financial Statements</w:t>
      </w:r>
    </w:p>
    <w:p w14:paraId="1C267346" w14:textId="77777777" w:rsidR="00000000" w:rsidRDefault="00C1661D">
      <w:pPr>
        <w:divId w:val="1707288055"/>
        <w:rPr>
          <w:rFonts w:eastAsia="Times New Roman"/>
        </w:rPr>
      </w:pPr>
      <w:r>
        <w:rPr>
          <w:rFonts w:eastAsia="Times New Roman"/>
          <w:color w:val="000000"/>
          <w:sz w:val="20"/>
          <w:szCs w:val="20"/>
        </w:rPr>
        <w:t>(Currency in millions, except per share amounts and where indicated otherwise)</w:t>
      </w:r>
    </w:p>
    <w:p w14:paraId="0A20F8F5" w14:textId="77777777" w:rsidR="00000000" w:rsidRDefault="00C1661D">
      <w:pPr>
        <w:jc w:val="both"/>
        <w:rPr>
          <w:rFonts w:eastAsia="Times New Roman"/>
        </w:rPr>
      </w:pPr>
      <w:r>
        <w:rPr>
          <w:rFonts w:eastAsia="Times New Roman"/>
          <w:color w:val="000000"/>
          <w:sz w:val="20"/>
          <w:szCs w:val="20"/>
        </w:rPr>
        <w:t>Total cash paid and liabilities incurred in connection with these acquisitions were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4601"/>
        <w:gridCol w:w="37"/>
        <w:gridCol w:w="36"/>
        <w:gridCol w:w="36"/>
        <w:gridCol w:w="36"/>
        <w:gridCol w:w="36"/>
        <w:gridCol w:w="46"/>
        <w:gridCol w:w="440"/>
        <w:gridCol w:w="36"/>
        <w:gridCol w:w="36"/>
        <w:gridCol w:w="36"/>
        <w:gridCol w:w="121"/>
        <w:gridCol w:w="959"/>
        <w:gridCol w:w="36"/>
        <w:gridCol w:w="220"/>
        <w:gridCol w:w="220"/>
        <w:gridCol w:w="36"/>
        <w:gridCol w:w="36"/>
        <w:gridCol w:w="36"/>
        <w:gridCol w:w="36"/>
        <w:gridCol w:w="36"/>
        <w:gridCol w:w="36"/>
        <w:gridCol w:w="36"/>
        <w:gridCol w:w="36"/>
        <w:gridCol w:w="36"/>
        <w:gridCol w:w="121"/>
        <w:gridCol w:w="818"/>
        <w:gridCol w:w="36"/>
      </w:tblGrid>
      <w:tr w:rsidR="00000000" w14:paraId="37A49390" w14:textId="77777777">
        <w:trPr>
          <w:divId w:val="520969447"/>
          <w:jc w:val="center"/>
        </w:trPr>
        <w:tc>
          <w:tcPr>
            <w:tcW w:w="50" w:type="pct"/>
            <w:vAlign w:val="center"/>
            <w:hideMark/>
          </w:tcPr>
          <w:p w14:paraId="2DFB8F25" w14:textId="77777777" w:rsidR="00000000" w:rsidRDefault="00C1661D">
            <w:pPr>
              <w:jc w:val="both"/>
              <w:rPr>
                <w:rFonts w:eastAsia="Times New Roman"/>
              </w:rPr>
            </w:pPr>
          </w:p>
        </w:tc>
        <w:tc>
          <w:tcPr>
            <w:tcW w:w="3711" w:type="pct"/>
            <w:vAlign w:val="center"/>
            <w:hideMark/>
          </w:tcPr>
          <w:p w14:paraId="26AF4480" w14:textId="77777777" w:rsidR="00000000" w:rsidRDefault="00C1661D">
            <w:pPr>
              <w:spacing w:after="100"/>
              <w:rPr>
                <w:rFonts w:eastAsia="Times New Roman"/>
                <w:sz w:val="20"/>
                <w:szCs w:val="20"/>
              </w:rPr>
            </w:pPr>
          </w:p>
        </w:tc>
        <w:tc>
          <w:tcPr>
            <w:tcW w:w="5" w:type="pct"/>
            <w:vAlign w:val="center"/>
            <w:hideMark/>
          </w:tcPr>
          <w:p w14:paraId="2CE3B5F9" w14:textId="77777777" w:rsidR="00000000" w:rsidRDefault="00C1661D">
            <w:pPr>
              <w:spacing w:after="100"/>
              <w:rPr>
                <w:rFonts w:eastAsia="Times New Roman"/>
                <w:sz w:val="20"/>
                <w:szCs w:val="20"/>
              </w:rPr>
            </w:pPr>
          </w:p>
        </w:tc>
        <w:tc>
          <w:tcPr>
            <w:tcW w:w="5" w:type="pct"/>
            <w:vAlign w:val="center"/>
            <w:hideMark/>
          </w:tcPr>
          <w:p w14:paraId="36C8D245" w14:textId="77777777" w:rsidR="00000000" w:rsidRDefault="00C1661D">
            <w:pPr>
              <w:spacing w:after="100"/>
              <w:rPr>
                <w:rFonts w:eastAsia="Times New Roman"/>
                <w:sz w:val="20"/>
                <w:szCs w:val="20"/>
              </w:rPr>
            </w:pPr>
          </w:p>
        </w:tc>
        <w:tc>
          <w:tcPr>
            <w:tcW w:w="26" w:type="pct"/>
            <w:vAlign w:val="center"/>
            <w:hideMark/>
          </w:tcPr>
          <w:p w14:paraId="51377F7A" w14:textId="77777777" w:rsidR="00000000" w:rsidRDefault="00C1661D">
            <w:pPr>
              <w:spacing w:after="100"/>
              <w:rPr>
                <w:rFonts w:eastAsia="Times New Roman"/>
                <w:sz w:val="20"/>
                <w:szCs w:val="20"/>
              </w:rPr>
            </w:pPr>
          </w:p>
        </w:tc>
        <w:tc>
          <w:tcPr>
            <w:tcW w:w="5" w:type="pct"/>
            <w:vAlign w:val="center"/>
            <w:hideMark/>
          </w:tcPr>
          <w:p w14:paraId="59224010" w14:textId="77777777" w:rsidR="00000000" w:rsidRDefault="00C1661D">
            <w:pPr>
              <w:spacing w:after="100"/>
              <w:rPr>
                <w:rFonts w:eastAsia="Times New Roman"/>
                <w:sz w:val="20"/>
                <w:szCs w:val="20"/>
              </w:rPr>
            </w:pPr>
          </w:p>
        </w:tc>
        <w:tc>
          <w:tcPr>
            <w:tcW w:w="0" w:type="auto"/>
            <w:vAlign w:val="center"/>
            <w:hideMark/>
          </w:tcPr>
          <w:p w14:paraId="1200905D" w14:textId="77777777" w:rsidR="00000000" w:rsidRDefault="00C1661D">
            <w:pPr>
              <w:spacing w:after="100"/>
              <w:rPr>
                <w:rFonts w:eastAsia="Times New Roman"/>
                <w:sz w:val="20"/>
                <w:szCs w:val="20"/>
              </w:rPr>
            </w:pPr>
          </w:p>
        </w:tc>
        <w:tc>
          <w:tcPr>
            <w:tcW w:w="0" w:type="auto"/>
            <w:vAlign w:val="center"/>
            <w:hideMark/>
          </w:tcPr>
          <w:p w14:paraId="3AAEFE80" w14:textId="77777777" w:rsidR="00000000" w:rsidRDefault="00C1661D">
            <w:pPr>
              <w:spacing w:after="100"/>
              <w:rPr>
                <w:rFonts w:eastAsia="Times New Roman"/>
                <w:sz w:val="20"/>
                <w:szCs w:val="20"/>
              </w:rPr>
            </w:pPr>
          </w:p>
        </w:tc>
        <w:tc>
          <w:tcPr>
            <w:tcW w:w="0" w:type="auto"/>
            <w:vAlign w:val="center"/>
            <w:hideMark/>
          </w:tcPr>
          <w:p w14:paraId="66664F9C" w14:textId="77777777" w:rsidR="00000000" w:rsidRDefault="00C1661D">
            <w:pPr>
              <w:spacing w:after="100"/>
              <w:rPr>
                <w:rFonts w:eastAsia="Times New Roman"/>
                <w:sz w:val="20"/>
                <w:szCs w:val="20"/>
              </w:rPr>
            </w:pPr>
          </w:p>
        </w:tc>
        <w:tc>
          <w:tcPr>
            <w:tcW w:w="5" w:type="pct"/>
            <w:vAlign w:val="center"/>
            <w:hideMark/>
          </w:tcPr>
          <w:p w14:paraId="7E090F13" w14:textId="77777777" w:rsidR="00000000" w:rsidRDefault="00C1661D">
            <w:pPr>
              <w:spacing w:after="100"/>
              <w:rPr>
                <w:rFonts w:eastAsia="Times New Roman"/>
                <w:sz w:val="20"/>
                <w:szCs w:val="20"/>
              </w:rPr>
            </w:pPr>
          </w:p>
        </w:tc>
        <w:tc>
          <w:tcPr>
            <w:tcW w:w="19" w:type="pct"/>
            <w:vAlign w:val="center"/>
            <w:hideMark/>
          </w:tcPr>
          <w:p w14:paraId="3C945253" w14:textId="77777777" w:rsidR="00000000" w:rsidRDefault="00C1661D">
            <w:pPr>
              <w:spacing w:after="100"/>
              <w:rPr>
                <w:rFonts w:eastAsia="Times New Roman"/>
                <w:sz w:val="20"/>
                <w:szCs w:val="20"/>
              </w:rPr>
            </w:pPr>
          </w:p>
        </w:tc>
        <w:tc>
          <w:tcPr>
            <w:tcW w:w="5" w:type="pct"/>
            <w:vAlign w:val="center"/>
            <w:hideMark/>
          </w:tcPr>
          <w:p w14:paraId="21270EE6" w14:textId="77777777" w:rsidR="00000000" w:rsidRDefault="00C1661D">
            <w:pPr>
              <w:spacing w:after="100"/>
              <w:rPr>
                <w:rFonts w:eastAsia="Times New Roman"/>
                <w:sz w:val="20"/>
                <w:szCs w:val="20"/>
              </w:rPr>
            </w:pPr>
          </w:p>
        </w:tc>
        <w:tc>
          <w:tcPr>
            <w:tcW w:w="50" w:type="pct"/>
            <w:vAlign w:val="center"/>
            <w:hideMark/>
          </w:tcPr>
          <w:p w14:paraId="727351BD" w14:textId="77777777" w:rsidR="00000000" w:rsidRDefault="00C1661D">
            <w:pPr>
              <w:spacing w:after="100"/>
              <w:rPr>
                <w:rFonts w:eastAsia="Times New Roman"/>
                <w:sz w:val="20"/>
                <w:szCs w:val="20"/>
              </w:rPr>
            </w:pPr>
          </w:p>
        </w:tc>
        <w:tc>
          <w:tcPr>
            <w:tcW w:w="510" w:type="pct"/>
            <w:vAlign w:val="center"/>
            <w:hideMark/>
          </w:tcPr>
          <w:p w14:paraId="4D13A4BD" w14:textId="77777777" w:rsidR="00000000" w:rsidRDefault="00C1661D">
            <w:pPr>
              <w:spacing w:after="100"/>
              <w:rPr>
                <w:rFonts w:eastAsia="Times New Roman"/>
                <w:sz w:val="20"/>
                <w:szCs w:val="20"/>
              </w:rPr>
            </w:pPr>
          </w:p>
        </w:tc>
        <w:tc>
          <w:tcPr>
            <w:tcW w:w="5" w:type="pct"/>
            <w:vAlign w:val="center"/>
            <w:hideMark/>
          </w:tcPr>
          <w:p w14:paraId="05A3C1DA" w14:textId="77777777" w:rsidR="00000000" w:rsidRDefault="00C1661D">
            <w:pPr>
              <w:spacing w:after="100"/>
              <w:rPr>
                <w:rFonts w:eastAsia="Times New Roman"/>
                <w:sz w:val="20"/>
                <w:szCs w:val="20"/>
              </w:rPr>
            </w:pPr>
          </w:p>
        </w:tc>
        <w:tc>
          <w:tcPr>
            <w:tcW w:w="0" w:type="auto"/>
            <w:vAlign w:val="center"/>
            <w:hideMark/>
          </w:tcPr>
          <w:p w14:paraId="76507DD7" w14:textId="77777777" w:rsidR="00000000" w:rsidRDefault="00C1661D">
            <w:pPr>
              <w:spacing w:after="100"/>
              <w:rPr>
                <w:rFonts w:eastAsia="Times New Roman"/>
                <w:sz w:val="20"/>
                <w:szCs w:val="20"/>
              </w:rPr>
            </w:pPr>
          </w:p>
        </w:tc>
        <w:tc>
          <w:tcPr>
            <w:tcW w:w="0" w:type="auto"/>
            <w:vAlign w:val="center"/>
            <w:hideMark/>
          </w:tcPr>
          <w:p w14:paraId="08F8A369" w14:textId="77777777" w:rsidR="00000000" w:rsidRDefault="00C1661D">
            <w:pPr>
              <w:spacing w:after="100"/>
              <w:rPr>
                <w:rFonts w:eastAsia="Times New Roman"/>
                <w:sz w:val="20"/>
                <w:szCs w:val="20"/>
              </w:rPr>
            </w:pPr>
          </w:p>
        </w:tc>
        <w:tc>
          <w:tcPr>
            <w:tcW w:w="0" w:type="auto"/>
            <w:gridSpan w:val="3"/>
            <w:vAlign w:val="center"/>
            <w:hideMark/>
          </w:tcPr>
          <w:p w14:paraId="45A1A1D3" w14:textId="77777777" w:rsidR="00000000" w:rsidRDefault="00C1661D">
            <w:pPr>
              <w:spacing w:after="100"/>
              <w:rPr>
                <w:rFonts w:eastAsia="Times New Roman"/>
                <w:sz w:val="20"/>
                <w:szCs w:val="20"/>
              </w:rPr>
            </w:pPr>
          </w:p>
        </w:tc>
        <w:tc>
          <w:tcPr>
            <w:tcW w:w="0" w:type="auto"/>
            <w:gridSpan w:val="3"/>
            <w:vAlign w:val="center"/>
            <w:hideMark/>
          </w:tcPr>
          <w:p w14:paraId="64C9FBB5" w14:textId="77777777" w:rsidR="00000000" w:rsidRDefault="00C1661D">
            <w:pPr>
              <w:spacing w:after="100"/>
              <w:rPr>
                <w:rFonts w:eastAsia="Times New Roman"/>
                <w:sz w:val="20"/>
                <w:szCs w:val="20"/>
              </w:rPr>
            </w:pPr>
          </w:p>
        </w:tc>
        <w:tc>
          <w:tcPr>
            <w:tcW w:w="5" w:type="pct"/>
            <w:vAlign w:val="center"/>
            <w:hideMark/>
          </w:tcPr>
          <w:p w14:paraId="33CA49B6" w14:textId="77777777" w:rsidR="00000000" w:rsidRDefault="00C1661D">
            <w:pPr>
              <w:spacing w:after="100"/>
              <w:rPr>
                <w:rFonts w:eastAsia="Times New Roman"/>
                <w:sz w:val="20"/>
                <w:szCs w:val="20"/>
              </w:rPr>
            </w:pPr>
          </w:p>
        </w:tc>
        <w:tc>
          <w:tcPr>
            <w:tcW w:w="26" w:type="pct"/>
            <w:vAlign w:val="center"/>
            <w:hideMark/>
          </w:tcPr>
          <w:p w14:paraId="727AA7BA" w14:textId="77777777" w:rsidR="00000000" w:rsidRDefault="00C1661D">
            <w:pPr>
              <w:spacing w:after="100"/>
              <w:rPr>
                <w:rFonts w:eastAsia="Times New Roman"/>
                <w:sz w:val="20"/>
                <w:szCs w:val="20"/>
              </w:rPr>
            </w:pPr>
          </w:p>
        </w:tc>
        <w:tc>
          <w:tcPr>
            <w:tcW w:w="5" w:type="pct"/>
            <w:vAlign w:val="center"/>
            <w:hideMark/>
          </w:tcPr>
          <w:p w14:paraId="668177E3" w14:textId="77777777" w:rsidR="00000000" w:rsidRDefault="00C1661D">
            <w:pPr>
              <w:spacing w:after="100"/>
              <w:rPr>
                <w:rFonts w:eastAsia="Times New Roman"/>
                <w:sz w:val="20"/>
                <w:szCs w:val="20"/>
              </w:rPr>
            </w:pPr>
          </w:p>
        </w:tc>
        <w:tc>
          <w:tcPr>
            <w:tcW w:w="50" w:type="pct"/>
            <w:vAlign w:val="center"/>
            <w:hideMark/>
          </w:tcPr>
          <w:p w14:paraId="0FE14045" w14:textId="77777777" w:rsidR="00000000" w:rsidRDefault="00C1661D">
            <w:pPr>
              <w:spacing w:after="100"/>
              <w:rPr>
                <w:rFonts w:eastAsia="Times New Roman"/>
                <w:sz w:val="20"/>
                <w:szCs w:val="20"/>
              </w:rPr>
            </w:pPr>
          </w:p>
        </w:tc>
        <w:tc>
          <w:tcPr>
            <w:tcW w:w="510" w:type="pct"/>
            <w:vAlign w:val="center"/>
            <w:hideMark/>
          </w:tcPr>
          <w:p w14:paraId="4F6B53C2" w14:textId="77777777" w:rsidR="00000000" w:rsidRDefault="00C1661D">
            <w:pPr>
              <w:spacing w:after="100"/>
              <w:rPr>
                <w:rFonts w:eastAsia="Times New Roman"/>
                <w:sz w:val="20"/>
                <w:szCs w:val="20"/>
              </w:rPr>
            </w:pPr>
          </w:p>
        </w:tc>
        <w:tc>
          <w:tcPr>
            <w:tcW w:w="5" w:type="pct"/>
            <w:vAlign w:val="center"/>
            <w:hideMark/>
          </w:tcPr>
          <w:p w14:paraId="63791842" w14:textId="77777777" w:rsidR="00000000" w:rsidRDefault="00C1661D">
            <w:pPr>
              <w:spacing w:after="100"/>
              <w:rPr>
                <w:rFonts w:eastAsia="Times New Roman"/>
                <w:sz w:val="20"/>
                <w:szCs w:val="20"/>
              </w:rPr>
            </w:pPr>
          </w:p>
        </w:tc>
      </w:tr>
      <w:tr w:rsidR="00000000" w14:paraId="7AE645CF" w14:textId="77777777">
        <w:trPr>
          <w:divId w:val="520969447"/>
          <w:jc w:val="center"/>
        </w:trPr>
        <w:tc>
          <w:tcPr>
            <w:tcW w:w="0" w:type="auto"/>
            <w:gridSpan w:val="3"/>
            <w:tcMar>
              <w:top w:w="0" w:type="dxa"/>
              <w:left w:w="20" w:type="dxa"/>
              <w:bottom w:w="0" w:type="dxa"/>
              <w:right w:w="20" w:type="dxa"/>
            </w:tcMar>
            <w:vAlign w:val="center"/>
            <w:hideMark/>
          </w:tcPr>
          <w:p w14:paraId="3FBDD141"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119190" w14:textId="77777777" w:rsidR="00000000" w:rsidRDefault="00C1661D">
            <w:pPr>
              <w:spacing w:after="100"/>
              <w:rPr>
                <w:rFonts w:eastAsia="Times New Roman"/>
                <w:sz w:val="20"/>
                <w:szCs w:val="20"/>
              </w:rPr>
            </w:pPr>
          </w:p>
        </w:tc>
        <w:tc>
          <w:tcPr>
            <w:tcW w:w="0" w:type="auto"/>
            <w:vAlign w:val="center"/>
            <w:hideMark/>
          </w:tcPr>
          <w:p w14:paraId="6D0A312E" w14:textId="77777777" w:rsidR="00000000" w:rsidRDefault="00C1661D">
            <w:pPr>
              <w:spacing w:after="100"/>
              <w:rPr>
                <w:rFonts w:eastAsia="Times New Roman"/>
                <w:sz w:val="20"/>
                <w:szCs w:val="20"/>
              </w:rPr>
            </w:pPr>
          </w:p>
        </w:tc>
        <w:tc>
          <w:tcPr>
            <w:tcW w:w="0" w:type="auto"/>
            <w:tcMar>
              <w:top w:w="0" w:type="dxa"/>
              <w:left w:w="20" w:type="dxa"/>
              <w:bottom w:w="0" w:type="dxa"/>
              <w:right w:w="20" w:type="dxa"/>
            </w:tcMar>
            <w:vAlign w:val="center"/>
            <w:hideMark/>
          </w:tcPr>
          <w:p w14:paraId="3B0D92E5" w14:textId="77777777" w:rsidR="00000000" w:rsidRDefault="00C1661D">
            <w:pPr>
              <w:spacing w:after="100"/>
              <w:rPr>
                <w:rFonts w:eastAsia="Times New Roman"/>
                <w:sz w:val="20"/>
                <w:szCs w:val="20"/>
              </w:rPr>
            </w:pPr>
          </w:p>
        </w:tc>
        <w:tc>
          <w:tcPr>
            <w:tcW w:w="0" w:type="auto"/>
            <w:tcMar>
              <w:top w:w="30" w:type="dxa"/>
              <w:left w:w="20" w:type="dxa"/>
              <w:bottom w:w="30" w:type="dxa"/>
              <w:right w:w="20" w:type="dxa"/>
            </w:tcMar>
            <w:vAlign w:val="bottom"/>
            <w:hideMark/>
          </w:tcPr>
          <w:p w14:paraId="12C9254C"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vAlign w:val="center"/>
            <w:hideMark/>
          </w:tcPr>
          <w:p w14:paraId="49A8A0BC" w14:textId="77777777" w:rsidR="00000000" w:rsidRDefault="00C1661D">
            <w:pPr>
              <w:spacing w:after="100"/>
              <w:jc w:val="center"/>
              <w:rPr>
                <w:rFonts w:eastAsia="Times New Roman"/>
              </w:rPr>
            </w:pPr>
          </w:p>
        </w:tc>
        <w:tc>
          <w:tcPr>
            <w:tcW w:w="0" w:type="auto"/>
            <w:gridSpan w:val="3"/>
            <w:vAlign w:val="center"/>
            <w:hideMark/>
          </w:tcPr>
          <w:p w14:paraId="652B3B1D" w14:textId="77777777" w:rsidR="00000000" w:rsidRDefault="00C1661D">
            <w:pPr>
              <w:spacing w:after="100"/>
              <w:rPr>
                <w:rFonts w:eastAsia="Times New Roman"/>
                <w:sz w:val="20"/>
                <w:szCs w:val="20"/>
              </w:rPr>
            </w:pPr>
          </w:p>
        </w:tc>
        <w:tc>
          <w:tcPr>
            <w:tcW w:w="0" w:type="auto"/>
            <w:gridSpan w:val="2"/>
            <w:tcMar>
              <w:top w:w="30" w:type="dxa"/>
              <w:left w:w="20" w:type="dxa"/>
              <w:bottom w:w="30" w:type="dxa"/>
              <w:right w:w="20" w:type="dxa"/>
            </w:tcMar>
            <w:vAlign w:val="bottom"/>
            <w:hideMark/>
          </w:tcPr>
          <w:p w14:paraId="4687BA2D" w14:textId="77777777" w:rsidR="00000000" w:rsidRDefault="00C1661D">
            <w:pPr>
              <w:spacing w:after="100"/>
              <w:jc w:val="center"/>
              <w:rPr>
                <w:rFonts w:eastAsia="Times New Roman"/>
              </w:rPr>
            </w:pPr>
            <w:r>
              <w:rPr>
                <w:rFonts w:eastAsia="Times New Roman"/>
                <w:color w:val="000000"/>
                <w:sz w:val="20"/>
                <w:szCs w:val="20"/>
              </w:rPr>
              <w:t>2020</w:t>
            </w:r>
          </w:p>
        </w:tc>
        <w:tc>
          <w:tcPr>
            <w:tcW w:w="0" w:type="auto"/>
            <w:vAlign w:val="center"/>
            <w:hideMark/>
          </w:tcPr>
          <w:p w14:paraId="5FFE26BD" w14:textId="77777777" w:rsidR="00000000" w:rsidRDefault="00C1661D">
            <w:pPr>
              <w:spacing w:after="100"/>
              <w:rPr>
                <w:rFonts w:eastAsia="Times New Roman"/>
                <w:sz w:val="20"/>
                <w:szCs w:val="20"/>
              </w:rPr>
            </w:pPr>
          </w:p>
        </w:tc>
        <w:tc>
          <w:tcPr>
            <w:tcW w:w="0" w:type="auto"/>
            <w:vAlign w:val="center"/>
            <w:hideMark/>
          </w:tcPr>
          <w:p w14:paraId="34210B0F" w14:textId="77777777" w:rsidR="00000000" w:rsidRDefault="00C1661D">
            <w:pPr>
              <w:spacing w:after="100"/>
              <w:rPr>
                <w:rFonts w:eastAsia="Times New Roman"/>
                <w:sz w:val="20"/>
                <w:szCs w:val="20"/>
              </w:rPr>
            </w:pPr>
          </w:p>
        </w:tc>
        <w:tc>
          <w:tcPr>
            <w:tcW w:w="0" w:type="auto"/>
            <w:vAlign w:val="center"/>
            <w:hideMark/>
          </w:tcPr>
          <w:p w14:paraId="72B21597" w14:textId="77777777" w:rsidR="00000000" w:rsidRDefault="00C1661D">
            <w:pPr>
              <w:spacing w:after="100"/>
              <w:rPr>
                <w:rFonts w:eastAsia="Times New Roman"/>
                <w:sz w:val="20"/>
                <w:szCs w:val="20"/>
              </w:rPr>
            </w:pPr>
          </w:p>
        </w:tc>
        <w:tc>
          <w:tcPr>
            <w:tcW w:w="0" w:type="auto"/>
            <w:vAlign w:val="center"/>
            <w:hideMark/>
          </w:tcPr>
          <w:p w14:paraId="34F32536" w14:textId="77777777" w:rsidR="00000000" w:rsidRDefault="00C1661D">
            <w:pPr>
              <w:spacing w:after="100"/>
              <w:rPr>
                <w:rFonts w:eastAsia="Times New Roman"/>
                <w:sz w:val="20"/>
                <w:szCs w:val="20"/>
              </w:rPr>
            </w:pPr>
          </w:p>
        </w:tc>
        <w:tc>
          <w:tcPr>
            <w:tcW w:w="0" w:type="auto"/>
            <w:vAlign w:val="center"/>
            <w:hideMark/>
          </w:tcPr>
          <w:p w14:paraId="6EE75D0F" w14:textId="77777777" w:rsidR="00000000" w:rsidRDefault="00C1661D">
            <w:pPr>
              <w:spacing w:after="100"/>
              <w:rPr>
                <w:rFonts w:eastAsia="Times New Roman"/>
                <w:sz w:val="20"/>
                <w:szCs w:val="20"/>
              </w:rPr>
            </w:pPr>
          </w:p>
        </w:tc>
        <w:tc>
          <w:tcPr>
            <w:tcW w:w="0" w:type="auto"/>
            <w:vAlign w:val="center"/>
            <w:hideMark/>
          </w:tcPr>
          <w:p w14:paraId="3CE9FD7D" w14:textId="77777777" w:rsidR="00000000" w:rsidRDefault="00C1661D">
            <w:pPr>
              <w:spacing w:after="100"/>
              <w:rPr>
                <w:rFonts w:eastAsia="Times New Roman"/>
                <w:sz w:val="20"/>
                <w:szCs w:val="20"/>
              </w:rPr>
            </w:pPr>
          </w:p>
        </w:tc>
        <w:tc>
          <w:tcPr>
            <w:tcW w:w="0" w:type="auto"/>
            <w:vAlign w:val="center"/>
            <w:hideMark/>
          </w:tcPr>
          <w:p w14:paraId="77AE73C2" w14:textId="77777777" w:rsidR="00000000" w:rsidRDefault="00C1661D">
            <w:pPr>
              <w:spacing w:after="100"/>
              <w:rPr>
                <w:rFonts w:eastAsia="Times New Roman"/>
                <w:sz w:val="20"/>
                <w:szCs w:val="20"/>
              </w:rPr>
            </w:pPr>
          </w:p>
        </w:tc>
        <w:tc>
          <w:tcPr>
            <w:tcW w:w="0" w:type="auto"/>
            <w:vAlign w:val="center"/>
            <w:hideMark/>
          </w:tcPr>
          <w:p w14:paraId="7A9BC106" w14:textId="77777777" w:rsidR="00000000" w:rsidRDefault="00C1661D">
            <w:pPr>
              <w:spacing w:after="100"/>
              <w:rPr>
                <w:rFonts w:eastAsia="Times New Roman"/>
                <w:sz w:val="20"/>
                <w:szCs w:val="20"/>
              </w:rPr>
            </w:pPr>
          </w:p>
        </w:tc>
        <w:tc>
          <w:tcPr>
            <w:tcW w:w="0" w:type="auto"/>
            <w:vAlign w:val="center"/>
            <w:hideMark/>
          </w:tcPr>
          <w:p w14:paraId="44490495" w14:textId="77777777" w:rsidR="00000000" w:rsidRDefault="00C1661D">
            <w:pPr>
              <w:spacing w:after="100"/>
              <w:rPr>
                <w:rFonts w:eastAsia="Times New Roman"/>
                <w:sz w:val="20"/>
                <w:szCs w:val="20"/>
              </w:rPr>
            </w:pPr>
          </w:p>
        </w:tc>
        <w:tc>
          <w:tcPr>
            <w:tcW w:w="0" w:type="auto"/>
            <w:vAlign w:val="center"/>
            <w:hideMark/>
          </w:tcPr>
          <w:p w14:paraId="40419648" w14:textId="77777777" w:rsidR="00000000" w:rsidRDefault="00C1661D">
            <w:pPr>
              <w:spacing w:after="100"/>
              <w:rPr>
                <w:rFonts w:eastAsia="Times New Roman"/>
                <w:sz w:val="20"/>
                <w:szCs w:val="20"/>
              </w:rPr>
            </w:pPr>
          </w:p>
        </w:tc>
        <w:tc>
          <w:tcPr>
            <w:tcW w:w="0" w:type="auto"/>
            <w:vAlign w:val="center"/>
            <w:hideMark/>
          </w:tcPr>
          <w:p w14:paraId="2F2F0CF1" w14:textId="77777777" w:rsidR="00000000" w:rsidRDefault="00C1661D">
            <w:pPr>
              <w:spacing w:after="100"/>
              <w:rPr>
                <w:rFonts w:eastAsia="Times New Roman"/>
                <w:sz w:val="20"/>
                <w:szCs w:val="20"/>
              </w:rPr>
            </w:pPr>
          </w:p>
        </w:tc>
        <w:tc>
          <w:tcPr>
            <w:tcW w:w="0" w:type="auto"/>
            <w:vAlign w:val="center"/>
            <w:hideMark/>
          </w:tcPr>
          <w:p w14:paraId="3B1049A6" w14:textId="77777777" w:rsidR="00000000" w:rsidRDefault="00C1661D">
            <w:pPr>
              <w:spacing w:after="100"/>
              <w:rPr>
                <w:rFonts w:eastAsia="Times New Roman"/>
                <w:sz w:val="20"/>
                <w:szCs w:val="20"/>
              </w:rPr>
            </w:pPr>
          </w:p>
        </w:tc>
      </w:tr>
      <w:tr w:rsidR="00000000" w14:paraId="37564F26" w14:textId="77777777">
        <w:trPr>
          <w:divId w:val="520969447"/>
          <w:jc w:val="center"/>
        </w:trPr>
        <w:tc>
          <w:tcPr>
            <w:tcW w:w="0" w:type="auto"/>
            <w:gridSpan w:val="3"/>
            <w:tcMar>
              <w:top w:w="0" w:type="dxa"/>
              <w:left w:w="20" w:type="dxa"/>
              <w:bottom w:w="0" w:type="dxa"/>
              <w:right w:w="20" w:type="dxa"/>
            </w:tcMar>
            <w:vAlign w:val="center"/>
            <w:hideMark/>
          </w:tcPr>
          <w:p w14:paraId="6F11149A" w14:textId="77777777" w:rsidR="00000000" w:rsidRDefault="00C1661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D504244" w14:textId="77777777" w:rsidR="00000000" w:rsidRDefault="00C1661D">
            <w:pPr>
              <w:spacing w:after="100"/>
              <w:rPr>
                <w:rFonts w:eastAsia="Times New Roman"/>
                <w:sz w:val="20"/>
                <w:szCs w:val="20"/>
              </w:rPr>
            </w:pPr>
          </w:p>
        </w:tc>
        <w:tc>
          <w:tcPr>
            <w:tcW w:w="0" w:type="auto"/>
            <w:vAlign w:val="center"/>
            <w:hideMark/>
          </w:tcPr>
          <w:p w14:paraId="0B0B2151" w14:textId="77777777" w:rsidR="00000000" w:rsidRDefault="00C1661D">
            <w:pPr>
              <w:spacing w:after="100"/>
              <w:rPr>
                <w:rFonts w:eastAsia="Times New Roman"/>
                <w:sz w:val="20"/>
                <w:szCs w:val="20"/>
              </w:rPr>
            </w:pPr>
          </w:p>
        </w:tc>
        <w:tc>
          <w:tcPr>
            <w:tcW w:w="0" w:type="auto"/>
            <w:vAlign w:val="center"/>
            <w:hideMark/>
          </w:tcPr>
          <w:p w14:paraId="4509E895" w14:textId="77777777" w:rsidR="00000000" w:rsidRDefault="00C1661D">
            <w:pPr>
              <w:spacing w:after="100"/>
              <w:rPr>
                <w:rFonts w:eastAsia="Times New Roman"/>
                <w:sz w:val="20"/>
                <w:szCs w:val="20"/>
              </w:rPr>
            </w:pPr>
          </w:p>
        </w:tc>
        <w:tc>
          <w:tcPr>
            <w:tcW w:w="0" w:type="auto"/>
            <w:vAlign w:val="center"/>
            <w:hideMark/>
          </w:tcPr>
          <w:p w14:paraId="282C72E6"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40A211" w14:textId="77777777" w:rsidR="00000000" w:rsidRDefault="00C1661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6964F13" w14:textId="77777777" w:rsidR="00000000" w:rsidRDefault="00C1661D">
            <w:pPr>
              <w:spacing w:after="100"/>
              <w:jc w:val="center"/>
              <w:rPr>
                <w:rFonts w:eastAsia="Times New Roman"/>
              </w:rPr>
            </w:pPr>
            <w:r>
              <w:rPr>
                <w:rFonts w:eastAsia="Times New Roman"/>
                <w:color w:val="000000"/>
                <w:sz w:val="20"/>
                <w:szCs w:val="20"/>
              </w:rPr>
              <w:t>UGI International</w:t>
            </w:r>
          </w:p>
        </w:tc>
        <w:tc>
          <w:tcPr>
            <w:tcW w:w="0" w:type="auto"/>
            <w:vAlign w:val="center"/>
            <w:hideMark/>
          </w:tcPr>
          <w:p w14:paraId="2F647122" w14:textId="77777777" w:rsidR="00000000" w:rsidRDefault="00C1661D">
            <w:pPr>
              <w:spacing w:after="100"/>
              <w:jc w:val="center"/>
              <w:rPr>
                <w:rFonts w:eastAsia="Times New Roman"/>
              </w:rPr>
            </w:pPr>
          </w:p>
        </w:tc>
        <w:tc>
          <w:tcPr>
            <w:tcW w:w="0" w:type="auto"/>
            <w:vAlign w:val="center"/>
            <w:hideMark/>
          </w:tcPr>
          <w:p w14:paraId="3B54E80A" w14:textId="77777777" w:rsidR="00000000" w:rsidRDefault="00C1661D">
            <w:pPr>
              <w:spacing w:after="100"/>
              <w:rPr>
                <w:rFonts w:eastAsia="Times New Roman"/>
                <w:sz w:val="20"/>
                <w:szCs w:val="20"/>
              </w:rPr>
            </w:pPr>
          </w:p>
        </w:tc>
        <w:tc>
          <w:tcPr>
            <w:tcW w:w="0" w:type="auto"/>
            <w:gridSpan w:val="3"/>
            <w:vAlign w:val="center"/>
            <w:hideMark/>
          </w:tcPr>
          <w:p w14:paraId="4356946F" w14:textId="77777777" w:rsidR="00000000" w:rsidRDefault="00C1661D">
            <w:pPr>
              <w:spacing w:after="100"/>
              <w:rPr>
                <w:rFonts w:eastAsia="Times New Roman"/>
                <w:sz w:val="20"/>
                <w:szCs w:val="20"/>
              </w:rPr>
            </w:pPr>
          </w:p>
        </w:tc>
        <w:tc>
          <w:tcPr>
            <w:tcW w:w="0" w:type="auto"/>
            <w:gridSpan w:val="3"/>
            <w:vAlign w:val="center"/>
            <w:hideMark/>
          </w:tcPr>
          <w:p w14:paraId="6B894721" w14:textId="77777777" w:rsidR="00000000" w:rsidRDefault="00C1661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7AB0E8" w14:textId="77777777" w:rsidR="00000000" w:rsidRDefault="00C1661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9E167C1" w14:textId="77777777" w:rsidR="00000000" w:rsidRDefault="00C1661D">
            <w:pPr>
              <w:spacing w:after="100"/>
              <w:jc w:val="center"/>
              <w:rPr>
                <w:rFonts w:eastAsia="Times New Roman"/>
              </w:rPr>
            </w:pPr>
            <w:r>
              <w:rPr>
                <w:rFonts w:eastAsia="Times New Roman"/>
                <w:color w:val="000000"/>
                <w:sz w:val="20"/>
                <w:szCs w:val="20"/>
              </w:rPr>
              <w:t>Midstream &amp; Marketing</w:t>
            </w:r>
          </w:p>
        </w:tc>
      </w:tr>
      <w:tr w:rsidR="00000000" w14:paraId="6781B08E" w14:textId="77777777">
        <w:trPr>
          <w:divId w:val="520969447"/>
          <w:jc w:val="center"/>
        </w:trPr>
        <w:tc>
          <w:tcPr>
            <w:tcW w:w="0" w:type="auto"/>
            <w:gridSpan w:val="3"/>
            <w:shd w:val="clear" w:color="auto" w:fill="CCEEFF"/>
            <w:tcMar>
              <w:top w:w="30" w:type="dxa"/>
              <w:left w:w="20" w:type="dxa"/>
              <w:bottom w:w="30" w:type="dxa"/>
              <w:right w:w="20" w:type="dxa"/>
            </w:tcMar>
            <w:vAlign w:val="bottom"/>
            <w:hideMark/>
          </w:tcPr>
          <w:p w14:paraId="05273E33" w14:textId="77777777" w:rsidR="00000000" w:rsidRDefault="00C1661D">
            <w:pPr>
              <w:spacing w:after="100"/>
              <w:rPr>
                <w:rFonts w:eastAsia="Times New Roman"/>
              </w:rPr>
            </w:pPr>
            <w:r>
              <w:rPr>
                <w:rFonts w:eastAsia="Times New Roman"/>
                <w:color w:val="000000"/>
                <w:sz w:val="20"/>
                <w:szCs w:val="20"/>
              </w:rPr>
              <w:t>Total cash paid</w:t>
            </w:r>
          </w:p>
        </w:tc>
        <w:tc>
          <w:tcPr>
            <w:tcW w:w="0" w:type="auto"/>
            <w:gridSpan w:val="3"/>
            <w:shd w:val="clear" w:color="auto" w:fill="CCEEFF"/>
            <w:tcMar>
              <w:top w:w="0" w:type="dxa"/>
              <w:left w:w="20" w:type="dxa"/>
              <w:bottom w:w="0" w:type="dxa"/>
              <w:right w:w="20" w:type="dxa"/>
            </w:tcMar>
            <w:vAlign w:val="center"/>
            <w:hideMark/>
          </w:tcPr>
          <w:p w14:paraId="4D89D264" w14:textId="77777777" w:rsidR="00000000" w:rsidRDefault="00C1661D">
            <w:pPr>
              <w:spacing w:after="100"/>
              <w:rPr>
                <w:rFonts w:eastAsia="Times New Roman"/>
              </w:rPr>
            </w:pPr>
          </w:p>
        </w:tc>
        <w:tc>
          <w:tcPr>
            <w:tcW w:w="0" w:type="auto"/>
            <w:vAlign w:val="center"/>
            <w:hideMark/>
          </w:tcPr>
          <w:p w14:paraId="3B591215" w14:textId="77777777" w:rsidR="00000000" w:rsidRDefault="00C1661D">
            <w:pPr>
              <w:spacing w:after="100"/>
              <w:rPr>
                <w:rFonts w:eastAsia="Times New Roman"/>
                <w:sz w:val="20"/>
                <w:szCs w:val="20"/>
              </w:rPr>
            </w:pPr>
          </w:p>
        </w:tc>
        <w:tc>
          <w:tcPr>
            <w:tcW w:w="0" w:type="auto"/>
            <w:vAlign w:val="center"/>
            <w:hideMark/>
          </w:tcPr>
          <w:p w14:paraId="63177B9B" w14:textId="77777777" w:rsidR="00000000" w:rsidRDefault="00C1661D">
            <w:pPr>
              <w:spacing w:after="100"/>
              <w:rPr>
                <w:rFonts w:eastAsia="Times New Roman"/>
                <w:sz w:val="20"/>
                <w:szCs w:val="20"/>
              </w:rPr>
            </w:pPr>
          </w:p>
        </w:tc>
        <w:tc>
          <w:tcPr>
            <w:tcW w:w="0" w:type="auto"/>
            <w:vAlign w:val="center"/>
            <w:hideMark/>
          </w:tcPr>
          <w:p w14:paraId="16EDCA3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728E52" w14:textId="77777777" w:rsidR="00000000" w:rsidRDefault="00C1661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CAB56F"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9F2E67" w14:textId="77777777" w:rsidR="00000000" w:rsidRDefault="00C1661D">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C3FF67" w14:textId="77777777" w:rsidR="00000000" w:rsidRDefault="00C1661D">
            <w:pPr>
              <w:spacing w:after="100"/>
              <w:jc w:val="right"/>
              <w:rPr>
                <w:rFonts w:eastAsia="Times New Roman"/>
              </w:rPr>
            </w:pPr>
          </w:p>
        </w:tc>
        <w:tc>
          <w:tcPr>
            <w:tcW w:w="0" w:type="auto"/>
            <w:vAlign w:val="center"/>
            <w:hideMark/>
          </w:tcPr>
          <w:p w14:paraId="122A1865" w14:textId="77777777" w:rsidR="00000000" w:rsidRDefault="00C1661D">
            <w:pPr>
              <w:spacing w:after="100"/>
              <w:jc w:val="right"/>
              <w:rPr>
                <w:rFonts w:eastAsia="Times New Roman"/>
                <w:sz w:val="20"/>
                <w:szCs w:val="20"/>
              </w:rPr>
            </w:pPr>
          </w:p>
        </w:tc>
        <w:tc>
          <w:tcPr>
            <w:tcW w:w="0" w:type="auto"/>
            <w:vAlign w:val="center"/>
            <w:hideMark/>
          </w:tcPr>
          <w:p w14:paraId="73F68579" w14:textId="77777777" w:rsidR="00000000" w:rsidRDefault="00C1661D">
            <w:pPr>
              <w:spacing w:after="100"/>
              <w:rPr>
                <w:rFonts w:eastAsia="Times New Roman"/>
                <w:sz w:val="20"/>
                <w:szCs w:val="20"/>
              </w:rPr>
            </w:pPr>
          </w:p>
        </w:tc>
        <w:tc>
          <w:tcPr>
            <w:tcW w:w="0" w:type="auto"/>
            <w:gridSpan w:val="3"/>
            <w:vAlign w:val="center"/>
            <w:hideMark/>
          </w:tcPr>
          <w:p w14:paraId="536B684B" w14:textId="77777777" w:rsidR="00000000" w:rsidRDefault="00C1661D">
            <w:pPr>
              <w:spacing w:after="100"/>
              <w:rPr>
                <w:rFonts w:eastAsia="Times New Roman"/>
                <w:sz w:val="20"/>
                <w:szCs w:val="20"/>
              </w:rPr>
            </w:pPr>
          </w:p>
        </w:tc>
        <w:tc>
          <w:tcPr>
            <w:tcW w:w="0" w:type="auto"/>
            <w:gridSpan w:val="3"/>
            <w:vAlign w:val="center"/>
            <w:hideMark/>
          </w:tcPr>
          <w:p w14:paraId="5A8CF07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F202A8" w14:textId="77777777" w:rsidR="00000000" w:rsidRDefault="00C1661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5CE9C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817626" w14:textId="77777777" w:rsidR="00000000" w:rsidRDefault="00C1661D">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9E5723" w14:textId="77777777" w:rsidR="00000000" w:rsidRDefault="00C1661D">
            <w:pPr>
              <w:spacing w:after="100"/>
              <w:jc w:val="right"/>
              <w:rPr>
                <w:rFonts w:eastAsia="Times New Roman"/>
              </w:rPr>
            </w:pPr>
          </w:p>
        </w:tc>
      </w:tr>
      <w:tr w:rsidR="00000000" w14:paraId="50A38C63" w14:textId="77777777">
        <w:trPr>
          <w:divId w:val="520969447"/>
          <w:jc w:val="center"/>
        </w:trPr>
        <w:tc>
          <w:tcPr>
            <w:tcW w:w="0" w:type="auto"/>
            <w:gridSpan w:val="3"/>
            <w:shd w:val="clear" w:color="auto" w:fill="FFFFFF"/>
            <w:tcMar>
              <w:top w:w="30" w:type="dxa"/>
              <w:left w:w="20" w:type="dxa"/>
              <w:bottom w:w="30" w:type="dxa"/>
              <w:right w:w="20" w:type="dxa"/>
            </w:tcMar>
            <w:vAlign w:val="bottom"/>
            <w:hideMark/>
          </w:tcPr>
          <w:p w14:paraId="755F256E" w14:textId="77777777" w:rsidR="00000000" w:rsidRDefault="00C1661D">
            <w:pPr>
              <w:spacing w:after="100"/>
              <w:rPr>
                <w:rFonts w:eastAsia="Times New Roman"/>
              </w:rPr>
            </w:pPr>
            <w:r>
              <w:rPr>
                <w:rFonts w:eastAsia="Times New Roman"/>
                <w:color w:val="000000"/>
                <w:sz w:val="20"/>
                <w:szCs w:val="20"/>
              </w:rPr>
              <w:t>Liabilities incurred</w:t>
            </w:r>
          </w:p>
        </w:tc>
        <w:tc>
          <w:tcPr>
            <w:tcW w:w="0" w:type="auto"/>
            <w:gridSpan w:val="3"/>
            <w:shd w:val="clear" w:color="auto" w:fill="FFFFFF"/>
            <w:tcMar>
              <w:top w:w="0" w:type="dxa"/>
              <w:left w:w="20" w:type="dxa"/>
              <w:bottom w:w="0" w:type="dxa"/>
              <w:right w:w="20" w:type="dxa"/>
            </w:tcMar>
            <w:vAlign w:val="center"/>
            <w:hideMark/>
          </w:tcPr>
          <w:p w14:paraId="5E2BD1BD" w14:textId="77777777" w:rsidR="00000000" w:rsidRDefault="00C1661D">
            <w:pPr>
              <w:spacing w:after="100"/>
              <w:rPr>
                <w:rFonts w:eastAsia="Times New Roman"/>
              </w:rPr>
            </w:pPr>
          </w:p>
        </w:tc>
        <w:tc>
          <w:tcPr>
            <w:tcW w:w="0" w:type="auto"/>
            <w:vAlign w:val="center"/>
            <w:hideMark/>
          </w:tcPr>
          <w:p w14:paraId="521A2556" w14:textId="77777777" w:rsidR="00000000" w:rsidRDefault="00C1661D">
            <w:pPr>
              <w:spacing w:after="100"/>
              <w:rPr>
                <w:rFonts w:eastAsia="Times New Roman"/>
                <w:sz w:val="20"/>
                <w:szCs w:val="20"/>
              </w:rPr>
            </w:pPr>
          </w:p>
        </w:tc>
        <w:tc>
          <w:tcPr>
            <w:tcW w:w="0" w:type="auto"/>
            <w:vAlign w:val="center"/>
            <w:hideMark/>
          </w:tcPr>
          <w:p w14:paraId="501740BD" w14:textId="77777777" w:rsidR="00000000" w:rsidRDefault="00C1661D">
            <w:pPr>
              <w:spacing w:after="100"/>
              <w:rPr>
                <w:rFonts w:eastAsia="Times New Roman"/>
                <w:sz w:val="20"/>
                <w:szCs w:val="20"/>
              </w:rPr>
            </w:pPr>
          </w:p>
        </w:tc>
        <w:tc>
          <w:tcPr>
            <w:tcW w:w="0" w:type="auto"/>
            <w:vAlign w:val="center"/>
            <w:hideMark/>
          </w:tcPr>
          <w:p w14:paraId="271B6D1A"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353B23" w14:textId="77777777" w:rsidR="00000000" w:rsidRDefault="00C1661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2A8C8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5CDBBA" w14:textId="77777777" w:rsidR="00000000" w:rsidRDefault="00C1661D">
            <w:pPr>
              <w:spacing w:after="100"/>
              <w:jc w:val="right"/>
              <w:rPr>
                <w:rFonts w:eastAsia="Times New Roman"/>
              </w:rPr>
            </w:pPr>
          </w:p>
        </w:tc>
        <w:tc>
          <w:tcPr>
            <w:tcW w:w="0" w:type="auto"/>
            <w:vAlign w:val="center"/>
            <w:hideMark/>
          </w:tcPr>
          <w:p w14:paraId="1B661E27" w14:textId="77777777" w:rsidR="00000000" w:rsidRDefault="00C1661D">
            <w:pPr>
              <w:spacing w:after="100"/>
              <w:jc w:val="right"/>
              <w:rPr>
                <w:rFonts w:eastAsia="Times New Roman"/>
                <w:sz w:val="20"/>
                <w:szCs w:val="20"/>
              </w:rPr>
            </w:pPr>
          </w:p>
        </w:tc>
        <w:tc>
          <w:tcPr>
            <w:tcW w:w="0" w:type="auto"/>
            <w:vAlign w:val="center"/>
            <w:hideMark/>
          </w:tcPr>
          <w:p w14:paraId="379F7EC2" w14:textId="77777777" w:rsidR="00000000" w:rsidRDefault="00C1661D">
            <w:pPr>
              <w:spacing w:after="100"/>
              <w:rPr>
                <w:rFonts w:eastAsia="Times New Roman"/>
                <w:sz w:val="20"/>
                <w:szCs w:val="20"/>
              </w:rPr>
            </w:pPr>
          </w:p>
        </w:tc>
        <w:tc>
          <w:tcPr>
            <w:tcW w:w="0" w:type="auto"/>
            <w:gridSpan w:val="3"/>
            <w:vAlign w:val="center"/>
            <w:hideMark/>
          </w:tcPr>
          <w:p w14:paraId="7CCEA1FA" w14:textId="77777777" w:rsidR="00000000" w:rsidRDefault="00C1661D">
            <w:pPr>
              <w:spacing w:after="100"/>
              <w:rPr>
                <w:rFonts w:eastAsia="Times New Roman"/>
                <w:sz w:val="20"/>
                <w:szCs w:val="20"/>
              </w:rPr>
            </w:pPr>
          </w:p>
        </w:tc>
        <w:tc>
          <w:tcPr>
            <w:tcW w:w="0" w:type="auto"/>
            <w:gridSpan w:val="3"/>
            <w:vAlign w:val="center"/>
            <w:hideMark/>
          </w:tcPr>
          <w:p w14:paraId="1E28FB4B"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3D2F4F" w14:textId="77777777" w:rsidR="00000000" w:rsidRDefault="00C1661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4CB2FB" w14:textId="77777777" w:rsidR="00000000" w:rsidRDefault="00C1661D">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147B1363" w14:textId="77777777" w:rsidR="00000000" w:rsidRDefault="00C1661D">
            <w:pPr>
              <w:spacing w:after="100"/>
              <w:jc w:val="right"/>
              <w:rPr>
                <w:rFonts w:eastAsia="Times New Roman"/>
              </w:rPr>
            </w:pPr>
          </w:p>
        </w:tc>
      </w:tr>
      <w:tr w:rsidR="00000000" w14:paraId="577B6A4D" w14:textId="77777777">
        <w:trPr>
          <w:divId w:val="520969447"/>
          <w:jc w:val="center"/>
        </w:trPr>
        <w:tc>
          <w:tcPr>
            <w:tcW w:w="0" w:type="auto"/>
            <w:gridSpan w:val="3"/>
            <w:shd w:val="clear" w:color="auto" w:fill="CCEEFF"/>
            <w:tcMar>
              <w:top w:w="30" w:type="dxa"/>
              <w:left w:w="20" w:type="dxa"/>
              <w:bottom w:w="30" w:type="dxa"/>
              <w:right w:w="20" w:type="dxa"/>
            </w:tcMar>
            <w:vAlign w:val="bottom"/>
            <w:hideMark/>
          </w:tcPr>
          <w:p w14:paraId="2D4DA07C" w14:textId="77777777" w:rsidR="00000000" w:rsidRDefault="00C1661D">
            <w:pPr>
              <w:spacing w:after="100"/>
              <w:rPr>
                <w:rFonts w:eastAsia="Times New Roman"/>
              </w:rPr>
            </w:pPr>
            <w:r>
              <w:rPr>
                <w:rFonts w:eastAsia="Times New Roman"/>
                <w:color w:val="000000"/>
                <w:sz w:val="20"/>
                <w:szCs w:val="20"/>
              </w:rPr>
              <w:t>Total purchase price</w:t>
            </w:r>
          </w:p>
        </w:tc>
        <w:tc>
          <w:tcPr>
            <w:tcW w:w="0" w:type="auto"/>
            <w:gridSpan w:val="3"/>
            <w:shd w:val="clear" w:color="auto" w:fill="CCEEFF"/>
            <w:tcMar>
              <w:top w:w="0" w:type="dxa"/>
              <w:left w:w="20" w:type="dxa"/>
              <w:bottom w:w="0" w:type="dxa"/>
              <w:right w:w="20" w:type="dxa"/>
            </w:tcMar>
            <w:vAlign w:val="center"/>
            <w:hideMark/>
          </w:tcPr>
          <w:p w14:paraId="16128BD1" w14:textId="77777777" w:rsidR="00000000" w:rsidRDefault="00C1661D">
            <w:pPr>
              <w:spacing w:after="100"/>
              <w:rPr>
                <w:rFonts w:eastAsia="Times New Roman"/>
              </w:rPr>
            </w:pPr>
          </w:p>
        </w:tc>
        <w:tc>
          <w:tcPr>
            <w:tcW w:w="0" w:type="auto"/>
            <w:vAlign w:val="center"/>
            <w:hideMark/>
          </w:tcPr>
          <w:p w14:paraId="608A9170" w14:textId="77777777" w:rsidR="00000000" w:rsidRDefault="00C1661D">
            <w:pPr>
              <w:spacing w:after="100"/>
              <w:rPr>
                <w:rFonts w:eastAsia="Times New Roman"/>
                <w:sz w:val="20"/>
                <w:szCs w:val="20"/>
              </w:rPr>
            </w:pPr>
          </w:p>
        </w:tc>
        <w:tc>
          <w:tcPr>
            <w:tcW w:w="0" w:type="auto"/>
            <w:vAlign w:val="center"/>
            <w:hideMark/>
          </w:tcPr>
          <w:p w14:paraId="3EFA5E96" w14:textId="77777777" w:rsidR="00000000" w:rsidRDefault="00C1661D">
            <w:pPr>
              <w:spacing w:after="100"/>
              <w:rPr>
                <w:rFonts w:eastAsia="Times New Roman"/>
                <w:sz w:val="20"/>
                <w:szCs w:val="20"/>
              </w:rPr>
            </w:pPr>
          </w:p>
        </w:tc>
        <w:tc>
          <w:tcPr>
            <w:tcW w:w="0" w:type="auto"/>
            <w:vAlign w:val="center"/>
            <w:hideMark/>
          </w:tcPr>
          <w:p w14:paraId="260B85B9"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15CCE5" w14:textId="77777777" w:rsidR="00000000" w:rsidRDefault="00C1661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6239FF"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57A614" w14:textId="77777777" w:rsidR="00000000" w:rsidRDefault="00C1661D">
            <w:pPr>
              <w:spacing w:after="100"/>
              <w:jc w:val="right"/>
              <w:rPr>
                <w:rFonts w:eastAsia="Times New Roman"/>
              </w:rPr>
            </w:pPr>
            <w:r>
              <w:rPr>
                <w:rFonts w:eastAsia="Times New Roman"/>
                <w:color w:val="000000"/>
                <w:sz w:val="20"/>
                <w:szCs w:val="20"/>
              </w:rPr>
              <w:t>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A8B412E" w14:textId="77777777" w:rsidR="00000000" w:rsidRDefault="00C1661D">
            <w:pPr>
              <w:spacing w:after="100"/>
              <w:jc w:val="right"/>
              <w:rPr>
                <w:rFonts w:eastAsia="Times New Roman"/>
              </w:rPr>
            </w:pPr>
          </w:p>
        </w:tc>
        <w:tc>
          <w:tcPr>
            <w:tcW w:w="0" w:type="auto"/>
            <w:vAlign w:val="center"/>
            <w:hideMark/>
          </w:tcPr>
          <w:p w14:paraId="3B505B7A" w14:textId="77777777" w:rsidR="00000000" w:rsidRDefault="00C1661D">
            <w:pPr>
              <w:spacing w:after="100"/>
              <w:jc w:val="right"/>
              <w:rPr>
                <w:rFonts w:eastAsia="Times New Roman"/>
                <w:sz w:val="20"/>
                <w:szCs w:val="20"/>
              </w:rPr>
            </w:pPr>
          </w:p>
        </w:tc>
        <w:tc>
          <w:tcPr>
            <w:tcW w:w="0" w:type="auto"/>
            <w:vAlign w:val="center"/>
            <w:hideMark/>
          </w:tcPr>
          <w:p w14:paraId="14D22207" w14:textId="77777777" w:rsidR="00000000" w:rsidRDefault="00C1661D">
            <w:pPr>
              <w:spacing w:after="100"/>
              <w:rPr>
                <w:rFonts w:eastAsia="Times New Roman"/>
                <w:sz w:val="20"/>
                <w:szCs w:val="20"/>
              </w:rPr>
            </w:pPr>
          </w:p>
        </w:tc>
        <w:tc>
          <w:tcPr>
            <w:tcW w:w="0" w:type="auto"/>
            <w:gridSpan w:val="3"/>
            <w:vAlign w:val="center"/>
            <w:hideMark/>
          </w:tcPr>
          <w:p w14:paraId="5C701DB0" w14:textId="77777777" w:rsidR="00000000" w:rsidRDefault="00C1661D">
            <w:pPr>
              <w:spacing w:after="100"/>
              <w:rPr>
                <w:rFonts w:eastAsia="Times New Roman"/>
                <w:sz w:val="20"/>
                <w:szCs w:val="20"/>
              </w:rPr>
            </w:pPr>
          </w:p>
        </w:tc>
        <w:tc>
          <w:tcPr>
            <w:tcW w:w="0" w:type="auto"/>
            <w:gridSpan w:val="3"/>
            <w:vAlign w:val="center"/>
            <w:hideMark/>
          </w:tcPr>
          <w:p w14:paraId="542FDD26"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43F071" w14:textId="77777777" w:rsidR="00000000" w:rsidRDefault="00C1661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6BFFA3"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23AC8DD" w14:textId="77777777" w:rsidR="00000000" w:rsidRDefault="00C1661D">
            <w:pPr>
              <w:spacing w:after="100"/>
              <w:jc w:val="right"/>
              <w:rPr>
                <w:rFonts w:eastAsia="Times New Roman"/>
              </w:rPr>
            </w:pPr>
            <w:r>
              <w:rPr>
                <w:rFonts w:eastAsia="Times New Roman"/>
                <w:color w:val="000000"/>
                <w:sz w:val="20"/>
                <w:szCs w:val="20"/>
              </w:rPr>
              <w:t>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38860D" w14:textId="77777777" w:rsidR="00000000" w:rsidRDefault="00C1661D">
            <w:pPr>
              <w:spacing w:after="100"/>
              <w:jc w:val="right"/>
              <w:rPr>
                <w:rFonts w:eastAsia="Times New Roman"/>
              </w:rPr>
            </w:pPr>
          </w:p>
        </w:tc>
      </w:tr>
    </w:tbl>
    <w:p w14:paraId="34A9F40D" w14:textId="77777777" w:rsidR="00000000" w:rsidRDefault="00C1661D">
      <w:pPr>
        <w:divId w:val="832573522"/>
        <w:rPr>
          <w:rFonts w:eastAsia="Times New Roman"/>
        </w:rPr>
      </w:pPr>
    </w:p>
    <w:p w14:paraId="770455A9" w14:textId="77777777" w:rsidR="00000000" w:rsidRDefault="00C1661D">
      <w:pPr>
        <w:divId w:val="765464557"/>
        <w:rPr>
          <w:rFonts w:eastAsia="Times New Roman"/>
        </w:rPr>
      </w:pPr>
      <w:r>
        <w:rPr>
          <w:rFonts w:eastAsia="Times New Roman"/>
          <w:b/>
          <w:bCs/>
          <w:color w:val="000000"/>
          <w:sz w:val="20"/>
          <w:szCs w:val="20"/>
        </w:rPr>
        <w:t>Acquisitions of Assets</w:t>
      </w:r>
    </w:p>
    <w:p w14:paraId="7C572469" w14:textId="77777777" w:rsidR="00000000" w:rsidRDefault="00C1661D">
      <w:pPr>
        <w:divId w:val="1974285760"/>
        <w:rPr>
          <w:rFonts w:eastAsia="Times New Roman"/>
        </w:rPr>
      </w:pPr>
    </w:p>
    <w:p w14:paraId="361CBF44" w14:textId="77777777" w:rsidR="00000000" w:rsidRDefault="00C1661D">
      <w:pPr>
        <w:jc w:val="both"/>
        <w:rPr>
          <w:rFonts w:eastAsia="Times New Roman"/>
        </w:rPr>
      </w:pPr>
      <w:r>
        <w:rPr>
          <w:rFonts w:eastAsia="Times New Roman"/>
          <w:b/>
          <w:bCs/>
          <w:i/>
          <w:iCs/>
          <w:color w:val="000000"/>
          <w:sz w:val="20"/>
          <w:szCs w:val="20"/>
        </w:rPr>
        <w:t>Pennant</w:t>
      </w:r>
      <w:r>
        <w:rPr>
          <w:rFonts w:eastAsia="Times New Roman"/>
          <w:b/>
          <w:bCs/>
          <w:color w:val="000000"/>
          <w:sz w:val="20"/>
          <w:szCs w:val="20"/>
        </w:rPr>
        <w:t xml:space="preserve">. </w:t>
      </w:r>
      <w:r>
        <w:rPr>
          <w:rFonts w:eastAsia="Times New Roman"/>
          <w:color w:val="000000"/>
          <w:sz w:val="20"/>
          <w:szCs w:val="20"/>
          <w:shd w:val="clear" w:color="auto" w:fill="FFFFFF"/>
        </w:rPr>
        <w:t>As of September 30, 2021, Energy Services held a 47% membership interest in Pennant, a natural gas gather</w:t>
      </w:r>
      <w:r>
        <w:rPr>
          <w:rFonts w:eastAsia="Times New Roman"/>
          <w:color w:val="000000"/>
          <w:sz w:val="20"/>
          <w:szCs w:val="20"/>
          <w:shd w:val="clear" w:color="auto" w:fill="FFFFFF"/>
        </w:rPr>
        <w:t xml:space="preserve">ing system located in northeast Ohio and western Pennsylvania. </w:t>
      </w:r>
      <w:r>
        <w:rPr>
          <w:rFonts w:eastAsia="Times New Roman"/>
          <w:color w:val="000000"/>
          <w:sz w:val="20"/>
          <w:szCs w:val="20"/>
        </w:rPr>
        <w:t>During Fiscal 2022, UGI through its wholly owned indirect subsidiary, Energy Services, completed the Pennant Acquisition in which Energy Services acquired the remaining 53% of the equity intere</w:t>
      </w:r>
      <w:r>
        <w:rPr>
          <w:rFonts w:eastAsia="Times New Roman"/>
          <w:color w:val="000000"/>
          <w:sz w:val="20"/>
          <w:szCs w:val="20"/>
        </w:rPr>
        <w:t>sts in Pennant for total cash consideration of approximately $61. The Pennant Acquisition was funded using available cash. The acquisition of the remaining interests has been accounted for as an acquisition of assets, and the purchase price has been primar</w:t>
      </w:r>
      <w:r>
        <w:rPr>
          <w:rFonts w:eastAsia="Times New Roman"/>
          <w:color w:val="000000"/>
          <w:sz w:val="20"/>
          <w:szCs w:val="20"/>
        </w:rPr>
        <w:t xml:space="preserve">ily allocated to property, plant and equipment. See Note 22 for additional information related to the acquired interest in Pennant. </w:t>
      </w:r>
    </w:p>
    <w:p w14:paraId="07E25592" w14:textId="77777777" w:rsidR="00000000" w:rsidRDefault="00C1661D">
      <w:pPr>
        <w:jc w:val="both"/>
        <w:rPr>
          <w:rFonts w:eastAsia="Times New Roman"/>
        </w:rPr>
      </w:pPr>
    </w:p>
    <w:p w14:paraId="10F9688E" w14:textId="77777777" w:rsidR="00000000" w:rsidRDefault="00C1661D">
      <w:pPr>
        <w:jc w:val="both"/>
        <w:rPr>
          <w:rFonts w:eastAsia="Times New Roman"/>
        </w:rPr>
      </w:pPr>
      <w:r>
        <w:rPr>
          <w:rFonts w:eastAsia="Times New Roman"/>
          <w:b/>
          <w:bCs/>
          <w:i/>
          <w:iCs/>
          <w:color w:val="000000"/>
          <w:sz w:val="20"/>
          <w:szCs w:val="20"/>
        </w:rPr>
        <w:t>Stonehenge</w:t>
      </w:r>
      <w:r>
        <w:rPr>
          <w:rFonts w:eastAsia="Times New Roman"/>
          <w:b/>
          <w:bCs/>
          <w:color w:val="000000"/>
          <w:sz w:val="20"/>
          <w:szCs w:val="20"/>
        </w:rPr>
        <w:t xml:space="preserve">. </w:t>
      </w:r>
      <w:r>
        <w:rPr>
          <w:rFonts w:eastAsia="Times New Roman"/>
          <w:color w:val="000000"/>
          <w:sz w:val="20"/>
          <w:szCs w:val="20"/>
        </w:rPr>
        <w:t>On January 27, 2022, UGI through its wholly owned indirect subsidiary, Energy Services, completed the Stonehe</w:t>
      </w:r>
      <w:r>
        <w:rPr>
          <w:rFonts w:eastAsia="Times New Roman"/>
          <w:color w:val="000000"/>
          <w:sz w:val="20"/>
          <w:szCs w:val="20"/>
        </w:rPr>
        <w:t>nge Acquisition in which Energy Services acquired all of the equity interests in Stonehenge for total cash consideration of approximately $190. The Stonehenge business includes a natural gas gathering system, located in western Pennsylvania, with more than</w:t>
      </w:r>
      <w:r>
        <w:rPr>
          <w:rFonts w:eastAsia="Times New Roman"/>
          <w:color w:val="000000"/>
          <w:sz w:val="20"/>
          <w:szCs w:val="20"/>
        </w:rPr>
        <w:t xml:space="preserve"> 47 miles of pipeline and associated compression assets. The Stonehenge Acquisition is consistent with our growth strategies, including expanding our midstream natural gas gathering assets within the Appalachian basin production region. The Stonehenge Acqu</w:t>
      </w:r>
      <w:r>
        <w:rPr>
          <w:rFonts w:eastAsia="Times New Roman"/>
          <w:color w:val="000000"/>
          <w:sz w:val="20"/>
          <w:szCs w:val="20"/>
        </w:rPr>
        <w:t>isition was funded using available cash. This transaction has been accounted for as an acquisition of assets, and the purchase price has been primarily allocated to property, plant and equipment. We refer to Stonehenge and its assets as “UGI Moraine East.”</w:t>
      </w:r>
    </w:p>
    <w:p w14:paraId="4B2CD0FF" w14:textId="77777777" w:rsidR="00000000" w:rsidRDefault="00C1661D">
      <w:pPr>
        <w:jc w:val="both"/>
        <w:divId w:val="808281284"/>
        <w:rPr>
          <w:rFonts w:eastAsia="Times New Roman"/>
        </w:rPr>
      </w:pPr>
      <w:r>
        <w:rPr>
          <w:rFonts w:eastAsia="Times New Roman"/>
          <w:b/>
          <w:bCs/>
          <w:color w:val="000000"/>
          <w:sz w:val="20"/>
          <w:szCs w:val="20"/>
        </w:rPr>
        <w:t>Dispositions</w:t>
      </w:r>
    </w:p>
    <w:p w14:paraId="115AB66F" w14:textId="77777777" w:rsidR="00000000" w:rsidRDefault="00C1661D">
      <w:pPr>
        <w:jc w:val="both"/>
        <w:divId w:val="1453669063"/>
        <w:rPr>
          <w:rFonts w:eastAsia="Times New Roman"/>
        </w:rPr>
      </w:pPr>
      <w:r>
        <w:rPr>
          <w:rFonts w:eastAsia="Times New Roman"/>
          <w:b/>
          <w:bCs/>
          <w:i/>
          <w:iCs/>
          <w:color w:val="000000"/>
          <w:sz w:val="20"/>
          <w:szCs w:val="20"/>
        </w:rPr>
        <w:t>Conemaugh.</w:t>
      </w:r>
      <w:r>
        <w:rPr>
          <w:rFonts w:eastAsia="Times New Roman"/>
          <w:color w:val="000000"/>
          <w:sz w:val="20"/>
          <w:szCs w:val="20"/>
        </w:rPr>
        <w:t xml:space="preserve"> In July 2020, Energy Services, through a wholly owned subsidiary, entered into an agreement to sell its approximate 5.97</w:t>
      </w:r>
      <w:r>
        <w:rPr>
          <w:rFonts w:eastAsia="Times New Roman"/>
          <w:color w:val="000000"/>
          <w:sz w:val="20"/>
          <w:szCs w:val="20"/>
        </w:rPr>
        <w:t>% ownership interest in Conemaugh. As a result, the Company reduced the carrying amount of these assets to their fair values during the third quarter of Fiscal 2020 and recognized a non-cash, pre-tax impairment charge of $52 which amount is reflected in “L</w:t>
      </w:r>
      <w:r>
        <w:rPr>
          <w:rFonts w:eastAsia="Times New Roman"/>
          <w:color w:val="000000"/>
          <w:sz w:val="20"/>
          <w:szCs w:val="20"/>
        </w:rPr>
        <w:t>oss on disposals of Conemaugh and HVAC” on the 2020 Consolidated Statement of Income. The fair value of such assets was based upon the agreed upon sales price, and was determined to be a Level 2 measurement within the fair value hierarchy. The sale was com</w:t>
      </w:r>
      <w:r>
        <w:rPr>
          <w:rFonts w:eastAsia="Times New Roman"/>
          <w:color w:val="000000"/>
          <w:sz w:val="20"/>
          <w:szCs w:val="20"/>
        </w:rPr>
        <w:t>pleted on September 30, 2020.</w:t>
      </w:r>
    </w:p>
    <w:p w14:paraId="60157419" w14:textId="77777777" w:rsidR="00000000" w:rsidRDefault="00C1661D">
      <w:pPr>
        <w:jc w:val="both"/>
        <w:divId w:val="1901482618"/>
        <w:rPr>
          <w:rFonts w:eastAsia="Times New Roman"/>
        </w:rPr>
      </w:pPr>
      <w:r>
        <w:rPr>
          <w:rFonts w:eastAsia="Times New Roman"/>
          <w:b/>
          <w:bCs/>
          <w:i/>
          <w:iCs/>
          <w:color w:val="000000"/>
          <w:sz w:val="20"/>
          <w:szCs w:val="20"/>
        </w:rPr>
        <w:t>HVAC.</w:t>
      </w:r>
      <w:r>
        <w:rPr>
          <w:rFonts w:eastAsia="Times New Roman"/>
          <w:color w:val="000000"/>
          <w:sz w:val="20"/>
          <w:szCs w:val="20"/>
        </w:rPr>
        <w:t xml:space="preserve"> In September 2020, Enterprises entered into an agreement to sell its HVAC business. As a result, the Company reduced the carrying amount of these assets to their fair values during the fourth quarter of Fiscal 2020 and r</w:t>
      </w:r>
      <w:r>
        <w:rPr>
          <w:rFonts w:eastAsia="Times New Roman"/>
          <w:color w:val="000000"/>
          <w:sz w:val="20"/>
          <w:szCs w:val="20"/>
        </w:rPr>
        <w:t>ecognized a non-cash, pre-tax loss on disposal of $2 which amount is reflected in “Loss on disposals of Conemaugh and HVAC” on the 2020 Consolidated Statement of Income. The fair value of such assets was based upon the agreed upon sales price, and was dete</w:t>
      </w:r>
      <w:r>
        <w:rPr>
          <w:rFonts w:eastAsia="Times New Roman"/>
          <w:color w:val="000000"/>
          <w:sz w:val="20"/>
          <w:szCs w:val="20"/>
        </w:rPr>
        <w:t>rmined to be a Level 2 measurement within the fair value hierarchy. The sale was completed on September 30, 2020.</w:t>
      </w:r>
    </w:p>
    <w:p w14:paraId="3213D0A1" w14:textId="77777777" w:rsidR="00000000" w:rsidRDefault="00C1661D">
      <w:pPr>
        <w:jc w:val="both"/>
        <w:rPr>
          <w:rFonts w:eastAsia="Times New Roman"/>
        </w:rPr>
      </w:pPr>
    </w:p>
    <w:p w14:paraId="3D377965" w14:textId="77777777" w:rsidR="00000000" w:rsidRDefault="00C1661D">
      <w:pPr>
        <w:jc w:val="both"/>
        <w:rPr>
          <w:rFonts w:eastAsia="Times New Roman"/>
        </w:rPr>
      </w:pPr>
      <w:r>
        <w:rPr>
          <w:rFonts w:eastAsia="Times New Roman"/>
          <w:b/>
          <w:bCs/>
          <w:color w:val="000000"/>
          <w:sz w:val="20"/>
          <w:szCs w:val="20"/>
          <w:u w:val="single"/>
        </w:rPr>
        <w:t xml:space="preserve">Note 6 — Debt </w:t>
      </w:r>
    </w:p>
    <w:p w14:paraId="1438E76B" w14:textId="77777777" w:rsidR="00000000" w:rsidRDefault="00C1661D">
      <w:pPr>
        <w:jc w:val="both"/>
        <w:divId w:val="651446705"/>
        <w:rPr>
          <w:rFonts w:eastAsia="Times New Roman"/>
        </w:rPr>
      </w:pPr>
      <w:r>
        <w:rPr>
          <w:rFonts w:eastAsia="Times New Roman"/>
          <w:b/>
          <w:bCs/>
          <w:color w:val="000000"/>
          <w:sz w:val="20"/>
          <w:szCs w:val="20"/>
        </w:rPr>
        <w:t>Significant Financing Activities Since September 30, 2021</w:t>
      </w:r>
    </w:p>
    <w:p w14:paraId="6612B189" w14:textId="77777777" w:rsidR="00000000" w:rsidRDefault="00C1661D">
      <w:pPr>
        <w:jc w:val="both"/>
        <w:divId w:val="586885937"/>
        <w:rPr>
          <w:rFonts w:eastAsia="Times New Roman"/>
        </w:rPr>
      </w:pPr>
      <w:r>
        <w:rPr>
          <w:rFonts w:eastAsia="Times New Roman"/>
          <w:b/>
          <w:bCs/>
          <w:i/>
          <w:iCs/>
          <w:color w:val="000000"/>
          <w:sz w:val="20"/>
          <w:szCs w:val="20"/>
        </w:rPr>
        <w:t>Mountaineer Credit Agreement.</w:t>
      </w:r>
      <w:r>
        <w:rPr>
          <w:rFonts w:eastAsia="Times New Roman"/>
          <w:b/>
          <w:bCs/>
          <w:color w:val="000000"/>
          <w:sz w:val="20"/>
          <w:szCs w:val="20"/>
        </w:rPr>
        <w:t xml:space="preserve"> </w:t>
      </w:r>
      <w:r>
        <w:rPr>
          <w:rFonts w:eastAsia="Times New Roman"/>
          <w:color w:val="000000"/>
          <w:sz w:val="20"/>
          <w:szCs w:val="20"/>
        </w:rPr>
        <w:t>On October 20, 2022, Mountaineer ente</w:t>
      </w:r>
      <w:r>
        <w:rPr>
          <w:rFonts w:eastAsia="Times New Roman"/>
          <w:color w:val="000000"/>
          <w:sz w:val="20"/>
          <w:szCs w:val="20"/>
        </w:rPr>
        <w:t>red into the Mountaineer 2023 Credit Agreement, as borrower, with a group of lenders. The Mountaineer 2023 Credit Agreement amends and restates a previous credit agreement and provides for borrowings up to $150, including a $20 sublimit for letters of cred</w:t>
      </w:r>
      <w:r>
        <w:rPr>
          <w:rFonts w:eastAsia="Times New Roman"/>
          <w:color w:val="000000"/>
          <w:sz w:val="20"/>
          <w:szCs w:val="20"/>
        </w:rPr>
        <w:t>it. Mountaineer may request an increase in the amount of loan commitments to a maximum aggregate amount of $250, subject to certain terms and conditions. Borrowings under the Mountaineer 2023 Credit Agreement can be used to finance the working capital need</w:t>
      </w:r>
      <w:r>
        <w:rPr>
          <w:rFonts w:eastAsia="Times New Roman"/>
          <w:color w:val="000000"/>
          <w:sz w:val="20"/>
          <w:szCs w:val="20"/>
        </w:rPr>
        <w:t>s of Mountaineer and for general corporate purposes. The Mountaineer 2023 Credit Agreement is scheduled to expire in November 2024, with an option to extend the maturity date.</w:t>
      </w:r>
    </w:p>
    <w:p w14:paraId="7631C16A" w14:textId="77777777" w:rsidR="00000000" w:rsidRDefault="00C1661D">
      <w:pPr>
        <w:jc w:val="both"/>
        <w:rPr>
          <w:rFonts w:eastAsia="Times New Roman"/>
        </w:rPr>
      </w:pPr>
    </w:p>
    <w:p w14:paraId="6DD5E7E1" w14:textId="77777777" w:rsidR="00000000" w:rsidRDefault="00C1661D">
      <w:pPr>
        <w:jc w:val="both"/>
        <w:rPr>
          <w:rFonts w:eastAsia="Times New Roman"/>
        </w:rPr>
      </w:pPr>
      <w:r>
        <w:rPr>
          <w:rFonts w:eastAsia="Times New Roman"/>
          <w:b/>
          <w:bCs/>
          <w:i/>
          <w:iCs/>
          <w:color w:val="000000"/>
          <w:sz w:val="20"/>
          <w:szCs w:val="20"/>
        </w:rPr>
        <w:t>AmeriGas Propane.</w:t>
      </w:r>
      <w:r>
        <w:rPr>
          <w:rFonts w:eastAsia="Times New Roman"/>
          <w:color w:val="000000"/>
          <w:sz w:val="20"/>
          <w:szCs w:val="20"/>
        </w:rPr>
        <w:t xml:space="preserve"> On September 28, 2022, AmeriGas Propane entered into the 202</w:t>
      </w:r>
      <w:r>
        <w:rPr>
          <w:rFonts w:eastAsia="Times New Roman"/>
          <w:color w:val="000000"/>
          <w:sz w:val="20"/>
          <w:szCs w:val="20"/>
        </w:rPr>
        <w:t xml:space="preserve">2 AmeriGas OLP Credit Agreement, as borrower, with a group of lenders. In connection with the entering into of the 2022 AmeriGas OLP Credit Agreement, the </w:t>
      </w:r>
    </w:p>
    <w:p w14:paraId="422DA3FD" w14:textId="77777777" w:rsidR="00000000" w:rsidRDefault="00C1661D">
      <w:pPr>
        <w:jc w:val="center"/>
        <w:divId w:val="475801774"/>
        <w:rPr>
          <w:rFonts w:eastAsia="Times New Roman"/>
        </w:rPr>
      </w:pPr>
      <w:r>
        <w:rPr>
          <w:rFonts w:eastAsia="Times New Roman"/>
          <w:color w:val="000000"/>
          <w:sz w:val="20"/>
          <w:szCs w:val="20"/>
        </w:rPr>
        <w:t>F-26</w:t>
      </w:r>
    </w:p>
    <w:p w14:paraId="6BF9077C" w14:textId="77777777" w:rsidR="00000000" w:rsidRDefault="00C1661D">
      <w:pPr>
        <w:rPr>
          <w:rFonts w:eastAsia="Times New Roman"/>
        </w:rPr>
      </w:pPr>
      <w:r>
        <w:rPr>
          <w:rFonts w:eastAsia="Times New Roman"/>
        </w:rPr>
        <w:pict w14:anchorId="10909D85">
          <v:rect id="_x0000_i1139" style="width:0;height:1.5pt" o:hralign="center" o:hrstd="t" o:hr="t" fillcolor="#a0a0a0" stroked="f"/>
        </w:pict>
      </w:r>
    </w:p>
    <w:p w14:paraId="4BA11370" w14:textId="77777777" w:rsidR="00000000" w:rsidRDefault="00C1661D">
      <w:pPr>
        <w:divId w:val="1022321703"/>
        <w:rPr>
          <w:rFonts w:eastAsia="Times New Roman"/>
        </w:rPr>
      </w:pPr>
      <w:hyperlink w:anchor="i3850c3c6c0104e42b9951aac2f16098a_7" w:history="1">
        <w:r>
          <w:rPr>
            <w:rStyle w:val="a3"/>
            <w:rFonts w:eastAsia="Times New Roman"/>
            <w:sz w:val="20"/>
            <w:szCs w:val="20"/>
          </w:rPr>
          <w:t>Table of Contents</w:t>
        </w:r>
      </w:hyperlink>
    </w:p>
    <w:p w14:paraId="7D737F08" w14:textId="77777777" w:rsidR="00000000" w:rsidRDefault="00C1661D">
      <w:pPr>
        <w:divId w:val="1126387224"/>
        <w:rPr>
          <w:rFonts w:eastAsia="Times New Roman"/>
        </w:rPr>
      </w:pPr>
      <w:r>
        <w:rPr>
          <w:rFonts w:eastAsia="Times New Roman"/>
          <w:b/>
          <w:bCs/>
          <w:color w:val="000000"/>
          <w:sz w:val="20"/>
          <w:szCs w:val="20"/>
        </w:rPr>
        <w:t>UGI Corporation and Subsidiaries</w:t>
      </w:r>
    </w:p>
    <w:p w14:paraId="52DD63D2" w14:textId="77777777" w:rsidR="00000000" w:rsidRDefault="00C1661D">
      <w:pPr>
        <w:divId w:val="298071266"/>
        <w:rPr>
          <w:rFonts w:eastAsia="Times New Roman"/>
        </w:rPr>
      </w:pPr>
      <w:r>
        <w:rPr>
          <w:rFonts w:eastAsia="Times New Roman"/>
          <w:b/>
          <w:bCs/>
          <w:color w:val="000000"/>
          <w:sz w:val="20"/>
          <w:szCs w:val="20"/>
        </w:rPr>
        <w:t>Notes to Consolidated Financial Statements</w:t>
      </w:r>
    </w:p>
    <w:p w14:paraId="124B4A54" w14:textId="77777777" w:rsidR="00000000" w:rsidRDefault="00C1661D">
      <w:pPr>
        <w:divId w:val="1490249918"/>
        <w:rPr>
          <w:rFonts w:eastAsia="Times New Roman"/>
        </w:rPr>
      </w:pPr>
      <w:r>
        <w:rPr>
          <w:rFonts w:eastAsia="Times New Roman"/>
          <w:color w:val="000000"/>
          <w:sz w:val="20"/>
          <w:szCs w:val="20"/>
        </w:rPr>
        <w:t>(Currency in millions, except per share amounts and where indicated otherwise)</w:t>
      </w:r>
    </w:p>
    <w:p w14:paraId="6D6F4697" w14:textId="77777777" w:rsidR="00000000" w:rsidRDefault="00C1661D">
      <w:pPr>
        <w:jc w:val="both"/>
        <w:rPr>
          <w:rFonts w:eastAsia="Times New Roman"/>
        </w:rPr>
      </w:pPr>
      <w:r>
        <w:rPr>
          <w:rFonts w:eastAsia="Times New Roman"/>
          <w:color w:val="000000"/>
          <w:sz w:val="20"/>
          <w:szCs w:val="20"/>
        </w:rPr>
        <w:t>borrower paid off in full and terminated the existing AmeriGas OLP Credit Agreement</w:t>
      </w:r>
      <w:r>
        <w:rPr>
          <w:rFonts w:eastAsia="Times New Roman"/>
          <w:color w:val="000000"/>
          <w:sz w:val="20"/>
          <w:szCs w:val="20"/>
        </w:rPr>
        <w:t>. The 2022 AmeriGas OLP Credit Agreement provides for borrowings up to $600, including a $100 sublimit for letters of credit. AmeriGas Propane may request an increase in the amount of loan commitments under the 2022 AmeriGas OLP Credit Agreement to a maxim</w:t>
      </w:r>
      <w:r>
        <w:rPr>
          <w:rFonts w:eastAsia="Times New Roman"/>
          <w:color w:val="000000"/>
          <w:sz w:val="20"/>
          <w:szCs w:val="20"/>
        </w:rPr>
        <w:t>um aggregate amount of $900, subject to certain terms and conditions. Borrowings under the 2022 AmeriGas OLP Credit Agreement can be used to fund acquisitions and investments and for general corporate purposes. The 2022 AmeriGas OLP Credit Agreement is sch</w:t>
      </w:r>
      <w:r>
        <w:rPr>
          <w:rFonts w:eastAsia="Times New Roman"/>
          <w:color w:val="000000"/>
          <w:sz w:val="20"/>
          <w:szCs w:val="20"/>
        </w:rPr>
        <w:t>eduled to expire in September 2026.</w:t>
      </w:r>
    </w:p>
    <w:p w14:paraId="60F3F308" w14:textId="77777777" w:rsidR="00000000" w:rsidRDefault="00C1661D">
      <w:pPr>
        <w:jc w:val="both"/>
        <w:rPr>
          <w:rFonts w:eastAsia="Times New Roman"/>
        </w:rPr>
      </w:pPr>
    </w:p>
    <w:p w14:paraId="09BF7491" w14:textId="77777777" w:rsidR="00000000" w:rsidRDefault="00C1661D">
      <w:pPr>
        <w:jc w:val="both"/>
        <w:rPr>
          <w:rFonts w:eastAsia="Times New Roman"/>
        </w:rPr>
      </w:pPr>
      <w:r>
        <w:rPr>
          <w:rFonts w:eastAsia="Times New Roman"/>
          <w:b/>
          <w:bCs/>
          <w:i/>
          <w:iCs/>
          <w:color w:val="000000"/>
          <w:sz w:val="20"/>
          <w:szCs w:val="20"/>
        </w:rPr>
        <w:t>UGI Utilities.</w:t>
      </w:r>
      <w:r>
        <w:rPr>
          <w:rFonts w:eastAsia="Times New Roman"/>
          <w:color w:val="000000"/>
          <w:sz w:val="20"/>
          <w:szCs w:val="20"/>
        </w:rPr>
        <w:t xml:space="preserve"> On July 12, 2022, UGI Utilities amended the Utilities Term Loan. The amendment extended the maturity date of the loan from October 2022 to July 2027, among other things. The current amount outstanding un</w:t>
      </w:r>
      <w:r>
        <w:rPr>
          <w:rFonts w:eastAsia="Times New Roman"/>
          <w:color w:val="000000"/>
          <w:sz w:val="20"/>
          <w:szCs w:val="20"/>
        </w:rPr>
        <w:t>der the Utilities Term Loan remains unchanged and is payable in quarterly installments of $2, with the balance of the principal being due and payable in full at maturity. We have entered into an interest rate swap that will generally fix the underlying mar</w:t>
      </w:r>
      <w:r>
        <w:rPr>
          <w:rFonts w:eastAsia="Times New Roman"/>
          <w:color w:val="000000"/>
          <w:sz w:val="20"/>
          <w:szCs w:val="20"/>
        </w:rPr>
        <w:t>ket-based interest rate on this variable-rate loan through June 2026.</w:t>
      </w:r>
    </w:p>
    <w:p w14:paraId="10E79F6B" w14:textId="77777777" w:rsidR="00000000" w:rsidRDefault="00C1661D">
      <w:pPr>
        <w:jc w:val="both"/>
        <w:rPr>
          <w:rFonts w:eastAsia="Times New Roman"/>
        </w:rPr>
      </w:pPr>
    </w:p>
    <w:p w14:paraId="20DB7CF4" w14:textId="77777777" w:rsidR="00000000" w:rsidRDefault="00C1661D">
      <w:pPr>
        <w:jc w:val="both"/>
        <w:rPr>
          <w:rFonts w:eastAsia="Times New Roman"/>
        </w:rPr>
      </w:pPr>
      <w:r>
        <w:rPr>
          <w:rFonts w:eastAsia="Times New Roman"/>
          <w:color w:val="000000"/>
          <w:sz w:val="20"/>
          <w:szCs w:val="20"/>
        </w:rPr>
        <w:t>On June 30, 2022, UGI Utilities entered into a note purchase agreement which provides for the private placement of (1) $90 aggregate principal amount of 4.75% Senior Notes due July 15,</w:t>
      </w:r>
      <w:r>
        <w:rPr>
          <w:rFonts w:eastAsia="Times New Roman"/>
          <w:color w:val="000000"/>
          <w:sz w:val="20"/>
          <w:szCs w:val="20"/>
        </w:rPr>
        <w:t xml:space="preserve"> 2032 and (2) $85 aggregate principal amount of 4.99% Senior Notes due September 15, 2052. On July 15, 2022, UGI Utilities issued $90 aggregate principal amount of 4.75% Senior Notes pursuant to the note purchase agreement. On September 15, 2022, UGI Utili</w:t>
      </w:r>
      <w:r>
        <w:rPr>
          <w:rFonts w:eastAsia="Times New Roman"/>
          <w:color w:val="000000"/>
          <w:sz w:val="20"/>
          <w:szCs w:val="20"/>
        </w:rPr>
        <w:t>ties issued $85 aggregate principal amount of 4.99% Senior Notes pursuant to the note purchase agreement. The net proceeds from the issuance of the 4.75% Senior Notes and 4.99% Senior Notes were used to reduce short-term borrowings and for general corporat</w:t>
      </w:r>
      <w:r>
        <w:rPr>
          <w:rFonts w:eastAsia="Times New Roman"/>
          <w:color w:val="000000"/>
          <w:sz w:val="20"/>
          <w:szCs w:val="20"/>
        </w:rPr>
        <w:t xml:space="preserve">e purposes. </w:t>
      </w:r>
    </w:p>
    <w:p w14:paraId="1F554F25" w14:textId="77777777" w:rsidR="00000000" w:rsidRDefault="00C1661D">
      <w:pPr>
        <w:jc w:val="both"/>
        <w:rPr>
          <w:rFonts w:eastAsia="Times New Roman"/>
        </w:rPr>
      </w:pPr>
    </w:p>
    <w:p w14:paraId="26CA0241" w14:textId="77777777" w:rsidR="00000000" w:rsidRDefault="00C1661D">
      <w:pPr>
        <w:jc w:val="both"/>
        <w:rPr>
          <w:rFonts w:eastAsia="Times New Roman"/>
        </w:rPr>
      </w:pPr>
      <w:r>
        <w:rPr>
          <w:rFonts w:eastAsia="Times New Roman"/>
          <w:b/>
          <w:bCs/>
          <w:i/>
          <w:iCs/>
          <w:color w:val="000000"/>
          <w:sz w:val="20"/>
          <w:szCs w:val="20"/>
        </w:rPr>
        <w:t>Mountaineer.</w:t>
      </w:r>
      <w:r>
        <w:rPr>
          <w:rFonts w:eastAsia="Times New Roman"/>
          <w:color w:val="000000"/>
          <w:sz w:val="20"/>
          <w:szCs w:val="20"/>
        </w:rPr>
        <w:t xml:space="preserve"> On June 30, 2022, Mountaineer entered into a note purchase agreement which provides for the private placement of $40 aggregate principal amount of 4.49% Senior Notes due August 16, 2052. On August 16, 2022, Mountaineer issued $4</w:t>
      </w:r>
      <w:r>
        <w:rPr>
          <w:rFonts w:eastAsia="Times New Roman"/>
          <w:color w:val="000000"/>
          <w:sz w:val="20"/>
          <w:szCs w:val="20"/>
        </w:rPr>
        <w:t>0 aggregate principal amount of 4.49% Senior Notes pursuant to the note purchase agreement. The net proceeds from the issuance of the 4.49% Senior Notes were used to reduce short-term borrowings and for general corporate purposes</w:t>
      </w:r>
      <w:r>
        <w:rPr>
          <w:rFonts w:ascii="Calibri" w:eastAsia="Times New Roman" w:hAnsi="Calibri" w:cs="Calibri"/>
          <w:color w:val="000000"/>
          <w:sz w:val="20"/>
          <w:szCs w:val="20"/>
        </w:rPr>
        <w:t xml:space="preserve">. </w:t>
      </w:r>
    </w:p>
    <w:p w14:paraId="2EC539DA" w14:textId="77777777" w:rsidR="00000000" w:rsidRDefault="00C1661D">
      <w:pPr>
        <w:jc w:val="both"/>
        <w:rPr>
          <w:rFonts w:eastAsia="Times New Roman"/>
        </w:rPr>
      </w:pPr>
    </w:p>
    <w:p w14:paraId="5F49298C" w14:textId="77777777" w:rsidR="00000000" w:rsidRDefault="00C1661D">
      <w:pPr>
        <w:jc w:val="both"/>
        <w:rPr>
          <w:rFonts w:eastAsia="Times New Roman"/>
        </w:rPr>
      </w:pPr>
      <w:r>
        <w:rPr>
          <w:rFonts w:eastAsia="Times New Roman"/>
          <w:b/>
          <w:bCs/>
          <w:i/>
          <w:iCs/>
          <w:color w:val="000000"/>
          <w:sz w:val="20"/>
          <w:szCs w:val="20"/>
        </w:rPr>
        <w:t xml:space="preserve">UGI International. </w:t>
      </w:r>
      <w:r>
        <w:rPr>
          <w:rFonts w:eastAsia="Times New Roman"/>
          <w:color w:val="000000"/>
          <w:sz w:val="20"/>
          <w:szCs w:val="20"/>
        </w:rPr>
        <w:t xml:space="preserve">On </w:t>
      </w:r>
      <w:r>
        <w:rPr>
          <w:rFonts w:eastAsia="Times New Roman"/>
          <w:color w:val="000000"/>
          <w:sz w:val="20"/>
          <w:szCs w:val="20"/>
        </w:rPr>
        <w:t>December 7, 2021, UGI International, LLC issued, in an underwritten private placement, €400 principal amount of the UGI International 2.50% Senior Notes due December 1, 2029. The UGI International 2.50% Senior Notes rank equal in right of payment with inde</w:t>
      </w:r>
      <w:r>
        <w:rPr>
          <w:rFonts w:eastAsia="Times New Roman"/>
          <w:color w:val="000000"/>
          <w:sz w:val="20"/>
          <w:szCs w:val="20"/>
        </w:rPr>
        <w:t>btedness issued under the UGI International Credit Facilities Agreement.</w:t>
      </w:r>
    </w:p>
    <w:p w14:paraId="14CBD965" w14:textId="77777777" w:rsidR="00000000" w:rsidRDefault="00C1661D">
      <w:pPr>
        <w:divId w:val="480120817"/>
        <w:rPr>
          <w:rFonts w:eastAsia="Times New Roman"/>
        </w:rPr>
      </w:pPr>
    </w:p>
    <w:p w14:paraId="6B5FC2FE" w14:textId="77777777" w:rsidR="00000000" w:rsidRDefault="00C1661D">
      <w:pPr>
        <w:jc w:val="both"/>
        <w:rPr>
          <w:rFonts w:eastAsia="Times New Roman"/>
        </w:rPr>
      </w:pPr>
      <w:r>
        <w:rPr>
          <w:rFonts w:eastAsia="Times New Roman"/>
          <w:color w:val="000000"/>
          <w:sz w:val="20"/>
          <w:szCs w:val="20"/>
        </w:rPr>
        <w:t>The net proceeds from the UGI International 2.50% Senior Notes were used (1) to repay all of the UGI International 3.25% Senior Notes due November 1, 2025 and associated fees and ex</w:t>
      </w:r>
      <w:r>
        <w:rPr>
          <w:rFonts w:eastAsia="Times New Roman"/>
          <w:color w:val="000000"/>
          <w:sz w:val="20"/>
          <w:szCs w:val="20"/>
        </w:rPr>
        <w:t>penses and (2) for general corporate purposes. We have designated the UGI International 2.50% Senior Notes as a net investment hedge. In connection with this early repayment of debt, UGI International recognized a pre-tax loss of $11, which is reflected in</w:t>
      </w:r>
      <w:r>
        <w:rPr>
          <w:rFonts w:eastAsia="Times New Roman"/>
          <w:color w:val="000000"/>
          <w:sz w:val="20"/>
          <w:szCs w:val="20"/>
        </w:rPr>
        <w:t xml:space="preserve"> “Loss on extinguishment of debt” on the Consolidated Statements of Income, and primarily comprises the write-off of unamortized debt issuance costs and early redemption premiums.</w:t>
      </w:r>
    </w:p>
    <w:p w14:paraId="53C8792B" w14:textId="77777777" w:rsidR="00000000" w:rsidRDefault="00C1661D">
      <w:pPr>
        <w:jc w:val="both"/>
        <w:rPr>
          <w:rFonts w:eastAsia="Times New Roman"/>
        </w:rPr>
      </w:pPr>
    </w:p>
    <w:p w14:paraId="4CDD39DE" w14:textId="77777777" w:rsidR="00000000" w:rsidRDefault="00C1661D">
      <w:pPr>
        <w:jc w:val="center"/>
        <w:divId w:val="435058286"/>
        <w:rPr>
          <w:rFonts w:eastAsia="Times New Roman"/>
        </w:rPr>
      </w:pPr>
      <w:r>
        <w:rPr>
          <w:rFonts w:eastAsia="Times New Roman"/>
          <w:color w:val="000000"/>
          <w:sz w:val="20"/>
          <w:szCs w:val="20"/>
        </w:rPr>
        <w:t>F-27</w:t>
      </w:r>
    </w:p>
    <w:p w14:paraId="5E01CBEB" w14:textId="77777777" w:rsidR="00000000" w:rsidRDefault="00C1661D">
      <w:pPr>
        <w:rPr>
          <w:rFonts w:eastAsia="Times New Roman"/>
        </w:rPr>
      </w:pPr>
      <w:r>
        <w:rPr>
          <w:rFonts w:eastAsia="Times New Roman"/>
        </w:rPr>
        <w:pict w14:anchorId="16F7A241">
          <v:rect id="_x0000_i1140" style="width:0;height:1.5pt" o:hralign="center" o:hrstd="t" o:hr="t" fillcolor="#a0a0a0" stroked="f"/>
        </w:pict>
      </w:r>
    </w:p>
    <w:p w14:paraId="05F8E126" w14:textId="77777777" w:rsidR="00000000" w:rsidRDefault="00C1661D">
      <w:pPr>
        <w:divId w:val="401298464"/>
        <w:rPr>
          <w:rFonts w:eastAsia="Times New Roman"/>
        </w:rPr>
      </w:pPr>
      <w:hyperlink w:anchor="i3850c3c6c0104e42b9951aac2f16098a_7" w:history="1">
        <w:r>
          <w:rPr>
            <w:rStyle w:val="a3"/>
            <w:rFonts w:eastAsia="Times New Roman"/>
            <w:sz w:val="20"/>
            <w:szCs w:val="20"/>
          </w:rPr>
          <w:t>Table of Contents</w:t>
        </w:r>
      </w:hyperlink>
    </w:p>
    <w:p w14:paraId="37E21C10" w14:textId="77777777" w:rsidR="00000000" w:rsidRDefault="00C1661D">
      <w:pPr>
        <w:divId w:val="54859352"/>
        <w:rPr>
          <w:rFonts w:eastAsia="Times New Roman"/>
        </w:rPr>
      </w:pPr>
      <w:r>
        <w:rPr>
          <w:rFonts w:eastAsia="Times New Roman"/>
          <w:b/>
          <w:bCs/>
          <w:color w:val="000000"/>
          <w:sz w:val="20"/>
          <w:szCs w:val="20"/>
        </w:rPr>
        <w:t>UGI Corporation and Subsidiaries</w:t>
      </w:r>
    </w:p>
    <w:p w14:paraId="785B608F" w14:textId="77777777" w:rsidR="00000000" w:rsidRDefault="00C1661D">
      <w:pPr>
        <w:divId w:val="1081096198"/>
        <w:rPr>
          <w:rFonts w:eastAsia="Times New Roman"/>
        </w:rPr>
      </w:pPr>
      <w:r>
        <w:rPr>
          <w:rFonts w:eastAsia="Times New Roman"/>
          <w:b/>
          <w:bCs/>
          <w:color w:val="000000"/>
          <w:sz w:val="20"/>
          <w:szCs w:val="20"/>
        </w:rPr>
        <w:t>Notes to Consolidated Financial Statements</w:t>
      </w:r>
    </w:p>
    <w:p w14:paraId="64944A7A" w14:textId="77777777" w:rsidR="00000000" w:rsidRDefault="00C1661D">
      <w:pPr>
        <w:divId w:val="1610775333"/>
        <w:rPr>
          <w:rFonts w:eastAsia="Times New Roman"/>
        </w:rPr>
      </w:pPr>
      <w:r>
        <w:rPr>
          <w:rFonts w:eastAsia="Times New Roman"/>
          <w:color w:val="000000"/>
          <w:sz w:val="20"/>
          <w:szCs w:val="20"/>
        </w:rPr>
        <w:t>(Currency in millions, except per share amounts and where indicated otherwise)</w:t>
      </w:r>
    </w:p>
    <w:p w14:paraId="27FA2654" w14:textId="77777777" w:rsidR="00000000" w:rsidRDefault="00C1661D">
      <w:pPr>
        <w:jc w:val="both"/>
        <w:divId w:val="943197044"/>
        <w:rPr>
          <w:rFonts w:eastAsia="Times New Roman"/>
        </w:rPr>
      </w:pPr>
      <w:r>
        <w:rPr>
          <w:rFonts w:eastAsia="Times New Roman"/>
          <w:b/>
          <w:bCs/>
          <w:color w:val="000000"/>
          <w:sz w:val="20"/>
          <w:szCs w:val="20"/>
        </w:rPr>
        <w:t>Credit Facilities and Short-term Borrowings</w:t>
      </w:r>
    </w:p>
    <w:p w14:paraId="429D2F98" w14:textId="77777777" w:rsidR="00000000" w:rsidRDefault="00C1661D">
      <w:pPr>
        <w:jc w:val="both"/>
        <w:rPr>
          <w:rFonts w:eastAsia="Times New Roman"/>
        </w:rPr>
      </w:pPr>
    </w:p>
    <w:p w14:paraId="2337B436" w14:textId="77777777" w:rsidR="00000000" w:rsidRDefault="00C1661D">
      <w:pPr>
        <w:jc w:val="both"/>
        <w:rPr>
          <w:rFonts w:eastAsia="Times New Roman"/>
        </w:rPr>
      </w:pPr>
      <w:r>
        <w:rPr>
          <w:rFonts w:eastAsia="Times New Roman"/>
          <w:color w:val="000000"/>
          <w:sz w:val="20"/>
          <w:szCs w:val="20"/>
        </w:rPr>
        <w:t>Information about the Company’s principal credit agreements (excluding the Energy Services Receivables Facility, which is discussed</w:t>
      </w:r>
      <w:r>
        <w:rPr>
          <w:rFonts w:eastAsia="Times New Roman"/>
          <w:color w:val="000000"/>
          <w:sz w:val="20"/>
          <w:szCs w:val="20"/>
        </w:rPr>
        <w:t xml:space="preserve"> below) as of September 30, 2022 and 2021, is presented in the following table. Borrowings on these credit agreements bear interest at rates indexed to short-term market rates. Borrowings outstanding under these agreements (other than the 2021 UGI Corporat</w:t>
      </w:r>
      <w:r>
        <w:rPr>
          <w:rFonts w:eastAsia="Times New Roman"/>
          <w:color w:val="000000"/>
          <w:sz w:val="20"/>
          <w:szCs w:val="20"/>
        </w:rPr>
        <w:t xml:space="preserve">ion Senior Credit Facility and its predecessor agreement) are classified as “Short-term borrowings” on the Consolidated Balance Sheets. </w:t>
      </w:r>
    </w:p>
    <w:tbl>
      <w:tblPr>
        <w:tblW w:w="4985" w:type="pct"/>
        <w:jc w:val="center"/>
        <w:tblCellMar>
          <w:top w:w="15" w:type="dxa"/>
          <w:left w:w="15" w:type="dxa"/>
          <w:bottom w:w="15" w:type="dxa"/>
          <w:right w:w="15" w:type="dxa"/>
        </w:tblCellMar>
        <w:tblLook w:val="04A0" w:firstRow="1" w:lastRow="0" w:firstColumn="1" w:lastColumn="0" w:noHBand="0" w:noVBand="1"/>
      </w:tblPr>
      <w:tblGrid>
        <w:gridCol w:w="49"/>
        <w:gridCol w:w="1663"/>
        <w:gridCol w:w="38"/>
        <w:gridCol w:w="36"/>
        <w:gridCol w:w="36"/>
        <w:gridCol w:w="36"/>
        <w:gridCol w:w="64"/>
        <w:gridCol w:w="815"/>
        <w:gridCol w:w="36"/>
        <w:gridCol w:w="36"/>
        <w:gridCol w:w="36"/>
        <w:gridCol w:w="36"/>
        <w:gridCol w:w="121"/>
        <w:gridCol w:w="673"/>
        <w:gridCol w:w="36"/>
        <w:gridCol w:w="36"/>
        <w:gridCol w:w="36"/>
        <w:gridCol w:w="36"/>
        <w:gridCol w:w="121"/>
        <w:gridCol w:w="927"/>
        <w:gridCol w:w="36"/>
        <w:gridCol w:w="36"/>
        <w:gridCol w:w="36"/>
        <w:gridCol w:w="36"/>
        <w:gridCol w:w="121"/>
        <w:gridCol w:w="922"/>
        <w:gridCol w:w="36"/>
        <w:gridCol w:w="36"/>
        <w:gridCol w:w="36"/>
        <w:gridCol w:w="36"/>
        <w:gridCol w:w="121"/>
        <w:gridCol w:w="821"/>
        <w:gridCol w:w="36"/>
        <w:gridCol w:w="36"/>
        <w:gridCol w:w="36"/>
        <w:gridCol w:w="36"/>
        <w:gridCol w:w="84"/>
        <w:gridCol w:w="726"/>
        <w:gridCol w:w="187"/>
      </w:tblGrid>
      <w:tr w:rsidR="00000000" w14:paraId="79F2DD7E" w14:textId="77777777">
        <w:trPr>
          <w:divId w:val="2038194111"/>
          <w:jc w:val="center"/>
        </w:trPr>
        <w:tc>
          <w:tcPr>
            <w:tcW w:w="50" w:type="pct"/>
            <w:vAlign w:val="center"/>
            <w:hideMark/>
          </w:tcPr>
          <w:p w14:paraId="2B0934DD" w14:textId="77777777" w:rsidR="00000000" w:rsidRDefault="00C1661D">
            <w:pPr>
              <w:jc w:val="both"/>
              <w:rPr>
                <w:rFonts w:eastAsia="Times New Roman"/>
              </w:rPr>
            </w:pPr>
          </w:p>
        </w:tc>
        <w:tc>
          <w:tcPr>
            <w:tcW w:w="1227" w:type="pct"/>
            <w:vAlign w:val="center"/>
            <w:hideMark/>
          </w:tcPr>
          <w:p w14:paraId="1B3DD36F" w14:textId="77777777" w:rsidR="00000000" w:rsidRDefault="00C1661D">
            <w:pPr>
              <w:spacing w:after="100"/>
              <w:rPr>
                <w:rFonts w:eastAsia="Times New Roman"/>
                <w:sz w:val="20"/>
                <w:szCs w:val="20"/>
              </w:rPr>
            </w:pPr>
          </w:p>
        </w:tc>
        <w:tc>
          <w:tcPr>
            <w:tcW w:w="5" w:type="pct"/>
            <w:vAlign w:val="center"/>
            <w:hideMark/>
          </w:tcPr>
          <w:p w14:paraId="2DE5184D" w14:textId="77777777" w:rsidR="00000000" w:rsidRDefault="00C1661D">
            <w:pPr>
              <w:spacing w:after="100"/>
              <w:rPr>
                <w:rFonts w:eastAsia="Times New Roman"/>
                <w:sz w:val="20"/>
                <w:szCs w:val="20"/>
              </w:rPr>
            </w:pPr>
          </w:p>
        </w:tc>
        <w:tc>
          <w:tcPr>
            <w:tcW w:w="5" w:type="pct"/>
            <w:vAlign w:val="center"/>
            <w:hideMark/>
          </w:tcPr>
          <w:p w14:paraId="48E206AF" w14:textId="77777777" w:rsidR="00000000" w:rsidRDefault="00C1661D">
            <w:pPr>
              <w:spacing w:after="100"/>
              <w:rPr>
                <w:rFonts w:eastAsia="Times New Roman"/>
                <w:sz w:val="20"/>
                <w:szCs w:val="20"/>
              </w:rPr>
            </w:pPr>
          </w:p>
        </w:tc>
        <w:tc>
          <w:tcPr>
            <w:tcW w:w="26" w:type="pct"/>
            <w:vAlign w:val="center"/>
            <w:hideMark/>
          </w:tcPr>
          <w:p w14:paraId="222730B5" w14:textId="77777777" w:rsidR="00000000" w:rsidRDefault="00C1661D">
            <w:pPr>
              <w:spacing w:after="100"/>
              <w:rPr>
                <w:rFonts w:eastAsia="Times New Roman"/>
                <w:sz w:val="20"/>
                <w:szCs w:val="20"/>
              </w:rPr>
            </w:pPr>
          </w:p>
        </w:tc>
        <w:tc>
          <w:tcPr>
            <w:tcW w:w="5" w:type="pct"/>
            <w:vAlign w:val="center"/>
            <w:hideMark/>
          </w:tcPr>
          <w:p w14:paraId="54844E05" w14:textId="77777777" w:rsidR="00000000" w:rsidRDefault="00C1661D">
            <w:pPr>
              <w:spacing w:after="100"/>
              <w:rPr>
                <w:rFonts w:eastAsia="Times New Roman"/>
                <w:sz w:val="20"/>
                <w:szCs w:val="20"/>
              </w:rPr>
            </w:pPr>
          </w:p>
        </w:tc>
        <w:tc>
          <w:tcPr>
            <w:tcW w:w="50" w:type="pct"/>
            <w:vAlign w:val="center"/>
            <w:hideMark/>
          </w:tcPr>
          <w:p w14:paraId="72B1ED7B" w14:textId="77777777" w:rsidR="00000000" w:rsidRDefault="00C1661D">
            <w:pPr>
              <w:spacing w:after="100"/>
              <w:rPr>
                <w:rFonts w:eastAsia="Times New Roman"/>
                <w:sz w:val="20"/>
                <w:szCs w:val="20"/>
              </w:rPr>
            </w:pPr>
          </w:p>
        </w:tc>
        <w:tc>
          <w:tcPr>
            <w:tcW w:w="641" w:type="pct"/>
            <w:vAlign w:val="center"/>
            <w:hideMark/>
          </w:tcPr>
          <w:p w14:paraId="2EF07574" w14:textId="77777777" w:rsidR="00000000" w:rsidRDefault="00C1661D">
            <w:pPr>
              <w:spacing w:after="100"/>
              <w:rPr>
                <w:rFonts w:eastAsia="Times New Roman"/>
                <w:sz w:val="20"/>
                <w:szCs w:val="20"/>
              </w:rPr>
            </w:pPr>
          </w:p>
        </w:tc>
        <w:tc>
          <w:tcPr>
            <w:tcW w:w="5" w:type="pct"/>
            <w:vAlign w:val="center"/>
            <w:hideMark/>
          </w:tcPr>
          <w:p w14:paraId="59D6C106" w14:textId="77777777" w:rsidR="00000000" w:rsidRDefault="00C1661D">
            <w:pPr>
              <w:spacing w:after="100"/>
              <w:rPr>
                <w:rFonts w:eastAsia="Times New Roman"/>
                <w:sz w:val="20"/>
                <w:szCs w:val="20"/>
              </w:rPr>
            </w:pPr>
          </w:p>
        </w:tc>
        <w:tc>
          <w:tcPr>
            <w:tcW w:w="5" w:type="pct"/>
            <w:vAlign w:val="center"/>
            <w:hideMark/>
          </w:tcPr>
          <w:p w14:paraId="1EB7F3E0" w14:textId="77777777" w:rsidR="00000000" w:rsidRDefault="00C1661D">
            <w:pPr>
              <w:spacing w:after="100"/>
              <w:rPr>
                <w:rFonts w:eastAsia="Times New Roman"/>
                <w:sz w:val="20"/>
                <w:szCs w:val="20"/>
              </w:rPr>
            </w:pPr>
          </w:p>
        </w:tc>
        <w:tc>
          <w:tcPr>
            <w:tcW w:w="26" w:type="pct"/>
            <w:vAlign w:val="center"/>
            <w:hideMark/>
          </w:tcPr>
          <w:p w14:paraId="1213930C" w14:textId="77777777" w:rsidR="00000000" w:rsidRDefault="00C1661D">
            <w:pPr>
              <w:spacing w:after="100"/>
              <w:rPr>
                <w:rFonts w:eastAsia="Times New Roman"/>
                <w:sz w:val="20"/>
                <w:szCs w:val="20"/>
              </w:rPr>
            </w:pPr>
          </w:p>
        </w:tc>
        <w:tc>
          <w:tcPr>
            <w:tcW w:w="5" w:type="pct"/>
            <w:vAlign w:val="center"/>
            <w:hideMark/>
          </w:tcPr>
          <w:p w14:paraId="13FCEF74" w14:textId="77777777" w:rsidR="00000000" w:rsidRDefault="00C1661D">
            <w:pPr>
              <w:spacing w:after="100"/>
              <w:rPr>
                <w:rFonts w:eastAsia="Times New Roman"/>
                <w:sz w:val="20"/>
                <w:szCs w:val="20"/>
              </w:rPr>
            </w:pPr>
          </w:p>
        </w:tc>
        <w:tc>
          <w:tcPr>
            <w:tcW w:w="50" w:type="pct"/>
            <w:vAlign w:val="center"/>
            <w:hideMark/>
          </w:tcPr>
          <w:p w14:paraId="697B028A" w14:textId="77777777" w:rsidR="00000000" w:rsidRDefault="00C1661D">
            <w:pPr>
              <w:spacing w:after="100"/>
              <w:rPr>
                <w:rFonts w:eastAsia="Times New Roman"/>
                <w:sz w:val="20"/>
                <w:szCs w:val="20"/>
              </w:rPr>
            </w:pPr>
          </w:p>
        </w:tc>
        <w:tc>
          <w:tcPr>
            <w:tcW w:w="480" w:type="pct"/>
            <w:vAlign w:val="center"/>
            <w:hideMark/>
          </w:tcPr>
          <w:p w14:paraId="2F1D5A53" w14:textId="77777777" w:rsidR="00000000" w:rsidRDefault="00C1661D">
            <w:pPr>
              <w:spacing w:after="100"/>
              <w:rPr>
                <w:rFonts w:eastAsia="Times New Roman"/>
                <w:sz w:val="20"/>
                <w:szCs w:val="20"/>
              </w:rPr>
            </w:pPr>
          </w:p>
        </w:tc>
        <w:tc>
          <w:tcPr>
            <w:tcW w:w="5" w:type="pct"/>
            <w:vAlign w:val="center"/>
            <w:hideMark/>
          </w:tcPr>
          <w:p w14:paraId="141EF51A" w14:textId="77777777" w:rsidR="00000000" w:rsidRDefault="00C1661D">
            <w:pPr>
              <w:spacing w:after="100"/>
              <w:rPr>
                <w:rFonts w:eastAsia="Times New Roman"/>
                <w:sz w:val="20"/>
                <w:szCs w:val="20"/>
              </w:rPr>
            </w:pPr>
          </w:p>
        </w:tc>
        <w:tc>
          <w:tcPr>
            <w:tcW w:w="5" w:type="pct"/>
            <w:vAlign w:val="center"/>
            <w:hideMark/>
          </w:tcPr>
          <w:p w14:paraId="02AD9CD9" w14:textId="77777777" w:rsidR="00000000" w:rsidRDefault="00C1661D">
            <w:pPr>
              <w:spacing w:after="100"/>
              <w:rPr>
                <w:rFonts w:eastAsia="Times New Roman"/>
                <w:sz w:val="20"/>
                <w:szCs w:val="20"/>
              </w:rPr>
            </w:pPr>
          </w:p>
        </w:tc>
        <w:tc>
          <w:tcPr>
            <w:tcW w:w="26" w:type="pct"/>
            <w:vAlign w:val="center"/>
            <w:hideMark/>
          </w:tcPr>
          <w:p w14:paraId="5966DF5C" w14:textId="77777777" w:rsidR="00000000" w:rsidRDefault="00C1661D">
            <w:pPr>
              <w:spacing w:after="100"/>
              <w:rPr>
                <w:rFonts w:eastAsia="Times New Roman"/>
                <w:sz w:val="20"/>
                <w:szCs w:val="20"/>
              </w:rPr>
            </w:pPr>
          </w:p>
        </w:tc>
        <w:tc>
          <w:tcPr>
            <w:tcW w:w="5" w:type="pct"/>
            <w:vAlign w:val="center"/>
            <w:hideMark/>
          </w:tcPr>
          <w:p w14:paraId="5A93C4E8" w14:textId="77777777" w:rsidR="00000000" w:rsidRDefault="00C1661D">
            <w:pPr>
              <w:spacing w:after="100"/>
              <w:rPr>
                <w:rFonts w:eastAsia="Times New Roman"/>
                <w:sz w:val="20"/>
                <w:szCs w:val="20"/>
              </w:rPr>
            </w:pPr>
          </w:p>
        </w:tc>
        <w:tc>
          <w:tcPr>
            <w:tcW w:w="50" w:type="pct"/>
            <w:vAlign w:val="center"/>
            <w:hideMark/>
          </w:tcPr>
          <w:p w14:paraId="71F5EC1E" w14:textId="77777777" w:rsidR="00000000" w:rsidRDefault="00C1661D">
            <w:pPr>
              <w:spacing w:after="100"/>
              <w:rPr>
                <w:rFonts w:eastAsia="Times New Roman"/>
                <w:sz w:val="20"/>
                <w:szCs w:val="20"/>
              </w:rPr>
            </w:pPr>
          </w:p>
        </w:tc>
        <w:tc>
          <w:tcPr>
            <w:tcW w:w="560" w:type="pct"/>
            <w:vAlign w:val="center"/>
            <w:hideMark/>
          </w:tcPr>
          <w:p w14:paraId="02703410" w14:textId="77777777" w:rsidR="00000000" w:rsidRDefault="00C1661D">
            <w:pPr>
              <w:spacing w:after="100"/>
              <w:rPr>
                <w:rFonts w:eastAsia="Times New Roman"/>
                <w:sz w:val="20"/>
                <w:szCs w:val="20"/>
              </w:rPr>
            </w:pPr>
          </w:p>
        </w:tc>
        <w:tc>
          <w:tcPr>
            <w:tcW w:w="5" w:type="pct"/>
            <w:vAlign w:val="center"/>
            <w:hideMark/>
          </w:tcPr>
          <w:p w14:paraId="2589F25A" w14:textId="77777777" w:rsidR="00000000" w:rsidRDefault="00C1661D">
            <w:pPr>
              <w:spacing w:after="100"/>
              <w:rPr>
                <w:rFonts w:eastAsia="Times New Roman"/>
                <w:sz w:val="20"/>
                <w:szCs w:val="20"/>
              </w:rPr>
            </w:pPr>
          </w:p>
        </w:tc>
        <w:tc>
          <w:tcPr>
            <w:tcW w:w="5" w:type="pct"/>
            <w:vAlign w:val="center"/>
            <w:hideMark/>
          </w:tcPr>
          <w:p w14:paraId="38232470" w14:textId="77777777" w:rsidR="00000000" w:rsidRDefault="00C1661D">
            <w:pPr>
              <w:spacing w:after="100"/>
              <w:rPr>
                <w:rFonts w:eastAsia="Times New Roman"/>
                <w:sz w:val="20"/>
                <w:szCs w:val="20"/>
              </w:rPr>
            </w:pPr>
          </w:p>
        </w:tc>
        <w:tc>
          <w:tcPr>
            <w:tcW w:w="26" w:type="pct"/>
            <w:vAlign w:val="center"/>
            <w:hideMark/>
          </w:tcPr>
          <w:p w14:paraId="3739C0F1" w14:textId="77777777" w:rsidR="00000000" w:rsidRDefault="00C1661D">
            <w:pPr>
              <w:spacing w:after="100"/>
              <w:rPr>
                <w:rFonts w:eastAsia="Times New Roman"/>
                <w:sz w:val="20"/>
                <w:szCs w:val="20"/>
              </w:rPr>
            </w:pPr>
          </w:p>
        </w:tc>
        <w:tc>
          <w:tcPr>
            <w:tcW w:w="5" w:type="pct"/>
            <w:vAlign w:val="center"/>
            <w:hideMark/>
          </w:tcPr>
          <w:p w14:paraId="3DABB8BD" w14:textId="77777777" w:rsidR="00000000" w:rsidRDefault="00C1661D">
            <w:pPr>
              <w:spacing w:after="100"/>
              <w:rPr>
                <w:rFonts w:eastAsia="Times New Roman"/>
                <w:sz w:val="20"/>
                <w:szCs w:val="20"/>
              </w:rPr>
            </w:pPr>
          </w:p>
        </w:tc>
        <w:tc>
          <w:tcPr>
            <w:tcW w:w="50" w:type="pct"/>
            <w:vAlign w:val="center"/>
            <w:hideMark/>
          </w:tcPr>
          <w:p w14:paraId="7FDB06AB" w14:textId="77777777" w:rsidR="00000000" w:rsidRDefault="00C1661D">
            <w:pPr>
              <w:spacing w:after="100"/>
              <w:rPr>
                <w:rFonts w:eastAsia="Times New Roman"/>
                <w:sz w:val="20"/>
                <w:szCs w:val="20"/>
              </w:rPr>
            </w:pPr>
          </w:p>
        </w:tc>
        <w:tc>
          <w:tcPr>
            <w:tcW w:w="524" w:type="pct"/>
            <w:vAlign w:val="center"/>
            <w:hideMark/>
          </w:tcPr>
          <w:p w14:paraId="109BD06D" w14:textId="77777777" w:rsidR="00000000" w:rsidRDefault="00C1661D">
            <w:pPr>
              <w:spacing w:after="100"/>
              <w:rPr>
                <w:rFonts w:eastAsia="Times New Roman"/>
                <w:sz w:val="20"/>
                <w:szCs w:val="20"/>
              </w:rPr>
            </w:pPr>
          </w:p>
        </w:tc>
        <w:tc>
          <w:tcPr>
            <w:tcW w:w="5" w:type="pct"/>
            <w:vAlign w:val="center"/>
            <w:hideMark/>
          </w:tcPr>
          <w:p w14:paraId="44979447" w14:textId="77777777" w:rsidR="00000000" w:rsidRDefault="00C1661D">
            <w:pPr>
              <w:spacing w:after="100"/>
              <w:rPr>
                <w:rFonts w:eastAsia="Times New Roman"/>
                <w:sz w:val="20"/>
                <w:szCs w:val="20"/>
              </w:rPr>
            </w:pPr>
          </w:p>
        </w:tc>
        <w:tc>
          <w:tcPr>
            <w:tcW w:w="5" w:type="pct"/>
            <w:vAlign w:val="center"/>
            <w:hideMark/>
          </w:tcPr>
          <w:p w14:paraId="062047DB" w14:textId="77777777" w:rsidR="00000000" w:rsidRDefault="00C1661D">
            <w:pPr>
              <w:spacing w:after="100"/>
              <w:rPr>
                <w:rFonts w:eastAsia="Times New Roman"/>
                <w:sz w:val="20"/>
                <w:szCs w:val="20"/>
              </w:rPr>
            </w:pPr>
          </w:p>
        </w:tc>
        <w:tc>
          <w:tcPr>
            <w:tcW w:w="26" w:type="pct"/>
            <w:vAlign w:val="center"/>
            <w:hideMark/>
          </w:tcPr>
          <w:p w14:paraId="1F714ACB" w14:textId="77777777" w:rsidR="00000000" w:rsidRDefault="00C1661D">
            <w:pPr>
              <w:spacing w:after="100"/>
              <w:rPr>
                <w:rFonts w:eastAsia="Times New Roman"/>
                <w:sz w:val="20"/>
                <w:szCs w:val="20"/>
              </w:rPr>
            </w:pPr>
          </w:p>
        </w:tc>
        <w:tc>
          <w:tcPr>
            <w:tcW w:w="5" w:type="pct"/>
            <w:vAlign w:val="center"/>
            <w:hideMark/>
          </w:tcPr>
          <w:p w14:paraId="584F03FE" w14:textId="77777777" w:rsidR="00000000" w:rsidRDefault="00C1661D">
            <w:pPr>
              <w:spacing w:after="100"/>
              <w:rPr>
                <w:rFonts w:eastAsia="Times New Roman"/>
                <w:sz w:val="20"/>
                <w:szCs w:val="20"/>
              </w:rPr>
            </w:pPr>
          </w:p>
        </w:tc>
        <w:tc>
          <w:tcPr>
            <w:tcW w:w="50" w:type="pct"/>
            <w:vAlign w:val="center"/>
            <w:hideMark/>
          </w:tcPr>
          <w:p w14:paraId="6A591497" w14:textId="77777777" w:rsidR="00000000" w:rsidRDefault="00C1661D">
            <w:pPr>
              <w:spacing w:after="100"/>
              <w:rPr>
                <w:rFonts w:eastAsia="Times New Roman"/>
                <w:sz w:val="20"/>
                <w:szCs w:val="20"/>
              </w:rPr>
            </w:pPr>
          </w:p>
        </w:tc>
        <w:tc>
          <w:tcPr>
            <w:tcW w:w="524" w:type="pct"/>
            <w:vAlign w:val="center"/>
            <w:hideMark/>
          </w:tcPr>
          <w:p w14:paraId="7677E594" w14:textId="77777777" w:rsidR="00000000" w:rsidRDefault="00C1661D">
            <w:pPr>
              <w:spacing w:after="100"/>
              <w:rPr>
                <w:rFonts w:eastAsia="Times New Roman"/>
                <w:sz w:val="20"/>
                <w:szCs w:val="20"/>
              </w:rPr>
            </w:pPr>
          </w:p>
        </w:tc>
        <w:tc>
          <w:tcPr>
            <w:tcW w:w="5" w:type="pct"/>
            <w:vAlign w:val="center"/>
            <w:hideMark/>
          </w:tcPr>
          <w:p w14:paraId="70AF6137" w14:textId="77777777" w:rsidR="00000000" w:rsidRDefault="00C1661D">
            <w:pPr>
              <w:spacing w:after="100"/>
              <w:rPr>
                <w:rFonts w:eastAsia="Times New Roman"/>
                <w:sz w:val="20"/>
                <w:szCs w:val="20"/>
              </w:rPr>
            </w:pPr>
          </w:p>
        </w:tc>
        <w:tc>
          <w:tcPr>
            <w:tcW w:w="5" w:type="pct"/>
            <w:vAlign w:val="center"/>
            <w:hideMark/>
          </w:tcPr>
          <w:p w14:paraId="13315DF7" w14:textId="77777777" w:rsidR="00000000" w:rsidRDefault="00C1661D">
            <w:pPr>
              <w:spacing w:after="100"/>
              <w:rPr>
                <w:rFonts w:eastAsia="Times New Roman"/>
                <w:sz w:val="20"/>
                <w:szCs w:val="20"/>
              </w:rPr>
            </w:pPr>
          </w:p>
        </w:tc>
        <w:tc>
          <w:tcPr>
            <w:tcW w:w="26" w:type="pct"/>
            <w:vAlign w:val="center"/>
            <w:hideMark/>
          </w:tcPr>
          <w:p w14:paraId="67EE7E42" w14:textId="77777777" w:rsidR="00000000" w:rsidRDefault="00C1661D">
            <w:pPr>
              <w:spacing w:after="100"/>
              <w:rPr>
                <w:rFonts w:eastAsia="Times New Roman"/>
                <w:sz w:val="20"/>
                <w:szCs w:val="20"/>
              </w:rPr>
            </w:pPr>
          </w:p>
        </w:tc>
        <w:tc>
          <w:tcPr>
            <w:tcW w:w="5" w:type="pct"/>
            <w:vAlign w:val="center"/>
            <w:hideMark/>
          </w:tcPr>
          <w:p w14:paraId="436E864A" w14:textId="77777777" w:rsidR="00000000" w:rsidRDefault="00C1661D">
            <w:pPr>
              <w:spacing w:after="100"/>
              <w:rPr>
                <w:rFonts w:eastAsia="Times New Roman"/>
                <w:sz w:val="20"/>
                <w:szCs w:val="20"/>
              </w:rPr>
            </w:pPr>
          </w:p>
        </w:tc>
        <w:tc>
          <w:tcPr>
            <w:tcW w:w="50" w:type="pct"/>
            <w:vAlign w:val="center"/>
            <w:hideMark/>
          </w:tcPr>
          <w:p w14:paraId="02229655" w14:textId="77777777" w:rsidR="00000000" w:rsidRDefault="00C1661D">
            <w:pPr>
              <w:spacing w:after="100"/>
              <w:rPr>
                <w:rFonts w:eastAsia="Times New Roman"/>
                <w:sz w:val="20"/>
                <w:szCs w:val="20"/>
              </w:rPr>
            </w:pPr>
          </w:p>
        </w:tc>
        <w:tc>
          <w:tcPr>
            <w:tcW w:w="436" w:type="pct"/>
            <w:vAlign w:val="center"/>
            <w:hideMark/>
          </w:tcPr>
          <w:p w14:paraId="03EDFF5E" w14:textId="77777777" w:rsidR="00000000" w:rsidRDefault="00C1661D">
            <w:pPr>
              <w:spacing w:after="100"/>
              <w:rPr>
                <w:rFonts w:eastAsia="Times New Roman"/>
                <w:sz w:val="20"/>
                <w:szCs w:val="20"/>
              </w:rPr>
            </w:pPr>
          </w:p>
        </w:tc>
        <w:tc>
          <w:tcPr>
            <w:tcW w:w="5" w:type="pct"/>
            <w:vAlign w:val="center"/>
            <w:hideMark/>
          </w:tcPr>
          <w:p w14:paraId="5C6A6D60" w14:textId="77777777" w:rsidR="00000000" w:rsidRDefault="00C1661D">
            <w:pPr>
              <w:spacing w:after="100"/>
              <w:rPr>
                <w:rFonts w:eastAsia="Times New Roman"/>
                <w:sz w:val="20"/>
                <w:szCs w:val="20"/>
              </w:rPr>
            </w:pPr>
          </w:p>
        </w:tc>
      </w:tr>
      <w:tr w:rsidR="00000000" w14:paraId="0B692DD3" w14:textId="77777777">
        <w:trPr>
          <w:divId w:val="2038194111"/>
          <w:jc w:val="center"/>
        </w:trPr>
        <w:tc>
          <w:tcPr>
            <w:tcW w:w="0" w:type="auto"/>
            <w:gridSpan w:val="3"/>
            <w:tcMar>
              <w:top w:w="0" w:type="dxa"/>
              <w:left w:w="20" w:type="dxa"/>
              <w:bottom w:w="0" w:type="dxa"/>
              <w:right w:w="20" w:type="dxa"/>
            </w:tcMar>
            <w:vAlign w:val="center"/>
            <w:hideMark/>
          </w:tcPr>
          <w:p w14:paraId="752835B0"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A09827"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5F9C359" w14:textId="77777777" w:rsidR="00000000" w:rsidRDefault="00C1661D">
            <w:pPr>
              <w:spacing w:after="100"/>
              <w:jc w:val="center"/>
              <w:rPr>
                <w:rFonts w:eastAsia="Times New Roman"/>
              </w:rPr>
            </w:pPr>
            <w:r>
              <w:rPr>
                <w:rFonts w:eastAsia="Times New Roman"/>
                <w:color w:val="000000"/>
                <w:sz w:val="20"/>
                <w:szCs w:val="20"/>
              </w:rPr>
              <w:t>Expiration Date</w:t>
            </w:r>
          </w:p>
        </w:tc>
        <w:tc>
          <w:tcPr>
            <w:tcW w:w="0" w:type="auto"/>
            <w:gridSpan w:val="3"/>
            <w:tcMar>
              <w:top w:w="0" w:type="dxa"/>
              <w:left w:w="20" w:type="dxa"/>
              <w:bottom w:w="0" w:type="dxa"/>
              <w:right w:w="20" w:type="dxa"/>
            </w:tcMar>
            <w:vAlign w:val="center"/>
            <w:hideMark/>
          </w:tcPr>
          <w:p w14:paraId="59C7E321"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46152DC" w14:textId="77777777" w:rsidR="00000000" w:rsidRDefault="00C1661D">
            <w:pPr>
              <w:spacing w:after="100"/>
              <w:jc w:val="center"/>
              <w:rPr>
                <w:rFonts w:eastAsia="Times New Roman"/>
              </w:rPr>
            </w:pPr>
            <w:r>
              <w:rPr>
                <w:rFonts w:eastAsia="Times New Roman"/>
                <w:color w:val="000000"/>
                <w:sz w:val="20"/>
                <w:szCs w:val="20"/>
              </w:rPr>
              <w:t>Total Capacity</w:t>
            </w:r>
          </w:p>
        </w:tc>
        <w:tc>
          <w:tcPr>
            <w:tcW w:w="0" w:type="auto"/>
            <w:gridSpan w:val="3"/>
            <w:tcMar>
              <w:top w:w="0" w:type="dxa"/>
              <w:left w:w="20" w:type="dxa"/>
              <w:bottom w:w="0" w:type="dxa"/>
              <w:right w:w="20" w:type="dxa"/>
            </w:tcMar>
            <w:vAlign w:val="center"/>
            <w:hideMark/>
          </w:tcPr>
          <w:p w14:paraId="04B4B504"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3910DEE" w14:textId="77777777" w:rsidR="00000000" w:rsidRDefault="00C1661D">
            <w:pPr>
              <w:spacing w:after="100"/>
              <w:jc w:val="center"/>
              <w:rPr>
                <w:rFonts w:eastAsia="Times New Roman"/>
              </w:rPr>
            </w:pPr>
            <w:r>
              <w:rPr>
                <w:rFonts w:eastAsia="Times New Roman"/>
                <w:color w:val="000000"/>
                <w:sz w:val="20"/>
                <w:szCs w:val="20"/>
              </w:rPr>
              <w:t>Borrowings Outstanding</w:t>
            </w:r>
          </w:p>
        </w:tc>
        <w:tc>
          <w:tcPr>
            <w:tcW w:w="0" w:type="auto"/>
            <w:gridSpan w:val="3"/>
            <w:tcMar>
              <w:top w:w="0" w:type="dxa"/>
              <w:left w:w="20" w:type="dxa"/>
              <w:bottom w:w="0" w:type="dxa"/>
              <w:right w:w="20" w:type="dxa"/>
            </w:tcMar>
            <w:vAlign w:val="center"/>
            <w:hideMark/>
          </w:tcPr>
          <w:p w14:paraId="0ED03523"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49332BD" w14:textId="77777777" w:rsidR="00000000" w:rsidRDefault="00C1661D">
            <w:pPr>
              <w:spacing w:after="100"/>
              <w:jc w:val="center"/>
              <w:rPr>
                <w:rFonts w:eastAsia="Times New Roman"/>
              </w:rPr>
            </w:pPr>
            <w:r>
              <w:rPr>
                <w:rFonts w:eastAsia="Times New Roman"/>
                <w:color w:val="000000"/>
                <w:sz w:val="20"/>
                <w:szCs w:val="20"/>
              </w:rPr>
              <w:t>Letters of Credit and Guarantees Outstanding</w:t>
            </w:r>
          </w:p>
        </w:tc>
        <w:tc>
          <w:tcPr>
            <w:tcW w:w="0" w:type="auto"/>
            <w:gridSpan w:val="3"/>
            <w:tcMar>
              <w:top w:w="0" w:type="dxa"/>
              <w:left w:w="20" w:type="dxa"/>
              <w:bottom w:w="0" w:type="dxa"/>
              <w:right w:w="20" w:type="dxa"/>
            </w:tcMar>
            <w:vAlign w:val="center"/>
            <w:hideMark/>
          </w:tcPr>
          <w:p w14:paraId="7E0E713F"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B1B7002" w14:textId="77777777" w:rsidR="00000000" w:rsidRDefault="00C1661D">
            <w:pPr>
              <w:spacing w:after="100"/>
              <w:jc w:val="center"/>
              <w:rPr>
                <w:rFonts w:eastAsia="Times New Roman"/>
              </w:rPr>
            </w:pPr>
            <w:r>
              <w:rPr>
                <w:rFonts w:eastAsia="Times New Roman"/>
                <w:color w:val="000000"/>
                <w:sz w:val="20"/>
                <w:szCs w:val="20"/>
              </w:rPr>
              <w:t>Available Borrowing Capacity</w:t>
            </w:r>
          </w:p>
        </w:tc>
        <w:tc>
          <w:tcPr>
            <w:tcW w:w="0" w:type="auto"/>
            <w:gridSpan w:val="3"/>
            <w:tcMar>
              <w:top w:w="0" w:type="dxa"/>
              <w:left w:w="20" w:type="dxa"/>
              <w:bottom w:w="0" w:type="dxa"/>
              <w:right w:w="20" w:type="dxa"/>
            </w:tcMar>
            <w:vAlign w:val="center"/>
            <w:hideMark/>
          </w:tcPr>
          <w:p w14:paraId="36A4A26B"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4F7A45B" w14:textId="77777777" w:rsidR="00000000" w:rsidRDefault="00C1661D">
            <w:pPr>
              <w:spacing w:after="100"/>
              <w:jc w:val="center"/>
              <w:rPr>
                <w:rFonts w:eastAsia="Times New Roman"/>
              </w:rPr>
            </w:pPr>
            <w:r>
              <w:rPr>
                <w:rFonts w:eastAsia="Times New Roman"/>
                <w:color w:val="000000"/>
                <w:sz w:val="20"/>
                <w:szCs w:val="20"/>
              </w:rPr>
              <w:t>Weighted Average Interest Rate - End of Year</w:t>
            </w:r>
          </w:p>
        </w:tc>
      </w:tr>
      <w:tr w:rsidR="00000000" w14:paraId="67CBF6F1" w14:textId="77777777">
        <w:trPr>
          <w:divId w:val="2038194111"/>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D0FA74E" w14:textId="77777777" w:rsidR="00000000" w:rsidRDefault="00C1661D">
            <w:pPr>
              <w:spacing w:after="100"/>
              <w:rPr>
                <w:rFonts w:eastAsia="Times New Roman"/>
              </w:rPr>
            </w:pPr>
            <w:r>
              <w:rPr>
                <w:rFonts w:eastAsia="Times New Roman"/>
                <w:b/>
                <w:bCs/>
                <w:color w:val="000000"/>
                <w:sz w:val="20"/>
                <w:szCs w:val="20"/>
              </w:rPr>
              <w:t>September 30, 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C924942"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3112E5C"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52C60E7"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28E63D3"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984A54"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C684698"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768F309"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040747D"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3C1BF8B"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ADE130F"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48DFEF1"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67A2AE3" w14:textId="77777777" w:rsidR="00000000" w:rsidRDefault="00C1661D">
            <w:pPr>
              <w:spacing w:after="100"/>
              <w:rPr>
                <w:rFonts w:eastAsia="Times New Roman"/>
                <w:sz w:val="20"/>
                <w:szCs w:val="20"/>
              </w:rPr>
            </w:pPr>
          </w:p>
        </w:tc>
      </w:tr>
      <w:tr w:rsidR="00000000" w14:paraId="38413490" w14:textId="77777777">
        <w:trPr>
          <w:divId w:val="2038194111"/>
          <w:jc w:val="center"/>
        </w:trPr>
        <w:tc>
          <w:tcPr>
            <w:tcW w:w="0" w:type="auto"/>
            <w:gridSpan w:val="3"/>
            <w:shd w:val="clear" w:color="auto" w:fill="CCEEFF"/>
            <w:tcMar>
              <w:top w:w="30" w:type="dxa"/>
              <w:left w:w="155" w:type="dxa"/>
              <w:bottom w:w="30" w:type="dxa"/>
              <w:right w:w="20" w:type="dxa"/>
            </w:tcMar>
            <w:vAlign w:val="bottom"/>
            <w:hideMark/>
          </w:tcPr>
          <w:p w14:paraId="16CD6966" w14:textId="77777777" w:rsidR="00000000" w:rsidRDefault="00C1661D">
            <w:pPr>
              <w:spacing w:after="100"/>
              <w:rPr>
                <w:rFonts w:eastAsia="Times New Roman"/>
              </w:rPr>
            </w:pPr>
            <w:r>
              <w:rPr>
                <w:rFonts w:eastAsia="Times New Roman"/>
                <w:color w:val="000000"/>
                <w:sz w:val="20"/>
                <w:szCs w:val="20"/>
              </w:rPr>
              <w:t>AmeriGas OLP (a)</w:t>
            </w:r>
          </w:p>
        </w:tc>
        <w:tc>
          <w:tcPr>
            <w:tcW w:w="0" w:type="auto"/>
            <w:gridSpan w:val="3"/>
            <w:shd w:val="clear" w:color="auto" w:fill="CCEEFF"/>
            <w:tcMar>
              <w:top w:w="0" w:type="dxa"/>
              <w:left w:w="20" w:type="dxa"/>
              <w:bottom w:w="0" w:type="dxa"/>
              <w:right w:w="20" w:type="dxa"/>
            </w:tcMar>
            <w:vAlign w:val="center"/>
            <w:hideMark/>
          </w:tcPr>
          <w:p w14:paraId="61512C78"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223DD33" w14:textId="77777777" w:rsidR="00000000" w:rsidRDefault="00C1661D">
            <w:pPr>
              <w:spacing w:after="100"/>
              <w:jc w:val="center"/>
              <w:rPr>
                <w:rFonts w:eastAsia="Times New Roman"/>
              </w:rPr>
            </w:pPr>
            <w:r>
              <w:rPr>
                <w:rFonts w:eastAsia="Times New Roman"/>
                <w:color w:val="000000"/>
                <w:sz w:val="20"/>
                <w:szCs w:val="20"/>
              </w:rPr>
              <w:t>September 2026</w:t>
            </w:r>
          </w:p>
        </w:tc>
        <w:tc>
          <w:tcPr>
            <w:tcW w:w="0" w:type="auto"/>
            <w:gridSpan w:val="3"/>
            <w:shd w:val="clear" w:color="auto" w:fill="CCEEFF"/>
            <w:tcMar>
              <w:top w:w="0" w:type="dxa"/>
              <w:left w:w="20" w:type="dxa"/>
              <w:bottom w:w="0" w:type="dxa"/>
              <w:right w:w="20" w:type="dxa"/>
            </w:tcMar>
            <w:vAlign w:val="center"/>
            <w:hideMark/>
          </w:tcPr>
          <w:p w14:paraId="34E9ACB1" w14:textId="77777777" w:rsidR="00000000" w:rsidRDefault="00C1661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0392E0D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4C9519B" w14:textId="77777777" w:rsidR="00000000" w:rsidRDefault="00C1661D">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14:paraId="2A4C808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EC6183"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65B29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80EFB9" w14:textId="77777777" w:rsidR="00000000" w:rsidRDefault="00C1661D">
            <w:pPr>
              <w:spacing w:after="100"/>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14:paraId="03794DC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A955EE"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E5283B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E941823"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526EDEF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6B906E"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3908D5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B8C6550" w14:textId="77777777" w:rsidR="00000000" w:rsidRDefault="00C1661D">
            <w:pPr>
              <w:spacing w:after="100"/>
              <w:jc w:val="right"/>
              <w:rPr>
                <w:rFonts w:eastAsia="Times New Roman"/>
              </w:rPr>
            </w:pPr>
            <w:r>
              <w:rPr>
                <w:rFonts w:eastAsia="Times New Roman"/>
                <w:color w:val="000000"/>
                <w:sz w:val="20"/>
                <w:szCs w:val="20"/>
              </w:rPr>
              <w:t>467 </w:t>
            </w:r>
          </w:p>
        </w:tc>
        <w:tc>
          <w:tcPr>
            <w:tcW w:w="0" w:type="auto"/>
            <w:shd w:val="clear" w:color="auto" w:fill="CCEEFF"/>
            <w:tcMar>
              <w:top w:w="30" w:type="dxa"/>
              <w:left w:w="0" w:type="dxa"/>
              <w:bottom w:w="30" w:type="dxa"/>
              <w:right w:w="20" w:type="dxa"/>
            </w:tcMar>
            <w:vAlign w:val="bottom"/>
            <w:hideMark/>
          </w:tcPr>
          <w:p w14:paraId="2417528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C6D6A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264A18" w14:textId="77777777" w:rsidR="00000000" w:rsidRDefault="00C1661D">
            <w:pPr>
              <w:spacing w:after="100"/>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14:paraId="17F54ABF" w14:textId="77777777" w:rsidR="00000000" w:rsidRDefault="00C1661D">
            <w:pPr>
              <w:spacing w:after="100"/>
              <w:jc w:val="right"/>
              <w:rPr>
                <w:rFonts w:eastAsia="Times New Roman"/>
              </w:rPr>
            </w:pPr>
            <w:r>
              <w:rPr>
                <w:rFonts w:eastAsia="Times New Roman"/>
                <w:color w:val="000000"/>
                <w:sz w:val="20"/>
                <w:szCs w:val="20"/>
              </w:rPr>
              <w:t>%</w:t>
            </w:r>
          </w:p>
        </w:tc>
      </w:tr>
      <w:tr w:rsidR="00000000" w14:paraId="00698520" w14:textId="77777777">
        <w:trPr>
          <w:divId w:val="2038194111"/>
          <w:jc w:val="center"/>
        </w:trPr>
        <w:tc>
          <w:tcPr>
            <w:tcW w:w="0" w:type="auto"/>
            <w:gridSpan w:val="3"/>
            <w:shd w:val="clear" w:color="auto" w:fill="FFFFFF"/>
            <w:tcMar>
              <w:top w:w="30" w:type="dxa"/>
              <w:left w:w="155" w:type="dxa"/>
              <w:bottom w:w="30" w:type="dxa"/>
              <w:right w:w="20" w:type="dxa"/>
            </w:tcMar>
            <w:vAlign w:val="bottom"/>
            <w:hideMark/>
          </w:tcPr>
          <w:p w14:paraId="388A547A" w14:textId="77777777" w:rsidR="00000000" w:rsidRDefault="00C1661D">
            <w:pPr>
              <w:spacing w:after="100"/>
              <w:rPr>
                <w:rFonts w:eastAsia="Times New Roman"/>
              </w:rPr>
            </w:pPr>
            <w:r>
              <w:rPr>
                <w:rFonts w:eastAsia="Times New Roman"/>
                <w:color w:val="000000"/>
                <w:sz w:val="20"/>
                <w:szCs w:val="20"/>
              </w:rPr>
              <w:t>UGI International, LLC (b)</w:t>
            </w:r>
          </w:p>
        </w:tc>
        <w:tc>
          <w:tcPr>
            <w:tcW w:w="0" w:type="auto"/>
            <w:gridSpan w:val="3"/>
            <w:shd w:val="clear" w:color="auto" w:fill="FFFFFF"/>
            <w:tcMar>
              <w:top w:w="0" w:type="dxa"/>
              <w:left w:w="20" w:type="dxa"/>
              <w:bottom w:w="0" w:type="dxa"/>
              <w:right w:w="20" w:type="dxa"/>
            </w:tcMar>
            <w:vAlign w:val="center"/>
            <w:hideMark/>
          </w:tcPr>
          <w:p w14:paraId="2DD78FD5"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1B5AB1B" w14:textId="77777777" w:rsidR="00000000" w:rsidRDefault="00C1661D">
            <w:pPr>
              <w:spacing w:after="100"/>
              <w:jc w:val="center"/>
              <w:rPr>
                <w:rFonts w:eastAsia="Times New Roman"/>
              </w:rPr>
            </w:pPr>
            <w:r>
              <w:rPr>
                <w:rFonts w:eastAsia="Times New Roman"/>
                <w:color w:val="000000"/>
                <w:sz w:val="20"/>
                <w:szCs w:val="20"/>
              </w:rPr>
              <w:t>October 2023</w:t>
            </w:r>
          </w:p>
        </w:tc>
        <w:tc>
          <w:tcPr>
            <w:tcW w:w="0" w:type="auto"/>
            <w:gridSpan w:val="3"/>
            <w:shd w:val="clear" w:color="auto" w:fill="FFFFFF"/>
            <w:tcMar>
              <w:top w:w="0" w:type="dxa"/>
              <w:left w:w="20" w:type="dxa"/>
              <w:bottom w:w="0" w:type="dxa"/>
              <w:right w:w="20" w:type="dxa"/>
            </w:tcMar>
            <w:vAlign w:val="center"/>
            <w:hideMark/>
          </w:tcPr>
          <w:p w14:paraId="717204A5" w14:textId="77777777" w:rsidR="00000000" w:rsidRDefault="00C1661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3E2925F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BA2C15C" w14:textId="77777777" w:rsidR="00000000" w:rsidRDefault="00C1661D">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14:paraId="3DE0C29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5B800"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C0CB1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33C0B32"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1864EE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E210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F94ED7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F66E0B9"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C7E1A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29030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6646A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DB1ABCA" w14:textId="77777777" w:rsidR="00000000" w:rsidRDefault="00C1661D">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14:paraId="241861E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7024E5" w14:textId="77777777" w:rsidR="00000000" w:rsidRDefault="00C1661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7444075" w14:textId="77777777" w:rsidR="00000000" w:rsidRDefault="00C1661D">
            <w:pPr>
              <w:spacing w:after="100"/>
              <w:jc w:val="right"/>
              <w:rPr>
                <w:rFonts w:eastAsia="Times New Roman"/>
              </w:rPr>
            </w:pPr>
            <w:r>
              <w:rPr>
                <w:rFonts w:eastAsia="Times New Roman"/>
                <w:color w:val="000000"/>
                <w:sz w:val="20"/>
                <w:szCs w:val="20"/>
              </w:rPr>
              <w:t>N.A.</w:t>
            </w:r>
          </w:p>
        </w:tc>
      </w:tr>
      <w:tr w:rsidR="00000000" w14:paraId="6C59FF00" w14:textId="77777777">
        <w:trPr>
          <w:divId w:val="2038194111"/>
          <w:jc w:val="center"/>
        </w:trPr>
        <w:tc>
          <w:tcPr>
            <w:tcW w:w="0" w:type="auto"/>
            <w:gridSpan w:val="3"/>
            <w:shd w:val="clear" w:color="auto" w:fill="CCEEFF"/>
            <w:tcMar>
              <w:top w:w="30" w:type="dxa"/>
              <w:left w:w="155" w:type="dxa"/>
              <w:bottom w:w="30" w:type="dxa"/>
              <w:right w:w="20" w:type="dxa"/>
            </w:tcMar>
            <w:vAlign w:val="bottom"/>
            <w:hideMark/>
          </w:tcPr>
          <w:p w14:paraId="6B24CE13" w14:textId="77777777" w:rsidR="00000000" w:rsidRDefault="00C1661D">
            <w:pPr>
              <w:spacing w:after="100"/>
              <w:rPr>
                <w:rFonts w:eastAsia="Times New Roman"/>
              </w:rPr>
            </w:pPr>
            <w:r>
              <w:rPr>
                <w:rFonts w:eastAsia="Times New Roman"/>
                <w:color w:val="000000"/>
                <w:sz w:val="20"/>
                <w:szCs w:val="20"/>
              </w:rPr>
              <w:t>Energy Services (c)</w:t>
            </w:r>
          </w:p>
        </w:tc>
        <w:tc>
          <w:tcPr>
            <w:tcW w:w="0" w:type="auto"/>
            <w:gridSpan w:val="3"/>
            <w:shd w:val="clear" w:color="auto" w:fill="CCEEFF"/>
            <w:tcMar>
              <w:top w:w="0" w:type="dxa"/>
              <w:left w:w="20" w:type="dxa"/>
              <w:bottom w:w="0" w:type="dxa"/>
              <w:right w:w="20" w:type="dxa"/>
            </w:tcMar>
            <w:vAlign w:val="center"/>
            <w:hideMark/>
          </w:tcPr>
          <w:p w14:paraId="7E02AA9B"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75806B3" w14:textId="77777777" w:rsidR="00000000" w:rsidRDefault="00C1661D">
            <w:pPr>
              <w:spacing w:after="100"/>
              <w:jc w:val="center"/>
              <w:rPr>
                <w:rFonts w:eastAsia="Times New Roman"/>
              </w:rPr>
            </w:pPr>
            <w:r>
              <w:rPr>
                <w:rFonts w:eastAsia="Times New Roman"/>
                <w:color w:val="000000"/>
                <w:sz w:val="20"/>
                <w:szCs w:val="20"/>
              </w:rPr>
              <w:t>March 2025</w:t>
            </w:r>
          </w:p>
        </w:tc>
        <w:tc>
          <w:tcPr>
            <w:tcW w:w="0" w:type="auto"/>
            <w:gridSpan w:val="3"/>
            <w:shd w:val="clear" w:color="auto" w:fill="CCEEFF"/>
            <w:tcMar>
              <w:top w:w="0" w:type="dxa"/>
              <w:left w:w="20" w:type="dxa"/>
              <w:bottom w:w="0" w:type="dxa"/>
              <w:right w:w="20" w:type="dxa"/>
            </w:tcMar>
            <w:vAlign w:val="center"/>
            <w:hideMark/>
          </w:tcPr>
          <w:p w14:paraId="1705EDC0" w14:textId="77777777" w:rsidR="00000000" w:rsidRDefault="00C1661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597EA7B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AF587A0" w14:textId="77777777" w:rsidR="00000000" w:rsidRDefault="00C1661D">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14:paraId="6860E50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F50ED"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1078F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FCEED8"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C63DC3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04EF1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554AF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929475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FA1854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2DDFE"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8B340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4572FA7" w14:textId="77777777" w:rsidR="00000000" w:rsidRDefault="00C1661D">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14:paraId="2FCC0E5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4EB110" w14:textId="77777777" w:rsidR="00000000" w:rsidRDefault="00C1661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FEB9903" w14:textId="77777777" w:rsidR="00000000" w:rsidRDefault="00C1661D">
            <w:pPr>
              <w:spacing w:after="100"/>
              <w:jc w:val="right"/>
              <w:rPr>
                <w:rFonts w:eastAsia="Times New Roman"/>
              </w:rPr>
            </w:pPr>
            <w:r>
              <w:rPr>
                <w:rFonts w:eastAsia="Times New Roman"/>
                <w:color w:val="000000"/>
                <w:sz w:val="20"/>
                <w:szCs w:val="20"/>
              </w:rPr>
              <w:t>N.A.</w:t>
            </w:r>
          </w:p>
        </w:tc>
      </w:tr>
      <w:tr w:rsidR="00000000" w14:paraId="50995DF4" w14:textId="77777777">
        <w:trPr>
          <w:divId w:val="2038194111"/>
          <w:jc w:val="center"/>
        </w:trPr>
        <w:tc>
          <w:tcPr>
            <w:tcW w:w="0" w:type="auto"/>
            <w:gridSpan w:val="3"/>
            <w:shd w:val="clear" w:color="auto" w:fill="FFFFFF"/>
            <w:tcMar>
              <w:top w:w="30" w:type="dxa"/>
              <w:left w:w="155" w:type="dxa"/>
              <w:bottom w:w="30" w:type="dxa"/>
              <w:right w:w="20" w:type="dxa"/>
            </w:tcMar>
            <w:vAlign w:val="bottom"/>
            <w:hideMark/>
          </w:tcPr>
          <w:p w14:paraId="539886F4" w14:textId="77777777" w:rsidR="00000000" w:rsidRDefault="00C1661D">
            <w:pPr>
              <w:spacing w:after="100"/>
              <w:rPr>
                <w:rFonts w:eastAsia="Times New Roman"/>
              </w:rPr>
            </w:pPr>
            <w:r>
              <w:rPr>
                <w:rFonts w:eastAsia="Times New Roman"/>
                <w:color w:val="000000"/>
                <w:sz w:val="20"/>
                <w:szCs w:val="20"/>
              </w:rPr>
              <w:t>UGI Utilities (d)</w:t>
            </w:r>
          </w:p>
        </w:tc>
        <w:tc>
          <w:tcPr>
            <w:tcW w:w="0" w:type="auto"/>
            <w:gridSpan w:val="3"/>
            <w:shd w:val="clear" w:color="auto" w:fill="FFFFFF"/>
            <w:tcMar>
              <w:top w:w="0" w:type="dxa"/>
              <w:left w:w="20" w:type="dxa"/>
              <w:bottom w:w="0" w:type="dxa"/>
              <w:right w:w="20" w:type="dxa"/>
            </w:tcMar>
            <w:vAlign w:val="center"/>
            <w:hideMark/>
          </w:tcPr>
          <w:p w14:paraId="1D7E2478"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B49E3AB" w14:textId="77777777" w:rsidR="00000000" w:rsidRDefault="00C1661D">
            <w:pPr>
              <w:spacing w:after="100"/>
              <w:jc w:val="center"/>
              <w:rPr>
                <w:rFonts w:eastAsia="Times New Roman"/>
              </w:rPr>
            </w:pPr>
            <w:r>
              <w:rPr>
                <w:rFonts w:eastAsia="Times New Roman"/>
                <w:color w:val="000000"/>
                <w:sz w:val="20"/>
                <w:szCs w:val="20"/>
              </w:rPr>
              <w:t>June 2024</w:t>
            </w:r>
          </w:p>
        </w:tc>
        <w:tc>
          <w:tcPr>
            <w:tcW w:w="0" w:type="auto"/>
            <w:gridSpan w:val="3"/>
            <w:shd w:val="clear" w:color="auto" w:fill="FFFFFF"/>
            <w:tcMar>
              <w:top w:w="0" w:type="dxa"/>
              <w:left w:w="20" w:type="dxa"/>
              <w:bottom w:w="0" w:type="dxa"/>
              <w:right w:w="20" w:type="dxa"/>
            </w:tcMar>
            <w:vAlign w:val="center"/>
            <w:hideMark/>
          </w:tcPr>
          <w:p w14:paraId="2CAFC2F5" w14:textId="77777777" w:rsidR="00000000" w:rsidRDefault="00C1661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6DD6EE7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866327" w14:textId="77777777" w:rsidR="00000000" w:rsidRDefault="00C1661D">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14:paraId="6396C3F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E954D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768A21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1EE1A4" w14:textId="77777777" w:rsidR="00000000" w:rsidRDefault="00C1661D">
            <w:pPr>
              <w:spacing w:after="100"/>
              <w:jc w:val="right"/>
              <w:rPr>
                <w:rFonts w:eastAsia="Times New Roman"/>
              </w:rPr>
            </w:pPr>
            <w:r>
              <w:rPr>
                <w:rFonts w:eastAsia="Times New Roman"/>
                <w:color w:val="000000"/>
                <w:sz w:val="20"/>
                <w:szCs w:val="20"/>
              </w:rPr>
              <w:t>151 </w:t>
            </w:r>
          </w:p>
        </w:tc>
        <w:tc>
          <w:tcPr>
            <w:tcW w:w="0" w:type="auto"/>
            <w:shd w:val="clear" w:color="auto" w:fill="FFFFFF"/>
            <w:tcMar>
              <w:top w:w="30" w:type="dxa"/>
              <w:left w:w="0" w:type="dxa"/>
              <w:bottom w:w="30" w:type="dxa"/>
              <w:right w:w="20" w:type="dxa"/>
            </w:tcMar>
            <w:vAlign w:val="bottom"/>
            <w:hideMark/>
          </w:tcPr>
          <w:p w14:paraId="2FC2F42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1DFA2C"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13610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47ED4E3"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B9E5E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B595CD"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40AD0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F3A609A" w14:textId="77777777" w:rsidR="00000000" w:rsidRDefault="00C1661D">
            <w:pPr>
              <w:spacing w:after="100"/>
              <w:jc w:val="right"/>
              <w:rPr>
                <w:rFonts w:eastAsia="Times New Roman"/>
              </w:rPr>
            </w:pPr>
            <w:r>
              <w:rPr>
                <w:rFonts w:eastAsia="Times New Roman"/>
                <w:color w:val="000000"/>
                <w:sz w:val="20"/>
                <w:szCs w:val="20"/>
              </w:rPr>
              <w:t>199 </w:t>
            </w:r>
          </w:p>
        </w:tc>
        <w:tc>
          <w:tcPr>
            <w:tcW w:w="0" w:type="auto"/>
            <w:shd w:val="clear" w:color="auto" w:fill="FFFFFF"/>
            <w:tcMar>
              <w:top w:w="30" w:type="dxa"/>
              <w:left w:w="0" w:type="dxa"/>
              <w:bottom w:w="30" w:type="dxa"/>
              <w:right w:w="20" w:type="dxa"/>
            </w:tcMar>
            <w:vAlign w:val="bottom"/>
            <w:hideMark/>
          </w:tcPr>
          <w:p w14:paraId="4D98A7D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6CEB2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853805" w14:textId="77777777" w:rsidR="00000000" w:rsidRDefault="00C1661D">
            <w:pPr>
              <w:spacing w:after="100"/>
              <w:jc w:val="right"/>
              <w:rPr>
                <w:rFonts w:eastAsia="Times New Roman"/>
              </w:rPr>
            </w:pPr>
            <w:r>
              <w:rPr>
                <w:rFonts w:eastAsia="Times New Roman"/>
                <w:color w:val="000000"/>
                <w:sz w:val="20"/>
                <w:szCs w:val="20"/>
              </w:rPr>
              <w:t>4.37 </w:t>
            </w:r>
          </w:p>
        </w:tc>
        <w:tc>
          <w:tcPr>
            <w:tcW w:w="0" w:type="auto"/>
            <w:shd w:val="clear" w:color="auto" w:fill="FFFFFF"/>
            <w:tcMar>
              <w:top w:w="30" w:type="dxa"/>
              <w:left w:w="0" w:type="dxa"/>
              <w:bottom w:w="30" w:type="dxa"/>
              <w:right w:w="20" w:type="dxa"/>
            </w:tcMar>
            <w:vAlign w:val="bottom"/>
            <w:hideMark/>
          </w:tcPr>
          <w:p w14:paraId="3EC2C200" w14:textId="77777777" w:rsidR="00000000" w:rsidRDefault="00C1661D">
            <w:pPr>
              <w:spacing w:after="100"/>
              <w:jc w:val="right"/>
              <w:rPr>
                <w:rFonts w:eastAsia="Times New Roman"/>
              </w:rPr>
            </w:pPr>
            <w:r>
              <w:rPr>
                <w:rFonts w:eastAsia="Times New Roman"/>
                <w:color w:val="000000"/>
                <w:sz w:val="20"/>
                <w:szCs w:val="20"/>
              </w:rPr>
              <w:t>%</w:t>
            </w:r>
          </w:p>
        </w:tc>
      </w:tr>
      <w:tr w:rsidR="00000000" w14:paraId="7FC31C2F" w14:textId="77777777">
        <w:trPr>
          <w:divId w:val="2038194111"/>
          <w:jc w:val="center"/>
        </w:trPr>
        <w:tc>
          <w:tcPr>
            <w:tcW w:w="0" w:type="auto"/>
            <w:gridSpan w:val="3"/>
            <w:shd w:val="clear" w:color="auto" w:fill="CCEEFF"/>
            <w:tcMar>
              <w:top w:w="30" w:type="dxa"/>
              <w:left w:w="155" w:type="dxa"/>
              <w:bottom w:w="30" w:type="dxa"/>
              <w:right w:w="20" w:type="dxa"/>
            </w:tcMar>
            <w:vAlign w:val="bottom"/>
            <w:hideMark/>
          </w:tcPr>
          <w:p w14:paraId="26B63F52" w14:textId="77777777" w:rsidR="00000000" w:rsidRDefault="00C1661D">
            <w:pPr>
              <w:spacing w:after="100"/>
              <w:rPr>
                <w:rFonts w:eastAsia="Times New Roman"/>
              </w:rPr>
            </w:pPr>
            <w:r>
              <w:rPr>
                <w:rFonts w:eastAsia="Times New Roman"/>
                <w:color w:val="000000"/>
                <w:sz w:val="20"/>
                <w:szCs w:val="20"/>
              </w:rPr>
              <w:t>Mountaineer (e)</w:t>
            </w:r>
          </w:p>
        </w:tc>
        <w:tc>
          <w:tcPr>
            <w:tcW w:w="0" w:type="auto"/>
            <w:gridSpan w:val="3"/>
            <w:shd w:val="clear" w:color="auto" w:fill="CCEEFF"/>
            <w:tcMar>
              <w:top w:w="0" w:type="dxa"/>
              <w:left w:w="20" w:type="dxa"/>
              <w:bottom w:w="0" w:type="dxa"/>
              <w:right w:w="20" w:type="dxa"/>
            </w:tcMar>
            <w:vAlign w:val="center"/>
            <w:hideMark/>
          </w:tcPr>
          <w:p w14:paraId="38A7F2EC"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E1F222D" w14:textId="77777777" w:rsidR="00000000" w:rsidRDefault="00C1661D">
            <w:pPr>
              <w:spacing w:after="100"/>
              <w:jc w:val="center"/>
              <w:rPr>
                <w:rFonts w:eastAsia="Times New Roman"/>
              </w:rPr>
            </w:pPr>
            <w:r>
              <w:rPr>
                <w:rFonts w:eastAsia="Times New Roman"/>
                <w:color w:val="000000"/>
                <w:sz w:val="20"/>
                <w:szCs w:val="20"/>
              </w:rPr>
              <w:t>November 2024</w:t>
            </w:r>
          </w:p>
        </w:tc>
        <w:tc>
          <w:tcPr>
            <w:tcW w:w="0" w:type="auto"/>
            <w:gridSpan w:val="3"/>
            <w:shd w:val="clear" w:color="auto" w:fill="CCEEFF"/>
            <w:tcMar>
              <w:top w:w="0" w:type="dxa"/>
              <w:left w:w="20" w:type="dxa"/>
              <w:bottom w:w="0" w:type="dxa"/>
              <w:right w:w="20" w:type="dxa"/>
            </w:tcMar>
            <w:vAlign w:val="center"/>
            <w:hideMark/>
          </w:tcPr>
          <w:p w14:paraId="2B6ED50B" w14:textId="77777777" w:rsidR="00000000" w:rsidRDefault="00C1661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55EFBF6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98F3D17" w14:textId="77777777" w:rsidR="00000000" w:rsidRDefault="00C1661D">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372797A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F2155A"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29C0D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AD7B2DA" w14:textId="77777777" w:rsidR="00000000" w:rsidRDefault="00C1661D">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14:paraId="5FF5184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06541"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29612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881F123"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C0C93D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91BFC7"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76DD8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61D72A3" w14:textId="77777777" w:rsidR="00000000" w:rsidRDefault="00C1661D">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12C3B4F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01B10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F1692E" w14:textId="77777777" w:rsidR="00000000" w:rsidRDefault="00C1661D">
            <w:pPr>
              <w:spacing w:after="100"/>
              <w:jc w:val="right"/>
              <w:rPr>
                <w:rFonts w:eastAsia="Times New Roman"/>
              </w:rPr>
            </w:pPr>
            <w:r>
              <w:rPr>
                <w:rFonts w:eastAsia="Times New Roman"/>
                <w:color w:val="000000"/>
                <w:sz w:val="20"/>
                <w:szCs w:val="20"/>
              </w:rPr>
              <w:t>3.82 </w:t>
            </w:r>
          </w:p>
        </w:tc>
        <w:tc>
          <w:tcPr>
            <w:tcW w:w="0" w:type="auto"/>
            <w:shd w:val="clear" w:color="auto" w:fill="CCEEFF"/>
            <w:tcMar>
              <w:top w:w="30" w:type="dxa"/>
              <w:left w:w="0" w:type="dxa"/>
              <w:bottom w:w="30" w:type="dxa"/>
              <w:right w:w="20" w:type="dxa"/>
            </w:tcMar>
            <w:vAlign w:val="bottom"/>
            <w:hideMark/>
          </w:tcPr>
          <w:p w14:paraId="585CEB7E" w14:textId="77777777" w:rsidR="00000000" w:rsidRDefault="00C1661D">
            <w:pPr>
              <w:spacing w:after="100"/>
              <w:jc w:val="right"/>
              <w:rPr>
                <w:rFonts w:eastAsia="Times New Roman"/>
              </w:rPr>
            </w:pPr>
            <w:r>
              <w:rPr>
                <w:rFonts w:eastAsia="Times New Roman"/>
                <w:color w:val="000000"/>
                <w:sz w:val="20"/>
                <w:szCs w:val="20"/>
              </w:rPr>
              <w:t>%</w:t>
            </w:r>
          </w:p>
        </w:tc>
      </w:tr>
      <w:tr w:rsidR="00000000" w14:paraId="77C25129" w14:textId="77777777">
        <w:trPr>
          <w:divId w:val="2038194111"/>
          <w:jc w:val="center"/>
        </w:trPr>
        <w:tc>
          <w:tcPr>
            <w:tcW w:w="0" w:type="auto"/>
            <w:gridSpan w:val="3"/>
            <w:shd w:val="clear" w:color="auto" w:fill="FFFFFF"/>
            <w:tcMar>
              <w:top w:w="30" w:type="dxa"/>
              <w:left w:w="155" w:type="dxa"/>
              <w:bottom w:w="30" w:type="dxa"/>
              <w:right w:w="20" w:type="dxa"/>
            </w:tcMar>
            <w:vAlign w:val="bottom"/>
            <w:hideMark/>
          </w:tcPr>
          <w:p w14:paraId="7B1D27FD" w14:textId="77777777" w:rsidR="00000000" w:rsidRDefault="00C1661D">
            <w:pPr>
              <w:spacing w:after="100"/>
              <w:rPr>
                <w:rFonts w:eastAsia="Times New Roman"/>
              </w:rPr>
            </w:pPr>
            <w:r>
              <w:rPr>
                <w:rFonts w:eastAsia="Times New Roman"/>
                <w:color w:val="000000"/>
                <w:sz w:val="20"/>
                <w:szCs w:val="20"/>
              </w:rPr>
              <w:t>UGI Corporation (f)</w:t>
            </w:r>
          </w:p>
        </w:tc>
        <w:tc>
          <w:tcPr>
            <w:tcW w:w="0" w:type="auto"/>
            <w:gridSpan w:val="3"/>
            <w:shd w:val="clear" w:color="auto" w:fill="FFFFFF"/>
            <w:tcMar>
              <w:top w:w="0" w:type="dxa"/>
              <w:left w:w="20" w:type="dxa"/>
              <w:bottom w:w="0" w:type="dxa"/>
              <w:right w:w="20" w:type="dxa"/>
            </w:tcMar>
            <w:vAlign w:val="center"/>
            <w:hideMark/>
          </w:tcPr>
          <w:p w14:paraId="28940AED"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273DCDF" w14:textId="77777777" w:rsidR="00000000" w:rsidRDefault="00C1661D">
            <w:pPr>
              <w:spacing w:after="100"/>
              <w:jc w:val="center"/>
              <w:rPr>
                <w:rFonts w:eastAsia="Times New Roman"/>
              </w:rPr>
            </w:pPr>
            <w:r>
              <w:rPr>
                <w:rFonts w:eastAsia="Times New Roman"/>
                <w:color w:val="000000"/>
                <w:sz w:val="20"/>
                <w:szCs w:val="20"/>
              </w:rPr>
              <w:t>August 2024</w:t>
            </w:r>
          </w:p>
        </w:tc>
        <w:tc>
          <w:tcPr>
            <w:tcW w:w="0" w:type="auto"/>
            <w:gridSpan w:val="3"/>
            <w:shd w:val="clear" w:color="auto" w:fill="FFFFFF"/>
            <w:tcMar>
              <w:top w:w="0" w:type="dxa"/>
              <w:left w:w="20" w:type="dxa"/>
              <w:bottom w:w="0" w:type="dxa"/>
              <w:right w:w="20" w:type="dxa"/>
            </w:tcMar>
            <w:vAlign w:val="center"/>
            <w:hideMark/>
          </w:tcPr>
          <w:p w14:paraId="41ED2862" w14:textId="77777777" w:rsidR="00000000" w:rsidRDefault="00C1661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42331B7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B21C65" w14:textId="77777777" w:rsidR="00000000" w:rsidRDefault="00C1661D">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14:paraId="74F818F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E1D5F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DABE8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8CCDBE6" w14:textId="77777777" w:rsidR="00000000" w:rsidRDefault="00C1661D">
            <w:pPr>
              <w:spacing w:after="100"/>
              <w:jc w:val="right"/>
              <w:rPr>
                <w:rFonts w:eastAsia="Times New Roman"/>
              </w:rPr>
            </w:pPr>
            <w:r>
              <w:rPr>
                <w:rFonts w:eastAsia="Times New Roman"/>
                <w:color w:val="000000"/>
                <w:sz w:val="20"/>
                <w:szCs w:val="20"/>
              </w:rPr>
              <w:t>252 </w:t>
            </w:r>
          </w:p>
        </w:tc>
        <w:tc>
          <w:tcPr>
            <w:tcW w:w="0" w:type="auto"/>
            <w:shd w:val="clear" w:color="auto" w:fill="FFFFFF"/>
            <w:tcMar>
              <w:top w:w="30" w:type="dxa"/>
              <w:left w:w="0" w:type="dxa"/>
              <w:bottom w:w="30" w:type="dxa"/>
              <w:right w:w="20" w:type="dxa"/>
            </w:tcMar>
            <w:vAlign w:val="bottom"/>
            <w:hideMark/>
          </w:tcPr>
          <w:p w14:paraId="061CD4A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608AC"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7575C5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D7E55BD" w14:textId="77777777" w:rsidR="00000000" w:rsidRDefault="00C1661D">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2AC0F3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D0D632"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FB629D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A70B3C4" w14:textId="77777777" w:rsidR="00000000" w:rsidRDefault="00C1661D">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14:paraId="70AD2DA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BE775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F59D60" w14:textId="77777777" w:rsidR="00000000" w:rsidRDefault="00C1661D">
            <w:pPr>
              <w:spacing w:after="100"/>
              <w:jc w:val="right"/>
              <w:rPr>
                <w:rFonts w:eastAsia="Times New Roman"/>
              </w:rPr>
            </w:pPr>
            <w:r>
              <w:rPr>
                <w:rFonts w:eastAsia="Times New Roman"/>
                <w:color w:val="000000"/>
                <w:sz w:val="20"/>
                <w:szCs w:val="20"/>
              </w:rPr>
              <w:t>5.62 </w:t>
            </w:r>
          </w:p>
        </w:tc>
        <w:tc>
          <w:tcPr>
            <w:tcW w:w="0" w:type="auto"/>
            <w:shd w:val="clear" w:color="auto" w:fill="FFFFFF"/>
            <w:tcMar>
              <w:top w:w="30" w:type="dxa"/>
              <w:left w:w="0" w:type="dxa"/>
              <w:bottom w:w="30" w:type="dxa"/>
              <w:right w:w="20" w:type="dxa"/>
            </w:tcMar>
            <w:vAlign w:val="bottom"/>
            <w:hideMark/>
          </w:tcPr>
          <w:p w14:paraId="08A33203" w14:textId="77777777" w:rsidR="00000000" w:rsidRDefault="00C1661D">
            <w:pPr>
              <w:spacing w:after="100"/>
              <w:jc w:val="right"/>
              <w:rPr>
                <w:rFonts w:eastAsia="Times New Roman"/>
              </w:rPr>
            </w:pPr>
            <w:r>
              <w:rPr>
                <w:rFonts w:eastAsia="Times New Roman"/>
                <w:color w:val="000000"/>
                <w:sz w:val="20"/>
                <w:szCs w:val="20"/>
              </w:rPr>
              <w:t>%</w:t>
            </w:r>
          </w:p>
        </w:tc>
      </w:tr>
      <w:tr w:rsidR="00000000" w14:paraId="3E6C0BD4" w14:textId="77777777">
        <w:trPr>
          <w:divId w:val="2038194111"/>
          <w:jc w:val="center"/>
        </w:trPr>
        <w:tc>
          <w:tcPr>
            <w:tcW w:w="0" w:type="auto"/>
            <w:gridSpan w:val="3"/>
            <w:shd w:val="clear" w:color="auto" w:fill="CCEEFF"/>
            <w:tcMar>
              <w:top w:w="30" w:type="dxa"/>
              <w:left w:w="20" w:type="dxa"/>
              <w:bottom w:w="30" w:type="dxa"/>
              <w:right w:w="20" w:type="dxa"/>
            </w:tcMar>
            <w:vAlign w:val="bottom"/>
            <w:hideMark/>
          </w:tcPr>
          <w:p w14:paraId="74B09B4F" w14:textId="77777777" w:rsidR="00000000" w:rsidRDefault="00C1661D">
            <w:pPr>
              <w:spacing w:after="100"/>
              <w:rPr>
                <w:rFonts w:eastAsia="Times New Roman"/>
              </w:rPr>
            </w:pPr>
            <w:r>
              <w:rPr>
                <w:rFonts w:eastAsia="Times New Roman"/>
                <w:b/>
                <w:bCs/>
                <w:color w:val="000000"/>
                <w:sz w:val="20"/>
                <w:szCs w:val="20"/>
              </w:rPr>
              <w:t>September 30, 2021</w:t>
            </w:r>
          </w:p>
        </w:tc>
        <w:tc>
          <w:tcPr>
            <w:tcW w:w="0" w:type="auto"/>
            <w:gridSpan w:val="3"/>
            <w:shd w:val="clear" w:color="auto" w:fill="CCEEFF"/>
            <w:tcMar>
              <w:top w:w="0" w:type="dxa"/>
              <w:left w:w="20" w:type="dxa"/>
              <w:bottom w:w="0" w:type="dxa"/>
              <w:right w:w="20" w:type="dxa"/>
            </w:tcMar>
            <w:vAlign w:val="center"/>
            <w:hideMark/>
          </w:tcPr>
          <w:p w14:paraId="36432AFF"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D557DF"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98DAAF"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0A28CB"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CBB696"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284CDF"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19B93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E3414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4C39E1"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553499"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CF8C7B"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4CF551" w14:textId="77777777" w:rsidR="00000000" w:rsidRDefault="00C1661D">
            <w:pPr>
              <w:spacing w:after="100"/>
              <w:rPr>
                <w:rFonts w:eastAsia="Times New Roman"/>
                <w:sz w:val="20"/>
                <w:szCs w:val="20"/>
              </w:rPr>
            </w:pPr>
          </w:p>
        </w:tc>
      </w:tr>
      <w:tr w:rsidR="00000000" w14:paraId="6FB31CAC" w14:textId="77777777">
        <w:trPr>
          <w:divId w:val="2038194111"/>
          <w:jc w:val="center"/>
        </w:trPr>
        <w:tc>
          <w:tcPr>
            <w:tcW w:w="0" w:type="auto"/>
            <w:gridSpan w:val="3"/>
            <w:shd w:val="clear" w:color="auto" w:fill="FFFFFF"/>
            <w:tcMar>
              <w:top w:w="30" w:type="dxa"/>
              <w:left w:w="155" w:type="dxa"/>
              <w:bottom w:w="30" w:type="dxa"/>
              <w:right w:w="20" w:type="dxa"/>
            </w:tcMar>
            <w:vAlign w:val="bottom"/>
            <w:hideMark/>
          </w:tcPr>
          <w:p w14:paraId="520E90F7" w14:textId="77777777" w:rsidR="00000000" w:rsidRDefault="00C1661D">
            <w:pPr>
              <w:spacing w:after="100"/>
              <w:rPr>
                <w:rFonts w:eastAsia="Times New Roman"/>
              </w:rPr>
            </w:pPr>
            <w:r>
              <w:rPr>
                <w:rFonts w:eastAsia="Times New Roman"/>
                <w:color w:val="000000"/>
                <w:sz w:val="20"/>
                <w:szCs w:val="20"/>
              </w:rPr>
              <w:t>AmeriGas OLP (a)</w:t>
            </w:r>
          </w:p>
        </w:tc>
        <w:tc>
          <w:tcPr>
            <w:tcW w:w="0" w:type="auto"/>
            <w:gridSpan w:val="3"/>
            <w:shd w:val="clear" w:color="auto" w:fill="FFFFFF"/>
            <w:tcMar>
              <w:top w:w="0" w:type="dxa"/>
              <w:left w:w="20" w:type="dxa"/>
              <w:bottom w:w="0" w:type="dxa"/>
              <w:right w:w="20" w:type="dxa"/>
            </w:tcMar>
            <w:vAlign w:val="center"/>
            <w:hideMark/>
          </w:tcPr>
          <w:p w14:paraId="13DC427A"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3EF07A2" w14:textId="77777777" w:rsidR="00000000" w:rsidRDefault="00C1661D">
            <w:pPr>
              <w:spacing w:after="100"/>
              <w:jc w:val="center"/>
              <w:rPr>
                <w:rFonts w:eastAsia="Times New Roman"/>
              </w:rPr>
            </w:pPr>
            <w:r>
              <w:rPr>
                <w:rFonts w:eastAsia="Times New Roman"/>
                <w:color w:val="000000"/>
                <w:sz w:val="20"/>
                <w:szCs w:val="20"/>
              </w:rPr>
              <w:t>December 2022</w:t>
            </w:r>
          </w:p>
        </w:tc>
        <w:tc>
          <w:tcPr>
            <w:tcW w:w="0" w:type="auto"/>
            <w:gridSpan w:val="3"/>
            <w:shd w:val="clear" w:color="auto" w:fill="FFFFFF"/>
            <w:tcMar>
              <w:top w:w="0" w:type="dxa"/>
              <w:left w:w="20" w:type="dxa"/>
              <w:bottom w:w="0" w:type="dxa"/>
              <w:right w:w="20" w:type="dxa"/>
            </w:tcMar>
            <w:vAlign w:val="center"/>
            <w:hideMark/>
          </w:tcPr>
          <w:p w14:paraId="04048601" w14:textId="77777777" w:rsidR="00000000" w:rsidRDefault="00C1661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3C95980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1F5F8D8" w14:textId="77777777" w:rsidR="00000000" w:rsidRDefault="00C1661D">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14:paraId="6458481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D1869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256DE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F70ED7" w14:textId="77777777" w:rsidR="00000000" w:rsidRDefault="00C1661D">
            <w:pPr>
              <w:spacing w:after="100"/>
              <w:jc w:val="right"/>
              <w:rPr>
                <w:rFonts w:eastAsia="Times New Roman"/>
              </w:rPr>
            </w:pPr>
            <w:r>
              <w:rPr>
                <w:rFonts w:eastAsia="Times New Roman"/>
                <w:color w:val="000000"/>
                <w:sz w:val="20"/>
                <w:szCs w:val="20"/>
              </w:rPr>
              <w:t>170 </w:t>
            </w:r>
          </w:p>
        </w:tc>
        <w:tc>
          <w:tcPr>
            <w:tcW w:w="0" w:type="auto"/>
            <w:shd w:val="clear" w:color="auto" w:fill="FFFFFF"/>
            <w:tcMar>
              <w:top w:w="30" w:type="dxa"/>
              <w:left w:w="0" w:type="dxa"/>
              <w:bottom w:w="30" w:type="dxa"/>
              <w:right w:w="20" w:type="dxa"/>
            </w:tcMar>
            <w:vAlign w:val="bottom"/>
            <w:hideMark/>
          </w:tcPr>
          <w:p w14:paraId="55011D9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D9926F"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D37EF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3BAD758" w14:textId="77777777" w:rsidR="00000000" w:rsidRDefault="00C1661D">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14:paraId="11E4305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1F96F4"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8EEF99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2E8EAF1" w14:textId="77777777" w:rsidR="00000000" w:rsidRDefault="00C1661D">
            <w:pPr>
              <w:spacing w:after="100"/>
              <w:jc w:val="right"/>
              <w:rPr>
                <w:rFonts w:eastAsia="Times New Roman"/>
              </w:rPr>
            </w:pPr>
            <w:r>
              <w:rPr>
                <w:rFonts w:eastAsia="Times New Roman"/>
                <w:color w:val="000000"/>
                <w:sz w:val="20"/>
                <w:szCs w:val="20"/>
              </w:rPr>
              <w:t>370 </w:t>
            </w:r>
          </w:p>
        </w:tc>
        <w:tc>
          <w:tcPr>
            <w:tcW w:w="0" w:type="auto"/>
            <w:shd w:val="clear" w:color="auto" w:fill="FFFFFF"/>
            <w:tcMar>
              <w:top w:w="30" w:type="dxa"/>
              <w:left w:w="0" w:type="dxa"/>
              <w:bottom w:w="30" w:type="dxa"/>
              <w:right w:w="20" w:type="dxa"/>
            </w:tcMar>
            <w:vAlign w:val="bottom"/>
            <w:hideMark/>
          </w:tcPr>
          <w:p w14:paraId="6C8A136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16B64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5B7843" w14:textId="77777777" w:rsidR="00000000" w:rsidRDefault="00C1661D">
            <w:pPr>
              <w:spacing w:after="100"/>
              <w:jc w:val="right"/>
              <w:rPr>
                <w:rFonts w:eastAsia="Times New Roman"/>
              </w:rPr>
            </w:pPr>
            <w:r>
              <w:rPr>
                <w:rFonts w:eastAsia="Times New Roman"/>
                <w:color w:val="000000"/>
                <w:sz w:val="20"/>
                <w:szCs w:val="20"/>
              </w:rPr>
              <w:t>2.58 </w:t>
            </w:r>
          </w:p>
        </w:tc>
        <w:tc>
          <w:tcPr>
            <w:tcW w:w="0" w:type="auto"/>
            <w:shd w:val="clear" w:color="auto" w:fill="FFFFFF"/>
            <w:tcMar>
              <w:top w:w="30" w:type="dxa"/>
              <w:left w:w="0" w:type="dxa"/>
              <w:bottom w:w="30" w:type="dxa"/>
              <w:right w:w="20" w:type="dxa"/>
            </w:tcMar>
            <w:vAlign w:val="bottom"/>
            <w:hideMark/>
          </w:tcPr>
          <w:p w14:paraId="5221A490" w14:textId="77777777" w:rsidR="00000000" w:rsidRDefault="00C1661D">
            <w:pPr>
              <w:spacing w:after="100"/>
              <w:jc w:val="right"/>
              <w:rPr>
                <w:rFonts w:eastAsia="Times New Roman"/>
              </w:rPr>
            </w:pPr>
            <w:r>
              <w:rPr>
                <w:rFonts w:eastAsia="Times New Roman"/>
                <w:color w:val="000000"/>
                <w:sz w:val="20"/>
                <w:szCs w:val="20"/>
              </w:rPr>
              <w:t>%</w:t>
            </w:r>
          </w:p>
        </w:tc>
      </w:tr>
      <w:tr w:rsidR="00000000" w14:paraId="6605C0A2" w14:textId="77777777">
        <w:trPr>
          <w:divId w:val="2038194111"/>
          <w:jc w:val="center"/>
        </w:trPr>
        <w:tc>
          <w:tcPr>
            <w:tcW w:w="0" w:type="auto"/>
            <w:gridSpan w:val="3"/>
            <w:shd w:val="clear" w:color="auto" w:fill="CCEEFF"/>
            <w:tcMar>
              <w:top w:w="30" w:type="dxa"/>
              <w:left w:w="155" w:type="dxa"/>
              <w:bottom w:w="30" w:type="dxa"/>
              <w:right w:w="20" w:type="dxa"/>
            </w:tcMar>
            <w:vAlign w:val="bottom"/>
            <w:hideMark/>
          </w:tcPr>
          <w:p w14:paraId="455FF60F" w14:textId="77777777" w:rsidR="00000000" w:rsidRDefault="00C1661D">
            <w:pPr>
              <w:spacing w:after="100"/>
              <w:rPr>
                <w:rFonts w:eastAsia="Times New Roman"/>
              </w:rPr>
            </w:pPr>
            <w:r>
              <w:rPr>
                <w:rFonts w:eastAsia="Times New Roman"/>
                <w:color w:val="000000"/>
                <w:sz w:val="20"/>
                <w:szCs w:val="20"/>
              </w:rPr>
              <w:t>UGI International, LLC (b)</w:t>
            </w:r>
          </w:p>
        </w:tc>
        <w:tc>
          <w:tcPr>
            <w:tcW w:w="0" w:type="auto"/>
            <w:gridSpan w:val="3"/>
            <w:shd w:val="clear" w:color="auto" w:fill="CCEEFF"/>
            <w:tcMar>
              <w:top w:w="0" w:type="dxa"/>
              <w:left w:w="20" w:type="dxa"/>
              <w:bottom w:w="0" w:type="dxa"/>
              <w:right w:w="20" w:type="dxa"/>
            </w:tcMar>
            <w:vAlign w:val="center"/>
            <w:hideMark/>
          </w:tcPr>
          <w:p w14:paraId="0D6F75CB"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806A625" w14:textId="77777777" w:rsidR="00000000" w:rsidRDefault="00C1661D">
            <w:pPr>
              <w:spacing w:after="100"/>
              <w:jc w:val="center"/>
              <w:rPr>
                <w:rFonts w:eastAsia="Times New Roman"/>
              </w:rPr>
            </w:pPr>
            <w:r>
              <w:rPr>
                <w:rFonts w:eastAsia="Times New Roman"/>
                <w:color w:val="000000"/>
                <w:sz w:val="20"/>
                <w:szCs w:val="20"/>
              </w:rPr>
              <w:t>October 2023</w:t>
            </w:r>
          </w:p>
        </w:tc>
        <w:tc>
          <w:tcPr>
            <w:tcW w:w="0" w:type="auto"/>
            <w:gridSpan w:val="3"/>
            <w:shd w:val="clear" w:color="auto" w:fill="CCEEFF"/>
            <w:tcMar>
              <w:top w:w="0" w:type="dxa"/>
              <w:left w:w="20" w:type="dxa"/>
              <w:bottom w:w="0" w:type="dxa"/>
              <w:right w:w="20" w:type="dxa"/>
            </w:tcMar>
            <w:vAlign w:val="center"/>
            <w:hideMark/>
          </w:tcPr>
          <w:p w14:paraId="0220922B" w14:textId="77777777" w:rsidR="00000000" w:rsidRDefault="00C1661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36941BF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B02A4BB" w14:textId="77777777" w:rsidR="00000000" w:rsidRDefault="00C1661D">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5F76996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E743C1"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A1F265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0DDE25"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1020C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C695B6"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6A470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1339E34"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448EF6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448CF"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E3A1A1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6086B6D" w14:textId="77777777" w:rsidR="00000000" w:rsidRDefault="00C1661D">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1C0E2AD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8E1F58" w14:textId="77777777" w:rsidR="00000000" w:rsidRDefault="00C1661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555575F" w14:textId="77777777" w:rsidR="00000000" w:rsidRDefault="00C1661D">
            <w:pPr>
              <w:spacing w:after="100"/>
              <w:jc w:val="right"/>
              <w:rPr>
                <w:rFonts w:eastAsia="Times New Roman"/>
              </w:rPr>
            </w:pPr>
            <w:r>
              <w:rPr>
                <w:rFonts w:eastAsia="Times New Roman"/>
                <w:color w:val="000000"/>
                <w:sz w:val="20"/>
                <w:szCs w:val="20"/>
              </w:rPr>
              <w:t>N.A.</w:t>
            </w:r>
          </w:p>
        </w:tc>
      </w:tr>
      <w:tr w:rsidR="00000000" w14:paraId="3B51407F" w14:textId="77777777">
        <w:trPr>
          <w:divId w:val="2038194111"/>
          <w:jc w:val="center"/>
        </w:trPr>
        <w:tc>
          <w:tcPr>
            <w:tcW w:w="0" w:type="auto"/>
            <w:gridSpan w:val="3"/>
            <w:shd w:val="clear" w:color="auto" w:fill="FFFFFF"/>
            <w:tcMar>
              <w:top w:w="30" w:type="dxa"/>
              <w:left w:w="155" w:type="dxa"/>
              <w:bottom w:w="30" w:type="dxa"/>
              <w:right w:w="20" w:type="dxa"/>
            </w:tcMar>
            <w:vAlign w:val="bottom"/>
            <w:hideMark/>
          </w:tcPr>
          <w:p w14:paraId="05BC0110" w14:textId="77777777" w:rsidR="00000000" w:rsidRDefault="00C1661D">
            <w:pPr>
              <w:spacing w:after="100"/>
              <w:rPr>
                <w:rFonts w:eastAsia="Times New Roman"/>
              </w:rPr>
            </w:pPr>
            <w:r>
              <w:rPr>
                <w:rFonts w:eastAsia="Times New Roman"/>
                <w:color w:val="000000"/>
                <w:sz w:val="20"/>
                <w:szCs w:val="20"/>
              </w:rPr>
              <w:t>Energy Services (c)</w:t>
            </w:r>
          </w:p>
        </w:tc>
        <w:tc>
          <w:tcPr>
            <w:tcW w:w="0" w:type="auto"/>
            <w:gridSpan w:val="3"/>
            <w:shd w:val="clear" w:color="auto" w:fill="FFFFFF"/>
            <w:tcMar>
              <w:top w:w="0" w:type="dxa"/>
              <w:left w:w="20" w:type="dxa"/>
              <w:bottom w:w="0" w:type="dxa"/>
              <w:right w:w="20" w:type="dxa"/>
            </w:tcMar>
            <w:vAlign w:val="center"/>
            <w:hideMark/>
          </w:tcPr>
          <w:p w14:paraId="1881801B"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B1C559D" w14:textId="77777777" w:rsidR="00000000" w:rsidRDefault="00C1661D">
            <w:pPr>
              <w:spacing w:after="100"/>
              <w:jc w:val="center"/>
              <w:rPr>
                <w:rFonts w:eastAsia="Times New Roman"/>
              </w:rPr>
            </w:pPr>
            <w:r>
              <w:rPr>
                <w:rFonts w:eastAsia="Times New Roman"/>
                <w:color w:val="000000"/>
                <w:sz w:val="20"/>
                <w:szCs w:val="20"/>
              </w:rPr>
              <w:t>March 2025</w:t>
            </w:r>
          </w:p>
        </w:tc>
        <w:tc>
          <w:tcPr>
            <w:tcW w:w="0" w:type="auto"/>
            <w:gridSpan w:val="3"/>
            <w:shd w:val="clear" w:color="auto" w:fill="FFFFFF"/>
            <w:tcMar>
              <w:top w:w="0" w:type="dxa"/>
              <w:left w:w="20" w:type="dxa"/>
              <w:bottom w:w="0" w:type="dxa"/>
              <w:right w:w="20" w:type="dxa"/>
            </w:tcMar>
            <w:vAlign w:val="center"/>
            <w:hideMark/>
          </w:tcPr>
          <w:p w14:paraId="490D3EA7" w14:textId="77777777" w:rsidR="00000000" w:rsidRDefault="00C1661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1C29659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B2BDC72" w14:textId="77777777" w:rsidR="00000000" w:rsidRDefault="00C1661D">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14:paraId="5CB50C4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A409C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18144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ECE9A5F"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704F94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DC705E"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CF698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B0FBC9B"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C33D0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08402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911A0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2A1BD1E" w14:textId="77777777" w:rsidR="00000000" w:rsidRDefault="00C1661D">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14:paraId="51E0F18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9F9D44" w14:textId="77777777" w:rsidR="00000000" w:rsidRDefault="00C1661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F611AE3" w14:textId="77777777" w:rsidR="00000000" w:rsidRDefault="00C1661D">
            <w:pPr>
              <w:spacing w:after="100"/>
              <w:jc w:val="right"/>
              <w:rPr>
                <w:rFonts w:eastAsia="Times New Roman"/>
              </w:rPr>
            </w:pPr>
            <w:r>
              <w:rPr>
                <w:rFonts w:eastAsia="Times New Roman"/>
                <w:color w:val="000000"/>
                <w:sz w:val="20"/>
                <w:szCs w:val="20"/>
              </w:rPr>
              <w:t>N.A.</w:t>
            </w:r>
          </w:p>
        </w:tc>
      </w:tr>
      <w:tr w:rsidR="00000000" w14:paraId="5E033C95" w14:textId="77777777">
        <w:trPr>
          <w:divId w:val="2038194111"/>
          <w:jc w:val="center"/>
        </w:trPr>
        <w:tc>
          <w:tcPr>
            <w:tcW w:w="0" w:type="auto"/>
            <w:gridSpan w:val="3"/>
            <w:shd w:val="clear" w:color="auto" w:fill="CCEEFF"/>
            <w:tcMar>
              <w:top w:w="30" w:type="dxa"/>
              <w:left w:w="155" w:type="dxa"/>
              <w:bottom w:w="30" w:type="dxa"/>
              <w:right w:w="20" w:type="dxa"/>
            </w:tcMar>
            <w:vAlign w:val="bottom"/>
            <w:hideMark/>
          </w:tcPr>
          <w:p w14:paraId="37240D4C" w14:textId="77777777" w:rsidR="00000000" w:rsidRDefault="00C1661D">
            <w:pPr>
              <w:spacing w:after="100"/>
              <w:rPr>
                <w:rFonts w:eastAsia="Times New Roman"/>
              </w:rPr>
            </w:pPr>
            <w:r>
              <w:rPr>
                <w:rFonts w:eastAsia="Times New Roman"/>
                <w:color w:val="000000"/>
                <w:sz w:val="20"/>
                <w:szCs w:val="20"/>
              </w:rPr>
              <w:t>UGI Utilities (d)</w:t>
            </w:r>
          </w:p>
        </w:tc>
        <w:tc>
          <w:tcPr>
            <w:tcW w:w="0" w:type="auto"/>
            <w:gridSpan w:val="3"/>
            <w:shd w:val="clear" w:color="auto" w:fill="CCEEFF"/>
            <w:tcMar>
              <w:top w:w="0" w:type="dxa"/>
              <w:left w:w="20" w:type="dxa"/>
              <w:bottom w:w="0" w:type="dxa"/>
              <w:right w:w="20" w:type="dxa"/>
            </w:tcMar>
            <w:vAlign w:val="center"/>
            <w:hideMark/>
          </w:tcPr>
          <w:p w14:paraId="7D1EE92F"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5E4A257" w14:textId="77777777" w:rsidR="00000000" w:rsidRDefault="00C1661D">
            <w:pPr>
              <w:spacing w:after="100"/>
              <w:jc w:val="center"/>
              <w:rPr>
                <w:rFonts w:eastAsia="Times New Roman"/>
              </w:rPr>
            </w:pPr>
            <w:r>
              <w:rPr>
                <w:rFonts w:eastAsia="Times New Roman"/>
                <w:color w:val="000000"/>
                <w:sz w:val="20"/>
                <w:szCs w:val="20"/>
              </w:rPr>
              <w:t>June 2024</w:t>
            </w:r>
          </w:p>
        </w:tc>
        <w:tc>
          <w:tcPr>
            <w:tcW w:w="0" w:type="auto"/>
            <w:gridSpan w:val="3"/>
            <w:shd w:val="clear" w:color="auto" w:fill="CCEEFF"/>
            <w:tcMar>
              <w:top w:w="0" w:type="dxa"/>
              <w:left w:w="20" w:type="dxa"/>
              <w:bottom w:w="0" w:type="dxa"/>
              <w:right w:w="20" w:type="dxa"/>
            </w:tcMar>
            <w:vAlign w:val="center"/>
            <w:hideMark/>
          </w:tcPr>
          <w:p w14:paraId="4F34BD98" w14:textId="77777777" w:rsidR="00000000" w:rsidRDefault="00C1661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355A4FD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4B54929" w14:textId="77777777" w:rsidR="00000000" w:rsidRDefault="00C1661D">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14:paraId="19C49F3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1D8582"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97955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C49A8AF" w14:textId="77777777" w:rsidR="00000000" w:rsidRDefault="00C1661D">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14:paraId="30D93F9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69E4DE"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7DDE0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DBBBA64"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EA4DD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BA18B0"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51E61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F4C524" w14:textId="77777777" w:rsidR="00000000" w:rsidRDefault="00C1661D">
            <w:pPr>
              <w:spacing w:after="100"/>
              <w:jc w:val="right"/>
              <w:rPr>
                <w:rFonts w:eastAsia="Times New Roman"/>
              </w:rPr>
            </w:pPr>
            <w:r>
              <w:rPr>
                <w:rFonts w:eastAsia="Times New Roman"/>
                <w:color w:val="000000"/>
                <w:sz w:val="20"/>
                <w:szCs w:val="20"/>
              </w:rPr>
              <w:t>220 </w:t>
            </w:r>
          </w:p>
        </w:tc>
        <w:tc>
          <w:tcPr>
            <w:tcW w:w="0" w:type="auto"/>
            <w:shd w:val="clear" w:color="auto" w:fill="CCEEFF"/>
            <w:tcMar>
              <w:top w:w="30" w:type="dxa"/>
              <w:left w:w="0" w:type="dxa"/>
              <w:bottom w:w="30" w:type="dxa"/>
              <w:right w:w="20" w:type="dxa"/>
            </w:tcMar>
            <w:vAlign w:val="bottom"/>
            <w:hideMark/>
          </w:tcPr>
          <w:p w14:paraId="2F3BC62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2E8CD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DE8599" w14:textId="77777777" w:rsidR="00000000" w:rsidRDefault="00C1661D">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14:paraId="32B828D5" w14:textId="77777777" w:rsidR="00000000" w:rsidRDefault="00C1661D">
            <w:pPr>
              <w:spacing w:after="100"/>
              <w:jc w:val="right"/>
              <w:rPr>
                <w:rFonts w:eastAsia="Times New Roman"/>
              </w:rPr>
            </w:pPr>
            <w:r>
              <w:rPr>
                <w:rFonts w:eastAsia="Times New Roman"/>
                <w:color w:val="000000"/>
                <w:sz w:val="20"/>
                <w:szCs w:val="20"/>
              </w:rPr>
              <w:t>%</w:t>
            </w:r>
          </w:p>
        </w:tc>
      </w:tr>
      <w:tr w:rsidR="00000000" w14:paraId="7204746F" w14:textId="77777777">
        <w:trPr>
          <w:divId w:val="2038194111"/>
          <w:jc w:val="center"/>
        </w:trPr>
        <w:tc>
          <w:tcPr>
            <w:tcW w:w="0" w:type="auto"/>
            <w:gridSpan w:val="3"/>
            <w:shd w:val="clear" w:color="auto" w:fill="FFFFFF"/>
            <w:tcMar>
              <w:top w:w="30" w:type="dxa"/>
              <w:left w:w="155" w:type="dxa"/>
              <w:bottom w:w="30" w:type="dxa"/>
              <w:right w:w="20" w:type="dxa"/>
            </w:tcMar>
            <w:vAlign w:val="bottom"/>
            <w:hideMark/>
          </w:tcPr>
          <w:p w14:paraId="3D380BBA" w14:textId="77777777" w:rsidR="00000000" w:rsidRDefault="00C1661D">
            <w:pPr>
              <w:spacing w:after="100"/>
              <w:rPr>
                <w:rFonts w:eastAsia="Times New Roman"/>
              </w:rPr>
            </w:pPr>
            <w:r>
              <w:rPr>
                <w:rFonts w:eastAsia="Times New Roman"/>
                <w:color w:val="000000"/>
                <w:sz w:val="20"/>
                <w:szCs w:val="20"/>
              </w:rPr>
              <w:t>Mountaineer (e)</w:t>
            </w:r>
          </w:p>
        </w:tc>
        <w:tc>
          <w:tcPr>
            <w:tcW w:w="0" w:type="auto"/>
            <w:gridSpan w:val="3"/>
            <w:shd w:val="clear" w:color="auto" w:fill="FFFFFF"/>
            <w:tcMar>
              <w:top w:w="0" w:type="dxa"/>
              <w:left w:w="20" w:type="dxa"/>
              <w:bottom w:w="0" w:type="dxa"/>
              <w:right w:w="20" w:type="dxa"/>
            </w:tcMar>
            <w:vAlign w:val="center"/>
            <w:hideMark/>
          </w:tcPr>
          <w:p w14:paraId="2A26B21E"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98BF0AE" w14:textId="77777777" w:rsidR="00000000" w:rsidRDefault="00C1661D">
            <w:pPr>
              <w:spacing w:after="100"/>
              <w:jc w:val="center"/>
              <w:rPr>
                <w:rFonts w:eastAsia="Times New Roman"/>
              </w:rPr>
            </w:pPr>
            <w:r>
              <w:rPr>
                <w:rFonts w:eastAsia="Times New Roman"/>
                <w:color w:val="000000"/>
                <w:sz w:val="20"/>
                <w:szCs w:val="20"/>
              </w:rPr>
              <w:t>November 2024</w:t>
            </w:r>
          </w:p>
        </w:tc>
        <w:tc>
          <w:tcPr>
            <w:tcW w:w="0" w:type="auto"/>
            <w:gridSpan w:val="3"/>
            <w:shd w:val="clear" w:color="auto" w:fill="FFFFFF"/>
            <w:tcMar>
              <w:top w:w="0" w:type="dxa"/>
              <w:left w:w="20" w:type="dxa"/>
              <w:bottom w:w="0" w:type="dxa"/>
              <w:right w:w="20" w:type="dxa"/>
            </w:tcMar>
            <w:vAlign w:val="center"/>
            <w:hideMark/>
          </w:tcPr>
          <w:p w14:paraId="789D1D7F" w14:textId="77777777" w:rsidR="00000000" w:rsidRDefault="00C1661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3E818C9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FC706E" w14:textId="77777777" w:rsidR="00000000" w:rsidRDefault="00C1661D">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1171D61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2E4D86"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60F77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102EF70" w14:textId="77777777" w:rsidR="00000000" w:rsidRDefault="00C1661D">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14:paraId="18A8A00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0F648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190C69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A2075FD"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5B358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21C5AC"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2A94FD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467FA56" w14:textId="77777777" w:rsidR="00000000" w:rsidRDefault="00C1661D">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53FBA74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4D60AD" w14:textId="77777777" w:rsidR="00000000" w:rsidRDefault="00C1661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B82BFCA" w14:textId="77777777" w:rsidR="00000000" w:rsidRDefault="00C1661D">
            <w:pPr>
              <w:spacing w:after="100"/>
              <w:jc w:val="right"/>
              <w:rPr>
                <w:rFonts w:eastAsia="Times New Roman"/>
              </w:rPr>
            </w:pPr>
            <w:r>
              <w:rPr>
                <w:rFonts w:eastAsia="Times New Roman"/>
                <w:color w:val="000000"/>
                <w:sz w:val="20"/>
                <w:szCs w:val="20"/>
              </w:rPr>
              <w:t>N.M.</w:t>
            </w:r>
          </w:p>
        </w:tc>
      </w:tr>
      <w:tr w:rsidR="00000000" w14:paraId="26A6B058" w14:textId="77777777">
        <w:trPr>
          <w:divId w:val="2038194111"/>
          <w:jc w:val="center"/>
        </w:trPr>
        <w:tc>
          <w:tcPr>
            <w:tcW w:w="0" w:type="auto"/>
            <w:gridSpan w:val="3"/>
            <w:shd w:val="clear" w:color="auto" w:fill="CCEEFF"/>
            <w:tcMar>
              <w:top w:w="30" w:type="dxa"/>
              <w:left w:w="155" w:type="dxa"/>
              <w:bottom w:w="30" w:type="dxa"/>
              <w:right w:w="20" w:type="dxa"/>
            </w:tcMar>
            <w:vAlign w:val="bottom"/>
            <w:hideMark/>
          </w:tcPr>
          <w:p w14:paraId="2FF3AE2D" w14:textId="77777777" w:rsidR="00000000" w:rsidRDefault="00C1661D">
            <w:pPr>
              <w:spacing w:after="100"/>
              <w:rPr>
                <w:rFonts w:eastAsia="Times New Roman"/>
              </w:rPr>
            </w:pPr>
            <w:r>
              <w:rPr>
                <w:rFonts w:eastAsia="Times New Roman"/>
                <w:color w:val="000000"/>
                <w:sz w:val="20"/>
                <w:szCs w:val="20"/>
              </w:rPr>
              <w:t>UGI Corporation (f)</w:t>
            </w:r>
          </w:p>
        </w:tc>
        <w:tc>
          <w:tcPr>
            <w:tcW w:w="0" w:type="auto"/>
            <w:gridSpan w:val="3"/>
            <w:shd w:val="clear" w:color="auto" w:fill="CCEEFF"/>
            <w:tcMar>
              <w:top w:w="0" w:type="dxa"/>
              <w:left w:w="20" w:type="dxa"/>
              <w:bottom w:w="0" w:type="dxa"/>
              <w:right w:w="20" w:type="dxa"/>
            </w:tcMar>
            <w:vAlign w:val="center"/>
            <w:hideMark/>
          </w:tcPr>
          <w:p w14:paraId="326DC4E6"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8276926" w14:textId="77777777" w:rsidR="00000000" w:rsidRDefault="00C1661D">
            <w:pPr>
              <w:spacing w:after="100"/>
              <w:jc w:val="center"/>
              <w:rPr>
                <w:rFonts w:eastAsia="Times New Roman"/>
              </w:rPr>
            </w:pPr>
            <w:r>
              <w:rPr>
                <w:rFonts w:eastAsia="Times New Roman"/>
                <w:color w:val="000000"/>
                <w:sz w:val="20"/>
                <w:szCs w:val="20"/>
              </w:rPr>
              <w:t>August 2024</w:t>
            </w:r>
          </w:p>
        </w:tc>
        <w:tc>
          <w:tcPr>
            <w:tcW w:w="0" w:type="auto"/>
            <w:gridSpan w:val="3"/>
            <w:shd w:val="clear" w:color="auto" w:fill="CCEEFF"/>
            <w:tcMar>
              <w:top w:w="0" w:type="dxa"/>
              <w:left w:w="20" w:type="dxa"/>
              <w:bottom w:w="0" w:type="dxa"/>
              <w:right w:w="20" w:type="dxa"/>
            </w:tcMar>
            <w:vAlign w:val="center"/>
            <w:hideMark/>
          </w:tcPr>
          <w:p w14:paraId="5AF9961E" w14:textId="77777777" w:rsidR="00000000" w:rsidRDefault="00C1661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3400E96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206A222" w14:textId="77777777" w:rsidR="00000000" w:rsidRDefault="00C1661D">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7386AF0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F617C9"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FB24F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CC5818C" w14:textId="77777777" w:rsidR="00000000" w:rsidRDefault="00C1661D">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14:paraId="4007E10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1A00B"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75843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5CF624"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5B683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BAEFF5"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694774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8AFA5A5" w14:textId="77777777" w:rsidR="00000000" w:rsidRDefault="00C1661D">
            <w:pPr>
              <w:spacing w:after="100"/>
              <w:jc w:val="right"/>
              <w:rPr>
                <w:rFonts w:eastAsia="Times New Roman"/>
              </w:rPr>
            </w:pPr>
            <w:r>
              <w:rPr>
                <w:rFonts w:eastAsia="Times New Roman"/>
                <w:color w:val="000000"/>
                <w:sz w:val="20"/>
                <w:szCs w:val="20"/>
              </w:rPr>
              <w:t>115 </w:t>
            </w:r>
          </w:p>
        </w:tc>
        <w:tc>
          <w:tcPr>
            <w:tcW w:w="0" w:type="auto"/>
            <w:shd w:val="clear" w:color="auto" w:fill="CCEEFF"/>
            <w:tcMar>
              <w:top w:w="30" w:type="dxa"/>
              <w:left w:w="0" w:type="dxa"/>
              <w:bottom w:w="30" w:type="dxa"/>
              <w:right w:w="20" w:type="dxa"/>
            </w:tcMar>
            <w:vAlign w:val="bottom"/>
            <w:hideMark/>
          </w:tcPr>
          <w:p w14:paraId="15728B2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51135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5F9E9C" w14:textId="77777777" w:rsidR="00000000" w:rsidRDefault="00C1661D">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14:paraId="2254B4BE" w14:textId="77777777" w:rsidR="00000000" w:rsidRDefault="00C1661D">
            <w:pPr>
              <w:spacing w:after="100"/>
              <w:jc w:val="right"/>
              <w:rPr>
                <w:rFonts w:eastAsia="Times New Roman"/>
              </w:rPr>
            </w:pPr>
            <w:r>
              <w:rPr>
                <w:rFonts w:eastAsia="Times New Roman"/>
                <w:color w:val="000000"/>
                <w:sz w:val="20"/>
                <w:szCs w:val="20"/>
              </w:rPr>
              <w:t>%</w:t>
            </w:r>
          </w:p>
        </w:tc>
      </w:tr>
    </w:tbl>
    <w:p w14:paraId="63C7F935" w14:textId="77777777" w:rsidR="00000000" w:rsidRDefault="00C1661D">
      <w:pPr>
        <w:ind w:hanging="360"/>
        <w:jc w:val="both"/>
        <w:rPr>
          <w:rFonts w:eastAsia="Times New Roman"/>
        </w:rPr>
      </w:pPr>
      <w:r>
        <w:rPr>
          <w:rFonts w:eastAsia="Times New Roman"/>
          <w:color w:val="000000"/>
          <w:sz w:val="20"/>
          <w:szCs w:val="20"/>
        </w:rPr>
        <w:t>(a)At Sep</w:t>
      </w:r>
      <w:r>
        <w:rPr>
          <w:rFonts w:eastAsia="Times New Roman"/>
          <w:color w:val="000000"/>
          <w:sz w:val="20"/>
          <w:szCs w:val="20"/>
        </w:rPr>
        <w:t xml:space="preserve">tember 30, 2022 the 2022 AmeriGas OLP Credit Agreement includes a $100 sublimit for letters of credit. At September 30, 2021 the AmeriGas OLP Credit Agreement included a $150 sublimit for letters of credit. </w:t>
      </w:r>
    </w:p>
    <w:p w14:paraId="09B04CE9" w14:textId="77777777" w:rsidR="00000000" w:rsidRDefault="00C1661D">
      <w:pPr>
        <w:ind w:hanging="360"/>
        <w:jc w:val="both"/>
        <w:rPr>
          <w:rFonts w:eastAsia="Times New Roman"/>
        </w:rPr>
      </w:pPr>
      <w:r>
        <w:rPr>
          <w:rFonts w:eastAsia="Times New Roman"/>
          <w:color w:val="000000"/>
          <w:sz w:val="20"/>
          <w:szCs w:val="20"/>
        </w:rPr>
        <w:t>(b)The UGI International Credit Facilities Agree</w:t>
      </w:r>
      <w:r>
        <w:rPr>
          <w:rFonts w:eastAsia="Times New Roman"/>
          <w:color w:val="000000"/>
          <w:sz w:val="20"/>
          <w:szCs w:val="20"/>
        </w:rPr>
        <w:t xml:space="preserve">ment permits UGI International, LLC to borrow in euros or USD. </w:t>
      </w:r>
    </w:p>
    <w:p w14:paraId="4B833447" w14:textId="77777777" w:rsidR="00000000" w:rsidRDefault="00C1661D">
      <w:pPr>
        <w:ind w:hanging="360"/>
        <w:jc w:val="both"/>
        <w:rPr>
          <w:rFonts w:eastAsia="Times New Roman"/>
        </w:rPr>
      </w:pPr>
      <w:r>
        <w:rPr>
          <w:rFonts w:eastAsia="Times New Roman"/>
          <w:color w:val="000000"/>
          <w:sz w:val="20"/>
          <w:szCs w:val="20"/>
        </w:rPr>
        <w:t xml:space="preserve">(c)The Energy Services Credit Agreement includes a $50 sublimit for letters of credit and is guaranteed by certain subsidiaries of Energy Services. </w:t>
      </w:r>
    </w:p>
    <w:p w14:paraId="03795306" w14:textId="77777777" w:rsidR="00000000" w:rsidRDefault="00C1661D">
      <w:pPr>
        <w:ind w:hanging="360"/>
        <w:jc w:val="both"/>
        <w:rPr>
          <w:rFonts w:eastAsia="Times New Roman"/>
        </w:rPr>
      </w:pPr>
      <w:r>
        <w:rPr>
          <w:rFonts w:eastAsia="Times New Roman"/>
          <w:color w:val="000000"/>
          <w:sz w:val="20"/>
          <w:szCs w:val="20"/>
        </w:rPr>
        <w:t>(d)The UGI Utilities Credit Agreement inclu</w:t>
      </w:r>
      <w:r>
        <w:rPr>
          <w:rFonts w:eastAsia="Times New Roman"/>
          <w:color w:val="000000"/>
          <w:sz w:val="20"/>
          <w:szCs w:val="20"/>
        </w:rPr>
        <w:t>des a $100 sublimit for letters of credit.</w:t>
      </w:r>
    </w:p>
    <w:p w14:paraId="6072CEBE" w14:textId="77777777" w:rsidR="00000000" w:rsidRDefault="00C1661D">
      <w:pPr>
        <w:ind w:hanging="360"/>
        <w:jc w:val="both"/>
        <w:rPr>
          <w:rFonts w:eastAsia="Times New Roman"/>
        </w:rPr>
      </w:pPr>
      <w:r>
        <w:rPr>
          <w:rFonts w:eastAsia="Times New Roman"/>
          <w:color w:val="000000"/>
          <w:sz w:val="20"/>
          <w:szCs w:val="20"/>
        </w:rPr>
        <w:t xml:space="preserve">(e)The Mountaineer Credit Agreement includes a $20 sublimit for letters of credit. </w:t>
      </w:r>
    </w:p>
    <w:p w14:paraId="2F722664" w14:textId="77777777" w:rsidR="00000000" w:rsidRDefault="00C1661D">
      <w:pPr>
        <w:ind w:hanging="360"/>
        <w:jc w:val="both"/>
        <w:rPr>
          <w:rFonts w:eastAsia="Times New Roman"/>
        </w:rPr>
      </w:pPr>
      <w:r>
        <w:rPr>
          <w:rFonts w:eastAsia="Times New Roman"/>
          <w:color w:val="000000"/>
          <w:sz w:val="20"/>
          <w:szCs w:val="20"/>
        </w:rPr>
        <w:t>(f)At September 30, 2022 and 2021, management intended to maintain a substantial portion of amounts outstanding under the 2021 UG</w:t>
      </w:r>
      <w:r>
        <w:rPr>
          <w:rFonts w:eastAsia="Times New Roman"/>
          <w:color w:val="000000"/>
          <w:sz w:val="20"/>
          <w:szCs w:val="20"/>
        </w:rPr>
        <w:t>I Corporation Senior Credit Facility beyond twelve months from the respective balance sheet dates. As such, borrowings outstanding are classified as “Long-term debt” on the Consolidated Balance Sheets. Subsequent to September 30, 2022 and 2021, the Company</w:t>
      </w:r>
      <w:r>
        <w:rPr>
          <w:rFonts w:eastAsia="Times New Roman"/>
          <w:color w:val="000000"/>
          <w:sz w:val="20"/>
          <w:szCs w:val="20"/>
        </w:rPr>
        <w:t xml:space="preserve"> repaid $87 and $70, respectively, of such borrowings and classified these repayments as “Current maturities of long-term debt” on the Consolidated Balance Sheets. The 2021 UGI Corporation Senior Credit Facility includes a $10 sublimit for letters of credi</w:t>
      </w:r>
      <w:r>
        <w:rPr>
          <w:rFonts w:eastAsia="Times New Roman"/>
          <w:color w:val="000000"/>
          <w:sz w:val="20"/>
          <w:szCs w:val="20"/>
        </w:rPr>
        <w:t>t.</w:t>
      </w:r>
    </w:p>
    <w:p w14:paraId="49379C39" w14:textId="77777777" w:rsidR="00000000" w:rsidRDefault="00C1661D">
      <w:pPr>
        <w:jc w:val="both"/>
        <w:rPr>
          <w:rFonts w:eastAsia="Times New Roman"/>
        </w:rPr>
      </w:pPr>
      <w:r>
        <w:rPr>
          <w:rFonts w:eastAsia="Times New Roman"/>
          <w:color w:val="000000"/>
          <w:sz w:val="20"/>
          <w:szCs w:val="20"/>
        </w:rPr>
        <w:t>N.A. - Not applicable</w:t>
      </w:r>
    </w:p>
    <w:p w14:paraId="75712500" w14:textId="77777777" w:rsidR="00000000" w:rsidRDefault="00C1661D">
      <w:pPr>
        <w:jc w:val="both"/>
        <w:rPr>
          <w:rFonts w:eastAsia="Times New Roman"/>
        </w:rPr>
      </w:pPr>
      <w:r>
        <w:rPr>
          <w:rFonts w:eastAsia="Times New Roman"/>
          <w:color w:val="000000"/>
          <w:sz w:val="20"/>
          <w:szCs w:val="20"/>
        </w:rPr>
        <w:t>N.M. - Not meaningful</w:t>
      </w:r>
    </w:p>
    <w:p w14:paraId="10A5593A" w14:textId="77777777" w:rsidR="00000000" w:rsidRDefault="00C1661D">
      <w:pPr>
        <w:jc w:val="both"/>
        <w:rPr>
          <w:rFonts w:eastAsia="Times New Roman"/>
        </w:rPr>
      </w:pPr>
    </w:p>
    <w:p w14:paraId="325CD306" w14:textId="77777777" w:rsidR="00000000" w:rsidRDefault="00C1661D">
      <w:pPr>
        <w:jc w:val="both"/>
        <w:rPr>
          <w:rFonts w:eastAsia="Times New Roman"/>
        </w:rPr>
      </w:pPr>
      <w:r>
        <w:rPr>
          <w:rFonts w:eastAsia="Times New Roman"/>
          <w:b/>
          <w:bCs/>
          <w:i/>
          <w:iCs/>
          <w:color w:val="000000"/>
          <w:sz w:val="20"/>
          <w:szCs w:val="20"/>
        </w:rPr>
        <w:t>Energy Services Receivables Facility.</w:t>
      </w:r>
      <w:r>
        <w:rPr>
          <w:rFonts w:eastAsia="Times New Roman"/>
          <w:i/>
          <w:iCs/>
          <w:color w:val="000000"/>
          <w:sz w:val="20"/>
          <w:szCs w:val="20"/>
        </w:rPr>
        <w:t xml:space="preserve"> </w:t>
      </w:r>
      <w:r>
        <w:rPr>
          <w:rFonts w:eastAsia="Times New Roman"/>
          <w:color w:val="000000"/>
          <w:sz w:val="20"/>
          <w:szCs w:val="20"/>
        </w:rPr>
        <w:t>Energy Services has a Receivables Facility with an iss</w:t>
      </w:r>
      <w:r>
        <w:rPr>
          <w:rFonts w:eastAsia="Times New Roman"/>
          <w:color w:val="000000"/>
          <w:sz w:val="20"/>
          <w:szCs w:val="20"/>
        </w:rPr>
        <w:t>uer of receivables-backed commercial paper. On October 21, 2022, the expiration date of the Receivables Facility was extended to October 20, 2023. The Receivables Facility provides Energy Services with the ability to borrow up to $150 of eligible receivabl</w:t>
      </w:r>
      <w:r>
        <w:rPr>
          <w:rFonts w:eastAsia="Times New Roman"/>
          <w:color w:val="000000"/>
          <w:sz w:val="20"/>
          <w:szCs w:val="20"/>
        </w:rPr>
        <w:t>es during the period October 21, 2022 to April 30, 2023, and up to $75 of eligible receivables during the period May 1, 2023 to October 20, 2023. Energy Services uses the Receivables Facility to fund working capital, margin calls under commodity futures co</w:t>
      </w:r>
      <w:r>
        <w:rPr>
          <w:rFonts w:eastAsia="Times New Roman"/>
          <w:color w:val="000000"/>
          <w:sz w:val="20"/>
          <w:szCs w:val="20"/>
        </w:rPr>
        <w:t xml:space="preserve">ntracts, capital expenditures, dividends and for general corporate purposes. </w:t>
      </w:r>
    </w:p>
    <w:p w14:paraId="2E185590" w14:textId="77777777" w:rsidR="00000000" w:rsidRDefault="00C1661D">
      <w:pPr>
        <w:jc w:val="both"/>
        <w:rPr>
          <w:rFonts w:eastAsia="Times New Roman"/>
        </w:rPr>
      </w:pPr>
    </w:p>
    <w:p w14:paraId="76973A9E" w14:textId="77777777" w:rsidR="00000000" w:rsidRDefault="00C1661D">
      <w:pPr>
        <w:jc w:val="both"/>
        <w:rPr>
          <w:rFonts w:eastAsia="Times New Roman"/>
        </w:rPr>
      </w:pPr>
      <w:r>
        <w:rPr>
          <w:rFonts w:eastAsia="Times New Roman"/>
          <w:color w:val="000000"/>
          <w:sz w:val="20"/>
          <w:szCs w:val="20"/>
        </w:rPr>
        <w:t>Under the Receivables Facility, Energy Services transfers, on an ongoing basis and without recourse, its trade accounts receivable to its wholly owned, special purpose subsidia</w:t>
      </w:r>
      <w:r>
        <w:rPr>
          <w:rFonts w:eastAsia="Times New Roman"/>
          <w:color w:val="000000"/>
          <w:sz w:val="20"/>
          <w:szCs w:val="20"/>
        </w:rPr>
        <w:t xml:space="preserve">ry, ESFC, which is consolidated for financial statement purposes. ESFC, in turn, has sold and, subject to certain conditions, may from time to time sell, an undivided interest in some or all of the </w:t>
      </w:r>
    </w:p>
    <w:p w14:paraId="22B0C047" w14:textId="77777777" w:rsidR="00000000" w:rsidRDefault="00C1661D">
      <w:pPr>
        <w:jc w:val="center"/>
        <w:divId w:val="1439135387"/>
        <w:rPr>
          <w:rFonts w:eastAsia="Times New Roman"/>
        </w:rPr>
      </w:pPr>
      <w:r>
        <w:rPr>
          <w:rFonts w:eastAsia="Times New Roman"/>
          <w:color w:val="000000"/>
          <w:sz w:val="20"/>
          <w:szCs w:val="20"/>
        </w:rPr>
        <w:t>F-28</w:t>
      </w:r>
    </w:p>
    <w:p w14:paraId="71CD2773" w14:textId="77777777" w:rsidR="00000000" w:rsidRDefault="00C1661D">
      <w:pPr>
        <w:rPr>
          <w:rFonts w:eastAsia="Times New Roman"/>
        </w:rPr>
      </w:pPr>
      <w:r>
        <w:rPr>
          <w:rFonts w:eastAsia="Times New Roman"/>
        </w:rPr>
        <w:pict w14:anchorId="35184E29">
          <v:rect id="_x0000_i1141" style="width:0;height:1.5pt" o:hralign="center" o:hrstd="t" o:hr="t" fillcolor="#a0a0a0" stroked="f"/>
        </w:pict>
      </w:r>
    </w:p>
    <w:p w14:paraId="666F67CD" w14:textId="77777777" w:rsidR="00000000" w:rsidRDefault="00C1661D">
      <w:pPr>
        <w:divId w:val="947929109"/>
        <w:rPr>
          <w:rFonts w:eastAsia="Times New Roman"/>
        </w:rPr>
      </w:pPr>
      <w:hyperlink w:anchor="i3850c3c6c0104e42b9951aac2f16098a_7" w:history="1">
        <w:r>
          <w:rPr>
            <w:rStyle w:val="a3"/>
            <w:rFonts w:eastAsia="Times New Roman"/>
            <w:sz w:val="20"/>
            <w:szCs w:val="20"/>
          </w:rPr>
          <w:t>Table of Contents</w:t>
        </w:r>
      </w:hyperlink>
    </w:p>
    <w:p w14:paraId="5AEE1B95" w14:textId="77777777" w:rsidR="00000000" w:rsidRDefault="00C1661D">
      <w:pPr>
        <w:divId w:val="1927183787"/>
        <w:rPr>
          <w:rFonts w:eastAsia="Times New Roman"/>
        </w:rPr>
      </w:pPr>
      <w:r>
        <w:rPr>
          <w:rFonts w:eastAsia="Times New Roman"/>
          <w:b/>
          <w:bCs/>
          <w:color w:val="000000"/>
          <w:sz w:val="20"/>
          <w:szCs w:val="20"/>
        </w:rPr>
        <w:t>UGI Corporation and Subsidiaries</w:t>
      </w:r>
    </w:p>
    <w:p w14:paraId="7BA5037C" w14:textId="77777777" w:rsidR="00000000" w:rsidRDefault="00C1661D">
      <w:pPr>
        <w:divId w:val="940919688"/>
        <w:rPr>
          <w:rFonts w:eastAsia="Times New Roman"/>
        </w:rPr>
      </w:pPr>
      <w:r>
        <w:rPr>
          <w:rFonts w:eastAsia="Times New Roman"/>
          <w:b/>
          <w:bCs/>
          <w:color w:val="000000"/>
          <w:sz w:val="20"/>
          <w:szCs w:val="20"/>
        </w:rPr>
        <w:t>Notes to Consolidated Financial Statements</w:t>
      </w:r>
    </w:p>
    <w:p w14:paraId="04839C85" w14:textId="77777777" w:rsidR="00000000" w:rsidRDefault="00C1661D">
      <w:pPr>
        <w:divId w:val="789780172"/>
        <w:rPr>
          <w:rFonts w:eastAsia="Times New Roman"/>
        </w:rPr>
      </w:pPr>
      <w:r>
        <w:rPr>
          <w:rFonts w:eastAsia="Times New Roman"/>
          <w:color w:val="000000"/>
          <w:sz w:val="20"/>
          <w:szCs w:val="20"/>
        </w:rPr>
        <w:t>(Currency in millions, except per share amounts and where indicated otherwise)</w:t>
      </w:r>
    </w:p>
    <w:p w14:paraId="48184028" w14:textId="77777777" w:rsidR="00000000" w:rsidRDefault="00C1661D">
      <w:pPr>
        <w:jc w:val="both"/>
        <w:rPr>
          <w:rFonts w:eastAsia="Times New Roman"/>
        </w:rPr>
      </w:pPr>
      <w:r>
        <w:rPr>
          <w:rFonts w:eastAsia="Times New Roman"/>
          <w:color w:val="000000"/>
          <w:sz w:val="20"/>
          <w:szCs w:val="20"/>
        </w:rPr>
        <w:t>receivables to a major bank. Amounts sold</w:t>
      </w:r>
      <w:r>
        <w:rPr>
          <w:rFonts w:eastAsia="Times New Roman"/>
          <w:color w:val="000000"/>
          <w:sz w:val="20"/>
          <w:szCs w:val="20"/>
        </w:rPr>
        <w:t xml:space="preserve"> to the bank are reflected as “Short-term borrowings” on the Consolidated Balance Sheets. ESFC was created and has been structured to isolate its assets from creditors of Energy Services and its affiliates, including UGI. Trade receivables sold to the bank</w:t>
      </w:r>
      <w:r>
        <w:rPr>
          <w:rFonts w:eastAsia="Times New Roman"/>
          <w:color w:val="000000"/>
          <w:sz w:val="20"/>
          <w:szCs w:val="20"/>
        </w:rPr>
        <w:t xml:space="preserve"> remain on the Company’s balance sheet and the Company reflects a liability equal to the amount advanced by the bank. The Company records interest expense on amounts owed to the bank. Energy Services continues to service, administer and collect trade recei</w:t>
      </w:r>
      <w:r>
        <w:rPr>
          <w:rFonts w:eastAsia="Times New Roman"/>
          <w:color w:val="000000"/>
          <w:sz w:val="20"/>
          <w:szCs w:val="20"/>
        </w:rPr>
        <w:t xml:space="preserve">vables on behalf of the bank, as applicable. </w:t>
      </w:r>
    </w:p>
    <w:p w14:paraId="65620DF4" w14:textId="77777777" w:rsidR="00000000" w:rsidRDefault="00C1661D">
      <w:pPr>
        <w:jc w:val="both"/>
        <w:rPr>
          <w:rFonts w:eastAsia="Times New Roman"/>
        </w:rPr>
      </w:pPr>
    </w:p>
    <w:p w14:paraId="7DBE3828" w14:textId="77777777" w:rsidR="00000000" w:rsidRDefault="00C1661D">
      <w:pPr>
        <w:jc w:val="both"/>
        <w:rPr>
          <w:rFonts w:eastAsia="Times New Roman"/>
        </w:rPr>
      </w:pPr>
      <w:r>
        <w:rPr>
          <w:rFonts w:eastAsia="Times New Roman"/>
          <w:color w:val="000000"/>
          <w:sz w:val="20"/>
          <w:szCs w:val="20"/>
        </w:rPr>
        <w:t>Information regarding the amounts of trade receivables transferred to ESFC and the amounts sold to the bank are as follows:</w:t>
      </w:r>
    </w:p>
    <w:tbl>
      <w:tblPr>
        <w:tblW w:w="4992" w:type="pct"/>
        <w:tblCellMar>
          <w:top w:w="15" w:type="dxa"/>
          <w:left w:w="15" w:type="dxa"/>
          <w:bottom w:w="15" w:type="dxa"/>
          <w:right w:w="15" w:type="dxa"/>
        </w:tblCellMar>
        <w:tblLook w:val="04A0" w:firstRow="1" w:lastRow="0" w:firstColumn="1" w:lastColumn="0" w:noHBand="0" w:noVBand="1"/>
      </w:tblPr>
      <w:tblGrid>
        <w:gridCol w:w="37"/>
        <w:gridCol w:w="4802"/>
        <w:gridCol w:w="36"/>
        <w:gridCol w:w="36"/>
        <w:gridCol w:w="36"/>
        <w:gridCol w:w="36"/>
        <w:gridCol w:w="120"/>
        <w:gridCol w:w="875"/>
        <w:gridCol w:w="36"/>
        <w:gridCol w:w="36"/>
        <w:gridCol w:w="36"/>
        <w:gridCol w:w="36"/>
        <w:gridCol w:w="120"/>
        <w:gridCol w:w="875"/>
        <w:gridCol w:w="36"/>
        <w:gridCol w:w="36"/>
        <w:gridCol w:w="36"/>
        <w:gridCol w:w="36"/>
        <w:gridCol w:w="120"/>
        <w:gridCol w:w="876"/>
        <w:gridCol w:w="36"/>
      </w:tblGrid>
      <w:tr w:rsidR="00000000" w14:paraId="4D86C58A" w14:textId="77777777">
        <w:trPr>
          <w:divId w:val="660742275"/>
        </w:trPr>
        <w:tc>
          <w:tcPr>
            <w:tcW w:w="50" w:type="pct"/>
            <w:vAlign w:val="center"/>
            <w:hideMark/>
          </w:tcPr>
          <w:p w14:paraId="057D53AA" w14:textId="77777777" w:rsidR="00000000" w:rsidRDefault="00C1661D">
            <w:pPr>
              <w:jc w:val="both"/>
              <w:rPr>
                <w:rFonts w:eastAsia="Times New Roman"/>
              </w:rPr>
            </w:pPr>
          </w:p>
        </w:tc>
        <w:tc>
          <w:tcPr>
            <w:tcW w:w="2924" w:type="pct"/>
            <w:vAlign w:val="center"/>
            <w:hideMark/>
          </w:tcPr>
          <w:p w14:paraId="33FF616C" w14:textId="77777777" w:rsidR="00000000" w:rsidRDefault="00C1661D">
            <w:pPr>
              <w:spacing w:after="100"/>
              <w:rPr>
                <w:rFonts w:eastAsia="Times New Roman"/>
                <w:sz w:val="20"/>
                <w:szCs w:val="20"/>
              </w:rPr>
            </w:pPr>
          </w:p>
        </w:tc>
        <w:tc>
          <w:tcPr>
            <w:tcW w:w="5" w:type="pct"/>
            <w:vAlign w:val="center"/>
            <w:hideMark/>
          </w:tcPr>
          <w:p w14:paraId="67493CB5" w14:textId="77777777" w:rsidR="00000000" w:rsidRDefault="00C1661D">
            <w:pPr>
              <w:spacing w:after="100"/>
              <w:rPr>
                <w:rFonts w:eastAsia="Times New Roman"/>
                <w:sz w:val="20"/>
                <w:szCs w:val="20"/>
              </w:rPr>
            </w:pPr>
          </w:p>
        </w:tc>
        <w:tc>
          <w:tcPr>
            <w:tcW w:w="5" w:type="pct"/>
            <w:vAlign w:val="center"/>
            <w:hideMark/>
          </w:tcPr>
          <w:p w14:paraId="7FAAC8BD" w14:textId="77777777" w:rsidR="00000000" w:rsidRDefault="00C1661D">
            <w:pPr>
              <w:spacing w:after="100"/>
              <w:rPr>
                <w:rFonts w:eastAsia="Times New Roman"/>
                <w:sz w:val="20"/>
                <w:szCs w:val="20"/>
              </w:rPr>
            </w:pPr>
          </w:p>
        </w:tc>
        <w:tc>
          <w:tcPr>
            <w:tcW w:w="26" w:type="pct"/>
            <w:vAlign w:val="center"/>
            <w:hideMark/>
          </w:tcPr>
          <w:p w14:paraId="55E3E475" w14:textId="77777777" w:rsidR="00000000" w:rsidRDefault="00C1661D">
            <w:pPr>
              <w:spacing w:after="100"/>
              <w:rPr>
                <w:rFonts w:eastAsia="Times New Roman"/>
                <w:sz w:val="20"/>
                <w:szCs w:val="20"/>
              </w:rPr>
            </w:pPr>
          </w:p>
        </w:tc>
        <w:tc>
          <w:tcPr>
            <w:tcW w:w="5" w:type="pct"/>
            <w:vAlign w:val="center"/>
            <w:hideMark/>
          </w:tcPr>
          <w:p w14:paraId="22C048A1" w14:textId="77777777" w:rsidR="00000000" w:rsidRDefault="00C1661D">
            <w:pPr>
              <w:spacing w:after="100"/>
              <w:rPr>
                <w:rFonts w:eastAsia="Times New Roman"/>
                <w:sz w:val="20"/>
                <w:szCs w:val="20"/>
              </w:rPr>
            </w:pPr>
          </w:p>
        </w:tc>
        <w:tc>
          <w:tcPr>
            <w:tcW w:w="50" w:type="pct"/>
            <w:vAlign w:val="center"/>
            <w:hideMark/>
          </w:tcPr>
          <w:p w14:paraId="45AF0016" w14:textId="77777777" w:rsidR="00000000" w:rsidRDefault="00C1661D">
            <w:pPr>
              <w:spacing w:after="100"/>
              <w:rPr>
                <w:rFonts w:eastAsia="Times New Roman"/>
                <w:sz w:val="20"/>
                <w:szCs w:val="20"/>
              </w:rPr>
            </w:pPr>
          </w:p>
        </w:tc>
        <w:tc>
          <w:tcPr>
            <w:tcW w:w="581" w:type="pct"/>
            <w:vAlign w:val="center"/>
            <w:hideMark/>
          </w:tcPr>
          <w:p w14:paraId="65A31D4A" w14:textId="77777777" w:rsidR="00000000" w:rsidRDefault="00C1661D">
            <w:pPr>
              <w:spacing w:after="100"/>
              <w:rPr>
                <w:rFonts w:eastAsia="Times New Roman"/>
                <w:sz w:val="20"/>
                <w:szCs w:val="20"/>
              </w:rPr>
            </w:pPr>
          </w:p>
        </w:tc>
        <w:tc>
          <w:tcPr>
            <w:tcW w:w="5" w:type="pct"/>
            <w:vAlign w:val="center"/>
            <w:hideMark/>
          </w:tcPr>
          <w:p w14:paraId="3DA77CCB" w14:textId="77777777" w:rsidR="00000000" w:rsidRDefault="00C1661D">
            <w:pPr>
              <w:spacing w:after="100"/>
              <w:rPr>
                <w:rFonts w:eastAsia="Times New Roman"/>
                <w:sz w:val="20"/>
                <w:szCs w:val="20"/>
              </w:rPr>
            </w:pPr>
          </w:p>
        </w:tc>
        <w:tc>
          <w:tcPr>
            <w:tcW w:w="5" w:type="pct"/>
            <w:vAlign w:val="center"/>
            <w:hideMark/>
          </w:tcPr>
          <w:p w14:paraId="5D6B5A93" w14:textId="77777777" w:rsidR="00000000" w:rsidRDefault="00C1661D">
            <w:pPr>
              <w:spacing w:after="100"/>
              <w:rPr>
                <w:rFonts w:eastAsia="Times New Roman"/>
                <w:sz w:val="20"/>
                <w:szCs w:val="20"/>
              </w:rPr>
            </w:pPr>
          </w:p>
        </w:tc>
        <w:tc>
          <w:tcPr>
            <w:tcW w:w="26" w:type="pct"/>
            <w:vAlign w:val="center"/>
            <w:hideMark/>
          </w:tcPr>
          <w:p w14:paraId="7A7EA9A4" w14:textId="77777777" w:rsidR="00000000" w:rsidRDefault="00C1661D">
            <w:pPr>
              <w:spacing w:after="100"/>
              <w:rPr>
                <w:rFonts w:eastAsia="Times New Roman"/>
                <w:sz w:val="20"/>
                <w:szCs w:val="20"/>
              </w:rPr>
            </w:pPr>
          </w:p>
        </w:tc>
        <w:tc>
          <w:tcPr>
            <w:tcW w:w="5" w:type="pct"/>
            <w:vAlign w:val="center"/>
            <w:hideMark/>
          </w:tcPr>
          <w:p w14:paraId="683EFC86" w14:textId="77777777" w:rsidR="00000000" w:rsidRDefault="00C1661D">
            <w:pPr>
              <w:spacing w:after="100"/>
              <w:rPr>
                <w:rFonts w:eastAsia="Times New Roman"/>
                <w:sz w:val="20"/>
                <w:szCs w:val="20"/>
              </w:rPr>
            </w:pPr>
          </w:p>
        </w:tc>
        <w:tc>
          <w:tcPr>
            <w:tcW w:w="50" w:type="pct"/>
            <w:vAlign w:val="center"/>
            <w:hideMark/>
          </w:tcPr>
          <w:p w14:paraId="536A9BF0" w14:textId="77777777" w:rsidR="00000000" w:rsidRDefault="00C1661D">
            <w:pPr>
              <w:spacing w:after="100"/>
              <w:rPr>
                <w:rFonts w:eastAsia="Times New Roman"/>
                <w:sz w:val="20"/>
                <w:szCs w:val="20"/>
              </w:rPr>
            </w:pPr>
          </w:p>
        </w:tc>
        <w:tc>
          <w:tcPr>
            <w:tcW w:w="581" w:type="pct"/>
            <w:vAlign w:val="center"/>
            <w:hideMark/>
          </w:tcPr>
          <w:p w14:paraId="3BED184F" w14:textId="77777777" w:rsidR="00000000" w:rsidRDefault="00C1661D">
            <w:pPr>
              <w:spacing w:after="100"/>
              <w:rPr>
                <w:rFonts w:eastAsia="Times New Roman"/>
                <w:sz w:val="20"/>
                <w:szCs w:val="20"/>
              </w:rPr>
            </w:pPr>
          </w:p>
        </w:tc>
        <w:tc>
          <w:tcPr>
            <w:tcW w:w="5" w:type="pct"/>
            <w:vAlign w:val="center"/>
            <w:hideMark/>
          </w:tcPr>
          <w:p w14:paraId="11CA6B8A" w14:textId="77777777" w:rsidR="00000000" w:rsidRDefault="00C1661D">
            <w:pPr>
              <w:spacing w:after="100"/>
              <w:rPr>
                <w:rFonts w:eastAsia="Times New Roman"/>
                <w:sz w:val="20"/>
                <w:szCs w:val="20"/>
              </w:rPr>
            </w:pPr>
          </w:p>
        </w:tc>
        <w:tc>
          <w:tcPr>
            <w:tcW w:w="5" w:type="pct"/>
            <w:vAlign w:val="center"/>
            <w:hideMark/>
          </w:tcPr>
          <w:p w14:paraId="1D8C42A2" w14:textId="77777777" w:rsidR="00000000" w:rsidRDefault="00C1661D">
            <w:pPr>
              <w:spacing w:after="100"/>
              <w:rPr>
                <w:rFonts w:eastAsia="Times New Roman"/>
                <w:sz w:val="20"/>
                <w:szCs w:val="20"/>
              </w:rPr>
            </w:pPr>
          </w:p>
        </w:tc>
        <w:tc>
          <w:tcPr>
            <w:tcW w:w="26" w:type="pct"/>
            <w:vAlign w:val="center"/>
            <w:hideMark/>
          </w:tcPr>
          <w:p w14:paraId="28E50EDB" w14:textId="77777777" w:rsidR="00000000" w:rsidRDefault="00C1661D">
            <w:pPr>
              <w:spacing w:after="100"/>
              <w:rPr>
                <w:rFonts w:eastAsia="Times New Roman"/>
                <w:sz w:val="20"/>
                <w:szCs w:val="20"/>
              </w:rPr>
            </w:pPr>
          </w:p>
        </w:tc>
        <w:tc>
          <w:tcPr>
            <w:tcW w:w="5" w:type="pct"/>
            <w:vAlign w:val="center"/>
            <w:hideMark/>
          </w:tcPr>
          <w:p w14:paraId="76779E67" w14:textId="77777777" w:rsidR="00000000" w:rsidRDefault="00C1661D">
            <w:pPr>
              <w:spacing w:after="100"/>
              <w:rPr>
                <w:rFonts w:eastAsia="Times New Roman"/>
                <w:sz w:val="20"/>
                <w:szCs w:val="20"/>
              </w:rPr>
            </w:pPr>
          </w:p>
        </w:tc>
        <w:tc>
          <w:tcPr>
            <w:tcW w:w="50" w:type="pct"/>
            <w:vAlign w:val="center"/>
            <w:hideMark/>
          </w:tcPr>
          <w:p w14:paraId="6604D41F" w14:textId="77777777" w:rsidR="00000000" w:rsidRDefault="00C1661D">
            <w:pPr>
              <w:spacing w:after="100"/>
              <w:rPr>
                <w:rFonts w:eastAsia="Times New Roman"/>
                <w:sz w:val="20"/>
                <w:szCs w:val="20"/>
              </w:rPr>
            </w:pPr>
          </w:p>
        </w:tc>
        <w:tc>
          <w:tcPr>
            <w:tcW w:w="582" w:type="pct"/>
            <w:vAlign w:val="center"/>
            <w:hideMark/>
          </w:tcPr>
          <w:p w14:paraId="624A8918" w14:textId="77777777" w:rsidR="00000000" w:rsidRDefault="00C1661D">
            <w:pPr>
              <w:spacing w:after="100"/>
              <w:rPr>
                <w:rFonts w:eastAsia="Times New Roman"/>
                <w:sz w:val="20"/>
                <w:szCs w:val="20"/>
              </w:rPr>
            </w:pPr>
          </w:p>
        </w:tc>
        <w:tc>
          <w:tcPr>
            <w:tcW w:w="5" w:type="pct"/>
            <w:vAlign w:val="center"/>
            <w:hideMark/>
          </w:tcPr>
          <w:p w14:paraId="607A43C5" w14:textId="77777777" w:rsidR="00000000" w:rsidRDefault="00C1661D">
            <w:pPr>
              <w:spacing w:after="100"/>
              <w:rPr>
                <w:rFonts w:eastAsia="Times New Roman"/>
                <w:sz w:val="20"/>
                <w:szCs w:val="20"/>
              </w:rPr>
            </w:pPr>
          </w:p>
        </w:tc>
      </w:tr>
      <w:tr w:rsidR="00000000" w14:paraId="15208F25" w14:textId="77777777">
        <w:trPr>
          <w:divId w:val="660742275"/>
        </w:trPr>
        <w:tc>
          <w:tcPr>
            <w:tcW w:w="0" w:type="auto"/>
            <w:gridSpan w:val="3"/>
            <w:tcMar>
              <w:top w:w="0" w:type="dxa"/>
              <w:left w:w="20" w:type="dxa"/>
              <w:bottom w:w="0" w:type="dxa"/>
              <w:right w:w="20" w:type="dxa"/>
            </w:tcMar>
            <w:vAlign w:val="center"/>
            <w:hideMark/>
          </w:tcPr>
          <w:p w14:paraId="46552B54"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6C1A72"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A3F5497"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1A9D0225"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467FE64"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7496F799"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A5AE67" w14:textId="77777777" w:rsidR="00000000" w:rsidRDefault="00C1661D">
            <w:pPr>
              <w:spacing w:after="100"/>
              <w:jc w:val="center"/>
              <w:rPr>
                <w:rFonts w:eastAsia="Times New Roman"/>
              </w:rPr>
            </w:pPr>
            <w:r>
              <w:rPr>
                <w:rFonts w:eastAsia="Times New Roman"/>
                <w:color w:val="000000"/>
                <w:sz w:val="20"/>
                <w:szCs w:val="20"/>
              </w:rPr>
              <w:t>2020</w:t>
            </w:r>
          </w:p>
        </w:tc>
      </w:tr>
      <w:tr w:rsidR="00000000" w14:paraId="0B7F78F0" w14:textId="77777777">
        <w:trPr>
          <w:divId w:val="660742275"/>
        </w:trPr>
        <w:tc>
          <w:tcPr>
            <w:tcW w:w="0" w:type="auto"/>
            <w:gridSpan w:val="3"/>
            <w:shd w:val="clear" w:color="auto" w:fill="CCEEFF"/>
            <w:tcMar>
              <w:top w:w="30" w:type="dxa"/>
              <w:left w:w="20" w:type="dxa"/>
              <w:bottom w:w="30" w:type="dxa"/>
              <w:right w:w="20" w:type="dxa"/>
            </w:tcMar>
            <w:vAlign w:val="bottom"/>
            <w:hideMark/>
          </w:tcPr>
          <w:p w14:paraId="1D203D3C" w14:textId="77777777" w:rsidR="00000000" w:rsidRDefault="00C1661D">
            <w:pPr>
              <w:spacing w:after="100"/>
              <w:rPr>
                <w:rFonts w:eastAsia="Times New Roman"/>
              </w:rPr>
            </w:pPr>
            <w:r>
              <w:rPr>
                <w:rFonts w:eastAsia="Times New Roman"/>
                <w:color w:val="000000"/>
                <w:sz w:val="20"/>
                <w:szCs w:val="20"/>
              </w:rPr>
              <w:t>Trade receivables transferred to ESFC during the year</w:t>
            </w:r>
          </w:p>
        </w:tc>
        <w:tc>
          <w:tcPr>
            <w:tcW w:w="0" w:type="auto"/>
            <w:gridSpan w:val="3"/>
            <w:shd w:val="clear" w:color="auto" w:fill="CCEEFF"/>
            <w:tcMar>
              <w:top w:w="0" w:type="dxa"/>
              <w:left w:w="20" w:type="dxa"/>
              <w:bottom w:w="0" w:type="dxa"/>
              <w:right w:w="20" w:type="dxa"/>
            </w:tcMar>
            <w:vAlign w:val="center"/>
            <w:hideMark/>
          </w:tcPr>
          <w:p w14:paraId="78D9E283" w14:textId="77777777" w:rsidR="00000000" w:rsidRDefault="00C1661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D3B2E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821BCF" w14:textId="77777777" w:rsidR="00000000" w:rsidRDefault="00C1661D">
            <w:pPr>
              <w:spacing w:after="100"/>
              <w:jc w:val="right"/>
              <w:rPr>
                <w:rFonts w:eastAsia="Times New Roman"/>
              </w:rPr>
            </w:pPr>
            <w:r>
              <w:rPr>
                <w:rFonts w:eastAsia="Times New Roman"/>
                <w:color w:val="000000"/>
                <w:sz w:val="20"/>
                <w:szCs w:val="20"/>
              </w:rPr>
              <w:t>2,221 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71A54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DE3670"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DB2F9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BDA9F2" w14:textId="77777777" w:rsidR="00000000" w:rsidRDefault="00C1661D">
            <w:pPr>
              <w:spacing w:after="100"/>
              <w:jc w:val="right"/>
              <w:rPr>
                <w:rFonts w:eastAsia="Times New Roman"/>
              </w:rPr>
            </w:pPr>
            <w:r>
              <w:rPr>
                <w:rFonts w:eastAsia="Times New Roman"/>
                <w:color w:val="000000"/>
                <w:sz w:val="20"/>
                <w:szCs w:val="20"/>
              </w:rPr>
              <w:t>1,353 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2D669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5286A"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AC2C8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34C520" w14:textId="77777777" w:rsidR="00000000" w:rsidRDefault="00C1661D">
            <w:pPr>
              <w:spacing w:after="100"/>
              <w:jc w:val="right"/>
              <w:rPr>
                <w:rFonts w:eastAsia="Times New Roman"/>
              </w:rPr>
            </w:pPr>
            <w:r>
              <w:rPr>
                <w:rFonts w:eastAsia="Times New Roman"/>
                <w:color w:val="000000"/>
                <w:sz w:val="20"/>
                <w:szCs w:val="20"/>
              </w:rPr>
              <w:t>1,046 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7B6286" w14:textId="77777777" w:rsidR="00000000" w:rsidRDefault="00C1661D">
            <w:pPr>
              <w:spacing w:after="100"/>
              <w:jc w:val="right"/>
              <w:rPr>
                <w:rFonts w:eastAsia="Times New Roman"/>
              </w:rPr>
            </w:pPr>
          </w:p>
        </w:tc>
      </w:tr>
      <w:tr w:rsidR="00000000" w14:paraId="1E22D308" w14:textId="77777777">
        <w:trPr>
          <w:divId w:val="660742275"/>
        </w:trPr>
        <w:tc>
          <w:tcPr>
            <w:tcW w:w="0" w:type="auto"/>
            <w:gridSpan w:val="3"/>
            <w:shd w:val="clear" w:color="auto" w:fill="FFFFFF"/>
            <w:tcMar>
              <w:top w:w="30" w:type="dxa"/>
              <w:left w:w="20" w:type="dxa"/>
              <w:bottom w:w="30" w:type="dxa"/>
              <w:right w:w="20" w:type="dxa"/>
            </w:tcMar>
            <w:vAlign w:val="bottom"/>
            <w:hideMark/>
          </w:tcPr>
          <w:p w14:paraId="344F42E4" w14:textId="77777777" w:rsidR="00000000" w:rsidRDefault="00C1661D">
            <w:pPr>
              <w:spacing w:after="100"/>
              <w:rPr>
                <w:rFonts w:eastAsia="Times New Roman"/>
              </w:rPr>
            </w:pPr>
            <w:r>
              <w:rPr>
                <w:rFonts w:eastAsia="Times New Roman"/>
                <w:color w:val="000000"/>
                <w:sz w:val="20"/>
                <w:szCs w:val="20"/>
              </w:rPr>
              <w:t>ESFC trade receivables sold to the bank during the year</w:t>
            </w:r>
          </w:p>
        </w:tc>
        <w:tc>
          <w:tcPr>
            <w:tcW w:w="0" w:type="auto"/>
            <w:gridSpan w:val="3"/>
            <w:shd w:val="clear" w:color="auto" w:fill="FFFFFF"/>
            <w:tcMar>
              <w:top w:w="0" w:type="dxa"/>
              <w:left w:w="20" w:type="dxa"/>
              <w:bottom w:w="0" w:type="dxa"/>
              <w:right w:w="20" w:type="dxa"/>
            </w:tcMar>
            <w:vAlign w:val="center"/>
            <w:hideMark/>
          </w:tcPr>
          <w:p w14:paraId="5FC5E50A"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5F0A40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BD14988" w14:textId="77777777" w:rsidR="00000000" w:rsidRDefault="00C1661D">
            <w:pPr>
              <w:spacing w:after="100"/>
              <w:jc w:val="right"/>
              <w:rPr>
                <w:rFonts w:eastAsia="Times New Roman"/>
              </w:rPr>
            </w:pPr>
            <w:r>
              <w:rPr>
                <w:rFonts w:eastAsia="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14:paraId="66FEA79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704D1B"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4AEB5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322220" w14:textId="77777777" w:rsidR="00000000" w:rsidRDefault="00C1661D">
            <w:pPr>
              <w:spacing w:after="100"/>
              <w:jc w:val="right"/>
              <w:rPr>
                <w:rFonts w:eastAsia="Times New Roman"/>
              </w:rPr>
            </w:pPr>
            <w:r>
              <w:rPr>
                <w:rFonts w:eastAsia="Times New Roman"/>
                <w:color w:val="000000"/>
                <w:sz w:val="20"/>
                <w:szCs w:val="20"/>
              </w:rPr>
              <w:t>308 </w:t>
            </w:r>
          </w:p>
        </w:tc>
        <w:tc>
          <w:tcPr>
            <w:tcW w:w="0" w:type="auto"/>
            <w:shd w:val="clear" w:color="auto" w:fill="FFFFFF"/>
            <w:tcMar>
              <w:top w:w="30" w:type="dxa"/>
              <w:left w:w="0" w:type="dxa"/>
              <w:bottom w:w="30" w:type="dxa"/>
              <w:right w:w="20" w:type="dxa"/>
            </w:tcMar>
            <w:vAlign w:val="bottom"/>
            <w:hideMark/>
          </w:tcPr>
          <w:p w14:paraId="4053D2B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C8371C"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DF70B9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98427E0" w14:textId="77777777" w:rsidR="00000000" w:rsidRDefault="00C1661D">
            <w:pPr>
              <w:spacing w:after="100"/>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bottom"/>
            <w:hideMark/>
          </w:tcPr>
          <w:p w14:paraId="4DFA808F" w14:textId="77777777" w:rsidR="00000000" w:rsidRDefault="00C1661D">
            <w:pPr>
              <w:spacing w:after="100"/>
              <w:jc w:val="right"/>
              <w:rPr>
                <w:rFonts w:eastAsia="Times New Roman"/>
              </w:rPr>
            </w:pPr>
          </w:p>
        </w:tc>
      </w:tr>
      <w:tr w:rsidR="00000000" w14:paraId="38F46859" w14:textId="77777777">
        <w:trPr>
          <w:divId w:val="660742275"/>
        </w:trPr>
        <w:tc>
          <w:tcPr>
            <w:tcW w:w="0" w:type="auto"/>
            <w:gridSpan w:val="3"/>
            <w:shd w:val="clear" w:color="auto" w:fill="CCEEFF"/>
            <w:tcMar>
              <w:top w:w="30" w:type="dxa"/>
              <w:left w:w="20" w:type="dxa"/>
              <w:bottom w:w="30" w:type="dxa"/>
              <w:right w:w="20" w:type="dxa"/>
            </w:tcMar>
            <w:vAlign w:val="bottom"/>
            <w:hideMark/>
          </w:tcPr>
          <w:p w14:paraId="39068EA8" w14:textId="77777777" w:rsidR="00000000" w:rsidRDefault="00C1661D">
            <w:pPr>
              <w:spacing w:after="100"/>
              <w:rPr>
                <w:rFonts w:eastAsia="Times New Roman"/>
              </w:rPr>
            </w:pPr>
            <w:r>
              <w:rPr>
                <w:rFonts w:eastAsia="Times New Roman"/>
                <w:color w:val="000000"/>
                <w:sz w:val="20"/>
                <w:szCs w:val="20"/>
              </w:rPr>
              <w:t>ESFC trade receivables - end of year (a)</w:t>
            </w:r>
          </w:p>
        </w:tc>
        <w:tc>
          <w:tcPr>
            <w:tcW w:w="0" w:type="auto"/>
            <w:gridSpan w:val="3"/>
            <w:shd w:val="clear" w:color="auto" w:fill="CCEEFF"/>
            <w:tcMar>
              <w:top w:w="0" w:type="dxa"/>
              <w:left w:w="20" w:type="dxa"/>
              <w:bottom w:w="0" w:type="dxa"/>
              <w:right w:w="20" w:type="dxa"/>
            </w:tcMar>
            <w:vAlign w:val="center"/>
            <w:hideMark/>
          </w:tcPr>
          <w:p w14:paraId="4B9B9813"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B25F0F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999E1F6" w14:textId="77777777" w:rsidR="00000000" w:rsidRDefault="00C1661D">
            <w:pPr>
              <w:spacing w:after="100"/>
              <w:jc w:val="right"/>
              <w:rPr>
                <w:rFonts w:eastAsia="Times New Roman"/>
              </w:rPr>
            </w:pPr>
            <w:r>
              <w:rPr>
                <w:rFonts w:eastAsia="Times New Roman"/>
                <w:color w:val="000000"/>
                <w:sz w:val="20"/>
                <w:szCs w:val="20"/>
              </w:rPr>
              <w:t>101 </w:t>
            </w:r>
          </w:p>
        </w:tc>
        <w:tc>
          <w:tcPr>
            <w:tcW w:w="0" w:type="auto"/>
            <w:shd w:val="clear" w:color="auto" w:fill="CCEEFF"/>
            <w:tcMar>
              <w:top w:w="30" w:type="dxa"/>
              <w:left w:w="0" w:type="dxa"/>
              <w:bottom w:w="30" w:type="dxa"/>
              <w:right w:w="20" w:type="dxa"/>
            </w:tcMar>
            <w:vAlign w:val="bottom"/>
            <w:hideMark/>
          </w:tcPr>
          <w:p w14:paraId="4F7E76F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A74224"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A1397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258023" w14:textId="77777777" w:rsidR="00000000" w:rsidRDefault="00C1661D">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14:paraId="75B1A19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92219C"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320373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F2EEC7" w14:textId="77777777" w:rsidR="00000000" w:rsidRDefault="00C1661D">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14:paraId="63BF322A" w14:textId="77777777" w:rsidR="00000000" w:rsidRDefault="00C1661D">
            <w:pPr>
              <w:spacing w:after="100"/>
              <w:jc w:val="right"/>
              <w:rPr>
                <w:rFonts w:eastAsia="Times New Roman"/>
              </w:rPr>
            </w:pPr>
          </w:p>
        </w:tc>
      </w:tr>
    </w:tbl>
    <w:p w14:paraId="1353F82D" w14:textId="77777777" w:rsidR="00000000" w:rsidRDefault="00C1661D">
      <w:pPr>
        <w:ind w:hanging="360"/>
        <w:jc w:val="both"/>
        <w:rPr>
          <w:rFonts w:eastAsia="Times New Roman"/>
        </w:rPr>
      </w:pPr>
      <w:r>
        <w:rPr>
          <w:rFonts w:eastAsia="Times New Roman"/>
          <w:color w:val="000000"/>
          <w:sz w:val="20"/>
          <w:szCs w:val="20"/>
        </w:rPr>
        <w:t xml:space="preserve">(a)At September 30, 2022 and 2021, there were no ESFC trade receivables sold </w:t>
      </w:r>
      <w:r>
        <w:rPr>
          <w:rFonts w:eastAsia="Times New Roman"/>
          <w:color w:val="000000"/>
          <w:sz w:val="20"/>
          <w:szCs w:val="20"/>
        </w:rPr>
        <w:t>to the bank.</w:t>
      </w:r>
    </w:p>
    <w:p w14:paraId="176481A9" w14:textId="77777777" w:rsidR="00000000" w:rsidRDefault="00C1661D">
      <w:pPr>
        <w:jc w:val="both"/>
        <w:rPr>
          <w:rFonts w:eastAsia="Times New Roman"/>
        </w:rPr>
      </w:pPr>
    </w:p>
    <w:p w14:paraId="05CEE36D" w14:textId="77777777" w:rsidR="00000000" w:rsidRDefault="00C1661D">
      <w:pPr>
        <w:jc w:val="center"/>
        <w:divId w:val="1363285849"/>
        <w:rPr>
          <w:rFonts w:eastAsia="Times New Roman"/>
        </w:rPr>
      </w:pPr>
      <w:r>
        <w:rPr>
          <w:rFonts w:eastAsia="Times New Roman"/>
          <w:color w:val="000000"/>
          <w:sz w:val="20"/>
          <w:szCs w:val="20"/>
        </w:rPr>
        <w:t>F-29</w:t>
      </w:r>
    </w:p>
    <w:p w14:paraId="6CF77475" w14:textId="77777777" w:rsidR="00000000" w:rsidRDefault="00C1661D">
      <w:pPr>
        <w:rPr>
          <w:rFonts w:eastAsia="Times New Roman"/>
        </w:rPr>
      </w:pPr>
      <w:r>
        <w:rPr>
          <w:rFonts w:eastAsia="Times New Roman"/>
        </w:rPr>
        <w:pict w14:anchorId="007B5DBB">
          <v:rect id="_x0000_i1142" style="width:0;height:1.5pt" o:hralign="center" o:hrstd="t" o:hr="t" fillcolor="#a0a0a0" stroked="f"/>
        </w:pict>
      </w:r>
    </w:p>
    <w:p w14:paraId="6C3B9E9E" w14:textId="77777777" w:rsidR="00000000" w:rsidRDefault="00C1661D">
      <w:pPr>
        <w:divId w:val="263460720"/>
        <w:rPr>
          <w:rFonts w:eastAsia="Times New Roman"/>
        </w:rPr>
      </w:pPr>
      <w:hyperlink w:anchor="i3850c3c6c0104e42b9951aac2f16098a_7" w:history="1">
        <w:r>
          <w:rPr>
            <w:rStyle w:val="a3"/>
            <w:rFonts w:eastAsia="Times New Roman"/>
            <w:sz w:val="20"/>
            <w:szCs w:val="20"/>
          </w:rPr>
          <w:t>Table of Contents</w:t>
        </w:r>
      </w:hyperlink>
    </w:p>
    <w:p w14:paraId="464105D0" w14:textId="77777777" w:rsidR="00000000" w:rsidRDefault="00C1661D">
      <w:pPr>
        <w:divId w:val="801078248"/>
        <w:rPr>
          <w:rFonts w:eastAsia="Times New Roman"/>
        </w:rPr>
      </w:pPr>
      <w:r>
        <w:rPr>
          <w:rFonts w:eastAsia="Times New Roman"/>
          <w:b/>
          <w:bCs/>
          <w:color w:val="000000"/>
          <w:sz w:val="20"/>
          <w:szCs w:val="20"/>
        </w:rPr>
        <w:t>UGI Corporation and Subsidiaries</w:t>
      </w:r>
    </w:p>
    <w:p w14:paraId="4788E47D" w14:textId="77777777" w:rsidR="00000000" w:rsidRDefault="00C1661D">
      <w:pPr>
        <w:divId w:val="814570631"/>
        <w:rPr>
          <w:rFonts w:eastAsia="Times New Roman"/>
        </w:rPr>
      </w:pPr>
      <w:r>
        <w:rPr>
          <w:rFonts w:eastAsia="Times New Roman"/>
          <w:b/>
          <w:bCs/>
          <w:color w:val="000000"/>
          <w:sz w:val="20"/>
          <w:szCs w:val="20"/>
        </w:rPr>
        <w:t>Notes to Consolidated Financial Statements</w:t>
      </w:r>
    </w:p>
    <w:p w14:paraId="69B266C6" w14:textId="77777777" w:rsidR="00000000" w:rsidRDefault="00C1661D">
      <w:pPr>
        <w:divId w:val="1413351749"/>
        <w:rPr>
          <w:rFonts w:eastAsia="Times New Roman"/>
        </w:rPr>
      </w:pPr>
      <w:r>
        <w:rPr>
          <w:rFonts w:eastAsia="Times New Roman"/>
          <w:color w:val="000000"/>
          <w:sz w:val="20"/>
          <w:szCs w:val="20"/>
        </w:rPr>
        <w:t>(Currency in millions, except per share amounts and where indicated otherwise)</w:t>
      </w:r>
    </w:p>
    <w:p w14:paraId="7C1DB230" w14:textId="77777777" w:rsidR="00000000" w:rsidRDefault="00C1661D">
      <w:pPr>
        <w:jc w:val="both"/>
        <w:rPr>
          <w:rFonts w:eastAsia="Times New Roman"/>
        </w:rPr>
      </w:pPr>
      <w:r>
        <w:rPr>
          <w:rFonts w:eastAsia="Times New Roman"/>
          <w:b/>
          <w:bCs/>
          <w:color w:val="000000"/>
          <w:sz w:val="20"/>
          <w:szCs w:val="20"/>
        </w:rPr>
        <w:t>Long-term Debt</w:t>
      </w:r>
    </w:p>
    <w:p w14:paraId="1A49C9BC" w14:textId="77777777" w:rsidR="00000000" w:rsidRDefault="00C1661D">
      <w:pPr>
        <w:jc w:val="both"/>
        <w:rPr>
          <w:rFonts w:eastAsia="Times New Roman"/>
        </w:rPr>
      </w:pPr>
    </w:p>
    <w:p w14:paraId="1BCCF329" w14:textId="77777777" w:rsidR="00000000" w:rsidRDefault="00C1661D">
      <w:pPr>
        <w:jc w:val="both"/>
        <w:rPr>
          <w:rFonts w:eastAsia="Times New Roman"/>
        </w:rPr>
      </w:pPr>
      <w:r>
        <w:rPr>
          <w:rFonts w:eastAsia="Times New Roman"/>
          <w:color w:val="000000"/>
          <w:sz w:val="20"/>
          <w:szCs w:val="20"/>
        </w:rPr>
        <w:t>Long-term debt comprises the following at September 30:</w:t>
      </w:r>
    </w:p>
    <w:tbl>
      <w:tblPr>
        <w:tblW w:w="4992" w:type="pct"/>
        <w:tblCellMar>
          <w:top w:w="15" w:type="dxa"/>
          <w:left w:w="15" w:type="dxa"/>
          <w:bottom w:w="15" w:type="dxa"/>
          <w:right w:w="15" w:type="dxa"/>
        </w:tblCellMar>
        <w:tblLook w:val="04A0" w:firstRow="1" w:lastRow="0" w:firstColumn="1" w:lastColumn="0" w:noHBand="0" w:noVBand="1"/>
      </w:tblPr>
      <w:tblGrid>
        <w:gridCol w:w="42"/>
        <w:gridCol w:w="5990"/>
        <w:gridCol w:w="39"/>
        <w:gridCol w:w="115"/>
        <w:gridCol w:w="923"/>
        <w:gridCol w:w="36"/>
        <w:gridCol w:w="36"/>
        <w:gridCol w:w="36"/>
        <w:gridCol w:w="36"/>
        <w:gridCol w:w="115"/>
        <w:gridCol w:w="889"/>
        <w:gridCol w:w="36"/>
      </w:tblGrid>
      <w:tr w:rsidR="00000000" w14:paraId="74162264" w14:textId="77777777">
        <w:trPr>
          <w:divId w:val="615216295"/>
        </w:trPr>
        <w:tc>
          <w:tcPr>
            <w:tcW w:w="50" w:type="pct"/>
            <w:vAlign w:val="center"/>
            <w:hideMark/>
          </w:tcPr>
          <w:p w14:paraId="209938C6" w14:textId="77777777" w:rsidR="00000000" w:rsidRDefault="00C1661D">
            <w:pPr>
              <w:jc w:val="both"/>
              <w:rPr>
                <w:rFonts w:eastAsia="Times New Roman"/>
              </w:rPr>
            </w:pPr>
          </w:p>
        </w:tc>
        <w:tc>
          <w:tcPr>
            <w:tcW w:w="3634" w:type="pct"/>
            <w:vAlign w:val="center"/>
            <w:hideMark/>
          </w:tcPr>
          <w:p w14:paraId="3123C558" w14:textId="77777777" w:rsidR="00000000" w:rsidRDefault="00C1661D">
            <w:pPr>
              <w:spacing w:after="100"/>
              <w:rPr>
                <w:rFonts w:eastAsia="Times New Roman"/>
                <w:sz w:val="20"/>
                <w:szCs w:val="20"/>
              </w:rPr>
            </w:pPr>
          </w:p>
        </w:tc>
        <w:tc>
          <w:tcPr>
            <w:tcW w:w="5" w:type="pct"/>
            <w:vAlign w:val="center"/>
            <w:hideMark/>
          </w:tcPr>
          <w:p w14:paraId="44568A66" w14:textId="77777777" w:rsidR="00000000" w:rsidRDefault="00C1661D">
            <w:pPr>
              <w:spacing w:after="100"/>
              <w:rPr>
                <w:rFonts w:eastAsia="Times New Roman"/>
                <w:sz w:val="20"/>
                <w:szCs w:val="20"/>
              </w:rPr>
            </w:pPr>
          </w:p>
        </w:tc>
        <w:tc>
          <w:tcPr>
            <w:tcW w:w="50" w:type="pct"/>
            <w:vAlign w:val="center"/>
            <w:hideMark/>
          </w:tcPr>
          <w:p w14:paraId="47084531" w14:textId="77777777" w:rsidR="00000000" w:rsidRDefault="00C1661D">
            <w:pPr>
              <w:spacing w:after="100"/>
              <w:rPr>
                <w:rFonts w:eastAsia="Times New Roman"/>
                <w:sz w:val="20"/>
                <w:szCs w:val="20"/>
              </w:rPr>
            </w:pPr>
          </w:p>
        </w:tc>
        <w:tc>
          <w:tcPr>
            <w:tcW w:w="581" w:type="pct"/>
            <w:vAlign w:val="center"/>
            <w:hideMark/>
          </w:tcPr>
          <w:p w14:paraId="23535659" w14:textId="77777777" w:rsidR="00000000" w:rsidRDefault="00C1661D">
            <w:pPr>
              <w:spacing w:after="100"/>
              <w:rPr>
                <w:rFonts w:eastAsia="Times New Roman"/>
                <w:sz w:val="20"/>
                <w:szCs w:val="20"/>
              </w:rPr>
            </w:pPr>
          </w:p>
        </w:tc>
        <w:tc>
          <w:tcPr>
            <w:tcW w:w="5" w:type="pct"/>
            <w:vAlign w:val="center"/>
            <w:hideMark/>
          </w:tcPr>
          <w:p w14:paraId="4F245D3D" w14:textId="77777777" w:rsidR="00000000" w:rsidRDefault="00C1661D">
            <w:pPr>
              <w:spacing w:after="100"/>
              <w:rPr>
                <w:rFonts w:eastAsia="Times New Roman"/>
                <w:sz w:val="20"/>
                <w:szCs w:val="20"/>
              </w:rPr>
            </w:pPr>
          </w:p>
        </w:tc>
        <w:tc>
          <w:tcPr>
            <w:tcW w:w="5" w:type="pct"/>
            <w:vAlign w:val="center"/>
            <w:hideMark/>
          </w:tcPr>
          <w:p w14:paraId="4119BCE2" w14:textId="77777777" w:rsidR="00000000" w:rsidRDefault="00C1661D">
            <w:pPr>
              <w:spacing w:after="100"/>
              <w:rPr>
                <w:rFonts w:eastAsia="Times New Roman"/>
                <w:sz w:val="20"/>
                <w:szCs w:val="20"/>
              </w:rPr>
            </w:pPr>
          </w:p>
        </w:tc>
        <w:tc>
          <w:tcPr>
            <w:tcW w:w="26" w:type="pct"/>
            <w:vAlign w:val="center"/>
            <w:hideMark/>
          </w:tcPr>
          <w:p w14:paraId="13700E22" w14:textId="77777777" w:rsidR="00000000" w:rsidRDefault="00C1661D">
            <w:pPr>
              <w:spacing w:after="100"/>
              <w:rPr>
                <w:rFonts w:eastAsia="Times New Roman"/>
                <w:sz w:val="20"/>
                <w:szCs w:val="20"/>
              </w:rPr>
            </w:pPr>
          </w:p>
        </w:tc>
        <w:tc>
          <w:tcPr>
            <w:tcW w:w="5" w:type="pct"/>
            <w:vAlign w:val="center"/>
            <w:hideMark/>
          </w:tcPr>
          <w:p w14:paraId="4CDAF4A2" w14:textId="77777777" w:rsidR="00000000" w:rsidRDefault="00C1661D">
            <w:pPr>
              <w:spacing w:after="100"/>
              <w:rPr>
                <w:rFonts w:eastAsia="Times New Roman"/>
                <w:sz w:val="20"/>
                <w:szCs w:val="20"/>
              </w:rPr>
            </w:pPr>
          </w:p>
        </w:tc>
        <w:tc>
          <w:tcPr>
            <w:tcW w:w="50" w:type="pct"/>
            <w:vAlign w:val="center"/>
            <w:hideMark/>
          </w:tcPr>
          <w:p w14:paraId="06E7D33B" w14:textId="77777777" w:rsidR="00000000" w:rsidRDefault="00C1661D">
            <w:pPr>
              <w:spacing w:after="100"/>
              <w:rPr>
                <w:rFonts w:eastAsia="Times New Roman"/>
                <w:sz w:val="20"/>
                <w:szCs w:val="20"/>
              </w:rPr>
            </w:pPr>
          </w:p>
        </w:tc>
        <w:tc>
          <w:tcPr>
            <w:tcW w:w="581" w:type="pct"/>
            <w:vAlign w:val="center"/>
            <w:hideMark/>
          </w:tcPr>
          <w:p w14:paraId="069F32E3" w14:textId="77777777" w:rsidR="00000000" w:rsidRDefault="00C1661D">
            <w:pPr>
              <w:spacing w:after="100"/>
              <w:rPr>
                <w:rFonts w:eastAsia="Times New Roman"/>
                <w:sz w:val="20"/>
                <w:szCs w:val="20"/>
              </w:rPr>
            </w:pPr>
          </w:p>
        </w:tc>
        <w:tc>
          <w:tcPr>
            <w:tcW w:w="5" w:type="pct"/>
            <w:vAlign w:val="center"/>
            <w:hideMark/>
          </w:tcPr>
          <w:p w14:paraId="246FE7A3" w14:textId="77777777" w:rsidR="00000000" w:rsidRDefault="00C1661D">
            <w:pPr>
              <w:spacing w:after="100"/>
              <w:rPr>
                <w:rFonts w:eastAsia="Times New Roman"/>
                <w:sz w:val="20"/>
                <w:szCs w:val="20"/>
              </w:rPr>
            </w:pPr>
          </w:p>
        </w:tc>
      </w:tr>
      <w:tr w:rsidR="00000000" w14:paraId="1DFE44BA" w14:textId="77777777">
        <w:trPr>
          <w:divId w:val="615216295"/>
        </w:trPr>
        <w:tc>
          <w:tcPr>
            <w:tcW w:w="0" w:type="auto"/>
            <w:gridSpan w:val="3"/>
            <w:tcMar>
              <w:top w:w="0" w:type="dxa"/>
              <w:left w:w="20" w:type="dxa"/>
              <w:bottom w:w="0" w:type="dxa"/>
              <w:right w:w="20" w:type="dxa"/>
            </w:tcMar>
            <w:vAlign w:val="center"/>
            <w:hideMark/>
          </w:tcPr>
          <w:p w14:paraId="10324FCA" w14:textId="77777777" w:rsidR="00000000" w:rsidRDefault="00C1661D">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center"/>
            <w:hideMark/>
          </w:tcPr>
          <w:p w14:paraId="752BBCCA" w14:textId="77777777" w:rsidR="00000000" w:rsidRDefault="00C1661D">
            <w:pPr>
              <w:spacing w:after="100"/>
              <w:jc w:val="center"/>
              <w:rPr>
                <w:rFonts w:eastAsia="Times New Roman"/>
              </w:rPr>
            </w:pPr>
            <w:r>
              <w:rPr>
                <w:rFonts w:eastAsia="Times New Roman"/>
                <w:color w:val="000000"/>
                <w:sz w:val="19"/>
                <w:szCs w:val="19"/>
              </w:rPr>
              <w:t>2022</w:t>
            </w:r>
          </w:p>
        </w:tc>
        <w:tc>
          <w:tcPr>
            <w:tcW w:w="0" w:type="auto"/>
            <w:gridSpan w:val="3"/>
            <w:tcMar>
              <w:top w:w="0" w:type="dxa"/>
              <w:left w:w="20" w:type="dxa"/>
              <w:bottom w:w="0" w:type="dxa"/>
              <w:right w:w="20" w:type="dxa"/>
            </w:tcMar>
            <w:vAlign w:val="center"/>
            <w:hideMark/>
          </w:tcPr>
          <w:p w14:paraId="29F68B5E"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14:paraId="724D63E5" w14:textId="77777777" w:rsidR="00000000" w:rsidRDefault="00C1661D">
            <w:pPr>
              <w:spacing w:after="100"/>
              <w:jc w:val="center"/>
              <w:rPr>
                <w:rFonts w:eastAsia="Times New Roman"/>
              </w:rPr>
            </w:pPr>
            <w:r>
              <w:rPr>
                <w:rFonts w:eastAsia="Times New Roman"/>
                <w:color w:val="000000"/>
                <w:sz w:val="19"/>
                <w:szCs w:val="19"/>
              </w:rPr>
              <w:t>2021</w:t>
            </w:r>
          </w:p>
        </w:tc>
      </w:tr>
      <w:tr w:rsidR="00000000" w14:paraId="6A46E6B3" w14:textId="77777777">
        <w:trPr>
          <w:divId w:val="615216295"/>
        </w:trPr>
        <w:tc>
          <w:tcPr>
            <w:tcW w:w="0" w:type="auto"/>
            <w:gridSpan w:val="3"/>
            <w:shd w:val="clear" w:color="auto" w:fill="CCEEFF"/>
            <w:tcMar>
              <w:top w:w="30" w:type="dxa"/>
              <w:left w:w="20" w:type="dxa"/>
              <w:bottom w:w="30" w:type="dxa"/>
              <w:right w:w="20" w:type="dxa"/>
            </w:tcMar>
            <w:vAlign w:val="center"/>
            <w:hideMark/>
          </w:tcPr>
          <w:p w14:paraId="3E9F42DA" w14:textId="77777777" w:rsidR="00000000" w:rsidRDefault="00C1661D">
            <w:pPr>
              <w:spacing w:after="100"/>
              <w:rPr>
                <w:rFonts w:eastAsia="Times New Roman"/>
              </w:rPr>
            </w:pPr>
            <w:r>
              <w:rPr>
                <w:rFonts w:eastAsia="Times New Roman"/>
                <w:b/>
                <w:bCs/>
                <w:color w:val="000000"/>
                <w:sz w:val="19"/>
                <w:szCs w:val="19"/>
              </w:rPr>
              <w:t>AmeriGas Propane:</w:t>
            </w: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ED47045" w14:textId="77777777" w:rsidR="00000000" w:rsidRDefault="00C1661D">
            <w:pPr>
              <w:spacing w:after="100"/>
              <w:rPr>
                <w:rFonts w:eastAsia="Times New Roman"/>
              </w:rPr>
            </w:pPr>
            <w:r>
              <w:rPr>
                <w:rFonts w:eastAsia="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14:paraId="36E4076B"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4FD738D" w14:textId="77777777" w:rsidR="00000000" w:rsidRDefault="00C1661D">
            <w:pPr>
              <w:spacing w:after="100"/>
              <w:rPr>
                <w:rFonts w:eastAsia="Times New Roman"/>
              </w:rPr>
            </w:pPr>
            <w:r>
              <w:rPr>
                <w:rFonts w:eastAsia="Times New Roman"/>
                <w:color w:val="000000"/>
                <w:sz w:val="19"/>
                <w:szCs w:val="19"/>
              </w:rPr>
              <w:t> </w:t>
            </w:r>
          </w:p>
        </w:tc>
      </w:tr>
      <w:tr w:rsidR="00000000" w14:paraId="79972B10" w14:textId="77777777">
        <w:trPr>
          <w:divId w:val="615216295"/>
        </w:trPr>
        <w:tc>
          <w:tcPr>
            <w:tcW w:w="0" w:type="auto"/>
            <w:gridSpan w:val="3"/>
            <w:shd w:val="clear" w:color="auto" w:fill="FFFFFF"/>
            <w:tcMar>
              <w:top w:w="30" w:type="dxa"/>
              <w:left w:w="20" w:type="dxa"/>
              <w:bottom w:w="30" w:type="dxa"/>
              <w:right w:w="20" w:type="dxa"/>
            </w:tcMar>
            <w:vAlign w:val="center"/>
            <w:hideMark/>
          </w:tcPr>
          <w:p w14:paraId="3D0D523F" w14:textId="77777777" w:rsidR="00000000" w:rsidRDefault="00C1661D">
            <w:pPr>
              <w:spacing w:after="100"/>
              <w:rPr>
                <w:rFonts w:eastAsia="Times New Roman"/>
              </w:rPr>
            </w:pPr>
            <w:r>
              <w:rPr>
                <w:rFonts w:eastAsia="Times New Roman"/>
                <w:color w:val="000000"/>
                <w:sz w:val="19"/>
                <w:szCs w:val="19"/>
              </w:rPr>
              <w:t>AmeriGas Partners Senior Notes:</w:t>
            </w:r>
          </w:p>
        </w:tc>
        <w:tc>
          <w:tcPr>
            <w:tcW w:w="0" w:type="auto"/>
            <w:gridSpan w:val="3"/>
            <w:shd w:val="clear" w:color="auto" w:fill="FFFFFF"/>
            <w:tcMar>
              <w:top w:w="30" w:type="dxa"/>
              <w:left w:w="20" w:type="dxa"/>
              <w:bottom w:w="30" w:type="dxa"/>
              <w:right w:w="20" w:type="dxa"/>
            </w:tcMar>
            <w:vAlign w:val="center"/>
            <w:hideMark/>
          </w:tcPr>
          <w:p w14:paraId="4318FFF9" w14:textId="77777777" w:rsidR="00000000" w:rsidRDefault="00C1661D">
            <w:pPr>
              <w:spacing w:after="100"/>
              <w:rPr>
                <w:rFonts w:eastAsia="Times New Roman"/>
              </w:rPr>
            </w:pPr>
            <w:r>
              <w:rPr>
                <w:rFonts w:eastAsia="Times New Roman"/>
                <w:color w:val="000000"/>
                <w:sz w:val="19"/>
                <w:szCs w:val="19"/>
              </w:rPr>
              <w:t> </w:t>
            </w:r>
          </w:p>
        </w:tc>
        <w:tc>
          <w:tcPr>
            <w:tcW w:w="0" w:type="auto"/>
            <w:gridSpan w:val="3"/>
            <w:shd w:val="clear" w:color="auto" w:fill="FFFFFF"/>
            <w:tcMar>
              <w:top w:w="0" w:type="dxa"/>
              <w:left w:w="20" w:type="dxa"/>
              <w:bottom w:w="0" w:type="dxa"/>
              <w:right w:w="20" w:type="dxa"/>
            </w:tcMar>
            <w:vAlign w:val="center"/>
            <w:hideMark/>
          </w:tcPr>
          <w:p w14:paraId="3120B911"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4F689133" w14:textId="77777777" w:rsidR="00000000" w:rsidRDefault="00C1661D">
            <w:pPr>
              <w:spacing w:after="100"/>
              <w:rPr>
                <w:rFonts w:eastAsia="Times New Roman"/>
              </w:rPr>
            </w:pPr>
            <w:r>
              <w:rPr>
                <w:rFonts w:eastAsia="Times New Roman"/>
                <w:color w:val="000000"/>
                <w:sz w:val="19"/>
                <w:szCs w:val="19"/>
              </w:rPr>
              <w:t> </w:t>
            </w:r>
          </w:p>
        </w:tc>
      </w:tr>
      <w:tr w:rsidR="00000000" w14:paraId="26EE3943" w14:textId="77777777">
        <w:trPr>
          <w:divId w:val="615216295"/>
        </w:trPr>
        <w:tc>
          <w:tcPr>
            <w:tcW w:w="0" w:type="auto"/>
            <w:gridSpan w:val="3"/>
            <w:shd w:val="clear" w:color="auto" w:fill="CCEEFF"/>
            <w:tcMar>
              <w:top w:w="30" w:type="dxa"/>
              <w:left w:w="20" w:type="dxa"/>
              <w:bottom w:w="30" w:type="dxa"/>
              <w:right w:w="20" w:type="dxa"/>
            </w:tcMar>
            <w:vAlign w:val="center"/>
            <w:hideMark/>
          </w:tcPr>
          <w:p w14:paraId="375C0757" w14:textId="77777777" w:rsidR="00000000" w:rsidRDefault="00C1661D">
            <w:pPr>
              <w:spacing w:after="100"/>
              <w:divId w:val="2115322015"/>
              <w:rPr>
                <w:rFonts w:eastAsia="Times New Roman"/>
              </w:rPr>
            </w:pPr>
            <w:r>
              <w:rPr>
                <w:rFonts w:eastAsia="Times New Roman"/>
                <w:color w:val="000000"/>
                <w:sz w:val="19"/>
                <w:szCs w:val="19"/>
              </w:rPr>
              <w:t>   5.50% due May 2025</w:t>
            </w:r>
          </w:p>
        </w:tc>
        <w:tc>
          <w:tcPr>
            <w:tcW w:w="0" w:type="auto"/>
            <w:shd w:val="clear" w:color="auto" w:fill="CCEEFF"/>
            <w:tcMar>
              <w:top w:w="30" w:type="dxa"/>
              <w:left w:w="20" w:type="dxa"/>
              <w:bottom w:w="30" w:type="dxa"/>
              <w:right w:w="0" w:type="dxa"/>
            </w:tcMar>
            <w:vAlign w:val="center"/>
            <w:hideMark/>
          </w:tcPr>
          <w:p w14:paraId="60925844" w14:textId="77777777" w:rsidR="00000000" w:rsidRDefault="00C1661D">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center"/>
            <w:hideMark/>
          </w:tcPr>
          <w:p w14:paraId="6951035D" w14:textId="77777777" w:rsidR="00000000" w:rsidRDefault="00C1661D">
            <w:pPr>
              <w:spacing w:after="100"/>
              <w:jc w:val="right"/>
              <w:rPr>
                <w:rFonts w:eastAsia="Times New Roman"/>
              </w:rPr>
            </w:pPr>
            <w:r>
              <w:rPr>
                <w:rFonts w:eastAsia="Times New Roman"/>
                <w:color w:val="000000"/>
                <w:sz w:val="19"/>
                <w:szCs w:val="19"/>
              </w:rPr>
              <w:t>700 </w:t>
            </w:r>
          </w:p>
        </w:tc>
        <w:tc>
          <w:tcPr>
            <w:tcW w:w="0" w:type="auto"/>
            <w:shd w:val="clear" w:color="auto" w:fill="CCEEFF"/>
            <w:tcMar>
              <w:top w:w="30" w:type="dxa"/>
              <w:left w:w="0" w:type="dxa"/>
              <w:bottom w:w="30" w:type="dxa"/>
              <w:right w:w="20" w:type="dxa"/>
            </w:tcMar>
            <w:vAlign w:val="center"/>
            <w:hideMark/>
          </w:tcPr>
          <w:p w14:paraId="63FAFEB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0BB7CF"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F97528B" w14:textId="77777777" w:rsidR="00000000" w:rsidRDefault="00C1661D">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center"/>
            <w:hideMark/>
          </w:tcPr>
          <w:p w14:paraId="1B46903D" w14:textId="77777777" w:rsidR="00000000" w:rsidRDefault="00C1661D">
            <w:pPr>
              <w:spacing w:after="100"/>
              <w:jc w:val="right"/>
              <w:rPr>
                <w:rFonts w:eastAsia="Times New Roman"/>
              </w:rPr>
            </w:pPr>
            <w:r>
              <w:rPr>
                <w:rFonts w:eastAsia="Times New Roman"/>
                <w:color w:val="000000"/>
                <w:sz w:val="19"/>
                <w:szCs w:val="19"/>
              </w:rPr>
              <w:t>700 </w:t>
            </w:r>
          </w:p>
        </w:tc>
        <w:tc>
          <w:tcPr>
            <w:tcW w:w="0" w:type="auto"/>
            <w:shd w:val="clear" w:color="auto" w:fill="CCEEFF"/>
            <w:tcMar>
              <w:top w:w="30" w:type="dxa"/>
              <w:left w:w="0" w:type="dxa"/>
              <w:bottom w:w="30" w:type="dxa"/>
              <w:right w:w="20" w:type="dxa"/>
            </w:tcMar>
            <w:vAlign w:val="center"/>
            <w:hideMark/>
          </w:tcPr>
          <w:p w14:paraId="7D1843CE" w14:textId="77777777" w:rsidR="00000000" w:rsidRDefault="00C1661D">
            <w:pPr>
              <w:spacing w:after="100"/>
              <w:jc w:val="right"/>
              <w:rPr>
                <w:rFonts w:eastAsia="Times New Roman"/>
              </w:rPr>
            </w:pPr>
          </w:p>
        </w:tc>
      </w:tr>
      <w:tr w:rsidR="00000000" w14:paraId="3EF33E3B" w14:textId="77777777">
        <w:trPr>
          <w:divId w:val="615216295"/>
        </w:trPr>
        <w:tc>
          <w:tcPr>
            <w:tcW w:w="0" w:type="auto"/>
            <w:gridSpan w:val="3"/>
            <w:shd w:val="clear" w:color="auto" w:fill="FFFFFF"/>
            <w:tcMar>
              <w:top w:w="30" w:type="dxa"/>
              <w:left w:w="20" w:type="dxa"/>
              <w:bottom w:w="30" w:type="dxa"/>
              <w:right w:w="20" w:type="dxa"/>
            </w:tcMar>
            <w:vAlign w:val="center"/>
            <w:hideMark/>
          </w:tcPr>
          <w:p w14:paraId="1C1789E5" w14:textId="77777777" w:rsidR="00000000" w:rsidRDefault="00C1661D">
            <w:pPr>
              <w:spacing w:after="100"/>
              <w:divId w:val="938606810"/>
              <w:rPr>
                <w:rFonts w:eastAsia="Times New Roman"/>
              </w:rPr>
            </w:pPr>
            <w:r>
              <w:rPr>
                <w:rFonts w:eastAsia="Times New Roman"/>
                <w:color w:val="000000"/>
                <w:sz w:val="19"/>
                <w:szCs w:val="19"/>
              </w:rPr>
              <w:t>   5.875% due August 2026</w:t>
            </w:r>
          </w:p>
        </w:tc>
        <w:tc>
          <w:tcPr>
            <w:tcW w:w="0" w:type="auto"/>
            <w:gridSpan w:val="2"/>
            <w:shd w:val="clear" w:color="auto" w:fill="FFFFFF"/>
            <w:tcMar>
              <w:top w:w="30" w:type="dxa"/>
              <w:left w:w="20" w:type="dxa"/>
              <w:bottom w:w="30" w:type="dxa"/>
              <w:right w:w="0" w:type="dxa"/>
            </w:tcMar>
            <w:vAlign w:val="center"/>
            <w:hideMark/>
          </w:tcPr>
          <w:p w14:paraId="4E11E5C4" w14:textId="77777777" w:rsidR="00000000" w:rsidRDefault="00C1661D">
            <w:pPr>
              <w:spacing w:after="100"/>
              <w:jc w:val="right"/>
              <w:rPr>
                <w:rFonts w:eastAsia="Times New Roman"/>
              </w:rPr>
            </w:pPr>
            <w:r>
              <w:rPr>
                <w:rFonts w:eastAsia="Times New Roman"/>
                <w:color w:val="000000"/>
                <w:sz w:val="19"/>
                <w:szCs w:val="19"/>
              </w:rPr>
              <w:t>675 </w:t>
            </w:r>
          </w:p>
        </w:tc>
        <w:tc>
          <w:tcPr>
            <w:tcW w:w="0" w:type="auto"/>
            <w:shd w:val="clear" w:color="auto" w:fill="FFFFFF"/>
            <w:tcMar>
              <w:top w:w="30" w:type="dxa"/>
              <w:left w:w="0" w:type="dxa"/>
              <w:bottom w:w="30" w:type="dxa"/>
              <w:right w:w="20" w:type="dxa"/>
            </w:tcMar>
            <w:vAlign w:val="center"/>
            <w:hideMark/>
          </w:tcPr>
          <w:p w14:paraId="1FA8664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69402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CE3FFA" w14:textId="77777777" w:rsidR="00000000" w:rsidRDefault="00C1661D">
            <w:pPr>
              <w:spacing w:after="100"/>
              <w:jc w:val="right"/>
              <w:rPr>
                <w:rFonts w:eastAsia="Times New Roman"/>
              </w:rPr>
            </w:pPr>
            <w:r>
              <w:rPr>
                <w:rFonts w:eastAsia="Times New Roman"/>
                <w:color w:val="000000"/>
                <w:sz w:val="19"/>
                <w:szCs w:val="19"/>
              </w:rPr>
              <w:t>675 </w:t>
            </w:r>
          </w:p>
        </w:tc>
        <w:tc>
          <w:tcPr>
            <w:tcW w:w="0" w:type="auto"/>
            <w:shd w:val="clear" w:color="auto" w:fill="FFFFFF"/>
            <w:tcMar>
              <w:top w:w="30" w:type="dxa"/>
              <w:left w:w="0" w:type="dxa"/>
              <w:bottom w:w="30" w:type="dxa"/>
              <w:right w:w="20" w:type="dxa"/>
            </w:tcMar>
            <w:vAlign w:val="center"/>
            <w:hideMark/>
          </w:tcPr>
          <w:p w14:paraId="4D793BAD" w14:textId="77777777" w:rsidR="00000000" w:rsidRDefault="00C1661D">
            <w:pPr>
              <w:spacing w:after="100"/>
              <w:jc w:val="right"/>
              <w:rPr>
                <w:rFonts w:eastAsia="Times New Roman"/>
              </w:rPr>
            </w:pPr>
          </w:p>
        </w:tc>
      </w:tr>
      <w:tr w:rsidR="00000000" w14:paraId="0D08867C" w14:textId="77777777">
        <w:trPr>
          <w:divId w:val="615216295"/>
        </w:trPr>
        <w:tc>
          <w:tcPr>
            <w:tcW w:w="0" w:type="auto"/>
            <w:gridSpan w:val="3"/>
            <w:shd w:val="clear" w:color="auto" w:fill="CCEEFF"/>
            <w:tcMar>
              <w:top w:w="30" w:type="dxa"/>
              <w:left w:w="20" w:type="dxa"/>
              <w:bottom w:w="30" w:type="dxa"/>
              <w:right w:w="20" w:type="dxa"/>
            </w:tcMar>
            <w:vAlign w:val="center"/>
            <w:hideMark/>
          </w:tcPr>
          <w:p w14:paraId="14A723DF" w14:textId="77777777" w:rsidR="00000000" w:rsidRDefault="00C1661D">
            <w:pPr>
              <w:spacing w:after="100"/>
              <w:divId w:val="847909747"/>
              <w:rPr>
                <w:rFonts w:eastAsia="Times New Roman"/>
              </w:rPr>
            </w:pPr>
            <w:r>
              <w:rPr>
                <w:rFonts w:eastAsia="Times New Roman"/>
                <w:color w:val="000000"/>
                <w:sz w:val="19"/>
                <w:szCs w:val="19"/>
              </w:rPr>
              <w:t>   5.625% due May 2024</w:t>
            </w:r>
          </w:p>
        </w:tc>
        <w:tc>
          <w:tcPr>
            <w:tcW w:w="0" w:type="auto"/>
            <w:gridSpan w:val="2"/>
            <w:shd w:val="clear" w:color="auto" w:fill="CCEEFF"/>
            <w:tcMar>
              <w:top w:w="30" w:type="dxa"/>
              <w:left w:w="20" w:type="dxa"/>
              <w:bottom w:w="30" w:type="dxa"/>
              <w:right w:w="0" w:type="dxa"/>
            </w:tcMar>
            <w:vAlign w:val="center"/>
            <w:hideMark/>
          </w:tcPr>
          <w:p w14:paraId="6B17CB98" w14:textId="77777777" w:rsidR="00000000" w:rsidRDefault="00C1661D">
            <w:pPr>
              <w:spacing w:after="100"/>
              <w:jc w:val="right"/>
              <w:rPr>
                <w:rFonts w:eastAsia="Times New Roman"/>
              </w:rPr>
            </w:pPr>
            <w:r>
              <w:rPr>
                <w:rFonts w:eastAsia="Times New Roman"/>
                <w:color w:val="000000"/>
                <w:sz w:val="19"/>
                <w:szCs w:val="19"/>
              </w:rPr>
              <w:t>675 </w:t>
            </w:r>
          </w:p>
        </w:tc>
        <w:tc>
          <w:tcPr>
            <w:tcW w:w="0" w:type="auto"/>
            <w:shd w:val="clear" w:color="auto" w:fill="CCEEFF"/>
            <w:tcMar>
              <w:top w:w="30" w:type="dxa"/>
              <w:left w:w="0" w:type="dxa"/>
              <w:bottom w:w="30" w:type="dxa"/>
              <w:right w:w="20" w:type="dxa"/>
            </w:tcMar>
            <w:vAlign w:val="center"/>
            <w:hideMark/>
          </w:tcPr>
          <w:p w14:paraId="0AEA7F2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1CDB9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217405" w14:textId="77777777" w:rsidR="00000000" w:rsidRDefault="00C1661D">
            <w:pPr>
              <w:spacing w:after="100"/>
              <w:jc w:val="right"/>
              <w:rPr>
                <w:rFonts w:eastAsia="Times New Roman"/>
              </w:rPr>
            </w:pPr>
            <w:r>
              <w:rPr>
                <w:rFonts w:eastAsia="Times New Roman"/>
                <w:color w:val="000000"/>
                <w:sz w:val="19"/>
                <w:szCs w:val="19"/>
              </w:rPr>
              <w:t>675 </w:t>
            </w:r>
          </w:p>
        </w:tc>
        <w:tc>
          <w:tcPr>
            <w:tcW w:w="0" w:type="auto"/>
            <w:shd w:val="clear" w:color="auto" w:fill="CCEEFF"/>
            <w:tcMar>
              <w:top w:w="30" w:type="dxa"/>
              <w:left w:w="0" w:type="dxa"/>
              <w:bottom w:w="30" w:type="dxa"/>
              <w:right w:w="20" w:type="dxa"/>
            </w:tcMar>
            <w:vAlign w:val="center"/>
            <w:hideMark/>
          </w:tcPr>
          <w:p w14:paraId="3D6CABD3" w14:textId="77777777" w:rsidR="00000000" w:rsidRDefault="00C1661D">
            <w:pPr>
              <w:spacing w:after="100"/>
              <w:jc w:val="right"/>
              <w:rPr>
                <w:rFonts w:eastAsia="Times New Roman"/>
              </w:rPr>
            </w:pPr>
          </w:p>
        </w:tc>
      </w:tr>
      <w:tr w:rsidR="00000000" w14:paraId="707E2732" w14:textId="77777777">
        <w:trPr>
          <w:divId w:val="615216295"/>
        </w:trPr>
        <w:tc>
          <w:tcPr>
            <w:tcW w:w="0" w:type="auto"/>
            <w:gridSpan w:val="3"/>
            <w:shd w:val="clear" w:color="auto" w:fill="FFFFFF"/>
            <w:tcMar>
              <w:top w:w="30" w:type="dxa"/>
              <w:left w:w="20" w:type="dxa"/>
              <w:bottom w:w="30" w:type="dxa"/>
              <w:right w:w="20" w:type="dxa"/>
            </w:tcMar>
            <w:vAlign w:val="center"/>
            <w:hideMark/>
          </w:tcPr>
          <w:p w14:paraId="1B1C0BCE" w14:textId="77777777" w:rsidR="00000000" w:rsidRDefault="00C1661D">
            <w:pPr>
              <w:spacing w:after="100"/>
              <w:divId w:val="752554457"/>
              <w:rPr>
                <w:rFonts w:eastAsia="Times New Roman"/>
              </w:rPr>
            </w:pPr>
            <w:r>
              <w:rPr>
                <w:rFonts w:eastAsia="Times New Roman"/>
                <w:color w:val="000000"/>
                <w:sz w:val="19"/>
                <w:szCs w:val="19"/>
              </w:rPr>
              <w:t>   5.75% due May 2027</w:t>
            </w:r>
          </w:p>
        </w:tc>
        <w:tc>
          <w:tcPr>
            <w:tcW w:w="0" w:type="auto"/>
            <w:gridSpan w:val="2"/>
            <w:shd w:val="clear" w:color="auto" w:fill="FFFFFF"/>
            <w:tcMar>
              <w:top w:w="30" w:type="dxa"/>
              <w:left w:w="20" w:type="dxa"/>
              <w:bottom w:w="30" w:type="dxa"/>
              <w:right w:w="0" w:type="dxa"/>
            </w:tcMar>
            <w:vAlign w:val="center"/>
            <w:hideMark/>
          </w:tcPr>
          <w:p w14:paraId="1DFD9FA0" w14:textId="77777777" w:rsidR="00000000" w:rsidRDefault="00C1661D">
            <w:pPr>
              <w:spacing w:after="100"/>
              <w:jc w:val="right"/>
              <w:rPr>
                <w:rFonts w:eastAsia="Times New Roman"/>
              </w:rPr>
            </w:pPr>
            <w:r>
              <w:rPr>
                <w:rFonts w:eastAsia="Times New Roman"/>
                <w:color w:val="000000"/>
                <w:sz w:val="19"/>
                <w:szCs w:val="19"/>
              </w:rPr>
              <w:t>525 </w:t>
            </w:r>
          </w:p>
        </w:tc>
        <w:tc>
          <w:tcPr>
            <w:tcW w:w="0" w:type="auto"/>
            <w:shd w:val="clear" w:color="auto" w:fill="FFFFFF"/>
            <w:tcMar>
              <w:top w:w="30" w:type="dxa"/>
              <w:left w:w="0" w:type="dxa"/>
              <w:bottom w:w="30" w:type="dxa"/>
              <w:right w:w="20" w:type="dxa"/>
            </w:tcMar>
            <w:vAlign w:val="center"/>
            <w:hideMark/>
          </w:tcPr>
          <w:p w14:paraId="25E1830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6CB5C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8768E5" w14:textId="77777777" w:rsidR="00000000" w:rsidRDefault="00C1661D">
            <w:pPr>
              <w:spacing w:after="100"/>
              <w:jc w:val="right"/>
              <w:rPr>
                <w:rFonts w:eastAsia="Times New Roman"/>
              </w:rPr>
            </w:pPr>
            <w:r>
              <w:rPr>
                <w:rFonts w:eastAsia="Times New Roman"/>
                <w:color w:val="000000"/>
                <w:sz w:val="19"/>
                <w:szCs w:val="19"/>
              </w:rPr>
              <w:t>525 </w:t>
            </w:r>
          </w:p>
        </w:tc>
        <w:tc>
          <w:tcPr>
            <w:tcW w:w="0" w:type="auto"/>
            <w:shd w:val="clear" w:color="auto" w:fill="FFFFFF"/>
            <w:tcMar>
              <w:top w:w="30" w:type="dxa"/>
              <w:left w:w="0" w:type="dxa"/>
              <w:bottom w:w="30" w:type="dxa"/>
              <w:right w:w="20" w:type="dxa"/>
            </w:tcMar>
            <w:vAlign w:val="center"/>
            <w:hideMark/>
          </w:tcPr>
          <w:p w14:paraId="65CFD07D" w14:textId="77777777" w:rsidR="00000000" w:rsidRDefault="00C1661D">
            <w:pPr>
              <w:spacing w:after="100"/>
              <w:jc w:val="right"/>
              <w:rPr>
                <w:rFonts w:eastAsia="Times New Roman"/>
              </w:rPr>
            </w:pPr>
          </w:p>
        </w:tc>
      </w:tr>
      <w:tr w:rsidR="00000000" w14:paraId="592CA632" w14:textId="77777777">
        <w:trPr>
          <w:divId w:val="615216295"/>
        </w:trPr>
        <w:tc>
          <w:tcPr>
            <w:tcW w:w="0" w:type="auto"/>
            <w:gridSpan w:val="3"/>
            <w:shd w:val="clear" w:color="auto" w:fill="CCEEFF"/>
            <w:tcMar>
              <w:top w:w="30" w:type="dxa"/>
              <w:left w:w="20" w:type="dxa"/>
              <w:bottom w:w="30" w:type="dxa"/>
              <w:right w:w="20" w:type="dxa"/>
            </w:tcMar>
            <w:vAlign w:val="center"/>
            <w:hideMark/>
          </w:tcPr>
          <w:p w14:paraId="32B2A206" w14:textId="77777777" w:rsidR="00000000" w:rsidRDefault="00C1661D">
            <w:pPr>
              <w:spacing w:after="100"/>
              <w:rPr>
                <w:rFonts w:eastAsia="Times New Roman"/>
              </w:rPr>
            </w:pPr>
            <w:r>
              <w:rPr>
                <w:rFonts w:eastAsia="Times New Roman"/>
                <w:color w:val="000000"/>
                <w:sz w:val="19"/>
                <w:szCs w:val="19"/>
              </w:rPr>
              <w:t>Other</w:t>
            </w:r>
          </w:p>
        </w:tc>
        <w:tc>
          <w:tcPr>
            <w:tcW w:w="0" w:type="auto"/>
            <w:gridSpan w:val="2"/>
            <w:shd w:val="clear" w:color="auto" w:fill="CCEEFF"/>
            <w:tcMar>
              <w:top w:w="30" w:type="dxa"/>
              <w:left w:w="20" w:type="dxa"/>
              <w:bottom w:w="30" w:type="dxa"/>
              <w:right w:w="0" w:type="dxa"/>
            </w:tcMar>
            <w:vAlign w:val="center"/>
            <w:hideMark/>
          </w:tcPr>
          <w:p w14:paraId="09FE9993" w14:textId="77777777" w:rsidR="00000000" w:rsidRDefault="00C1661D">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center"/>
            <w:hideMark/>
          </w:tcPr>
          <w:p w14:paraId="0756444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85B07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CF447C" w14:textId="77777777" w:rsidR="00000000" w:rsidRDefault="00C1661D">
            <w:pPr>
              <w:spacing w:after="100"/>
              <w:jc w:val="right"/>
              <w:rPr>
                <w:rFonts w:eastAsia="Times New Roman"/>
              </w:rPr>
            </w:pPr>
            <w:r>
              <w:rPr>
                <w:rFonts w:eastAsia="Times New Roman"/>
                <w:color w:val="000000"/>
                <w:sz w:val="19"/>
                <w:szCs w:val="19"/>
              </w:rPr>
              <w:t>1 </w:t>
            </w:r>
          </w:p>
        </w:tc>
        <w:tc>
          <w:tcPr>
            <w:tcW w:w="0" w:type="auto"/>
            <w:shd w:val="clear" w:color="auto" w:fill="CCEEFF"/>
            <w:tcMar>
              <w:top w:w="30" w:type="dxa"/>
              <w:left w:w="0" w:type="dxa"/>
              <w:bottom w:w="30" w:type="dxa"/>
              <w:right w:w="20" w:type="dxa"/>
            </w:tcMar>
            <w:vAlign w:val="center"/>
            <w:hideMark/>
          </w:tcPr>
          <w:p w14:paraId="4C830391" w14:textId="77777777" w:rsidR="00000000" w:rsidRDefault="00C1661D">
            <w:pPr>
              <w:spacing w:after="100"/>
              <w:jc w:val="right"/>
              <w:rPr>
                <w:rFonts w:eastAsia="Times New Roman"/>
              </w:rPr>
            </w:pPr>
          </w:p>
        </w:tc>
      </w:tr>
      <w:tr w:rsidR="00000000" w14:paraId="082F05B3" w14:textId="77777777">
        <w:trPr>
          <w:divId w:val="615216295"/>
        </w:trPr>
        <w:tc>
          <w:tcPr>
            <w:tcW w:w="0" w:type="auto"/>
            <w:gridSpan w:val="3"/>
            <w:shd w:val="clear" w:color="auto" w:fill="FFFFFF"/>
            <w:tcMar>
              <w:top w:w="30" w:type="dxa"/>
              <w:left w:w="20" w:type="dxa"/>
              <w:bottom w:w="30" w:type="dxa"/>
              <w:right w:w="20" w:type="dxa"/>
            </w:tcMar>
            <w:vAlign w:val="center"/>
            <w:hideMark/>
          </w:tcPr>
          <w:p w14:paraId="20F0A1CF" w14:textId="77777777" w:rsidR="00000000" w:rsidRDefault="00C1661D">
            <w:pPr>
              <w:spacing w:after="100"/>
              <w:rPr>
                <w:rFonts w:eastAsia="Times New Roman"/>
              </w:rPr>
            </w:pPr>
            <w:r>
              <w:rPr>
                <w:rFonts w:eastAsia="Times New Roman"/>
                <w:color w:val="000000"/>
                <w:sz w:val="19"/>
                <w:szCs w:val="19"/>
              </w:rPr>
              <w:t>Unamortized debt issuance costs</w:t>
            </w:r>
          </w:p>
        </w:tc>
        <w:tc>
          <w:tcPr>
            <w:tcW w:w="0" w:type="auto"/>
            <w:gridSpan w:val="2"/>
            <w:shd w:val="clear" w:color="auto" w:fill="FFFFFF"/>
            <w:tcMar>
              <w:top w:w="30" w:type="dxa"/>
              <w:left w:w="20" w:type="dxa"/>
              <w:bottom w:w="30" w:type="dxa"/>
              <w:right w:w="0" w:type="dxa"/>
            </w:tcMar>
            <w:vAlign w:val="center"/>
            <w:hideMark/>
          </w:tcPr>
          <w:p w14:paraId="4A7C4D47" w14:textId="77777777" w:rsidR="00000000" w:rsidRDefault="00C1661D">
            <w:pPr>
              <w:spacing w:after="100"/>
              <w:jc w:val="right"/>
              <w:rPr>
                <w:rFonts w:eastAsia="Times New Roman"/>
              </w:rPr>
            </w:pPr>
            <w:r>
              <w:rPr>
                <w:rFonts w:eastAsia="Times New Roman"/>
                <w:color w:val="000000"/>
                <w:sz w:val="19"/>
                <w:szCs w:val="19"/>
              </w:rPr>
              <w:t>(12)</w:t>
            </w:r>
          </w:p>
        </w:tc>
        <w:tc>
          <w:tcPr>
            <w:tcW w:w="0" w:type="auto"/>
            <w:shd w:val="clear" w:color="auto" w:fill="FFFFFF"/>
            <w:tcMar>
              <w:top w:w="30" w:type="dxa"/>
              <w:left w:w="0" w:type="dxa"/>
              <w:bottom w:w="30" w:type="dxa"/>
              <w:right w:w="20" w:type="dxa"/>
            </w:tcMar>
            <w:vAlign w:val="center"/>
            <w:hideMark/>
          </w:tcPr>
          <w:p w14:paraId="1DAD76C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2B64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071FDA" w14:textId="77777777" w:rsidR="00000000" w:rsidRDefault="00C1661D">
            <w:pPr>
              <w:spacing w:after="100"/>
              <w:jc w:val="right"/>
              <w:rPr>
                <w:rFonts w:eastAsia="Times New Roman"/>
              </w:rPr>
            </w:pPr>
            <w:r>
              <w:rPr>
                <w:rFonts w:eastAsia="Times New Roman"/>
                <w:color w:val="000000"/>
                <w:sz w:val="19"/>
                <w:szCs w:val="19"/>
              </w:rPr>
              <w:t>(16)</w:t>
            </w:r>
          </w:p>
        </w:tc>
        <w:tc>
          <w:tcPr>
            <w:tcW w:w="0" w:type="auto"/>
            <w:shd w:val="clear" w:color="auto" w:fill="FFFFFF"/>
            <w:tcMar>
              <w:top w:w="30" w:type="dxa"/>
              <w:left w:w="0" w:type="dxa"/>
              <w:bottom w:w="30" w:type="dxa"/>
              <w:right w:w="20" w:type="dxa"/>
            </w:tcMar>
            <w:vAlign w:val="center"/>
            <w:hideMark/>
          </w:tcPr>
          <w:p w14:paraId="555DBD2B" w14:textId="77777777" w:rsidR="00000000" w:rsidRDefault="00C1661D">
            <w:pPr>
              <w:spacing w:after="100"/>
              <w:jc w:val="right"/>
              <w:rPr>
                <w:rFonts w:eastAsia="Times New Roman"/>
              </w:rPr>
            </w:pPr>
          </w:p>
        </w:tc>
      </w:tr>
      <w:tr w:rsidR="00000000" w14:paraId="14500CE7" w14:textId="77777777">
        <w:trPr>
          <w:divId w:val="615216295"/>
        </w:trPr>
        <w:tc>
          <w:tcPr>
            <w:tcW w:w="0" w:type="auto"/>
            <w:gridSpan w:val="3"/>
            <w:shd w:val="clear" w:color="auto" w:fill="CCEEFF"/>
            <w:tcMar>
              <w:top w:w="30" w:type="dxa"/>
              <w:left w:w="20" w:type="dxa"/>
              <w:bottom w:w="30" w:type="dxa"/>
              <w:right w:w="20" w:type="dxa"/>
            </w:tcMar>
            <w:vAlign w:val="center"/>
            <w:hideMark/>
          </w:tcPr>
          <w:p w14:paraId="0EFA46CC" w14:textId="77777777" w:rsidR="00000000" w:rsidRDefault="00C1661D">
            <w:pPr>
              <w:spacing w:after="100"/>
              <w:rPr>
                <w:rFonts w:eastAsia="Times New Roman"/>
              </w:rPr>
            </w:pPr>
            <w:r>
              <w:rPr>
                <w:rFonts w:eastAsia="Times New Roman"/>
                <w:color w:val="000000"/>
                <w:sz w:val="19"/>
                <w:szCs w:val="19"/>
              </w:rPr>
              <w:t>Total AmeriGas Propane</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27ABE60" w14:textId="77777777" w:rsidR="00000000" w:rsidRDefault="00C1661D">
            <w:pPr>
              <w:spacing w:after="100"/>
              <w:jc w:val="right"/>
              <w:rPr>
                <w:rFonts w:eastAsia="Times New Roman"/>
              </w:rPr>
            </w:pPr>
            <w:r>
              <w:rPr>
                <w:rFonts w:eastAsia="Times New Roman"/>
                <w:color w:val="000000"/>
                <w:sz w:val="19"/>
                <w:szCs w:val="19"/>
              </w:rPr>
              <w:t>2,563 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E6408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46DBE8"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66F0ABB" w14:textId="77777777" w:rsidR="00000000" w:rsidRDefault="00C1661D">
            <w:pPr>
              <w:spacing w:after="100"/>
              <w:jc w:val="right"/>
              <w:rPr>
                <w:rFonts w:eastAsia="Times New Roman"/>
              </w:rPr>
            </w:pPr>
            <w:r>
              <w:rPr>
                <w:rFonts w:eastAsia="Times New Roman"/>
                <w:color w:val="000000"/>
                <w:sz w:val="19"/>
                <w:szCs w:val="19"/>
              </w:rPr>
              <w:t>2,560 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CFB6B4C" w14:textId="77777777" w:rsidR="00000000" w:rsidRDefault="00C1661D">
            <w:pPr>
              <w:spacing w:after="100"/>
              <w:jc w:val="right"/>
              <w:rPr>
                <w:rFonts w:eastAsia="Times New Roman"/>
              </w:rPr>
            </w:pPr>
          </w:p>
        </w:tc>
      </w:tr>
      <w:tr w:rsidR="00000000" w14:paraId="576118B3" w14:textId="77777777">
        <w:trPr>
          <w:divId w:val="615216295"/>
        </w:trPr>
        <w:tc>
          <w:tcPr>
            <w:tcW w:w="0" w:type="auto"/>
            <w:gridSpan w:val="3"/>
            <w:shd w:val="clear" w:color="auto" w:fill="FFFFFF"/>
            <w:tcMar>
              <w:top w:w="30" w:type="dxa"/>
              <w:left w:w="20" w:type="dxa"/>
              <w:bottom w:w="30" w:type="dxa"/>
              <w:right w:w="20" w:type="dxa"/>
            </w:tcMar>
            <w:vAlign w:val="center"/>
            <w:hideMark/>
          </w:tcPr>
          <w:p w14:paraId="5E0BC43F" w14:textId="77777777" w:rsidR="00000000" w:rsidRDefault="00C1661D">
            <w:pPr>
              <w:spacing w:after="100"/>
              <w:rPr>
                <w:rFonts w:eastAsia="Times New Roman"/>
              </w:rPr>
            </w:pPr>
            <w:r>
              <w:rPr>
                <w:rFonts w:eastAsia="Times New Roman"/>
                <w:b/>
                <w:bCs/>
                <w:color w:val="000000"/>
                <w:sz w:val="19"/>
                <w:szCs w:val="19"/>
              </w:rPr>
              <w:t>UGI International:</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14:paraId="047485EC" w14:textId="77777777" w:rsidR="00000000" w:rsidRDefault="00C1661D">
            <w:pPr>
              <w:spacing w:after="100"/>
              <w:rPr>
                <w:rFonts w:eastAsia="Times New Roman"/>
              </w:rPr>
            </w:pPr>
            <w:r>
              <w:rPr>
                <w:rFonts w:eastAsia="Times New Roman"/>
                <w:color w:val="000000"/>
                <w:sz w:val="19"/>
                <w:szCs w:val="19"/>
              </w:rPr>
              <w:t> </w:t>
            </w:r>
          </w:p>
        </w:tc>
        <w:tc>
          <w:tcPr>
            <w:tcW w:w="0" w:type="auto"/>
            <w:gridSpan w:val="3"/>
            <w:shd w:val="clear" w:color="auto" w:fill="FFFFFF"/>
            <w:tcMar>
              <w:top w:w="0" w:type="dxa"/>
              <w:left w:w="20" w:type="dxa"/>
              <w:bottom w:w="0" w:type="dxa"/>
              <w:right w:w="20" w:type="dxa"/>
            </w:tcMar>
            <w:vAlign w:val="center"/>
            <w:hideMark/>
          </w:tcPr>
          <w:p w14:paraId="05426AD5"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14:paraId="6009146A" w14:textId="77777777" w:rsidR="00000000" w:rsidRDefault="00C1661D">
            <w:pPr>
              <w:spacing w:after="100"/>
              <w:rPr>
                <w:rFonts w:eastAsia="Times New Roman"/>
              </w:rPr>
            </w:pPr>
            <w:r>
              <w:rPr>
                <w:rFonts w:eastAsia="Times New Roman"/>
                <w:color w:val="000000"/>
                <w:sz w:val="19"/>
                <w:szCs w:val="19"/>
              </w:rPr>
              <w:t> </w:t>
            </w:r>
          </w:p>
        </w:tc>
      </w:tr>
      <w:tr w:rsidR="00000000" w14:paraId="2C6A1396" w14:textId="77777777">
        <w:trPr>
          <w:divId w:val="615216295"/>
        </w:trPr>
        <w:tc>
          <w:tcPr>
            <w:tcW w:w="0" w:type="auto"/>
            <w:gridSpan w:val="3"/>
            <w:shd w:val="clear" w:color="auto" w:fill="CCEEFF"/>
            <w:tcMar>
              <w:top w:w="30" w:type="dxa"/>
              <w:left w:w="20" w:type="dxa"/>
              <w:bottom w:w="30" w:type="dxa"/>
              <w:right w:w="20" w:type="dxa"/>
            </w:tcMar>
            <w:vAlign w:val="center"/>
            <w:hideMark/>
          </w:tcPr>
          <w:p w14:paraId="42FD5DF9" w14:textId="77777777" w:rsidR="00000000" w:rsidRDefault="00C1661D">
            <w:pPr>
              <w:spacing w:after="100"/>
              <w:divId w:val="1302467049"/>
              <w:rPr>
                <w:rFonts w:eastAsia="Times New Roman"/>
              </w:rPr>
            </w:pPr>
            <w:r>
              <w:rPr>
                <w:rFonts w:eastAsia="Times New Roman"/>
                <w:color w:val="000000"/>
                <w:sz w:val="19"/>
                <w:szCs w:val="19"/>
              </w:rPr>
              <w:t>3.25% Senior Notes due November 2025</w:t>
            </w:r>
          </w:p>
        </w:tc>
        <w:tc>
          <w:tcPr>
            <w:tcW w:w="0" w:type="auto"/>
            <w:gridSpan w:val="2"/>
            <w:shd w:val="clear" w:color="auto" w:fill="CCEEFF"/>
            <w:tcMar>
              <w:top w:w="30" w:type="dxa"/>
              <w:left w:w="20" w:type="dxa"/>
              <w:bottom w:w="30" w:type="dxa"/>
              <w:right w:w="0" w:type="dxa"/>
            </w:tcMar>
            <w:vAlign w:val="center"/>
            <w:hideMark/>
          </w:tcPr>
          <w:p w14:paraId="0D0AF639" w14:textId="77777777" w:rsidR="00000000" w:rsidRDefault="00C1661D">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center"/>
            <w:hideMark/>
          </w:tcPr>
          <w:p w14:paraId="7894973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7AD14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BB93FE" w14:textId="77777777" w:rsidR="00000000" w:rsidRDefault="00C1661D">
            <w:pPr>
              <w:spacing w:after="100"/>
              <w:jc w:val="right"/>
              <w:rPr>
                <w:rFonts w:eastAsia="Times New Roman"/>
              </w:rPr>
            </w:pPr>
            <w:r>
              <w:rPr>
                <w:rFonts w:eastAsia="Times New Roman"/>
                <w:color w:val="000000"/>
                <w:sz w:val="19"/>
                <w:szCs w:val="19"/>
              </w:rPr>
              <w:t>405 </w:t>
            </w:r>
          </w:p>
        </w:tc>
        <w:tc>
          <w:tcPr>
            <w:tcW w:w="0" w:type="auto"/>
            <w:shd w:val="clear" w:color="auto" w:fill="CCEEFF"/>
            <w:tcMar>
              <w:top w:w="30" w:type="dxa"/>
              <w:left w:w="0" w:type="dxa"/>
              <w:bottom w:w="30" w:type="dxa"/>
              <w:right w:w="20" w:type="dxa"/>
            </w:tcMar>
            <w:vAlign w:val="center"/>
            <w:hideMark/>
          </w:tcPr>
          <w:p w14:paraId="60295335" w14:textId="77777777" w:rsidR="00000000" w:rsidRDefault="00C1661D">
            <w:pPr>
              <w:spacing w:after="100"/>
              <w:jc w:val="right"/>
              <w:rPr>
                <w:rFonts w:eastAsia="Times New Roman"/>
              </w:rPr>
            </w:pPr>
          </w:p>
        </w:tc>
      </w:tr>
      <w:tr w:rsidR="00000000" w14:paraId="24B56201" w14:textId="77777777">
        <w:trPr>
          <w:divId w:val="615216295"/>
        </w:trPr>
        <w:tc>
          <w:tcPr>
            <w:tcW w:w="0" w:type="auto"/>
            <w:gridSpan w:val="3"/>
            <w:shd w:val="clear" w:color="auto" w:fill="FFFFFF"/>
            <w:tcMar>
              <w:top w:w="30" w:type="dxa"/>
              <w:left w:w="20" w:type="dxa"/>
              <w:bottom w:w="30" w:type="dxa"/>
              <w:right w:w="20" w:type="dxa"/>
            </w:tcMar>
            <w:vAlign w:val="center"/>
            <w:hideMark/>
          </w:tcPr>
          <w:p w14:paraId="7C7E3A94" w14:textId="77777777" w:rsidR="00000000" w:rsidRDefault="00C1661D">
            <w:pPr>
              <w:spacing w:after="100"/>
              <w:divId w:val="727846062"/>
              <w:rPr>
                <w:rFonts w:eastAsia="Times New Roman"/>
              </w:rPr>
            </w:pPr>
            <w:r>
              <w:rPr>
                <w:rFonts w:eastAsia="Times New Roman"/>
                <w:color w:val="000000"/>
                <w:sz w:val="19"/>
                <w:szCs w:val="19"/>
              </w:rPr>
              <w:t>2.50% Senior Notes due December 2029</w:t>
            </w:r>
          </w:p>
        </w:tc>
        <w:tc>
          <w:tcPr>
            <w:tcW w:w="0" w:type="auto"/>
            <w:gridSpan w:val="2"/>
            <w:shd w:val="clear" w:color="auto" w:fill="FFFFFF"/>
            <w:tcMar>
              <w:top w:w="30" w:type="dxa"/>
              <w:left w:w="20" w:type="dxa"/>
              <w:bottom w:w="30" w:type="dxa"/>
              <w:right w:w="0" w:type="dxa"/>
            </w:tcMar>
            <w:vAlign w:val="center"/>
            <w:hideMark/>
          </w:tcPr>
          <w:p w14:paraId="119A3ED9" w14:textId="77777777" w:rsidR="00000000" w:rsidRDefault="00C1661D">
            <w:pPr>
              <w:spacing w:after="100"/>
              <w:jc w:val="right"/>
              <w:rPr>
                <w:rFonts w:eastAsia="Times New Roman"/>
              </w:rPr>
            </w:pPr>
            <w:r>
              <w:rPr>
                <w:rFonts w:eastAsia="Times New Roman"/>
                <w:color w:val="000000"/>
                <w:sz w:val="19"/>
                <w:szCs w:val="19"/>
              </w:rPr>
              <w:t>392 </w:t>
            </w:r>
          </w:p>
        </w:tc>
        <w:tc>
          <w:tcPr>
            <w:tcW w:w="0" w:type="auto"/>
            <w:shd w:val="clear" w:color="auto" w:fill="FFFFFF"/>
            <w:tcMar>
              <w:top w:w="30" w:type="dxa"/>
              <w:left w:w="0" w:type="dxa"/>
              <w:bottom w:w="30" w:type="dxa"/>
              <w:right w:w="20" w:type="dxa"/>
            </w:tcMar>
            <w:vAlign w:val="center"/>
            <w:hideMark/>
          </w:tcPr>
          <w:p w14:paraId="6569C0B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12AA3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198867" w14:textId="77777777" w:rsidR="00000000" w:rsidRDefault="00C1661D">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center"/>
            <w:hideMark/>
          </w:tcPr>
          <w:p w14:paraId="6692B1A1" w14:textId="77777777" w:rsidR="00000000" w:rsidRDefault="00C1661D">
            <w:pPr>
              <w:spacing w:after="100"/>
              <w:jc w:val="right"/>
              <w:rPr>
                <w:rFonts w:eastAsia="Times New Roman"/>
              </w:rPr>
            </w:pPr>
          </w:p>
        </w:tc>
      </w:tr>
      <w:tr w:rsidR="00000000" w14:paraId="3BE4D5F6" w14:textId="77777777">
        <w:trPr>
          <w:divId w:val="615216295"/>
        </w:trPr>
        <w:tc>
          <w:tcPr>
            <w:tcW w:w="0" w:type="auto"/>
            <w:gridSpan w:val="3"/>
            <w:shd w:val="clear" w:color="auto" w:fill="CCEEFF"/>
            <w:tcMar>
              <w:top w:w="30" w:type="dxa"/>
              <w:left w:w="20" w:type="dxa"/>
              <w:bottom w:w="30" w:type="dxa"/>
              <w:right w:w="20" w:type="dxa"/>
            </w:tcMar>
            <w:vAlign w:val="center"/>
            <w:hideMark/>
          </w:tcPr>
          <w:p w14:paraId="5D7D8525" w14:textId="77777777" w:rsidR="00000000" w:rsidRDefault="00C1661D">
            <w:pPr>
              <w:spacing w:after="100"/>
              <w:rPr>
                <w:rFonts w:eastAsia="Times New Roman"/>
              </w:rPr>
            </w:pPr>
            <w:r>
              <w:rPr>
                <w:rFonts w:eastAsia="Times New Roman"/>
                <w:color w:val="000000"/>
                <w:sz w:val="19"/>
                <w:szCs w:val="19"/>
              </w:rPr>
              <w:t>UGI International, LLC variable-rate term loan due October 2023 (a)</w:t>
            </w:r>
          </w:p>
        </w:tc>
        <w:tc>
          <w:tcPr>
            <w:tcW w:w="0" w:type="auto"/>
            <w:gridSpan w:val="2"/>
            <w:shd w:val="clear" w:color="auto" w:fill="CCEEFF"/>
            <w:tcMar>
              <w:top w:w="30" w:type="dxa"/>
              <w:left w:w="20" w:type="dxa"/>
              <w:bottom w:w="30" w:type="dxa"/>
              <w:right w:w="0" w:type="dxa"/>
            </w:tcMar>
            <w:vAlign w:val="center"/>
            <w:hideMark/>
          </w:tcPr>
          <w:p w14:paraId="3369D2E7" w14:textId="77777777" w:rsidR="00000000" w:rsidRDefault="00C1661D">
            <w:pPr>
              <w:spacing w:after="100"/>
              <w:jc w:val="right"/>
              <w:rPr>
                <w:rFonts w:eastAsia="Times New Roman"/>
              </w:rPr>
            </w:pPr>
            <w:r>
              <w:rPr>
                <w:rFonts w:eastAsia="Times New Roman"/>
                <w:color w:val="000000"/>
                <w:sz w:val="19"/>
                <w:szCs w:val="19"/>
              </w:rPr>
              <w:t>294 </w:t>
            </w:r>
          </w:p>
        </w:tc>
        <w:tc>
          <w:tcPr>
            <w:tcW w:w="0" w:type="auto"/>
            <w:shd w:val="clear" w:color="auto" w:fill="CCEEFF"/>
            <w:tcMar>
              <w:top w:w="30" w:type="dxa"/>
              <w:left w:w="0" w:type="dxa"/>
              <w:bottom w:w="30" w:type="dxa"/>
              <w:right w:w="20" w:type="dxa"/>
            </w:tcMar>
            <w:vAlign w:val="center"/>
            <w:hideMark/>
          </w:tcPr>
          <w:p w14:paraId="7DCCC86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31D5A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DDB889" w14:textId="77777777" w:rsidR="00000000" w:rsidRDefault="00C1661D">
            <w:pPr>
              <w:spacing w:after="100"/>
              <w:jc w:val="right"/>
              <w:rPr>
                <w:rFonts w:eastAsia="Times New Roman"/>
              </w:rPr>
            </w:pPr>
            <w:r>
              <w:rPr>
                <w:rFonts w:eastAsia="Times New Roman"/>
                <w:color w:val="000000"/>
                <w:sz w:val="19"/>
                <w:szCs w:val="19"/>
              </w:rPr>
              <w:t>347 </w:t>
            </w:r>
          </w:p>
        </w:tc>
        <w:tc>
          <w:tcPr>
            <w:tcW w:w="0" w:type="auto"/>
            <w:shd w:val="clear" w:color="auto" w:fill="CCEEFF"/>
            <w:tcMar>
              <w:top w:w="30" w:type="dxa"/>
              <w:left w:w="0" w:type="dxa"/>
              <w:bottom w:w="30" w:type="dxa"/>
              <w:right w:w="20" w:type="dxa"/>
            </w:tcMar>
            <w:vAlign w:val="center"/>
            <w:hideMark/>
          </w:tcPr>
          <w:p w14:paraId="32FD564F" w14:textId="77777777" w:rsidR="00000000" w:rsidRDefault="00C1661D">
            <w:pPr>
              <w:spacing w:after="100"/>
              <w:jc w:val="right"/>
              <w:rPr>
                <w:rFonts w:eastAsia="Times New Roman"/>
              </w:rPr>
            </w:pPr>
          </w:p>
        </w:tc>
      </w:tr>
      <w:tr w:rsidR="00000000" w14:paraId="1C3EC5F3" w14:textId="77777777">
        <w:trPr>
          <w:divId w:val="615216295"/>
        </w:trPr>
        <w:tc>
          <w:tcPr>
            <w:tcW w:w="0" w:type="auto"/>
            <w:gridSpan w:val="3"/>
            <w:shd w:val="clear" w:color="auto" w:fill="FFFFFF"/>
            <w:tcMar>
              <w:top w:w="30" w:type="dxa"/>
              <w:left w:w="20" w:type="dxa"/>
              <w:bottom w:w="30" w:type="dxa"/>
              <w:right w:w="20" w:type="dxa"/>
            </w:tcMar>
            <w:vAlign w:val="center"/>
            <w:hideMark/>
          </w:tcPr>
          <w:p w14:paraId="54F12039" w14:textId="77777777" w:rsidR="00000000" w:rsidRDefault="00C1661D">
            <w:pPr>
              <w:spacing w:after="100"/>
              <w:rPr>
                <w:rFonts w:eastAsia="Times New Roman"/>
              </w:rPr>
            </w:pPr>
            <w:r>
              <w:rPr>
                <w:rFonts w:eastAsia="Times New Roman"/>
                <w:color w:val="000000"/>
                <w:sz w:val="19"/>
                <w:szCs w:val="19"/>
              </w:rPr>
              <w:t>Other</w:t>
            </w:r>
          </w:p>
        </w:tc>
        <w:tc>
          <w:tcPr>
            <w:tcW w:w="0" w:type="auto"/>
            <w:gridSpan w:val="2"/>
            <w:shd w:val="clear" w:color="auto" w:fill="FFFFFF"/>
            <w:tcMar>
              <w:top w:w="30" w:type="dxa"/>
              <w:left w:w="20" w:type="dxa"/>
              <w:bottom w:w="30" w:type="dxa"/>
              <w:right w:w="0" w:type="dxa"/>
            </w:tcMar>
            <w:vAlign w:val="center"/>
            <w:hideMark/>
          </w:tcPr>
          <w:p w14:paraId="416E0D17" w14:textId="77777777" w:rsidR="00000000" w:rsidRDefault="00C1661D">
            <w:pPr>
              <w:spacing w:after="100"/>
              <w:jc w:val="right"/>
              <w:rPr>
                <w:rFonts w:eastAsia="Times New Roman"/>
              </w:rPr>
            </w:pPr>
            <w:r>
              <w:rPr>
                <w:rFonts w:eastAsia="Times New Roman"/>
                <w:color w:val="000000"/>
                <w:sz w:val="19"/>
                <w:szCs w:val="19"/>
              </w:rPr>
              <w:t>2 </w:t>
            </w:r>
          </w:p>
        </w:tc>
        <w:tc>
          <w:tcPr>
            <w:tcW w:w="0" w:type="auto"/>
            <w:shd w:val="clear" w:color="auto" w:fill="FFFFFF"/>
            <w:tcMar>
              <w:top w:w="30" w:type="dxa"/>
              <w:left w:w="0" w:type="dxa"/>
              <w:bottom w:w="30" w:type="dxa"/>
              <w:right w:w="20" w:type="dxa"/>
            </w:tcMar>
            <w:vAlign w:val="center"/>
            <w:hideMark/>
          </w:tcPr>
          <w:p w14:paraId="35F8F1C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60A25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406973" w14:textId="77777777" w:rsidR="00000000" w:rsidRDefault="00C1661D">
            <w:pPr>
              <w:spacing w:after="100"/>
              <w:jc w:val="right"/>
              <w:rPr>
                <w:rFonts w:eastAsia="Times New Roman"/>
              </w:rPr>
            </w:pPr>
            <w:r>
              <w:rPr>
                <w:rFonts w:eastAsia="Times New Roman"/>
                <w:color w:val="000000"/>
                <w:sz w:val="19"/>
                <w:szCs w:val="19"/>
              </w:rPr>
              <w:t>23 </w:t>
            </w:r>
          </w:p>
        </w:tc>
        <w:tc>
          <w:tcPr>
            <w:tcW w:w="0" w:type="auto"/>
            <w:shd w:val="clear" w:color="auto" w:fill="FFFFFF"/>
            <w:tcMar>
              <w:top w:w="30" w:type="dxa"/>
              <w:left w:w="0" w:type="dxa"/>
              <w:bottom w:w="30" w:type="dxa"/>
              <w:right w:w="20" w:type="dxa"/>
            </w:tcMar>
            <w:vAlign w:val="center"/>
            <w:hideMark/>
          </w:tcPr>
          <w:p w14:paraId="3A1A4110" w14:textId="77777777" w:rsidR="00000000" w:rsidRDefault="00C1661D">
            <w:pPr>
              <w:spacing w:after="100"/>
              <w:jc w:val="right"/>
              <w:rPr>
                <w:rFonts w:eastAsia="Times New Roman"/>
              </w:rPr>
            </w:pPr>
          </w:p>
        </w:tc>
      </w:tr>
      <w:tr w:rsidR="00000000" w14:paraId="4C222468" w14:textId="77777777">
        <w:trPr>
          <w:divId w:val="615216295"/>
        </w:trPr>
        <w:tc>
          <w:tcPr>
            <w:tcW w:w="0" w:type="auto"/>
            <w:gridSpan w:val="3"/>
            <w:shd w:val="clear" w:color="auto" w:fill="CCEEFF"/>
            <w:tcMar>
              <w:top w:w="30" w:type="dxa"/>
              <w:left w:w="20" w:type="dxa"/>
              <w:bottom w:w="30" w:type="dxa"/>
              <w:right w:w="20" w:type="dxa"/>
            </w:tcMar>
            <w:vAlign w:val="center"/>
            <w:hideMark/>
          </w:tcPr>
          <w:p w14:paraId="2F3CCB87" w14:textId="77777777" w:rsidR="00000000" w:rsidRDefault="00C1661D">
            <w:pPr>
              <w:spacing w:after="100"/>
              <w:rPr>
                <w:rFonts w:eastAsia="Times New Roman"/>
              </w:rPr>
            </w:pPr>
            <w:r>
              <w:rPr>
                <w:rFonts w:eastAsia="Times New Roman"/>
                <w:color w:val="000000"/>
                <w:sz w:val="19"/>
                <w:szCs w:val="19"/>
              </w:rPr>
              <w:t>Unamortized debt issuance costs</w:t>
            </w:r>
          </w:p>
        </w:tc>
        <w:tc>
          <w:tcPr>
            <w:tcW w:w="0" w:type="auto"/>
            <w:gridSpan w:val="2"/>
            <w:shd w:val="clear" w:color="auto" w:fill="CCEEFF"/>
            <w:tcMar>
              <w:top w:w="30" w:type="dxa"/>
              <w:left w:w="20" w:type="dxa"/>
              <w:bottom w:w="30" w:type="dxa"/>
              <w:right w:w="0" w:type="dxa"/>
            </w:tcMar>
            <w:vAlign w:val="center"/>
            <w:hideMark/>
          </w:tcPr>
          <w:p w14:paraId="4A58C220" w14:textId="77777777" w:rsidR="00000000" w:rsidRDefault="00C1661D">
            <w:pPr>
              <w:spacing w:after="100"/>
              <w:jc w:val="right"/>
              <w:rPr>
                <w:rFonts w:eastAsia="Times New Roman"/>
              </w:rPr>
            </w:pPr>
            <w:r>
              <w:rPr>
                <w:rFonts w:eastAsia="Times New Roman"/>
                <w:color w:val="000000"/>
                <w:sz w:val="19"/>
                <w:szCs w:val="19"/>
              </w:rPr>
              <w:t>(6)</w:t>
            </w:r>
          </w:p>
        </w:tc>
        <w:tc>
          <w:tcPr>
            <w:tcW w:w="0" w:type="auto"/>
            <w:shd w:val="clear" w:color="auto" w:fill="CCEEFF"/>
            <w:tcMar>
              <w:top w:w="30" w:type="dxa"/>
              <w:left w:w="0" w:type="dxa"/>
              <w:bottom w:w="30" w:type="dxa"/>
              <w:right w:w="20" w:type="dxa"/>
            </w:tcMar>
            <w:vAlign w:val="center"/>
            <w:hideMark/>
          </w:tcPr>
          <w:p w14:paraId="4A1C156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EBB3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11AEF5" w14:textId="77777777" w:rsidR="00000000" w:rsidRDefault="00C1661D">
            <w:pPr>
              <w:spacing w:after="100"/>
              <w:jc w:val="right"/>
              <w:rPr>
                <w:rFonts w:eastAsia="Times New Roman"/>
              </w:rPr>
            </w:pPr>
            <w:r>
              <w:rPr>
                <w:rFonts w:eastAsia="Times New Roman"/>
                <w:color w:val="000000"/>
                <w:sz w:val="19"/>
                <w:szCs w:val="19"/>
              </w:rPr>
              <w:t>(5)</w:t>
            </w:r>
          </w:p>
        </w:tc>
        <w:tc>
          <w:tcPr>
            <w:tcW w:w="0" w:type="auto"/>
            <w:shd w:val="clear" w:color="auto" w:fill="CCEEFF"/>
            <w:tcMar>
              <w:top w:w="30" w:type="dxa"/>
              <w:left w:w="0" w:type="dxa"/>
              <w:bottom w:w="30" w:type="dxa"/>
              <w:right w:w="20" w:type="dxa"/>
            </w:tcMar>
            <w:vAlign w:val="center"/>
            <w:hideMark/>
          </w:tcPr>
          <w:p w14:paraId="0A71D5C2" w14:textId="77777777" w:rsidR="00000000" w:rsidRDefault="00C1661D">
            <w:pPr>
              <w:spacing w:after="100"/>
              <w:jc w:val="right"/>
              <w:rPr>
                <w:rFonts w:eastAsia="Times New Roman"/>
              </w:rPr>
            </w:pPr>
          </w:p>
        </w:tc>
      </w:tr>
      <w:tr w:rsidR="00000000" w14:paraId="771EB077" w14:textId="77777777">
        <w:trPr>
          <w:divId w:val="615216295"/>
        </w:trPr>
        <w:tc>
          <w:tcPr>
            <w:tcW w:w="0" w:type="auto"/>
            <w:gridSpan w:val="3"/>
            <w:shd w:val="clear" w:color="auto" w:fill="FFFFFF"/>
            <w:tcMar>
              <w:top w:w="30" w:type="dxa"/>
              <w:left w:w="20" w:type="dxa"/>
              <w:bottom w:w="30" w:type="dxa"/>
              <w:right w:w="20" w:type="dxa"/>
            </w:tcMar>
            <w:vAlign w:val="center"/>
            <w:hideMark/>
          </w:tcPr>
          <w:p w14:paraId="54DB74B5" w14:textId="77777777" w:rsidR="00000000" w:rsidRDefault="00C1661D">
            <w:pPr>
              <w:spacing w:after="100"/>
              <w:rPr>
                <w:rFonts w:eastAsia="Times New Roman"/>
              </w:rPr>
            </w:pPr>
            <w:r>
              <w:rPr>
                <w:rFonts w:eastAsia="Times New Roman"/>
                <w:color w:val="000000"/>
                <w:sz w:val="19"/>
                <w:szCs w:val="19"/>
              </w:rPr>
              <w:t>Total UGI International</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219362C" w14:textId="77777777" w:rsidR="00000000" w:rsidRDefault="00C1661D">
            <w:pPr>
              <w:spacing w:after="100"/>
              <w:jc w:val="right"/>
              <w:rPr>
                <w:rFonts w:eastAsia="Times New Roman"/>
              </w:rPr>
            </w:pPr>
            <w:r>
              <w:rPr>
                <w:rFonts w:eastAsia="Times New Roman"/>
                <w:color w:val="000000"/>
                <w:sz w:val="19"/>
                <w:szCs w:val="19"/>
              </w:rPr>
              <w:t>682 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C3FF77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05AD5B"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DD86914" w14:textId="77777777" w:rsidR="00000000" w:rsidRDefault="00C1661D">
            <w:pPr>
              <w:spacing w:after="100"/>
              <w:jc w:val="right"/>
              <w:rPr>
                <w:rFonts w:eastAsia="Times New Roman"/>
              </w:rPr>
            </w:pPr>
            <w:r>
              <w:rPr>
                <w:rFonts w:eastAsia="Times New Roman"/>
                <w:color w:val="000000"/>
                <w:sz w:val="19"/>
                <w:szCs w:val="19"/>
              </w:rPr>
              <w:t>770 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244091F" w14:textId="77777777" w:rsidR="00000000" w:rsidRDefault="00C1661D">
            <w:pPr>
              <w:spacing w:after="100"/>
              <w:jc w:val="right"/>
              <w:rPr>
                <w:rFonts w:eastAsia="Times New Roman"/>
              </w:rPr>
            </w:pPr>
          </w:p>
        </w:tc>
      </w:tr>
      <w:tr w:rsidR="00000000" w14:paraId="7624897A" w14:textId="77777777">
        <w:trPr>
          <w:divId w:val="615216295"/>
        </w:trPr>
        <w:tc>
          <w:tcPr>
            <w:tcW w:w="0" w:type="auto"/>
            <w:gridSpan w:val="3"/>
            <w:shd w:val="clear" w:color="auto" w:fill="CCEEFF"/>
            <w:tcMar>
              <w:top w:w="30" w:type="dxa"/>
              <w:left w:w="20" w:type="dxa"/>
              <w:bottom w:w="30" w:type="dxa"/>
              <w:right w:w="20" w:type="dxa"/>
            </w:tcMar>
            <w:vAlign w:val="center"/>
            <w:hideMark/>
          </w:tcPr>
          <w:p w14:paraId="6F64CCFF" w14:textId="77777777" w:rsidR="00000000" w:rsidRDefault="00C1661D">
            <w:pPr>
              <w:spacing w:after="100"/>
              <w:rPr>
                <w:rFonts w:eastAsia="Times New Roman"/>
              </w:rPr>
            </w:pPr>
            <w:r>
              <w:rPr>
                <w:rFonts w:eastAsia="Times New Roman"/>
                <w:b/>
                <w:bCs/>
                <w:color w:val="000000"/>
                <w:sz w:val="19"/>
                <w:szCs w:val="19"/>
              </w:rPr>
              <w:t>Midstream &amp; Marketing:</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1957F0"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4F4B0F"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FF531D" w14:textId="77777777" w:rsidR="00000000" w:rsidRDefault="00C1661D">
            <w:pPr>
              <w:spacing w:after="100"/>
              <w:rPr>
                <w:rFonts w:eastAsia="Times New Roman"/>
                <w:sz w:val="20"/>
                <w:szCs w:val="20"/>
              </w:rPr>
            </w:pPr>
          </w:p>
        </w:tc>
      </w:tr>
      <w:tr w:rsidR="00000000" w14:paraId="59EBA558" w14:textId="77777777">
        <w:trPr>
          <w:divId w:val="615216295"/>
        </w:trPr>
        <w:tc>
          <w:tcPr>
            <w:tcW w:w="0" w:type="auto"/>
            <w:gridSpan w:val="3"/>
            <w:shd w:val="clear" w:color="auto" w:fill="FFFFFF"/>
            <w:tcMar>
              <w:top w:w="30" w:type="dxa"/>
              <w:left w:w="20" w:type="dxa"/>
              <w:bottom w:w="30" w:type="dxa"/>
              <w:right w:w="20" w:type="dxa"/>
            </w:tcMar>
            <w:vAlign w:val="center"/>
            <w:hideMark/>
          </w:tcPr>
          <w:p w14:paraId="72BAF698" w14:textId="77777777" w:rsidR="00000000" w:rsidRDefault="00C1661D">
            <w:pPr>
              <w:spacing w:after="100"/>
              <w:rPr>
                <w:rFonts w:eastAsia="Times New Roman"/>
              </w:rPr>
            </w:pPr>
            <w:r>
              <w:rPr>
                <w:rFonts w:eastAsia="Times New Roman"/>
                <w:color w:val="000000"/>
                <w:sz w:val="19"/>
                <w:szCs w:val="19"/>
              </w:rPr>
              <w:t>Energy Services variable-rate term loan due through August 2026 (b)</w:t>
            </w:r>
          </w:p>
        </w:tc>
        <w:tc>
          <w:tcPr>
            <w:tcW w:w="0" w:type="auto"/>
            <w:gridSpan w:val="2"/>
            <w:shd w:val="clear" w:color="auto" w:fill="FFFFFF"/>
            <w:tcMar>
              <w:top w:w="30" w:type="dxa"/>
              <w:left w:w="20" w:type="dxa"/>
              <w:bottom w:w="30" w:type="dxa"/>
              <w:right w:w="0" w:type="dxa"/>
            </w:tcMar>
            <w:vAlign w:val="center"/>
            <w:hideMark/>
          </w:tcPr>
          <w:p w14:paraId="09930701" w14:textId="77777777" w:rsidR="00000000" w:rsidRDefault="00C1661D">
            <w:pPr>
              <w:spacing w:after="100"/>
              <w:jc w:val="right"/>
              <w:rPr>
                <w:rFonts w:eastAsia="Times New Roman"/>
              </w:rPr>
            </w:pPr>
            <w:r>
              <w:rPr>
                <w:rFonts w:eastAsia="Times New Roman"/>
                <w:color w:val="000000"/>
                <w:sz w:val="19"/>
                <w:szCs w:val="19"/>
              </w:rPr>
              <w:t>677 </w:t>
            </w:r>
          </w:p>
        </w:tc>
        <w:tc>
          <w:tcPr>
            <w:tcW w:w="0" w:type="auto"/>
            <w:shd w:val="clear" w:color="auto" w:fill="FFFFFF"/>
            <w:tcMar>
              <w:top w:w="30" w:type="dxa"/>
              <w:left w:w="0" w:type="dxa"/>
              <w:bottom w:w="30" w:type="dxa"/>
              <w:right w:w="20" w:type="dxa"/>
            </w:tcMar>
            <w:vAlign w:val="center"/>
            <w:hideMark/>
          </w:tcPr>
          <w:p w14:paraId="6880667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89AE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8C8E48" w14:textId="77777777" w:rsidR="00000000" w:rsidRDefault="00C1661D">
            <w:pPr>
              <w:spacing w:after="100"/>
              <w:jc w:val="right"/>
              <w:rPr>
                <w:rFonts w:eastAsia="Times New Roman"/>
              </w:rPr>
            </w:pPr>
            <w:r>
              <w:rPr>
                <w:rFonts w:eastAsia="Times New Roman"/>
                <w:color w:val="000000"/>
                <w:sz w:val="19"/>
                <w:szCs w:val="19"/>
              </w:rPr>
              <w:t>684 </w:t>
            </w:r>
          </w:p>
        </w:tc>
        <w:tc>
          <w:tcPr>
            <w:tcW w:w="0" w:type="auto"/>
            <w:shd w:val="clear" w:color="auto" w:fill="FFFFFF"/>
            <w:tcMar>
              <w:top w:w="30" w:type="dxa"/>
              <w:left w:w="0" w:type="dxa"/>
              <w:bottom w:w="30" w:type="dxa"/>
              <w:right w:w="20" w:type="dxa"/>
            </w:tcMar>
            <w:vAlign w:val="center"/>
            <w:hideMark/>
          </w:tcPr>
          <w:p w14:paraId="293B1043" w14:textId="77777777" w:rsidR="00000000" w:rsidRDefault="00C1661D">
            <w:pPr>
              <w:spacing w:after="100"/>
              <w:jc w:val="right"/>
              <w:rPr>
                <w:rFonts w:eastAsia="Times New Roman"/>
              </w:rPr>
            </w:pPr>
          </w:p>
        </w:tc>
      </w:tr>
      <w:tr w:rsidR="00000000" w14:paraId="645908CF" w14:textId="77777777">
        <w:trPr>
          <w:divId w:val="615216295"/>
        </w:trPr>
        <w:tc>
          <w:tcPr>
            <w:tcW w:w="0" w:type="auto"/>
            <w:gridSpan w:val="3"/>
            <w:shd w:val="clear" w:color="auto" w:fill="CCEEFF"/>
            <w:tcMar>
              <w:top w:w="30" w:type="dxa"/>
              <w:left w:w="20" w:type="dxa"/>
              <w:bottom w:w="30" w:type="dxa"/>
              <w:right w:w="20" w:type="dxa"/>
            </w:tcMar>
            <w:vAlign w:val="center"/>
            <w:hideMark/>
          </w:tcPr>
          <w:p w14:paraId="4032F3FD" w14:textId="77777777" w:rsidR="00000000" w:rsidRDefault="00C1661D">
            <w:pPr>
              <w:spacing w:after="100"/>
              <w:rPr>
                <w:rFonts w:eastAsia="Times New Roman"/>
              </w:rPr>
            </w:pPr>
            <w:r>
              <w:rPr>
                <w:rFonts w:eastAsia="Times New Roman"/>
                <w:color w:val="000000"/>
                <w:sz w:val="19"/>
                <w:szCs w:val="19"/>
              </w:rPr>
              <w:t xml:space="preserve">Other </w:t>
            </w:r>
          </w:p>
        </w:tc>
        <w:tc>
          <w:tcPr>
            <w:tcW w:w="0" w:type="auto"/>
            <w:gridSpan w:val="2"/>
            <w:shd w:val="clear" w:color="auto" w:fill="CCEEFF"/>
            <w:tcMar>
              <w:top w:w="30" w:type="dxa"/>
              <w:left w:w="20" w:type="dxa"/>
              <w:bottom w:w="30" w:type="dxa"/>
              <w:right w:w="0" w:type="dxa"/>
            </w:tcMar>
            <w:vAlign w:val="center"/>
            <w:hideMark/>
          </w:tcPr>
          <w:p w14:paraId="7DC714A3" w14:textId="77777777" w:rsidR="00000000" w:rsidRDefault="00C1661D">
            <w:pPr>
              <w:spacing w:after="100"/>
              <w:jc w:val="right"/>
              <w:rPr>
                <w:rFonts w:eastAsia="Times New Roman"/>
              </w:rPr>
            </w:pPr>
            <w:r>
              <w:rPr>
                <w:rFonts w:eastAsia="Times New Roman"/>
                <w:color w:val="000000"/>
                <w:sz w:val="19"/>
                <w:szCs w:val="19"/>
              </w:rPr>
              <w:t>40 </w:t>
            </w:r>
          </w:p>
        </w:tc>
        <w:tc>
          <w:tcPr>
            <w:tcW w:w="0" w:type="auto"/>
            <w:shd w:val="clear" w:color="auto" w:fill="CCEEFF"/>
            <w:tcMar>
              <w:top w:w="30" w:type="dxa"/>
              <w:left w:w="0" w:type="dxa"/>
              <w:bottom w:w="30" w:type="dxa"/>
              <w:right w:w="20" w:type="dxa"/>
            </w:tcMar>
            <w:vAlign w:val="center"/>
            <w:hideMark/>
          </w:tcPr>
          <w:p w14:paraId="596FA85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9A575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158BDB" w14:textId="77777777" w:rsidR="00000000" w:rsidRDefault="00C1661D">
            <w:pPr>
              <w:spacing w:after="100"/>
              <w:jc w:val="right"/>
              <w:rPr>
                <w:rFonts w:eastAsia="Times New Roman"/>
              </w:rPr>
            </w:pPr>
            <w:r>
              <w:rPr>
                <w:rFonts w:eastAsia="Times New Roman"/>
                <w:color w:val="000000"/>
                <w:sz w:val="19"/>
                <w:szCs w:val="19"/>
              </w:rPr>
              <w:t>42 </w:t>
            </w:r>
          </w:p>
        </w:tc>
        <w:tc>
          <w:tcPr>
            <w:tcW w:w="0" w:type="auto"/>
            <w:shd w:val="clear" w:color="auto" w:fill="CCEEFF"/>
            <w:tcMar>
              <w:top w:w="30" w:type="dxa"/>
              <w:left w:w="0" w:type="dxa"/>
              <w:bottom w:w="30" w:type="dxa"/>
              <w:right w:w="20" w:type="dxa"/>
            </w:tcMar>
            <w:vAlign w:val="center"/>
            <w:hideMark/>
          </w:tcPr>
          <w:p w14:paraId="64A335EF" w14:textId="77777777" w:rsidR="00000000" w:rsidRDefault="00C1661D">
            <w:pPr>
              <w:spacing w:after="100"/>
              <w:jc w:val="right"/>
              <w:rPr>
                <w:rFonts w:eastAsia="Times New Roman"/>
              </w:rPr>
            </w:pPr>
          </w:p>
        </w:tc>
      </w:tr>
      <w:tr w:rsidR="00000000" w14:paraId="15597589" w14:textId="77777777">
        <w:trPr>
          <w:divId w:val="615216295"/>
        </w:trPr>
        <w:tc>
          <w:tcPr>
            <w:tcW w:w="0" w:type="auto"/>
            <w:gridSpan w:val="3"/>
            <w:shd w:val="clear" w:color="auto" w:fill="FFFFFF"/>
            <w:tcMar>
              <w:top w:w="30" w:type="dxa"/>
              <w:left w:w="20" w:type="dxa"/>
              <w:bottom w:w="30" w:type="dxa"/>
              <w:right w:w="20" w:type="dxa"/>
            </w:tcMar>
            <w:vAlign w:val="center"/>
            <w:hideMark/>
          </w:tcPr>
          <w:p w14:paraId="46B3D81F" w14:textId="77777777" w:rsidR="00000000" w:rsidRDefault="00C1661D">
            <w:pPr>
              <w:spacing w:after="100"/>
              <w:rPr>
                <w:rFonts w:eastAsia="Times New Roman"/>
              </w:rPr>
            </w:pPr>
            <w:r>
              <w:rPr>
                <w:rFonts w:eastAsia="Times New Roman"/>
                <w:color w:val="000000"/>
                <w:sz w:val="19"/>
                <w:szCs w:val="19"/>
              </w:rPr>
              <w:t>Unamortized discount and debt issuance costs</w:t>
            </w:r>
          </w:p>
        </w:tc>
        <w:tc>
          <w:tcPr>
            <w:tcW w:w="0" w:type="auto"/>
            <w:gridSpan w:val="2"/>
            <w:shd w:val="clear" w:color="auto" w:fill="FFFFFF"/>
            <w:tcMar>
              <w:top w:w="30" w:type="dxa"/>
              <w:left w:w="20" w:type="dxa"/>
              <w:bottom w:w="30" w:type="dxa"/>
              <w:right w:w="0" w:type="dxa"/>
            </w:tcMar>
            <w:vAlign w:val="center"/>
            <w:hideMark/>
          </w:tcPr>
          <w:p w14:paraId="7C76FED1" w14:textId="77777777" w:rsidR="00000000" w:rsidRDefault="00C1661D">
            <w:pPr>
              <w:spacing w:after="100"/>
              <w:jc w:val="right"/>
              <w:rPr>
                <w:rFonts w:eastAsia="Times New Roman"/>
              </w:rPr>
            </w:pPr>
            <w:r>
              <w:rPr>
                <w:rFonts w:eastAsia="Times New Roman"/>
                <w:color w:val="000000"/>
                <w:sz w:val="19"/>
                <w:szCs w:val="19"/>
              </w:rPr>
              <w:t>(7)</w:t>
            </w:r>
          </w:p>
        </w:tc>
        <w:tc>
          <w:tcPr>
            <w:tcW w:w="0" w:type="auto"/>
            <w:shd w:val="clear" w:color="auto" w:fill="FFFFFF"/>
            <w:tcMar>
              <w:top w:w="30" w:type="dxa"/>
              <w:left w:w="0" w:type="dxa"/>
              <w:bottom w:w="30" w:type="dxa"/>
              <w:right w:w="20" w:type="dxa"/>
            </w:tcMar>
            <w:vAlign w:val="center"/>
            <w:hideMark/>
          </w:tcPr>
          <w:p w14:paraId="7C1A84C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655D1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B183F0" w14:textId="77777777" w:rsidR="00000000" w:rsidRDefault="00C1661D">
            <w:pPr>
              <w:spacing w:after="100"/>
              <w:jc w:val="right"/>
              <w:rPr>
                <w:rFonts w:eastAsia="Times New Roman"/>
              </w:rPr>
            </w:pPr>
            <w:r>
              <w:rPr>
                <w:rFonts w:eastAsia="Times New Roman"/>
                <w:color w:val="000000"/>
                <w:sz w:val="19"/>
                <w:szCs w:val="19"/>
              </w:rPr>
              <w:t>(10)</w:t>
            </w:r>
          </w:p>
        </w:tc>
        <w:tc>
          <w:tcPr>
            <w:tcW w:w="0" w:type="auto"/>
            <w:shd w:val="clear" w:color="auto" w:fill="FFFFFF"/>
            <w:tcMar>
              <w:top w:w="30" w:type="dxa"/>
              <w:left w:w="0" w:type="dxa"/>
              <w:bottom w:w="30" w:type="dxa"/>
              <w:right w:w="20" w:type="dxa"/>
            </w:tcMar>
            <w:vAlign w:val="center"/>
            <w:hideMark/>
          </w:tcPr>
          <w:p w14:paraId="141F71B2" w14:textId="77777777" w:rsidR="00000000" w:rsidRDefault="00C1661D">
            <w:pPr>
              <w:spacing w:after="100"/>
              <w:jc w:val="right"/>
              <w:rPr>
                <w:rFonts w:eastAsia="Times New Roman"/>
              </w:rPr>
            </w:pPr>
          </w:p>
        </w:tc>
      </w:tr>
      <w:tr w:rsidR="00000000" w14:paraId="5FCFE4BF" w14:textId="77777777">
        <w:trPr>
          <w:divId w:val="615216295"/>
        </w:trPr>
        <w:tc>
          <w:tcPr>
            <w:tcW w:w="0" w:type="auto"/>
            <w:gridSpan w:val="3"/>
            <w:shd w:val="clear" w:color="auto" w:fill="CCEEFF"/>
            <w:tcMar>
              <w:top w:w="30" w:type="dxa"/>
              <w:left w:w="20" w:type="dxa"/>
              <w:bottom w:w="30" w:type="dxa"/>
              <w:right w:w="20" w:type="dxa"/>
            </w:tcMar>
            <w:vAlign w:val="center"/>
            <w:hideMark/>
          </w:tcPr>
          <w:p w14:paraId="23FEC144" w14:textId="77777777" w:rsidR="00000000" w:rsidRDefault="00C1661D">
            <w:pPr>
              <w:spacing w:after="100"/>
              <w:rPr>
                <w:rFonts w:eastAsia="Times New Roman"/>
              </w:rPr>
            </w:pPr>
            <w:r>
              <w:rPr>
                <w:rFonts w:eastAsia="Times New Roman"/>
                <w:color w:val="000000"/>
                <w:sz w:val="19"/>
                <w:szCs w:val="19"/>
              </w:rPr>
              <w:t>Total Energy Services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F4925E4" w14:textId="77777777" w:rsidR="00000000" w:rsidRDefault="00C1661D">
            <w:pPr>
              <w:spacing w:after="100"/>
              <w:jc w:val="right"/>
              <w:rPr>
                <w:rFonts w:eastAsia="Times New Roman"/>
              </w:rPr>
            </w:pPr>
            <w:r>
              <w:rPr>
                <w:rFonts w:eastAsia="Times New Roman"/>
                <w:color w:val="000000"/>
                <w:sz w:val="19"/>
                <w:szCs w:val="19"/>
              </w:rPr>
              <w:t>710 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43F940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1E1E6B"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C81B4DB" w14:textId="77777777" w:rsidR="00000000" w:rsidRDefault="00C1661D">
            <w:pPr>
              <w:spacing w:after="100"/>
              <w:jc w:val="right"/>
              <w:rPr>
                <w:rFonts w:eastAsia="Times New Roman"/>
              </w:rPr>
            </w:pPr>
            <w:r>
              <w:rPr>
                <w:rFonts w:eastAsia="Times New Roman"/>
                <w:color w:val="000000"/>
                <w:sz w:val="19"/>
                <w:szCs w:val="19"/>
              </w:rPr>
              <w:t>716 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040210" w14:textId="77777777" w:rsidR="00000000" w:rsidRDefault="00C1661D">
            <w:pPr>
              <w:spacing w:after="100"/>
              <w:jc w:val="right"/>
              <w:rPr>
                <w:rFonts w:eastAsia="Times New Roman"/>
              </w:rPr>
            </w:pPr>
          </w:p>
        </w:tc>
      </w:tr>
      <w:tr w:rsidR="00000000" w14:paraId="7B4EAD95" w14:textId="77777777">
        <w:trPr>
          <w:divId w:val="615216295"/>
        </w:trPr>
        <w:tc>
          <w:tcPr>
            <w:tcW w:w="0" w:type="auto"/>
            <w:gridSpan w:val="3"/>
            <w:shd w:val="clear" w:color="auto" w:fill="FFFFFF"/>
            <w:tcMar>
              <w:top w:w="30" w:type="dxa"/>
              <w:left w:w="20" w:type="dxa"/>
              <w:bottom w:w="30" w:type="dxa"/>
              <w:right w:w="20" w:type="dxa"/>
            </w:tcMar>
            <w:vAlign w:val="center"/>
            <w:hideMark/>
          </w:tcPr>
          <w:p w14:paraId="4587516C" w14:textId="77777777" w:rsidR="00000000" w:rsidRDefault="00C1661D">
            <w:pPr>
              <w:spacing w:after="100"/>
              <w:rPr>
                <w:rFonts w:eastAsia="Times New Roman"/>
              </w:rPr>
            </w:pPr>
            <w:r>
              <w:rPr>
                <w:rFonts w:eastAsia="Times New Roman"/>
                <w:b/>
                <w:bCs/>
                <w:color w:val="000000"/>
                <w:sz w:val="19"/>
                <w:szCs w:val="19"/>
              </w:rPr>
              <w:t>Utilities:</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14:paraId="734B747F" w14:textId="77777777" w:rsidR="00000000" w:rsidRDefault="00C1661D">
            <w:pPr>
              <w:spacing w:after="100"/>
              <w:rPr>
                <w:rFonts w:eastAsia="Times New Roman"/>
              </w:rPr>
            </w:pPr>
            <w:r>
              <w:rPr>
                <w:rFonts w:eastAsia="Times New Roman"/>
                <w:color w:val="000000"/>
                <w:sz w:val="19"/>
                <w:szCs w:val="19"/>
              </w:rPr>
              <w:t> </w:t>
            </w:r>
          </w:p>
        </w:tc>
        <w:tc>
          <w:tcPr>
            <w:tcW w:w="0" w:type="auto"/>
            <w:gridSpan w:val="3"/>
            <w:shd w:val="clear" w:color="auto" w:fill="FFFFFF"/>
            <w:tcMar>
              <w:top w:w="0" w:type="dxa"/>
              <w:left w:w="20" w:type="dxa"/>
              <w:bottom w:w="0" w:type="dxa"/>
              <w:right w:w="20" w:type="dxa"/>
            </w:tcMar>
            <w:vAlign w:val="center"/>
            <w:hideMark/>
          </w:tcPr>
          <w:p w14:paraId="30C12B4B"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14:paraId="7DA69929" w14:textId="77777777" w:rsidR="00000000" w:rsidRDefault="00C1661D">
            <w:pPr>
              <w:spacing w:after="100"/>
              <w:rPr>
                <w:rFonts w:eastAsia="Times New Roman"/>
              </w:rPr>
            </w:pPr>
            <w:r>
              <w:rPr>
                <w:rFonts w:eastAsia="Times New Roman"/>
                <w:color w:val="000000"/>
                <w:sz w:val="19"/>
                <w:szCs w:val="19"/>
              </w:rPr>
              <w:t> </w:t>
            </w:r>
          </w:p>
        </w:tc>
      </w:tr>
      <w:tr w:rsidR="00000000" w14:paraId="747D44F9" w14:textId="77777777">
        <w:trPr>
          <w:divId w:val="615216295"/>
        </w:trPr>
        <w:tc>
          <w:tcPr>
            <w:tcW w:w="0" w:type="auto"/>
            <w:gridSpan w:val="3"/>
            <w:shd w:val="clear" w:color="auto" w:fill="CCEEFF"/>
            <w:tcMar>
              <w:top w:w="30" w:type="dxa"/>
              <w:left w:w="20" w:type="dxa"/>
              <w:bottom w:w="30" w:type="dxa"/>
              <w:right w:w="20" w:type="dxa"/>
            </w:tcMar>
            <w:vAlign w:val="center"/>
            <w:hideMark/>
          </w:tcPr>
          <w:p w14:paraId="1466185B" w14:textId="77777777" w:rsidR="00000000" w:rsidRDefault="00C1661D">
            <w:pPr>
              <w:spacing w:after="100"/>
              <w:rPr>
                <w:rFonts w:eastAsia="Times New Roman"/>
              </w:rPr>
            </w:pPr>
            <w:r>
              <w:rPr>
                <w:rFonts w:eastAsia="Times New Roman"/>
                <w:color w:val="000000"/>
                <w:sz w:val="19"/>
                <w:szCs w:val="19"/>
              </w:rPr>
              <w:t>Senior Notes:</w:t>
            </w:r>
          </w:p>
        </w:tc>
        <w:tc>
          <w:tcPr>
            <w:tcW w:w="0" w:type="auto"/>
            <w:gridSpan w:val="3"/>
            <w:shd w:val="clear" w:color="auto" w:fill="CCEEFF"/>
            <w:tcMar>
              <w:top w:w="0" w:type="dxa"/>
              <w:left w:w="20" w:type="dxa"/>
              <w:bottom w:w="0" w:type="dxa"/>
              <w:right w:w="20" w:type="dxa"/>
            </w:tcMar>
            <w:vAlign w:val="center"/>
            <w:hideMark/>
          </w:tcPr>
          <w:p w14:paraId="2BC10BD7"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EFF419"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743761" w14:textId="77777777" w:rsidR="00000000" w:rsidRDefault="00C1661D">
            <w:pPr>
              <w:spacing w:after="100"/>
              <w:rPr>
                <w:rFonts w:eastAsia="Times New Roman"/>
                <w:sz w:val="20"/>
                <w:szCs w:val="20"/>
              </w:rPr>
            </w:pPr>
          </w:p>
        </w:tc>
      </w:tr>
      <w:tr w:rsidR="00000000" w14:paraId="65240AB6" w14:textId="77777777">
        <w:trPr>
          <w:divId w:val="615216295"/>
        </w:trPr>
        <w:tc>
          <w:tcPr>
            <w:tcW w:w="0" w:type="auto"/>
            <w:gridSpan w:val="3"/>
            <w:shd w:val="clear" w:color="auto" w:fill="FFFFFF"/>
            <w:tcMar>
              <w:top w:w="30" w:type="dxa"/>
              <w:left w:w="20" w:type="dxa"/>
              <w:bottom w:w="30" w:type="dxa"/>
              <w:right w:w="20" w:type="dxa"/>
            </w:tcMar>
            <w:vAlign w:val="center"/>
            <w:hideMark/>
          </w:tcPr>
          <w:p w14:paraId="04CC0244" w14:textId="77777777" w:rsidR="00000000" w:rsidRDefault="00C1661D">
            <w:pPr>
              <w:spacing w:after="100"/>
              <w:divId w:val="156192743"/>
              <w:rPr>
                <w:rFonts w:eastAsia="Times New Roman"/>
              </w:rPr>
            </w:pPr>
            <w:r>
              <w:rPr>
                <w:rFonts w:eastAsia="Times New Roman"/>
                <w:color w:val="000000"/>
                <w:sz w:val="19"/>
                <w:szCs w:val="19"/>
              </w:rPr>
              <w:t>4.12% due September 2046</w:t>
            </w:r>
          </w:p>
        </w:tc>
        <w:tc>
          <w:tcPr>
            <w:tcW w:w="0" w:type="auto"/>
            <w:gridSpan w:val="2"/>
            <w:shd w:val="clear" w:color="auto" w:fill="FFFFFF"/>
            <w:tcMar>
              <w:top w:w="30" w:type="dxa"/>
              <w:left w:w="20" w:type="dxa"/>
              <w:bottom w:w="30" w:type="dxa"/>
              <w:right w:w="0" w:type="dxa"/>
            </w:tcMar>
            <w:vAlign w:val="center"/>
            <w:hideMark/>
          </w:tcPr>
          <w:p w14:paraId="217F9D48" w14:textId="77777777" w:rsidR="00000000" w:rsidRDefault="00C1661D">
            <w:pPr>
              <w:spacing w:after="100"/>
              <w:jc w:val="right"/>
              <w:rPr>
                <w:rFonts w:eastAsia="Times New Roman"/>
              </w:rPr>
            </w:pPr>
            <w:r>
              <w:rPr>
                <w:rFonts w:eastAsia="Times New Roman"/>
                <w:color w:val="000000"/>
                <w:sz w:val="19"/>
                <w:szCs w:val="19"/>
              </w:rPr>
              <w:t>200 </w:t>
            </w:r>
          </w:p>
        </w:tc>
        <w:tc>
          <w:tcPr>
            <w:tcW w:w="0" w:type="auto"/>
            <w:shd w:val="clear" w:color="auto" w:fill="FFFFFF"/>
            <w:tcMar>
              <w:top w:w="30" w:type="dxa"/>
              <w:left w:w="0" w:type="dxa"/>
              <w:bottom w:w="30" w:type="dxa"/>
              <w:right w:w="20" w:type="dxa"/>
            </w:tcMar>
            <w:vAlign w:val="center"/>
            <w:hideMark/>
          </w:tcPr>
          <w:p w14:paraId="37C19DE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D4BE4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958012" w14:textId="77777777" w:rsidR="00000000" w:rsidRDefault="00C1661D">
            <w:pPr>
              <w:spacing w:after="100"/>
              <w:jc w:val="right"/>
              <w:rPr>
                <w:rFonts w:eastAsia="Times New Roman"/>
              </w:rPr>
            </w:pPr>
            <w:r>
              <w:rPr>
                <w:rFonts w:eastAsia="Times New Roman"/>
                <w:color w:val="000000"/>
                <w:sz w:val="19"/>
                <w:szCs w:val="19"/>
              </w:rPr>
              <w:t>200 </w:t>
            </w:r>
          </w:p>
        </w:tc>
        <w:tc>
          <w:tcPr>
            <w:tcW w:w="0" w:type="auto"/>
            <w:shd w:val="clear" w:color="auto" w:fill="FFFFFF"/>
            <w:tcMar>
              <w:top w:w="30" w:type="dxa"/>
              <w:left w:w="0" w:type="dxa"/>
              <w:bottom w:w="30" w:type="dxa"/>
              <w:right w:w="20" w:type="dxa"/>
            </w:tcMar>
            <w:vAlign w:val="center"/>
            <w:hideMark/>
          </w:tcPr>
          <w:p w14:paraId="2F5EDBD3" w14:textId="77777777" w:rsidR="00000000" w:rsidRDefault="00C1661D">
            <w:pPr>
              <w:spacing w:after="100"/>
              <w:jc w:val="right"/>
              <w:rPr>
                <w:rFonts w:eastAsia="Times New Roman"/>
              </w:rPr>
            </w:pPr>
          </w:p>
        </w:tc>
      </w:tr>
      <w:tr w:rsidR="00000000" w14:paraId="502308A3" w14:textId="77777777">
        <w:trPr>
          <w:divId w:val="615216295"/>
        </w:trPr>
        <w:tc>
          <w:tcPr>
            <w:tcW w:w="0" w:type="auto"/>
            <w:gridSpan w:val="3"/>
            <w:shd w:val="clear" w:color="auto" w:fill="CCEEFF"/>
            <w:tcMar>
              <w:top w:w="30" w:type="dxa"/>
              <w:left w:w="20" w:type="dxa"/>
              <w:bottom w:w="30" w:type="dxa"/>
              <w:right w:w="20" w:type="dxa"/>
            </w:tcMar>
            <w:vAlign w:val="center"/>
            <w:hideMark/>
          </w:tcPr>
          <w:p w14:paraId="32BBD8E3" w14:textId="77777777" w:rsidR="00000000" w:rsidRDefault="00C1661D">
            <w:pPr>
              <w:spacing w:after="100"/>
              <w:divId w:val="1971665482"/>
              <w:rPr>
                <w:rFonts w:eastAsia="Times New Roman"/>
              </w:rPr>
            </w:pPr>
            <w:r>
              <w:rPr>
                <w:rFonts w:eastAsia="Times New Roman"/>
                <w:color w:val="000000"/>
                <w:sz w:val="19"/>
                <w:szCs w:val="19"/>
              </w:rPr>
              <w:t>4.98% due March 2044</w:t>
            </w:r>
          </w:p>
        </w:tc>
        <w:tc>
          <w:tcPr>
            <w:tcW w:w="0" w:type="auto"/>
            <w:gridSpan w:val="2"/>
            <w:shd w:val="clear" w:color="auto" w:fill="CCEEFF"/>
            <w:tcMar>
              <w:top w:w="30" w:type="dxa"/>
              <w:left w:w="20" w:type="dxa"/>
              <w:bottom w:w="30" w:type="dxa"/>
              <w:right w:w="0" w:type="dxa"/>
            </w:tcMar>
            <w:vAlign w:val="center"/>
            <w:hideMark/>
          </w:tcPr>
          <w:p w14:paraId="6B7C3E1A" w14:textId="77777777" w:rsidR="00000000" w:rsidRDefault="00C1661D">
            <w:pPr>
              <w:spacing w:after="100"/>
              <w:jc w:val="right"/>
              <w:rPr>
                <w:rFonts w:eastAsia="Times New Roman"/>
              </w:rPr>
            </w:pPr>
            <w:r>
              <w:rPr>
                <w:rFonts w:eastAsia="Times New Roman"/>
                <w:color w:val="000000"/>
                <w:sz w:val="19"/>
                <w:szCs w:val="19"/>
              </w:rPr>
              <w:t>175 </w:t>
            </w:r>
          </w:p>
        </w:tc>
        <w:tc>
          <w:tcPr>
            <w:tcW w:w="0" w:type="auto"/>
            <w:shd w:val="clear" w:color="auto" w:fill="CCEEFF"/>
            <w:tcMar>
              <w:top w:w="30" w:type="dxa"/>
              <w:left w:w="0" w:type="dxa"/>
              <w:bottom w:w="30" w:type="dxa"/>
              <w:right w:w="20" w:type="dxa"/>
            </w:tcMar>
            <w:vAlign w:val="center"/>
            <w:hideMark/>
          </w:tcPr>
          <w:p w14:paraId="186749C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864B8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0B8980" w14:textId="77777777" w:rsidR="00000000" w:rsidRDefault="00C1661D">
            <w:pPr>
              <w:spacing w:after="100"/>
              <w:jc w:val="right"/>
              <w:rPr>
                <w:rFonts w:eastAsia="Times New Roman"/>
              </w:rPr>
            </w:pPr>
            <w:r>
              <w:rPr>
                <w:rFonts w:eastAsia="Times New Roman"/>
                <w:color w:val="000000"/>
                <w:sz w:val="19"/>
                <w:szCs w:val="19"/>
              </w:rPr>
              <w:t>175 </w:t>
            </w:r>
          </w:p>
        </w:tc>
        <w:tc>
          <w:tcPr>
            <w:tcW w:w="0" w:type="auto"/>
            <w:shd w:val="clear" w:color="auto" w:fill="CCEEFF"/>
            <w:tcMar>
              <w:top w:w="30" w:type="dxa"/>
              <w:left w:w="0" w:type="dxa"/>
              <w:bottom w:w="30" w:type="dxa"/>
              <w:right w:w="20" w:type="dxa"/>
            </w:tcMar>
            <w:vAlign w:val="center"/>
            <w:hideMark/>
          </w:tcPr>
          <w:p w14:paraId="39A6D415" w14:textId="77777777" w:rsidR="00000000" w:rsidRDefault="00C1661D">
            <w:pPr>
              <w:spacing w:after="100"/>
              <w:jc w:val="right"/>
              <w:rPr>
                <w:rFonts w:eastAsia="Times New Roman"/>
              </w:rPr>
            </w:pPr>
          </w:p>
        </w:tc>
      </w:tr>
      <w:tr w:rsidR="00000000" w14:paraId="775CC8AE" w14:textId="77777777">
        <w:trPr>
          <w:divId w:val="615216295"/>
        </w:trPr>
        <w:tc>
          <w:tcPr>
            <w:tcW w:w="0" w:type="auto"/>
            <w:gridSpan w:val="3"/>
            <w:shd w:val="clear" w:color="auto" w:fill="FFFFFF"/>
            <w:tcMar>
              <w:top w:w="30" w:type="dxa"/>
              <w:left w:w="20" w:type="dxa"/>
              <w:bottom w:w="30" w:type="dxa"/>
              <w:right w:w="20" w:type="dxa"/>
            </w:tcMar>
            <w:vAlign w:val="center"/>
            <w:hideMark/>
          </w:tcPr>
          <w:p w14:paraId="6B0F3B57" w14:textId="77777777" w:rsidR="00000000" w:rsidRDefault="00C1661D">
            <w:pPr>
              <w:spacing w:after="100"/>
              <w:divId w:val="993799674"/>
              <w:rPr>
                <w:rFonts w:eastAsia="Times New Roman"/>
              </w:rPr>
            </w:pPr>
            <w:r>
              <w:rPr>
                <w:rFonts w:eastAsia="Times New Roman"/>
                <w:color w:val="000000"/>
                <w:sz w:val="19"/>
                <w:szCs w:val="19"/>
              </w:rPr>
              <w:t>3.12% due April 2050</w:t>
            </w:r>
          </w:p>
        </w:tc>
        <w:tc>
          <w:tcPr>
            <w:tcW w:w="0" w:type="auto"/>
            <w:gridSpan w:val="2"/>
            <w:shd w:val="clear" w:color="auto" w:fill="FFFFFF"/>
            <w:tcMar>
              <w:top w:w="30" w:type="dxa"/>
              <w:left w:w="20" w:type="dxa"/>
              <w:bottom w:w="30" w:type="dxa"/>
              <w:right w:w="0" w:type="dxa"/>
            </w:tcMar>
            <w:vAlign w:val="center"/>
            <w:hideMark/>
          </w:tcPr>
          <w:p w14:paraId="4264688C" w14:textId="77777777" w:rsidR="00000000" w:rsidRDefault="00C1661D">
            <w:pPr>
              <w:spacing w:after="100"/>
              <w:jc w:val="right"/>
              <w:rPr>
                <w:rFonts w:eastAsia="Times New Roman"/>
              </w:rPr>
            </w:pPr>
            <w:r>
              <w:rPr>
                <w:rFonts w:eastAsia="Times New Roman"/>
                <w:color w:val="000000"/>
                <w:sz w:val="19"/>
                <w:szCs w:val="19"/>
              </w:rPr>
              <w:t>150 </w:t>
            </w:r>
          </w:p>
        </w:tc>
        <w:tc>
          <w:tcPr>
            <w:tcW w:w="0" w:type="auto"/>
            <w:shd w:val="clear" w:color="auto" w:fill="FFFFFF"/>
            <w:tcMar>
              <w:top w:w="30" w:type="dxa"/>
              <w:left w:w="0" w:type="dxa"/>
              <w:bottom w:w="30" w:type="dxa"/>
              <w:right w:w="20" w:type="dxa"/>
            </w:tcMar>
            <w:vAlign w:val="center"/>
            <w:hideMark/>
          </w:tcPr>
          <w:p w14:paraId="210BAB1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AF37D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FF276C" w14:textId="77777777" w:rsidR="00000000" w:rsidRDefault="00C1661D">
            <w:pPr>
              <w:spacing w:after="100"/>
              <w:jc w:val="right"/>
              <w:rPr>
                <w:rFonts w:eastAsia="Times New Roman"/>
              </w:rPr>
            </w:pPr>
            <w:r>
              <w:rPr>
                <w:rFonts w:eastAsia="Times New Roman"/>
                <w:color w:val="000000"/>
                <w:sz w:val="19"/>
                <w:szCs w:val="19"/>
              </w:rPr>
              <w:t>150 </w:t>
            </w:r>
          </w:p>
        </w:tc>
        <w:tc>
          <w:tcPr>
            <w:tcW w:w="0" w:type="auto"/>
            <w:shd w:val="clear" w:color="auto" w:fill="FFFFFF"/>
            <w:tcMar>
              <w:top w:w="30" w:type="dxa"/>
              <w:left w:w="0" w:type="dxa"/>
              <w:bottom w:w="30" w:type="dxa"/>
              <w:right w:w="20" w:type="dxa"/>
            </w:tcMar>
            <w:vAlign w:val="center"/>
            <w:hideMark/>
          </w:tcPr>
          <w:p w14:paraId="12984A08" w14:textId="77777777" w:rsidR="00000000" w:rsidRDefault="00C1661D">
            <w:pPr>
              <w:spacing w:after="100"/>
              <w:jc w:val="right"/>
              <w:rPr>
                <w:rFonts w:eastAsia="Times New Roman"/>
              </w:rPr>
            </w:pPr>
          </w:p>
        </w:tc>
      </w:tr>
      <w:tr w:rsidR="00000000" w14:paraId="54B47ED7" w14:textId="77777777">
        <w:trPr>
          <w:divId w:val="615216295"/>
        </w:trPr>
        <w:tc>
          <w:tcPr>
            <w:tcW w:w="0" w:type="auto"/>
            <w:gridSpan w:val="3"/>
            <w:shd w:val="clear" w:color="auto" w:fill="CCEEFF"/>
            <w:tcMar>
              <w:top w:w="30" w:type="dxa"/>
              <w:left w:w="20" w:type="dxa"/>
              <w:bottom w:w="30" w:type="dxa"/>
              <w:right w:w="20" w:type="dxa"/>
            </w:tcMar>
            <w:vAlign w:val="center"/>
            <w:hideMark/>
          </w:tcPr>
          <w:p w14:paraId="3D8BA8C2" w14:textId="77777777" w:rsidR="00000000" w:rsidRDefault="00C1661D">
            <w:pPr>
              <w:spacing w:after="100"/>
              <w:divId w:val="1592814445"/>
              <w:rPr>
                <w:rFonts w:eastAsia="Times New Roman"/>
              </w:rPr>
            </w:pPr>
            <w:r>
              <w:rPr>
                <w:rFonts w:eastAsia="Times New Roman"/>
                <w:color w:val="000000"/>
                <w:sz w:val="19"/>
                <w:szCs w:val="19"/>
              </w:rPr>
              <w:t>4.55% due February 2049</w:t>
            </w:r>
          </w:p>
        </w:tc>
        <w:tc>
          <w:tcPr>
            <w:tcW w:w="0" w:type="auto"/>
            <w:gridSpan w:val="2"/>
            <w:shd w:val="clear" w:color="auto" w:fill="CCEEFF"/>
            <w:tcMar>
              <w:top w:w="30" w:type="dxa"/>
              <w:left w:w="20" w:type="dxa"/>
              <w:bottom w:w="30" w:type="dxa"/>
              <w:right w:w="0" w:type="dxa"/>
            </w:tcMar>
            <w:vAlign w:val="center"/>
            <w:hideMark/>
          </w:tcPr>
          <w:p w14:paraId="31D5E388" w14:textId="77777777" w:rsidR="00000000" w:rsidRDefault="00C1661D">
            <w:pPr>
              <w:spacing w:after="100"/>
              <w:jc w:val="right"/>
              <w:rPr>
                <w:rFonts w:eastAsia="Times New Roman"/>
              </w:rPr>
            </w:pPr>
            <w:r>
              <w:rPr>
                <w:rFonts w:eastAsia="Times New Roman"/>
                <w:color w:val="000000"/>
                <w:sz w:val="19"/>
                <w:szCs w:val="19"/>
              </w:rPr>
              <w:t>150 </w:t>
            </w:r>
          </w:p>
        </w:tc>
        <w:tc>
          <w:tcPr>
            <w:tcW w:w="0" w:type="auto"/>
            <w:shd w:val="clear" w:color="auto" w:fill="CCEEFF"/>
            <w:tcMar>
              <w:top w:w="30" w:type="dxa"/>
              <w:left w:w="0" w:type="dxa"/>
              <w:bottom w:w="30" w:type="dxa"/>
              <w:right w:w="20" w:type="dxa"/>
            </w:tcMar>
            <w:vAlign w:val="center"/>
            <w:hideMark/>
          </w:tcPr>
          <w:p w14:paraId="7586B61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0385F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371BD6" w14:textId="77777777" w:rsidR="00000000" w:rsidRDefault="00C1661D">
            <w:pPr>
              <w:spacing w:after="100"/>
              <w:jc w:val="right"/>
              <w:rPr>
                <w:rFonts w:eastAsia="Times New Roman"/>
              </w:rPr>
            </w:pPr>
            <w:r>
              <w:rPr>
                <w:rFonts w:eastAsia="Times New Roman"/>
                <w:color w:val="000000"/>
                <w:sz w:val="19"/>
                <w:szCs w:val="19"/>
              </w:rPr>
              <w:t>150 </w:t>
            </w:r>
          </w:p>
        </w:tc>
        <w:tc>
          <w:tcPr>
            <w:tcW w:w="0" w:type="auto"/>
            <w:shd w:val="clear" w:color="auto" w:fill="CCEEFF"/>
            <w:tcMar>
              <w:top w:w="30" w:type="dxa"/>
              <w:left w:w="0" w:type="dxa"/>
              <w:bottom w:w="30" w:type="dxa"/>
              <w:right w:w="20" w:type="dxa"/>
            </w:tcMar>
            <w:vAlign w:val="center"/>
            <w:hideMark/>
          </w:tcPr>
          <w:p w14:paraId="6333C90A" w14:textId="77777777" w:rsidR="00000000" w:rsidRDefault="00C1661D">
            <w:pPr>
              <w:spacing w:after="100"/>
              <w:jc w:val="right"/>
              <w:rPr>
                <w:rFonts w:eastAsia="Times New Roman"/>
              </w:rPr>
            </w:pPr>
          </w:p>
        </w:tc>
      </w:tr>
      <w:tr w:rsidR="00000000" w14:paraId="414C6B48" w14:textId="77777777">
        <w:trPr>
          <w:divId w:val="615216295"/>
        </w:trPr>
        <w:tc>
          <w:tcPr>
            <w:tcW w:w="0" w:type="auto"/>
            <w:gridSpan w:val="3"/>
            <w:shd w:val="clear" w:color="auto" w:fill="FFFFFF"/>
            <w:tcMar>
              <w:top w:w="30" w:type="dxa"/>
              <w:left w:w="20" w:type="dxa"/>
              <w:bottom w:w="30" w:type="dxa"/>
              <w:right w:w="20" w:type="dxa"/>
            </w:tcMar>
            <w:vAlign w:val="center"/>
            <w:hideMark/>
          </w:tcPr>
          <w:p w14:paraId="2B72E1C3" w14:textId="77777777" w:rsidR="00000000" w:rsidRDefault="00C1661D">
            <w:pPr>
              <w:spacing w:after="100"/>
              <w:divId w:val="1320504755"/>
              <w:rPr>
                <w:rFonts w:eastAsia="Times New Roman"/>
              </w:rPr>
            </w:pPr>
            <w:r>
              <w:rPr>
                <w:rFonts w:eastAsia="Times New Roman"/>
                <w:color w:val="000000"/>
                <w:sz w:val="19"/>
                <w:szCs w:val="19"/>
              </w:rPr>
              <w:t>4.12% due October 2046</w:t>
            </w:r>
          </w:p>
        </w:tc>
        <w:tc>
          <w:tcPr>
            <w:tcW w:w="0" w:type="auto"/>
            <w:gridSpan w:val="2"/>
            <w:shd w:val="clear" w:color="auto" w:fill="FFFFFF"/>
            <w:tcMar>
              <w:top w:w="30" w:type="dxa"/>
              <w:left w:w="20" w:type="dxa"/>
              <w:bottom w:w="30" w:type="dxa"/>
              <w:right w:w="0" w:type="dxa"/>
            </w:tcMar>
            <w:vAlign w:val="center"/>
            <w:hideMark/>
          </w:tcPr>
          <w:p w14:paraId="714BBFA4" w14:textId="77777777" w:rsidR="00000000" w:rsidRDefault="00C1661D">
            <w:pPr>
              <w:spacing w:after="100"/>
              <w:jc w:val="right"/>
              <w:rPr>
                <w:rFonts w:eastAsia="Times New Roman"/>
              </w:rPr>
            </w:pPr>
            <w:r>
              <w:rPr>
                <w:rFonts w:eastAsia="Times New Roman"/>
                <w:color w:val="000000"/>
                <w:sz w:val="19"/>
                <w:szCs w:val="19"/>
              </w:rPr>
              <w:t>100 </w:t>
            </w:r>
          </w:p>
        </w:tc>
        <w:tc>
          <w:tcPr>
            <w:tcW w:w="0" w:type="auto"/>
            <w:shd w:val="clear" w:color="auto" w:fill="FFFFFF"/>
            <w:tcMar>
              <w:top w:w="30" w:type="dxa"/>
              <w:left w:w="0" w:type="dxa"/>
              <w:bottom w:w="30" w:type="dxa"/>
              <w:right w:w="20" w:type="dxa"/>
            </w:tcMar>
            <w:vAlign w:val="center"/>
            <w:hideMark/>
          </w:tcPr>
          <w:p w14:paraId="0203F39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A38DE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872E9C" w14:textId="77777777" w:rsidR="00000000" w:rsidRDefault="00C1661D">
            <w:pPr>
              <w:spacing w:after="100"/>
              <w:jc w:val="right"/>
              <w:rPr>
                <w:rFonts w:eastAsia="Times New Roman"/>
              </w:rPr>
            </w:pPr>
            <w:r>
              <w:rPr>
                <w:rFonts w:eastAsia="Times New Roman"/>
                <w:color w:val="000000"/>
                <w:sz w:val="19"/>
                <w:szCs w:val="19"/>
              </w:rPr>
              <w:t>100 </w:t>
            </w:r>
          </w:p>
        </w:tc>
        <w:tc>
          <w:tcPr>
            <w:tcW w:w="0" w:type="auto"/>
            <w:shd w:val="clear" w:color="auto" w:fill="FFFFFF"/>
            <w:tcMar>
              <w:top w:w="30" w:type="dxa"/>
              <w:left w:w="0" w:type="dxa"/>
              <w:bottom w:w="30" w:type="dxa"/>
              <w:right w:w="20" w:type="dxa"/>
            </w:tcMar>
            <w:vAlign w:val="center"/>
            <w:hideMark/>
          </w:tcPr>
          <w:p w14:paraId="3213EBDE" w14:textId="77777777" w:rsidR="00000000" w:rsidRDefault="00C1661D">
            <w:pPr>
              <w:spacing w:after="100"/>
              <w:jc w:val="right"/>
              <w:rPr>
                <w:rFonts w:eastAsia="Times New Roman"/>
              </w:rPr>
            </w:pPr>
          </w:p>
        </w:tc>
      </w:tr>
      <w:tr w:rsidR="00000000" w14:paraId="56DB378C" w14:textId="77777777">
        <w:trPr>
          <w:divId w:val="615216295"/>
        </w:trPr>
        <w:tc>
          <w:tcPr>
            <w:tcW w:w="0" w:type="auto"/>
            <w:gridSpan w:val="3"/>
            <w:shd w:val="clear" w:color="auto" w:fill="CCEEFF"/>
            <w:tcMar>
              <w:top w:w="30" w:type="dxa"/>
              <w:left w:w="20" w:type="dxa"/>
              <w:bottom w:w="30" w:type="dxa"/>
              <w:right w:w="20" w:type="dxa"/>
            </w:tcMar>
            <w:vAlign w:val="center"/>
            <w:hideMark/>
          </w:tcPr>
          <w:p w14:paraId="2BBC7582" w14:textId="77777777" w:rsidR="00000000" w:rsidRDefault="00C1661D">
            <w:pPr>
              <w:spacing w:after="100"/>
              <w:divId w:val="1947036379"/>
              <w:rPr>
                <w:rFonts w:eastAsia="Times New Roman"/>
              </w:rPr>
            </w:pPr>
            <w:r>
              <w:rPr>
                <w:rFonts w:eastAsia="Times New Roman"/>
                <w:color w:val="000000"/>
                <w:sz w:val="19"/>
                <w:szCs w:val="19"/>
              </w:rPr>
              <w:t>6.21</w:t>
            </w:r>
            <w:r>
              <w:rPr>
                <w:rFonts w:eastAsia="Times New Roman"/>
                <w:color w:val="000000"/>
                <w:sz w:val="19"/>
                <w:szCs w:val="19"/>
              </w:rPr>
              <w:t>% due September 2036</w:t>
            </w:r>
          </w:p>
        </w:tc>
        <w:tc>
          <w:tcPr>
            <w:tcW w:w="0" w:type="auto"/>
            <w:gridSpan w:val="2"/>
            <w:shd w:val="clear" w:color="auto" w:fill="CCEEFF"/>
            <w:tcMar>
              <w:top w:w="30" w:type="dxa"/>
              <w:left w:w="20" w:type="dxa"/>
              <w:bottom w:w="30" w:type="dxa"/>
              <w:right w:w="0" w:type="dxa"/>
            </w:tcMar>
            <w:vAlign w:val="center"/>
            <w:hideMark/>
          </w:tcPr>
          <w:p w14:paraId="77F4D996" w14:textId="77777777" w:rsidR="00000000" w:rsidRDefault="00C1661D">
            <w:pPr>
              <w:spacing w:after="100"/>
              <w:jc w:val="right"/>
              <w:rPr>
                <w:rFonts w:eastAsia="Times New Roman"/>
              </w:rPr>
            </w:pPr>
            <w:r>
              <w:rPr>
                <w:rFonts w:eastAsia="Times New Roman"/>
                <w:color w:val="000000"/>
                <w:sz w:val="19"/>
                <w:szCs w:val="19"/>
              </w:rPr>
              <w:t>100 </w:t>
            </w:r>
          </w:p>
        </w:tc>
        <w:tc>
          <w:tcPr>
            <w:tcW w:w="0" w:type="auto"/>
            <w:shd w:val="clear" w:color="auto" w:fill="CCEEFF"/>
            <w:tcMar>
              <w:top w:w="30" w:type="dxa"/>
              <w:left w:w="0" w:type="dxa"/>
              <w:bottom w:w="30" w:type="dxa"/>
              <w:right w:w="20" w:type="dxa"/>
            </w:tcMar>
            <w:vAlign w:val="center"/>
            <w:hideMark/>
          </w:tcPr>
          <w:p w14:paraId="074C35C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79E2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3B4B55" w14:textId="77777777" w:rsidR="00000000" w:rsidRDefault="00C1661D">
            <w:pPr>
              <w:spacing w:after="100"/>
              <w:jc w:val="right"/>
              <w:rPr>
                <w:rFonts w:eastAsia="Times New Roman"/>
              </w:rPr>
            </w:pPr>
            <w:r>
              <w:rPr>
                <w:rFonts w:eastAsia="Times New Roman"/>
                <w:color w:val="000000"/>
                <w:sz w:val="19"/>
                <w:szCs w:val="19"/>
              </w:rPr>
              <w:t>100 </w:t>
            </w:r>
          </w:p>
        </w:tc>
        <w:tc>
          <w:tcPr>
            <w:tcW w:w="0" w:type="auto"/>
            <w:shd w:val="clear" w:color="auto" w:fill="CCEEFF"/>
            <w:tcMar>
              <w:top w:w="30" w:type="dxa"/>
              <w:left w:w="0" w:type="dxa"/>
              <w:bottom w:w="30" w:type="dxa"/>
              <w:right w:w="20" w:type="dxa"/>
            </w:tcMar>
            <w:vAlign w:val="center"/>
            <w:hideMark/>
          </w:tcPr>
          <w:p w14:paraId="19C5DDD0" w14:textId="77777777" w:rsidR="00000000" w:rsidRDefault="00C1661D">
            <w:pPr>
              <w:spacing w:after="100"/>
              <w:jc w:val="right"/>
              <w:rPr>
                <w:rFonts w:eastAsia="Times New Roman"/>
              </w:rPr>
            </w:pPr>
          </w:p>
        </w:tc>
      </w:tr>
      <w:tr w:rsidR="00000000" w14:paraId="6BF25F4F" w14:textId="77777777">
        <w:trPr>
          <w:divId w:val="615216295"/>
        </w:trPr>
        <w:tc>
          <w:tcPr>
            <w:tcW w:w="0" w:type="auto"/>
            <w:gridSpan w:val="3"/>
            <w:shd w:val="clear" w:color="auto" w:fill="FFFFFF"/>
            <w:tcMar>
              <w:top w:w="30" w:type="dxa"/>
              <w:left w:w="20" w:type="dxa"/>
              <w:bottom w:w="30" w:type="dxa"/>
              <w:right w:w="20" w:type="dxa"/>
            </w:tcMar>
            <w:vAlign w:val="center"/>
            <w:hideMark/>
          </w:tcPr>
          <w:p w14:paraId="32EEDE89" w14:textId="77777777" w:rsidR="00000000" w:rsidRDefault="00C1661D">
            <w:pPr>
              <w:spacing w:after="100"/>
              <w:divId w:val="119612207"/>
              <w:rPr>
                <w:rFonts w:eastAsia="Times New Roman"/>
              </w:rPr>
            </w:pPr>
            <w:r>
              <w:rPr>
                <w:rFonts w:eastAsia="Times New Roman"/>
                <w:color w:val="000000"/>
                <w:sz w:val="19"/>
                <w:szCs w:val="19"/>
              </w:rPr>
              <w:t>2.95% due June 2026</w:t>
            </w:r>
          </w:p>
        </w:tc>
        <w:tc>
          <w:tcPr>
            <w:tcW w:w="0" w:type="auto"/>
            <w:gridSpan w:val="2"/>
            <w:shd w:val="clear" w:color="auto" w:fill="FFFFFF"/>
            <w:tcMar>
              <w:top w:w="30" w:type="dxa"/>
              <w:left w:w="20" w:type="dxa"/>
              <w:bottom w:w="30" w:type="dxa"/>
              <w:right w:w="0" w:type="dxa"/>
            </w:tcMar>
            <w:vAlign w:val="center"/>
            <w:hideMark/>
          </w:tcPr>
          <w:p w14:paraId="10DBFE19" w14:textId="77777777" w:rsidR="00000000" w:rsidRDefault="00C1661D">
            <w:pPr>
              <w:spacing w:after="100"/>
              <w:jc w:val="right"/>
              <w:rPr>
                <w:rFonts w:eastAsia="Times New Roman"/>
              </w:rPr>
            </w:pPr>
            <w:r>
              <w:rPr>
                <w:rFonts w:eastAsia="Times New Roman"/>
                <w:color w:val="000000"/>
                <w:sz w:val="19"/>
                <w:szCs w:val="19"/>
              </w:rPr>
              <w:t>100 </w:t>
            </w:r>
          </w:p>
        </w:tc>
        <w:tc>
          <w:tcPr>
            <w:tcW w:w="0" w:type="auto"/>
            <w:shd w:val="clear" w:color="auto" w:fill="FFFFFF"/>
            <w:tcMar>
              <w:top w:w="30" w:type="dxa"/>
              <w:left w:w="0" w:type="dxa"/>
              <w:bottom w:w="30" w:type="dxa"/>
              <w:right w:w="20" w:type="dxa"/>
            </w:tcMar>
            <w:vAlign w:val="center"/>
            <w:hideMark/>
          </w:tcPr>
          <w:p w14:paraId="62AFADC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AA2A3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2377E6" w14:textId="77777777" w:rsidR="00000000" w:rsidRDefault="00C1661D">
            <w:pPr>
              <w:spacing w:after="100"/>
              <w:jc w:val="right"/>
              <w:rPr>
                <w:rFonts w:eastAsia="Times New Roman"/>
              </w:rPr>
            </w:pPr>
            <w:r>
              <w:rPr>
                <w:rFonts w:eastAsia="Times New Roman"/>
                <w:color w:val="000000"/>
                <w:sz w:val="19"/>
                <w:szCs w:val="19"/>
              </w:rPr>
              <w:t>100 </w:t>
            </w:r>
          </w:p>
        </w:tc>
        <w:tc>
          <w:tcPr>
            <w:tcW w:w="0" w:type="auto"/>
            <w:shd w:val="clear" w:color="auto" w:fill="FFFFFF"/>
            <w:tcMar>
              <w:top w:w="30" w:type="dxa"/>
              <w:left w:w="0" w:type="dxa"/>
              <w:bottom w:w="30" w:type="dxa"/>
              <w:right w:w="20" w:type="dxa"/>
            </w:tcMar>
            <w:vAlign w:val="center"/>
            <w:hideMark/>
          </w:tcPr>
          <w:p w14:paraId="02BB7133" w14:textId="77777777" w:rsidR="00000000" w:rsidRDefault="00C1661D">
            <w:pPr>
              <w:spacing w:after="100"/>
              <w:jc w:val="right"/>
              <w:rPr>
                <w:rFonts w:eastAsia="Times New Roman"/>
              </w:rPr>
            </w:pPr>
          </w:p>
        </w:tc>
      </w:tr>
      <w:tr w:rsidR="00000000" w14:paraId="1FDAA91B" w14:textId="77777777">
        <w:trPr>
          <w:divId w:val="615216295"/>
        </w:trPr>
        <w:tc>
          <w:tcPr>
            <w:tcW w:w="0" w:type="auto"/>
            <w:gridSpan w:val="3"/>
            <w:shd w:val="clear" w:color="auto" w:fill="CCEEFF"/>
            <w:tcMar>
              <w:top w:w="30" w:type="dxa"/>
              <w:left w:w="20" w:type="dxa"/>
              <w:bottom w:w="30" w:type="dxa"/>
              <w:right w:w="20" w:type="dxa"/>
            </w:tcMar>
            <w:vAlign w:val="center"/>
            <w:hideMark/>
          </w:tcPr>
          <w:p w14:paraId="4C3F49DD" w14:textId="77777777" w:rsidR="00000000" w:rsidRDefault="00C1661D">
            <w:pPr>
              <w:spacing w:after="100"/>
              <w:divId w:val="1104886896"/>
              <w:rPr>
                <w:rFonts w:eastAsia="Times New Roman"/>
              </w:rPr>
            </w:pPr>
            <w:r>
              <w:rPr>
                <w:rFonts w:eastAsia="Times New Roman"/>
                <w:color w:val="000000"/>
                <w:sz w:val="19"/>
                <w:szCs w:val="19"/>
              </w:rPr>
              <w:t>1.59% due June 2026</w:t>
            </w:r>
          </w:p>
        </w:tc>
        <w:tc>
          <w:tcPr>
            <w:tcW w:w="0" w:type="auto"/>
            <w:gridSpan w:val="2"/>
            <w:shd w:val="clear" w:color="auto" w:fill="CCEEFF"/>
            <w:tcMar>
              <w:top w:w="30" w:type="dxa"/>
              <w:left w:w="20" w:type="dxa"/>
              <w:bottom w:w="30" w:type="dxa"/>
              <w:right w:w="0" w:type="dxa"/>
            </w:tcMar>
            <w:vAlign w:val="center"/>
            <w:hideMark/>
          </w:tcPr>
          <w:p w14:paraId="33017256" w14:textId="77777777" w:rsidR="00000000" w:rsidRDefault="00C1661D">
            <w:pPr>
              <w:spacing w:after="100"/>
              <w:jc w:val="right"/>
              <w:rPr>
                <w:rFonts w:eastAsia="Times New Roman"/>
              </w:rPr>
            </w:pPr>
            <w:r>
              <w:rPr>
                <w:rFonts w:eastAsia="Times New Roman"/>
                <w:color w:val="000000"/>
                <w:sz w:val="19"/>
                <w:szCs w:val="19"/>
              </w:rPr>
              <w:t>100 </w:t>
            </w:r>
          </w:p>
        </w:tc>
        <w:tc>
          <w:tcPr>
            <w:tcW w:w="0" w:type="auto"/>
            <w:shd w:val="clear" w:color="auto" w:fill="CCEEFF"/>
            <w:tcMar>
              <w:top w:w="30" w:type="dxa"/>
              <w:left w:w="0" w:type="dxa"/>
              <w:bottom w:w="30" w:type="dxa"/>
              <w:right w:w="20" w:type="dxa"/>
            </w:tcMar>
            <w:vAlign w:val="center"/>
            <w:hideMark/>
          </w:tcPr>
          <w:p w14:paraId="598C18E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4DAB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689007" w14:textId="77777777" w:rsidR="00000000" w:rsidRDefault="00C1661D">
            <w:pPr>
              <w:spacing w:after="100"/>
              <w:jc w:val="right"/>
              <w:rPr>
                <w:rFonts w:eastAsia="Times New Roman"/>
              </w:rPr>
            </w:pPr>
            <w:r>
              <w:rPr>
                <w:rFonts w:eastAsia="Times New Roman"/>
                <w:color w:val="000000"/>
                <w:sz w:val="19"/>
                <w:szCs w:val="19"/>
              </w:rPr>
              <w:t>100 </w:t>
            </w:r>
          </w:p>
        </w:tc>
        <w:tc>
          <w:tcPr>
            <w:tcW w:w="0" w:type="auto"/>
            <w:shd w:val="clear" w:color="auto" w:fill="CCEEFF"/>
            <w:tcMar>
              <w:top w:w="30" w:type="dxa"/>
              <w:left w:w="0" w:type="dxa"/>
              <w:bottom w:w="30" w:type="dxa"/>
              <w:right w:w="20" w:type="dxa"/>
            </w:tcMar>
            <w:vAlign w:val="center"/>
            <w:hideMark/>
          </w:tcPr>
          <w:p w14:paraId="576A30B0" w14:textId="77777777" w:rsidR="00000000" w:rsidRDefault="00C1661D">
            <w:pPr>
              <w:spacing w:after="100"/>
              <w:jc w:val="right"/>
              <w:rPr>
                <w:rFonts w:eastAsia="Times New Roman"/>
              </w:rPr>
            </w:pPr>
          </w:p>
        </w:tc>
      </w:tr>
      <w:tr w:rsidR="00000000" w14:paraId="01CA2985" w14:textId="77777777">
        <w:trPr>
          <w:divId w:val="615216295"/>
        </w:trPr>
        <w:tc>
          <w:tcPr>
            <w:tcW w:w="0" w:type="auto"/>
            <w:gridSpan w:val="3"/>
            <w:shd w:val="clear" w:color="auto" w:fill="FFFFFF"/>
            <w:tcMar>
              <w:top w:w="30" w:type="dxa"/>
              <w:left w:w="20" w:type="dxa"/>
              <w:bottom w:w="30" w:type="dxa"/>
              <w:right w:w="20" w:type="dxa"/>
            </w:tcMar>
            <w:vAlign w:val="center"/>
            <w:hideMark/>
          </w:tcPr>
          <w:p w14:paraId="22962A22" w14:textId="77777777" w:rsidR="00000000" w:rsidRDefault="00C1661D">
            <w:pPr>
              <w:spacing w:after="100"/>
              <w:divId w:val="720055925"/>
              <w:rPr>
                <w:rFonts w:eastAsia="Times New Roman"/>
              </w:rPr>
            </w:pPr>
            <w:r>
              <w:rPr>
                <w:rFonts w:eastAsia="Times New Roman"/>
                <w:color w:val="000000"/>
                <w:sz w:val="19"/>
                <w:szCs w:val="19"/>
              </w:rPr>
              <w:t>1.64% due September 2026</w:t>
            </w:r>
          </w:p>
        </w:tc>
        <w:tc>
          <w:tcPr>
            <w:tcW w:w="0" w:type="auto"/>
            <w:gridSpan w:val="2"/>
            <w:shd w:val="clear" w:color="auto" w:fill="FFFFFF"/>
            <w:tcMar>
              <w:top w:w="30" w:type="dxa"/>
              <w:left w:w="20" w:type="dxa"/>
              <w:bottom w:w="30" w:type="dxa"/>
              <w:right w:w="0" w:type="dxa"/>
            </w:tcMar>
            <w:vAlign w:val="center"/>
            <w:hideMark/>
          </w:tcPr>
          <w:p w14:paraId="75DB0C1A" w14:textId="77777777" w:rsidR="00000000" w:rsidRDefault="00C1661D">
            <w:pPr>
              <w:spacing w:after="100"/>
              <w:jc w:val="right"/>
              <w:rPr>
                <w:rFonts w:eastAsia="Times New Roman"/>
              </w:rPr>
            </w:pPr>
            <w:r>
              <w:rPr>
                <w:rFonts w:eastAsia="Times New Roman"/>
                <w:color w:val="000000"/>
                <w:sz w:val="19"/>
                <w:szCs w:val="19"/>
              </w:rPr>
              <w:t>75 </w:t>
            </w:r>
          </w:p>
        </w:tc>
        <w:tc>
          <w:tcPr>
            <w:tcW w:w="0" w:type="auto"/>
            <w:shd w:val="clear" w:color="auto" w:fill="FFFFFF"/>
            <w:tcMar>
              <w:top w:w="30" w:type="dxa"/>
              <w:left w:w="0" w:type="dxa"/>
              <w:bottom w:w="30" w:type="dxa"/>
              <w:right w:w="20" w:type="dxa"/>
            </w:tcMar>
            <w:vAlign w:val="center"/>
            <w:hideMark/>
          </w:tcPr>
          <w:p w14:paraId="6F6C32A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068E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25CC06" w14:textId="77777777" w:rsidR="00000000" w:rsidRDefault="00C1661D">
            <w:pPr>
              <w:spacing w:after="100"/>
              <w:jc w:val="right"/>
              <w:rPr>
                <w:rFonts w:eastAsia="Times New Roman"/>
              </w:rPr>
            </w:pPr>
            <w:r>
              <w:rPr>
                <w:rFonts w:eastAsia="Times New Roman"/>
                <w:color w:val="000000"/>
                <w:sz w:val="19"/>
                <w:szCs w:val="19"/>
              </w:rPr>
              <w:t>75 </w:t>
            </w:r>
          </w:p>
        </w:tc>
        <w:tc>
          <w:tcPr>
            <w:tcW w:w="0" w:type="auto"/>
            <w:shd w:val="clear" w:color="auto" w:fill="FFFFFF"/>
            <w:tcMar>
              <w:top w:w="30" w:type="dxa"/>
              <w:left w:w="0" w:type="dxa"/>
              <w:bottom w:w="30" w:type="dxa"/>
              <w:right w:w="20" w:type="dxa"/>
            </w:tcMar>
            <w:vAlign w:val="center"/>
            <w:hideMark/>
          </w:tcPr>
          <w:p w14:paraId="5510D50D" w14:textId="77777777" w:rsidR="00000000" w:rsidRDefault="00C1661D">
            <w:pPr>
              <w:spacing w:after="100"/>
              <w:jc w:val="right"/>
              <w:rPr>
                <w:rFonts w:eastAsia="Times New Roman"/>
              </w:rPr>
            </w:pPr>
          </w:p>
        </w:tc>
      </w:tr>
      <w:tr w:rsidR="00000000" w14:paraId="592926CD" w14:textId="77777777">
        <w:trPr>
          <w:divId w:val="615216295"/>
        </w:trPr>
        <w:tc>
          <w:tcPr>
            <w:tcW w:w="0" w:type="auto"/>
            <w:gridSpan w:val="3"/>
            <w:shd w:val="clear" w:color="auto" w:fill="CCEEFF"/>
            <w:tcMar>
              <w:top w:w="30" w:type="dxa"/>
              <w:left w:w="20" w:type="dxa"/>
              <w:bottom w:w="30" w:type="dxa"/>
              <w:right w:w="20" w:type="dxa"/>
            </w:tcMar>
            <w:vAlign w:val="center"/>
            <w:hideMark/>
          </w:tcPr>
          <w:p w14:paraId="43A785F8" w14:textId="77777777" w:rsidR="00000000" w:rsidRDefault="00C1661D">
            <w:pPr>
              <w:spacing w:after="100"/>
              <w:divId w:val="1145124203"/>
              <w:rPr>
                <w:rFonts w:eastAsia="Times New Roman"/>
              </w:rPr>
            </w:pPr>
            <w:r>
              <w:rPr>
                <w:rFonts w:eastAsia="Times New Roman"/>
                <w:color w:val="000000"/>
                <w:sz w:val="19"/>
                <w:szCs w:val="19"/>
              </w:rPr>
              <w:t>4.75% due July 2032</w:t>
            </w:r>
          </w:p>
        </w:tc>
        <w:tc>
          <w:tcPr>
            <w:tcW w:w="0" w:type="auto"/>
            <w:gridSpan w:val="2"/>
            <w:shd w:val="clear" w:color="auto" w:fill="CCEEFF"/>
            <w:tcMar>
              <w:top w:w="30" w:type="dxa"/>
              <w:left w:w="20" w:type="dxa"/>
              <w:bottom w:w="30" w:type="dxa"/>
              <w:right w:w="0" w:type="dxa"/>
            </w:tcMar>
            <w:vAlign w:val="center"/>
            <w:hideMark/>
          </w:tcPr>
          <w:p w14:paraId="0CCB4CD9" w14:textId="77777777" w:rsidR="00000000" w:rsidRDefault="00C1661D">
            <w:pPr>
              <w:spacing w:after="100"/>
              <w:jc w:val="right"/>
              <w:rPr>
                <w:rFonts w:eastAsia="Times New Roman"/>
              </w:rPr>
            </w:pPr>
            <w:r>
              <w:rPr>
                <w:rFonts w:eastAsia="Times New Roman"/>
                <w:color w:val="000000"/>
                <w:sz w:val="19"/>
                <w:szCs w:val="19"/>
              </w:rPr>
              <w:t>90 </w:t>
            </w:r>
          </w:p>
        </w:tc>
        <w:tc>
          <w:tcPr>
            <w:tcW w:w="0" w:type="auto"/>
            <w:shd w:val="clear" w:color="auto" w:fill="CCEEFF"/>
            <w:tcMar>
              <w:top w:w="30" w:type="dxa"/>
              <w:left w:w="0" w:type="dxa"/>
              <w:bottom w:w="30" w:type="dxa"/>
              <w:right w:w="20" w:type="dxa"/>
            </w:tcMar>
            <w:vAlign w:val="center"/>
            <w:hideMark/>
          </w:tcPr>
          <w:p w14:paraId="6E4FCB7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3D7BA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BCC2CD" w14:textId="77777777" w:rsidR="00000000" w:rsidRDefault="00C1661D">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center"/>
            <w:hideMark/>
          </w:tcPr>
          <w:p w14:paraId="078A2138" w14:textId="77777777" w:rsidR="00000000" w:rsidRDefault="00C1661D">
            <w:pPr>
              <w:spacing w:after="100"/>
              <w:jc w:val="right"/>
              <w:rPr>
                <w:rFonts w:eastAsia="Times New Roman"/>
              </w:rPr>
            </w:pPr>
          </w:p>
        </w:tc>
      </w:tr>
      <w:tr w:rsidR="00000000" w14:paraId="416DCE41" w14:textId="77777777">
        <w:trPr>
          <w:divId w:val="615216295"/>
        </w:trPr>
        <w:tc>
          <w:tcPr>
            <w:tcW w:w="0" w:type="auto"/>
            <w:gridSpan w:val="3"/>
            <w:shd w:val="clear" w:color="auto" w:fill="FFFFFF"/>
            <w:tcMar>
              <w:top w:w="30" w:type="dxa"/>
              <w:left w:w="20" w:type="dxa"/>
              <w:bottom w:w="30" w:type="dxa"/>
              <w:right w:w="20" w:type="dxa"/>
            </w:tcMar>
            <w:vAlign w:val="center"/>
            <w:hideMark/>
          </w:tcPr>
          <w:p w14:paraId="1AC26EED" w14:textId="77777777" w:rsidR="00000000" w:rsidRDefault="00C1661D">
            <w:pPr>
              <w:spacing w:after="100"/>
              <w:divId w:val="1375736155"/>
              <w:rPr>
                <w:rFonts w:eastAsia="Times New Roman"/>
              </w:rPr>
            </w:pPr>
            <w:r>
              <w:rPr>
                <w:rFonts w:eastAsia="Times New Roman"/>
                <w:color w:val="000000"/>
                <w:sz w:val="19"/>
                <w:szCs w:val="19"/>
              </w:rPr>
              <w:t>4.99% due September 2052</w:t>
            </w:r>
          </w:p>
        </w:tc>
        <w:tc>
          <w:tcPr>
            <w:tcW w:w="0" w:type="auto"/>
            <w:gridSpan w:val="2"/>
            <w:shd w:val="clear" w:color="auto" w:fill="FFFFFF"/>
            <w:tcMar>
              <w:top w:w="30" w:type="dxa"/>
              <w:left w:w="20" w:type="dxa"/>
              <w:bottom w:w="30" w:type="dxa"/>
              <w:right w:w="0" w:type="dxa"/>
            </w:tcMar>
            <w:vAlign w:val="center"/>
            <w:hideMark/>
          </w:tcPr>
          <w:p w14:paraId="30263584" w14:textId="77777777" w:rsidR="00000000" w:rsidRDefault="00C1661D">
            <w:pPr>
              <w:spacing w:after="100"/>
              <w:jc w:val="right"/>
              <w:rPr>
                <w:rFonts w:eastAsia="Times New Roman"/>
              </w:rPr>
            </w:pPr>
            <w:r>
              <w:rPr>
                <w:rFonts w:eastAsia="Times New Roman"/>
                <w:color w:val="000000"/>
                <w:sz w:val="19"/>
                <w:szCs w:val="19"/>
              </w:rPr>
              <w:t>85 </w:t>
            </w:r>
          </w:p>
        </w:tc>
        <w:tc>
          <w:tcPr>
            <w:tcW w:w="0" w:type="auto"/>
            <w:shd w:val="clear" w:color="auto" w:fill="FFFFFF"/>
            <w:tcMar>
              <w:top w:w="30" w:type="dxa"/>
              <w:left w:w="0" w:type="dxa"/>
              <w:bottom w:w="30" w:type="dxa"/>
              <w:right w:w="20" w:type="dxa"/>
            </w:tcMar>
            <w:vAlign w:val="center"/>
            <w:hideMark/>
          </w:tcPr>
          <w:p w14:paraId="44DFE45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8B4B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492CF6" w14:textId="77777777" w:rsidR="00000000" w:rsidRDefault="00C1661D">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center"/>
            <w:hideMark/>
          </w:tcPr>
          <w:p w14:paraId="4E4ED5D3" w14:textId="77777777" w:rsidR="00000000" w:rsidRDefault="00C1661D">
            <w:pPr>
              <w:spacing w:after="100"/>
              <w:jc w:val="right"/>
              <w:rPr>
                <w:rFonts w:eastAsia="Times New Roman"/>
              </w:rPr>
            </w:pPr>
          </w:p>
        </w:tc>
      </w:tr>
      <w:tr w:rsidR="00000000" w14:paraId="0185626F" w14:textId="77777777">
        <w:trPr>
          <w:divId w:val="615216295"/>
        </w:trPr>
        <w:tc>
          <w:tcPr>
            <w:tcW w:w="0" w:type="auto"/>
            <w:gridSpan w:val="3"/>
            <w:shd w:val="clear" w:color="auto" w:fill="CCEEFF"/>
            <w:tcMar>
              <w:top w:w="30" w:type="dxa"/>
              <w:left w:w="20" w:type="dxa"/>
              <w:bottom w:w="30" w:type="dxa"/>
              <w:right w:w="20" w:type="dxa"/>
            </w:tcMar>
            <w:vAlign w:val="center"/>
            <w:hideMark/>
          </w:tcPr>
          <w:p w14:paraId="2C8E5BD8" w14:textId="77777777" w:rsidR="00000000" w:rsidRDefault="00C1661D">
            <w:pPr>
              <w:spacing w:after="100"/>
              <w:rPr>
                <w:rFonts w:eastAsia="Times New Roman"/>
              </w:rPr>
            </w:pPr>
            <w:r>
              <w:rPr>
                <w:rFonts w:eastAsia="Times New Roman"/>
                <w:color w:val="000000"/>
                <w:sz w:val="19"/>
                <w:szCs w:val="19"/>
              </w:rPr>
              <w:t>Medium-Term Notes:</w:t>
            </w:r>
          </w:p>
        </w:tc>
        <w:tc>
          <w:tcPr>
            <w:tcW w:w="0" w:type="auto"/>
            <w:gridSpan w:val="3"/>
            <w:shd w:val="clear" w:color="auto" w:fill="CCEEFF"/>
            <w:tcMar>
              <w:top w:w="0" w:type="dxa"/>
              <w:left w:w="20" w:type="dxa"/>
              <w:bottom w:w="0" w:type="dxa"/>
              <w:right w:w="20" w:type="dxa"/>
            </w:tcMar>
            <w:vAlign w:val="center"/>
            <w:hideMark/>
          </w:tcPr>
          <w:p w14:paraId="6C664B34"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5FECA6"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065F5E" w14:textId="77777777" w:rsidR="00000000" w:rsidRDefault="00C1661D">
            <w:pPr>
              <w:spacing w:after="100"/>
              <w:rPr>
                <w:rFonts w:eastAsia="Times New Roman"/>
                <w:sz w:val="20"/>
                <w:szCs w:val="20"/>
              </w:rPr>
            </w:pPr>
          </w:p>
        </w:tc>
      </w:tr>
      <w:tr w:rsidR="00000000" w14:paraId="5C1AD5DA" w14:textId="77777777">
        <w:trPr>
          <w:divId w:val="615216295"/>
        </w:trPr>
        <w:tc>
          <w:tcPr>
            <w:tcW w:w="0" w:type="auto"/>
            <w:gridSpan w:val="3"/>
            <w:shd w:val="clear" w:color="auto" w:fill="FFFFFF"/>
            <w:tcMar>
              <w:top w:w="30" w:type="dxa"/>
              <w:left w:w="20" w:type="dxa"/>
              <w:bottom w:w="30" w:type="dxa"/>
              <w:right w:w="20" w:type="dxa"/>
            </w:tcMar>
            <w:vAlign w:val="center"/>
            <w:hideMark/>
          </w:tcPr>
          <w:p w14:paraId="751DE229" w14:textId="77777777" w:rsidR="00000000" w:rsidRDefault="00C1661D">
            <w:pPr>
              <w:spacing w:after="100"/>
              <w:divId w:val="1775009673"/>
              <w:rPr>
                <w:rFonts w:eastAsia="Times New Roman"/>
              </w:rPr>
            </w:pPr>
            <w:r>
              <w:rPr>
                <w:rFonts w:eastAsia="Times New Roman"/>
                <w:color w:val="000000"/>
                <w:sz w:val="19"/>
                <w:szCs w:val="19"/>
              </w:rPr>
              <w:t>6.13% due October 2034</w:t>
            </w:r>
          </w:p>
        </w:tc>
        <w:tc>
          <w:tcPr>
            <w:tcW w:w="0" w:type="auto"/>
            <w:gridSpan w:val="2"/>
            <w:shd w:val="clear" w:color="auto" w:fill="FFFFFF"/>
            <w:tcMar>
              <w:top w:w="30" w:type="dxa"/>
              <w:left w:w="20" w:type="dxa"/>
              <w:bottom w:w="30" w:type="dxa"/>
              <w:right w:w="0" w:type="dxa"/>
            </w:tcMar>
            <w:vAlign w:val="center"/>
            <w:hideMark/>
          </w:tcPr>
          <w:p w14:paraId="167A34B0" w14:textId="77777777" w:rsidR="00000000" w:rsidRDefault="00C1661D">
            <w:pPr>
              <w:spacing w:after="100"/>
              <w:jc w:val="right"/>
              <w:rPr>
                <w:rFonts w:eastAsia="Times New Roman"/>
              </w:rPr>
            </w:pPr>
            <w:r>
              <w:rPr>
                <w:rFonts w:eastAsia="Times New Roman"/>
                <w:color w:val="000000"/>
                <w:sz w:val="19"/>
                <w:szCs w:val="19"/>
              </w:rPr>
              <w:t>20 </w:t>
            </w:r>
          </w:p>
        </w:tc>
        <w:tc>
          <w:tcPr>
            <w:tcW w:w="0" w:type="auto"/>
            <w:shd w:val="clear" w:color="auto" w:fill="FFFFFF"/>
            <w:tcMar>
              <w:top w:w="30" w:type="dxa"/>
              <w:left w:w="0" w:type="dxa"/>
              <w:bottom w:w="30" w:type="dxa"/>
              <w:right w:w="20" w:type="dxa"/>
            </w:tcMar>
            <w:vAlign w:val="center"/>
            <w:hideMark/>
          </w:tcPr>
          <w:p w14:paraId="6943F14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8BB9C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632612" w14:textId="77777777" w:rsidR="00000000" w:rsidRDefault="00C1661D">
            <w:pPr>
              <w:spacing w:after="100"/>
              <w:jc w:val="right"/>
              <w:rPr>
                <w:rFonts w:eastAsia="Times New Roman"/>
              </w:rPr>
            </w:pPr>
            <w:r>
              <w:rPr>
                <w:rFonts w:eastAsia="Times New Roman"/>
                <w:color w:val="000000"/>
                <w:sz w:val="19"/>
                <w:szCs w:val="19"/>
              </w:rPr>
              <w:t>20 </w:t>
            </w:r>
          </w:p>
        </w:tc>
        <w:tc>
          <w:tcPr>
            <w:tcW w:w="0" w:type="auto"/>
            <w:shd w:val="clear" w:color="auto" w:fill="FFFFFF"/>
            <w:tcMar>
              <w:top w:w="30" w:type="dxa"/>
              <w:left w:w="0" w:type="dxa"/>
              <w:bottom w:w="30" w:type="dxa"/>
              <w:right w:w="20" w:type="dxa"/>
            </w:tcMar>
            <w:vAlign w:val="center"/>
            <w:hideMark/>
          </w:tcPr>
          <w:p w14:paraId="53B8301E" w14:textId="77777777" w:rsidR="00000000" w:rsidRDefault="00C1661D">
            <w:pPr>
              <w:spacing w:after="100"/>
              <w:jc w:val="right"/>
              <w:rPr>
                <w:rFonts w:eastAsia="Times New Roman"/>
              </w:rPr>
            </w:pPr>
          </w:p>
        </w:tc>
      </w:tr>
      <w:tr w:rsidR="00000000" w14:paraId="2EB30516" w14:textId="77777777">
        <w:trPr>
          <w:divId w:val="615216295"/>
        </w:trPr>
        <w:tc>
          <w:tcPr>
            <w:tcW w:w="0" w:type="auto"/>
            <w:gridSpan w:val="3"/>
            <w:shd w:val="clear" w:color="auto" w:fill="CCEEFF"/>
            <w:tcMar>
              <w:top w:w="30" w:type="dxa"/>
              <w:left w:w="20" w:type="dxa"/>
              <w:bottom w:w="30" w:type="dxa"/>
              <w:right w:w="20" w:type="dxa"/>
            </w:tcMar>
            <w:vAlign w:val="center"/>
            <w:hideMark/>
          </w:tcPr>
          <w:p w14:paraId="0C8AE12B" w14:textId="77777777" w:rsidR="00000000" w:rsidRDefault="00C1661D">
            <w:pPr>
              <w:spacing w:after="100"/>
              <w:divId w:val="1738166503"/>
              <w:rPr>
                <w:rFonts w:eastAsia="Times New Roman"/>
              </w:rPr>
            </w:pPr>
            <w:r>
              <w:rPr>
                <w:rFonts w:eastAsia="Times New Roman"/>
                <w:color w:val="000000"/>
                <w:sz w:val="19"/>
                <w:szCs w:val="19"/>
              </w:rPr>
              <w:t>6.50% due August 2033</w:t>
            </w:r>
          </w:p>
        </w:tc>
        <w:tc>
          <w:tcPr>
            <w:tcW w:w="0" w:type="auto"/>
            <w:gridSpan w:val="2"/>
            <w:shd w:val="clear" w:color="auto" w:fill="CCEEFF"/>
            <w:tcMar>
              <w:top w:w="30" w:type="dxa"/>
              <w:left w:w="20" w:type="dxa"/>
              <w:bottom w:w="30" w:type="dxa"/>
              <w:right w:w="0" w:type="dxa"/>
            </w:tcMar>
            <w:vAlign w:val="center"/>
            <w:hideMark/>
          </w:tcPr>
          <w:p w14:paraId="46ECE159" w14:textId="77777777" w:rsidR="00000000" w:rsidRDefault="00C1661D">
            <w:pPr>
              <w:spacing w:after="100"/>
              <w:jc w:val="right"/>
              <w:rPr>
                <w:rFonts w:eastAsia="Times New Roman"/>
              </w:rPr>
            </w:pPr>
            <w:r>
              <w:rPr>
                <w:rFonts w:eastAsia="Times New Roman"/>
                <w:color w:val="000000"/>
                <w:sz w:val="19"/>
                <w:szCs w:val="19"/>
              </w:rPr>
              <w:t>20 </w:t>
            </w:r>
          </w:p>
        </w:tc>
        <w:tc>
          <w:tcPr>
            <w:tcW w:w="0" w:type="auto"/>
            <w:shd w:val="clear" w:color="auto" w:fill="CCEEFF"/>
            <w:tcMar>
              <w:top w:w="30" w:type="dxa"/>
              <w:left w:w="0" w:type="dxa"/>
              <w:bottom w:w="30" w:type="dxa"/>
              <w:right w:w="20" w:type="dxa"/>
            </w:tcMar>
            <w:vAlign w:val="center"/>
            <w:hideMark/>
          </w:tcPr>
          <w:p w14:paraId="088DEC0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A5649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110C10" w14:textId="77777777" w:rsidR="00000000" w:rsidRDefault="00C1661D">
            <w:pPr>
              <w:spacing w:after="100"/>
              <w:jc w:val="right"/>
              <w:rPr>
                <w:rFonts w:eastAsia="Times New Roman"/>
              </w:rPr>
            </w:pPr>
            <w:r>
              <w:rPr>
                <w:rFonts w:eastAsia="Times New Roman"/>
                <w:color w:val="000000"/>
                <w:sz w:val="19"/>
                <w:szCs w:val="19"/>
              </w:rPr>
              <w:t>20 </w:t>
            </w:r>
          </w:p>
        </w:tc>
        <w:tc>
          <w:tcPr>
            <w:tcW w:w="0" w:type="auto"/>
            <w:shd w:val="clear" w:color="auto" w:fill="CCEEFF"/>
            <w:tcMar>
              <w:top w:w="30" w:type="dxa"/>
              <w:left w:w="0" w:type="dxa"/>
              <w:bottom w:w="30" w:type="dxa"/>
              <w:right w:w="20" w:type="dxa"/>
            </w:tcMar>
            <w:vAlign w:val="center"/>
            <w:hideMark/>
          </w:tcPr>
          <w:p w14:paraId="3C088A6B" w14:textId="77777777" w:rsidR="00000000" w:rsidRDefault="00C1661D">
            <w:pPr>
              <w:spacing w:after="100"/>
              <w:jc w:val="right"/>
              <w:rPr>
                <w:rFonts w:eastAsia="Times New Roman"/>
              </w:rPr>
            </w:pPr>
          </w:p>
        </w:tc>
      </w:tr>
      <w:tr w:rsidR="00000000" w14:paraId="65621AF3" w14:textId="77777777">
        <w:trPr>
          <w:divId w:val="615216295"/>
        </w:trPr>
        <w:tc>
          <w:tcPr>
            <w:tcW w:w="0" w:type="auto"/>
            <w:gridSpan w:val="3"/>
            <w:shd w:val="clear" w:color="auto" w:fill="FFFFFF"/>
            <w:tcMar>
              <w:top w:w="30" w:type="dxa"/>
              <w:left w:w="20" w:type="dxa"/>
              <w:bottom w:w="30" w:type="dxa"/>
              <w:right w:w="20" w:type="dxa"/>
            </w:tcMar>
            <w:vAlign w:val="center"/>
            <w:hideMark/>
          </w:tcPr>
          <w:p w14:paraId="24D6EB25" w14:textId="77777777" w:rsidR="00000000" w:rsidRDefault="00C1661D">
            <w:pPr>
              <w:spacing w:after="100"/>
              <w:rPr>
                <w:rFonts w:eastAsia="Times New Roman"/>
              </w:rPr>
            </w:pPr>
            <w:r>
              <w:rPr>
                <w:rFonts w:eastAsia="Times New Roman"/>
                <w:color w:val="000000"/>
                <w:sz w:val="19"/>
                <w:szCs w:val="19"/>
              </w:rPr>
              <w:t>Mountaineer senior notes (c)</w:t>
            </w:r>
          </w:p>
        </w:tc>
        <w:tc>
          <w:tcPr>
            <w:tcW w:w="0" w:type="auto"/>
            <w:gridSpan w:val="2"/>
            <w:shd w:val="clear" w:color="auto" w:fill="FFFFFF"/>
            <w:tcMar>
              <w:top w:w="30" w:type="dxa"/>
              <w:left w:w="20" w:type="dxa"/>
              <w:bottom w:w="30" w:type="dxa"/>
              <w:right w:w="0" w:type="dxa"/>
            </w:tcMar>
            <w:vAlign w:val="center"/>
            <w:hideMark/>
          </w:tcPr>
          <w:p w14:paraId="6407AF39" w14:textId="77777777" w:rsidR="00000000" w:rsidRDefault="00C1661D">
            <w:pPr>
              <w:spacing w:after="100"/>
              <w:jc w:val="right"/>
              <w:rPr>
                <w:rFonts w:eastAsia="Times New Roman"/>
              </w:rPr>
            </w:pPr>
            <w:r>
              <w:rPr>
                <w:rFonts w:eastAsia="Times New Roman"/>
                <w:color w:val="000000"/>
                <w:sz w:val="19"/>
                <w:szCs w:val="19"/>
              </w:rPr>
              <w:t>201 </w:t>
            </w:r>
          </w:p>
        </w:tc>
        <w:tc>
          <w:tcPr>
            <w:tcW w:w="0" w:type="auto"/>
            <w:shd w:val="clear" w:color="auto" w:fill="FFFFFF"/>
            <w:tcMar>
              <w:top w:w="30" w:type="dxa"/>
              <w:left w:w="0" w:type="dxa"/>
              <w:bottom w:w="30" w:type="dxa"/>
              <w:right w:w="20" w:type="dxa"/>
            </w:tcMar>
            <w:vAlign w:val="center"/>
            <w:hideMark/>
          </w:tcPr>
          <w:p w14:paraId="15DA142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44962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404807" w14:textId="77777777" w:rsidR="00000000" w:rsidRDefault="00C1661D">
            <w:pPr>
              <w:spacing w:after="100"/>
              <w:jc w:val="right"/>
              <w:rPr>
                <w:rFonts w:eastAsia="Times New Roman"/>
              </w:rPr>
            </w:pPr>
            <w:r>
              <w:rPr>
                <w:rFonts w:eastAsia="Times New Roman"/>
                <w:color w:val="000000"/>
                <w:sz w:val="19"/>
                <w:szCs w:val="19"/>
              </w:rPr>
              <w:t>164 </w:t>
            </w:r>
          </w:p>
        </w:tc>
        <w:tc>
          <w:tcPr>
            <w:tcW w:w="0" w:type="auto"/>
            <w:shd w:val="clear" w:color="auto" w:fill="FFFFFF"/>
            <w:tcMar>
              <w:top w:w="30" w:type="dxa"/>
              <w:left w:w="0" w:type="dxa"/>
              <w:bottom w:w="30" w:type="dxa"/>
              <w:right w:w="20" w:type="dxa"/>
            </w:tcMar>
            <w:vAlign w:val="center"/>
            <w:hideMark/>
          </w:tcPr>
          <w:p w14:paraId="11181ECB" w14:textId="77777777" w:rsidR="00000000" w:rsidRDefault="00C1661D">
            <w:pPr>
              <w:spacing w:after="100"/>
              <w:jc w:val="right"/>
              <w:rPr>
                <w:rFonts w:eastAsia="Times New Roman"/>
              </w:rPr>
            </w:pPr>
          </w:p>
        </w:tc>
      </w:tr>
      <w:tr w:rsidR="00000000" w14:paraId="367CCD06" w14:textId="77777777">
        <w:trPr>
          <w:divId w:val="615216295"/>
        </w:trPr>
        <w:tc>
          <w:tcPr>
            <w:tcW w:w="0" w:type="auto"/>
            <w:gridSpan w:val="3"/>
            <w:shd w:val="clear" w:color="auto" w:fill="CCEEFF"/>
            <w:tcMar>
              <w:top w:w="30" w:type="dxa"/>
              <w:left w:w="20" w:type="dxa"/>
              <w:bottom w:w="30" w:type="dxa"/>
              <w:right w:w="20" w:type="dxa"/>
            </w:tcMar>
            <w:vAlign w:val="center"/>
            <w:hideMark/>
          </w:tcPr>
          <w:p w14:paraId="7FB0C7DF" w14:textId="77777777" w:rsidR="00000000" w:rsidRDefault="00C1661D">
            <w:pPr>
              <w:spacing w:after="100"/>
              <w:rPr>
                <w:rFonts w:eastAsia="Times New Roman"/>
              </w:rPr>
            </w:pPr>
            <w:r>
              <w:rPr>
                <w:rFonts w:eastAsia="Times New Roman"/>
                <w:color w:val="000000"/>
                <w:sz w:val="19"/>
                <w:szCs w:val="19"/>
              </w:rPr>
              <w:t>Variable-rate term loan due through July 2027 (d)</w:t>
            </w:r>
          </w:p>
        </w:tc>
        <w:tc>
          <w:tcPr>
            <w:tcW w:w="0" w:type="auto"/>
            <w:gridSpan w:val="2"/>
            <w:shd w:val="clear" w:color="auto" w:fill="CCEEFF"/>
            <w:tcMar>
              <w:top w:w="30" w:type="dxa"/>
              <w:left w:w="20" w:type="dxa"/>
              <w:bottom w:w="30" w:type="dxa"/>
              <w:right w:w="0" w:type="dxa"/>
            </w:tcMar>
            <w:vAlign w:val="center"/>
            <w:hideMark/>
          </w:tcPr>
          <w:p w14:paraId="3BF0AFEC" w14:textId="77777777" w:rsidR="00000000" w:rsidRDefault="00C1661D">
            <w:pPr>
              <w:spacing w:after="100"/>
              <w:jc w:val="right"/>
              <w:rPr>
                <w:rFonts w:eastAsia="Times New Roman"/>
              </w:rPr>
            </w:pPr>
            <w:r>
              <w:rPr>
                <w:rFonts w:eastAsia="Times New Roman"/>
                <w:color w:val="000000"/>
                <w:sz w:val="19"/>
                <w:szCs w:val="19"/>
              </w:rPr>
              <w:t>95 </w:t>
            </w:r>
          </w:p>
        </w:tc>
        <w:tc>
          <w:tcPr>
            <w:tcW w:w="0" w:type="auto"/>
            <w:shd w:val="clear" w:color="auto" w:fill="CCEEFF"/>
            <w:tcMar>
              <w:top w:w="30" w:type="dxa"/>
              <w:left w:w="0" w:type="dxa"/>
              <w:bottom w:w="30" w:type="dxa"/>
              <w:right w:w="20" w:type="dxa"/>
            </w:tcMar>
            <w:vAlign w:val="center"/>
            <w:hideMark/>
          </w:tcPr>
          <w:p w14:paraId="1B99B89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4B5A1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CCDB89" w14:textId="77777777" w:rsidR="00000000" w:rsidRDefault="00C1661D">
            <w:pPr>
              <w:spacing w:after="100"/>
              <w:jc w:val="right"/>
              <w:rPr>
                <w:rFonts w:eastAsia="Times New Roman"/>
              </w:rPr>
            </w:pPr>
            <w:r>
              <w:rPr>
                <w:rFonts w:eastAsia="Times New Roman"/>
                <w:color w:val="000000"/>
                <w:sz w:val="19"/>
                <w:szCs w:val="19"/>
              </w:rPr>
              <w:t>102 </w:t>
            </w:r>
          </w:p>
        </w:tc>
        <w:tc>
          <w:tcPr>
            <w:tcW w:w="0" w:type="auto"/>
            <w:shd w:val="clear" w:color="auto" w:fill="CCEEFF"/>
            <w:tcMar>
              <w:top w:w="30" w:type="dxa"/>
              <w:left w:w="0" w:type="dxa"/>
              <w:bottom w:w="30" w:type="dxa"/>
              <w:right w:w="20" w:type="dxa"/>
            </w:tcMar>
            <w:vAlign w:val="center"/>
            <w:hideMark/>
          </w:tcPr>
          <w:p w14:paraId="4A0ED7E2" w14:textId="77777777" w:rsidR="00000000" w:rsidRDefault="00C1661D">
            <w:pPr>
              <w:spacing w:after="100"/>
              <w:jc w:val="right"/>
              <w:rPr>
                <w:rFonts w:eastAsia="Times New Roman"/>
              </w:rPr>
            </w:pPr>
          </w:p>
        </w:tc>
      </w:tr>
      <w:tr w:rsidR="00000000" w14:paraId="4C312BFD" w14:textId="77777777">
        <w:trPr>
          <w:divId w:val="615216295"/>
        </w:trPr>
        <w:tc>
          <w:tcPr>
            <w:tcW w:w="0" w:type="auto"/>
            <w:gridSpan w:val="3"/>
            <w:shd w:val="clear" w:color="auto" w:fill="FFFFFF"/>
            <w:tcMar>
              <w:top w:w="30" w:type="dxa"/>
              <w:left w:w="20" w:type="dxa"/>
              <w:bottom w:w="30" w:type="dxa"/>
              <w:right w:w="20" w:type="dxa"/>
            </w:tcMar>
            <w:vAlign w:val="center"/>
            <w:hideMark/>
          </w:tcPr>
          <w:p w14:paraId="6CD22370" w14:textId="77777777" w:rsidR="00000000" w:rsidRDefault="00C1661D">
            <w:pPr>
              <w:spacing w:after="100"/>
              <w:rPr>
                <w:rFonts w:eastAsia="Times New Roman"/>
              </w:rPr>
            </w:pPr>
            <w:r>
              <w:rPr>
                <w:rFonts w:eastAsia="Times New Roman"/>
                <w:color w:val="000000"/>
                <w:sz w:val="19"/>
                <w:szCs w:val="19"/>
              </w:rPr>
              <w:t>Other</w:t>
            </w:r>
          </w:p>
        </w:tc>
        <w:tc>
          <w:tcPr>
            <w:tcW w:w="0" w:type="auto"/>
            <w:gridSpan w:val="2"/>
            <w:shd w:val="clear" w:color="auto" w:fill="FFFFFF"/>
            <w:tcMar>
              <w:top w:w="30" w:type="dxa"/>
              <w:left w:w="20" w:type="dxa"/>
              <w:bottom w:w="30" w:type="dxa"/>
              <w:right w:w="0" w:type="dxa"/>
            </w:tcMar>
            <w:vAlign w:val="center"/>
            <w:hideMark/>
          </w:tcPr>
          <w:p w14:paraId="54A66BBC" w14:textId="77777777" w:rsidR="00000000" w:rsidRDefault="00C1661D">
            <w:pPr>
              <w:spacing w:after="100"/>
              <w:jc w:val="right"/>
              <w:rPr>
                <w:rFonts w:eastAsia="Times New Roman"/>
              </w:rPr>
            </w:pPr>
            <w:r>
              <w:rPr>
                <w:rFonts w:eastAsia="Times New Roman"/>
                <w:color w:val="000000"/>
                <w:sz w:val="19"/>
                <w:szCs w:val="19"/>
              </w:rPr>
              <w:t>1 </w:t>
            </w:r>
          </w:p>
        </w:tc>
        <w:tc>
          <w:tcPr>
            <w:tcW w:w="0" w:type="auto"/>
            <w:shd w:val="clear" w:color="auto" w:fill="FFFFFF"/>
            <w:tcMar>
              <w:top w:w="30" w:type="dxa"/>
              <w:left w:w="0" w:type="dxa"/>
              <w:bottom w:w="30" w:type="dxa"/>
              <w:right w:w="20" w:type="dxa"/>
            </w:tcMar>
            <w:vAlign w:val="center"/>
            <w:hideMark/>
          </w:tcPr>
          <w:p w14:paraId="0F7FE27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EC60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A0684B" w14:textId="77777777" w:rsidR="00000000" w:rsidRDefault="00C1661D">
            <w:pPr>
              <w:spacing w:after="100"/>
              <w:jc w:val="right"/>
              <w:rPr>
                <w:rFonts w:eastAsia="Times New Roman"/>
              </w:rPr>
            </w:pPr>
            <w:r>
              <w:rPr>
                <w:rFonts w:eastAsia="Times New Roman"/>
                <w:color w:val="000000"/>
                <w:sz w:val="19"/>
                <w:szCs w:val="19"/>
              </w:rPr>
              <w:t>1 </w:t>
            </w:r>
          </w:p>
        </w:tc>
        <w:tc>
          <w:tcPr>
            <w:tcW w:w="0" w:type="auto"/>
            <w:shd w:val="clear" w:color="auto" w:fill="FFFFFF"/>
            <w:tcMar>
              <w:top w:w="30" w:type="dxa"/>
              <w:left w:w="0" w:type="dxa"/>
              <w:bottom w:w="30" w:type="dxa"/>
              <w:right w:w="20" w:type="dxa"/>
            </w:tcMar>
            <w:vAlign w:val="center"/>
            <w:hideMark/>
          </w:tcPr>
          <w:p w14:paraId="17CDC5FD" w14:textId="77777777" w:rsidR="00000000" w:rsidRDefault="00C1661D">
            <w:pPr>
              <w:spacing w:after="100"/>
              <w:jc w:val="right"/>
              <w:rPr>
                <w:rFonts w:eastAsia="Times New Roman"/>
              </w:rPr>
            </w:pPr>
          </w:p>
        </w:tc>
      </w:tr>
      <w:tr w:rsidR="00000000" w14:paraId="71D3EAFC" w14:textId="77777777">
        <w:trPr>
          <w:divId w:val="615216295"/>
        </w:trPr>
        <w:tc>
          <w:tcPr>
            <w:tcW w:w="0" w:type="auto"/>
            <w:gridSpan w:val="3"/>
            <w:shd w:val="clear" w:color="auto" w:fill="CCEEFF"/>
            <w:tcMar>
              <w:top w:w="30" w:type="dxa"/>
              <w:left w:w="20" w:type="dxa"/>
              <w:bottom w:w="30" w:type="dxa"/>
              <w:right w:w="20" w:type="dxa"/>
            </w:tcMar>
            <w:vAlign w:val="center"/>
            <w:hideMark/>
          </w:tcPr>
          <w:p w14:paraId="157161C7" w14:textId="77777777" w:rsidR="00000000" w:rsidRDefault="00C1661D">
            <w:pPr>
              <w:spacing w:after="100"/>
              <w:rPr>
                <w:rFonts w:eastAsia="Times New Roman"/>
              </w:rPr>
            </w:pPr>
            <w:r>
              <w:rPr>
                <w:rFonts w:eastAsia="Times New Roman"/>
                <w:color w:val="000000"/>
                <w:sz w:val="19"/>
                <w:szCs w:val="19"/>
              </w:rPr>
              <w:t>Unamortized debt issuance costs</w:t>
            </w:r>
          </w:p>
        </w:tc>
        <w:tc>
          <w:tcPr>
            <w:tcW w:w="0" w:type="auto"/>
            <w:gridSpan w:val="2"/>
            <w:shd w:val="clear" w:color="auto" w:fill="CCEEFF"/>
            <w:tcMar>
              <w:top w:w="30" w:type="dxa"/>
              <w:left w:w="20" w:type="dxa"/>
              <w:bottom w:w="30" w:type="dxa"/>
              <w:right w:w="0" w:type="dxa"/>
            </w:tcMar>
            <w:vAlign w:val="center"/>
            <w:hideMark/>
          </w:tcPr>
          <w:p w14:paraId="39C0D31B" w14:textId="77777777" w:rsidR="00000000" w:rsidRDefault="00C1661D">
            <w:pPr>
              <w:spacing w:after="100"/>
              <w:jc w:val="right"/>
              <w:rPr>
                <w:rFonts w:eastAsia="Times New Roman"/>
              </w:rPr>
            </w:pPr>
            <w:r>
              <w:rPr>
                <w:rFonts w:eastAsia="Times New Roman"/>
                <w:color w:val="000000"/>
                <w:sz w:val="19"/>
                <w:szCs w:val="19"/>
              </w:rPr>
              <w:t>(6)</w:t>
            </w:r>
          </w:p>
        </w:tc>
        <w:tc>
          <w:tcPr>
            <w:tcW w:w="0" w:type="auto"/>
            <w:shd w:val="clear" w:color="auto" w:fill="CCEEFF"/>
            <w:tcMar>
              <w:top w:w="30" w:type="dxa"/>
              <w:left w:w="0" w:type="dxa"/>
              <w:bottom w:w="30" w:type="dxa"/>
              <w:right w:w="20" w:type="dxa"/>
            </w:tcMar>
            <w:vAlign w:val="center"/>
            <w:hideMark/>
          </w:tcPr>
          <w:p w14:paraId="356F750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A16B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763DA7" w14:textId="77777777" w:rsidR="00000000" w:rsidRDefault="00C1661D">
            <w:pPr>
              <w:spacing w:after="100"/>
              <w:jc w:val="right"/>
              <w:rPr>
                <w:rFonts w:eastAsia="Times New Roman"/>
              </w:rPr>
            </w:pPr>
            <w:r>
              <w:rPr>
                <w:rFonts w:eastAsia="Times New Roman"/>
                <w:color w:val="000000"/>
                <w:sz w:val="19"/>
                <w:szCs w:val="19"/>
              </w:rPr>
              <w:t>(6)</w:t>
            </w:r>
          </w:p>
        </w:tc>
        <w:tc>
          <w:tcPr>
            <w:tcW w:w="0" w:type="auto"/>
            <w:shd w:val="clear" w:color="auto" w:fill="CCEEFF"/>
            <w:tcMar>
              <w:top w:w="30" w:type="dxa"/>
              <w:left w:w="0" w:type="dxa"/>
              <w:bottom w:w="30" w:type="dxa"/>
              <w:right w:w="20" w:type="dxa"/>
            </w:tcMar>
            <w:vAlign w:val="center"/>
            <w:hideMark/>
          </w:tcPr>
          <w:p w14:paraId="2D27FAF9" w14:textId="77777777" w:rsidR="00000000" w:rsidRDefault="00C1661D">
            <w:pPr>
              <w:spacing w:after="100"/>
              <w:jc w:val="right"/>
              <w:rPr>
                <w:rFonts w:eastAsia="Times New Roman"/>
              </w:rPr>
            </w:pPr>
          </w:p>
        </w:tc>
      </w:tr>
      <w:tr w:rsidR="00000000" w14:paraId="01092DB8" w14:textId="77777777">
        <w:trPr>
          <w:divId w:val="615216295"/>
        </w:trPr>
        <w:tc>
          <w:tcPr>
            <w:tcW w:w="0" w:type="auto"/>
            <w:gridSpan w:val="3"/>
            <w:shd w:val="clear" w:color="auto" w:fill="FFFFFF"/>
            <w:tcMar>
              <w:top w:w="30" w:type="dxa"/>
              <w:left w:w="20" w:type="dxa"/>
              <w:bottom w:w="30" w:type="dxa"/>
              <w:right w:w="20" w:type="dxa"/>
            </w:tcMar>
            <w:vAlign w:val="center"/>
            <w:hideMark/>
          </w:tcPr>
          <w:p w14:paraId="69EABF27" w14:textId="77777777" w:rsidR="00000000" w:rsidRDefault="00C1661D">
            <w:pPr>
              <w:spacing w:after="100"/>
              <w:rPr>
                <w:rFonts w:eastAsia="Times New Roman"/>
              </w:rPr>
            </w:pPr>
            <w:r>
              <w:rPr>
                <w:rFonts w:eastAsia="Times New Roman"/>
                <w:color w:val="000000"/>
                <w:sz w:val="19"/>
                <w:szCs w:val="19"/>
              </w:rPr>
              <w:t>Total UGI Utilities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DB433E0" w14:textId="77777777" w:rsidR="00000000" w:rsidRDefault="00C1661D">
            <w:pPr>
              <w:spacing w:after="100"/>
              <w:jc w:val="right"/>
              <w:rPr>
                <w:rFonts w:eastAsia="Times New Roman"/>
              </w:rPr>
            </w:pPr>
            <w:r>
              <w:rPr>
                <w:rFonts w:eastAsia="Times New Roman"/>
                <w:color w:val="000000"/>
                <w:sz w:val="19"/>
                <w:szCs w:val="19"/>
              </w:rPr>
              <w:t>1,656 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5370A1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8BF08D"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29807EB" w14:textId="77777777" w:rsidR="00000000" w:rsidRDefault="00C1661D">
            <w:pPr>
              <w:spacing w:after="100"/>
              <w:jc w:val="right"/>
              <w:rPr>
                <w:rFonts w:eastAsia="Times New Roman"/>
              </w:rPr>
            </w:pPr>
            <w:r>
              <w:rPr>
                <w:rFonts w:eastAsia="Times New Roman"/>
                <w:color w:val="000000"/>
                <w:sz w:val="19"/>
                <w:szCs w:val="19"/>
              </w:rPr>
              <w:t>1,451 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D74B322" w14:textId="77777777" w:rsidR="00000000" w:rsidRDefault="00C1661D">
            <w:pPr>
              <w:spacing w:after="100"/>
              <w:jc w:val="right"/>
              <w:rPr>
                <w:rFonts w:eastAsia="Times New Roman"/>
              </w:rPr>
            </w:pPr>
          </w:p>
        </w:tc>
      </w:tr>
      <w:tr w:rsidR="00000000" w14:paraId="6213220D" w14:textId="77777777">
        <w:trPr>
          <w:divId w:val="615216295"/>
        </w:trPr>
        <w:tc>
          <w:tcPr>
            <w:tcW w:w="0" w:type="auto"/>
            <w:gridSpan w:val="3"/>
            <w:shd w:val="clear" w:color="auto" w:fill="CCEEFF"/>
            <w:tcMar>
              <w:top w:w="30" w:type="dxa"/>
              <w:left w:w="20" w:type="dxa"/>
              <w:bottom w:w="30" w:type="dxa"/>
              <w:right w:w="20" w:type="dxa"/>
            </w:tcMar>
            <w:vAlign w:val="center"/>
            <w:hideMark/>
          </w:tcPr>
          <w:p w14:paraId="582BA3D0" w14:textId="77777777" w:rsidR="00000000" w:rsidRDefault="00C1661D">
            <w:pPr>
              <w:spacing w:after="100"/>
              <w:rPr>
                <w:rFonts w:eastAsia="Times New Roman"/>
              </w:rPr>
            </w:pPr>
            <w:r>
              <w:rPr>
                <w:rFonts w:eastAsia="Times New Roman"/>
                <w:b/>
                <w:bCs/>
                <w:color w:val="000000"/>
                <w:sz w:val="19"/>
                <w:szCs w:val="19"/>
              </w:rPr>
              <w:t>UGI Corporation: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3856B4"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630B2A"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B00095" w14:textId="77777777" w:rsidR="00000000" w:rsidRDefault="00C1661D">
            <w:pPr>
              <w:spacing w:after="100"/>
              <w:rPr>
                <w:rFonts w:eastAsia="Times New Roman"/>
                <w:sz w:val="20"/>
                <w:szCs w:val="20"/>
              </w:rPr>
            </w:pPr>
          </w:p>
        </w:tc>
      </w:tr>
      <w:tr w:rsidR="00000000" w14:paraId="65F61420" w14:textId="77777777">
        <w:trPr>
          <w:divId w:val="615216295"/>
        </w:trPr>
        <w:tc>
          <w:tcPr>
            <w:tcW w:w="0" w:type="auto"/>
            <w:gridSpan w:val="3"/>
            <w:shd w:val="clear" w:color="auto" w:fill="FFFFFF"/>
            <w:tcMar>
              <w:top w:w="30" w:type="dxa"/>
              <w:left w:w="20" w:type="dxa"/>
              <w:bottom w:w="30" w:type="dxa"/>
              <w:right w:w="20" w:type="dxa"/>
            </w:tcMar>
            <w:vAlign w:val="center"/>
            <w:hideMark/>
          </w:tcPr>
          <w:p w14:paraId="130E4955" w14:textId="77777777" w:rsidR="00000000" w:rsidRDefault="00C1661D">
            <w:pPr>
              <w:spacing w:after="100"/>
              <w:rPr>
                <w:rFonts w:eastAsia="Times New Roman"/>
              </w:rPr>
            </w:pPr>
            <w:r>
              <w:rPr>
                <w:rFonts w:eastAsia="Times New Roman"/>
                <w:color w:val="000000"/>
                <w:sz w:val="19"/>
                <w:szCs w:val="19"/>
              </w:rPr>
              <w:t>UGI Corporation revolving credit facility maturing August 2024 (e)</w:t>
            </w:r>
          </w:p>
        </w:tc>
        <w:tc>
          <w:tcPr>
            <w:tcW w:w="0" w:type="auto"/>
            <w:gridSpan w:val="2"/>
            <w:shd w:val="clear" w:color="auto" w:fill="FFFFFF"/>
            <w:tcMar>
              <w:top w:w="30" w:type="dxa"/>
              <w:left w:w="20" w:type="dxa"/>
              <w:bottom w:w="30" w:type="dxa"/>
              <w:right w:w="0" w:type="dxa"/>
            </w:tcMar>
            <w:vAlign w:val="center"/>
            <w:hideMark/>
          </w:tcPr>
          <w:p w14:paraId="261FF7FB" w14:textId="77777777" w:rsidR="00000000" w:rsidRDefault="00C1661D">
            <w:pPr>
              <w:spacing w:after="100"/>
              <w:jc w:val="right"/>
              <w:rPr>
                <w:rFonts w:eastAsia="Times New Roman"/>
              </w:rPr>
            </w:pPr>
            <w:r>
              <w:rPr>
                <w:rFonts w:eastAsia="Times New Roman"/>
                <w:color w:val="000000"/>
                <w:sz w:val="19"/>
                <w:szCs w:val="19"/>
              </w:rPr>
              <w:t>252 </w:t>
            </w:r>
          </w:p>
        </w:tc>
        <w:tc>
          <w:tcPr>
            <w:tcW w:w="0" w:type="auto"/>
            <w:shd w:val="clear" w:color="auto" w:fill="FFFFFF"/>
            <w:tcMar>
              <w:top w:w="30" w:type="dxa"/>
              <w:left w:w="0" w:type="dxa"/>
              <w:bottom w:w="30" w:type="dxa"/>
              <w:right w:w="20" w:type="dxa"/>
            </w:tcMar>
            <w:vAlign w:val="center"/>
            <w:hideMark/>
          </w:tcPr>
          <w:p w14:paraId="3379113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95DA7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EC1579" w14:textId="77777777" w:rsidR="00000000" w:rsidRDefault="00C1661D">
            <w:pPr>
              <w:spacing w:after="100"/>
              <w:jc w:val="right"/>
              <w:rPr>
                <w:rFonts w:eastAsia="Times New Roman"/>
              </w:rPr>
            </w:pPr>
            <w:r>
              <w:rPr>
                <w:rFonts w:eastAsia="Times New Roman"/>
                <w:color w:val="000000"/>
                <w:sz w:val="19"/>
                <w:szCs w:val="19"/>
              </w:rPr>
              <w:t>185 </w:t>
            </w:r>
          </w:p>
        </w:tc>
        <w:tc>
          <w:tcPr>
            <w:tcW w:w="0" w:type="auto"/>
            <w:shd w:val="clear" w:color="auto" w:fill="FFFFFF"/>
            <w:tcMar>
              <w:top w:w="30" w:type="dxa"/>
              <w:left w:w="0" w:type="dxa"/>
              <w:bottom w:w="30" w:type="dxa"/>
              <w:right w:w="20" w:type="dxa"/>
            </w:tcMar>
            <w:vAlign w:val="center"/>
            <w:hideMark/>
          </w:tcPr>
          <w:p w14:paraId="6500ACE7" w14:textId="77777777" w:rsidR="00000000" w:rsidRDefault="00C1661D">
            <w:pPr>
              <w:spacing w:after="100"/>
              <w:jc w:val="right"/>
              <w:rPr>
                <w:rFonts w:eastAsia="Times New Roman"/>
              </w:rPr>
            </w:pPr>
          </w:p>
        </w:tc>
      </w:tr>
      <w:tr w:rsidR="00000000" w14:paraId="3AC9D92D" w14:textId="77777777">
        <w:trPr>
          <w:divId w:val="615216295"/>
        </w:trPr>
        <w:tc>
          <w:tcPr>
            <w:tcW w:w="0" w:type="auto"/>
            <w:gridSpan w:val="3"/>
            <w:shd w:val="clear" w:color="auto" w:fill="CCEEFF"/>
            <w:tcMar>
              <w:top w:w="30" w:type="dxa"/>
              <w:left w:w="20" w:type="dxa"/>
              <w:bottom w:w="30" w:type="dxa"/>
              <w:right w:w="20" w:type="dxa"/>
            </w:tcMar>
            <w:vAlign w:val="center"/>
            <w:hideMark/>
          </w:tcPr>
          <w:p w14:paraId="2C6EF348" w14:textId="77777777" w:rsidR="00000000" w:rsidRDefault="00C1661D">
            <w:pPr>
              <w:spacing w:after="100"/>
              <w:rPr>
                <w:rFonts w:eastAsia="Times New Roman"/>
              </w:rPr>
            </w:pPr>
            <w:r>
              <w:rPr>
                <w:rFonts w:eastAsia="Times New Roman"/>
                <w:color w:val="000000"/>
                <w:sz w:val="19"/>
                <w:szCs w:val="19"/>
              </w:rPr>
              <w:t>UGI Corporation variable-rate term loan due May 2025 (f)</w:t>
            </w:r>
          </w:p>
        </w:tc>
        <w:tc>
          <w:tcPr>
            <w:tcW w:w="0" w:type="auto"/>
            <w:gridSpan w:val="2"/>
            <w:shd w:val="clear" w:color="auto" w:fill="CCEEFF"/>
            <w:tcMar>
              <w:top w:w="30" w:type="dxa"/>
              <w:left w:w="20" w:type="dxa"/>
              <w:bottom w:w="30" w:type="dxa"/>
              <w:right w:w="0" w:type="dxa"/>
            </w:tcMar>
            <w:vAlign w:val="center"/>
            <w:hideMark/>
          </w:tcPr>
          <w:p w14:paraId="3777DAF6" w14:textId="77777777" w:rsidR="00000000" w:rsidRDefault="00C1661D">
            <w:pPr>
              <w:spacing w:after="100"/>
              <w:jc w:val="right"/>
              <w:rPr>
                <w:rFonts w:eastAsia="Times New Roman"/>
              </w:rPr>
            </w:pPr>
            <w:r>
              <w:rPr>
                <w:rFonts w:eastAsia="Times New Roman"/>
                <w:color w:val="000000"/>
                <w:sz w:val="19"/>
                <w:szCs w:val="19"/>
              </w:rPr>
              <w:t>300 </w:t>
            </w:r>
          </w:p>
        </w:tc>
        <w:tc>
          <w:tcPr>
            <w:tcW w:w="0" w:type="auto"/>
            <w:shd w:val="clear" w:color="auto" w:fill="CCEEFF"/>
            <w:tcMar>
              <w:top w:w="30" w:type="dxa"/>
              <w:left w:w="0" w:type="dxa"/>
              <w:bottom w:w="30" w:type="dxa"/>
              <w:right w:w="20" w:type="dxa"/>
            </w:tcMar>
            <w:vAlign w:val="center"/>
            <w:hideMark/>
          </w:tcPr>
          <w:p w14:paraId="0C17E5F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DECD7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7DFF2F" w14:textId="77777777" w:rsidR="00000000" w:rsidRDefault="00C1661D">
            <w:pPr>
              <w:spacing w:after="100"/>
              <w:jc w:val="right"/>
              <w:rPr>
                <w:rFonts w:eastAsia="Times New Roman"/>
              </w:rPr>
            </w:pPr>
            <w:r>
              <w:rPr>
                <w:rFonts w:eastAsia="Times New Roman"/>
                <w:color w:val="000000"/>
                <w:sz w:val="19"/>
                <w:szCs w:val="19"/>
              </w:rPr>
              <w:t>300 </w:t>
            </w:r>
          </w:p>
        </w:tc>
        <w:tc>
          <w:tcPr>
            <w:tcW w:w="0" w:type="auto"/>
            <w:shd w:val="clear" w:color="auto" w:fill="CCEEFF"/>
            <w:tcMar>
              <w:top w:w="30" w:type="dxa"/>
              <w:left w:w="0" w:type="dxa"/>
              <w:bottom w:w="30" w:type="dxa"/>
              <w:right w:w="20" w:type="dxa"/>
            </w:tcMar>
            <w:vAlign w:val="center"/>
            <w:hideMark/>
          </w:tcPr>
          <w:p w14:paraId="65B3B8EA" w14:textId="77777777" w:rsidR="00000000" w:rsidRDefault="00C1661D">
            <w:pPr>
              <w:spacing w:after="100"/>
              <w:jc w:val="right"/>
              <w:rPr>
                <w:rFonts w:eastAsia="Times New Roman"/>
              </w:rPr>
            </w:pPr>
          </w:p>
        </w:tc>
      </w:tr>
      <w:tr w:rsidR="00000000" w14:paraId="074A92DE" w14:textId="77777777">
        <w:trPr>
          <w:divId w:val="615216295"/>
        </w:trPr>
        <w:tc>
          <w:tcPr>
            <w:tcW w:w="0" w:type="auto"/>
            <w:gridSpan w:val="3"/>
            <w:shd w:val="clear" w:color="auto" w:fill="FFFFFF"/>
            <w:tcMar>
              <w:top w:w="30" w:type="dxa"/>
              <w:left w:w="20" w:type="dxa"/>
              <w:bottom w:w="30" w:type="dxa"/>
              <w:right w:w="20" w:type="dxa"/>
            </w:tcMar>
            <w:vAlign w:val="center"/>
            <w:hideMark/>
          </w:tcPr>
          <w:p w14:paraId="6C9D69F6" w14:textId="77777777" w:rsidR="00000000" w:rsidRDefault="00C1661D">
            <w:pPr>
              <w:spacing w:after="100"/>
              <w:rPr>
                <w:rFonts w:eastAsia="Times New Roman"/>
              </w:rPr>
            </w:pPr>
            <w:r>
              <w:rPr>
                <w:rFonts w:eastAsia="Times New Roman"/>
                <w:color w:val="000000"/>
                <w:sz w:val="19"/>
                <w:szCs w:val="19"/>
              </w:rPr>
              <w:t>UGI Corporation variable-rate term loan due through August 2024 (g)</w:t>
            </w:r>
          </w:p>
        </w:tc>
        <w:tc>
          <w:tcPr>
            <w:tcW w:w="0" w:type="auto"/>
            <w:gridSpan w:val="2"/>
            <w:shd w:val="clear" w:color="auto" w:fill="FFFFFF"/>
            <w:tcMar>
              <w:top w:w="30" w:type="dxa"/>
              <w:left w:w="20" w:type="dxa"/>
              <w:bottom w:w="30" w:type="dxa"/>
              <w:right w:w="0" w:type="dxa"/>
            </w:tcMar>
            <w:vAlign w:val="center"/>
            <w:hideMark/>
          </w:tcPr>
          <w:p w14:paraId="6DF701AB" w14:textId="77777777" w:rsidR="00000000" w:rsidRDefault="00C1661D">
            <w:pPr>
              <w:spacing w:after="100"/>
              <w:jc w:val="right"/>
              <w:rPr>
                <w:rFonts w:eastAsia="Times New Roman"/>
              </w:rPr>
            </w:pPr>
            <w:r>
              <w:rPr>
                <w:rFonts w:eastAsia="Times New Roman"/>
                <w:color w:val="000000"/>
                <w:sz w:val="19"/>
                <w:szCs w:val="19"/>
              </w:rPr>
              <w:t>250 </w:t>
            </w:r>
          </w:p>
        </w:tc>
        <w:tc>
          <w:tcPr>
            <w:tcW w:w="0" w:type="auto"/>
            <w:shd w:val="clear" w:color="auto" w:fill="FFFFFF"/>
            <w:tcMar>
              <w:top w:w="30" w:type="dxa"/>
              <w:left w:w="0" w:type="dxa"/>
              <w:bottom w:w="30" w:type="dxa"/>
              <w:right w:w="20" w:type="dxa"/>
            </w:tcMar>
            <w:vAlign w:val="center"/>
            <w:hideMark/>
          </w:tcPr>
          <w:p w14:paraId="3807EE5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4F44C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0DDFC8" w14:textId="77777777" w:rsidR="00000000" w:rsidRDefault="00C1661D">
            <w:pPr>
              <w:spacing w:after="100"/>
              <w:jc w:val="right"/>
              <w:rPr>
                <w:rFonts w:eastAsia="Times New Roman"/>
              </w:rPr>
            </w:pPr>
            <w:r>
              <w:rPr>
                <w:rFonts w:eastAsia="Times New Roman"/>
                <w:color w:val="000000"/>
                <w:sz w:val="19"/>
                <w:szCs w:val="19"/>
              </w:rPr>
              <w:t>250 </w:t>
            </w:r>
          </w:p>
        </w:tc>
        <w:tc>
          <w:tcPr>
            <w:tcW w:w="0" w:type="auto"/>
            <w:shd w:val="clear" w:color="auto" w:fill="FFFFFF"/>
            <w:tcMar>
              <w:top w:w="30" w:type="dxa"/>
              <w:left w:w="0" w:type="dxa"/>
              <w:bottom w:w="30" w:type="dxa"/>
              <w:right w:w="20" w:type="dxa"/>
            </w:tcMar>
            <w:vAlign w:val="center"/>
            <w:hideMark/>
          </w:tcPr>
          <w:p w14:paraId="364EC78F" w14:textId="77777777" w:rsidR="00000000" w:rsidRDefault="00C1661D">
            <w:pPr>
              <w:spacing w:after="100"/>
              <w:jc w:val="right"/>
              <w:rPr>
                <w:rFonts w:eastAsia="Times New Roman"/>
              </w:rPr>
            </w:pPr>
          </w:p>
        </w:tc>
      </w:tr>
      <w:tr w:rsidR="00000000" w14:paraId="3EDB3755" w14:textId="77777777">
        <w:trPr>
          <w:divId w:val="615216295"/>
        </w:trPr>
        <w:tc>
          <w:tcPr>
            <w:tcW w:w="0" w:type="auto"/>
            <w:gridSpan w:val="3"/>
            <w:shd w:val="clear" w:color="auto" w:fill="CCEEFF"/>
            <w:tcMar>
              <w:top w:w="30" w:type="dxa"/>
              <w:left w:w="20" w:type="dxa"/>
              <w:bottom w:w="30" w:type="dxa"/>
              <w:right w:w="20" w:type="dxa"/>
            </w:tcMar>
            <w:vAlign w:val="center"/>
            <w:hideMark/>
          </w:tcPr>
          <w:p w14:paraId="52F100ED" w14:textId="77777777" w:rsidR="00000000" w:rsidRDefault="00C1661D">
            <w:pPr>
              <w:spacing w:after="100"/>
              <w:rPr>
                <w:rFonts w:eastAsia="Times New Roman"/>
              </w:rPr>
            </w:pPr>
            <w:r>
              <w:rPr>
                <w:rFonts w:eastAsia="Times New Roman"/>
                <w:color w:val="000000"/>
                <w:sz w:val="19"/>
                <w:szCs w:val="19"/>
              </w:rPr>
              <w:t>UGI Corporation variable-rate term loan due May 2025 (h)</w:t>
            </w:r>
          </w:p>
        </w:tc>
        <w:tc>
          <w:tcPr>
            <w:tcW w:w="0" w:type="auto"/>
            <w:gridSpan w:val="2"/>
            <w:shd w:val="clear" w:color="auto" w:fill="CCEEFF"/>
            <w:tcMar>
              <w:top w:w="30" w:type="dxa"/>
              <w:left w:w="20" w:type="dxa"/>
              <w:bottom w:w="30" w:type="dxa"/>
              <w:right w:w="0" w:type="dxa"/>
            </w:tcMar>
            <w:vAlign w:val="center"/>
            <w:hideMark/>
          </w:tcPr>
          <w:p w14:paraId="02BD595F" w14:textId="77777777" w:rsidR="00000000" w:rsidRDefault="00C1661D">
            <w:pPr>
              <w:spacing w:after="100"/>
              <w:jc w:val="right"/>
              <w:rPr>
                <w:rFonts w:eastAsia="Times New Roman"/>
              </w:rPr>
            </w:pPr>
            <w:r>
              <w:rPr>
                <w:rFonts w:eastAsia="Times New Roman"/>
                <w:color w:val="000000"/>
                <w:sz w:val="19"/>
                <w:szCs w:val="19"/>
              </w:rPr>
              <w:t>215 </w:t>
            </w:r>
          </w:p>
        </w:tc>
        <w:tc>
          <w:tcPr>
            <w:tcW w:w="0" w:type="auto"/>
            <w:shd w:val="clear" w:color="auto" w:fill="CCEEFF"/>
            <w:tcMar>
              <w:top w:w="30" w:type="dxa"/>
              <w:left w:w="0" w:type="dxa"/>
              <w:bottom w:w="30" w:type="dxa"/>
              <w:right w:w="20" w:type="dxa"/>
            </w:tcMar>
            <w:vAlign w:val="center"/>
            <w:hideMark/>
          </w:tcPr>
          <w:p w14:paraId="351A39C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642F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E48BEC" w14:textId="77777777" w:rsidR="00000000" w:rsidRDefault="00C1661D">
            <w:pPr>
              <w:spacing w:after="100"/>
              <w:jc w:val="right"/>
              <w:rPr>
                <w:rFonts w:eastAsia="Times New Roman"/>
              </w:rPr>
            </w:pPr>
            <w:r>
              <w:rPr>
                <w:rFonts w:eastAsia="Times New Roman"/>
                <w:color w:val="000000"/>
                <w:sz w:val="19"/>
                <w:szCs w:val="19"/>
              </w:rPr>
              <w:t>215 </w:t>
            </w:r>
          </w:p>
        </w:tc>
        <w:tc>
          <w:tcPr>
            <w:tcW w:w="0" w:type="auto"/>
            <w:shd w:val="clear" w:color="auto" w:fill="CCEEFF"/>
            <w:tcMar>
              <w:top w:w="30" w:type="dxa"/>
              <w:left w:w="0" w:type="dxa"/>
              <w:bottom w:w="30" w:type="dxa"/>
              <w:right w:w="20" w:type="dxa"/>
            </w:tcMar>
            <w:vAlign w:val="center"/>
            <w:hideMark/>
          </w:tcPr>
          <w:p w14:paraId="32D8B66D" w14:textId="77777777" w:rsidR="00000000" w:rsidRDefault="00C1661D">
            <w:pPr>
              <w:spacing w:after="100"/>
              <w:jc w:val="right"/>
              <w:rPr>
                <w:rFonts w:eastAsia="Times New Roman"/>
              </w:rPr>
            </w:pPr>
          </w:p>
        </w:tc>
      </w:tr>
      <w:tr w:rsidR="00000000" w14:paraId="685691F5" w14:textId="77777777">
        <w:trPr>
          <w:divId w:val="615216295"/>
        </w:trPr>
        <w:tc>
          <w:tcPr>
            <w:tcW w:w="0" w:type="auto"/>
            <w:gridSpan w:val="3"/>
            <w:shd w:val="clear" w:color="auto" w:fill="FFFFFF"/>
            <w:tcMar>
              <w:top w:w="30" w:type="dxa"/>
              <w:left w:w="20" w:type="dxa"/>
              <w:bottom w:w="30" w:type="dxa"/>
              <w:right w:w="20" w:type="dxa"/>
            </w:tcMar>
            <w:vAlign w:val="center"/>
            <w:hideMark/>
          </w:tcPr>
          <w:p w14:paraId="7AE69982" w14:textId="77777777" w:rsidR="00000000" w:rsidRDefault="00C1661D">
            <w:pPr>
              <w:spacing w:after="100"/>
              <w:rPr>
                <w:rFonts w:eastAsia="Times New Roman"/>
              </w:rPr>
            </w:pPr>
            <w:r>
              <w:rPr>
                <w:rFonts w:eastAsia="Times New Roman"/>
                <w:color w:val="000000"/>
                <w:sz w:val="19"/>
                <w:szCs w:val="19"/>
              </w:rPr>
              <w:t>Unamortized debt issuance costs</w:t>
            </w:r>
          </w:p>
        </w:tc>
        <w:tc>
          <w:tcPr>
            <w:tcW w:w="0" w:type="auto"/>
            <w:gridSpan w:val="2"/>
            <w:shd w:val="clear" w:color="auto" w:fill="FFFFFF"/>
            <w:tcMar>
              <w:top w:w="30" w:type="dxa"/>
              <w:left w:w="20" w:type="dxa"/>
              <w:bottom w:w="30" w:type="dxa"/>
              <w:right w:w="0" w:type="dxa"/>
            </w:tcMar>
            <w:vAlign w:val="center"/>
            <w:hideMark/>
          </w:tcPr>
          <w:p w14:paraId="7B9C0410" w14:textId="77777777" w:rsidR="00000000" w:rsidRDefault="00C1661D">
            <w:pPr>
              <w:spacing w:after="100"/>
              <w:jc w:val="right"/>
              <w:rPr>
                <w:rFonts w:eastAsia="Times New Roman"/>
              </w:rPr>
            </w:pPr>
            <w:r>
              <w:rPr>
                <w:rFonts w:eastAsia="Times New Roman"/>
                <w:color w:val="000000"/>
                <w:sz w:val="19"/>
                <w:szCs w:val="19"/>
              </w:rPr>
              <w:t>(2)</w:t>
            </w:r>
          </w:p>
        </w:tc>
        <w:tc>
          <w:tcPr>
            <w:tcW w:w="0" w:type="auto"/>
            <w:shd w:val="clear" w:color="auto" w:fill="FFFFFF"/>
            <w:tcMar>
              <w:top w:w="30" w:type="dxa"/>
              <w:left w:w="0" w:type="dxa"/>
              <w:bottom w:w="30" w:type="dxa"/>
              <w:right w:w="20" w:type="dxa"/>
            </w:tcMar>
            <w:vAlign w:val="center"/>
            <w:hideMark/>
          </w:tcPr>
          <w:p w14:paraId="2B54D31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34291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197FF2" w14:textId="77777777" w:rsidR="00000000" w:rsidRDefault="00C1661D">
            <w:pPr>
              <w:spacing w:after="100"/>
              <w:jc w:val="right"/>
              <w:rPr>
                <w:rFonts w:eastAsia="Times New Roman"/>
              </w:rPr>
            </w:pPr>
            <w:r>
              <w:rPr>
                <w:rFonts w:eastAsia="Times New Roman"/>
                <w:color w:val="000000"/>
                <w:sz w:val="19"/>
                <w:szCs w:val="19"/>
              </w:rPr>
              <w:t>(5)</w:t>
            </w:r>
          </w:p>
        </w:tc>
        <w:tc>
          <w:tcPr>
            <w:tcW w:w="0" w:type="auto"/>
            <w:shd w:val="clear" w:color="auto" w:fill="FFFFFF"/>
            <w:tcMar>
              <w:top w:w="30" w:type="dxa"/>
              <w:left w:w="0" w:type="dxa"/>
              <w:bottom w:w="30" w:type="dxa"/>
              <w:right w:w="20" w:type="dxa"/>
            </w:tcMar>
            <w:vAlign w:val="center"/>
            <w:hideMark/>
          </w:tcPr>
          <w:p w14:paraId="194E3511" w14:textId="77777777" w:rsidR="00000000" w:rsidRDefault="00C1661D">
            <w:pPr>
              <w:spacing w:after="100"/>
              <w:jc w:val="right"/>
              <w:rPr>
                <w:rFonts w:eastAsia="Times New Roman"/>
              </w:rPr>
            </w:pPr>
          </w:p>
        </w:tc>
      </w:tr>
      <w:tr w:rsidR="00000000" w14:paraId="68614D57" w14:textId="77777777">
        <w:trPr>
          <w:divId w:val="615216295"/>
        </w:trPr>
        <w:tc>
          <w:tcPr>
            <w:tcW w:w="0" w:type="auto"/>
            <w:gridSpan w:val="3"/>
            <w:shd w:val="clear" w:color="auto" w:fill="CCEEFF"/>
            <w:tcMar>
              <w:top w:w="30" w:type="dxa"/>
              <w:left w:w="20" w:type="dxa"/>
              <w:bottom w:w="30" w:type="dxa"/>
              <w:right w:w="20" w:type="dxa"/>
            </w:tcMar>
            <w:vAlign w:val="center"/>
            <w:hideMark/>
          </w:tcPr>
          <w:p w14:paraId="5C2A5A77" w14:textId="77777777" w:rsidR="00000000" w:rsidRDefault="00C1661D">
            <w:pPr>
              <w:spacing w:after="100"/>
              <w:rPr>
                <w:rFonts w:eastAsia="Times New Roman"/>
              </w:rPr>
            </w:pPr>
            <w:r>
              <w:rPr>
                <w:rFonts w:eastAsia="Times New Roman"/>
                <w:color w:val="000000"/>
                <w:sz w:val="19"/>
                <w:szCs w:val="19"/>
              </w:rPr>
              <w:t>Total UGI Corporation</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FDD67BD" w14:textId="77777777" w:rsidR="00000000" w:rsidRDefault="00C1661D">
            <w:pPr>
              <w:spacing w:after="100"/>
              <w:jc w:val="right"/>
              <w:rPr>
                <w:rFonts w:eastAsia="Times New Roman"/>
              </w:rPr>
            </w:pPr>
            <w:r>
              <w:rPr>
                <w:rFonts w:eastAsia="Times New Roman"/>
                <w:color w:val="000000"/>
                <w:sz w:val="19"/>
                <w:szCs w:val="19"/>
              </w:rPr>
              <w:t>1,015 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BE195B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38DE47"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8B41300" w14:textId="77777777" w:rsidR="00000000" w:rsidRDefault="00C1661D">
            <w:pPr>
              <w:spacing w:after="100"/>
              <w:jc w:val="right"/>
              <w:rPr>
                <w:rFonts w:eastAsia="Times New Roman"/>
              </w:rPr>
            </w:pPr>
            <w:r>
              <w:rPr>
                <w:rFonts w:eastAsia="Times New Roman"/>
                <w:color w:val="000000"/>
                <w:sz w:val="19"/>
                <w:szCs w:val="19"/>
              </w:rPr>
              <w:t>945 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F49AC3C" w14:textId="77777777" w:rsidR="00000000" w:rsidRDefault="00C1661D">
            <w:pPr>
              <w:spacing w:after="100"/>
              <w:jc w:val="right"/>
              <w:rPr>
                <w:rFonts w:eastAsia="Times New Roman"/>
              </w:rPr>
            </w:pPr>
          </w:p>
        </w:tc>
      </w:tr>
      <w:tr w:rsidR="00000000" w14:paraId="44B7709B" w14:textId="77777777">
        <w:trPr>
          <w:divId w:val="615216295"/>
        </w:trPr>
        <w:tc>
          <w:tcPr>
            <w:tcW w:w="0" w:type="auto"/>
            <w:gridSpan w:val="3"/>
            <w:shd w:val="clear" w:color="auto" w:fill="FFFFFF"/>
            <w:tcMar>
              <w:top w:w="30" w:type="dxa"/>
              <w:left w:w="20" w:type="dxa"/>
              <w:bottom w:w="30" w:type="dxa"/>
              <w:right w:w="20" w:type="dxa"/>
            </w:tcMar>
            <w:vAlign w:val="center"/>
            <w:hideMark/>
          </w:tcPr>
          <w:p w14:paraId="77E0F0BF" w14:textId="77777777" w:rsidR="00000000" w:rsidRDefault="00C1661D">
            <w:pPr>
              <w:spacing w:after="100"/>
              <w:rPr>
                <w:rFonts w:eastAsia="Times New Roman"/>
              </w:rPr>
            </w:pPr>
            <w:r>
              <w:rPr>
                <w:rFonts w:eastAsia="Times New Roman"/>
                <w:color w:val="000000"/>
                <w:sz w:val="19"/>
                <w:szCs w:val="19"/>
              </w:rPr>
              <w:t>Other</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B80D00B" w14:textId="77777777" w:rsidR="00000000" w:rsidRDefault="00C1661D">
            <w:pPr>
              <w:spacing w:after="100"/>
              <w:jc w:val="right"/>
              <w:rPr>
                <w:rFonts w:eastAsia="Times New Roman"/>
              </w:rPr>
            </w:pPr>
            <w:r>
              <w:rPr>
                <w:rFonts w:eastAsia="Times New Roman"/>
                <w:color w:val="000000"/>
                <w:sz w:val="19"/>
                <w:szCs w:val="19"/>
              </w:rPr>
              <w:t>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7B9E4D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8C60A5"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1648CA8" w14:textId="77777777" w:rsidR="00000000" w:rsidRDefault="00C1661D">
            <w:pPr>
              <w:spacing w:after="100"/>
              <w:jc w:val="right"/>
              <w:rPr>
                <w:rFonts w:eastAsia="Times New Roman"/>
              </w:rPr>
            </w:pPr>
            <w:r>
              <w:rPr>
                <w:rFonts w:eastAsia="Times New Roman"/>
                <w:color w:val="000000"/>
                <w:sz w:val="19"/>
                <w:szCs w:val="19"/>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974E664" w14:textId="77777777" w:rsidR="00000000" w:rsidRDefault="00C1661D">
            <w:pPr>
              <w:spacing w:after="100"/>
              <w:jc w:val="right"/>
              <w:rPr>
                <w:rFonts w:eastAsia="Times New Roman"/>
              </w:rPr>
            </w:pPr>
          </w:p>
        </w:tc>
      </w:tr>
      <w:tr w:rsidR="00000000" w14:paraId="398ECB2B" w14:textId="77777777">
        <w:trPr>
          <w:divId w:val="615216295"/>
        </w:trPr>
        <w:tc>
          <w:tcPr>
            <w:tcW w:w="0" w:type="auto"/>
            <w:gridSpan w:val="3"/>
            <w:shd w:val="clear" w:color="auto" w:fill="CCEEFF"/>
            <w:tcMar>
              <w:top w:w="30" w:type="dxa"/>
              <w:left w:w="20" w:type="dxa"/>
              <w:bottom w:w="30" w:type="dxa"/>
              <w:right w:w="20" w:type="dxa"/>
            </w:tcMar>
            <w:vAlign w:val="center"/>
            <w:hideMark/>
          </w:tcPr>
          <w:p w14:paraId="4C67C1D3" w14:textId="77777777" w:rsidR="00000000" w:rsidRDefault="00C1661D">
            <w:pPr>
              <w:spacing w:after="100"/>
              <w:rPr>
                <w:rFonts w:eastAsia="Times New Roman"/>
              </w:rPr>
            </w:pPr>
            <w:r>
              <w:rPr>
                <w:rFonts w:eastAsia="Times New Roman"/>
                <w:color w:val="000000"/>
                <w:sz w:val="19"/>
                <w:szCs w:val="19"/>
              </w:rPr>
              <w:t>Total long-term debt</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3839B7C" w14:textId="77777777" w:rsidR="00000000" w:rsidRDefault="00C1661D">
            <w:pPr>
              <w:spacing w:after="100"/>
              <w:jc w:val="right"/>
              <w:rPr>
                <w:rFonts w:eastAsia="Times New Roman"/>
              </w:rPr>
            </w:pPr>
            <w:r>
              <w:rPr>
                <w:rFonts w:eastAsia="Times New Roman"/>
                <w:color w:val="000000"/>
                <w:sz w:val="19"/>
                <w:szCs w:val="19"/>
              </w:rPr>
              <w:t>6,632 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F0CA1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860A0E"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B3CA749" w14:textId="77777777" w:rsidR="00000000" w:rsidRDefault="00C1661D">
            <w:pPr>
              <w:spacing w:after="100"/>
              <w:jc w:val="right"/>
              <w:rPr>
                <w:rFonts w:eastAsia="Times New Roman"/>
              </w:rPr>
            </w:pPr>
            <w:r>
              <w:rPr>
                <w:rFonts w:eastAsia="Times New Roman"/>
                <w:color w:val="000000"/>
                <w:sz w:val="19"/>
                <w:szCs w:val="19"/>
              </w:rPr>
              <w:t>6,449 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0EA5A17" w14:textId="77777777" w:rsidR="00000000" w:rsidRDefault="00C1661D">
            <w:pPr>
              <w:spacing w:after="100"/>
              <w:jc w:val="right"/>
              <w:rPr>
                <w:rFonts w:eastAsia="Times New Roman"/>
              </w:rPr>
            </w:pPr>
          </w:p>
        </w:tc>
      </w:tr>
      <w:tr w:rsidR="00000000" w14:paraId="668D314D" w14:textId="77777777">
        <w:trPr>
          <w:divId w:val="615216295"/>
        </w:trPr>
        <w:tc>
          <w:tcPr>
            <w:tcW w:w="0" w:type="auto"/>
            <w:gridSpan w:val="3"/>
            <w:shd w:val="clear" w:color="auto" w:fill="FFFFFF"/>
            <w:tcMar>
              <w:top w:w="30" w:type="dxa"/>
              <w:left w:w="20" w:type="dxa"/>
              <w:bottom w:w="30" w:type="dxa"/>
              <w:right w:w="20" w:type="dxa"/>
            </w:tcMar>
            <w:vAlign w:val="center"/>
            <w:hideMark/>
          </w:tcPr>
          <w:p w14:paraId="36150DE9" w14:textId="77777777" w:rsidR="00000000" w:rsidRDefault="00C1661D">
            <w:pPr>
              <w:spacing w:after="100"/>
              <w:rPr>
                <w:rFonts w:eastAsia="Times New Roman"/>
              </w:rPr>
            </w:pPr>
            <w:r>
              <w:rPr>
                <w:rFonts w:eastAsia="Times New Roman"/>
                <w:color w:val="000000"/>
                <w:sz w:val="19"/>
                <w:szCs w:val="19"/>
              </w:rPr>
              <w:t>Less: current maturities</w:t>
            </w:r>
          </w:p>
        </w:tc>
        <w:tc>
          <w:tcPr>
            <w:tcW w:w="0" w:type="auto"/>
            <w:gridSpan w:val="2"/>
            <w:shd w:val="clear" w:color="auto" w:fill="FFFFFF"/>
            <w:tcMar>
              <w:top w:w="30" w:type="dxa"/>
              <w:left w:w="20" w:type="dxa"/>
              <w:bottom w:w="30" w:type="dxa"/>
              <w:right w:w="0" w:type="dxa"/>
            </w:tcMar>
            <w:vAlign w:val="center"/>
            <w:hideMark/>
          </w:tcPr>
          <w:p w14:paraId="60C3680D" w14:textId="77777777" w:rsidR="00000000" w:rsidRDefault="00C1661D">
            <w:pPr>
              <w:spacing w:after="100"/>
              <w:jc w:val="right"/>
              <w:rPr>
                <w:rFonts w:eastAsia="Times New Roman"/>
              </w:rPr>
            </w:pPr>
            <w:r>
              <w:rPr>
                <w:rFonts w:eastAsia="Times New Roman"/>
                <w:color w:val="000000"/>
                <w:sz w:val="19"/>
                <w:szCs w:val="19"/>
              </w:rPr>
              <w:t>(149)</w:t>
            </w:r>
          </w:p>
        </w:tc>
        <w:tc>
          <w:tcPr>
            <w:tcW w:w="0" w:type="auto"/>
            <w:shd w:val="clear" w:color="auto" w:fill="FFFFFF"/>
            <w:tcMar>
              <w:top w:w="30" w:type="dxa"/>
              <w:left w:w="0" w:type="dxa"/>
              <w:bottom w:w="30" w:type="dxa"/>
              <w:right w:w="20" w:type="dxa"/>
            </w:tcMar>
            <w:vAlign w:val="center"/>
            <w:hideMark/>
          </w:tcPr>
          <w:p w14:paraId="437BB4B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D0528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F9F509" w14:textId="77777777" w:rsidR="00000000" w:rsidRDefault="00C1661D">
            <w:pPr>
              <w:spacing w:after="100"/>
              <w:jc w:val="right"/>
              <w:rPr>
                <w:rFonts w:eastAsia="Times New Roman"/>
              </w:rPr>
            </w:pPr>
            <w:r>
              <w:rPr>
                <w:rFonts w:eastAsia="Times New Roman"/>
                <w:color w:val="000000"/>
                <w:sz w:val="19"/>
                <w:szCs w:val="19"/>
              </w:rPr>
              <w:t>(110)</w:t>
            </w:r>
          </w:p>
        </w:tc>
        <w:tc>
          <w:tcPr>
            <w:tcW w:w="0" w:type="auto"/>
            <w:shd w:val="clear" w:color="auto" w:fill="FFFFFF"/>
            <w:tcMar>
              <w:top w:w="30" w:type="dxa"/>
              <w:left w:w="0" w:type="dxa"/>
              <w:bottom w:w="30" w:type="dxa"/>
              <w:right w:w="20" w:type="dxa"/>
            </w:tcMar>
            <w:vAlign w:val="center"/>
            <w:hideMark/>
          </w:tcPr>
          <w:p w14:paraId="6D3A098C" w14:textId="77777777" w:rsidR="00000000" w:rsidRDefault="00C1661D">
            <w:pPr>
              <w:spacing w:after="100"/>
              <w:jc w:val="right"/>
              <w:rPr>
                <w:rFonts w:eastAsia="Times New Roman"/>
              </w:rPr>
            </w:pPr>
          </w:p>
        </w:tc>
      </w:tr>
      <w:tr w:rsidR="00000000" w14:paraId="33703C91" w14:textId="77777777">
        <w:trPr>
          <w:divId w:val="615216295"/>
        </w:trPr>
        <w:tc>
          <w:tcPr>
            <w:tcW w:w="0" w:type="auto"/>
            <w:gridSpan w:val="3"/>
            <w:shd w:val="clear" w:color="auto" w:fill="CCEEFF"/>
            <w:tcMar>
              <w:top w:w="30" w:type="dxa"/>
              <w:left w:w="20" w:type="dxa"/>
              <w:bottom w:w="30" w:type="dxa"/>
              <w:right w:w="20" w:type="dxa"/>
            </w:tcMar>
            <w:vAlign w:val="center"/>
            <w:hideMark/>
          </w:tcPr>
          <w:p w14:paraId="51A9480A" w14:textId="77777777" w:rsidR="00000000" w:rsidRDefault="00C1661D">
            <w:pPr>
              <w:spacing w:after="100"/>
              <w:rPr>
                <w:rFonts w:eastAsia="Times New Roman"/>
              </w:rPr>
            </w:pPr>
            <w:r>
              <w:rPr>
                <w:rFonts w:eastAsia="Times New Roman"/>
                <w:color w:val="000000"/>
                <w:sz w:val="19"/>
                <w:szCs w:val="19"/>
              </w:rPr>
              <w:t>Total long-term debt due after one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63D8524" w14:textId="77777777" w:rsidR="00000000" w:rsidRDefault="00C1661D">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129AA4A" w14:textId="77777777" w:rsidR="00000000" w:rsidRDefault="00C1661D">
            <w:pPr>
              <w:spacing w:after="100"/>
              <w:jc w:val="right"/>
              <w:rPr>
                <w:rFonts w:eastAsia="Times New Roman"/>
              </w:rPr>
            </w:pPr>
            <w:r>
              <w:rPr>
                <w:rFonts w:eastAsia="Times New Roman"/>
                <w:color w:val="000000"/>
                <w:sz w:val="19"/>
                <w:szCs w:val="19"/>
              </w:rPr>
              <w:t>6,483 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676CE8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DDA4E6"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00BEA90" w14:textId="77777777" w:rsidR="00000000" w:rsidRDefault="00C1661D">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4327C71" w14:textId="77777777" w:rsidR="00000000" w:rsidRDefault="00C1661D">
            <w:pPr>
              <w:spacing w:after="100"/>
              <w:jc w:val="right"/>
              <w:rPr>
                <w:rFonts w:eastAsia="Times New Roman"/>
              </w:rPr>
            </w:pPr>
            <w:r>
              <w:rPr>
                <w:rFonts w:eastAsia="Times New Roman"/>
                <w:color w:val="000000"/>
                <w:sz w:val="19"/>
                <w:szCs w:val="19"/>
              </w:rPr>
              <w:t>6,339 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FDCC4A1" w14:textId="77777777" w:rsidR="00000000" w:rsidRDefault="00C1661D">
            <w:pPr>
              <w:spacing w:after="100"/>
              <w:jc w:val="right"/>
              <w:rPr>
                <w:rFonts w:eastAsia="Times New Roman"/>
              </w:rPr>
            </w:pPr>
          </w:p>
        </w:tc>
      </w:tr>
    </w:tbl>
    <w:p w14:paraId="73D0459D" w14:textId="77777777" w:rsidR="00000000" w:rsidRDefault="00C1661D">
      <w:pPr>
        <w:jc w:val="both"/>
        <w:divId w:val="1711681586"/>
        <w:rPr>
          <w:rFonts w:eastAsia="Times New Roman"/>
        </w:rPr>
      </w:pPr>
    </w:p>
    <w:p w14:paraId="180B880E" w14:textId="77777777" w:rsidR="00000000" w:rsidRDefault="00C1661D">
      <w:pPr>
        <w:jc w:val="center"/>
        <w:divId w:val="89470684"/>
        <w:rPr>
          <w:rFonts w:eastAsia="Times New Roman"/>
        </w:rPr>
      </w:pPr>
      <w:r>
        <w:rPr>
          <w:rFonts w:eastAsia="Times New Roman"/>
          <w:color w:val="000000"/>
          <w:sz w:val="20"/>
          <w:szCs w:val="20"/>
        </w:rPr>
        <w:t>F-30</w:t>
      </w:r>
    </w:p>
    <w:p w14:paraId="0D6F49D8" w14:textId="77777777" w:rsidR="00000000" w:rsidRDefault="00C1661D">
      <w:pPr>
        <w:rPr>
          <w:rFonts w:eastAsia="Times New Roman"/>
        </w:rPr>
      </w:pPr>
      <w:r>
        <w:rPr>
          <w:rFonts w:eastAsia="Times New Roman"/>
        </w:rPr>
        <w:pict w14:anchorId="17C77274">
          <v:rect id="_x0000_i1143" style="width:0;height:1.5pt" o:hralign="center" o:hrstd="t" o:hr="t" fillcolor="#a0a0a0" stroked="f"/>
        </w:pict>
      </w:r>
    </w:p>
    <w:p w14:paraId="0170A543" w14:textId="77777777" w:rsidR="00000000" w:rsidRDefault="00C1661D">
      <w:pPr>
        <w:divId w:val="1543446065"/>
        <w:rPr>
          <w:rFonts w:eastAsia="Times New Roman"/>
        </w:rPr>
      </w:pPr>
      <w:hyperlink w:anchor="i3850c3c6c0104e42b9951aac2f16098a_7" w:history="1">
        <w:r>
          <w:rPr>
            <w:rStyle w:val="a3"/>
            <w:rFonts w:eastAsia="Times New Roman"/>
            <w:sz w:val="20"/>
            <w:szCs w:val="20"/>
          </w:rPr>
          <w:t>Table of Contents</w:t>
        </w:r>
      </w:hyperlink>
    </w:p>
    <w:p w14:paraId="59809AE2" w14:textId="77777777" w:rsidR="00000000" w:rsidRDefault="00C1661D">
      <w:pPr>
        <w:divId w:val="1322269205"/>
        <w:rPr>
          <w:rFonts w:eastAsia="Times New Roman"/>
        </w:rPr>
      </w:pPr>
      <w:r>
        <w:rPr>
          <w:rFonts w:eastAsia="Times New Roman"/>
          <w:b/>
          <w:bCs/>
          <w:color w:val="000000"/>
          <w:sz w:val="20"/>
          <w:szCs w:val="20"/>
        </w:rPr>
        <w:t>UGI Corporation and Subsidiaries</w:t>
      </w:r>
    </w:p>
    <w:p w14:paraId="35C2BC00" w14:textId="77777777" w:rsidR="00000000" w:rsidRDefault="00C1661D">
      <w:pPr>
        <w:divId w:val="1528643325"/>
        <w:rPr>
          <w:rFonts w:eastAsia="Times New Roman"/>
        </w:rPr>
      </w:pPr>
      <w:r>
        <w:rPr>
          <w:rFonts w:eastAsia="Times New Roman"/>
          <w:b/>
          <w:bCs/>
          <w:color w:val="000000"/>
          <w:sz w:val="20"/>
          <w:szCs w:val="20"/>
        </w:rPr>
        <w:t>Notes to Consolidated Financial Statements</w:t>
      </w:r>
    </w:p>
    <w:p w14:paraId="0AB32086" w14:textId="77777777" w:rsidR="00000000" w:rsidRDefault="00C1661D">
      <w:pPr>
        <w:divId w:val="406808668"/>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14:paraId="14F363F6" w14:textId="77777777" w:rsidR="00000000" w:rsidRDefault="00C1661D">
      <w:pPr>
        <w:ind w:hanging="360"/>
        <w:jc w:val="both"/>
        <w:rPr>
          <w:rFonts w:eastAsia="Times New Roman"/>
        </w:rPr>
      </w:pPr>
      <w:r>
        <w:rPr>
          <w:rFonts w:eastAsia="Times New Roman"/>
          <w:color w:val="000000"/>
          <w:sz w:val="20"/>
          <w:szCs w:val="20"/>
        </w:rPr>
        <w:t>(a)The effective interest rate on the term loan was 1.89% at both September 30, 2022 and 2021. We have entered into pay- fixed, receive-variable interest rate swaps to effectively fix the underlying variable rate on these borrowings.</w:t>
      </w:r>
    </w:p>
    <w:p w14:paraId="584E9F72" w14:textId="77777777" w:rsidR="00000000" w:rsidRDefault="00C1661D">
      <w:pPr>
        <w:ind w:hanging="360"/>
        <w:jc w:val="both"/>
        <w:rPr>
          <w:rFonts w:eastAsia="Times New Roman"/>
        </w:rPr>
      </w:pPr>
      <w:r>
        <w:rPr>
          <w:rFonts w:eastAsia="Times New Roman"/>
          <w:color w:val="000000"/>
          <w:sz w:val="20"/>
          <w:szCs w:val="20"/>
        </w:rPr>
        <w:t>(b)At Septe</w:t>
      </w:r>
      <w:r>
        <w:rPr>
          <w:rFonts w:eastAsia="Times New Roman"/>
          <w:color w:val="000000"/>
          <w:sz w:val="20"/>
          <w:szCs w:val="20"/>
        </w:rPr>
        <w:t>mber 30, 2022 and 2021, the effective interest rates on the term loan were 5.13% and 5.23%, respectively. We have entered into a pay-fixed, receive-variable interest rate swap to effectively fix the underlying variable rate on these borrowings. Term loan b</w:t>
      </w:r>
      <w:r>
        <w:rPr>
          <w:rFonts w:eastAsia="Times New Roman"/>
          <w:color w:val="000000"/>
          <w:sz w:val="20"/>
          <w:szCs w:val="20"/>
        </w:rPr>
        <w:t>orrowings are due in equal quarterly installments of $2, with the balance of the principal being due in full at maturity. Under certain circumstances, Energy Services is required to make additional principal payments if the consolidated total leverage rati</w:t>
      </w:r>
      <w:r>
        <w:rPr>
          <w:rFonts w:eastAsia="Times New Roman"/>
          <w:color w:val="000000"/>
          <w:sz w:val="20"/>
          <w:szCs w:val="20"/>
        </w:rPr>
        <w:t>o, as defined, is greater than defined thresholds. This term loan is collateralized by substantially all of the assets of Energy Services, subject to certain exceptions and carveouts including, but not limited to, accounts receivable and certain real prope</w:t>
      </w:r>
      <w:r>
        <w:rPr>
          <w:rFonts w:eastAsia="Times New Roman"/>
          <w:color w:val="000000"/>
          <w:sz w:val="20"/>
          <w:szCs w:val="20"/>
        </w:rPr>
        <w:t>rty.</w:t>
      </w:r>
    </w:p>
    <w:p w14:paraId="5B47B267" w14:textId="77777777" w:rsidR="00000000" w:rsidRDefault="00C1661D">
      <w:pPr>
        <w:ind w:hanging="360"/>
        <w:jc w:val="both"/>
        <w:rPr>
          <w:rFonts w:eastAsia="Times New Roman"/>
        </w:rPr>
      </w:pPr>
      <w:r>
        <w:rPr>
          <w:rFonts w:eastAsia="Times New Roman"/>
          <w:color w:val="000000"/>
          <w:sz w:val="20"/>
          <w:szCs w:val="20"/>
        </w:rPr>
        <w:t>(c)Total long-term debt at September 30, 2022 and 2021, comprises $180 and $140 principal amount of Mountaineer senior secured notes plus unamortized premium of $21 and $24, respectively. The face interest rates on the Mountaineer senior notes range f</w:t>
      </w:r>
      <w:r>
        <w:rPr>
          <w:rFonts w:eastAsia="Times New Roman"/>
          <w:color w:val="000000"/>
          <w:sz w:val="20"/>
          <w:szCs w:val="20"/>
        </w:rPr>
        <w:t>rom 3.50% to 4.49%, with maturities ranging from 2027 to 2052.</w:t>
      </w:r>
    </w:p>
    <w:p w14:paraId="6893F906" w14:textId="77777777" w:rsidR="00000000" w:rsidRDefault="00C1661D">
      <w:pPr>
        <w:ind w:hanging="360"/>
        <w:jc w:val="both"/>
        <w:rPr>
          <w:rFonts w:eastAsia="Times New Roman"/>
        </w:rPr>
      </w:pPr>
      <w:r>
        <w:rPr>
          <w:rFonts w:eastAsia="Times New Roman"/>
          <w:color w:val="000000"/>
          <w:sz w:val="20"/>
          <w:szCs w:val="20"/>
        </w:rPr>
        <w:t>(d)At September 30, 2022 and 2021, the effective interest rate on this term loan was 3.92% and 4.00%, respectively. We have entered into a pay-fixed, receive-variable interest rate swap to effe</w:t>
      </w:r>
      <w:r>
        <w:rPr>
          <w:rFonts w:eastAsia="Times New Roman"/>
          <w:color w:val="000000"/>
          <w:sz w:val="20"/>
          <w:szCs w:val="20"/>
        </w:rPr>
        <w:t>ctively fix the underlying variable rate on these borrowings. Term loan borrowings are due in equal quarterly installments of $2, with the balance of the principal being due in full at maturity.</w:t>
      </w:r>
    </w:p>
    <w:p w14:paraId="0FC552B2" w14:textId="77777777" w:rsidR="00000000" w:rsidRDefault="00C1661D">
      <w:pPr>
        <w:ind w:hanging="360"/>
        <w:jc w:val="both"/>
        <w:rPr>
          <w:rFonts w:eastAsia="Times New Roman"/>
        </w:rPr>
      </w:pPr>
      <w:r>
        <w:rPr>
          <w:rFonts w:eastAsia="Times New Roman"/>
          <w:color w:val="000000"/>
          <w:sz w:val="20"/>
          <w:szCs w:val="20"/>
        </w:rPr>
        <w:t>(e)At September 30, 2022 and 2021, the effective interest rat</w:t>
      </w:r>
      <w:r>
        <w:rPr>
          <w:rFonts w:eastAsia="Times New Roman"/>
          <w:color w:val="000000"/>
          <w:sz w:val="20"/>
          <w:szCs w:val="20"/>
        </w:rPr>
        <w:t xml:space="preserve">es on credit facility borrowings were 5.61% and 3.27%, respectively. We have entered into pay-fixed, receive-variable interest rate swaps to effectively fix the underlying variable rate on a portion of these borrowings. </w:t>
      </w:r>
    </w:p>
    <w:p w14:paraId="20021F47" w14:textId="77777777" w:rsidR="00000000" w:rsidRDefault="00C1661D">
      <w:pPr>
        <w:ind w:hanging="360"/>
        <w:jc w:val="both"/>
        <w:rPr>
          <w:rFonts w:eastAsia="Times New Roman"/>
        </w:rPr>
      </w:pPr>
      <w:r>
        <w:rPr>
          <w:rFonts w:eastAsia="Times New Roman"/>
          <w:color w:val="000000"/>
          <w:sz w:val="20"/>
          <w:szCs w:val="20"/>
        </w:rPr>
        <w:t xml:space="preserve">(f)At September 30, 2022 and 2021, </w:t>
      </w:r>
      <w:r>
        <w:rPr>
          <w:rFonts w:eastAsia="Times New Roman"/>
          <w:color w:val="000000"/>
          <w:sz w:val="20"/>
          <w:szCs w:val="20"/>
        </w:rPr>
        <w:t xml:space="preserve">the effective interest rates on the term loan was 2.67% and 3.26%, respectively. We have entered into pay-fixed, receive-variable interest rate swaps to effectively fix the underlying variable rate on these borrowings. </w:t>
      </w:r>
    </w:p>
    <w:p w14:paraId="0C76AB81" w14:textId="77777777" w:rsidR="00000000" w:rsidRDefault="00C1661D">
      <w:pPr>
        <w:ind w:hanging="360"/>
        <w:jc w:val="both"/>
        <w:rPr>
          <w:rFonts w:eastAsia="Times New Roman"/>
        </w:rPr>
      </w:pPr>
      <w:r>
        <w:rPr>
          <w:rFonts w:eastAsia="Times New Roman"/>
          <w:color w:val="000000"/>
          <w:sz w:val="20"/>
          <w:szCs w:val="20"/>
        </w:rPr>
        <w:t>(g)At September 30, 2022 and 2021, t</w:t>
      </w:r>
      <w:r>
        <w:rPr>
          <w:rFonts w:eastAsia="Times New Roman"/>
          <w:color w:val="000000"/>
          <w:sz w:val="20"/>
          <w:szCs w:val="20"/>
        </w:rPr>
        <w:t>he effective interest rates on the term loan were 4.15% and 3.56%, respectively. We have entered into pay-fixed, receive-variable interest rate swaps to effectively fix the underlying variable rate on a portion of these borrowings. Term loan borrowings are</w:t>
      </w:r>
      <w:r>
        <w:rPr>
          <w:rFonts w:eastAsia="Times New Roman"/>
          <w:color w:val="000000"/>
          <w:sz w:val="20"/>
          <w:szCs w:val="20"/>
        </w:rPr>
        <w:t xml:space="preserve"> due in equal quarterly installments of $9, commencing December 2022, with the balance of the principal being due in full at maturity.</w:t>
      </w:r>
    </w:p>
    <w:p w14:paraId="3F9E3CFE" w14:textId="77777777" w:rsidR="00000000" w:rsidRDefault="00C1661D">
      <w:pPr>
        <w:ind w:hanging="360"/>
        <w:jc w:val="both"/>
        <w:rPr>
          <w:rFonts w:eastAsia="Times New Roman"/>
        </w:rPr>
      </w:pPr>
      <w:r>
        <w:rPr>
          <w:rFonts w:eastAsia="Times New Roman"/>
          <w:color w:val="000000"/>
          <w:sz w:val="20"/>
          <w:szCs w:val="20"/>
        </w:rPr>
        <w:t>(h)At September 30, 2022 and 2021, the effective interest rates on the term loan were 3.53% and 1.88%. We have entered in</w:t>
      </w:r>
      <w:r>
        <w:rPr>
          <w:rFonts w:eastAsia="Times New Roman"/>
          <w:color w:val="000000"/>
          <w:sz w:val="20"/>
          <w:szCs w:val="20"/>
        </w:rPr>
        <w:t xml:space="preserve">to pay-fixed, receive-variable interest rate swaps to effectively fix the underlying variable rate on these borrowings. </w:t>
      </w:r>
    </w:p>
    <w:p w14:paraId="3496C0E7" w14:textId="77777777" w:rsidR="00000000" w:rsidRDefault="00C1661D">
      <w:pPr>
        <w:jc w:val="both"/>
        <w:rPr>
          <w:rFonts w:eastAsia="Times New Roman"/>
        </w:rPr>
      </w:pPr>
    </w:p>
    <w:p w14:paraId="16733596" w14:textId="77777777" w:rsidR="00000000" w:rsidRDefault="00C1661D">
      <w:pPr>
        <w:jc w:val="both"/>
        <w:rPr>
          <w:rFonts w:eastAsia="Times New Roman"/>
        </w:rPr>
      </w:pPr>
      <w:r>
        <w:rPr>
          <w:rFonts w:eastAsia="Times New Roman"/>
          <w:color w:val="000000"/>
          <w:sz w:val="20"/>
          <w:szCs w:val="20"/>
        </w:rPr>
        <w:t xml:space="preserve">Scheduled principal repayments of long-term debt for each of the next five fiscal years ending September 30 are as follows: </w:t>
      </w:r>
    </w:p>
    <w:tbl>
      <w:tblPr>
        <w:tblW w:w="4992" w:type="pct"/>
        <w:tblCellMar>
          <w:top w:w="15" w:type="dxa"/>
          <w:left w:w="15" w:type="dxa"/>
          <w:bottom w:w="15" w:type="dxa"/>
          <w:right w:w="15" w:type="dxa"/>
        </w:tblCellMar>
        <w:tblLook w:val="04A0" w:firstRow="1" w:lastRow="0" w:firstColumn="1" w:lastColumn="0" w:noHBand="0" w:noVBand="1"/>
      </w:tblPr>
      <w:tblGrid>
        <w:gridCol w:w="38"/>
        <w:gridCol w:w="2619"/>
        <w:gridCol w:w="37"/>
        <w:gridCol w:w="120"/>
        <w:gridCol w:w="913"/>
        <w:gridCol w:w="36"/>
        <w:gridCol w:w="36"/>
        <w:gridCol w:w="36"/>
        <w:gridCol w:w="36"/>
        <w:gridCol w:w="120"/>
        <w:gridCol w:w="868"/>
        <w:gridCol w:w="36"/>
        <w:gridCol w:w="36"/>
        <w:gridCol w:w="36"/>
        <w:gridCol w:w="36"/>
        <w:gridCol w:w="120"/>
        <w:gridCol w:w="868"/>
        <w:gridCol w:w="36"/>
        <w:gridCol w:w="36"/>
        <w:gridCol w:w="36"/>
        <w:gridCol w:w="36"/>
        <w:gridCol w:w="120"/>
        <w:gridCol w:w="868"/>
        <w:gridCol w:w="36"/>
        <w:gridCol w:w="36"/>
        <w:gridCol w:w="36"/>
        <w:gridCol w:w="36"/>
        <w:gridCol w:w="120"/>
        <w:gridCol w:w="870"/>
        <w:gridCol w:w="36"/>
      </w:tblGrid>
      <w:tr w:rsidR="00000000" w14:paraId="63C8CF3D" w14:textId="77777777">
        <w:trPr>
          <w:divId w:val="815100120"/>
        </w:trPr>
        <w:tc>
          <w:tcPr>
            <w:tcW w:w="50" w:type="pct"/>
            <w:vAlign w:val="center"/>
            <w:hideMark/>
          </w:tcPr>
          <w:p w14:paraId="5CDB82E6" w14:textId="77777777" w:rsidR="00000000" w:rsidRDefault="00C1661D">
            <w:pPr>
              <w:jc w:val="both"/>
              <w:rPr>
                <w:rFonts w:eastAsia="Times New Roman"/>
              </w:rPr>
            </w:pPr>
          </w:p>
        </w:tc>
        <w:tc>
          <w:tcPr>
            <w:tcW w:w="1614" w:type="pct"/>
            <w:vAlign w:val="center"/>
            <w:hideMark/>
          </w:tcPr>
          <w:p w14:paraId="6C398F5D" w14:textId="77777777" w:rsidR="00000000" w:rsidRDefault="00C1661D">
            <w:pPr>
              <w:spacing w:after="100"/>
              <w:rPr>
                <w:rFonts w:eastAsia="Times New Roman"/>
                <w:sz w:val="20"/>
                <w:szCs w:val="20"/>
              </w:rPr>
            </w:pPr>
          </w:p>
        </w:tc>
        <w:tc>
          <w:tcPr>
            <w:tcW w:w="5" w:type="pct"/>
            <w:vAlign w:val="center"/>
            <w:hideMark/>
          </w:tcPr>
          <w:p w14:paraId="773DCC82" w14:textId="77777777" w:rsidR="00000000" w:rsidRDefault="00C1661D">
            <w:pPr>
              <w:spacing w:after="100"/>
              <w:rPr>
                <w:rFonts w:eastAsia="Times New Roman"/>
                <w:sz w:val="20"/>
                <w:szCs w:val="20"/>
              </w:rPr>
            </w:pPr>
          </w:p>
        </w:tc>
        <w:tc>
          <w:tcPr>
            <w:tcW w:w="50" w:type="pct"/>
            <w:vAlign w:val="center"/>
            <w:hideMark/>
          </w:tcPr>
          <w:p w14:paraId="18DB7C75" w14:textId="77777777" w:rsidR="00000000" w:rsidRDefault="00C1661D">
            <w:pPr>
              <w:spacing w:after="100"/>
              <w:rPr>
                <w:rFonts w:eastAsia="Times New Roman"/>
                <w:sz w:val="20"/>
                <w:szCs w:val="20"/>
              </w:rPr>
            </w:pPr>
          </w:p>
        </w:tc>
        <w:tc>
          <w:tcPr>
            <w:tcW w:w="581" w:type="pct"/>
            <w:vAlign w:val="center"/>
            <w:hideMark/>
          </w:tcPr>
          <w:p w14:paraId="37425744" w14:textId="77777777" w:rsidR="00000000" w:rsidRDefault="00C1661D">
            <w:pPr>
              <w:spacing w:after="100"/>
              <w:rPr>
                <w:rFonts w:eastAsia="Times New Roman"/>
                <w:sz w:val="20"/>
                <w:szCs w:val="20"/>
              </w:rPr>
            </w:pPr>
          </w:p>
        </w:tc>
        <w:tc>
          <w:tcPr>
            <w:tcW w:w="5" w:type="pct"/>
            <w:vAlign w:val="center"/>
            <w:hideMark/>
          </w:tcPr>
          <w:p w14:paraId="071A9F7A" w14:textId="77777777" w:rsidR="00000000" w:rsidRDefault="00C1661D">
            <w:pPr>
              <w:spacing w:after="100"/>
              <w:rPr>
                <w:rFonts w:eastAsia="Times New Roman"/>
                <w:sz w:val="20"/>
                <w:szCs w:val="20"/>
              </w:rPr>
            </w:pPr>
          </w:p>
        </w:tc>
        <w:tc>
          <w:tcPr>
            <w:tcW w:w="5" w:type="pct"/>
            <w:vAlign w:val="center"/>
            <w:hideMark/>
          </w:tcPr>
          <w:p w14:paraId="2364C1A5" w14:textId="77777777" w:rsidR="00000000" w:rsidRDefault="00C1661D">
            <w:pPr>
              <w:spacing w:after="100"/>
              <w:rPr>
                <w:rFonts w:eastAsia="Times New Roman"/>
                <w:sz w:val="20"/>
                <w:szCs w:val="20"/>
              </w:rPr>
            </w:pPr>
          </w:p>
        </w:tc>
        <w:tc>
          <w:tcPr>
            <w:tcW w:w="26" w:type="pct"/>
            <w:vAlign w:val="center"/>
            <w:hideMark/>
          </w:tcPr>
          <w:p w14:paraId="6B65A4DD" w14:textId="77777777" w:rsidR="00000000" w:rsidRDefault="00C1661D">
            <w:pPr>
              <w:spacing w:after="100"/>
              <w:rPr>
                <w:rFonts w:eastAsia="Times New Roman"/>
                <w:sz w:val="20"/>
                <w:szCs w:val="20"/>
              </w:rPr>
            </w:pPr>
          </w:p>
        </w:tc>
        <w:tc>
          <w:tcPr>
            <w:tcW w:w="5" w:type="pct"/>
            <w:vAlign w:val="center"/>
            <w:hideMark/>
          </w:tcPr>
          <w:p w14:paraId="3572AEE4" w14:textId="77777777" w:rsidR="00000000" w:rsidRDefault="00C1661D">
            <w:pPr>
              <w:spacing w:after="100"/>
              <w:rPr>
                <w:rFonts w:eastAsia="Times New Roman"/>
                <w:sz w:val="20"/>
                <w:szCs w:val="20"/>
              </w:rPr>
            </w:pPr>
          </w:p>
        </w:tc>
        <w:tc>
          <w:tcPr>
            <w:tcW w:w="50" w:type="pct"/>
            <w:vAlign w:val="center"/>
            <w:hideMark/>
          </w:tcPr>
          <w:p w14:paraId="0BAC3D5E" w14:textId="77777777" w:rsidR="00000000" w:rsidRDefault="00C1661D">
            <w:pPr>
              <w:spacing w:after="100"/>
              <w:rPr>
                <w:rFonts w:eastAsia="Times New Roman"/>
                <w:sz w:val="20"/>
                <w:szCs w:val="20"/>
              </w:rPr>
            </w:pPr>
          </w:p>
        </w:tc>
        <w:tc>
          <w:tcPr>
            <w:tcW w:w="581" w:type="pct"/>
            <w:vAlign w:val="center"/>
            <w:hideMark/>
          </w:tcPr>
          <w:p w14:paraId="69BAFF23" w14:textId="77777777" w:rsidR="00000000" w:rsidRDefault="00C1661D">
            <w:pPr>
              <w:spacing w:after="100"/>
              <w:rPr>
                <w:rFonts w:eastAsia="Times New Roman"/>
                <w:sz w:val="20"/>
                <w:szCs w:val="20"/>
              </w:rPr>
            </w:pPr>
          </w:p>
        </w:tc>
        <w:tc>
          <w:tcPr>
            <w:tcW w:w="5" w:type="pct"/>
            <w:vAlign w:val="center"/>
            <w:hideMark/>
          </w:tcPr>
          <w:p w14:paraId="45DAC033" w14:textId="77777777" w:rsidR="00000000" w:rsidRDefault="00C1661D">
            <w:pPr>
              <w:spacing w:after="100"/>
              <w:rPr>
                <w:rFonts w:eastAsia="Times New Roman"/>
                <w:sz w:val="20"/>
                <w:szCs w:val="20"/>
              </w:rPr>
            </w:pPr>
          </w:p>
        </w:tc>
        <w:tc>
          <w:tcPr>
            <w:tcW w:w="5" w:type="pct"/>
            <w:vAlign w:val="center"/>
            <w:hideMark/>
          </w:tcPr>
          <w:p w14:paraId="740C403D" w14:textId="77777777" w:rsidR="00000000" w:rsidRDefault="00C1661D">
            <w:pPr>
              <w:spacing w:after="100"/>
              <w:rPr>
                <w:rFonts w:eastAsia="Times New Roman"/>
                <w:sz w:val="20"/>
                <w:szCs w:val="20"/>
              </w:rPr>
            </w:pPr>
          </w:p>
        </w:tc>
        <w:tc>
          <w:tcPr>
            <w:tcW w:w="26" w:type="pct"/>
            <w:vAlign w:val="center"/>
            <w:hideMark/>
          </w:tcPr>
          <w:p w14:paraId="15094A97" w14:textId="77777777" w:rsidR="00000000" w:rsidRDefault="00C1661D">
            <w:pPr>
              <w:spacing w:after="100"/>
              <w:rPr>
                <w:rFonts w:eastAsia="Times New Roman"/>
                <w:sz w:val="20"/>
                <w:szCs w:val="20"/>
              </w:rPr>
            </w:pPr>
          </w:p>
        </w:tc>
        <w:tc>
          <w:tcPr>
            <w:tcW w:w="5" w:type="pct"/>
            <w:vAlign w:val="center"/>
            <w:hideMark/>
          </w:tcPr>
          <w:p w14:paraId="207F4206" w14:textId="77777777" w:rsidR="00000000" w:rsidRDefault="00C1661D">
            <w:pPr>
              <w:spacing w:after="100"/>
              <w:rPr>
                <w:rFonts w:eastAsia="Times New Roman"/>
                <w:sz w:val="20"/>
                <w:szCs w:val="20"/>
              </w:rPr>
            </w:pPr>
          </w:p>
        </w:tc>
        <w:tc>
          <w:tcPr>
            <w:tcW w:w="50" w:type="pct"/>
            <w:vAlign w:val="center"/>
            <w:hideMark/>
          </w:tcPr>
          <w:p w14:paraId="4D149860" w14:textId="77777777" w:rsidR="00000000" w:rsidRDefault="00C1661D">
            <w:pPr>
              <w:spacing w:after="100"/>
              <w:rPr>
                <w:rFonts w:eastAsia="Times New Roman"/>
                <w:sz w:val="20"/>
                <w:szCs w:val="20"/>
              </w:rPr>
            </w:pPr>
          </w:p>
        </w:tc>
        <w:tc>
          <w:tcPr>
            <w:tcW w:w="581" w:type="pct"/>
            <w:vAlign w:val="center"/>
            <w:hideMark/>
          </w:tcPr>
          <w:p w14:paraId="2A267D8F" w14:textId="77777777" w:rsidR="00000000" w:rsidRDefault="00C1661D">
            <w:pPr>
              <w:spacing w:after="100"/>
              <w:rPr>
                <w:rFonts w:eastAsia="Times New Roman"/>
                <w:sz w:val="20"/>
                <w:szCs w:val="20"/>
              </w:rPr>
            </w:pPr>
          </w:p>
        </w:tc>
        <w:tc>
          <w:tcPr>
            <w:tcW w:w="5" w:type="pct"/>
            <w:vAlign w:val="center"/>
            <w:hideMark/>
          </w:tcPr>
          <w:p w14:paraId="21AB92E5" w14:textId="77777777" w:rsidR="00000000" w:rsidRDefault="00C1661D">
            <w:pPr>
              <w:spacing w:after="100"/>
              <w:rPr>
                <w:rFonts w:eastAsia="Times New Roman"/>
                <w:sz w:val="20"/>
                <w:szCs w:val="20"/>
              </w:rPr>
            </w:pPr>
          </w:p>
        </w:tc>
        <w:tc>
          <w:tcPr>
            <w:tcW w:w="5" w:type="pct"/>
            <w:vAlign w:val="center"/>
            <w:hideMark/>
          </w:tcPr>
          <w:p w14:paraId="4E2F1AA8" w14:textId="77777777" w:rsidR="00000000" w:rsidRDefault="00C1661D">
            <w:pPr>
              <w:spacing w:after="100"/>
              <w:rPr>
                <w:rFonts w:eastAsia="Times New Roman"/>
                <w:sz w:val="20"/>
                <w:szCs w:val="20"/>
              </w:rPr>
            </w:pPr>
          </w:p>
        </w:tc>
        <w:tc>
          <w:tcPr>
            <w:tcW w:w="26" w:type="pct"/>
            <w:vAlign w:val="center"/>
            <w:hideMark/>
          </w:tcPr>
          <w:p w14:paraId="001E731B" w14:textId="77777777" w:rsidR="00000000" w:rsidRDefault="00C1661D">
            <w:pPr>
              <w:spacing w:after="100"/>
              <w:rPr>
                <w:rFonts w:eastAsia="Times New Roman"/>
                <w:sz w:val="20"/>
                <w:szCs w:val="20"/>
              </w:rPr>
            </w:pPr>
          </w:p>
        </w:tc>
        <w:tc>
          <w:tcPr>
            <w:tcW w:w="5" w:type="pct"/>
            <w:vAlign w:val="center"/>
            <w:hideMark/>
          </w:tcPr>
          <w:p w14:paraId="2B327EA5" w14:textId="77777777" w:rsidR="00000000" w:rsidRDefault="00C1661D">
            <w:pPr>
              <w:spacing w:after="100"/>
              <w:rPr>
                <w:rFonts w:eastAsia="Times New Roman"/>
                <w:sz w:val="20"/>
                <w:szCs w:val="20"/>
              </w:rPr>
            </w:pPr>
          </w:p>
        </w:tc>
        <w:tc>
          <w:tcPr>
            <w:tcW w:w="50" w:type="pct"/>
            <w:vAlign w:val="center"/>
            <w:hideMark/>
          </w:tcPr>
          <w:p w14:paraId="4B313D62" w14:textId="77777777" w:rsidR="00000000" w:rsidRDefault="00C1661D">
            <w:pPr>
              <w:spacing w:after="100"/>
              <w:rPr>
                <w:rFonts w:eastAsia="Times New Roman"/>
                <w:sz w:val="20"/>
                <w:szCs w:val="20"/>
              </w:rPr>
            </w:pPr>
          </w:p>
        </w:tc>
        <w:tc>
          <w:tcPr>
            <w:tcW w:w="581" w:type="pct"/>
            <w:vAlign w:val="center"/>
            <w:hideMark/>
          </w:tcPr>
          <w:p w14:paraId="3B0CBEBB" w14:textId="77777777" w:rsidR="00000000" w:rsidRDefault="00C1661D">
            <w:pPr>
              <w:spacing w:after="100"/>
              <w:rPr>
                <w:rFonts w:eastAsia="Times New Roman"/>
                <w:sz w:val="20"/>
                <w:szCs w:val="20"/>
              </w:rPr>
            </w:pPr>
          </w:p>
        </w:tc>
        <w:tc>
          <w:tcPr>
            <w:tcW w:w="5" w:type="pct"/>
            <w:vAlign w:val="center"/>
            <w:hideMark/>
          </w:tcPr>
          <w:p w14:paraId="72FDD583" w14:textId="77777777" w:rsidR="00000000" w:rsidRDefault="00C1661D">
            <w:pPr>
              <w:spacing w:after="100"/>
              <w:rPr>
                <w:rFonts w:eastAsia="Times New Roman"/>
                <w:sz w:val="20"/>
                <w:szCs w:val="20"/>
              </w:rPr>
            </w:pPr>
          </w:p>
        </w:tc>
        <w:tc>
          <w:tcPr>
            <w:tcW w:w="5" w:type="pct"/>
            <w:vAlign w:val="center"/>
            <w:hideMark/>
          </w:tcPr>
          <w:p w14:paraId="0EF4EAAB" w14:textId="77777777" w:rsidR="00000000" w:rsidRDefault="00C1661D">
            <w:pPr>
              <w:spacing w:after="100"/>
              <w:rPr>
                <w:rFonts w:eastAsia="Times New Roman"/>
                <w:sz w:val="20"/>
                <w:szCs w:val="20"/>
              </w:rPr>
            </w:pPr>
          </w:p>
        </w:tc>
        <w:tc>
          <w:tcPr>
            <w:tcW w:w="26" w:type="pct"/>
            <w:vAlign w:val="center"/>
            <w:hideMark/>
          </w:tcPr>
          <w:p w14:paraId="64DB6122" w14:textId="77777777" w:rsidR="00000000" w:rsidRDefault="00C1661D">
            <w:pPr>
              <w:spacing w:after="100"/>
              <w:rPr>
                <w:rFonts w:eastAsia="Times New Roman"/>
                <w:sz w:val="20"/>
                <w:szCs w:val="20"/>
              </w:rPr>
            </w:pPr>
          </w:p>
        </w:tc>
        <w:tc>
          <w:tcPr>
            <w:tcW w:w="5" w:type="pct"/>
            <w:vAlign w:val="center"/>
            <w:hideMark/>
          </w:tcPr>
          <w:p w14:paraId="4F2A4C56" w14:textId="77777777" w:rsidR="00000000" w:rsidRDefault="00C1661D">
            <w:pPr>
              <w:spacing w:after="100"/>
              <w:rPr>
                <w:rFonts w:eastAsia="Times New Roman"/>
                <w:sz w:val="20"/>
                <w:szCs w:val="20"/>
              </w:rPr>
            </w:pPr>
          </w:p>
        </w:tc>
        <w:tc>
          <w:tcPr>
            <w:tcW w:w="50" w:type="pct"/>
            <w:vAlign w:val="center"/>
            <w:hideMark/>
          </w:tcPr>
          <w:p w14:paraId="24BF6A2B" w14:textId="77777777" w:rsidR="00000000" w:rsidRDefault="00C1661D">
            <w:pPr>
              <w:spacing w:after="100"/>
              <w:rPr>
                <w:rFonts w:eastAsia="Times New Roman"/>
                <w:sz w:val="20"/>
                <w:szCs w:val="20"/>
              </w:rPr>
            </w:pPr>
          </w:p>
        </w:tc>
        <w:tc>
          <w:tcPr>
            <w:tcW w:w="582" w:type="pct"/>
            <w:vAlign w:val="center"/>
            <w:hideMark/>
          </w:tcPr>
          <w:p w14:paraId="5E58AED0" w14:textId="77777777" w:rsidR="00000000" w:rsidRDefault="00C1661D">
            <w:pPr>
              <w:spacing w:after="100"/>
              <w:rPr>
                <w:rFonts w:eastAsia="Times New Roman"/>
                <w:sz w:val="20"/>
                <w:szCs w:val="20"/>
              </w:rPr>
            </w:pPr>
          </w:p>
        </w:tc>
        <w:tc>
          <w:tcPr>
            <w:tcW w:w="5" w:type="pct"/>
            <w:vAlign w:val="center"/>
            <w:hideMark/>
          </w:tcPr>
          <w:p w14:paraId="0B374E70" w14:textId="77777777" w:rsidR="00000000" w:rsidRDefault="00C1661D">
            <w:pPr>
              <w:spacing w:after="100"/>
              <w:rPr>
                <w:rFonts w:eastAsia="Times New Roman"/>
                <w:sz w:val="20"/>
                <w:szCs w:val="20"/>
              </w:rPr>
            </w:pPr>
          </w:p>
        </w:tc>
      </w:tr>
      <w:tr w:rsidR="00000000" w14:paraId="00B6DE41" w14:textId="77777777">
        <w:trPr>
          <w:divId w:val="815100120"/>
        </w:trPr>
        <w:tc>
          <w:tcPr>
            <w:tcW w:w="0" w:type="auto"/>
            <w:gridSpan w:val="3"/>
            <w:tcMar>
              <w:top w:w="0" w:type="dxa"/>
              <w:left w:w="20" w:type="dxa"/>
              <w:bottom w:w="0" w:type="dxa"/>
              <w:right w:w="20" w:type="dxa"/>
            </w:tcMar>
            <w:vAlign w:val="center"/>
            <w:hideMark/>
          </w:tcPr>
          <w:p w14:paraId="29C34BFA"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446701D" w14:textId="77777777" w:rsidR="00000000" w:rsidRDefault="00C1661D">
            <w:pPr>
              <w:spacing w:after="100"/>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14:paraId="5D47EE83"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B95F999" w14:textId="77777777" w:rsidR="00000000" w:rsidRDefault="00C1661D">
            <w:pPr>
              <w:spacing w:after="100"/>
              <w:jc w:val="center"/>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14:paraId="33952C8A"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CDA6852" w14:textId="77777777" w:rsidR="00000000" w:rsidRDefault="00C1661D">
            <w:pPr>
              <w:spacing w:after="100"/>
              <w:jc w:val="center"/>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14:paraId="61E108D9"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1D5ECD" w14:textId="77777777" w:rsidR="00000000" w:rsidRDefault="00C1661D">
            <w:pPr>
              <w:spacing w:after="100"/>
              <w:jc w:val="center"/>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14:paraId="2ECA9C84"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DE336B7" w14:textId="77777777" w:rsidR="00000000" w:rsidRDefault="00C1661D">
            <w:pPr>
              <w:spacing w:after="100"/>
              <w:jc w:val="center"/>
              <w:rPr>
                <w:rFonts w:eastAsia="Times New Roman"/>
              </w:rPr>
            </w:pPr>
            <w:r>
              <w:rPr>
                <w:rFonts w:eastAsia="Times New Roman"/>
                <w:color w:val="000000"/>
                <w:sz w:val="20"/>
                <w:szCs w:val="20"/>
              </w:rPr>
              <w:t>2027</w:t>
            </w:r>
          </w:p>
        </w:tc>
      </w:tr>
      <w:tr w:rsidR="00000000" w14:paraId="7587865A" w14:textId="77777777">
        <w:trPr>
          <w:divId w:val="815100120"/>
        </w:trPr>
        <w:tc>
          <w:tcPr>
            <w:tcW w:w="0" w:type="auto"/>
            <w:gridSpan w:val="3"/>
            <w:shd w:val="clear" w:color="auto" w:fill="CCEEFF"/>
            <w:tcMar>
              <w:top w:w="30" w:type="dxa"/>
              <w:left w:w="20" w:type="dxa"/>
              <w:bottom w:w="30" w:type="dxa"/>
              <w:right w:w="20" w:type="dxa"/>
            </w:tcMar>
            <w:vAlign w:val="bottom"/>
            <w:hideMark/>
          </w:tcPr>
          <w:p w14:paraId="027919F1" w14:textId="77777777" w:rsidR="00000000" w:rsidRDefault="00C1661D">
            <w:pPr>
              <w:spacing w:after="100"/>
              <w:rPr>
                <w:rFonts w:eastAsia="Times New Roman"/>
              </w:rPr>
            </w:pPr>
            <w:r>
              <w:rPr>
                <w:rFonts w:eastAsia="Times New Roman"/>
                <w:color w:val="000000"/>
                <w:sz w:val="20"/>
                <w:szCs w:val="20"/>
              </w:rPr>
              <w:t>AmeriGas Propane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E4DA1C"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906C47" w14:textId="77777777" w:rsidR="00000000" w:rsidRDefault="00C1661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96B3F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81D75B"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2F776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039C5B" w14:textId="77777777" w:rsidR="00000000" w:rsidRDefault="00C1661D">
            <w:pPr>
              <w:spacing w:after="100"/>
              <w:jc w:val="right"/>
              <w:rPr>
                <w:rFonts w:eastAsia="Times New Roman"/>
              </w:rPr>
            </w:pPr>
            <w:r>
              <w:rPr>
                <w:rFonts w:eastAsia="Times New Roman"/>
                <w:color w:val="000000"/>
                <w:sz w:val="20"/>
                <w:szCs w:val="20"/>
              </w:rPr>
              <w:t>675 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9219E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F8EB18"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5FBD53"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EF0F8A" w14:textId="77777777" w:rsidR="00000000" w:rsidRDefault="00C1661D">
            <w:pPr>
              <w:spacing w:after="100"/>
              <w:jc w:val="right"/>
              <w:rPr>
                <w:rFonts w:eastAsia="Times New Roman"/>
              </w:rPr>
            </w:pPr>
            <w:r>
              <w:rPr>
                <w:rFonts w:eastAsia="Times New Roman"/>
                <w:color w:val="000000"/>
                <w:sz w:val="20"/>
                <w:szCs w:val="20"/>
              </w:rPr>
              <w:t>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33FAA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2474A5"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9BC7D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4D69A7" w14:textId="77777777" w:rsidR="00000000" w:rsidRDefault="00C1661D">
            <w:pPr>
              <w:spacing w:after="100"/>
              <w:jc w:val="right"/>
              <w:rPr>
                <w:rFonts w:eastAsia="Times New Roman"/>
              </w:rPr>
            </w:pPr>
            <w:r>
              <w:rPr>
                <w:rFonts w:eastAsia="Times New Roman"/>
                <w:color w:val="000000"/>
                <w:sz w:val="20"/>
                <w:szCs w:val="20"/>
              </w:rPr>
              <w:t>675 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DB058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6F1DE7"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DAD9F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E7E724" w14:textId="77777777" w:rsidR="00000000" w:rsidRDefault="00C1661D">
            <w:pPr>
              <w:spacing w:after="100"/>
              <w:jc w:val="right"/>
              <w:rPr>
                <w:rFonts w:eastAsia="Times New Roman"/>
              </w:rPr>
            </w:pPr>
            <w:r>
              <w:rPr>
                <w:rFonts w:eastAsia="Times New Roman"/>
                <w:color w:val="000000"/>
                <w:sz w:val="20"/>
                <w:szCs w:val="20"/>
              </w:rPr>
              <w:t>525 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9B1BD5" w14:textId="77777777" w:rsidR="00000000" w:rsidRDefault="00C1661D">
            <w:pPr>
              <w:spacing w:after="100"/>
              <w:jc w:val="right"/>
              <w:rPr>
                <w:rFonts w:eastAsia="Times New Roman"/>
              </w:rPr>
            </w:pPr>
          </w:p>
        </w:tc>
      </w:tr>
      <w:tr w:rsidR="00000000" w14:paraId="5FB3344C" w14:textId="77777777">
        <w:trPr>
          <w:divId w:val="815100120"/>
        </w:trPr>
        <w:tc>
          <w:tcPr>
            <w:tcW w:w="0" w:type="auto"/>
            <w:gridSpan w:val="3"/>
            <w:shd w:val="clear" w:color="auto" w:fill="FFFFFF"/>
            <w:tcMar>
              <w:top w:w="30" w:type="dxa"/>
              <w:left w:w="20" w:type="dxa"/>
              <w:bottom w:w="30" w:type="dxa"/>
              <w:right w:w="20" w:type="dxa"/>
            </w:tcMar>
            <w:vAlign w:val="bottom"/>
            <w:hideMark/>
          </w:tcPr>
          <w:p w14:paraId="6B3A31F0" w14:textId="77777777" w:rsidR="00000000" w:rsidRDefault="00C1661D">
            <w:pPr>
              <w:spacing w:after="100"/>
              <w:rPr>
                <w:rFonts w:eastAsia="Times New Roman"/>
              </w:rPr>
            </w:pPr>
            <w:r>
              <w:rPr>
                <w:rFonts w:eastAsia="Times New Roman"/>
                <w:color w:val="000000"/>
                <w:sz w:val="20"/>
                <w:szCs w:val="20"/>
              </w:rPr>
              <w:t>UGI International</w:t>
            </w:r>
          </w:p>
        </w:tc>
        <w:tc>
          <w:tcPr>
            <w:tcW w:w="0" w:type="auto"/>
            <w:gridSpan w:val="2"/>
            <w:shd w:val="clear" w:color="auto" w:fill="FFFFFF"/>
            <w:tcMar>
              <w:top w:w="30" w:type="dxa"/>
              <w:left w:w="20" w:type="dxa"/>
              <w:bottom w:w="30" w:type="dxa"/>
              <w:right w:w="0" w:type="dxa"/>
            </w:tcMar>
            <w:vAlign w:val="bottom"/>
            <w:hideMark/>
          </w:tcPr>
          <w:p w14:paraId="329ABF25" w14:textId="77777777" w:rsidR="00000000" w:rsidRDefault="00C1661D">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75A3CB2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B47EE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75AD40" w14:textId="77777777" w:rsidR="00000000" w:rsidRDefault="00C1661D">
            <w:pPr>
              <w:spacing w:after="100"/>
              <w:jc w:val="right"/>
              <w:rPr>
                <w:rFonts w:eastAsia="Times New Roman"/>
              </w:rPr>
            </w:pPr>
            <w:r>
              <w:rPr>
                <w:rFonts w:eastAsia="Times New Roman"/>
                <w:color w:val="000000"/>
                <w:sz w:val="20"/>
                <w:szCs w:val="20"/>
              </w:rPr>
              <w:t>294 </w:t>
            </w:r>
          </w:p>
        </w:tc>
        <w:tc>
          <w:tcPr>
            <w:tcW w:w="0" w:type="auto"/>
            <w:shd w:val="clear" w:color="auto" w:fill="FFFFFF"/>
            <w:tcMar>
              <w:top w:w="30" w:type="dxa"/>
              <w:left w:w="0" w:type="dxa"/>
              <w:bottom w:w="30" w:type="dxa"/>
              <w:right w:w="20" w:type="dxa"/>
            </w:tcMar>
            <w:vAlign w:val="bottom"/>
            <w:hideMark/>
          </w:tcPr>
          <w:p w14:paraId="07844CB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FC17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2F2E1B"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089D2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17E6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DA962D"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BFF9A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D8D26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0BD038"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3FCD49" w14:textId="77777777" w:rsidR="00000000" w:rsidRDefault="00C1661D">
            <w:pPr>
              <w:spacing w:after="100"/>
              <w:jc w:val="right"/>
              <w:rPr>
                <w:rFonts w:eastAsia="Times New Roman"/>
              </w:rPr>
            </w:pPr>
          </w:p>
        </w:tc>
      </w:tr>
      <w:tr w:rsidR="00000000" w14:paraId="57775F17" w14:textId="77777777">
        <w:trPr>
          <w:divId w:val="815100120"/>
        </w:trPr>
        <w:tc>
          <w:tcPr>
            <w:tcW w:w="0" w:type="auto"/>
            <w:gridSpan w:val="3"/>
            <w:shd w:val="clear" w:color="auto" w:fill="CCEEFF"/>
            <w:tcMar>
              <w:top w:w="30" w:type="dxa"/>
              <w:left w:w="20" w:type="dxa"/>
              <w:bottom w:w="30" w:type="dxa"/>
              <w:right w:w="20" w:type="dxa"/>
            </w:tcMar>
            <w:vAlign w:val="bottom"/>
            <w:hideMark/>
          </w:tcPr>
          <w:p w14:paraId="78EA2C16" w14:textId="77777777" w:rsidR="00000000" w:rsidRDefault="00C1661D">
            <w:pPr>
              <w:spacing w:after="100"/>
              <w:rPr>
                <w:rFonts w:eastAsia="Times New Roman"/>
              </w:rPr>
            </w:pPr>
            <w:r>
              <w:rPr>
                <w:rFonts w:eastAsia="Times New Roman"/>
                <w:color w:val="000000"/>
                <w:sz w:val="20"/>
                <w:szCs w:val="20"/>
              </w:rPr>
              <w:t>Midstream &amp; Marketing</w:t>
            </w:r>
          </w:p>
        </w:tc>
        <w:tc>
          <w:tcPr>
            <w:tcW w:w="0" w:type="auto"/>
            <w:gridSpan w:val="2"/>
            <w:shd w:val="clear" w:color="auto" w:fill="CCEEFF"/>
            <w:tcMar>
              <w:top w:w="30" w:type="dxa"/>
              <w:left w:w="20" w:type="dxa"/>
              <w:bottom w:w="30" w:type="dxa"/>
              <w:right w:w="0" w:type="dxa"/>
            </w:tcMar>
            <w:vAlign w:val="bottom"/>
            <w:hideMark/>
          </w:tcPr>
          <w:p w14:paraId="4AAA3816" w14:textId="77777777" w:rsidR="00000000" w:rsidRDefault="00C1661D">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7F3673A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F37A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065921" w14:textId="77777777" w:rsidR="00000000" w:rsidRDefault="00C1661D">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56963CE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C263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41F453" w14:textId="77777777" w:rsidR="00000000" w:rsidRDefault="00C1661D">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2446FBC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5E32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580B2F" w14:textId="77777777" w:rsidR="00000000" w:rsidRDefault="00C1661D">
            <w:pPr>
              <w:spacing w:after="100"/>
              <w:jc w:val="right"/>
              <w:rPr>
                <w:rFonts w:eastAsia="Times New Roman"/>
              </w:rPr>
            </w:pPr>
            <w:r>
              <w:rPr>
                <w:rFonts w:eastAsia="Times New Roman"/>
                <w:color w:val="000000"/>
                <w:sz w:val="20"/>
                <w:szCs w:val="20"/>
              </w:rPr>
              <w:t>656 </w:t>
            </w:r>
          </w:p>
        </w:tc>
        <w:tc>
          <w:tcPr>
            <w:tcW w:w="0" w:type="auto"/>
            <w:shd w:val="clear" w:color="auto" w:fill="CCEEFF"/>
            <w:tcMar>
              <w:top w:w="30" w:type="dxa"/>
              <w:left w:w="0" w:type="dxa"/>
              <w:bottom w:w="30" w:type="dxa"/>
              <w:right w:w="20" w:type="dxa"/>
            </w:tcMar>
            <w:vAlign w:val="bottom"/>
            <w:hideMark/>
          </w:tcPr>
          <w:p w14:paraId="64B1F6D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5898F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F0E7F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FEC278" w14:textId="77777777" w:rsidR="00000000" w:rsidRDefault="00C1661D">
            <w:pPr>
              <w:spacing w:after="100"/>
              <w:jc w:val="right"/>
              <w:rPr>
                <w:rFonts w:eastAsia="Times New Roman"/>
              </w:rPr>
            </w:pPr>
          </w:p>
        </w:tc>
      </w:tr>
      <w:tr w:rsidR="00000000" w14:paraId="742A2FD8" w14:textId="77777777">
        <w:trPr>
          <w:divId w:val="815100120"/>
        </w:trPr>
        <w:tc>
          <w:tcPr>
            <w:tcW w:w="0" w:type="auto"/>
            <w:gridSpan w:val="3"/>
            <w:shd w:val="clear" w:color="auto" w:fill="FFFFFF"/>
            <w:tcMar>
              <w:top w:w="30" w:type="dxa"/>
              <w:left w:w="20" w:type="dxa"/>
              <w:bottom w:w="30" w:type="dxa"/>
              <w:right w:w="20" w:type="dxa"/>
            </w:tcMar>
            <w:vAlign w:val="bottom"/>
            <w:hideMark/>
          </w:tcPr>
          <w:p w14:paraId="1987EBF8" w14:textId="77777777" w:rsidR="00000000" w:rsidRDefault="00C1661D">
            <w:pPr>
              <w:spacing w:after="100"/>
              <w:rPr>
                <w:rFonts w:eastAsia="Times New Roman"/>
              </w:rPr>
            </w:pPr>
            <w:r>
              <w:rPr>
                <w:rFonts w:eastAsia="Times New Roman"/>
                <w:color w:val="000000"/>
                <w:sz w:val="20"/>
                <w:szCs w:val="20"/>
              </w:rPr>
              <w:t>Utilities</w:t>
            </w:r>
          </w:p>
        </w:tc>
        <w:tc>
          <w:tcPr>
            <w:tcW w:w="0" w:type="auto"/>
            <w:gridSpan w:val="2"/>
            <w:shd w:val="clear" w:color="auto" w:fill="FFFFFF"/>
            <w:tcMar>
              <w:top w:w="30" w:type="dxa"/>
              <w:left w:w="20" w:type="dxa"/>
              <w:bottom w:w="30" w:type="dxa"/>
              <w:right w:w="0" w:type="dxa"/>
            </w:tcMar>
            <w:vAlign w:val="bottom"/>
            <w:hideMark/>
          </w:tcPr>
          <w:p w14:paraId="0E74512E" w14:textId="77777777" w:rsidR="00000000" w:rsidRDefault="00C1661D">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1F5AFB2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61A57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14A237" w14:textId="77777777" w:rsidR="00000000" w:rsidRDefault="00C1661D">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5B9FDA5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892DD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AFE427" w14:textId="77777777" w:rsidR="00000000" w:rsidRDefault="00C1661D">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69D0603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90D9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5AC58D" w14:textId="77777777" w:rsidR="00000000" w:rsidRDefault="00C1661D">
            <w:pPr>
              <w:spacing w:after="100"/>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14:paraId="5D59838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17623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202DE6" w14:textId="77777777" w:rsidR="00000000" w:rsidRDefault="00C1661D">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14:paraId="578DC0CC" w14:textId="77777777" w:rsidR="00000000" w:rsidRDefault="00C1661D">
            <w:pPr>
              <w:spacing w:after="100"/>
              <w:jc w:val="right"/>
              <w:rPr>
                <w:rFonts w:eastAsia="Times New Roman"/>
              </w:rPr>
            </w:pPr>
          </w:p>
        </w:tc>
      </w:tr>
      <w:tr w:rsidR="00000000" w14:paraId="14FF863F" w14:textId="77777777">
        <w:trPr>
          <w:divId w:val="815100120"/>
        </w:trPr>
        <w:tc>
          <w:tcPr>
            <w:tcW w:w="0" w:type="auto"/>
            <w:gridSpan w:val="3"/>
            <w:shd w:val="clear" w:color="auto" w:fill="CCEEFF"/>
            <w:tcMar>
              <w:top w:w="30" w:type="dxa"/>
              <w:left w:w="20" w:type="dxa"/>
              <w:bottom w:w="30" w:type="dxa"/>
              <w:right w:w="20" w:type="dxa"/>
            </w:tcMar>
            <w:vAlign w:val="bottom"/>
            <w:hideMark/>
          </w:tcPr>
          <w:p w14:paraId="117A543A" w14:textId="77777777" w:rsidR="00000000" w:rsidRDefault="00C1661D">
            <w:pPr>
              <w:spacing w:after="100"/>
              <w:rPr>
                <w:rFonts w:eastAsia="Times New Roman"/>
              </w:rPr>
            </w:pPr>
            <w:r>
              <w:rPr>
                <w:rFonts w:eastAsia="Times New Roman"/>
                <w:color w:val="000000"/>
                <w:sz w:val="20"/>
                <w:szCs w:val="20"/>
              </w:rPr>
              <w:t>UGI Corporation (a)</w:t>
            </w:r>
          </w:p>
        </w:tc>
        <w:tc>
          <w:tcPr>
            <w:tcW w:w="0" w:type="auto"/>
            <w:gridSpan w:val="2"/>
            <w:shd w:val="clear" w:color="auto" w:fill="CCEEFF"/>
            <w:tcMar>
              <w:top w:w="30" w:type="dxa"/>
              <w:left w:w="20" w:type="dxa"/>
              <w:bottom w:w="30" w:type="dxa"/>
              <w:right w:w="0" w:type="dxa"/>
            </w:tcMar>
            <w:vAlign w:val="bottom"/>
            <w:hideMark/>
          </w:tcPr>
          <w:p w14:paraId="1CFDF822" w14:textId="77777777" w:rsidR="00000000" w:rsidRDefault="00C1661D">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14:paraId="5624F9A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89880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355083" w14:textId="77777777" w:rsidR="00000000" w:rsidRDefault="00C1661D">
            <w:pPr>
              <w:spacing w:after="100"/>
              <w:jc w:val="right"/>
              <w:rPr>
                <w:rFonts w:eastAsia="Times New Roman"/>
              </w:rPr>
            </w:pPr>
            <w:r>
              <w:rPr>
                <w:rFonts w:eastAsia="Times New Roman"/>
                <w:color w:val="000000"/>
                <w:sz w:val="20"/>
                <w:szCs w:val="20"/>
              </w:rPr>
              <w:t>377 </w:t>
            </w:r>
          </w:p>
        </w:tc>
        <w:tc>
          <w:tcPr>
            <w:tcW w:w="0" w:type="auto"/>
            <w:shd w:val="clear" w:color="auto" w:fill="CCEEFF"/>
            <w:tcMar>
              <w:top w:w="30" w:type="dxa"/>
              <w:left w:w="0" w:type="dxa"/>
              <w:bottom w:w="30" w:type="dxa"/>
              <w:right w:w="20" w:type="dxa"/>
            </w:tcMar>
            <w:vAlign w:val="bottom"/>
            <w:hideMark/>
          </w:tcPr>
          <w:p w14:paraId="4E5E79B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16B2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289E0C" w14:textId="77777777" w:rsidR="00000000" w:rsidRDefault="00C1661D">
            <w:pPr>
              <w:spacing w:after="100"/>
              <w:jc w:val="right"/>
              <w:rPr>
                <w:rFonts w:eastAsia="Times New Roman"/>
              </w:rPr>
            </w:pPr>
            <w:r>
              <w:rPr>
                <w:rFonts w:eastAsia="Times New Roman"/>
                <w:color w:val="000000"/>
                <w:sz w:val="20"/>
                <w:szCs w:val="20"/>
              </w:rPr>
              <w:t>515 </w:t>
            </w:r>
          </w:p>
        </w:tc>
        <w:tc>
          <w:tcPr>
            <w:tcW w:w="0" w:type="auto"/>
            <w:shd w:val="clear" w:color="auto" w:fill="CCEEFF"/>
            <w:tcMar>
              <w:top w:w="30" w:type="dxa"/>
              <w:left w:w="0" w:type="dxa"/>
              <w:bottom w:w="30" w:type="dxa"/>
              <w:right w:w="20" w:type="dxa"/>
            </w:tcMar>
            <w:vAlign w:val="bottom"/>
            <w:hideMark/>
          </w:tcPr>
          <w:p w14:paraId="4443F4E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16DA6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C623E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5CE1B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4AE55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4C4019"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43D999" w14:textId="77777777" w:rsidR="00000000" w:rsidRDefault="00C1661D">
            <w:pPr>
              <w:spacing w:after="100"/>
              <w:jc w:val="right"/>
              <w:rPr>
                <w:rFonts w:eastAsia="Times New Roman"/>
              </w:rPr>
            </w:pPr>
          </w:p>
        </w:tc>
      </w:tr>
      <w:tr w:rsidR="00000000" w14:paraId="1035CCBF" w14:textId="77777777">
        <w:trPr>
          <w:divId w:val="815100120"/>
        </w:trPr>
        <w:tc>
          <w:tcPr>
            <w:tcW w:w="0" w:type="auto"/>
            <w:gridSpan w:val="3"/>
            <w:shd w:val="clear" w:color="auto" w:fill="FFFFFF"/>
            <w:tcMar>
              <w:top w:w="30" w:type="dxa"/>
              <w:left w:w="20" w:type="dxa"/>
              <w:bottom w:w="30" w:type="dxa"/>
              <w:right w:w="20" w:type="dxa"/>
            </w:tcMar>
            <w:vAlign w:val="bottom"/>
            <w:hideMark/>
          </w:tcPr>
          <w:p w14:paraId="29CDD330" w14:textId="77777777" w:rsidR="00000000" w:rsidRDefault="00C1661D">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582BAA09" w14:textId="77777777" w:rsidR="00000000" w:rsidRDefault="00C1661D">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1E26EDB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7971A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09B8B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FEE11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0D650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E99031"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4D68B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B60D5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29AD0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E0904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BFBC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C741DB"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63667B8" w14:textId="77777777" w:rsidR="00000000" w:rsidRDefault="00C1661D">
            <w:pPr>
              <w:spacing w:after="100"/>
              <w:jc w:val="right"/>
              <w:rPr>
                <w:rFonts w:eastAsia="Times New Roman"/>
              </w:rPr>
            </w:pPr>
          </w:p>
        </w:tc>
      </w:tr>
      <w:tr w:rsidR="00000000" w14:paraId="7EACB9A5" w14:textId="77777777">
        <w:trPr>
          <w:divId w:val="815100120"/>
        </w:trPr>
        <w:tc>
          <w:tcPr>
            <w:tcW w:w="0" w:type="auto"/>
            <w:gridSpan w:val="3"/>
            <w:shd w:val="clear" w:color="auto" w:fill="CCEEFF"/>
            <w:tcMar>
              <w:top w:w="30" w:type="dxa"/>
              <w:left w:w="20" w:type="dxa"/>
              <w:bottom w:w="30" w:type="dxa"/>
              <w:right w:w="20" w:type="dxa"/>
            </w:tcMar>
            <w:vAlign w:val="bottom"/>
            <w:hideMark/>
          </w:tcPr>
          <w:p w14:paraId="7AFC7920" w14:textId="77777777" w:rsidR="00000000" w:rsidRDefault="00C1661D">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BFB43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726C7D" w14:textId="77777777" w:rsidR="00000000" w:rsidRDefault="00C1661D">
            <w:pPr>
              <w:spacing w:after="100"/>
              <w:jc w:val="right"/>
              <w:rPr>
                <w:rFonts w:eastAsia="Times New Roman"/>
              </w:rPr>
            </w:pPr>
            <w:r>
              <w:rPr>
                <w:rFonts w:eastAsia="Times New Roman"/>
                <w:color w:val="000000"/>
                <w:sz w:val="20"/>
                <w:szCs w:val="20"/>
              </w:rPr>
              <w:t>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B8D99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7F6792"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B5021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21CF83A" w14:textId="77777777" w:rsidR="00000000" w:rsidRDefault="00C1661D">
            <w:pPr>
              <w:spacing w:after="100"/>
              <w:jc w:val="right"/>
              <w:rPr>
                <w:rFonts w:eastAsia="Times New Roman"/>
              </w:rPr>
            </w:pPr>
            <w:r>
              <w:rPr>
                <w:rFonts w:eastAsia="Times New Roman"/>
                <w:color w:val="000000"/>
                <w:sz w:val="20"/>
                <w:szCs w:val="20"/>
              </w:rPr>
              <w:t>1,359 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C6BAFC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40013"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DC3A00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4DE5508" w14:textId="77777777" w:rsidR="00000000" w:rsidRDefault="00C1661D">
            <w:pPr>
              <w:spacing w:after="100"/>
              <w:jc w:val="right"/>
              <w:rPr>
                <w:rFonts w:eastAsia="Times New Roman"/>
              </w:rPr>
            </w:pPr>
            <w:r>
              <w:rPr>
                <w:rFonts w:eastAsia="Times New Roman"/>
                <w:color w:val="000000"/>
                <w:sz w:val="20"/>
                <w:szCs w:val="20"/>
              </w:rPr>
              <w:t>1,228 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70C16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B7D69E"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B15B9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12A05E" w14:textId="77777777" w:rsidR="00000000" w:rsidRDefault="00C1661D">
            <w:pPr>
              <w:spacing w:after="100"/>
              <w:jc w:val="right"/>
              <w:rPr>
                <w:rFonts w:eastAsia="Times New Roman"/>
              </w:rPr>
            </w:pPr>
            <w:r>
              <w:rPr>
                <w:rFonts w:eastAsia="Times New Roman"/>
                <w:color w:val="000000"/>
                <w:sz w:val="20"/>
                <w:szCs w:val="20"/>
              </w:rPr>
              <w:t>1,612 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9F160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1E041B"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9064AA"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7293F8" w14:textId="77777777" w:rsidR="00000000" w:rsidRDefault="00C1661D">
            <w:pPr>
              <w:spacing w:after="100"/>
              <w:jc w:val="right"/>
              <w:rPr>
                <w:rFonts w:eastAsia="Times New Roman"/>
              </w:rPr>
            </w:pPr>
            <w:r>
              <w:rPr>
                <w:rFonts w:eastAsia="Times New Roman"/>
                <w:color w:val="000000"/>
                <w:sz w:val="20"/>
                <w:szCs w:val="20"/>
              </w:rPr>
              <w:t>595 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A34C23" w14:textId="77777777" w:rsidR="00000000" w:rsidRDefault="00C1661D">
            <w:pPr>
              <w:spacing w:after="100"/>
              <w:jc w:val="right"/>
              <w:rPr>
                <w:rFonts w:eastAsia="Times New Roman"/>
              </w:rPr>
            </w:pPr>
          </w:p>
        </w:tc>
      </w:tr>
    </w:tbl>
    <w:p w14:paraId="435AF477" w14:textId="77777777" w:rsidR="00000000" w:rsidRDefault="00C1661D">
      <w:pPr>
        <w:jc w:val="both"/>
        <w:rPr>
          <w:rFonts w:eastAsia="Times New Roman"/>
        </w:rPr>
      </w:pPr>
    </w:p>
    <w:p w14:paraId="13614716" w14:textId="77777777" w:rsidR="00000000" w:rsidRDefault="00C1661D">
      <w:pPr>
        <w:ind w:hanging="360"/>
        <w:jc w:val="both"/>
        <w:rPr>
          <w:rFonts w:eastAsia="Times New Roman"/>
        </w:rPr>
      </w:pPr>
      <w:r>
        <w:rPr>
          <w:rFonts w:eastAsia="Times New Roman"/>
          <w:color w:val="000000"/>
          <w:sz w:val="20"/>
          <w:szCs w:val="20"/>
        </w:rPr>
        <w:t>(a) Subsequent to September 30, 2022 and 2021, the Company repaid $87 and $70, respectively, of borrowings on the UGI Corporation revo</w:t>
      </w:r>
      <w:r>
        <w:rPr>
          <w:rFonts w:eastAsia="Times New Roman"/>
          <w:color w:val="000000"/>
          <w:sz w:val="20"/>
          <w:szCs w:val="20"/>
        </w:rPr>
        <w:t>lving credit facility maturing August 2024. Such repayments are classified as “Current maturities of long-term debt” on the Consolidated Balance Sheets.</w:t>
      </w:r>
    </w:p>
    <w:p w14:paraId="15F0BFE8" w14:textId="77777777" w:rsidR="00000000" w:rsidRDefault="00C1661D">
      <w:pPr>
        <w:jc w:val="both"/>
        <w:rPr>
          <w:rFonts w:eastAsia="Times New Roman"/>
        </w:rPr>
      </w:pPr>
    </w:p>
    <w:p w14:paraId="4FFEE180" w14:textId="77777777" w:rsidR="00000000" w:rsidRDefault="00C1661D">
      <w:pPr>
        <w:jc w:val="both"/>
        <w:rPr>
          <w:rFonts w:eastAsia="Times New Roman"/>
        </w:rPr>
      </w:pPr>
      <w:r>
        <w:rPr>
          <w:rFonts w:eastAsia="Times New Roman"/>
          <w:b/>
          <w:bCs/>
          <w:color w:val="000000"/>
          <w:sz w:val="20"/>
          <w:szCs w:val="20"/>
        </w:rPr>
        <w:t>Restrictive Covenants</w:t>
      </w:r>
    </w:p>
    <w:p w14:paraId="001DCA83" w14:textId="77777777" w:rsidR="00000000" w:rsidRDefault="00C1661D">
      <w:pPr>
        <w:jc w:val="both"/>
        <w:rPr>
          <w:rFonts w:eastAsia="Times New Roman"/>
        </w:rPr>
      </w:pPr>
    </w:p>
    <w:p w14:paraId="11EEC35B" w14:textId="77777777" w:rsidR="00000000" w:rsidRDefault="00C1661D">
      <w:pPr>
        <w:jc w:val="both"/>
        <w:rPr>
          <w:rFonts w:eastAsia="Times New Roman"/>
        </w:rPr>
      </w:pPr>
      <w:r>
        <w:rPr>
          <w:rFonts w:eastAsia="Times New Roman"/>
          <w:color w:val="000000"/>
          <w:sz w:val="20"/>
          <w:szCs w:val="20"/>
        </w:rPr>
        <w:t>Our long-term debt and credit facility agreements generally contain customary</w:t>
      </w:r>
      <w:r>
        <w:rPr>
          <w:rFonts w:eastAsia="Times New Roman"/>
          <w:color w:val="000000"/>
          <w:sz w:val="20"/>
          <w:szCs w:val="20"/>
        </w:rPr>
        <w:t xml:space="preserve"> covenants and default provisions which may include, among other things, restrictions on the incurrence of additional indebtedness and also restrict liens, guarantees, investments, loans and advances, payments, mergers, consolidations, asset transfers, tra</w:t>
      </w:r>
      <w:r>
        <w:rPr>
          <w:rFonts w:eastAsia="Times New Roman"/>
          <w:color w:val="000000"/>
          <w:sz w:val="20"/>
          <w:szCs w:val="20"/>
        </w:rPr>
        <w:t xml:space="preserve">nsactions with affiliates, sales of assets, acquisitions and other transactions. These agreements contain standard provisions which require compliance with certain financial ratios. UGI and its subsidiaries were in compliance with all debt covenants as of </w:t>
      </w:r>
      <w:r>
        <w:rPr>
          <w:rFonts w:eastAsia="Times New Roman"/>
          <w:color w:val="000000"/>
          <w:sz w:val="20"/>
          <w:szCs w:val="20"/>
        </w:rPr>
        <w:t>September 30, 2022.</w:t>
      </w:r>
    </w:p>
    <w:p w14:paraId="0FC943A5" w14:textId="77777777" w:rsidR="00000000" w:rsidRDefault="00C1661D">
      <w:pPr>
        <w:jc w:val="both"/>
        <w:rPr>
          <w:rFonts w:eastAsia="Times New Roman"/>
        </w:rPr>
      </w:pPr>
    </w:p>
    <w:p w14:paraId="3734BAA9" w14:textId="77777777" w:rsidR="00000000" w:rsidRDefault="00C1661D">
      <w:pPr>
        <w:jc w:val="center"/>
        <w:divId w:val="1241326812"/>
        <w:rPr>
          <w:rFonts w:eastAsia="Times New Roman"/>
        </w:rPr>
      </w:pPr>
      <w:r>
        <w:rPr>
          <w:rFonts w:eastAsia="Times New Roman"/>
          <w:color w:val="000000"/>
          <w:sz w:val="20"/>
          <w:szCs w:val="20"/>
        </w:rPr>
        <w:t>F-31</w:t>
      </w:r>
    </w:p>
    <w:p w14:paraId="7CE9A762" w14:textId="77777777" w:rsidR="00000000" w:rsidRDefault="00C1661D">
      <w:pPr>
        <w:rPr>
          <w:rFonts w:eastAsia="Times New Roman"/>
        </w:rPr>
      </w:pPr>
      <w:r>
        <w:rPr>
          <w:rFonts w:eastAsia="Times New Roman"/>
        </w:rPr>
        <w:pict w14:anchorId="597E835D">
          <v:rect id="_x0000_i1144" style="width:0;height:1.5pt" o:hralign="center" o:hrstd="t" o:hr="t" fillcolor="#a0a0a0" stroked="f"/>
        </w:pict>
      </w:r>
    </w:p>
    <w:p w14:paraId="2AC763A6" w14:textId="77777777" w:rsidR="00000000" w:rsidRDefault="00C1661D">
      <w:pPr>
        <w:divId w:val="2120488572"/>
        <w:rPr>
          <w:rFonts w:eastAsia="Times New Roman"/>
        </w:rPr>
      </w:pPr>
      <w:hyperlink w:anchor="i3850c3c6c0104e42b9951aac2f16098a_7" w:history="1">
        <w:r>
          <w:rPr>
            <w:rStyle w:val="a3"/>
            <w:rFonts w:eastAsia="Times New Roman"/>
            <w:sz w:val="20"/>
            <w:szCs w:val="20"/>
          </w:rPr>
          <w:t>Table of Contents</w:t>
        </w:r>
      </w:hyperlink>
    </w:p>
    <w:p w14:paraId="3E469353" w14:textId="77777777" w:rsidR="00000000" w:rsidRDefault="00C1661D">
      <w:pPr>
        <w:divId w:val="370617521"/>
        <w:rPr>
          <w:rFonts w:eastAsia="Times New Roman"/>
        </w:rPr>
      </w:pPr>
      <w:r>
        <w:rPr>
          <w:rFonts w:eastAsia="Times New Roman"/>
          <w:b/>
          <w:bCs/>
          <w:color w:val="000000"/>
          <w:sz w:val="20"/>
          <w:szCs w:val="20"/>
        </w:rPr>
        <w:t>UGI Corporation and Subsidiaries</w:t>
      </w:r>
    </w:p>
    <w:p w14:paraId="348E9D96" w14:textId="77777777" w:rsidR="00000000" w:rsidRDefault="00C1661D">
      <w:pPr>
        <w:divId w:val="545531167"/>
        <w:rPr>
          <w:rFonts w:eastAsia="Times New Roman"/>
        </w:rPr>
      </w:pPr>
      <w:r>
        <w:rPr>
          <w:rFonts w:eastAsia="Times New Roman"/>
          <w:b/>
          <w:bCs/>
          <w:color w:val="000000"/>
          <w:sz w:val="20"/>
          <w:szCs w:val="20"/>
        </w:rPr>
        <w:t>Notes to Consolidated Financial Statements</w:t>
      </w:r>
    </w:p>
    <w:p w14:paraId="5E405370" w14:textId="77777777" w:rsidR="00000000" w:rsidRDefault="00C1661D">
      <w:pPr>
        <w:divId w:val="680427341"/>
        <w:rPr>
          <w:rFonts w:eastAsia="Times New Roman"/>
        </w:rPr>
      </w:pPr>
      <w:r>
        <w:rPr>
          <w:rFonts w:eastAsia="Times New Roman"/>
          <w:color w:val="000000"/>
          <w:sz w:val="20"/>
          <w:szCs w:val="20"/>
        </w:rPr>
        <w:t>(Currency in millions, except per share amounts and where indicated otherwise)</w:t>
      </w:r>
    </w:p>
    <w:p w14:paraId="64CDE89F" w14:textId="77777777" w:rsidR="00000000" w:rsidRDefault="00C1661D">
      <w:pPr>
        <w:jc w:val="both"/>
        <w:rPr>
          <w:rFonts w:eastAsia="Times New Roman"/>
        </w:rPr>
      </w:pPr>
      <w:r>
        <w:rPr>
          <w:rFonts w:eastAsia="Times New Roman"/>
          <w:b/>
          <w:bCs/>
          <w:color w:val="000000"/>
          <w:sz w:val="20"/>
          <w:szCs w:val="20"/>
        </w:rPr>
        <w:t>Restricted Net Assets</w:t>
      </w:r>
    </w:p>
    <w:p w14:paraId="4A61FC0B" w14:textId="77777777" w:rsidR="00000000" w:rsidRDefault="00C1661D">
      <w:pPr>
        <w:jc w:val="both"/>
        <w:rPr>
          <w:rFonts w:eastAsia="Times New Roman"/>
        </w:rPr>
      </w:pPr>
    </w:p>
    <w:p w14:paraId="2C0F1B7F" w14:textId="77777777" w:rsidR="00000000" w:rsidRDefault="00C1661D">
      <w:pPr>
        <w:jc w:val="both"/>
        <w:rPr>
          <w:rFonts w:eastAsia="Times New Roman"/>
        </w:rPr>
      </w:pPr>
      <w:r>
        <w:rPr>
          <w:rFonts w:eastAsia="Times New Roman"/>
          <w:color w:val="000000"/>
          <w:sz w:val="20"/>
          <w:szCs w:val="20"/>
        </w:rPr>
        <w:t>At September 30, 2022, the amount of net assets of UGI’s consolidated subsidiaries that were restricted from t</w:t>
      </w:r>
      <w:r>
        <w:rPr>
          <w:rFonts w:eastAsia="Times New Roman"/>
          <w:color w:val="000000"/>
          <w:sz w:val="20"/>
          <w:szCs w:val="20"/>
        </w:rPr>
        <w:t>ransfer to UGI under debt agreements, subsidiary partnership agreements and regulatory requirements under foreign laws totaled approximately $2,900.</w:t>
      </w:r>
    </w:p>
    <w:p w14:paraId="5A9EA762" w14:textId="77777777" w:rsidR="00000000" w:rsidRDefault="00C1661D">
      <w:pPr>
        <w:jc w:val="both"/>
        <w:rPr>
          <w:rFonts w:eastAsia="Times New Roman"/>
        </w:rPr>
      </w:pPr>
    </w:p>
    <w:p w14:paraId="1388490D" w14:textId="77777777" w:rsidR="00000000" w:rsidRDefault="00C1661D">
      <w:pPr>
        <w:jc w:val="both"/>
        <w:rPr>
          <w:rFonts w:eastAsia="Times New Roman"/>
        </w:rPr>
      </w:pPr>
      <w:r>
        <w:rPr>
          <w:rFonts w:eastAsia="Times New Roman"/>
          <w:b/>
          <w:bCs/>
          <w:color w:val="000000"/>
          <w:sz w:val="20"/>
          <w:szCs w:val="20"/>
          <w:u w:val="single"/>
        </w:rPr>
        <w:t xml:space="preserve">Note 7 — Income Taxes </w:t>
      </w:r>
    </w:p>
    <w:p w14:paraId="6E672128" w14:textId="77777777" w:rsidR="00000000" w:rsidRDefault="00C1661D">
      <w:pPr>
        <w:jc w:val="both"/>
        <w:divId w:val="1910650310"/>
        <w:rPr>
          <w:rFonts w:eastAsia="Times New Roman"/>
        </w:rPr>
      </w:pPr>
      <w:r>
        <w:rPr>
          <w:rFonts w:eastAsia="Times New Roman"/>
          <w:color w:val="000000"/>
          <w:sz w:val="20"/>
          <w:szCs w:val="20"/>
        </w:rPr>
        <w:t>Income before income taxes comprises the following:</w:t>
      </w:r>
    </w:p>
    <w:tbl>
      <w:tblPr>
        <w:tblW w:w="4992" w:type="pct"/>
        <w:tblCellMar>
          <w:top w:w="15" w:type="dxa"/>
          <w:left w:w="15" w:type="dxa"/>
          <w:bottom w:w="15" w:type="dxa"/>
          <w:right w:w="15" w:type="dxa"/>
        </w:tblCellMar>
        <w:tblLook w:val="04A0" w:firstRow="1" w:lastRow="0" w:firstColumn="1" w:lastColumn="0" w:noHBand="0" w:noVBand="1"/>
      </w:tblPr>
      <w:tblGrid>
        <w:gridCol w:w="37"/>
        <w:gridCol w:w="4864"/>
        <w:gridCol w:w="36"/>
        <w:gridCol w:w="120"/>
        <w:gridCol w:w="917"/>
        <w:gridCol w:w="36"/>
        <w:gridCol w:w="36"/>
        <w:gridCol w:w="36"/>
        <w:gridCol w:w="36"/>
        <w:gridCol w:w="120"/>
        <w:gridCol w:w="877"/>
        <w:gridCol w:w="36"/>
        <w:gridCol w:w="36"/>
        <w:gridCol w:w="36"/>
        <w:gridCol w:w="36"/>
        <w:gridCol w:w="120"/>
        <w:gridCol w:w="878"/>
        <w:gridCol w:w="36"/>
      </w:tblGrid>
      <w:tr w:rsidR="00000000" w14:paraId="71182439" w14:textId="77777777">
        <w:trPr>
          <w:divId w:val="371811908"/>
        </w:trPr>
        <w:tc>
          <w:tcPr>
            <w:tcW w:w="50" w:type="pct"/>
            <w:vAlign w:val="center"/>
            <w:hideMark/>
          </w:tcPr>
          <w:p w14:paraId="056FE688" w14:textId="77777777" w:rsidR="00000000" w:rsidRDefault="00C1661D">
            <w:pPr>
              <w:jc w:val="both"/>
              <w:rPr>
                <w:rFonts w:eastAsia="Times New Roman"/>
              </w:rPr>
            </w:pPr>
          </w:p>
        </w:tc>
        <w:tc>
          <w:tcPr>
            <w:tcW w:w="2961" w:type="pct"/>
            <w:vAlign w:val="center"/>
            <w:hideMark/>
          </w:tcPr>
          <w:p w14:paraId="30EBB192" w14:textId="77777777" w:rsidR="00000000" w:rsidRDefault="00C1661D">
            <w:pPr>
              <w:spacing w:after="100"/>
              <w:rPr>
                <w:rFonts w:eastAsia="Times New Roman"/>
                <w:sz w:val="20"/>
                <w:szCs w:val="20"/>
              </w:rPr>
            </w:pPr>
          </w:p>
        </w:tc>
        <w:tc>
          <w:tcPr>
            <w:tcW w:w="5" w:type="pct"/>
            <w:vAlign w:val="center"/>
            <w:hideMark/>
          </w:tcPr>
          <w:p w14:paraId="5D07F06D" w14:textId="77777777" w:rsidR="00000000" w:rsidRDefault="00C1661D">
            <w:pPr>
              <w:spacing w:after="100"/>
              <w:rPr>
                <w:rFonts w:eastAsia="Times New Roman"/>
                <w:sz w:val="20"/>
                <w:szCs w:val="20"/>
              </w:rPr>
            </w:pPr>
          </w:p>
        </w:tc>
        <w:tc>
          <w:tcPr>
            <w:tcW w:w="50" w:type="pct"/>
            <w:vAlign w:val="center"/>
            <w:hideMark/>
          </w:tcPr>
          <w:p w14:paraId="149F5CE4" w14:textId="77777777" w:rsidR="00000000" w:rsidRDefault="00C1661D">
            <w:pPr>
              <w:spacing w:after="100"/>
              <w:rPr>
                <w:rFonts w:eastAsia="Times New Roman"/>
                <w:sz w:val="20"/>
                <w:szCs w:val="20"/>
              </w:rPr>
            </w:pPr>
          </w:p>
        </w:tc>
        <w:tc>
          <w:tcPr>
            <w:tcW w:w="581" w:type="pct"/>
            <w:vAlign w:val="center"/>
            <w:hideMark/>
          </w:tcPr>
          <w:p w14:paraId="40BB61C2" w14:textId="77777777" w:rsidR="00000000" w:rsidRDefault="00C1661D">
            <w:pPr>
              <w:spacing w:after="100"/>
              <w:rPr>
                <w:rFonts w:eastAsia="Times New Roman"/>
                <w:sz w:val="20"/>
                <w:szCs w:val="20"/>
              </w:rPr>
            </w:pPr>
          </w:p>
        </w:tc>
        <w:tc>
          <w:tcPr>
            <w:tcW w:w="5" w:type="pct"/>
            <w:vAlign w:val="center"/>
            <w:hideMark/>
          </w:tcPr>
          <w:p w14:paraId="6FA21B87" w14:textId="77777777" w:rsidR="00000000" w:rsidRDefault="00C1661D">
            <w:pPr>
              <w:spacing w:after="100"/>
              <w:rPr>
                <w:rFonts w:eastAsia="Times New Roman"/>
                <w:sz w:val="20"/>
                <w:szCs w:val="20"/>
              </w:rPr>
            </w:pPr>
          </w:p>
        </w:tc>
        <w:tc>
          <w:tcPr>
            <w:tcW w:w="5" w:type="pct"/>
            <w:vAlign w:val="center"/>
            <w:hideMark/>
          </w:tcPr>
          <w:p w14:paraId="3906F1E5" w14:textId="77777777" w:rsidR="00000000" w:rsidRDefault="00C1661D">
            <w:pPr>
              <w:spacing w:after="100"/>
              <w:rPr>
                <w:rFonts w:eastAsia="Times New Roman"/>
                <w:sz w:val="20"/>
                <w:szCs w:val="20"/>
              </w:rPr>
            </w:pPr>
          </w:p>
        </w:tc>
        <w:tc>
          <w:tcPr>
            <w:tcW w:w="26" w:type="pct"/>
            <w:vAlign w:val="center"/>
            <w:hideMark/>
          </w:tcPr>
          <w:p w14:paraId="5A7AAEBD" w14:textId="77777777" w:rsidR="00000000" w:rsidRDefault="00C1661D">
            <w:pPr>
              <w:spacing w:after="100"/>
              <w:rPr>
                <w:rFonts w:eastAsia="Times New Roman"/>
                <w:sz w:val="20"/>
                <w:szCs w:val="20"/>
              </w:rPr>
            </w:pPr>
          </w:p>
        </w:tc>
        <w:tc>
          <w:tcPr>
            <w:tcW w:w="5" w:type="pct"/>
            <w:vAlign w:val="center"/>
            <w:hideMark/>
          </w:tcPr>
          <w:p w14:paraId="2F8E6C9E" w14:textId="77777777" w:rsidR="00000000" w:rsidRDefault="00C1661D">
            <w:pPr>
              <w:spacing w:after="100"/>
              <w:rPr>
                <w:rFonts w:eastAsia="Times New Roman"/>
                <w:sz w:val="20"/>
                <w:szCs w:val="20"/>
              </w:rPr>
            </w:pPr>
          </w:p>
        </w:tc>
        <w:tc>
          <w:tcPr>
            <w:tcW w:w="50" w:type="pct"/>
            <w:vAlign w:val="center"/>
            <w:hideMark/>
          </w:tcPr>
          <w:p w14:paraId="05E9A8B7" w14:textId="77777777" w:rsidR="00000000" w:rsidRDefault="00C1661D">
            <w:pPr>
              <w:spacing w:after="100"/>
              <w:rPr>
                <w:rFonts w:eastAsia="Times New Roman"/>
                <w:sz w:val="20"/>
                <w:szCs w:val="20"/>
              </w:rPr>
            </w:pPr>
          </w:p>
        </w:tc>
        <w:tc>
          <w:tcPr>
            <w:tcW w:w="581" w:type="pct"/>
            <w:vAlign w:val="center"/>
            <w:hideMark/>
          </w:tcPr>
          <w:p w14:paraId="6FFA3A9C" w14:textId="77777777" w:rsidR="00000000" w:rsidRDefault="00C1661D">
            <w:pPr>
              <w:spacing w:after="100"/>
              <w:rPr>
                <w:rFonts w:eastAsia="Times New Roman"/>
                <w:sz w:val="20"/>
                <w:szCs w:val="20"/>
              </w:rPr>
            </w:pPr>
          </w:p>
        </w:tc>
        <w:tc>
          <w:tcPr>
            <w:tcW w:w="5" w:type="pct"/>
            <w:vAlign w:val="center"/>
            <w:hideMark/>
          </w:tcPr>
          <w:p w14:paraId="6DA77379" w14:textId="77777777" w:rsidR="00000000" w:rsidRDefault="00C1661D">
            <w:pPr>
              <w:spacing w:after="100"/>
              <w:rPr>
                <w:rFonts w:eastAsia="Times New Roman"/>
                <w:sz w:val="20"/>
                <w:szCs w:val="20"/>
              </w:rPr>
            </w:pPr>
          </w:p>
        </w:tc>
        <w:tc>
          <w:tcPr>
            <w:tcW w:w="5" w:type="pct"/>
            <w:vAlign w:val="center"/>
            <w:hideMark/>
          </w:tcPr>
          <w:p w14:paraId="4C05CC16" w14:textId="77777777" w:rsidR="00000000" w:rsidRDefault="00C1661D">
            <w:pPr>
              <w:spacing w:after="100"/>
              <w:rPr>
                <w:rFonts w:eastAsia="Times New Roman"/>
                <w:sz w:val="20"/>
                <w:szCs w:val="20"/>
              </w:rPr>
            </w:pPr>
          </w:p>
        </w:tc>
        <w:tc>
          <w:tcPr>
            <w:tcW w:w="26" w:type="pct"/>
            <w:vAlign w:val="center"/>
            <w:hideMark/>
          </w:tcPr>
          <w:p w14:paraId="15734DD3" w14:textId="77777777" w:rsidR="00000000" w:rsidRDefault="00C1661D">
            <w:pPr>
              <w:spacing w:after="100"/>
              <w:rPr>
                <w:rFonts w:eastAsia="Times New Roman"/>
                <w:sz w:val="20"/>
                <w:szCs w:val="20"/>
              </w:rPr>
            </w:pPr>
          </w:p>
        </w:tc>
        <w:tc>
          <w:tcPr>
            <w:tcW w:w="5" w:type="pct"/>
            <w:vAlign w:val="center"/>
            <w:hideMark/>
          </w:tcPr>
          <w:p w14:paraId="037D455D" w14:textId="77777777" w:rsidR="00000000" w:rsidRDefault="00C1661D">
            <w:pPr>
              <w:spacing w:after="100"/>
              <w:rPr>
                <w:rFonts w:eastAsia="Times New Roman"/>
                <w:sz w:val="20"/>
                <w:szCs w:val="20"/>
              </w:rPr>
            </w:pPr>
          </w:p>
        </w:tc>
        <w:tc>
          <w:tcPr>
            <w:tcW w:w="50" w:type="pct"/>
            <w:vAlign w:val="center"/>
            <w:hideMark/>
          </w:tcPr>
          <w:p w14:paraId="77DAAC9D" w14:textId="77777777" w:rsidR="00000000" w:rsidRDefault="00C1661D">
            <w:pPr>
              <w:spacing w:after="100"/>
              <w:rPr>
                <w:rFonts w:eastAsia="Times New Roman"/>
                <w:sz w:val="20"/>
                <w:szCs w:val="20"/>
              </w:rPr>
            </w:pPr>
          </w:p>
        </w:tc>
        <w:tc>
          <w:tcPr>
            <w:tcW w:w="582" w:type="pct"/>
            <w:vAlign w:val="center"/>
            <w:hideMark/>
          </w:tcPr>
          <w:p w14:paraId="1B1D0D35" w14:textId="77777777" w:rsidR="00000000" w:rsidRDefault="00C1661D">
            <w:pPr>
              <w:spacing w:after="100"/>
              <w:rPr>
                <w:rFonts w:eastAsia="Times New Roman"/>
                <w:sz w:val="20"/>
                <w:szCs w:val="20"/>
              </w:rPr>
            </w:pPr>
          </w:p>
        </w:tc>
        <w:tc>
          <w:tcPr>
            <w:tcW w:w="5" w:type="pct"/>
            <w:vAlign w:val="center"/>
            <w:hideMark/>
          </w:tcPr>
          <w:p w14:paraId="44905BA2" w14:textId="77777777" w:rsidR="00000000" w:rsidRDefault="00C1661D">
            <w:pPr>
              <w:spacing w:after="100"/>
              <w:rPr>
                <w:rFonts w:eastAsia="Times New Roman"/>
                <w:sz w:val="20"/>
                <w:szCs w:val="20"/>
              </w:rPr>
            </w:pPr>
          </w:p>
        </w:tc>
      </w:tr>
      <w:tr w:rsidR="00000000" w14:paraId="352B9FAC" w14:textId="77777777">
        <w:trPr>
          <w:divId w:val="371811908"/>
        </w:trPr>
        <w:tc>
          <w:tcPr>
            <w:tcW w:w="0" w:type="auto"/>
            <w:gridSpan w:val="3"/>
            <w:tcMar>
              <w:top w:w="0" w:type="dxa"/>
              <w:left w:w="20" w:type="dxa"/>
              <w:bottom w:w="0" w:type="dxa"/>
              <w:right w:w="20" w:type="dxa"/>
            </w:tcMar>
            <w:vAlign w:val="center"/>
            <w:hideMark/>
          </w:tcPr>
          <w:p w14:paraId="46329EC2"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F0162A7"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133262E8"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0927A4"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6D426B62"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81E8045" w14:textId="77777777" w:rsidR="00000000" w:rsidRDefault="00C1661D">
            <w:pPr>
              <w:spacing w:after="100"/>
              <w:jc w:val="center"/>
              <w:rPr>
                <w:rFonts w:eastAsia="Times New Roman"/>
              </w:rPr>
            </w:pPr>
            <w:r>
              <w:rPr>
                <w:rFonts w:eastAsia="Times New Roman"/>
                <w:color w:val="000000"/>
                <w:sz w:val="20"/>
                <w:szCs w:val="20"/>
              </w:rPr>
              <w:t>2020</w:t>
            </w:r>
          </w:p>
        </w:tc>
      </w:tr>
      <w:tr w:rsidR="00000000" w14:paraId="01EF8EF2" w14:textId="77777777">
        <w:trPr>
          <w:divId w:val="371811908"/>
        </w:trPr>
        <w:tc>
          <w:tcPr>
            <w:tcW w:w="0" w:type="auto"/>
            <w:gridSpan w:val="3"/>
            <w:shd w:val="clear" w:color="auto" w:fill="CCEEFF"/>
            <w:tcMar>
              <w:top w:w="30" w:type="dxa"/>
              <w:left w:w="20" w:type="dxa"/>
              <w:bottom w:w="30" w:type="dxa"/>
              <w:right w:w="20" w:type="dxa"/>
            </w:tcMar>
            <w:vAlign w:val="bottom"/>
            <w:hideMark/>
          </w:tcPr>
          <w:p w14:paraId="659963B2" w14:textId="77777777" w:rsidR="00000000" w:rsidRDefault="00C1661D">
            <w:pPr>
              <w:spacing w:after="100"/>
              <w:rPr>
                <w:rFonts w:eastAsia="Times New Roman"/>
              </w:rPr>
            </w:pPr>
            <w:r>
              <w:rPr>
                <w:rFonts w:eastAsia="Times New Roman"/>
                <w:color w:val="000000"/>
                <w:sz w:val="20"/>
                <w:szCs w:val="20"/>
              </w:rPr>
              <w:t>Domestic</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92982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E4E17F" w14:textId="77777777" w:rsidR="00000000" w:rsidRDefault="00C1661D">
            <w:pPr>
              <w:spacing w:after="100"/>
              <w:jc w:val="right"/>
              <w:rPr>
                <w:rFonts w:eastAsia="Times New Roman"/>
              </w:rPr>
            </w:pPr>
            <w:r>
              <w:rPr>
                <w:rFonts w:eastAsia="Times New Roman"/>
                <w:color w:val="000000"/>
                <w:sz w:val="20"/>
                <w:szCs w:val="20"/>
              </w:rPr>
              <w:t>362 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AB953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88FF4E"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B72B6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07EC1F" w14:textId="77777777" w:rsidR="00000000" w:rsidRDefault="00C1661D">
            <w:pPr>
              <w:spacing w:after="100"/>
              <w:jc w:val="right"/>
              <w:rPr>
                <w:rFonts w:eastAsia="Times New Roman"/>
              </w:rPr>
            </w:pPr>
            <w:r>
              <w:rPr>
                <w:rFonts w:eastAsia="Times New Roman"/>
                <w:color w:val="000000"/>
                <w:sz w:val="20"/>
                <w:szCs w:val="20"/>
              </w:rPr>
              <w:t>647 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FA50D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FBC09D"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191A9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1D8DE9" w14:textId="77777777" w:rsidR="00000000" w:rsidRDefault="00C1661D">
            <w:pPr>
              <w:spacing w:after="100"/>
              <w:jc w:val="right"/>
              <w:rPr>
                <w:rFonts w:eastAsia="Times New Roman"/>
              </w:rPr>
            </w:pPr>
            <w:r>
              <w:rPr>
                <w:rFonts w:eastAsia="Times New Roman"/>
                <w:color w:val="000000"/>
                <w:sz w:val="20"/>
                <w:szCs w:val="20"/>
              </w:rPr>
              <w:t>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D9FDEE" w14:textId="77777777" w:rsidR="00000000" w:rsidRDefault="00C1661D">
            <w:pPr>
              <w:spacing w:after="100"/>
              <w:jc w:val="right"/>
              <w:rPr>
                <w:rFonts w:eastAsia="Times New Roman"/>
              </w:rPr>
            </w:pPr>
          </w:p>
        </w:tc>
      </w:tr>
      <w:tr w:rsidR="00000000" w14:paraId="222D9171" w14:textId="77777777">
        <w:trPr>
          <w:divId w:val="371811908"/>
        </w:trPr>
        <w:tc>
          <w:tcPr>
            <w:tcW w:w="0" w:type="auto"/>
            <w:gridSpan w:val="3"/>
            <w:shd w:val="clear" w:color="auto" w:fill="FFFFFF"/>
            <w:tcMar>
              <w:top w:w="30" w:type="dxa"/>
              <w:left w:w="20" w:type="dxa"/>
              <w:bottom w:w="30" w:type="dxa"/>
              <w:right w:w="20" w:type="dxa"/>
            </w:tcMar>
            <w:vAlign w:val="bottom"/>
            <w:hideMark/>
          </w:tcPr>
          <w:p w14:paraId="5E4B9A93" w14:textId="77777777" w:rsidR="00000000" w:rsidRDefault="00C1661D">
            <w:pPr>
              <w:spacing w:after="100"/>
              <w:rPr>
                <w:rFonts w:eastAsia="Times New Roman"/>
              </w:rPr>
            </w:pPr>
            <w:r>
              <w:rPr>
                <w:rFonts w:eastAsia="Times New Roman"/>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14:paraId="1575F03E" w14:textId="77777777" w:rsidR="00000000" w:rsidRDefault="00C1661D">
            <w:pPr>
              <w:spacing w:after="100"/>
              <w:jc w:val="right"/>
              <w:rPr>
                <w:rFonts w:eastAsia="Times New Roman"/>
              </w:rPr>
            </w:pPr>
            <w:r>
              <w:rPr>
                <w:rFonts w:eastAsia="Times New Roman"/>
                <w:color w:val="000000"/>
                <w:sz w:val="20"/>
                <w:szCs w:val="20"/>
              </w:rPr>
              <w:t>1,025 </w:t>
            </w:r>
          </w:p>
        </w:tc>
        <w:tc>
          <w:tcPr>
            <w:tcW w:w="0" w:type="auto"/>
            <w:shd w:val="clear" w:color="auto" w:fill="FFFFFF"/>
            <w:tcMar>
              <w:top w:w="30" w:type="dxa"/>
              <w:left w:w="0" w:type="dxa"/>
              <w:bottom w:w="30" w:type="dxa"/>
              <w:right w:w="20" w:type="dxa"/>
            </w:tcMar>
            <w:vAlign w:val="bottom"/>
            <w:hideMark/>
          </w:tcPr>
          <w:p w14:paraId="688E482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72BA8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B06B8" w14:textId="77777777" w:rsidR="00000000" w:rsidRDefault="00C1661D">
            <w:pPr>
              <w:spacing w:after="100"/>
              <w:jc w:val="right"/>
              <w:rPr>
                <w:rFonts w:eastAsia="Times New Roman"/>
              </w:rPr>
            </w:pPr>
            <w:r>
              <w:rPr>
                <w:rFonts w:eastAsia="Times New Roman"/>
                <w:color w:val="000000"/>
                <w:sz w:val="20"/>
                <w:szCs w:val="20"/>
              </w:rPr>
              <w:t>1,342 </w:t>
            </w:r>
          </w:p>
        </w:tc>
        <w:tc>
          <w:tcPr>
            <w:tcW w:w="0" w:type="auto"/>
            <w:shd w:val="clear" w:color="auto" w:fill="FFFFFF"/>
            <w:tcMar>
              <w:top w:w="30" w:type="dxa"/>
              <w:left w:w="0" w:type="dxa"/>
              <w:bottom w:w="30" w:type="dxa"/>
              <w:right w:w="20" w:type="dxa"/>
            </w:tcMar>
            <w:vAlign w:val="bottom"/>
            <w:hideMark/>
          </w:tcPr>
          <w:p w14:paraId="5DED785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2F787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2DC15B" w14:textId="77777777" w:rsidR="00000000" w:rsidRDefault="00C1661D">
            <w:pPr>
              <w:spacing w:after="100"/>
              <w:jc w:val="right"/>
              <w:rPr>
                <w:rFonts w:eastAsia="Times New Roman"/>
              </w:rPr>
            </w:pPr>
            <w:r>
              <w:rPr>
                <w:rFonts w:eastAsia="Times New Roman"/>
                <w:color w:val="000000"/>
                <w:sz w:val="20"/>
                <w:szCs w:val="20"/>
              </w:rPr>
              <w:t>243 </w:t>
            </w:r>
          </w:p>
        </w:tc>
        <w:tc>
          <w:tcPr>
            <w:tcW w:w="0" w:type="auto"/>
            <w:shd w:val="clear" w:color="auto" w:fill="FFFFFF"/>
            <w:tcMar>
              <w:top w:w="30" w:type="dxa"/>
              <w:left w:w="0" w:type="dxa"/>
              <w:bottom w:w="30" w:type="dxa"/>
              <w:right w:w="20" w:type="dxa"/>
            </w:tcMar>
            <w:vAlign w:val="bottom"/>
            <w:hideMark/>
          </w:tcPr>
          <w:p w14:paraId="185F7C3B" w14:textId="77777777" w:rsidR="00000000" w:rsidRDefault="00C1661D">
            <w:pPr>
              <w:spacing w:after="100"/>
              <w:jc w:val="right"/>
              <w:rPr>
                <w:rFonts w:eastAsia="Times New Roman"/>
              </w:rPr>
            </w:pPr>
          </w:p>
        </w:tc>
      </w:tr>
      <w:tr w:rsidR="00000000" w14:paraId="57810A0D" w14:textId="77777777">
        <w:trPr>
          <w:divId w:val="371811908"/>
        </w:trPr>
        <w:tc>
          <w:tcPr>
            <w:tcW w:w="0" w:type="auto"/>
            <w:gridSpan w:val="3"/>
            <w:shd w:val="clear" w:color="auto" w:fill="CCEEFF"/>
            <w:tcMar>
              <w:top w:w="30" w:type="dxa"/>
              <w:left w:w="20" w:type="dxa"/>
              <w:bottom w:w="30" w:type="dxa"/>
              <w:right w:w="20" w:type="dxa"/>
            </w:tcMar>
            <w:vAlign w:val="bottom"/>
            <w:hideMark/>
          </w:tcPr>
          <w:p w14:paraId="493163C2" w14:textId="77777777" w:rsidR="00000000" w:rsidRDefault="00C1661D">
            <w:pPr>
              <w:spacing w:after="100"/>
              <w:rPr>
                <w:rFonts w:eastAsia="Times New Roman"/>
              </w:rPr>
            </w:pPr>
            <w:r>
              <w:rPr>
                <w:rFonts w:eastAsia="Times New Roman"/>
                <w:color w:val="000000"/>
                <w:sz w:val="20"/>
                <w:szCs w:val="20"/>
              </w:rPr>
              <w:t>Total income before income taxes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6CCDCC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3F5758" w14:textId="77777777" w:rsidR="00000000" w:rsidRDefault="00C1661D">
            <w:pPr>
              <w:spacing w:after="100"/>
              <w:jc w:val="right"/>
              <w:rPr>
                <w:rFonts w:eastAsia="Times New Roman"/>
              </w:rPr>
            </w:pPr>
            <w:r>
              <w:rPr>
                <w:rFonts w:eastAsia="Times New Roman"/>
                <w:color w:val="000000"/>
                <w:sz w:val="20"/>
                <w:szCs w:val="20"/>
              </w:rPr>
              <w:t>1,387 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06D7F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8B2B2"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0C097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3D3F9E9" w14:textId="77777777" w:rsidR="00000000" w:rsidRDefault="00C1661D">
            <w:pPr>
              <w:spacing w:after="100"/>
              <w:jc w:val="right"/>
              <w:rPr>
                <w:rFonts w:eastAsia="Times New Roman"/>
              </w:rPr>
            </w:pPr>
            <w:r>
              <w:rPr>
                <w:rFonts w:eastAsia="Times New Roman"/>
                <w:color w:val="000000"/>
                <w:sz w:val="20"/>
                <w:szCs w:val="20"/>
              </w:rPr>
              <w:t>1,989 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275E2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2BC7A"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157FC5"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7D36E2D" w14:textId="77777777" w:rsidR="00000000" w:rsidRDefault="00C1661D">
            <w:pPr>
              <w:spacing w:after="100"/>
              <w:jc w:val="right"/>
              <w:rPr>
                <w:rFonts w:eastAsia="Times New Roman"/>
              </w:rPr>
            </w:pPr>
            <w:r>
              <w:rPr>
                <w:rFonts w:eastAsia="Times New Roman"/>
                <w:color w:val="000000"/>
                <w:sz w:val="20"/>
                <w:szCs w:val="20"/>
              </w:rPr>
              <w:t>667 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36845F" w14:textId="77777777" w:rsidR="00000000" w:rsidRDefault="00C1661D">
            <w:pPr>
              <w:spacing w:after="100"/>
              <w:jc w:val="right"/>
              <w:rPr>
                <w:rFonts w:eastAsia="Times New Roman"/>
              </w:rPr>
            </w:pPr>
          </w:p>
        </w:tc>
      </w:tr>
    </w:tbl>
    <w:p w14:paraId="0C6B70E3" w14:textId="77777777" w:rsidR="00000000" w:rsidRDefault="00C1661D">
      <w:pPr>
        <w:divId w:val="1837265515"/>
        <w:rPr>
          <w:rFonts w:eastAsia="Times New Roman"/>
        </w:rPr>
      </w:pPr>
    </w:p>
    <w:p w14:paraId="10D677FA" w14:textId="77777777" w:rsidR="00000000" w:rsidRDefault="00C1661D">
      <w:pPr>
        <w:jc w:val="both"/>
        <w:rPr>
          <w:rFonts w:eastAsia="Times New Roman"/>
        </w:rPr>
      </w:pPr>
      <w:r>
        <w:rPr>
          <w:rFonts w:eastAsia="Times New Roman"/>
          <w:color w:val="000000"/>
          <w:sz w:val="20"/>
          <w:szCs w:val="20"/>
        </w:rPr>
        <w:t>The provisions for income taxes consist of the following:</w:t>
      </w:r>
    </w:p>
    <w:tbl>
      <w:tblPr>
        <w:tblW w:w="4992" w:type="pct"/>
        <w:tblCellMar>
          <w:top w:w="15" w:type="dxa"/>
          <w:left w:w="15" w:type="dxa"/>
          <w:bottom w:w="15" w:type="dxa"/>
          <w:right w:w="15" w:type="dxa"/>
        </w:tblCellMar>
        <w:tblLook w:val="04A0" w:firstRow="1" w:lastRow="0" w:firstColumn="1" w:lastColumn="0" w:noHBand="0" w:noVBand="1"/>
      </w:tblPr>
      <w:tblGrid>
        <w:gridCol w:w="38"/>
        <w:gridCol w:w="4863"/>
        <w:gridCol w:w="37"/>
        <w:gridCol w:w="120"/>
        <w:gridCol w:w="916"/>
        <w:gridCol w:w="36"/>
        <w:gridCol w:w="36"/>
        <w:gridCol w:w="36"/>
        <w:gridCol w:w="36"/>
        <w:gridCol w:w="120"/>
        <w:gridCol w:w="877"/>
        <w:gridCol w:w="36"/>
        <w:gridCol w:w="36"/>
        <w:gridCol w:w="36"/>
        <w:gridCol w:w="36"/>
        <w:gridCol w:w="120"/>
        <w:gridCol w:w="878"/>
        <w:gridCol w:w="36"/>
      </w:tblGrid>
      <w:tr w:rsidR="00000000" w14:paraId="163CDA53" w14:textId="77777777">
        <w:trPr>
          <w:divId w:val="1601328810"/>
        </w:trPr>
        <w:tc>
          <w:tcPr>
            <w:tcW w:w="50" w:type="pct"/>
            <w:vAlign w:val="center"/>
            <w:hideMark/>
          </w:tcPr>
          <w:p w14:paraId="0EC57E8D" w14:textId="77777777" w:rsidR="00000000" w:rsidRDefault="00C1661D">
            <w:pPr>
              <w:jc w:val="both"/>
              <w:rPr>
                <w:rFonts w:eastAsia="Times New Roman"/>
              </w:rPr>
            </w:pPr>
          </w:p>
        </w:tc>
        <w:tc>
          <w:tcPr>
            <w:tcW w:w="2961" w:type="pct"/>
            <w:vAlign w:val="center"/>
            <w:hideMark/>
          </w:tcPr>
          <w:p w14:paraId="49949AB3" w14:textId="77777777" w:rsidR="00000000" w:rsidRDefault="00C1661D">
            <w:pPr>
              <w:spacing w:after="100"/>
              <w:rPr>
                <w:rFonts w:eastAsia="Times New Roman"/>
                <w:sz w:val="20"/>
                <w:szCs w:val="20"/>
              </w:rPr>
            </w:pPr>
          </w:p>
        </w:tc>
        <w:tc>
          <w:tcPr>
            <w:tcW w:w="5" w:type="pct"/>
            <w:vAlign w:val="center"/>
            <w:hideMark/>
          </w:tcPr>
          <w:p w14:paraId="64FF96B2" w14:textId="77777777" w:rsidR="00000000" w:rsidRDefault="00C1661D">
            <w:pPr>
              <w:spacing w:after="100"/>
              <w:rPr>
                <w:rFonts w:eastAsia="Times New Roman"/>
                <w:sz w:val="20"/>
                <w:szCs w:val="20"/>
              </w:rPr>
            </w:pPr>
          </w:p>
        </w:tc>
        <w:tc>
          <w:tcPr>
            <w:tcW w:w="50" w:type="pct"/>
            <w:vAlign w:val="center"/>
            <w:hideMark/>
          </w:tcPr>
          <w:p w14:paraId="3C452A6B" w14:textId="77777777" w:rsidR="00000000" w:rsidRDefault="00C1661D">
            <w:pPr>
              <w:spacing w:after="100"/>
              <w:rPr>
                <w:rFonts w:eastAsia="Times New Roman"/>
                <w:sz w:val="20"/>
                <w:szCs w:val="20"/>
              </w:rPr>
            </w:pPr>
          </w:p>
        </w:tc>
        <w:tc>
          <w:tcPr>
            <w:tcW w:w="581" w:type="pct"/>
            <w:vAlign w:val="center"/>
            <w:hideMark/>
          </w:tcPr>
          <w:p w14:paraId="44791919" w14:textId="77777777" w:rsidR="00000000" w:rsidRDefault="00C1661D">
            <w:pPr>
              <w:spacing w:after="100"/>
              <w:rPr>
                <w:rFonts w:eastAsia="Times New Roman"/>
                <w:sz w:val="20"/>
                <w:szCs w:val="20"/>
              </w:rPr>
            </w:pPr>
          </w:p>
        </w:tc>
        <w:tc>
          <w:tcPr>
            <w:tcW w:w="5" w:type="pct"/>
            <w:vAlign w:val="center"/>
            <w:hideMark/>
          </w:tcPr>
          <w:p w14:paraId="74C49FD5" w14:textId="77777777" w:rsidR="00000000" w:rsidRDefault="00C1661D">
            <w:pPr>
              <w:spacing w:after="100"/>
              <w:rPr>
                <w:rFonts w:eastAsia="Times New Roman"/>
                <w:sz w:val="20"/>
                <w:szCs w:val="20"/>
              </w:rPr>
            </w:pPr>
          </w:p>
        </w:tc>
        <w:tc>
          <w:tcPr>
            <w:tcW w:w="5" w:type="pct"/>
            <w:vAlign w:val="center"/>
            <w:hideMark/>
          </w:tcPr>
          <w:p w14:paraId="3634A0B8" w14:textId="77777777" w:rsidR="00000000" w:rsidRDefault="00C1661D">
            <w:pPr>
              <w:spacing w:after="100"/>
              <w:rPr>
                <w:rFonts w:eastAsia="Times New Roman"/>
                <w:sz w:val="20"/>
                <w:szCs w:val="20"/>
              </w:rPr>
            </w:pPr>
          </w:p>
        </w:tc>
        <w:tc>
          <w:tcPr>
            <w:tcW w:w="26" w:type="pct"/>
            <w:vAlign w:val="center"/>
            <w:hideMark/>
          </w:tcPr>
          <w:p w14:paraId="1C0693E1" w14:textId="77777777" w:rsidR="00000000" w:rsidRDefault="00C1661D">
            <w:pPr>
              <w:spacing w:after="100"/>
              <w:rPr>
                <w:rFonts w:eastAsia="Times New Roman"/>
                <w:sz w:val="20"/>
                <w:szCs w:val="20"/>
              </w:rPr>
            </w:pPr>
          </w:p>
        </w:tc>
        <w:tc>
          <w:tcPr>
            <w:tcW w:w="5" w:type="pct"/>
            <w:vAlign w:val="center"/>
            <w:hideMark/>
          </w:tcPr>
          <w:p w14:paraId="4363DAD5" w14:textId="77777777" w:rsidR="00000000" w:rsidRDefault="00C1661D">
            <w:pPr>
              <w:spacing w:after="100"/>
              <w:rPr>
                <w:rFonts w:eastAsia="Times New Roman"/>
                <w:sz w:val="20"/>
                <w:szCs w:val="20"/>
              </w:rPr>
            </w:pPr>
          </w:p>
        </w:tc>
        <w:tc>
          <w:tcPr>
            <w:tcW w:w="50" w:type="pct"/>
            <w:vAlign w:val="center"/>
            <w:hideMark/>
          </w:tcPr>
          <w:p w14:paraId="68CEEAC7" w14:textId="77777777" w:rsidR="00000000" w:rsidRDefault="00C1661D">
            <w:pPr>
              <w:spacing w:after="100"/>
              <w:rPr>
                <w:rFonts w:eastAsia="Times New Roman"/>
                <w:sz w:val="20"/>
                <w:szCs w:val="20"/>
              </w:rPr>
            </w:pPr>
          </w:p>
        </w:tc>
        <w:tc>
          <w:tcPr>
            <w:tcW w:w="581" w:type="pct"/>
            <w:vAlign w:val="center"/>
            <w:hideMark/>
          </w:tcPr>
          <w:p w14:paraId="6511C67B" w14:textId="77777777" w:rsidR="00000000" w:rsidRDefault="00C1661D">
            <w:pPr>
              <w:spacing w:after="100"/>
              <w:rPr>
                <w:rFonts w:eastAsia="Times New Roman"/>
                <w:sz w:val="20"/>
                <w:szCs w:val="20"/>
              </w:rPr>
            </w:pPr>
          </w:p>
        </w:tc>
        <w:tc>
          <w:tcPr>
            <w:tcW w:w="5" w:type="pct"/>
            <w:vAlign w:val="center"/>
            <w:hideMark/>
          </w:tcPr>
          <w:p w14:paraId="75F855FD" w14:textId="77777777" w:rsidR="00000000" w:rsidRDefault="00C1661D">
            <w:pPr>
              <w:spacing w:after="100"/>
              <w:rPr>
                <w:rFonts w:eastAsia="Times New Roman"/>
                <w:sz w:val="20"/>
                <w:szCs w:val="20"/>
              </w:rPr>
            </w:pPr>
          </w:p>
        </w:tc>
        <w:tc>
          <w:tcPr>
            <w:tcW w:w="5" w:type="pct"/>
            <w:vAlign w:val="center"/>
            <w:hideMark/>
          </w:tcPr>
          <w:p w14:paraId="5307CE09" w14:textId="77777777" w:rsidR="00000000" w:rsidRDefault="00C1661D">
            <w:pPr>
              <w:spacing w:after="100"/>
              <w:rPr>
                <w:rFonts w:eastAsia="Times New Roman"/>
                <w:sz w:val="20"/>
                <w:szCs w:val="20"/>
              </w:rPr>
            </w:pPr>
          </w:p>
        </w:tc>
        <w:tc>
          <w:tcPr>
            <w:tcW w:w="26" w:type="pct"/>
            <w:vAlign w:val="center"/>
            <w:hideMark/>
          </w:tcPr>
          <w:p w14:paraId="6D780450" w14:textId="77777777" w:rsidR="00000000" w:rsidRDefault="00C1661D">
            <w:pPr>
              <w:spacing w:after="100"/>
              <w:rPr>
                <w:rFonts w:eastAsia="Times New Roman"/>
                <w:sz w:val="20"/>
                <w:szCs w:val="20"/>
              </w:rPr>
            </w:pPr>
          </w:p>
        </w:tc>
        <w:tc>
          <w:tcPr>
            <w:tcW w:w="5" w:type="pct"/>
            <w:vAlign w:val="center"/>
            <w:hideMark/>
          </w:tcPr>
          <w:p w14:paraId="304A511F" w14:textId="77777777" w:rsidR="00000000" w:rsidRDefault="00C1661D">
            <w:pPr>
              <w:spacing w:after="100"/>
              <w:rPr>
                <w:rFonts w:eastAsia="Times New Roman"/>
                <w:sz w:val="20"/>
                <w:szCs w:val="20"/>
              </w:rPr>
            </w:pPr>
          </w:p>
        </w:tc>
        <w:tc>
          <w:tcPr>
            <w:tcW w:w="50" w:type="pct"/>
            <w:vAlign w:val="center"/>
            <w:hideMark/>
          </w:tcPr>
          <w:p w14:paraId="2E16E702" w14:textId="77777777" w:rsidR="00000000" w:rsidRDefault="00C1661D">
            <w:pPr>
              <w:spacing w:after="100"/>
              <w:rPr>
                <w:rFonts w:eastAsia="Times New Roman"/>
                <w:sz w:val="20"/>
                <w:szCs w:val="20"/>
              </w:rPr>
            </w:pPr>
          </w:p>
        </w:tc>
        <w:tc>
          <w:tcPr>
            <w:tcW w:w="582" w:type="pct"/>
            <w:vAlign w:val="center"/>
            <w:hideMark/>
          </w:tcPr>
          <w:p w14:paraId="3FA8FBE9" w14:textId="77777777" w:rsidR="00000000" w:rsidRDefault="00C1661D">
            <w:pPr>
              <w:spacing w:after="100"/>
              <w:rPr>
                <w:rFonts w:eastAsia="Times New Roman"/>
                <w:sz w:val="20"/>
                <w:szCs w:val="20"/>
              </w:rPr>
            </w:pPr>
          </w:p>
        </w:tc>
        <w:tc>
          <w:tcPr>
            <w:tcW w:w="5" w:type="pct"/>
            <w:vAlign w:val="center"/>
            <w:hideMark/>
          </w:tcPr>
          <w:p w14:paraId="50D4FEB9" w14:textId="77777777" w:rsidR="00000000" w:rsidRDefault="00C1661D">
            <w:pPr>
              <w:spacing w:after="100"/>
              <w:rPr>
                <w:rFonts w:eastAsia="Times New Roman"/>
                <w:sz w:val="20"/>
                <w:szCs w:val="20"/>
              </w:rPr>
            </w:pPr>
          </w:p>
        </w:tc>
      </w:tr>
      <w:tr w:rsidR="00000000" w14:paraId="61F60AF4" w14:textId="77777777">
        <w:trPr>
          <w:divId w:val="1601328810"/>
        </w:trPr>
        <w:tc>
          <w:tcPr>
            <w:tcW w:w="0" w:type="auto"/>
            <w:gridSpan w:val="3"/>
            <w:tcMar>
              <w:top w:w="0" w:type="dxa"/>
              <w:left w:w="20" w:type="dxa"/>
              <w:bottom w:w="0" w:type="dxa"/>
              <w:right w:w="20" w:type="dxa"/>
            </w:tcMar>
            <w:vAlign w:val="center"/>
            <w:hideMark/>
          </w:tcPr>
          <w:p w14:paraId="379050D5"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679DB70"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7BE42C47"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83A2C4"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04082687"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7BABD1E" w14:textId="77777777" w:rsidR="00000000" w:rsidRDefault="00C1661D">
            <w:pPr>
              <w:spacing w:after="100"/>
              <w:jc w:val="center"/>
              <w:rPr>
                <w:rFonts w:eastAsia="Times New Roman"/>
              </w:rPr>
            </w:pPr>
            <w:r>
              <w:rPr>
                <w:rFonts w:eastAsia="Times New Roman"/>
                <w:color w:val="000000"/>
                <w:sz w:val="20"/>
                <w:szCs w:val="20"/>
              </w:rPr>
              <w:t>2020</w:t>
            </w:r>
          </w:p>
        </w:tc>
      </w:tr>
      <w:tr w:rsidR="00000000" w14:paraId="01AFBA75" w14:textId="77777777">
        <w:trPr>
          <w:divId w:val="1601328810"/>
        </w:trPr>
        <w:tc>
          <w:tcPr>
            <w:tcW w:w="0" w:type="auto"/>
            <w:gridSpan w:val="3"/>
            <w:shd w:val="clear" w:color="auto" w:fill="CCEEFF"/>
            <w:tcMar>
              <w:top w:w="30" w:type="dxa"/>
              <w:left w:w="20" w:type="dxa"/>
              <w:bottom w:w="30" w:type="dxa"/>
              <w:right w:w="20" w:type="dxa"/>
            </w:tcMar>
            <w:vAlign w:val="bottom"/>
            <w:hideMark/>
          </w:tcPr>
          <w:p w14:paraId="370F116D" w14:textId="77777777" w:rsidR="00000000" w:rsidRDefault="00C1661D">
            <w:pPr>
              <w:spacing w:after="100"/>
              <w:rPr>
                <w:rFonts w:eastAsia="Times New Roman"/>
              </w:rPr>
            </w:pPr>
            <w:r>
              <w:rPr>
                <w:rFonts w:eastAsia="Times New Roman"/>
                <w:color w:val="000000"/>
                <w:sz w:val="20"/>
                <w:szCs w:val="20"/>
              </w:rPr>
              <w:t>Current expense (benefit):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1C53D2"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8753B"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463F6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FA8279"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6C16B3" w14:textId="77777777" w:rsidR="00000000" w:rsidRDefault="00C1661D">
            <w:pPr>
              <w:spacing w:after="100"/>
              <w:rPr>
                <w:rFonts w:eastAsia="Times New Roman"/>
                <w:sz w:val="20"/>
                <w:szCs w:val="20"/>
              </w:rPr>
            </w:pPr>
          </w:p>
        </w:tc>
      </w:tr>
      <w:tr w:rsidR="00000000" w14:paraId="2F016945" w14:textId="77777777">
        <w:trPr>
          <w:divId w:val="1601328810"/>
        </w:trPr>
        <w:tc>
          <w:tcPr>
            <w:tcW w:w="0" w:type="auto"/>
            <w:gridSpan w:val="3"/>
            <w:shd w:val="clear" w:color="auto" w:fill="FFFFFF"/>
            <w:tcMar>
              <w:top w:w="30" w:type="dxa"/>
              <w:left w:w="155" w:type="dxa"/>
              <w:bottom w:w="30" w:type="dxa"/>
              <w:right w:w="20" w:type="dxa"/>
            </w:tcMar>
            <w:vAlign w:val="bottom"/>
            <w:hideMark/>
          </w:tcPr>
          <w:p w14:paraId="4D90BD6C" w14:textId="77777777" w:rsidR="00000000" w:rsidRDefault="00C1661D">
            <w:pPr>
              <w:spacing w:after="100"/>
              <w:rPr>
                <w:rFonts w:eastAsia="Times New Roman"/>
              </w:rPr>
            </w:pPr>
            <w:r>
              <w:rPr>
                <w:rFonts w:eastAsia="Times New Roman"/>
                <w:color w:val="000000"/>
                <w:sz w:val="20"/>
                <w:szCs w:val="20"/>
              </w:rPr>
              <w:t>Federal</w:t>
            </w:r>
          </w:p>
        </w:tc>
        <w:tc>
          <w:tcPr>
            <w:tcW w:w="0" w:type="auto"/>
            <w:shd w:val="clear" w:color="auto" w:fill="FFFFFF"/>
            <w:tcMar>
              <w:top w:w="30" w:type="dxa"/>
              <w:left w:w="20" w:type="dxa"/>
              <w:bottom w:w="30" w:type="dxa"/>
              <w:right w:w="0" w:type="dxa"/>
            </w:tcMar>
            <w:vAlign w:val="bottom"/>
            <w:hideMark/>
          </w:tcPr>
          <w:p w14:paraId="44BFA47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714431E" w14:textId="77777777" w:rsidR="00000000" w:rsidRDefault="00C1661D">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2F5F94F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3858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85664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FB279E8" w14:textId="77777777" w:rsidR="00000000" w:rsidRDefault="00C1661D">
            <w:pPr>
              <w:spacing w:after="100"/>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bottom"/>
            <w:hideMark/>
          </w:tcPr>
          <w:p w14:paraId="1CFB87C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946186"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F6E48C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4EADC85" w14:textId="77777777" w:rsidR="00000000" w:rsidRDefault="00C1661D">
            <w:pPr>
              <w:spacing w:after="100"/>
              <w:jc w:val="right"/>
              <w:rPr>
                <w:rFonts w:eastAsia="Times New Roman"/>
              </w:rPr>
            </w:pPr>
            <w:r>
              <w:rPr>
                <w:rFonts w:eastAsia="Times New Roman"/>
                <w:color w:val="000000"/>
                <w:sz w:val="20"/>
                <w:szCs w:val="20"/>
              </w:rPr>
              <w:t>(85)</w:t>
            </w:r>
          </w:p>
        </w:tc>
        <w:tc>
          <w:tcPr>
            <w:tcW w:w="0" w:type="auto"/>
            <w:shd w:val="clear" w:color="auto" w:fill="FFFFFF"/>
            <w:tcMar>
              <w:top w:w="30" w:type="dxa"/>
              <w:left w:w="0" w:type="dxa"/>
              <w:bottom w:w="30" w:type="dxa"/>
              <w:right w:w="20" w:type="dxa"/>
            </w:tcMar>
            <w:vAlign w:val="bottom"/>
            <w:hideMark/>
          </w:tcPr>
          <w:p w14:paraId="711ADF9C" w14:textId="77777777" w:rsidR="00000000" w:rsidRDefault="00C1661D">
            <w:pPr>
              <w:spacing w:after="100"/>
              <w:jc w:val="right"/>
              <w:rPr>
                <w:rFonts w:eastAsia="Times New Roman"/>
              </w:rPr>
            </w:pPr>
          </w:p>
        </w:tc>
      </w:tr>
      <w:tr w:rsidR="00000000" w14:paraId="0D4FB6A2" w14:textId="77777777">
        <w:trPr>
          <w:divId w:val="1601328810"/>
        </w:trPr>
        <w:tc>
          <w:tcPr>
            <w:tcW w:w="0" w:type="auto"/>
            <w:gridSpan w:val="3"/>
            <w:shd w:val="clear" w:color="auto" w:fill="CCEEFF"/>
            <w:tcMar>
              <w:top w:w="30" w:type="dxa"/>
              <w:left w:w="155" w:type="dxa"/>
              <w:bottom w:w="30" w:type="dxa"/>
              <w:right w:w="20" w:type="dxa"/>
            </w:tcMar>
            <w:vAlign w:val="bottom"/>
            <w:hideMark/>
          </w:tcPr>
          <w:p w14:paraId="643050CF" w14:textId="77777777" w:rsidR="00000000" w:rsidRDefault="00C1661D">
            <w:pPr>
              <w:spacing w:after="100"/>
              <w:rPr>
                <w:rFonts w:eastAsia="Times New Roman"/>
              </w:rPr>
            </w:pPr>
            <w:r>
              <w:rPr>
                <w:rFonts w:eastAsia="Times New Roman"/>
                <w:color w:val="000000"/>
                <w:sz w:val="20"/>
                <w:szCs w:val="20"/>
              </w:rPr>
              <w:t>State</w:t>
            </w:r>
          </w:p>
        </w:tc>
        <w:tc>
          <w:tcPr>
            <w:tcW w:w="0" w:type="auto"/>
            <w:gridSpan w:val="2"/>
            <w:shd w:val="clear" w:color="auto" w:fill="CCEEFF"/>
            <w:tcMar>
              <w:top w:w="30" w:type="dxa"/>
              <w:left w:w="20" w:type="dxa"/>
              <w:bottom w:w="30" w:type="dxa"/>
              <w:right w:w="0" w:type="dxa"/>
            </w:tcMar>
            <w:vAlign w:val="bottom"/>
            <w:hideMark/>
          </w:tcPr>
          <w:p w14:paraId="2C98FFC0" w14:textId="77777777" w:rsidR="00000000" w:rsidRDefault="00C1661D">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0498277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EDB5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A19404" w14:textId="77777777" w:rsidR="00000000" w:rsidRDefault="00C1661D">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2DB8172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5CE16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3FE2AB" w14:textId="77777777" w:rsidR="00000000" w:rsidRDefault="00C1661D">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35E78114" w14:textId="77777777" w:rsidR="00000000" w:rsidRDefault="00C1661D">
            <w:pPr>
              <w:spacing w:after="100"/>
              <w:jc w:val="right"/>
              <w:rPr>
                <w:rFonts w:eastAsia="Times New Roman"/>
              </w:rPr>
            </w:pPr>
          </w:p>
        </w:tc>
      </w:tr>
      <w:tr w:rsidR="00000000" w14:paraId="7BA5CBB1" w14:textId="77777777">
        <w:trPr>
          <w:divId w:val="1601328810"/>
        </w:trPr>
        <w:tc>
          <w:tcPr>
            <w:tcW w:w="0" w:type="auto"/>
            <w:gridSpan w:val="3"/>
            <w:shd w:val="clear" w:color="auto" w:fill="FFFFFF"/>
            <w:tcMar>
              <w:top w:w="30" w:type="dxa"/>
              <w:left w:w="155" w:type="dxa"/>
              <w:bottom w:w="30" w:type="dxa"/>
              <w:right w:w="20" w:type="dxa"/>
            </w:tcMar>
            <w:vAlign w:val="bottom"/>
            <w:hideMark/>
          </w:tcPr>
          <w:p w14:paraId="461E1A93" w14:textId="77777777" w:rsidR="00000000" w:rsidRDefault="00C1661D">
            <w:pPr>
              <w:spacing w:after="100"/>
              <w:rPr>
                <w:rFonts w:eastAsia="Times New Roman"/>
              </w:rPr>
            </w:pPr>
            <w:r>
              <w:rPr>
                <w:rFonts w:eastAsia="Times New Roman"/>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14:paraId="0BEE5C50" w14:textId="77777777" w:rsidR="00000000" w:rsidRDefault="00C1661D">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14:paraId="5258138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F2BB5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093458" w14:textId="77777777" w:rsidR="00000000" w:rsidRDefault="00C1661D">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14:paraId="3A2A01F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9A2D1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C05BFD" w14:textId="77777777" w:rsidR="00000000" w:rsidRDefault="00C1661D">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14:paraId="6795DF56" w14:textId="77777777" w:rsidR="00000000" w:rsidRDefault="00C1661D">
            <w:pPr>
              <w:spacing w:after="100"/>
              <w:jc w:val="right"/>
              <w:rPr>
                <w:rFonts w:eastAsia="Times New Roman"/>
              </w:rPr>
            </w:pPr>
          </w:p>
        </w:tc>
      </w:tr>
      <w:tr w:rsidR="00000000" w14:paraId="4733601E" w14:textId="77777777">
        <w:trPr>
          <w:divId w:val="1601328810"/>
        </w:trPr>
        <w:tc>
          <w:tcPr>
            <w:tcW w:w="0" w:type="auto"/>
            <w:gridSpan w:val="3"/>
            <w:vAlign w:val="center"/>
            <w:hideMark/>
          </w:tcPr>
          <w:p w14:paraId="22844342" w14:textId="77777777" w:rsidR="00000000" w:rsidRDefault="00C1661D">
            <w:pPr>
              <w:spacing w:after="100"/>
              <w:jc w:val="right"/>
              <w:rPr>
                <w:rFonts w:eastAsia="Times New Roman"/>
                <w:sz w:val="20"/>
                <w:szCs w:val="20"/>
              </w:rPr>
            </w:pPr>
          </w:p>
        </w:tc>
        <w:tc>
          <w:tcPr>
            <w:tcW w:w="0" w:type="auto"/>
            <w:gridSpan w:val="3"/>
            <w:vAlign w:val="center"/>
            <w:hideMark/>
          </w:tcPr>
          <w:p w14:paraId="4714FB7D" w14:textId="77777777" w:rsidR="00000000" w:rsidRDefault="00C1661D">
            <w:pPr>
              <w:spacing w:after="100"/>
              <w:rPr>
                <w:rFonts w:eastAsia="Times New Roman"/>
                <w:sz w:val="20"/>
                <w:szCs w:val="20"/>
              </w:rPr>
            </w:pPr>
          </w:p>
        </w:tc>
        <w:tc>
          <w:tcPr>
            <w:tcW w:w="0" w:type="auto"/>
            <w:gridSpan w:val="3"/>
            <w:vAlign w:val="center"/>
            <w:hideMark/>
          </w:tcPr>
          <w:p w14:paraId="0B00D350" w14:textId="77777777" w:rsidR="00000000" w:rsidRDefault="00C1661D">
            <w:pPr>
              <w:spacing w:after="100"/>
              <w:rPr>
                <w:rFonts w:eastAsia="Times New Roman"/>
                <w:sz w:val="20"/>
                <w:szCs w:val="20"/>
              </w:rPr>
            </w:pPr>
          </w:p>
        </w:tc>
        <w:tc>
          <w:tcPr>
            <w:tcW w:w="0" w:type="auto"/>
            <w:gridSpan w:val="3"/>
            <w:vAlign w:val="center"/>
            <w:hideMark/>
          </w:tcPr>
          <w:p w14:paraId="39B762EE" w14:textId="77777777" w:rsidR="00000000" w:rsidRDefault="00C1661D">
            <w:pPr>
              <w:spacing w:after="100"/>
              <w:rPr>
                <w:rFonts w:eastAsia="Times New Roman"/>
                <w:sz w:val="20"/>
                <w:szCs w:val="20"/>
              </w:rPr>
            </w:pPr>
          </w:p>
        </w:tc>
        <w:tc>
          <w:tcPr>
            <w:tcW w:w="0" w:type="auto"/>
            <w:gridSpan w:val="3"/>
            <w:vAlign w:val="center"/>
            <w:hideMark/>
          </w:tcPr>
          <w:p w14:paraId="4B5B0726" w14:textId="77777777" w:rsidR="00000000" w:rsidRDefault="00C1661D">
            <w:pPr>
              <w:spacing w:after="100"/>
              <w:rPr>
                <w:rFonts w:eastAsia="Times New Roman"/>
                <w:sz w:val="20"/>
                <w:szCs w:val="20"/>
              </w:rPr>
            </w:pPr>
          </w:p>
        </w:tc>
        <w:tc>
          <w:tcPr>
            <w:tcW w:w="0" w:type="auto"/>
            <w:gridSpan w:val="3"/>
            <w:vAlign w:val="center"/>
            <w:hideMark/>
          </w:tcPr>
          <w:p w14:paraId="7E2E099A" w14:textId="77777777" w:rsidR="00000000" w:rsidRDefault="00C1661D">
            <w:pPr>
              <w:spacing w:after="100"/>
              <w:rPr>
                <w:rFonts w:eastAsia="Times New Roman"/>
                <w:sz w:val="20"/>
                <w:szCs w:val="20"/>
              </w:rPr>
            </w:pPr>
          </w:p>
        </w:tc>
      </w:tr>
      <w:tr w:rsidR="00000000" w14:paraId="1FA0E306" w14:textId="77777777">
        <w:trPr>
          <w:divId w:val="1601328810"/>
        </w:trPr>
        <w:tc>
          <w:tcPr>
            <w:tcW w:w="0" w:type="auto"/>
            <w:gridSpan w:val="3"/>
            <w:shd w:val="clear" w:color="auto" w:fill="CCEEFF"/>
            <w:tcMar>
              <w:top w:w="30" w:type="dxa"/>
              <w:left w:w="155" w:type="dxa"/>
              <w:bottom w:w="30" w:type="dxa"/>
              <w:right w:w="20" w:type="dxa"/>
            </w:tcMar>
            <w:vAlign w:val="bottom"/>
            <w:hideMark/>
          </w:tcPr>
          <w:p w14:paraId="18FB2C74" w14:textId="77777777" w:rsidR="00000000" w:rsidRDefault="00C1661D">
            <w:pPr>
              <w:spacing w:after="100"/>
              <w:ind w:firstLine="180"/>
              <w:rPr>
                <w:rFonts w:eastAsia="Times New Roman"/>
              </w:rPr>
            </w:pPr>
            <w:r>
              <w:rPr>
                <w:rFonts w:eastAsia="Times New Roman"/>
                <w:color w:val="000000"/>
                <w:sz w:val="20"/>
                <w:szCs w:val="20"/>
              </w:rPr>
              <w:t xml:space="preserve">Total current expense (benefit)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E5118A" w14:textId="77777777" w:rsidR="00000000" w:rsidRDefault="00C1661D">
            <w:pPr>
              <w:spacing w:after="100"/>
              <w:jc w:val="right"/>
              <w:rPr>
                <w:rFonts w:eastAsia="Times New Roman"/>
              </w:rPr>
            </w:pPr>
            <w:r>
              <w:rPr>
                <w:rFonts w:eastAsia="Times New Roman"/>
                <w:color w:val="000000"/>
                <w:sz w:val="20"/>
                <w:szCs w:val="20"/>
              </w:rPr>
              <w:t>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DECC3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C9E1E"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5A935C" w14:textId="77777777" w:rsidR="00000000" w:rsidRDefault="00C1661D">
            <w:pPr>
              <w:spacing w:after="100"/>
              <w:jc w:val="right"/>
              <w:rPr>
                <w:rFonts w:eastAsia="Times New Roman"/>
              </w:rPr>
            </w:pPr>
            <w:r>
              <w:rPr>
                <w:rFonts w:eastAsia="Times New Roman"/>
                <w:color w:val="000000"/>
                <w:sz w:val="20"/>
                <w:szCs w:val="20"/>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D3D53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A75992"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2437E5" w14:textId="77777777" w:rsidR="00000000" w:rsidRDefault="00C1661D">
            <w:pPr>
              <w:spacing w:after="100"/>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80F76C" w14:textId="77777777" w:rsidR="00000000" w:rsidRDefault="00C1661D">
            <w:pPr>
              <w:spacing w:after="100"/>
              <w:jc w:val="right"/>
              <w:rPr>
                <w:rFonts w:eastAsia="Times New Roman"/>
              </w:rPr>
            </w:pPr>
          </w:p>
        </w:tc>
      </w:tr>
      <w:tr w:rsidR="00000000" w14:paraId="54C0187C" w14:textId="77777777">
        <w:trPr>
          <w:divId w:val="1601328810"/>
        </w:trPr>
        <w:tc>
          <w:tcPr>
            <w:tcW w:w="0" w:type="auto"/>
            <w:gridSpan w:val="3"/>
            <w:shd w:val="clear" w:color="auto" w:fill="FFFFFF"/>
            <w:tcMar>
              <w:top w:w="30" w:type="dxa"/>
              <w:left w:w="20" w:type="dxa"/>
              <w:bottom w:w="30" w:type="dxa"/>
              <w:right w:w="20" w:type="dxa"/>
            </w:tcMar>
            <w:vAlign w:val="bottom"/>
            <w:hideMark/>
          </w:tcPr>
          <w:p w14:paraId="7A3214A0" w14:textId="77777777" w:rsidR="00000000" w:rsidRDefault="00C1661D">
            <w:pPr>
              <w:spacing w:after="100"/>
              <w:rPr>
                <w:rFonts w:eastAsia="Times New Roman"/>
              </w:rPr>
            </w:pPr>
            <w:r>
              <w:rPr>
                <w:rFonts w:eastAsia="Times New Roman"/>
                <w:color w:val="000000"/>
                <w:sz w:val="20"/>
                <w:szCs w:val="20"/>
              </w:rPr>
              <w:t>Deferred expense (benefit):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4E27D9"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5B950F"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F724993"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7D602B"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ADF54AC" w14:textId="77777777" w:rsidR="00000000" w:rsidRDefault="00C1661D">
            <w:pPr>
              <w:spacing w:after="100"/>
              <w:rPr>
                <w:rFonts w:eastAsia="Times New Roman"/>
                <w:sz w:val="20"/>
                <w:szCs w:val="20"/>
              </w:rPr>
            </w:pPr>
          </w:p>
        </w:tc>
      </w:tr>
      <w:tr w:rsidR="00000000" w14:paraId="74F5076A" w14:textId="77777777">
        <w:trPr>
          <w:divId w:val="1601328810"/>
        </w:trPr>
        <w:tc>
          <w:tcPr>
            <w:tcW w:w="0" w:type="auto"/>
            <w:gridSpan w:val="3"/>
            <w:shd w:val="clear" w:color="auto" w:fill="CCEEFF"/>
            <w:tcMar>
              <w:top w:w="30" w:type="dxa"/>
              <w:left w:w="155" w:type="dxa"/>
              <w:bottom w:w="30" w:type="dxa"/>
              <w:right w:w="20" w:type="dxa"/>
            </w:tcMar>
            <w:vAlign w:val="bottom"/>
            <w:hideMark/>
          </w:tcPr>
          <w:p w14:paraId="68782A41" w14:textId="77777777" w:rsidR="00000000" w:rsidRDefault="00C1661D">
            <w:pPr>
              <w:spacing w:after="100"/>
              <w:rPr>
                <w:rFonts w:eastAsia="Times New Roman"/>
              </w:rPr>
            </w:pPr>
            <w:r>
              <w:rPr>
                <w:rFonts w:eastAsia="Times New Roman"/>
                <w:color w:val="000000"/>
                <w:sz w:val="20"/>
                <w:szCs w:val="20"/>
              </w:rPr>
              <w:t>Federal</w:t>
            </w:r>
          </w:p>
        </w:tc>
        <w:tc>
          <w:tcPr>
            <w:tcW w:w="0" w:type="auto"/>
            <w:gridSpan w:val="2"/>
            <w:shd w:val="clear" w:color="auto" w:fill="CCEEFF"/>
            <w:tcMar>
              <w:top w:w="30" w:type="dxa"/>
              <w:left w:w="20" w:type="dxa"/>
              <w:bottom w:w="30" w:type="dxa"/>
              <w:right w:w="0" w:type="dxa"/>
            </w:tcMar>
            <w:vAlign w:val="bottom"/>
            <w:hideMark/>
          </w:tcPr>
          <w:p w14:paraId="64F9FE51" w14:textId="77777777" w:rsidR="00000000" w:rsidRDefault="00C1661D">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659E492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A6F2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373EA2" w14:textId="77777777" w:rsidR="00000000" w:rsidRDefault="00C1661D">
            <w:pPr>
              <w:spacing w:after="100"/>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bottom"/>
            <w:hideMark/>
          </w:tcPr>
          <w:p w14:paraId="1C6A6BF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BC0B5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0CE791" w14:textId="77777777" w:rsidR="00000000" w:rsidRDefault="00C1661D">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14:paraId="501C9E62" w14:textId="77777777" w:rsidR="00000000" w:rsidRDefault="00C1661D">
            <w:pPr>
              <w:spacing w:after="100"/>
              <w:jc w:val="right"/>
              <w:rPr>
                <w:rFonts w:eastAsia="Times New Roman"/>
              </w:rPr>
            </w:pPr>
          </w:p>
        </w:tc>
      </w:tr>
      <w:tr w:rsidR="00000000" w14:paraId="30B8E78F" w14:textId="77777777">
        <w:trPr>
          <w:divId w:val="1601328810"/>
        </w:trPr>
        <w:tc>
          <w:tcPr>
            <w:tcW w:w="0" w:type="auto"/>
            <w:gridSpan w:val="3"/>
            <w:shd w:val="clear" w:color="auto" w:fill="FFFFFF"/>
            <w:tcMar>
              <w:top w:w="30" w:type="dxa"/>
              <w:left w:w="155" w:type="dxa"/>
              <w:bottom w:w="30" w:type="dxa"/>
              <w:right w:w="20" w:type="dxa"/>
            </w:tcMar>
            <w:vAlign w:val="bottom"/>
            <w:hideMark/>
          </w:tcPr>
          <w:p w14:paraId="772A6A56" w14:textId="77777777" w:rsidR="00000000" w:rsidRDefault="00C1661D">
            <w:pPr>
              <w:spacing w:after="100"/>
              <w:rPr>
                <w:rFonts w:eastAsia="Times New Roman"/>
              </w:rPr>
            </w:pPr>
            <w:r>
              <w:rPr>
                <w:rFonts w:eastAsia="Times New Roman"/>
                <w:color w:val="000000"/>
                <w:sz w:val="20"/>
                <w:szCs w:val="20"/>
              </w:rPr>
              <w:t>State</w:t>
            </w:r>
          </w:p>
        </w:tc>
        <w:tc>
          <w:tcPr>
            <w:tcW w:w="0" w:type="auto"/>
            <w:gridSpan w:val="2"/>
            <w:shd w:val="clear" w:color="auto" w:fill="FFFFFF"/>
            <w:tcMar>
              <w:top w:w="30" w:type="dxa"/>
              <w:left w:w="20" w:type="dxa"/>
              <w:bottom w:w="30" w:type="dxa"/>
              <w:right w:w="0" w:type="dxa"/>
            </w:tcMar>
            <w:vAlign w:val="bottom"/>
            <w:hideMark/>
          </w:tcPr>
          <w:p w14:paraId="313E56C3" w14:textId="77777777" w:rsidR="00000000" w:rsidRDefault="00C1661D">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14:paraId="3F93318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DF2AB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7548F9" w14:textId="77777777" w:rsidR="00000000" w:rsidRDefault="00C1661D">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14:paraId="767D6AA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71354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14B516" w14:textId="77777777" w:rsidR="00000000" w:rsidRDefault="00C1661D">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2373E8DB" w14:textId="77777777" w:rsidR="00000000" w:rsidRDefault="00C1661D">
            <w:pPr>
              <w:spacing w:after="100"/>
              <w:jc w:val="right"/>
              <w:rPr>
                <w:rFonts w:eastAsia="Times New Roman"/>
              </w:rPr>
            </w:pPr>
          </w:p>
        </w:tc>
      </w:tr>
      <w:tr w:rsidR="00000000" w14:paraId="15FABCCC" w14:textId="77777777">
        <w:trPr>
          <w:divId w:val="1601328810"/>
        </w:trPr>
        <w:tc>
          <w:tcPr>
            <w:tcW w:w="0" w:type="auto"/>
            <w:gridSpan w:val="3"/>
            <w:shd w:val="clear" w:color="auto" w:fill="CCEEFF"/>
            <w:tcMar>
              <w:top w:w="30" w:type="dxa"/>
              <w:left w:w="155" w:type="dxa"/>
              <w:bottom w:w="30" w:type="dxa"/>
              <w:right w:w="20" w:type="dxa"/>
            </w:tcMar>
            <w:vAlign w:val="bottom"/>
            <w:hideMark/>
          </w:tcPr>
          <w:p w14:paraId="40983629" w14:textId="77777777" w:rsidR="00000000" w:rsidRDefault="00C1661D">
            <w:pPr>
              <w:spacing w:after="100"/>
              <w:rPr>
                <w:rFonts w:eastAsia="Times New Roman"/>
              </w:rPr>
            </w:pPr>
            <w:r>
              <w:rPr>
                <w:rFonts w:eastAsia="Times New Roman"/>
                <w:color w:val="000000"/>
                <w:sz w:val="20"/>
                <w:szCs w:val="20"/>
              </w:rPr>
              <w:t>Foreign</w:t>
            </w:r>
          </w:p>
        </w:tc>
        <w:tc>
          <w:tcPr>
            <w:tcW w:w="0" w:type="auto"/>
            <w:gridSpan w:val="2"/>
            <w:shd w:val="clear" w:color="auto" w:fill="CCEEFF"/>
            <w:tcMar>
              <w:top w:w="30" w:type="dxa"/>
              <w:left w:w="20" w:type="dxa"/>
              <w:bottom w:w="30" w:type="dxa"/>
              <w:right w:w="0" w:type="dxa"/>
            </w:tcMar>
            <w:vAlign w:val="bottom"/>
            <w:hideMark/>
          </w:tcPr>
          <w:p w14:paraId="2A629B3D" w14:textId="77777777" w:rsidR="00000000" w:rsidRDefault="00C1661D">
            <w:pPr>
              <w:spacing w:after="100"/>
              <w:jc w:val="right"/>
              <w:rPr>
                <w:rFonts w:eastAsia="Times New Roman"/>
              </w:rPr>
            </w:pPr>
            <w:r>
              <w:rPr>
                <w:rFonts w:eastAsia="Times New Roman"/>
                <w:color w:val="000000"/>
                <w:sz w:val="20"/>
                <w:szCs w:val="20"/>
              </w:rPr>
              <w:t>193 </w:t>
            </w:r>
          </w:p>
        </w:tc>
        <w:tc>
          <w:tcPr>
            <w:tcW w:w="0" w:type="auto"/>
            <w:shd w:val="clear" w:color="auto" w:fill="CCEEFF"/>
            <w:tcMar>
              <w:top w:w="30" w:type="dxa"/>
              <w:left w:w="0" w:type="dxa"/>
              <w:bottom w:w="30" w:type="dxa"/>
              <w:right w:w="20" w:type="dxa"/>
            </w:tcMar>
            <w:vAlign w:val="bottom"/>
            <w:hideMark/>
          </w:tcPr>
          <w:p w14:paraId="23EA2C8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BC22A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8AE737" w14:textId="77777777" w:rsidR="00000000" w:rsidRDefault="00C1661D">
            <w:pPr>
              <w:spacing w:after="100"/>
              <w:jc w:val="right"/>
              <w:rPr>
                <w:rFonts w:eastAsia="Times New Roman"/>
              </w:rPr>
            </w:pPr>
            <w:r>
              <w:rPr>
                <w:rFonts w:eastAsia="Times New Roman"/>
                <w:color w:val="000000"/>
                <w:sz w:val="20"/>
                <w:szCs w:val="20"/>
              </w:rPr>
              <w:t>262 </w:t>
            </w:r>
          </w:p>
        </w:tc>
        <w:tc>
          <w:tcPr>
            <w:tcW w:w="0" w:type="auto"/>
            <w:shd w:val="clear" w:color="auto" w:fill="CCEEFF"/>
            <w:tcMar>
              <w:top w:w="30" w:type="dxa"/>
              <w:left w:w="0" w:type="dxa"/>
              <w:bottom w:w="30" w:type="dxa"/>
              <w:right w:w="20" w:type="dxa"/>
            </w:tcMar>
            <w:vAlign w:val="bottom"/>
            <w:hideMark/>
          </w:tcPr>
          <w:p w14:paraId="78D514C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8BE50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DCF377" w14:textId="77777777" w:rsidR="00000000" w:rsidRDefault="00C1661D">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14:paraId="4D74D420" w14:textId="77777777" w:rsidR="00000000" w:rsidRDefault="00C1661D">
            <w:pPr>
              <w:spacing w:after="100"/>
              <w:jc w:val="right"/>
              <w:rPr>
                <w:rFonts w:eastAsia="Times New Roman"/>
              </w:rPr>
            </w:pPr>
          </w:p>
        </w:tc>
      </w:tr>
      <w:tr w:rsidR="00000000" w14:paraId="72181353" w14:textId="77777777">
        <w:trPr>
          <w:divId w:val="1601328810"/>
        </w:trPr>
        <w:tc>
          <w:tcPr>
            <w:tcW w:w="0" w:type="auto"/>
            <w:gridSpan w:val="3"/>
            <w:vAlign w:val="center"/>
            <w:hideMark/>
          </w:tcPr>
          <w:p w14:paraId="4F29AA89" w14:textId="77777777" w:rsidR="00000000" w:rsidRDefault="00C1661D">
            <w:pPr>
              <w:spacing w:after="100"/>
              <w:jc w:val="right"/>
              <w:rPr>
                <w:rFonts w:eastAsia="Times New Roman"/>
                <w:sz w:val="20"/>
                <w:szCs w:val="20"/>
              </w:rPr>
            </w:pPr>
          </w:p>
        </w:tc>
        <w:tc>
          <w:tcPr>
            <w:tcW w:w="0" w:type="auto"/>
            <w:gridSpan w:val="3"/>
            <w:vAlign w:val="center"/>
            <w:hideMark/>
          </w:tcPr>
          <w:p w14:paraId="0C802E1A" w14:textId="77777777" w:rsidR="00000000" w:rsidRDefault="00C1661D">
            <w:pPr>
              <w:spacing w:after="100"/>
              <w:rPr>
                <w:rFonts w:eastAsia="Times New Roman"/>
                <w:sz w:val="20"/>
                <w:szCs w:val="20"/>
              </w:rPr>
            </w:pPr>
          </w:p>
        </w:tc>
        <w:tc>
          <w:tcPr>
            <w:tcW w:w="0" w:type="auto"/>
            <w:gridSpan w:val="3"/>
            <w:vAlign w:val="center"/>
            <w:hideMark/>
          </w:tcPr>
          <w:p w14:paraId="2C75573D" w14:textId="77777777" w:rsidR="00000000" w:rsidRDefault="00C1661D">
            <w:pPr>
              <w:spacing w:after="100"/>
              <w:rPr>
                <w:rFonts w:eastAsia="Times New Roman"/>
                <w:sz w:val="20"/>
                <w:szCs w:val="20"/>
              </w:rPr>
            </w:pPr>
          </w:p>
        </w:tc>
        <w:tc>
          <w:tcPr>
            <w:tcW w:w="0" w:type="auto"/>
            <w:gridSpan w:val="3"/>
            <w:vAlign w:val="center"/>
            <w:hideMark/>
          </w:tcPr>
          <w:p w14:paraId="2CA0970D" w14:textId="77777777" w:rsidR="00000000" w:rsidRDefault="00C1661D">
            <w:pPr>
              <w:spacing w:after="100"/>
              <w:rPr>
                <w:rFonts w:eastAsia="Times New Roman"/>
                <w:sz w:val="20"/>
                <w:szCs w:val="20"/>
              </w:rPr>
            </w:pPr>
          </w:p>
        </w:tc>
        <w:tc>
          <w:tcPr>
            <w:tcW w:w="0" w:type="auto"/>
            <w:gridSpan w:val="3"/>
            <w:vAlign w:val="center"/>
            <w:hideMark/>
          </w:tcPr>
          <w:p w14:paraId="27CFAA09" w14:textId="77777777" w:rsidR="00000000" w:rsidRDefault="00C1661D">
            <w:pPr>
              <w:spacing w:after="100"/>
              <w:rPr>
                <w:rFonts w:eastAsia="Times New Roman"/>
                <w:sz w:val="20"/>
                <w:szCs w:val="20"/>
              </w:rPr>
            </w:pPr>
          </w:p>
        </w:tc>
        <w:tc>
          <w:tcPr>
            <w:tcW w:w="0" w:type="auto"/>
            <w:gridSpan w:val="3"/>
            <w:vAlign w:val="center"/>
            <w:hideMark/>
          </w:tcPr>
          <w:p w14:paraId="64BAECB7" w14:textId="77777777" w:rsidR="00000000" w:rsidRDefault="00C1661D">
            <w:pPr>
              <w:spacing w:after="100"/>
              <w:rPr>
                <w:rFonts w:eastAsia="Times New Roman"/>
                <w:sz w:val="20"/>
                <w:szCs w:val="20"/>
              </w:rPr>
            </w:pPr>
          </w:p>
        </w:tc>
      </w:tr>
      <w:tr w:rsidR="00000000" w14:paraId="42659E1E" w14:textId="77777777">
        <w:trPr>
          <w:divId w:val="1601328810"/>
        </w:trPr>
        <w:tc>
          <w:tcPr>
            <w:tcW w:w="0" w:type="auto"/>
            <w:gridSpan w:val="3"/>
            <w:shd w:val="clear" w:color="auto" w:fill="FFFFFF"/>
            <w:tcMar>
              <w:top w:w="30" w:type="dxa"/>
              <w:left w:w="155" w:type="dxa"/>
              <w:bottom w:w="30" w:type="dxa"/>
              <w:right w:w="20" w:type="dxa"/>
            </w:tcMar>
            <w:vAlign w:val="bottom"/>
            <w:hideMark/>
          </w:tcPr>
          <w:p w14:paraId="20AA581B" w14:textId="77777777" w:rsidR="00000000" w:rsidRDefault="00C1661D">
            <w:pPr>
              <w:spacing w:after="100"/>
              <w:ind w:firstLine="180"/>
              <w:rPr>
                <w:rFonts w:eastAsia="Times New Roman"/>
              </w:rPr>
            </w:pPr>
            <w:r>
              <w:rPr>
                <w:rFonts w:eastAsia="Times New Roman"/>
                <w:color w:val="000000"/>
                <w:sz w:val="20"/>
                <w:szCs w:val="20"/>
              </w:rPr>
              <w:t>Total deferred expense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02CE83" w14:textId="77777777" w:rsidR="00000000" w:rsidRDefault="00C1661D">
            <w:pPr>
              <w:spacing w:after="100"/>
              <w:jc w:val="right"/>
              <w:rPr>
                <w:rFonts w:eastAsia="Times New Roman"/>
              </w:rPr>
            </w:pPr>
            <w:r>
              <w:rPr>
                <w:rFonts w:eastAsia="Times New Roman"/>
                <w:color w:val="000000"/>
                <w:sz w:val="20"/>
                <w:szCs w:val="20"/>
              </w:rPr>
              <w:t>221 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B9551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2944B"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FFF6E3" w14:textId="77777777" w:rsidR="00000000" w:rsidRDefault="00C1661D">
            <w:pPr>
              <w:spacing w:after="100"/>
              <w:jc w:val="right"/>
              <w:rPr>
                <w:rFonts w:eastAsia="Times New Roman"/>
              </w:rPr>
            </w:pPr>
            <w:r>
              <w:rPr>
                <w:rFonts w:eastAsia="Times New Roman"/>
                <w:color w:val="000000"/>
                <w:sz w:val="20"/>
                <w:szCs w:val="20"/>
              </w:rPr>
              <w:t>478 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AF282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A410CC"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253787" w14:textId="77777777" w:rsidR="00000000" w:rsidRDefault="00C1661D">
            <w:pPr>
              <w:spacing w:after="100"/>
              <w:jc w:val="right"/>
              <w:rPr>
                <w:rFonts w:eastAsia="Times New Roman"/>
              </w:rPr>
            </w:pPr>
            <w:r>
              <w:rPr>
                <w:rFonts w:eastAsia="Times New Roman"/>
                <w:color w:val="000000"/>
                <w:sz w:val="20"/>
                <w:szCs w:val="20"/>
              </w:rPr>
              <w:t>146 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D01294" w14:textId="77777777" w:rsidR="00000000" w:rsidRDefault="00C1661D">
            <w:pPr>
              <w:spacing w:after="100"/>
              <w:jc w:val="right"/>
              <w:rPr>
                <w:rFonts w:eastAsia="Times New Roman"/>
              </w:rPr>
            </w:pPr>
          </w:p>
        </w:tc>
      </w:tr>
      <w:tr w:rsidR="00000000" w14:paraId="1502479E" w14:textId="77777777">
        <w:trPr>
          <w:divId w:val="1601328810"/>
        </w:trPr>
        <w:tc>
          <w:tcPr>
            <w:tcW w:w="0" w:type="auto"/>
            <w:gridSpan w:val="3"/>
            <w:shd w:val="clear" w:color="auto" w:fill="CCEEFF"/>
            <w:tcMar>
              <w:top w:w="30" w:type="dxa"/>
              <w:left w:w="20" w:type="dxa"/>
              <w:bottom w:w="30" w:type="dxa"/>
              <w:right w:w="20" w:type="dxa"/>
            </w:tcMar>
            <w:vAlign w:val="bottom"/>
            <w:hideMark/>
          </w:tcPr>
          <w:p w14:paraId="4F6FC362" w14:textId="77777777" w:rsidR="00000000" w:rsidRDefault="00C1661D">
            <w:pPr>
              <w:spacing w:after="100"/>
              <w:rPr>
                <w:rFonts w:eastAsia="Times New Roman"/>
              </w:rPr>
            </w:pPr>
            <w:r>
              <w:rPr>
                <w:rFonts w:eastAsia="Times New Roman"/>
                <w:color w:val="000000"/>
                <w:sz w:val="20"/>
                <w:szCs w:val="20"/>
              </w:rPr>
              <w:t>Total income tax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A7625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737D7D" w14:textId="77777777" w:rsidR="00000000" w:rsidRDefault="00C1661D">
            <w:pPr>
              <w:spacing w:after="100"/>
              <w:jc w:val="right"/>
              <w:rPr>
                <w:rFonts w:eastAsia="Times New Roman"/>
              </w:rPr>
            </w:pPr>
            <w:r>
              <w:rPr>
                <w:rFonts w:eastAsia="Times New Roman"/>
                <w:color w:val="000000"/>
                <w:sz w:val="20"/>
                <w:szCs w:val="20"/>
              </w:rPr>
              <w:t>313 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A209D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13AE0"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1C8A2E"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EDC248" w14:textId="77777777" w:rsidR="00000000" w:rsidRDefault="00C1661D">
            <w:pPr>
              <w:spacing w:after="100"/>
              <w:jc w:val="right"/>
              <w:rPr>
                <w:rFonts w:eastAsia="Times New Roman"/>
              </w:rPr>
            </w:pPr>
            <w:r>
              <w:rPr>
                <w:rFonts w:eastAsia="Times New Roman"/>
                <w:color w:val="000000"/>
                <w:sz w:val="20"/>
                <w:szCs w:val="20"/>
              </w:rPr>
              <w:t>522 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B43072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5D8C1"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09346F"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2D7BBC" w14:textId="77777777" w:rsidR="00000000" w:rsidRDefault="00C1661D">
            <w:pPr>
              <w:spacing w:after="100"/>
              <w:jc w:val="right"/>
              <w:rPr>
                <w:rFonts w:eastAsia="Times New Roman"/>
              </w:rPr>
            </w:pPr>
            <w:r>
              <w:rPr>
                <w:rFonts w:eastAsia="Times New Roman"/>
                <w:color w:val="000000"/>
                <w:sz w:val="20"/>
                <w:szCs w:val="20"/>
              </w:rPr>
              <w:t>135 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F0CD57" w14:textId="77777777" w:rsidR="00000000" w:rsidRDefault="00C1661D">
            <w:pPr>
              <w:spacing w:after="100"/>
              <w:jc w:val="right"/>
              <w:rPr>
                <w:rFonts w:eastAsia="Times New Roman"/>
              </w:rPr>
            </w:pPr>
          </w:p>
        </w:tc>
      </w:tr>
    </w:tbl>
    <w:p w14:paraId="1382370B" w14:textId="77777777" w:rsidR="00000000" w:rsidRDefault="00C1661D">
      <w:pPr>
        <w:divId w:val="1685551362"/>
        <w:rPr>
          <w:rFonts w:eastAsia="Times New Roman"/>
        </w:rPr>
      </w:pPr>
    </w:p>
    <w:p w14:paraId="05864EC8" w14:textId="77777777" w:rsidR="00000000" w:rsidRDefault="00C1661D">
      <w:pPr>
        <w:jc w:val="both"/>
        <w:rPr>
          <w:rFonts w:eastAsia="Times New Roman"/>
        </w:rPr>
      </w:pPr>
      <w:r>
        <w:rPr>
          <w:rFonts w:eastAsia="Times New Roman"/>
          <w:color w:val="000000"/>
          <w:sz w:val="20"/>
          <w:szCs w:val="20"/>
        </w:rPr>
        <w:t>Federal income taxes for Fiscal 2022 are net of foreign tax credits of $5. There were none utilized in Fiscal 2021 or Fiscal 2020.</w:t>
      </w:r>
    </w:p>
    <w:p w14:paraId="0C890176" w14:textId="77777777" w:rsidR="00000000" w:rsidRDefault="00C1661D">
      <w:pPr>
        <w:jc w:val="both"/>
        <w:divId w:val="2114283795"/>
        <w:rPr>
          <w:rFonts w:eastAsia="Times New Roman"/>
        </w:rPr>
      </w:pPr>
      <w:r>
        <w:rPr>
          <w:rFonts w:eastAsia="Times New Roman"/>
          <w:color w:val="000000"/>
          <w:sz w:val="20"/>
          <w:szCs w:val="20"/>
        </w:rPr>
        <w:t>A reconciliation from the U.S. federal statutory</w:t>
      </w:r>
      <w:r>
        <w:rPr>
          <w:rFonts w:eastAsia="Times New Roman"/>
          <w:color w:val="000000"/>
          <w:sz w:val="20"/>
          <w:szCs w:val="20"/>
        </w:rPr>
        <w:t xml:space="preserve"> tax rate to our effective tax rate is as follows:</w:t>
      </w:r>
    </w:p>
    <w:tbl>
      <w:tblPr>
        <w:tblW w:w="4992" w:type="pct"/>
        <w:tblCellMar>
          <w:top w:w="15" w:type="dxa"/>
          <w:left w:w="15" w:type="dxa"/>
          <w:bottom w:w="15" w:type="dxa"/>
          <w:right w:w="15" w:type="dxa"/>
        </w:tblCellMar>
        <w:tblLook w:val="04A0" w:firstRow="1" w:lastRow="0" w:firstColumn="1" w:lastColumn="0" w:noHBand="0" w:noVBand="1"/>
      </w:tblPr>
      <w:tblGrid>
        <w:gridCol w:w="40"/>
        <w:gridCol w:w="4821"/>
        <w:gridCol w:w="39"/>
        <w:gridCol w:w="37"/>
        <w:gridCol w:w="874"/>
        <w:gridCol w:w="187"/>
        <w:gridCol w:w="36"/>
        <w:gridCol w:w="36"/>
        <w:gridCol w:w="36"/>
        <w:gridCol w:w="37"/>
        <w:gridCol w:w="814"/>
        <w:gridCol w:w="187"/>
        <w:gridCol w:w="36"/>
        <w:gridCol w:w="36"/>
        <w:gridCol w:w="36"/>
        <w:gridCol w:w="37"/>
        <w:gridCol w:w="817"/>
        <w:gridCol w:w="187"/>
      </w:tblGrid>
      <w:tr w:rsidR="00000000" w14:paraId="78708A75" w14:textId="77777777">
        <w:trPr>
          <w:divId w:val="2083212770"/>
        </w:trPr>
        <w:tc>
          <w:tcPr>
            <w:tcW w:w="50" w:type="pct"/>
            <w:vAlign w:val="center"/>
            <w:hideMark/>
          </w:tcPr>
          <w:p w14:paraId="7F09C52F" w14:textId="77777777" w:rsidR="00000000" w:rsidRDefault="00C1661D">
            <w:pPr>
              <w:jc w:val="both"/>
              <w:rPr>
                <w:rFonts w:eastAsia="Times New Roman"/>
              </w:rPr>
            </w:pPr>
          </w:p>
        </w:tc>
        <w:tc>
          <w:tcPr>
            <w:tcW w:w="2961" w:type="pct"/>
            <w:vAlign w:val="center"/>
            <w:hideMark/>
          </w:tcPr>
          <w:p w14:paraId="34DE9A8E" w14:textId="77777777" w:rsidR="00000000" w:rsidRDefault="00C1661D">
            <w:pPr>
              <w:spacing w:after="100"/>
              <w:rPr>
                <w:rFonts w:eastAsia="Times New Roman"/>
                <w:sz w:val="20"/>
                <w:szCs w:val="20"/>
              </w:rPr>
            </w:pPr>
          </w:p>
        </w:tc>
        <w:tc>
          <w:tcPr>
            <w:tcW w:w="5" w:type="pct"/>
            <w:vAlign w:val="center"/>
            <w:hideMark/>
          </w:tcPr>
          <w:p w14:paraId="5ADC0470" w14:textId="77777777" w:rsidR="00000000" w:rsidRDefault="00C1661D">
            <w:pPr>
              <w:spacing w:after="100"/>
              <w:rPr>
                <w:rFonts w:eastAsia="Times New Roman"/>
                <w:sz w:val="20"/>
                <w:szCs w:val="20"/>
              </w:rPr>
            </w:pPr>
          </w:p>
        </w:tc>
        <w:tc>
          <w:tcPr>
            <w:tcW w:w="50" w:type="pct"/>
            <w:vAlign w:val="center"/>
            <w:hideMark/>
          </w:tcPr>
          <w:p w14:paraId="45A32822" w14:textId="77777777" w:rsidR="00000000" w:rsidRDefault="00C1661D">
            <w:pPr>
              <w:spacing w:after="100"/>
              <w:rPr>
                <w:rFonts w:eastAsia="Times New Roman"/>
                <w:sz w:val="20"/>
                <w:szCs w:val="20"/>
              </w:rPr>
            </w:pPr>
          </w:p>
        </w:tc>
        <w:tc>
          <w:tcPr>
            <w:tcW w:w="581" w:type="pct"/>
            <w:vAlign w:val="center"/>
            <w:hideMark/>
          </w:tcPr>
          <w:p w14:paraId="1F478C53" w14:textId="77777777" w:rsidR="00000000" w:rsidRDefault="00C1661D">
            <w:pPr>
              <w:spacing w:after="100"/>
              <w:rPr>
                <w:rFonts w:eastAsia="Times New Roman"/>
                <w:sz w:val="20"/>
                <w:szCs w:val="20"/>
              </w:rPr>
            </w:pPr>
          </w:p>
        </w:tc>
        <w:tc>
          <w:tcPr>
            <w:tcW w:w="5" w:type="pct"/>
            <w:vAlign w:val="center"/>
            <w:hideMark/>
          </w:tcPr>
          <w:p w14:paraId="16DF1C2E" w14:textId="77777777" w:rsidR="00000000" w:rsidRDefault="00C1661D">
            <w:pPr>
              <w:spacing w:after="100"/>
              <w:rPr>
                <w:rFonts w:eastAsia="Times New Roman"/>
                <w:sz w:val="20"/>
                <w:szCs w:val="20"/>
              </w:rPr>
            </w:pPr>
          </w:p>
        </w:tc>
        <w:tc>
          <w:tcPr>
            <w:tcW w:w="5" w:type="pct"/>
            <w:vAlign w:val="center"/>
            <w:hideMark/>
          </w:tcPr>
          <w:p w14:paraId="0848C3E4" w14:textId="77777777" w:rsidR="00000000" w:rsidRDefault="00C1661D">
            <w:pPr>
              <w:spacing w:after="100"/>
              <w:rPr>
                <w:rFonts w:eastAsia="Times New Roman"/>
                <w:sz w:val="20"/>
                <w:szCs w:val="20"/>
              </w:rPr>
            </w:pPr>
          </w:p>
        </w:tc>
        <w:tc>
          <w:tcPr>
            <w:tcW w:w="26" w:type="pct"/>
            <w:vAlign w:val="center"/>
            <w:hideMark/>
          </w:tcPr>
          <w:p w14:paraId="6A8FB7A0" w14:textId="77777777" w:rsidR="00000000" w:rsidRDefault="00C1661D">
            <w:pPr>
              <w:spacing w:after="100"/>
              <w:rPr>
                <w:rFonts w:eastAsia="Times New Roman"/>
                <w:sz w:val="20"/>
                <w:szCs w:val="20"/>
              </w:rPr>
            </w:pPr>
          </w:p>
        </w:tc>
        <w:tc>
          <w:tcPr>
            <w:tcW w:w="5" w:type="pct"/>
            <w:vAlign w:val="center"/>
            <w:hideMark/>
          </w:tcPr>
          <w:p w14:paraId="26845F00" w14:textId="77777777" w:rsidR="00000000" w:rsidRDefault="00C1661D">
            <w:pPr>
              <w:spacing w:after="100"/>
              <w:rPr>
                <w:rFonts w:eastAsia="Times New Roman"/>
                <w:sz w:val="20"/>
                <w:szCs w:val="20"/>
              </w:rPr>
            </w:pPr>
          </w:p>
        </w:tc>
        <w:tc>
          <w:tcPr>
            <w:tcW w:w="50" w:type="pct"/>
            <w:vAlign w:val="center"/>
            <w:hideMark/>
          </w:tcPr>
          <w:p w14:paraId="3F3D4FBA" w14:textId="77777777" w:rsidR="00000000" w:rsidRDefault="00C1661D">
            <w:pPr>
              <w:spacing w:after="100"/>
              <w:rPr>
                <w:rFonts w:eastAsia="Times New Roman"/>
                <w:sz w:val="20"/>
                <w:szCs w:val="20"/>
              </w:rPr>
            </w:pPr>
          </w:p>
        </w:tc>
        <w:tc>
          <w:tcPr>
            <w:tcW w:w="581" w:type="pct"/>
            <w:vAlign w:val="center"/>
            <w:hideMark/>
          </w:tcPr>
          <w:p w14:paraId="2E286C69" w14:textId="77777777" w:rsidR="00000000" w:rsidRDefault="00C1661D">
            <w:pPr>
              <w:spacing w:after="100"/>
              <w:rPr>
                <w:rFonts w:eastAsia="Times New Roman"/>
                <w:sz w:val="20"/>
                <w:szCs w:val="20"/>
              </w:rPr>
            </w:pPr>
          </w:p>
        </w:tc>
        <w:tc>
          <w:tcPr>
            <w:tcW w:w="5" w:type="pct"/>
            <w:vAlign w:val="center"/>
            <w:hideMark/>
          </w:tcPr>
          <w:p w14:paraId="5FD3C9D1" w14:textId="77777777" w:rsidR="00000000" w:rsidRDefault="00C1661D">
            <w:pPr>
              <w:spacing w:after="100"/>
              <w:rPr>
                <w:rFonts w:eastAsia="Times New Roman"/>
                <w:sz w:val="20"/>
                <w:szCs w:val="20"/>
              </w:rPr>
            </w:pPr>
          </w:p>
        </w:tc>
        <w:tc>
          <w:tcPr>
            <w:tcW w:w="5" w:type="pct"/>
            <w:vAlign w:val="center"/>
            <w:hideMark/>
          </w:tcPr>
          <w:p w14:paraId="5AF23050" w14:textId="77777777" w:rsidR="00000000" w:rsidRDefault="00C1661D">
            <w:pPr>
              <w:spacing w:after="100"/>
              <w:rPr>
                <w:rFonts w:eastAsia="Times New Roman"/>
                <w:sz w:val="20"/>
                <w:szCs w:val="20"/>
              </w:rPr>
            </w:pPr>
          </w:p>
        </w:tc>
        <w:tc>
          <w:tcPr>
            <w:tcW w:w="26" w:type="pct"/>
            <w:vAlign w:val="center"/>
            <w:hideMark/>
          </w:tcPr>
          <w:p w14:paraId="183461A7" w14:textId="77777777" w:rsidR="00000000" w:rsidRDefault="00C1661D">
            <w:pPr>
              <w:spacing w:after="100"/>
              <w:rPr>
                <w:rFonts w:eastAsia="Times New Roman"/>
                <w:sz w:val="20"/>
                <w:szCs w:val="20"/>
              </w:rPr>
            </w:pPr>
          </w:p>
        </w:tc>
        <w:tc>
          <w:tcPr>
            <w:tcW w:w="5" w:type="pct"/>
            <w:vAlign w:val="center"/>
            <w:hideMark/>
          </w:tcPr>
          <w:p w14:paraId="2C930F6C" w14:textId="77777777" w:rsidR="00000000" w:rsidRDefault="00C1661D">
            <w:pPr>
              <w:spacing w:after="100"/>
              <w:rPr>
                <w:rFonts w:eastAsia="Times New Roman"/>
                <w:sz w:val="20"/>
                <w:szCs w:val="20"/>
              </w:rPr>
            </w:pPr>
          </w:p>
        </w:tc>
        <w:tc>
          <w:tcPr>
            <w:tcW w:w="50" w:type="pct"/>
            <w:vAlign w:val="center"/>
            <w:hideMark/>
          </w:tcPr>
          <w:p w14:paraId="20C36E37" w14:textId="77777777" w:rsidR="00000000" w:rsidRDefault="00C1661D">
            <w:pPr>
              <w:spacing w:after="100"/>
              <w:rPr>
                <w:rFonts w:eastAsia="Times New Roman"/>
                <w:sz w:val="20"/>
                <w:szCs w:val="20"/>
              </w:rPr>
            </w:pPr>
          </w:p>
        </w:tc>
        <w:tc>
          <w:tcPr>
            <w:tcW w:w="582" w:type="pct"/>
            <w:vAlign w:val="center"/>
            <w:hideMark/>
          </w:tcPr>
          <w:p w14:paraId="0467EE81" w14:textId="77777777" w:rsidR="00000000" w:rsidRDefault="00C1661D">
            <w:pPr>
              <w:spacing w:after="100"/>
              <w:rPr>
                <w:rFonts w:eastAsia="Times New Roman"/>
                <w:sz w:val="20"/>
                <w:szCs w:val="20"/>
              </w:rPr>
            </w:pPr>
          </w:p>
        </w:tc>
        <w:tc>
          <w:tcPr>
            <w:tcW w:w="5" w:type="pct"/>
            <w:vAlign w:val="center"/>
            <w:hideMark/>
          </w:tcPr>
          <w:p w14:paraId="22357905" w14:textId="77777777" w:rsidR="00000000" w:rsidRDefault="00C1661D">
            <w:pPr>
              <w:spacing w:after="100"/>
              <w:rPr>
                <w:rFonts w:eastAsia="Times New Roman"/>
                <w:sz w:val="20"/>
                <w:szCs w:val="20"/>
              </w:rPr>
            </w:pPr>
          </w:p>
        </w:tc>
      </w:tr>
      <w:tr w:rsidR="00000000" w14:paraId="58906B4E" w14:textId="77777777">
        <w:trPr>
          <w:divId w:val="2083212770"/>
        </w:trPr>
        <w:tc>
          <w:tcPr>
            <w:tcW w:w="0" w:type="auto"/>
            <w:gridSpan w:val="3"/>
            <w:tcMar>
              <w:top w:w="0" w:type="dxa"/>
              <w:left w:w="20" w:type="dxa"/>
              <w:bottom w:w="0" w:type="dxa"/>
              <w:right w:w="20" w:type="dxa"/>
            </w:tcMar>
            <w:vAlign w:val="center"/>
            <w:hideMark/>
          </w:tcPr>
          <w:p w14:paraId="107C9BF3"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7776D0E"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5B9F7944"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FC14FA"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54BD642E"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0B91CBF" w14:textId="77777777" w:rsidR="00000000" w:rsidRDefault="00C1661D">
            <w:pPr>
              <w:spacing w:after="100"/>
              <w:jc w:val="center"/>
              <w:rPr>
                <w:rFonts w:eastAsia="Times New Roman"/>
              </w:rPr>
            </w:pPr>
            <w:r>
              <w:rPr>
                <w:rFonts w:eastAsia="Times New Roman"/>
                <w:color w:val="000000"/>
                <w:sz w:val="20"/>
                <w:szCs w:val="20"/>
              </w:rPr>
              <w:t>2020</w:t>
            </w:r>
          </w:p>
        </w:tc>
      </w:tr>
      <w:tr w:rsidR="00000000" w14:paraId="42030326" w14:textId="77777777">
        <w:trPr>
          <w:divId w:val="2083212770"/>
        </w:trPr>
        <w:tc>
          <w:tcPr>
            <w:tcW w:w="0" w:type="auto"/>
            <w:gridSpan w:val="3"/>
            <w:shd w:val="clear" w:color="auto" w:fill="CCEEFF"/>
            <w:tcMar>
              <w:top w:w="30" w:type="dxa"/>
              <w:left w:w="20" w:type="dxa"/>
              <w:bottom w:w="30" w:type="dxa"/>
              <w:right w:w="20" w:type="dxa"/>
            </w:tcMar>
            <w:vAlign w:val="bottom"/>
            <w:hideMark/>
          </w:tcPr>
          <w:p w14:paraId="377177B7" w14:textId="77777777" w:rsidR="00000000" w:rsidRDefault="00C1661D">
            <w:pPr>
              <w:spacing w:after="100"/>
              <w:rPr>
                <w:rFonts w:eastAsia="Times New Roman"/>
              </w:rPr>
            </w:pPr>
            <w:r>
              <w:rPr>
                <w:rFonts w:eastAsia="Times New Roman"/>
                <w:color w:val="000000"/>
                <w:sz w:val="20"/>
                <w:szCs w:val="20"/>
              </w:rPr>
              <w:t>U.S. federal statutory tax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0A6766" w14:textId="77777777" w:rsidR="00000000" w:rsidRDefault="00C1661D">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2D6536"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9908217" w14:textId="77777777" w:rsidR="00000000" w:rsidRDefault="00C1661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DB6C0B" w14:textId="77777777" w:rsidR="00000000" w:rsidRDefault="00C1661D">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CCCAF9"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693785D" w14:textId="77777777" w:rsidR="00000000" w:rsidRDefault="00C1661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7D73AF" w14:textId="77777777" w:rsidR="00000000" w:rsidRDefault="00C1661D">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CBC9A1" w14:textId="77777777" w:rsidR="00000000" w:rsidRDefault="00C1661D">
            <w:pPr>
              <w:spacing w:after="100"/>
              <w:jc w:val="right"/>
              <w:rPr>
                <w:rFonts w:eastAsia="Times New Roman"/>
              </w:rPr>
            </w:pPr>
            <w:r>
              <w:rPr>
                <w:rFonts w:eastAsia="Times New Roman"/>
                <w:color w:val="000000"/>
                <w:sz w:val="20"/>
                <w:szCs w:val="20"/>
              </w:rPr>
              <w:t>%</w:t>
            </w:r>
          </w:p>
        </w:tc>
      </w:tr>
      <w:tr w:rsidR="00000000" w14:paraId="49D80F94" w14:textId="77777777">
        <w:trPr>
          <w:divId w:val="2083212770"/>
        </w:trPr>
        <w:tc>
          <w:tcPr>
            <w:tcW w:w="0" w:type="auto"/>
            <w:gridSpan w:val="3"/>
            <w:shd w:val="clear" w:color="auto" w:fill="FFFFFF"/>
            <w:tcMar>
              <w:top w:w="30" w:type="dxa"/>
              <w:left w:w="20" w:type="dxa"/>
              <w:bottom w:w="30" w:type="dxa"/>
              <w:right w:w="20" w:type="dxa"/>
            </w:tcMar>
            <w:vAlign w:val="bottom"/>
            <w:hideMark/>
          </w:tcPr>
          <w:p w14:paraId="089CA498" w14:textId="77777777" w:rsidR="00000000" w:rsidRDefault="00C1661D">
            <w:pPr>
              <w:spacing w:after="100"/>
              <w:rPr>
                <w:rFonts w:eastAsia="Times New Roman"/>
              </w:rPr>
            </w:pPr>
            <w:r>
              <w:rPr>
                <w:rFonts w:eastAsia="Times New Roman"/>
                <w:color w:val="000000"/>
                <w:sz w:val="20"/>
                <w:szCs w:val="20"/>
              </w:rPr>
              <w:t>Difference in tax rate due to:</w:t>
            </w:r>
          </w:p>
        </w:tc>
        <w:tc>
          <w:tcPr>
            <w:tcW w:w="0" w:type="auto"/>
            <w:gridSpan w:val="3"/>
            <w:shd w:val="clear" w:color="auto" w:fill="FFFFFF"/>
            <w:tcMar>
              <w:top w:w="0" w:type="dxa"/>
              <w:left w:w="20" w:type="dxa"/>
              <w:bottom w:w="0" w:type="dxa"/>
              <w:right w:w="20" w:type="dxa"/>
            </w:tcMar>
            <w:vAlign w:val="center"/>
            <w:hideMark/>
          </w:tcPr>
          <w:p w14:paraId="7C63223F"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25D296"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0C762D"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1E39DE"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9F0038" w14:textId="77777777" w:rsidR="00000000" w:rsidRDefault="00C1661D">
            <w:pPr>
              <w:spacing w:after="100"/>
              <w:rPr>
                <w:rFonts w:eastAsia="Times New Roman"/>
                <w:sz w:val="20"/>
                <w:szCs w:val="20"/>
              </w:rPr>
            </w:pPr>
          </w:p>
        </w:tc>
      </w:tr>
      <w:tr w:rsidR="00000000" w14:paraId="3EE7FEED" w14:textId="77777777">
        <w:trPr>
          <w:divId w:val="2083212770"/>
        </w:trPr>
        <w:tc>
          <w:tcPr>
            <w:tcW w:w="0" w:type="auto"/>
            <w:gridSpan w:val="3"/>
            <w:shd w:val="clear" w:color="auto" w:fill="CCEEFF"/>
            <w:tcMar>
              <w:top w:w="30" w:type="dxa"/>
              <w:left w:w="155" w:type="dxa"/>
              <w:bottom w:w="30" w:type="dxa"/>
              <w:right w:w="20" w:type="dxa"/>
            </w:tcMar>
            <w:vAlign w:val="bottom"/>
            <w:hideMark/>
          </w:tcPr>
          <w:p w14:paraId="00DA7331" w14:textId="77777777" w:rsidR="00000000" w:rsidRDefault="00C1661D">
            <w:pPr>
              <w:spacing w:after="100"/>
              <w:rPr>
                <w:rFonts w:eastAsia="Times New Roman"/>
              </w:rPr>
            </w:pPr>
            <w:r>
              <w:rPr>
                <w:rFonts w:eastAsia="Times New Roman"/>
                <w:color w:val="000000"/>
                <w:sz w:val="20"/>
                <w:szCs w:val="20"/>
              </w:rPr>
              <w:t>Effects of U.S. tax legislation</w:t>
            </w:r>
          </w:p>
        </w:tc>
        <w:tc>
          <w:tcPr>
            <w:tcW w:w="0" w:type="auto"/>
            <w:gridSpan w:val="2"/>
            <w:shd w:val="clear" w:color="auto" w:fill="CCEEFF"/>
            <w:tcMar>
              <w:top w:w="30" w:type="dxa"/>
              <w:left w:w="20" w:type="dxa"/>
              <w:bottom w:w="30" w:type="dxa"/>
              <w:right w:w="0" w:type="dxa"/>
            </w:tcMar>
            <w:vAlign w:val="bottom"/>
            <w:hideMark/>
          </w:tcPr>
          <w:p w14:paraId="5781CAC8"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94D4C6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78C00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6B46EC" w14:textId="77777777" w:rsidR="00000000" w:rsidRDefault="00C1661D">
            <w:pPr>
              <w:spacing w:after="100"/>
              <w:jc w:val="right"/>
              <w:rPr>
                <w:rFonts w:eastAsia="Times New Roman"/>
              </w:rPr>
            </w:pPr>
            <w:r>
              <w:rPr>
                <w:rFonts w:eastAsia="Times New Roman"/>
                <w:color w:val="000000"/>
                <w:sz w:val="20"/>
                <w:szCs w:val="20"/>
              </w:rPr>
              <w:t>(0.8)</w:t>
            </w:r>
          </w:p>
        </w:tc>
        <w:tc>
          <w:tcPr>
            <w:tcW w:w="0" w:type="auto"/>
            <w:shd w:val="clear" w:color="auto" w:fill="CCEEFF"/>
            <w:tcMar>
              <w:top w:w="30" w:type="dxa"/>
              <w:left w:w="0" w:type="dxa"/>
              <w:bottom w:w="30" w:type="dxa"/>
              <w:right w:w="20" w:type="dxa"/>
            </w:tcMar>
            <w:vAlign w:val="bottom"/>
            <w:hideMark/>
          </w:tcPr>
          <w:p w14:paraId="328CB40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3911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42E930" w14:textId="77777777" w:rsidR="00000000" w:rsidRDefault="00C1661D">
            <w:pPr>
              <w:spacing w:after="100"/>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14:paraId="0CF8C69C" w14:textId="77777777" w:rsidR="00000000" w:rsidRDefault="00C1661D">
            <w:pPr>
              <w:spacing w:after="100"/>
              <w:jc w:val="right"/>
              <w:rPr>
                <w:rFonts w:eastAsia="Times New Roman"/>
              </w:rPr>
            </w:pPr>
          </w:p>
        </w:tc>
      </w:tr>
      <w:tr w:rsidR="00000000" w14:paraId="455EEB91" w14:textId="77777777">
        <w:trPr>
          <w:divId w:val="2083212770"/>
        </w:trPr>
        <w:tc>
          <w:tcPr>
            <w:tcW w:w="0" w:type="auto"/>
            <w:gridSpan w:val="3"/>
            <w:shd w:val="clear" w:color="auto" w:fill="FFFFFF"/>
            <w:tcMar>
              <w:top w:w="30" w:type="dxa"/>
              <w:left w:w="155" w:type="dxa"/>
              <w:bottom w:w="30" w:type="dxa"/>
              <w:right w:w="20" w:type="dxa"/>
            </w:tcMar>
            <w:vAlign w:val="bottom"/>
            <w:hideMark/>
          </w:tcPr>
          <w:p w14:paraId="652BA309" w14:textId="77777777" w:rsidR="00000000" w:rsidRDefault="00C1661D">
            <w:pPr>
              <w:spacing w:after="100"/>
              <w:rPr>
                <w:rFonts w:eastAsia="Times New Roman"/>
              </w:rPr>
            </w:pPr>
            <w:r>
              <w:rPr>
                <w:rFonts w:eastAsia="Times New Roman"/>
                <w:color w:val="000000"/>
                <w:sz w:val="20"/>
                <w:szCs w:val="20"/>
              </w:rPr>
              <w:t>Effects of tax rate changes - International</w:t>
            </w:r>
          </w:p>
        </w:tc>
        <w:tc>
          <w:tcPr>
            <w:tcW w:w="0" w:type="auto"/>
            <w:gridSpan w:val="2"/>
            <w:shd w:val="clear" w:color="auto" w:fill="FFFFFF"/>
            <w:tcMar>
              <w:top w:w="30" w:type="dxa"/>
              <w:left w:w="20" w:type="dxa"/>
              <w:bottom w:w="30" w:type="dxa"/>
              <w:right w:w="0" w:type="dxa"/>
            </w:tcMar>
            <w:vAlign w:val="bottom"/>
            <w:hideMark/>
          </w:tcPr>
          <w:p w14:paraId="561A8169" w14:textId="77777777" w:rsidR="00000000" w:rsidRDefault="00C1661D">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14:paraId="51E37D9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572CD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609D34" w14:textId="77777777" w:rsidR="00000000" w:rsidRDefault="00C1661D">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14:paraId="0B7BD75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0008F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6554C3" w14:textId="77777777" w:rsidR="00000000" w:rsidRDefault="00C1661D">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14:paraId="27716C92" w14:textId="77777777" w:rsidR="00000000" w:rsidRDefault="00C1661D">
            <w:pPr>
              <w:spacing w:after="100"/>
              <w:jc w:val="right"/>
              <w:rPr>
                <w:rFonts w:eastAsia="Times New Roman"/>
              </w:rPr>
            </w:pPr>
          </w:p>
        </w:tc>
      </w:tr>
      <w:tr w:rsidR="00000000" w14:paraId="6657CD77" w14:textId="77777777">
        <w:trPr>
          <w:divId w:val="2083212770"/>
        </w:trPr>
        <w:tc>
          <w:tcPr>
            <w:tcW w:w="0" w:type="auto"/>
            <w:gridSpan w:val="3"/>
            <w:shd w:val="clear" w:color="auto" w:fill="CCEEFF"/>
            <w:tcMar>
              <w:top w:w="30" w:type="dxa"/>
              <w:left w:w="155" w:type="dxa"/>
              <w:bottom w:w="30" w:type="dxa"/>
              <w:right w:w="20" w:type="dxa"/>
            </w:tcMar>
            <w:vAlign w:val="bottom"/>
            <w:hideMark/>
          </w:tcPr>
          <w:p w14:paraId="657FE670" w14:textId="77777777" w:rsidR="00000000" w:rsidRDefault="00C1661D">
            <w:pPr>
              <w:spacing w:after="100"/>
              <w:rPr>
                <w:rFonts w:eastAsia="Times New Roman"/>
              </w:rPr>
            </w:pPr>
            <w:r>
              <w:rPr>
                <w:rFonts w:eastAsia="Times New Roman"/>
                <w:color w:val="000000"/>
                <w:sz w:val="20"/>
                <w:szCs w:val="20"/>
              </w:rPr>
              <w:t>Effects of tax rate changes – State, net of federal benefit</w:t>
            </w:r>
          </w:p>
        </w:tc>
        <w:tc>
          <w:tcPr>
            <w:tcW w:w="0" w:type="auto"/>
            <w:gridSpan w:val="2"/>
            <w:shd w:val="clear" w:color="auto" w:fill="CCEEFF"/>
            <w:tcMar>
              <w:top w:w="30" w:type="dxa"/>
              <w:left w:w="20" w:type="dxa"/>
              <w:bottom w:w="30" w:type="dxa"/>
              <w:right w:w="0" w:type="dxa"/>
            </w:tcMar>
            <w:vAlign w:val="bottom"/>
            <w:hideMark/>
          </w:tcPr>
          <w:p w14:paraId="76B8473A" w14:textId="77777777" w:rsidR="00000000" w:rsidRDefault="00C1661D">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14:paraId="1691758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6A6D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4A738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3F909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B86D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90BBBF"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7F7FD4" w14:textId="77777777" w:rsidR="00000000" w:rsidRDefault="00C1661D">
            <w:pPr>
              <w:spacing w:after="100"/>
              <w:jc w:val="right"/>
              <w:rPr>
                <w:rFonts w:eastAsia="Times New Roman"/>
              </w:rPr>
            </w:pPr>
          </w:p>
        </w:tc>
      </w:tr>
      <w:tr w:rsidR="00000000" w14:paraId="4E7B2B90" w14:textId="77777777">
        <w:trPr>
          <w:divId w:val="2083212770"/>
        </w:trPr>
        <w:tc>
          <w:tcPr>
            <w:tcW w:w="0" w:type="auto"/>
            <w:gridSpan w:val="3"/>
            <w:shd w:val="clear" w:color="auto" w:fill="FFFFFF"/>
            <w:tcMar>
              <w:top w:w="30" w:type="dxa"/>
              <w:left w:w="155" w:type="dxa"/>
              <w:bottom w:w="30" w:type="dxa"/>
              <w:right w:w="20" w:type="dxa"/>
            </w:tcMar>
            <w:vAlign w:val="bottom"/>
            <w:hideMark/>
          </w:tcPr>
          <w:p w14:paraId="51724C56" w14:textId="77777777" w:rsidR="00000000" w:rsidRDefault="00C1661D">
            <w:pPr>
              <w:spacing w:after="100"/>
              <w:rPr>
                <w:rFonts w:eastAsia="Times New Roman"/>
              </w:rPr>
            </w:pPr>
            <w:r>
              <w:rPr>
                <w:rFonts w:eastAsia="Times New Roman"/>
                <w:color w:val="000000"/>
                <w:sz w:val="20"/>
                <w:szCs w:val="20"/>
              </w:rPr>
              <w:t>State income taxes, net of federal benefit</w:t>
            </w:r>
          </w:p>
        </w:tc>
        <w:tc>
          <w:tcPr>
            <w:tcW w:w="0" w:type="auto"/>
            <w:gridSpan w:val="2"/>
            <w:shd w:val="clear" w:color="auto" w:fill="FFFFFF"/>
            <w:tcMar>
              <w:top w:w="30" w:type="dxa"/>
              <w:left w:w="20" w:type="dxa"/>
              <w:bottom w:w="30" w:type="dxa"/>
              <w:right w:w="0" w:type="dxa"/>
            </w:tcMar>
            <w:vAlign w:val="bottom"/>
            <w:hideMark/>
          </w:tcPr>
          <w:p w14:paraId="28E74D9E" w14:textId="77777777" w:rsidR="00000000" w:rsidRDefault="00C1661D">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14:paraId="4C99801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D3B61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FD71FD" w14:textId="77777777" w:rsidR="00000000" w:rsidRDefault="00C1661D">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490AC46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1CDCC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4DF3AB" w14:textId="77777777" w:rsidR="00000000" w:rsidRDefault="00C1661D">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14:paraId="24899DE5" w14:textId="77777777" w:rsidR="00000000" w:rsidRDefault="00C1661D">
            <w:pPr>
              <w:spacing w:after="100"/>
              <w:jc w:val="right"/>
              <w:rPr>
                <w:rFonts w:eastAsia="Times New Roman"/>
              </w:rPr>
            </w:pPr>
          </w:p>
        </w:tc>
      </w:tr>
      <w:tr w:rsidR="00000000" w14:paraId="660A16A4" w14:textId="77777777">
        <w:trPr>
          <w:divId w:val="2083212770"/>
        </w:trPr>
        <w:tc>
          <w:tcPr>
            <w:tcW w:w="0" w:type="auto"/>
            <w:gridSpan w:val="3"/>
            <w:shd w:val="clear" w:color="auto" w:fill="CCEEFF"/>
            <w:tcMar>
              <w:top w:w="30" w:type="dxa"/>
              <w:left w:w="155" w:type="dxa"/>
              <w:bottom w:w="30" w:type="dxa"/>
              <w:right w:w="20" w:type="dxa"/>
            </w:tcMar>
            <w:vAlign w:val="bottom"/>
            <w:hideMark/>
          </w:tcPr>
          <w:p w14:paraId="66431731" w14:textId="77777777" w:rsidR="00000000" w:rsidRDefault="00C1661D">
            <w:pPr>
              <w:spacing w:after="100"/>
              <w:rPr>
                <w:rFonts w:eastAsia="Times New Roman"/>
              </w:rPr>
            </w:pPr>
            <w:r>
              <w:rPr>
                <w:rFonts w:eastAsia="Times New Roman"/>
                <w:color w:val="000000"/>
                <w:sz w:val="20"/>
                <w:szCs w:val="20"/>
              </w:rPr>
              <w:t>Valuation allowance adjustments</w:t>
            </w:r>
          </w:p>
        </w:tc>
        <w:tc>
          <w:tcPr>
            <w:tcW w:w="0" w:type="auto"/>
            <w:gridSpan w:val="2"/>
            <w:shd w:val="clear" w:color="auto" w:fill="CCEEFF"/>
            <w:tcMar>
              <w:top w:w="30" w:type="dxa"/>
              <w:left w:w="20" w:type="dxa"/>
              <w:bottom w:w="30" w:type="dxa"/>
              <w:right w:w="0" w:type="dxa"/>
            </w:tcMar>
            <w:vAlign w:val="bottom"/>
            <w:hideMark/>
          </w:tcPr>
          <w:p w14:paraId="36DD9183" w14:textId="77777777" w:rsidR="00000000" w:rsidRDefault="00C1661D">
            <w:pPr>
              <w:spacing w:after="100"/>
              <w:jc w:val="right"/>
              <w:rPr>
                <w:rFonts w:eastAsia="Times New Roman"/>
              </w:rPr>
            </w:pPr>
            <w:r>
              <w:rPr>
                <w:rFonts w:eastAsia="Times New Roman"/>
                <w:color w:val="000000"/>
                <w:sz w:val="20"/>
                <w:szCs w:val="20"/>
              </w:rPr>
              <w:t>(0.5)</w:t>
            </w:r>
          </w:p>
        </w:tc>
        <w:tc>
          <w:tcPr>
            <w:tcW w:w="0" w:type="auto"/>
            <w:shd w:val="clear" w:color="auto" w:fill="CCEEFF"/>
            <w:tcMar>
              <w:top w:w="30" w:type="dxa"/>
              <w:left w:w="0" w:type="dxa"/>
              <w:bottom w:w="30" w:type="dxa"/>
              <w:right w:w="20" w:type="dxa"/>
            </w:tcMar>
            <w:vAlign w:val="bottom"/>
            <w:hideMark/>
          </w:tcPr>
          <w:p w14:paraId="6D2418D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D9F08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ED7821" w14:textId="77777777" w:rsidR="00000000" w:rsidRDefault="00C1661D">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04268B5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BB69A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D22E73"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4CBD61" w14:textId="77777777" w:rsidR="00000000" w:rsidRDefault="00C1661D">
            <w:pPr>
              <w:spacing w:after="100"/>
              <w:jc w:val="right"/>
              <w:rPr>
                <w:rFonts w:eastAsia="Times New Roman"/>
              </w:rPr>
            </w:pPr>
          </w:p>
        </w:tc>
      </w:tr>
      <w:tr w:rsidR="00000000" w14:paraId="22037D2F" w14:textId="77777777">
        <w:trPr>
          <w:divId w:val="2083212770"/>
        </w:trPr>
        <w:tc>
          <w:tcPr>
            <w:tcW w:w="0" w:type="auto"/>
            <w:gridSpan w:val="3"/>
            <w:shd w:val="clear" w:color="auto" w:fill="FFFFFF"/>
            <w:tcMar>
              <w:top w:w="30" w:type="dxa"/>
              <w:left w:w="155" w:type="dxa"/>
              <w:bottom w:w="30" w:type="dxa"/>
              <w:right w:w="20" w:type="dxa"/>
            </w:tcMar>
            <w:vAlign w:val="bottom"/>
            <w:hideMark/>
          </w:tcPr>
          <w:p w14:paraId="2C137AB4" w14:textId="77777777" w:rsidR="00000000" w:rsidRDefault="00C1661D">
            <w:pPr>
              <w:spacing w:after="100"/>
              <w:rPr>
                <w:rFonts w:eastAsia="Times New Roman"/>
              </w:rPr>
            </w:pPr>
            <w:r>
              <w:rPr>
                <w:rFonts w:eastAsia="Times New Roman"/>
                <w:color w:val="000000"/>
                <w:sz w:val="20"/>
                <w:szCs w:val="20"/>
              </w:rPr>
              <w:t>Effects of foreign operations</w:t>
            </w:r>
          </w:p>
        </w:tc>
        <w:tc>
          <w:tcPr>
            <w:tcW w:w="0" w:type="auto"/>
            <w:gridSpan w:val="2"/>
            <w:shd w:val="clear" w:color="auto" w:fill="FFFFFF"/>
            <w:tcMar>
              <w:top w:w="30" w:type="dxa"/>
              <w:left w:w="20" w:type="dxa"/>
              <w:bottom w:w="30" w:type="dxa"/>
              <w:right w:w="0" w:type="dxa"/>
            </w:tcMar>
            <w:vAlign w:val="bottom"/>
            <w:hideMark/>
          </w:tcPr>
          <w:p w14:paraId="02571F2A" w14:textId="77777777" w:rsidR="00000000" w:rsidRDefault="00C1661D">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14:paraId="6353449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7AD60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72C454" w14:textId="77777777" w:rsidR="00000000" w:rsidRDefault="00C1661D">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14:paraId="50E2C44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9091A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2FFCC0" w14:textId="77777777" w:rsidR="00000000" w:rsidRDefault="00C1661D">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32FFFFC2" w14:textId="77777777" w:rsidR="00000000" w:rsidRDefault="00C1661D">
            <w:pPr>
              <w:spacing w:after="100"/>
              <w:jc w:val="right"/>
              <w:rPr>
                <w:rFonts w:eastAsia="Times New Roman"/>
              </w:rPr>
            </w:pPr>
          </w:p>
        </w:tc>
      </w:tr>
      <w:tr w:rsidR="00000000" w14:paraId="74109E4E" w14:textId="77777777">
        <w:trPr>
          <w:divId w:val="2083212770"/>
        </w:trPr>
        <w:tc>
          <w:tcPr>
            <w:tcW w:w="0" w:type="auto"/>
            <w:gridSpan w:val="3"/>
            <w:vAlign w:val="center"/>
            <w:hideMark/>
          </w:tcPr>
          <w:p w14:paraId="7AE64764" w14:textId="77777777" w:rsidR="00000000" w:rsidRDefault="00C1661D">
            <w:pPr>
              <w:spacing w:after="100"/>
              <w:jc w:val="right"/>
              <w:rPr>
                <w:rFonts w:eastAsia="Times New Roman"/>
                <w:sz w:val="20"/>
                <w:szCs w:val="20"/>
              </w:rPr>
            </w:pPr>
          </w:p>
        </w:tc>
        <w:tc>
          <w:tcPr>
            <w:tcW w:w="0" w:type="auto"/>
            <w:gridSpan w:val="3"/>
            <w:vAlign w:val="center"/>
            <w:hideMark/>
          </w:tcPr>
          <w:p w14:paraId="6F4DC6EE" w14:textId="77777777" w:rsidR="00000000" w:rsidRDefault="00C1661D">
            <w:pPr>
              <w:spacing w:after="100"/>
              <w:rPr>
                <w:rFonts w:eastAsia="Times New Roman"/>
                <w:sz w:val="20"/>
                <w:szCs w:val="20"/>
              </w:rPr>
            </w:pPr>
          </w:p>
        </w:tc>
        <w:tc>
          <w:tcPr>
            <w:tcW w:w="0" w:type="auto"/>
            <w:gridSpan w:val="3"/>
            <w:vAlign w:val="center"/>
            <w:hideMark/>
          </w:tcPr>
          <w:p w14:paraId="15D57F31" w14:textId="77777777" w:rsidR="00000000" w:rsidRDefault="00C1661D">
            <w:pPr>
              <w:spacing w:after="100"/>
              <w:rPr>
                <w:rFonts w:eastAsia="Times New Roman"/>
                <w:sz w:val="20"/>
                <w:szCs w:val="20"/>
              </w:rPr>
            </w:pPr>
          </w:p>
        </w:tc>
        <w:tc>
          <w:tcPr>
            <w:tcW w:w="0" w:type="auto"/>
            <w:gridSpan w:val="3"/>
            <w:vAlign w:val="center"/>
            <w:hideMark/>
          </w:tcPr>
          <w:p w14:paraId="3A7D2F7A" w14:textId="77777777" w:rsidR="00000000" w:rsidRDefault="00C1661D">
            <w:pPr>
              <w:spacing w:after="100"/>
              <w:rPr>
                <w:rFonts w:eastAsia="Times New Roman"/>
                <w:sz w:val="20"/>
                <w:szCs w:val="20"/>
              </w:rPr>
            </w:pPr>
          </w:p>
        </w:tc>
        <w:tc>
          <w:tcPr>
            <w:tcW w:w="0" w:type="auto"/>
            <w:gridSpan w:val="3"/>
            <w:vAlign w:val="center"/>
            <w:hideMark/>
          </w:tcPr>
          <w:p w14:paraId="6F932965" w14:textId="77777777" w:rsidR="00000000" w:rsidRDefault="00C1661D">
            <w:pPr>
              <w:spacing w:after="100"/>
              <w:rPr>
                <w:rFonts w:eastAsia="Times New Roman"/>
                <w:sz w:val="20"/>
                <w:szCs w:val="20"/>
              </w:rPr>
            </w:pPr>
          </w:p>
        </w:tc>
        <w:tc>
          <w:tcPr>
            <w:tcW w:w="0" w:type="auto"/>
            <w:gridSpan w:val="3"/>
            <w:vAlign w:val="center"/>
            <w:hideMark/>
          </w:tcPr>
          <w:p w14:paraId="7BA7EBDE" w14:textId="77777777" w:rsidR="00000000" w:rsidRDefault="00C1661D">
            <w:pPr>
              <w:spacing w:after="100"/>
              <w:rPr>
                <w:rFonts w:eastAsia="Times New Roman"/>
                <w:sz w:val="20"/>
                <w:szCs w:val="20"/>
              </w:rPr>
            </w:pPr>
          </w:p>
        </w:tc>
      </w:tr>
      <w:tr w:rsidR="00000000" w14:paraId="571113CE" w14:textId="77777777">
        <w:trPr>
          <w:divId w:val="2083212770"/>
        </w:trPr>
        <w:tc>
          <w:tcPr>
            <w:tcW w:w="0" w:type="auto"/>
            <w:gridSpan w:val="3"/>
            <w:shd w:val="clear" w:color="auto" w:fill="CCEEFF"/>
            <w:tcMar>
              <w:top w:w="30" w:type="dxa"/>
              <w:left w:w="155" w:type="dxa"/>
              <w:bottom w:w="30" w:type="dxa"/>
              <w:right w:w="20" w:type="dxa"/>
            </w:tcMar>
            <w:vAlign w:val="bottom"/>
            <w:hideMark/>
          </w:tcPr>
          <w:p w14:paraId="3C95FD83" w14:textId="77777777" w:rsidR="00000000" w:rsidRDefault="00C1661D">
            <w:pPr>
              <w:spacing w:after="100"/>
              <w:rPr>
                <w:rFonts w:eastAsia="Times New Roman"/>
              </w:rPr>
            </w:pPr>
            <w:r>
              <w:rPr>
                <w:rFonts w:eastAsia="Times New Roman"/>
                <w:color w:val="000000"/>
                <w:sz w:val="20"/>
                <w:szCs w:val="20"/>
              </w:rPr>
              <w:t>Excess tax benefits on share-based payments</w:t>
            </w:r>
          </w:p>
        </w:tc>
        <w:tc>
          <w:tcPr>
            <w:tcW w:w="0" w:type="auto"/>
            <w:gridSpan w:val="2"/>
            <w:shd w:val="clear" w:color="auto" w:fill="CCEEFF"/>
            <w:tcMar>
              <w:top w:w="30" w:type="dxa"/>
              <w:left w:w="20" w:type="dxa"/>
              <w:bottom w:w="30" w:type="dxa"/>
              <w:right w:w="0" w:type="dxa"/>
            </w:tcMar>
            <w:vAlign w:val="bottom"/>
            <w:hideMark/>
          </w:tcPr>
          <w:p w14:paraId="612B6913" w14:textId="77777777" w:rsidR="00000000" w:rsidRDefault="00C1661D">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14:paraId="596AD99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2B427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A18E52" w14:textId="77777777" w:rsidR="00000000" w:rsidRDefault="00C1661D">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14:paraId="19DDB78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6AAC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629458" w14:textId="77777777" w:rsidR="00000000" w:rsidRDefault="00C1661D">
            <w:pPr>
              <w:spacing w:after="100"/>
              <w:jc w:val="right"/>
              <w:rPr>
                <w:rFonts w:eastAsia="Times New Roman"/>
              </w:rPr>
            </w:pPr>
            <w:r>
              <w:rPr>
                <w:rFonts w:eastAsia="Times New Roman"/>
                <w:color w:val="000000"/>
                <w:sz w:val="20"/>
                <w:szCs w:val="20"/>
              </w:rPr>
              <w:t>(0.2)</w:t>
            </w:r>
          </w:p>
        </w:tc>
        <w:tc>
          <w:tcPr>
            <w:tcW w:w="0" w:type="auto"/>
            <w:shd w:val="clear" w:color="auto" w:fill="CCEEFF"/>
            <w:tcMar>
              <w:top w:w="30" w:type="dxa"/>
              <w:left w:w="0" w:type="dxa"/>
              <w:bottom w:w="30" w:type="dxa"/>
              <w:right w:w="20" w:type="dxa"/>
            </w:tcMar>
            <w:vAlign w:val="bottom"/>
            <w:hideMark/>
          </w:tcPr>
          <w:p w14:paraId="3FE1DE11" w14:textId="77777777" w:rsidR="00000000" w:rsidRDefault="00C1661D">
            <w:pPr>
              <w:spacing w:after="100"/>
              <w:jc w:val="right"/>
              <w:rPr>
                <w:rFonts w:eastAsia="Times New Roman"/>
              </w:rPr>
            </w:pPr>
          </w:p>
        </w:tc>
      </w:tr>
      <w:tr w:rsidR="00000000" w14:paraId="2C452D1E" w14:textId="77777777">
        <w:trPr>
          <w:divId w:val="2083212770"/>
        </w:trPr>
        <w:tc>
          <w:tcPr>
            <w:tcW w:w="0" w:type="auto"/>
            <w:gridSpan w:val="3"/>
            <w:shd w:val="clear" w:color="auto" w:fill="FFFFFF"/>
            <w:tcMar>
              <w:top w:w="30" w:type="dxa"/>
              <w:left w:w="155" w:type="dxa"/>
              <w:bottom w:w="30" w:type="dxa"/>
              <w:right w:w="20" w:type="dxa"/>
            </w:tcMar>
            <w:vAlign w:val="bottom"/>
            <w:hideMark/>
          </w:tcPr>
          <w:p w14:paraId="4531B9AD" w14:textId="77777777" w:rsidR="00000000" w:rsidRDefault="00C1661D">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14:paraId="1FACF4A5" w14:textId="77777777" w:rsidR="00000000" w:rsidRDefault="00C1661D">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14:paraId="49322CC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C385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3A32FB" w14:textId="77777777" w:rsidR="00000000" w:rsidRDefault="00C1661D">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14:paraId="74C284B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9A5B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080DEB" w14:textId="77777777" w:rsidR="00000000" w:rsidRDefault="00C1661D">
            <w:pPr>
              <w:spacing w:after="100"/>
              <w:jc w:val="right"/>
              <w:rPr>
                <w:rFonts w:eastAsia="Times New Roman"/>
              </w:rPr>
            </w:pPr>
            <w:r>
              <w:rPr>
                <w:rFonts w:eastAsia="Times New Roman"/>
                <w:color w:val="000000"/>
                <w:sz w:val="20"/>
                <w:szCs w:val="20"/>
              </w:rPr>
              <w:t>(0.3)</w:t>
            </w:r>
          </w:p>
        </w:tc>
        <w:tc>
          <w:tcPr>
            <w:tcW w:w="0" w:type="auto"/>
            <w:shd w:val="clear" w:color="auto" w:fill="FFFFFF"/>
            <w:tcMar>
              <w:top w:w="30" w:type="dxa"/>
              <w:left w:w="0" w:type="dxa"/>
              <w:bottom w:w="30" w:type="dxa"/>
              <w:right w:w="20" w:type="dxa"/>
            </w:tcMar>
            <w:vAlign w:val="bottom"/>
            <w:hideMark/>
          </w:tcPr>
          <w:p w14:paraId="4D0AA412" w14:textId="77777777" w:rsidR="00000000" w:rsidRDefault="00C1661D">
            <w:pPr>
              <w:spacing w:after="100"/>
              <w:jc w:val="right"/>
              <w:rPr>
                <w:rFonts w:eastAsia="Times New Roman"/>
              </w:rPr>
            </w:pPr>
          </w:p>
        </w:tc>
      </w:tr>
      <w:tr w:rsidR="00000000" w14:paraId="067A6D98" w14:textId="77777777">
        <w:trPr>
          <w:divId w:val="2083212770"/>
        </w:trPr>
        <w:tc>
          <w:tcPr>
            <w:tcW w:w="0" w:type="auto"/>
            <w:gridSpan w:val="3"/>
            <w:shd w:val="clear" w:color="auto" w:fill="CCEEFF"/>
            <w:tcMar>
              <w:top w:w="30" w:type="dxa"/>
              <w:left w:w="20" w:type="dxa"/>
              <w:bottom w:w="30" w:type="dxa"/>
              <w:right w:w="20" w:type="dxa"/>
            </w:tcMar>
            <w:vAlign w:val="bottom"/>
            <w:hideMark/>
          </w:tcPr>
          <w:p w14:paraId="74E0A4EC" w14:textId="77777777" w:rsidR="00000000" w:rsidRDefault="00C1661D">
            <w:pPr>
              <w:spacing w:after="100"/>
              <w:rPr>
                <w:rFonts w:eastAsia="Times New Roman"/>
              </w:rPr>
            </w:pPr>
            <w:r>
              <w:rPr>
                <w:rFonts w:eastAsia="Times New Roman"/>
                <w:color w:val="000000"/>
                <w:sz w:val="20"/>
                <w:szCs w:val="20"/>
              </w:rPr>
              <w:t>Effective tax rate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23E772" w14:textId="77777777" w:rsidR="00000000" w:rsidRDefault="00C1661D">
            <w:pPr>
              <w:spacing w:after="100"/>
              <w:jc w:val="right"/>
              <w:rPr>
                <w:rFonts w:eastAsia="Times New Roman"/>
              </w:rPr>
            </w:pPr>
            <w:r>
              <w:rPr>
                <w:rFonts w:eastAsia="Times New Roman"/>
                <w:color w:val="000000"/>
                <w:sz w:val="20"/>
                <w:szCs w:val="20"/>
              </w:rPr>
              <w:t>22.6 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72E80B"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03CA97D" w14:textId="77777777" w:rsidR="00000000" w:rsidRDefault="00C1661D">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3F02CB" w14:textId="77777777" w:rsidR="00000000" w:rsidRDefault="00C1661D">
            <w:pPr>
              <w:spacing w:after="100"/>
              <w:jc w:val="right"/>
              <w:rPr>
                <w:rFonts w:eastAsia="Times New Roman"/>
              </w:rPr>
            </w:pPr>
            <w:r>
              <w:rPr>
                <w:rFonts w:eastAsia="Times New Roman"/>
                <w:color w:val="000000"/>
                <w:sz w:val="20"/>
                <w:szCs w:val="20"/>
              </w:rPr>
              <w:t>26.2 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5AEC2F"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92370A8" w14:textId="77777777" w:rsidR="00000000" w:rsidRDefault="00C1661D">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FA5D5F8" w14:textId="77777777" w:rsidR="00000000" w:rsidRDefault="00C1661D">
            <w:pPr>
              <w:spacing w:after="100"/>
              <w:jc w:val="right"/>
              <w:rPr>
                <w:rFonts w:eastAsia="Times New Roman"/>
              </w:rPr>
            </w:pPr>
            <w:r>
              <w:rPr>
                <w:rFonts w:eastAsia="Times New Roman"/>
                <w:color w:val="000000"/>
                <w:sz w:val="20"/>
                <w:szCs w:val="20"/>
              </w:rPr>
              <w:t>20.2 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0E4503" w14:textId="77777777" w:rsidR="00000000" w:rsidRDefault="00C1661D">
            <w:pPr>
              <w:spacing w:after="100"/>
              <w:jc w:val="right"/>
              <w:rPr>
                <w:rFonts w:eastAsia="Times New Roman"/>
              </w:rPr>
            </w:pPr>
            <w:r>
              <w:rPr>
                <w:rFonts w:eastAsia="Times New Roman"/>
                <w:color w:val="000000"/>
                <w:sz w:val="20"/>
                <w:szCs w:val="20"/>
              </w:rPr>
              <w:t>%</w:t>
            </w:r>
          </w:p>
        </w:tc>
      </w:tr>
    </w:tbl>
    <w:p w14:paraId="21CB0A1B" w14:textId="77777777" w:rsidR="00000000" w:rsidRDefault="00C1661D">
      <w:pPr>
        <w:jc w:val="both"/>
        <w:rPr>
          <w:rFonts w:eastAsia="Times New Roman"/>
        </w:rPr>
      </w:pPr>
    </w:p>
    <w:p w14:paraId="054F75E5" w14:textId="77777777" w:rsidR="00000000" w:rsidRDefault="00C1661D">
      <w:pPr>
        <w:jc w:val="both"/>
        <w:rPr>
          <w:rFonts w:eastAsia="Times New Roman"/>
        </w:rPr>
      </w:pPr>
      <w:r>
        <w:rPr>
          <w:rFonts w:eastAsia="Times New Roman"/>
          <w:color w:val="000000"/>
          <w:sz w:val="20"/>
          <w:szCs w:val="20"/>
        </w:rPr>
        <w:t>In July 2022, tax legislation was enacted in Pennsylvania reducing the state’</w:t>
      </w:r>
      <w:r>
        <w:rPr>
          <w:rFonts w:eastAsia="Times New Roman"/>
          <w:color w:val="000000"/>
          <w:sz w:val="20"/>
          <w:szCs w:val="20"/>
        </w:rPr>
        <w:t>s corporate net income tax rate from 9.99% to 4.99% over a nine-year period, beginning with an initial reduction to 8.99% beginning in Fiscal 2024. The legislation resulted in a $20 benefit being recorded in Fiscal 2022 based on the Company’s analysis of f</w:t>
      </w:r>
      <w:r>
        <w:rPr>
          <w:rFonts w:eastAsia="Times New Roman"/>
          <w:color w:val="000000"/>
          <w:sz w:val="20"/>
          <w:szCs w:val="20"/>
        </w:rPr>
        <w:t>uture reversals of net deferred tax liabilities.</w:t>
      </w:r>
      <w:r>
        <w:rPr>
          <w:rFonts w:eastAsia="Times New Roman"/>
          <w:color w:val="0033CC"/>
          <w:sz w:val="20"/>
          <w:szCs w:val="20"/>
        </w:rPr>
        <w:t xml:space="preserve"> </w:t>
      </w:r>
    </w:p>
    <w:p w14:paraId="546A7BA0" w14:textId="77777777" w:rsidR="00000000" w:rsidRDefault="00C1661D">
      <w:pPr>
        <w:jc w:val="center"/>
        <w:divId w:val="149448503"/>
        <w:rPr>
          <w:rFonts w:eastAsia="Times New Roman"/>
        </w:rPr>
      </w:pPr>
      <w:r>
        <w:rPr>
          <w:rFonts w:eastAsia="Times New Roman"/>
          <w:color w:val="000000"/>
          <w:sz w:val="20"/>
          <w:szCs w:val="20"/>
        </w:rPr>
        <w:t>F-32</w:t>
      </w:r>
    </w:p>
    <w:p w14:paraId="14159420" w14:textId="77777777" w:rsidR="00000000" w:rsidRDefault="00C1661D">
      <w:pPr>
        <w:rPr>
          <w:rFonts w:eastAsia="Times New Roman"/>
        </w:rPr>
      </w:pPr>
      <w:r>
        <w:rPr>
          <w:rFonts w:eastAsia="Times New Roman"/>
        </w:rPr>
        <w:pict w14:anchorId="6582671A">
          <v:rect id="_x0000_i1145" style="width:0;height:1.5pt" o:hralign="center" o:hrstd="t" o:hr="t" fillcolor="#a0a0a0" stroked="f"/>
        </w:pict>
      </w:r>
    </w:p>
    <w:p w14:paraId="1AE051CA" w14:textId="77777777" w:rsidR="00000000" w:rsidRDefault="00C1661D">
      <w:pPr>
        <w:divId w:val="422342780"/>
        <w:rPr>
          <w:rFonts w:eastAsia="Times New Roman"/>
        </w:rPr>
      </w:pPr>
      <w:hyperlink w:anchor="i3850c3c6c0104e42b9951aac2f16098a_7" w:history="1">
        <w:r>
          <w:rPr>
            <w:rStyle w:val="a3"/>
            <w:rFonts w:eastAsia="Times New Roman"/>
            <w:sz w:val="20"/>
            <w:szCs w:val="20"/>
          </w:rPr>
          <w:t>Table of Contents</w:t>
        </w:r>
      </w:hyperlink>
    </w:p>
    <w:p w14:paraId="2AAE74C5" w14:textId="77777777" w:rsidR="00000000" w:rsidRDefault="00C1661D">
      <w:pPr>
        <w:divId w:val="2038501770"/>
        <w:rPr>
          <w:rFonts w:eastAsia="Times New Roman"/>
        </w:rPr>
      </w:pPr>
      <w:r>
        <w:rPr>
          <w:rFonts w:eastAsia="Times New Roman"/>
          <w:b/>
          <w:bCs/>
          <w:color w:val="000000"/>
          <w:sz w:val="20"/>
          <w:szCs w:val="20"/>
        </w:rPr>
        <w:t>UGI Corporation and Subsidiaries</w:t>
      </w:r>
    </w:p>
    <w:p w14:paraId="01C280DD" w14:textId="77777777" w:rsidR="00000000" w:rsidRDefault="00C1661D">
      <w:pPr>
        <w:divId w:val="1488474805"/>
        <w:rPr>
          <w:rFonts w:eastAsia="Times New Roman"/>
        </w:rPr>
      </w:pPr>
      <w:r>
        <w:rPr>
          <w:rFonts w:eastAsia="Times New Roman"/>
          <w:b/>
          <w:bCs/>
          <w:color w:val="000000"/>
          <w:sz w:val="20"/>
          <w:szCs w:val="20"/>
        </w:rPr>
        <w:t>Notes to Consolidated Financial Statements</w:t>
      </w:r>
    </w:p>
    <w:p w14:paraId="1DD642DA" w14:textId="77777777" w:rsidR="00000000" w:rsidRDefault="00C1661D">
      <w:pPr>
        <w:divId w:val="260379859"/>
        <w:rPr>
          <w:rFonts w:eastAsia="Times New Roman"/>
        </w:rPr>
      </w:pPr>
      <w:r>
        <w:rPr>
          <w:rFonts w:eastAsia="Times New Roman"/>
          <w:color w:val="000000"/>
          <w:sz w:val="20"/>
          <w:szCs w:val="20"/>
        </w:rPr>
        <w:t>(Currency in</w:t>
      </w:r>
      <w:r>
        <w:rPr>
          <w:rFonts w:eastAsia="Times New Roman"/>
          <w:color w:val="000000"/>
          <w:sz w:val="20"/>
          <w:szCs w:val="20"/>
        </w:rPr>
        <w:t xml:space="preserve"> millions, except per share amounts and where indicated otherwise)</w:t>
      </w:r>
    </w:p>
    <w:p w14:paraId="3FCF7140" w14:textId="77777777" w:rsidR="00000000" w:rsidRDefault="00C1661D">
      <w:pPr>
        <w:jc w:val="both"/>
        <w:rPr>
          <w:rFonts w:eastAsia="Times New Roman"/>
        </w:rPr>
      </w:pPr>
      <w:r>
        <w:rPr>
          <w:rFonts w:eastAsia="Times New Roman"/>
          <w:color w:val="000000"/>
          <w:sz w:val="20"/>
          <w:szCs w:val="20"/>
        </w:rPr>
        <w:t>In February 2021, tax legislation was enacted in Italy which allowed the Company to align book basis with tax basis on certain assets in exchange for paying a three percent substitute tax p</w:t>
      </w:r>
      <w:r>
        <w:rPr>
          <w:rFonts w:eastAsia="Times New Roman"/>
          <w:color w:val="000000"/>
          <w:sz w:val="20"/>
          <w:szCs w:val="20"/>
        </w:rPr>
        <w:t>ayment payable in three annual installments. This election resulted in a $23 net benefit in Fiscal 2021. Timing of the recovery of the resulting incremental tax basis was changed with legislation in Fiscal 2022 extending the deductible period of recovery f</w:t>
      </w:r>
      <w:r>
        <w:rPr>
          <w:rFonts w:eastAsia="Times New Roman"/>
          <w:color w:val="000000"/>
          <w:sz w:val="20"/>
          <w:szCs w:val="20"/>
        </w:rPr>
        <w:t>rom 18 to 50 years</w:t>
      </w:r>
      <w:r>
        <w:rPr>
          <w:rFonts w:eastAsia="Times New Roman"/>
          <w:color w:val="0033CC"/>
          <w:sz w:val="20"/>
          <w:szCs w:val="20"/>
        </w:rPr>
        <w:t>.</w:t>
      </w:r>
    </w:p>
    <w:p w14:paraId="14387CBE" w14:textId="77777777" w:rsidR="00000000" w:rsidRDefault="00C1661D">
      <w:pPr>
        <w:jc w:val="both"/>
        <w:rPr>
          <w:rFonts w:eastAsia="Times New Roman"/>
        </w:rPr>
      </w:pPr>
    </w:p>
    <w:p w14:paraId="56164C5B" w14:textId="77777777" w:rsidR="00000000" w:rsidRDefault="00C1661D">
      <w:pPr>
        <w:jc w:val="both"/>
        <w:rPr>
          <w:rFonts w:eastAsia="Times New Roman"/>
        </w:rPr>
      </w:pPr>
      <w:r>
        <w:rPr>
          <w:rFonts w:eastAsia="Times New Roman"/>
          <w:color w:val="000000"/>
          <w:sz w:val="20"/>
          <w:szCs w:val="20"/>
        </w:rPr>
        <w:t xml:space="preserve">On March 27, 2020 the CARES Act was enacted into law. The primary impact of the legislation was the change in federal net operating loss carryback rules which allowed the Company’s U.S. federal tax losses generated in Fiscal 2021 and </w:t>
      </w:r>
      <w:r>
        <w:rPr>
          <w:rFonts w:eastAsia="Times New Roman"/>
          <w:color w:val="000000"/>
          <w:sz w:val="20"/>
          <w:szCs w:val="20"/>
        </w:rPr>
        <w:t xml:space="preserve">Fiscal 2020 to be carried back to Fiscal 2016 and Fiscal 2015. The carryback of our Fiscal 2021 and Fiscal 2020 U.S. federal tax losses from a 21% rate environment to offset taxable income in Fiscal 2016 and Fiscal 2015 in a 35% rate environment generated </w:t>
      </w:r>
      <w:r>
        <w:rPr>
          <w:rFonts w:eastAsia="Times New Roman"/>
          <w:color w:val="000000"/>
          <w:sz w:val="20"/>
          <w:szCs w:val="20"/>
        </w:rPr>
        <w:t>incremental benefits of $15 and $32, respectively. A $90 refund claim for the Fiscal 2020 carryback to Fiscal 2015 was filed and has been approved by the IRS, though the actual cash refund was not received in Fiscal 2022. Of the outstanding $90 refund, $75</w:t>
      </w:r>
      <w:r>
        <w:rPr>
          <w:rFonts w:eastAsia="Times New Roman"/>
          <w:color w:val="000000"/>
          <w:sz w:val="20"/>
          <w:szCs w:val="20"/>
        </w:rPr>
        <w:t xml:space="preserve"> was received subsequent to Fiscal 2022. A $37 refund claim for the Fiscal 2021 claim has been filed. Both are included in “Income taxes receivable” on the Consolidated Balance Sheet at September 30, 2022 and 2021. On July 20, 2020, the Treasury Department</w:t>
      </w:r>
      <w:r>
        <w:rPr>
          <w:rFonts w:eastAsia="Times New Roman"/>
          <w:color w:val="000000"/>
          <w:sz w:val="20"/>
          <w:szCs w:val="20"/>
        </w:rPr>
        <w:t xml:space="preserve"> issued final regulations under IRC Section 951A permitting a taxpayer to elect to exclude, from its inclusion of GILTI, income subject to a high effective rate of foreign tax. The impact of these final regulations reduced U.S. tax of foreign source income</w:t>
      </w:r>
      <w:r>
        <w:rPr>
          <w:rFonts w:eastAsia="Times New Roman"/>
          <w:color w:val="000000"/>
          <w:sz w:val="20"/>
          <w:szCs w:val="20"/>
        </w:rPr>
        <w:t xml:space="preserve"> in Fiscal 2022, Fiscal 2021, and Fiscal 2020.</w:t>
      </w:r>
      <w:r>
        <w:rPr>
          <w:rFonts w:eastAsia="Times New Roman"/>
          <w:color w:val="0033CC"/>
        </w:rPr>
        <w:t xml:space="preserve"> </w:t>
      </w:r>
    </w:p>
    <w:p w14:paraId="307C15E7" w14:textId="77777777" w:rsidR="00000000" w:rsidRDefault="00C1661D">
      <w:pPr>
        <w:divId w:val="1309214403"/>
        <w:rPr>
          <w:rFonts w:eastAsia="Times New Roman"/>
        </w:rPr>
      </w:pPr>
    </w:p>
    <w:p w14:paraId="23610667" w14:textId="77777777" w:rsidR="00000000" w:rsidRDefault="00C1661D">
      <w:pPr>
        <w:jc w:val="both"/>
        <w:rPr>
          <w:rFonts w:eastAsia="Times New Roman"/>
        </w:rPr>
      </w:pPr>
      <w:r>
        <w:rPr>
          <w:rFonts w:eastAsia="Times New Roman"/>
          <w:color w:val="000000"/>
          <w:sz w:val="20"/>
          <w:szCs w:val="20"/>
        </w:rPr>
        <w:t>Our effective tax rate is subject to the impact of changes to the taxation of foreign source income made by the TCJA and the high tax exception regulations issued in July 2020. Income tax expense for Fiscal</w:t>
      </w:r>
      <w:r>
        <w:rPr>
          <w:rFonts w:eastAsia="Times New Roman"/>
          <w:color w:val="000000"/>
          <w:sz w:val="20"/>
          <w:szCs w:val="20"/>
        </w:rPr>
        <w:t xml:space="preserve"> 2022, Fiscal 2021 and Fiscal 2020 includes $3, $8 and $0, respectively, of GILTI taxes that are treated as current period costs and carry no related deferred taxes.</w:t>
      </w:r>
    </w:p>
    <w:p w14:paraId="5C3F5BD5" w14:textId="77777777" w:rsidR="00000000" w:rsidRDefault="00C1661D">
      <w:pPr>
        <w:jc w:val="both"/>
        <w:divId w:val="1854804841"/>
        <w:rPr>
          <w:rFonts w:eastAsia="Times New Roman"/>
        </w:rPr>
      </w:pPr>
      <w:r>
        <w:rPr>
          <w:rFonts w:eastAsia="Times New Roman"/>
          <w:color w:val="000000"/>
          <w:sz w:val="20"/>
          <w:szCs w:val="20"/>
        </w:rPr>
        <w:t>Pennsylvania and West Virginia utility ratemaking practices permit the flow through to rat</w:t>
      </w:r>
      <w:r>
        <w:rPr>
          <w:rFonts w:eastAsia="Times New Roman"/>
          <w:color w:val="000000"/>
          <w:sz w:val="20"/>
          <w:szCs w:val="20"/>
        </w:rPr>
        <w:t>epayers of state tax benefits resulting from accelerated tax depreciation. For Fiscal 2022, Fiscal 2021 and Fiscal 2020, the beneficial effects of state tax flow through of accelerated depreciation reduced income tax expense by $10, $9, and $11, respective</w:t>
      </w:r>
      <w:r>
        <w:rPr>
          <w:rFonts w:eastAsia="Times New Roman"/>
          <w:color w:val="000000"/>
          <w:sz w:val="20"/>
          <w:szCs w:val="20"/>
        </w:rPr>
        <w:t>ly.</w:t>
      </w:r>
    </w:p>
    <w:p w14:paraId="05B2DFFC" w14:textId="77777777" w:rsidR="00000000" w:rsidRDefault="00C1661D">
      <w:pPr>
        <w:jc w:val="both"/>
        <w:divId w:val="1136993330"/>
        <w:rPr>
          <w:rFonts w:eastAsia="Times New Roman"/>
        </w:rPr>
      </w:pPr>
      <w:r>
        <w:rPr>
          <w:rFonts w:eastAsia="Times New Roman"/>
          <w:color w:val="000000"/>
          <w:sz w:val="20"/>
          <w:szCs w:val="20"/>
        </w:rPr>
        <w:t xml:space="preserve">Deferred tax liabilities (assets) comprise the following at September 30: </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7"/>
        <w:gridCol w:w="120"/>
        <w:gridCol w:w="921"/>
        <w:gridCol w:w="36"/>
        <w:gridCol w:w="36"/>
        <w:gridCol w:w="36"/>
        <w:gridCol w:w="36"/>
        <w:gridCol w:w="120"/>
        <w:gridCol w:w="887"/>
        <w:gridCol w:w="36"/>
      </w:tblGrid>
      <w:tr w:rsidR="00000000" w14:paraId="3B43C8C0" w14:textId="77777777">
        <w:trPr>
          <w:divId w:val="1346713626"/>
        </w:trPr>
        <w:tc>
          <w:tcPr>
            <w:tcW w:w="50" w:type="pct"/>
            <w:vAlign w:val="center"/>
            <w:hideMark/>
          </w:tcPr>
          <w:p w14:paraId="3A4785B6" w14:textId="77777777" w:rsidR="00000000" w:rsidRDefault="00C1661D">
            <w:pPr>
              <w:jc w:val="both"/>
              <w:rPr>
                <w:rFonts w:eastAsia="Times New Roman"/>
              </w:rPr>
            </w:pPr>
          </w:p>
        </w:tc>
        <w:tc>
          <w:tcPr>
            <w:tcW w:w="3634" w:type="pct"/>
            <w:vAlign w:val="center"/>
            <w:hideMark/>
          </w:tcPr>
          <w:p w14:paraId="64E175AD" w14:textId="77777777" w:rsidR="00000000" w:rsidRDefault="00C1661D">
            <w:pPr>
              <w:spacing w:after="100"/>
              <w:rPr>
                <w:rFonts w:eastAsia="Times New Roman"/>
                <w:sz w:val="20"/>
                <w:szCs w:val="20"/>
              </w:rPr>
            </w:pPr>
          </w:p>
        </w:tc>
        <w:tc>
          <w:tcPr>
            <w:tcW w:w="5" w:type="pct"/>
            <w:vAlign w:val="center"/>
            <w:hideMark/>
          </w:tcPr>
          <w:p w14:paraId="386C5087" w14:textId="77777777" w:rsidR="00000000" w:rsidRDefault="00C1661D">
            <w:pPr>
              <w:spacing w:after="100"/>
              <w:rPr>
                <w:rFonts w:eastAsia="Times New Roman"/>
                <w:sz w:val="20"/>
                <w:szCs w:val="20"/>
              </w:rPr>
            </w:pPr>
          </w:p>
        </w:tc>
        <w:tc>
          <w:tcPr>
            <w:tcW w:w="50" w:type="pct"/>
            <w:vAlign w:val="center"/>
            <w:hideMark/>
          </w:tcPr>
          <w:p w14:paraId="2E5A2D5A" w14:textId="77777777" w:rsidR="00000000" w:rsidRDefault="00C1661D">
            <w:pPr>
              <w:spacing w:after="100"/>
              <w:rPr>
                <w:rFonts w:eastAsia="Times New Roman"/>
                <w:sz w:val="20"/>
                <w:szCs w:val="20"/>
              </w:rPr>
            </w:pPr>
          </w:p>
        </w:tc>
        <w:tc>
          <w:tcPr>
            <w:tcW w:w="581" w:type="pct"/>
            <w:vAlign w:val="center"/>
            <w:hideMark/>
          </w:tcPr>
          <w:p w14:paraId="548A9529" w14:textId="77777777" w:rsidR="00000000" w:rsidRDefault="00C1661D">
            <w:pPr>
              <w:spacing w:after="100"/>
              <w:rPr>
                <w:rFonts w:eastAsia="Times New Roman"/>
                <w:sz w:val="20"/>
                <w:szCs w:val="20"/>
              </w:rPr>
            </w:pPr>
          </w:p>
        </w:tc>
        <w:tc>
          <w:tcPr>
            <w:tcW w:w="5" w:type="pct"/>
            <w:vAlign w:val="center"/>
            <w:hideMark/>
          </w:tcPr>
          <w:p w14:paraId="638919F6" w14:textId="77777777" w:rsidR="00000000" w:rsidRDefault="00C1661D">
            <w:pPr>
              <w:spacing w:after="100"/>
              <w:rPr>
                <w:rFonts w:eastAsia="Times New Roman"/>
                <w:sz w:val="20"/>
                <w:szCs w:val="20"/>
              </w:rPr>
            </w:pPr>
          </w:p>
        </w:tc>
        <w:tc>
          <w:tcPr>
            <w:tcW w:w="5" w:type="pct"/>
            <w:vAlign w:val="center"/>
            <w:hideMark/>
          </w:tcPr>
          <w:p w14:paraId="1DB5EAEE" w14:textId="77777777" w:rsidR="00000000" w:rsidRDefault="00C1661D">
            <w:pPr>
              <w:spacing w:after="100"/>
              <w:rPr>
                <w:rFonts w:eastAsia="Times New Roman"/>
                <w:sz w:val="20"/>
                <w:szCs w:val="20"/>
              </w:rPr>
            </w:pPr>
          </w:p>
        </w:tc>
        <w:tc>
          <w:tcPr>
            <w:tcW w:w="26" w:type="pct"/>
            <w:vAlign w:val="center"/>
            <w:hideMark/>
          </w:tcPr>
          <w:p w14:paraId="670269E6" w14:textId="77777777" w:rsidR="00000000" w:rsidRDefault="00C1661D">
            <w:pPr>
              <w:spacing w:after="100"/>
              <w:rPr>
                <w:rFonts w:eastAsia="Times New Roman"/>
                <w:sz w:val="20"/>
                <w:szCs w:val="20"/>
              </w:rPr>
            </w:pPr>
          </w:p>
        </w:tc>
        <w:tc>
          <w:tcPr>
            <w:tcW w:w="5" w:type="pct"/>
            <w:vAlign w:val="center"/>
            <w:hideMark/>
          </w:tcPr>
          <w:p w14:paraId="62A59AA8" w14:textId="77777777" w:rsidR="00000000" w:rsidRDefault="00C1661D">
            <w:pPr>
              <w:spacing w:after="100"/>
              <w:rPr>
                <w:rFonts w:eastAsia="Times New Roman"/>
                <w:sz w:val="20"/>
                <w:szCs w:val="20"/>
              </w:rPr>
            </w:pPr>
          </w:p>
        </w:tc>
        <w:tc>
          <w:tcPr>
            <w:tcW w:w="50" w:type="pct"/>
            <w:vAlign w:val="center"/>
            <w:hideMark/>
          </w:tcPr>
          <w:p w14:paraId="062B13C6" w14:textId="77777777" w:rsidR="00000000" w:rsidRDefault="00C1661D">
            <w:pPr>
              <w:spacing w:after="100"/>
              <w:rPr>
                <w:rFonts w:eastAsia="Times New Roman"/>
                <w:sz w:val="20"/>
                <w:szCs w:val="20"/>
              </w:rPr>
            </w:pPr>
          </w:p>
        </w:tc>
        <w:tc>
          <w:tcPr>
            <w:tcW w:w="581" w:type="pct"/>
            <w:vAlign w:val="center"/>
            <w:hideMark/>
          </w:tcPr>
          <w:p w14:paraId="3DA24642" w14:textId="77777777" w:rsidR="00000000" w:rsidRDefault="00C1661D">
            <w:pPr>
              <w:spacing w:after="100"/>
              <w:rPr>
                <w:rFonts w:eastAsia="Times New Roman"/>
                <w:sz w:val="20"/>
                <w:szCs w:val="20"/>
              </w:rPr>
            </w:pPr>
          </w:p>
        </w:tc>
        <w:tc>
          <w:tcPr>
            <w:tcW w:w="5" w:type="pct"/>
            <w:vAlign w:val="center"/>
            <w:hideMark/>
          </w:tcPr>
          <w:p w14:paraId="156E15B7" w14:textId="77777777" w:rsidR="00000000" w:rsidRDefault="00C1661D">
            <w:pPr>
              <w:spacing w:after="100"/>
              <w:rPr>
                <w:rFonts w:eastAsia="Times New Roman"/>
                <w:sz w:val="20"/>
                <w:szCs w:val="20"/>
              </w:rPr>
            </w:pPr>
          </w:p>
        </w:tc>
      </w:tr>
      <w:tr w:rsidR="00000000" w14:paraId="41DAB217" w14:textId="77777777">
        <w:trPr>
          <w:divId w:val="1346713626"/>
        </w:trPr>
        <w:tc>
          <w:tcPr>
            <w:tcW w:w="0" w:type="auto"/>
            <w:gridSpan w:val="3"/>
            <w:tcMar>
              <w:top w:w="0" w:type="dxa"/>
              <w:left w:w="20" w:type="dxa"/>
              <w:bottom w:w="0" w:type="dxa"/>
              <w:right w:w="20" w:type="dxa"/>
            </w:tcMar>
            <w:vAlign w:val="center"/>
            <w:hideMark/>
          </w:tcPr>
          <w:p w14:paraId="32793B3A"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FE1F2DD"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4A2EFD79"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7BEE819" w14:textId="77777777" w:rsidR="00000000" w:rsidRDefault="00C1661D">
            <w:pPr>
              <w:spacing w:after="100"/>
              <w:jc w:val="center"/>
              <w:rPr>
                <w:rFonts w:eastAsia="Times New Roman"/>
              </w:rPr>
            </w:pPr>
            <w:r>
              <w:rPr>
                <w:rFonts w:eastAsia="Times New Roman"/>
                <w:color w:val="000000"/>
                <w:sz w:val="20"/>
                <w:szCs w:val="20"/>
              </w:rPr>
              <w:t>2021</w:t>
            </w:r>
          </w:p>
        </w:tc>
      </w:tr>
      <w:tr w:rsidR="00000000" w14:paraId="2A5C62FC" w14:textId="77777777">
        <w:trPr>
          <w:divId w:val="1346713626"/>
        </w:trPr>
        <w:tc>
          <w:tcPr>
            <w:tcW w:w="0" w:type="auto"/>
            <w:gridSpan w:val="3"/>
            <w:shd w:val="clear" w:color="auto" w:fill="CCEEFF"/>
            <w:tcMar>
              <w:top w:w="30" w:type="dxa"/>
              <w:left w:w="20" w:type="dxa"/>
              <w:bottom w:w="30" w:type="dxa"/>
              <w:right w:w="20" w:type="dxa"/>
            </w:tcMar>
            <w:vAlign w:val="bottom"/>
            <w:hideMark/>
          </w:tcPr>
          <w:p w14:paraId="7DEF003B" w14:textId="77777777" w:rsidR="00000000" w:rsidRDefault="00C1661D">
            <w:pPr>
              <w:spacing w:after="100"/>
              <w:rPr>
                <w:rFonts w:eastAsia="Times New Roman"/>
              </w:rPr>
            </w:pPr>
            <w:r>
              <w:rPr>
                <w:rFonts w:eastAsia="Times New Roman"/>
                <w:color w:val="000000"/>
                <w:sz w:val="20"/>
                <w:szCs w:val="20"/>
              </w:rPr>
              <w:t>Excess book basis over tax basis of property, plant and equipment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E8DC8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60317C" w14:textId="77777777" w:rsidR="00000000" w:rsidRDefault="00C1661D">
            <w:pPr>
              <w:spacing w:after="100"/>
              <w:jc w:val="right"/>
              <w:rPr>
                <w:rFonts w:eastAsia="Times New Roman"/>
              </w:rPr>
            </w:pPr>
            <w:r>
              <w:rPr>
                <w:rFonts w:eastAsia="Times New Roman"/>
                <w:color w:val="000000"/>
                <w:sz w:val="20"/>
                <w:szCs w:val="20"/>
              </w:rPr>
              <w:t>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5715B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EA26F7"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E59ED5"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0B27B2" w14:textId="77777777" w:rsidR="00000000" w:rsidRDefault="00C1661D">
            <w:pPr>
              <w:spacing w:after="100"/>
              <w:jc w:val="right"/>
              <w:rPr>
                <w:rFonts w:eastAsia="Times New Roman"/>
              </w:rPr>
            </w:pPr>
            <w:r>
              <w:rPr>
                <w:rFonts w:eastAsia="Times New Roman"/>
                <w:color w:val="000000"/>
                <w:sz w:val="20"/>
                <w:szCs w:val="20"/>
              </w:rPr>
              <w:t>937 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FEBB18" w14:textId="77777777" w:rsidR="00000000" w:rsidRDefault="00C1661D">
            <w:pPr>
              <w:spacing w:after="100"/>
              <w:jc w:val="right"/>
              <w:rPr>
                <w:rFonts w:eastAsia="Times New Roman"/>
              </w:rPr>
            </w:pPr>
          </w:p>
        </w:tc>
      </w:tr>
      <w:tr w:rsidR="00000000" w14:paraId="6A50419D" w14:textId="77777777">
        <w:trPr>
          <w:divId w:val="1346713626"/>
        </w:trPr>
        <w:tc>
          <w:tcPr>
            <w:tcW w:w="0" w:type="auto"/>
            <w:gridSpan w:val="3"/>
            <w:vAlign w:val="center"/>
            <w:hideMark/>
          </w:tcPr>
          <w:p w14:paraId="354E1A2A" w14:textId="77777777" w:rsidR="00000000" w:rsidRDefault="00C1661D">
            <w:pPr>
              <w:spacing w:after="100"/>
              <w:jc w:val="right"/>
              <w:rPr>
                <w:rFonts w:eastAsia="Times New Roman"/>
                <w:sz w:val="20"/>
                <w:szCs w:val="20"/>
              </w:rPr>
            </w:pPr>
          </w:p>
        </w:tc>
        <w:tc>
          <w:tcPr>
            <w:tcW w:w="0" w:type="auto"/>
            <w:gridSpan w:val="3"/>
            <w:vAlign w:val="center"/>
            <w:hideMark/>
          </w:tcPr>
          <w:p w14:paraId="104E9514" w14:textId="77777777" w:rsidR="00000000" w:rsidRDefault="00C1661D">
            <w:pPr>
              <w:spacing w:after="100"/>
              <w:rPr>
                <w:rFonts w:eastAsia="Times New Roman"/>
                <w:sz w:val="20"/>
                <w:szCs w:val="20"/>
              </w:rPr>
            </w:pPr>
          </w:p>
        </w:tc>
        <w:tc>
          <w:tcPr>
            <w:tcW w:w="0" w:type="auto"/>
            <w:gridSpan w:val="3"/>
            <w:vAlign w:val="center"/>
            <w:hideMark/>
          </w:tcPr>
          <w:p w14:paraId="31B9CF3F" w14:textId="77777777" w:rsidR="00000000" w:rsidRDefault="00C1661D">
            <w:pPr>
              <w:spacing w:after="100"/>
              <w:rPr>
                <w:rFonts w:eastAsia="Times New Roman"/>
                <w:sz w:val="20"/>
                <w:szCs w:val="20"/>
              </w:rPr>
            </w:pPr>
          </w:p>
        </w:tc>
        <w:tc>
          <w:tcPr>
            <w:tcW w:w="0" w:type="auto"/>
            <w:gridSpan w:val="3"/>
            <w:vAlign w:val="center"/>
            <w:hideMark/>
          </w:tcPr>
          <w:p w14:paraId="40507975" w14:textId="77777777" w:rsidR="00000000" w:rsidRDefault="00C1661D">
            <w:pPr>
              <w:spacing w:after="100"/>
              <w:rPr>
                <w:rFonts w:eastAsia="Times New Roman"/>
                <w:sz w:val="20"/>
                <w:szCs w:val="20"/>
              </w:rPr>
            </w:pPr>
          </w:p>
        </w:tc>
      </w:tr>
      <w:tr w:rsidR="00000000" w14:paraId="19B99C01" w14:textId="77777777">
        <w:trPr>
          <w:divId w:val="1346713626"/>
        </w:trPr>
        <w:tc>
          <w:tcPr>
            <w:tcW w:w="0" w:type="auto"/>
            <w:gridSpan w:val="3"/>
            <w:shd w:val="clear" w:color="auto" w:fill="FFFFFF"/>
            <w:tcMar>
              <w:top w:w="30" w:type="dxa"/>
              <w:left w:w="20" w:type="dxa"/>
              <w:bottom w:w="30" w:type="dxa"/>
              <w:right w:w="20" w:type="dxa"/>
            </w:tcMar>
            <w:vAlign w:val="bottom"/>
            <w:hideMark/>
          </w:tcPr>
          <w:p w14:paraId="23F20226" w14:textId="77777777" w:rsidR="00000000" w:rsidRDefault="00C1661D">
            <w:pPr>
              <w:spacing w:after="100"/>
              <w:rPr>
                <w:rFonts w:eastAsia="Times New Roman"/>
              </w:rPr>
            </w:pPr>
            <w:r>
              <w:rPr>
                <w:rFonts w:eastAsia="Times New Roman"/>
                <w:color w:val="000000"/>
                <w:sz w:val="20"/>
                <w:szCs w:val="20"/>
              </w:rPr>
              <w:t>Utility regulatory assets</w:t>
            </w:r>
          </w:p>
        </w:tc>
        <w:tc>
          <w:tcPr>
            <w:tcW w:w="0" w:type="auto"/>
            <w:gridSpan w:val="2"/>
            <w:shd w:val="clear" w:color="auto" w:fill="FFFFFF"/>
            <w:tcMar>
              <w:top w:w="30" w:type="dxa"/>
              <w:left w:w="20" w:type="dxa"/>
              <w:bottom w:w="30" w:type="dxa"/>
              <w:right w:w="0" w:type="dxa"/>
            </w:tcMar>
            <w:vAlign w:val="bottom"/>
            <w:hideMark/>
          </w:tcPr>
          <w:p w14:paraId="164924AE" w14:textId="77777777" w:rsidR="00000000" w:rsidRDefault="00C1661D">
            <w:pPr>
              <w:spacing w:after="100"/>
              <w:jc w:val="right"/>
              <w:rPr>
                <w:rFonts w:eastAsia="Times New Roman"/>
              </w:rPr>
            </w:pPr>
            <w:r>
              <w:rPr>
                <w:rFonts w:eastAsia="Times New Roman"/>
                <w:color w:val="000000"/>
                <w:sz w:val="20"/>
                <w:szCs w:val="20"/>
              </w:rPr>
              <w:t>106 </w:t>
            </w:r>
          </w:p>
        </w:tc>
        <w:tc>
          <w:tcPr>
            <w:tcW w:w="0" w:type="auto"/>
            <w:shd w:val="clear" w:color="auto" w:fill="FFFFFF"/>
            <w:tcMar>
              <w:top w:w="30" w:type="dxa"/>
              <w:left w:w="0" w:type="dxa"/>
              <w:bottom w:w="30" w:type="dxa"/>
              <w:right w:w="20" w:type="dxa"/>
            </w:tcMar>
            <w:vAlign w:val="bottom"/>
            <w:hideMark/>
          </w:tcPr>
          <w:p w14:paraId="0F10D58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DC0C8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D9A69A" w14:textId="77777777" w:rsidR="00000000" w:rsidRDefault="00C1661D">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14:paraId="67D9630B" w14:textId="77777777" w:rsidR="00000000" w:rsidRDefault="00C1661D">
            <w:pPr>
              <w:spacing w:after="100"/>
              <w:jc w:val="right"/>
              <w:rPr>
                <w:rFonts w:eastAsia="Times New Roman"/>
              </w:rPr>
            </w:pPr>
          </w:p>
        </w:tc>
      </w:tr>
      <w:tr w:rsidR="00000000" w14:paraId="4D1A400C" w14:textId="77777777">
        <w:trPr>
          <w:divId w:val="1346713626"/>
        </w:trPr>
        <w:tc>
          <w:tcPr>
            <w:tcW w:w="0" w:type="auto"/>
            <w:gridSpan w:val="3"/>
            <w:shd w:val="clear" w:color="auto" w:fill="CCEEFF"/>
            <w:tcMar>
              <w:top w:w="30" w:type="dxa"/>
              <w:left w:w="20" w:type="dxa"/>
              <w:bottom w:w="30" w:type="dxa"/>
              <w:right w:w="20" w:type="dxa"/>
            </w:tcMar>
            <w:vAlign w:val="bottom"/>
            <w:hideMark/>
          </w:tcPr>
          <w:p w14:paraId="00A28146" w14:textId="77777777" w:rsidR="00000000" w:rsidRDefault="00C1661D">
            <w:pPr>
              <w:spacing w:after="100"/>
              <w:rPr>
                <w:rFonts w:eastAsia="Times New Roman"/>
              </w:rPr>
            </w:pPr>
            <w:r>
              <w:rPr>
                <w:rFonts w:eastAsia="Times New Roman"/>
                <w:color w:val="000000"/>
                <w:sz w:val="20"/>
                <w:szCs w:val="20"/>
              </w:rPr>
              <w:t>Intangible assets and goodwill</w:t>
            </w:r>
          </w:p>
        </w:tc>
        <w:tc>
          <w:tcPr>
            <w:tcW w:w="0" w:type="auto"/>
            <w:gridSpan w:val="2"/>
            <w:shd w:val="clear" w:color="auto" w:fill="CCEEFF"/>
            <w:tcMar>
              <w:top w:w="30" w:type="dxa"/>
              <w:left w:w="20" w:type="dxa"/>
              <w:bottom w:w="30" w:type="dxa"/>
              <w:right w:w="0" w:type="dxa"/>
            </w:tcMar>
            <w:vAlign w:val="bottom"/>
            <w:hideMark/>
          </w:tcPr>
          <w:p w14:paraId="754602AA" w14:textId="77777777" w:rsidR="00000000" w:rsidRDefault="00C1661D">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19E1225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EFBFF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A46ECD" w14:textId="77777777" w:rsidR="00000000" w:rsidRDefault="00C1661D">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14:paraId="733B82EA" w14:textId="77777777" w:rsidR="00000000" w:rsidRDefault="00C1661D">
            <w:pPr>
              <w:spacing w:after="100"/>
              <w:jc w:val="right"/>
              <w:rPr>
                <w:rFonts w:eastAsia="Times New Roman"/>
              </w:rPr>
            </w:pPr>
          </w:p>
        </w:tc>
      </w:tr>
      <w:tr w:rsidR="00000000" w14:paraId="4FD273F9" w14:textId="77777777">
        <w:trPr>
          <w:divId w:val="1346713626"/>
        </w:trPr>
        <w:tc>
          <w:tcPr>
            <w:tcW w:w="0" w:type="auto"/>
            <w:gridSpan w:val="3"/>
            <w:vAlign w:val="center"/>
            <w:hideMark/>
          </w:tcPr>
          <w:p w14:paraId="0317DBB6" w14:textId="77777777" w:rsidR="00000000" w:rsidRDefault="00C1661D">
            <w:pPr>
              <w:spacing w:after="100"/>
              <w:jc w:val="right"/>
              <w:rPr>
                <w:rFonts w:eastAsia="Times New Roman"/>
                <w:sz w:val="20"/>
                <w:szCs w:val="20"/>
              </w:rPr>
            </w:pPr>
          </w:p>
        </w:tc>
        <w:tc>
          <w:tcPr>
            <w:tcW w:w="0" w:type="auto"/>
            <w:gridSpan w:val="3"/>
            <w:vAlign w:val="center"/>
            <w:hideMark/>
          </w:tcPr>
          <w:p w14:paraId="4554964E" w14:textId="77777777" w:rsidR="00000000" w:rsidRDefault="00C1661D">
            <w:pPr>
              <w:spacing w:after="100"/>
              <w:rPr>
                <w:rFonts w:eastAsia="Times New Roman"/>
                <w:sz w:val="20"/>
                <w:szCs w:val="20"/>
              </w:rPr>
            </w:pPr>
          </w:p>
        </w:tc>
        <w:tc>
          <w:tcPr>
            <w:tcW w:w="0" w:type="auto"/>
            <w:gridSpan w:val="3"/>
            <w:vAlign w:val="center"/>
            <w:hideMark/>
          </w:tcPr>
          <w:p w14:paraId="5917093A" w14:textId="77777777" w:rsidR="00000000" w:rsidRDefault="00C1661D">
            <w:pPr>
              <w:spacing w:after="100"/>
              <w:rPr>
                <w:rFonts w:eastAsia="Times New Roman"/>
                <w:sz w:val="20"/>
                <w:szCs w:val="20"/>
              </w:rPr>
            </w:pPr>
          </w:p>
        </w:tc>
        <w:tc>
          <w:tcPr>
            <w:tcW w:w="0" w:type="auto"/>
            <w:gridSpan w:val="3"/>
            <w:vAlign w:val="center"/>
            <w:hideMark/>
          </w:tcPr>
          <w:p w14:paraId="63C9CD36" w14:textId="77777777" w:rsidR="00000000" w:rsidRDefault="00C1661D">
            <w:pPr>
              <w:spacing w:after="100"/>
              <w:rPr>
                <w:rFonts w:eastAsia="Times New Roman"/>
                <w:sz w:val="20"/>
                <w:szCs w:val="20"/>
              </w:rPr>
            </w:pPr>
          </w:p>
        </w:tc>
      </w:tr>
      <w:tr w:rsidR="00000000" w14:paraId="0953CD3E" w14:textId="77777777">
        <w:trPr>
          <w:divId w:val="1346713626"/>
        </w:trPr>
        <w:tc>
          <w:tcPr>
            <w:tcW w:w="0" w:type="auto"/>
            <w:gridSpan w:val="3"/>
            <w:shd w:val="clear" w:color="auto" w:fill="FFFFFF"/>
            <w:tcMar>
              <w:top w:w="30" w:type="dxa"/>
              <w:left w:w="20" w:type="dxa"/>
              <w:bottom w:w="30" w:type="dxa"/>
              <w:right w:w="20" w:type="dxa"/>
            </w:tcMar>
            <w:vAlign w:val="bottom"/>
            <w:hideMark/>
          </w:tcPr>
          <w:p w14:paraId="57B7EBC0" w14:textId="77777777" w:rsidR="00000000" w:rsidRDefault="00C1661D">
            <w:pPr>
              <w:spacing w:after="100"/>
              <w:rPr>
                <w:rFonts w:eastAsia="Times New Roman"/>
              </w:rPr>
            </w:pPr>
            <w:r>
              <w:rPr>
                <w:rFonts w:eastAsia="Times New Roman"/>
                <w:color w:val="000000"/>
                <w:sz w:val="20"/>
                <w:szCs w:val="20"/>
              </w:rPr>
              <w:t>Derivative instrument assets</w:t>
            </w:r>
          </w:p>
        </w:tc>
        <w:tc>
          <w:tcPr>
            <w:tcW w:w="0" w:type="auto"/>
            <w:gridSpan w:val="2"/>
            <w:shd w:val="clear" w:color="auto" w:fill="FFFFFF"/>
            <w:tcMar>
              <w:top w:w="30" w:type="dxa"/>
              <w:left w:w="20" w:type="dxa"/>
              <w:bottom w:w="30" w:type="dxa"/>
              <w:right w:w="0" w:type="dxa"/>
            </w:tcMar>
            <w:vAlign w:val="bottom"/>
            <w:hideMark/>
          </w:tcPr>
          <w:p w14:paraId="45DC0BDA" w14:textId="77777777" w:rsidR="00000000" w:rsidRDefault="00C1661D">
            <w:pPr>
              <w:spacing w:after="100"/>
              <w:jc w:val="right"/>
              <w:rPr>
                <w:rFonts w:eastAsia="Times New Roman"/>
              </w:rPr>
            </w:pPr>
            <w:r>
              <w:rPr>
                <w:rFonts w:eastAsia="Times New Roman"/>
                <w:color w:val="000000"/>
                <w:sz w:val="20"/>
                <w:szCs w:val="20"/>
              </w:rPr>
              <w:t>514 </w:t>
            </w:r>
          </w:p>
        </w:tc>
        <w:tc>
          <w:tcPr>
            <w:tcW w:w="0" w:type="auto"/>
            <w:shd w:val="clear" w:color="auto" w:fill="FFFFFF"/>
            <w:tcMar>
              <w:top w:w="30" w:type="dxa"/>
              <w:left w:w="0" w:type="dxa"/>
              <w:bottom w:w="30" w:type="dxa"/>
              <w:right w:w="20" w:type="dxa"/>
            </w:tcMar>
            <w:vAlign w:val="bottom"/>
            <w:hideMark/>
          </w:tcPr>
          <w:p w14:paraId="25BF81A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DD231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97A070" w14:textId="77777777" w:rsidR="00000000" w:rsidRDefault="00C1661D">
            <w:pPr>
              <w:spacing w:after="100"/>
              <w:jc w:val="right"/>
              <w:rPr>
                <w:rFonts w:eastAsia="Times New Roman"/>
              </w:rPr>
            </w:pPr>
            <w:r>
              <w:rPr>
                <w:rFonts w:eastAsia="Times New Roman"/>
                <w:color w:val="000000"/>
                <w:sz w:val="20"/>
                <w:szCs w:val="20"/>
              </w:rPr>
              <w:t>322 </w:t>
            </w:r>
          </w:p>
        </w:tc>
        <w:tc>
          <w:tcPr>
            <w:tcW w:w="0" w:type="auto"/>
            <w:shd w:val="clear" w:color="auto" w:fill="FFFFFF"/>
            <w:tcMar>
              <w:top w:w="30" w:type="dxa"/>
              <w:left w:w="0" w:type="dxa"/>
              <w:bottom w:w="30" w:type="dxa"/>
              <w:right w:w="20" w:type="dxa"/>
            </w:tcMar>
            <w:vAlign w:val="bottom"/>
            <w:hideMark/>
          </w:tcPr>
          <w:p w14:paraId="07F2D14B" w14:textId="77777777" w:rsidR="00000000" w:rsidRDefault="00C1661D">
            <w:pPr>
              <w:spacing w:after="100"/>
              <w:jc w:val="right"/>
              <w:rPr>
                <w:rFonts w:eastAsia="Times New Roman"/>
              </w:rPr>
            </w:pPr>
          </w:p>
        </w:tc>
      </w:tr>
      <w:tr w:rsidR="00000000" w14:paraId="01E5B106" w14:textId="77777777">
        <w:trPr>
          <w:divId w:val="1346713626"/>
        </w:trPr>
        <w:tc>
          <w:tcPr>
            <w:tcW w:w="0" w:type="auto"/>
            <w:gridSpan w:val="3"/>
            <w:shd w:val="clear" w:color="auto" w:fill="CCEEFF"/>
            <w:tcMar>
              <w:top w:w="30" w:type="dxa"/>
              <w:left w:w="20" w:type="dxa"/>
              <w:bottom w:w="30" w:type="dxa"/>
              <w:right w:w="20" w:type="dxa"/>
            </w:tcMar>
            <w:vAlign w:val="bottom"/>
            <w:hideMark/>
          </w:tcPr>
          <w:p w14:paraId="6EF57054" w14:textId="77777777" w:rsidR="00000000" w:rsidRDefault="00C1661D">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58E3382E" w14:textId="77777777" w:rsidR="00000000" w:rsidRDefault="00C1661D">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14:paraId="1FEF2BA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6B8C6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F6FFBF" w14:textId="77777777" w:rsidR="00000000" w:rsidRDefault="00C1661D">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14:paraId="13BE2D8A" w14:textId="77777777" w:rsidR="00000000" w:rsidRDefault="00C1661D">
            <w:pPr>
              <w:spacing w:after="100"/>
              <w:jc w:val="right"/>
              <w:rPr>
                <w:rFonts w:eastAsia="Times New Roman"/>
              </w:rPr>
            </w:pPr>
          </w:p>
        </w:tc>
      </w:tr>
      <w:tr w:rsidR="00000000" w14:paraId="1B6A7054" w14:textId="77777777">
        <w:trPr>
          <w:divId w:val="1346713626"/>
        </w:trPr>
        <w:tc>
          <w:tcPr>
            <w:tcW w:w="0" w:type="auto"/>
            <w:gridSpan w:val="3"/>
            <w:shd w:val="clear" w:color="auto" w:fill="FFFFFF"/>
            <w:tcMar>
              <w:top w:w="30" w:type="dxa"/>
              <w:left w:w="20" w:type="dxa"/>
              <w:bottom w:w="30" w:type="dxa"/>
              <w:right w:w="20" w:type="dxa"/>
            </w:tcMar>
            <w:vAlign w:val="bottom"/>
            <w:hideMark/>
          </w:tcPr>
          <w:p w14:paraId="63C4D4E5" w14:textId="77777777" w:rsidR="00000000" w:rsidRDefault="00C1661D">
            <w:pPr>
              <w:spacing w:after="100"/>
              <w:rPr>
                <w:rFonts w:eastAsia="Times New Roman"/>
              </w:rPr>
            </w:pPr>
            <w:r>
              <w:rPr>
                <w:rFonts w:eastAsia="Times New Roman"/>
                <w:color w:val="000000"/>
                <w:sz w:val="20"/>
                <w:szCs w:val="20"/>
              </w:rPr>
              <w:t>Gross deferred tax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284B5C" w14:textId="77777777" w:rsidR="00000000" w:rsidRDefault="00C1661D">
            <w:pPr>
              <w:spacing w:after="100"/>
              <w:jc w:val="right"/>
              <w:rPr>
                <w:rFonts w:eastAsia="Times New Roman"/>
              </w:rPr>
            </w:pPr>
            <w:r>
              <w:rPr>
                <w:rFonts w:eastAsia="Times New Roman"/>
                <w:color w:val="000000"/>
                <w:sz w:val="20"/>
                <w:szCs w:val="20"/>
              </w:rPr>
              <w:t>1,595 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DFBDB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D3520"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6BCFD6" w14:textId="77777777" w:rsidR="00000000" w:rsidRDefault="00C1661D">
            <w:pPr>
              <w:spacing w:after="100"/>
              <w:jc w:val="right"/>
              <w:rPr>
                <w:rFonts w:eastAsia="Times New Roman"/>
              </w:rPr>
            </w:pPr>
            <w:r>
              <w:rPr>
                <w:rFonts w:eastAsia="Times New Roman"/>
                <w:color w:val="000000"/>
                <w:sz w:val="20"/>
                <w:szCs w:val="20"/>
              </w:rPr>
              <w:t>1,477 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111BF6" w14:textId="77777777" w:rsidR="00000000" w:rsidRDefault="00C1661D">
            <w:pPr>
              <w:spacing w:after="100"/>
              <w:jc w:val="right"/>
              <w:rPr>
                <w:rFonts w:eastAsia="Times New Roman"/>
              </w:rPr>
            </w:pPr>
          </w:p>
        </w:tc>
      </w:tr>
      <w:tr w:rsidR="00000000" w14:paraId="11EACF78" w14:textId="77777777">
        <w:trPr>
          <w:divId w:val="1346713626"/>
          <w:trHeight w:val="300"/>
        </w:trPr>
        <w:tc>
          <w:tcPr>
            <w:tcW w:w="0" w:type="auto"/>
            <w:gridSpan w:val="3"/>
            <w:shd w:val="clear" w:color="auto" w:fill="CCEEFF"/>
            <w:tcMar>
              <w:top w:w="0" w:type="dxa"/>
              <w:left w:w="20" w:type="dxa"/>
              <w:bottom w:w="0" w:type="dxa"/>
              <w:right w:w="20" w:type="dxa"/>
            </w:tcMar>
            <w:vAlign w:val="center"/>
            <w:hideMark/>
          </w:tcPr>
          <w:p w14:paraId="5D6416B0" w14:textId="77777777" w:rsidR="00000000" w:rsidRDefault="00C1661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C74569"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BEC76D"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F58B39" w14:textId="77777777" w:rsidR="00000000" w:rsidRDefault="00C1661D">
            <w:pPr>
              <w:spacing w:after="100"/>
              <w:rPr>
                <w:rFonts w:eastAsia="Times New Roman"/>
                <w:sz w:val="20"/>
                <w:szCs w:val="20"/>
              </w:rPr>
            </w:pPr>
          </w:p>
        </w:tc>
      </w:tr>
      <w:tr w:rsidR="00000000" w14:paraId="72A4DBDD" w14:textId="77777777">
        <w:trPr>
          <w:divId w:val="1346713626"/>
        </w:trPr>
        <w:tc>
          <w:tcPr>
            <w:tcW w:w="0" w:type="auto"/>
            <w:gridSpan w:val="3"/>
            <w:shd w:val="clear" w:color="auto" w:fill="FFFFFF"/>
            <w:tcMar>
              <w:top w:w="30" w:type="dxa"/>
              <w:left w:w="20" w:type="dxa"/>
              <w:bottom w:w="30" w:type="dxa"/>
              <w:right w:w="20" w:type="dxa"/>
            </w:tcMar>
            <w:vAlign w:val="bottom"/>
            <w:hideMark/>
          </w:tcPr>
          <w:p w14:paraId="7825E630" w14:textId="77777777" w:rsidR="00000000" w:rsidRDefault="00C1661D">
            <w:pPr>
              <w:spacing w:after="100"/>
              <w:rPr>
                <w:rFonts w:eastAsia="Times New Roman"/>
              </w:rPr>
            </w:pPr>
            <w:r>
              <w:rPr>
                <w:rFonts w:eastAsia="Times New Roman"/>
                <w:color w:val="000000"/>
                <w:sz w:val="20"/>
                <w:szCs w:val="20"/>
              </w:rPr>
              <w:t>Investment in AmeriGas Partners</w:t>
            </w:r>
          </w:p>
        </w:tc>
        <w:tc>
          <w:tcPr>
            <w:tcW w:w="0" w:type="auto"/>
            <w:gridSpan w:val="2"/>
            <w:shd w:val="clear" w:color="auto" w:fill="FFFFFF"/>
            <w:tcMar>
              <w:top w:w="30" w:type="dxa"/>
              <w:left w:w="20" w:type="dxa"/>
              <w:bottom w:w="30" w:type="dxa"/>
              <w:right w:w="0" w:type="dxa"/>
            </w:tcMar>
            <w:vAlign w:val="bottom"/>
            <w:hideMark/>
          </w:tcPr>
          <w:p w14:paraId="60FCB719" w14:textId="77777777" w:rsidR="00000000" w:rsidRDefault="00C1661D">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14:paraId="5A09171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C6D0F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4BCC94" w14:textId="77777777" w:rsidR="00000000" w:rsidRDefault="00C1661D">
            <w:pPr>
              <w:spacing w:after="100"/>
              <w:jc w:val="right"/>
              <w:rPr>
                <w:rFonts w:eastAsia="Times New Roman"/>
              </w:rPr>
            </w:pPr>
            <w:r>
              <w:rPr>
                <w:rFonts w:eastAsia="Times New Roman"/>
                <w:color w:val="000000"/>
                <w:sz w:val="20"/>
                <w:szCs w:val="20"/>
              </w:rPr>
              <w:t>(102)</w:t>
            </w:r>
          </w:p>
        </w:tc>
        <w:tc>
          <w:tcPr>
            <w:tcW w:w="0" w:type="auto"/>
            <w:shd w:val="clear" w:color="auto" w:fill="FFFFFF"/>
            <w:tcMar>
              <w:top w:w="30" w:type="dxa"/>
              <w:left w:w="0" w:type="dxa"/>
              <w:bottom w:w="30" w:type="dxa"/>
              <w:right w:w="20" w:type="dxa"/>
            </w:tcMar>
            <w:vAlign w:val="bottom"/>
            <w:hideMark/>
          </w:tcPr>
          <w:p w14:paraId="35F427BA" w14:textId="77777777" w:rsidR="00000000" w:rsidRDefault="00C1661D">
            <w:pPr>
              <w:spacing w:after="100"/>
              <w:jc w:val="right"/>
              <w:rPr>
                <w:rFonts w:eastAsia="Times New Roman"/>
              </w:rPr>
            </w:pPr>
          </w:p>
        </w:tc>
      </w:tr>
      <w:tr w:rsidR="00000000" w14:paraId="4310F031" w14:textId="77777777">
        <w:trPr>
          <w:divId w:val="1346713626"/>
        </w:trPr>
        <w:tc>
          <w:tcPr>
            <w:tcW w:w="0" w:type="auto"/>
            <w:gridSpan w:val="3"/>
            <w:shd w:val="clear" w:color="auto" w:fill="CCEEFF"/>
            <w:tcMar>
              <w:top w:w="30" w:type="dxa"/>
              <w:left w:w="20" w:type="dxa"/>
              <w:bottom w:w="30" w:type="dxa"/>
              <w:right w:w="20" w:type="dxa"/>
            </w:tcMar>
            <w:vAlign w:val="bottom"/>
            <w:hideMark/>
          </w:tcPr>
          <w:p w14:paraId="3993B08F" w14:textId="77777777" w:rsidR="00000000" w:rsidRDefault="00C1661D">
            <w:pPr>
              <w:spacing w:after="100"/>
              <w:rPr>
                <w:rFonts w:eastAsia="Times New Roman"/>
              </w:rPr>
            </w:pPr>
            <w:r>
              <w:rPr>
                <w:rFonts w:eastAsia="Times New Roman"/>
                <w:color w:val="000000"/>
                <w:sz w:val="20"/>
                <w:szCs w:val="20"/>
              </w:rPr>
              <w:t>Pension plan liabilities</w:t>
            </w:r>
          </w:p>
        </w:tc>
        <w:tc>
          <w:tcPr>
            <w:tcW w:w="0" w:type="auto"/>
            <w:gridSpan w:val="2"/>
            <w:shd w:val="clear" w:color="auto" w:fill="CCEEFF"/>
            <w:tcMar>
              <w:top w:w="30" w:type="dxa"/>
              <w:left w:w="20" w:type="dxa"/>
              <w:bottom w:w="30" w:type="dxa"/>
              <w:right w:w="0" w:type="dxa"/>
            </w:tcMar>
            <w:vAlign w:val="bottom"/>
            <w:hideMark/>
          </w:tcPr>
          <w:p w14:paraId="71E940C7" w14:textId="77777777" w:rsidR="00000000" w:rsidRDefault="00C1661D">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14:paraId="1C67028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D91F8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9A7A9E" w14:textId="77777777" w:rsidR="00000000" w:rsidRDefault="00C1661D">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14:paraId="3B5EE8AC" w14:textId="77777777" w:rsidR="00000000" w:rsidRDefault="00C1661D">
            <w:pPr>
              <w:spacing w:after="100"/>
              <w:jc w:val="right"/>
              <w:rPr>
                <w:rFonts w:eastAsia="Times New Roman"/>
              </w:rPr>
            </w:pPr>
          </w:p>
        </w:tc>
      </w:tr>
      <w:tr w:rsidR="00000000" w14:paraId="5D3474E0" w14:textId="77777777">
        <w:trPr>
          <w:divId w:val="1346713626"/>
        </w:trPr>
        <w:tc>
          <w:tcPr>
            <w:tcW w:w="0" w:type="auto"/>
            <w:gridSpan w:val="3"/>
            <w:shd w:val="clear" w:color="auto" w:fill="FFFFFF"/>
            <w:tcMar>
              <w:top w:w="30" w:type="dxa"/>
              <w:left w:w="20" w:type="dxa"/>
              <w:bottom w:w="30" w:type="dxa"/>
              <w:right w:w="20" w:type="dxa"/>
            </w:tcMar>
            <w:vAlign w:val="bottom"/>
            <w:hideMark/>
          </w:tcPr>
          <w:p w14:paraId="7BDB5C3E" w14:textId="77777777" w:rsidR="00000000" w:rsidRDefault="00C1661D">
            <w:pPr>
              <w:spacing w:after="100"/>
              <w:rPr>
                <w:rFonts w:eastAsia="Times New Roman"/>
              </w:rPr>
            </w:pPr>
            <w:r>
              <w:rPr>
                <w:rFonts w:eastAsia="Times New Roman"/>
                <w:color w:val="000000"/>
                <w:sz w:val="20"/>
                <w:szCs w:val="20"/>
              </w:rPr>
              <w:t>Employee-related benefits</w:t>
            </w:r>
          </w:p>
        </w:tc>
        <w:tc>
          <w:tcPr>
            <w:tcW w:w="0" w:type="auto"/>
            <w:gridSpan w:val="2"/>
            <w:shd w:val="clear" w:color="auto" w:fill="FFFFFF"/>
            <w:tcMar>
              <w:top w:w="30" w:type="dxa"/>
              <w:left w:w="20" w:type="dxa"/>
              <w:bottom w:w="30" w:type="dxa"/>
              <w:right w:w="0" w:type="dxa"/>
            </w:tcMar>
            <w:vAlign w:val="bottom"/>
            <w:hideMark/>
          </w:tcPr>
          <w:p w14:paraId="296EAB90" w14:textId="77777777" w:rsidR="00000000" w:rsidRDefault="00C1661D">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14:paraId="15B882A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7974F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8842CD" w14:textId="77777777" w:rsidR="00000000" w:rsidRDefault="00C1661D">
            <w:pPr>
              <w:spacing w:after="100"/>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14:paraId="4E7798F9" w14:textId="77777777" w:rsidR="00000000" w:rsidRDefault="00C1661D">
            <w:pPr>
              <w:spacing w:after="100"/>
              <w:jc w:val="right"/>
              <w:rPr>
                <w:rFonts w:eastAsia="Times New Roman"/>
              </w:rPr>
            </w:pPr>
          </w:p>
        </w:tc>
      </w:tr>
      <w:tr w:rsidR="00000000" w14:paraId="32C13692" w14:textId="77777777">
        <w:trPr>
          <w:divId w:val="1346713626"/>
        </w:trPr>
        <w:tc>
          <w:tcPr>
            <w:tcW w:w="0" w:type="auto"/>
            <w:gridSpan w:val="3"/>
            <w:shd w:val="clear" w:color="auto" w:fill="CCEEFF"/>
            <w:tcMar>
              <w:top w:w="30" w:type="dxa"/>
              <w:left w:w="20" w:type="dxa"/>
              <w:bottom w:w="30" w:type="dxa"/>
              <w:right w:w="20" w:type="dxa"/>
            </w:tcMar>
            <w:vAlign w:val="bottom"/>
            <w:hideMark/>
          </w:tcPr>
          <w:p w14:paraId="4074AF35" w14:textId="77777777" w:rsidR="00000000" w:rsidRDefault="00C1661D">
            <w:pPr>
              <w:spacing w:after="100"/>
              <w:rPr>
                <w:rFonts w:eastAsia="Times New Roman"/>
              </w:rPr>
            </w:pPr>
            <w:r>
              <w:rPr>
                <w:rFonts w:eastAsia="Times New Roman"/>
                <w:color w:val="000000"/>
                <w:sz w:val="20"/>
                <w:szCs w:val="20"/>
              </w:rPr>
              <w:t>Operating loss carryforwards</w:t>
            </w:r>
          </w:p>
        </w:tc>
        <w:tc>
          <w:tcPr>
            <w:tcW w:w="0" w:type="auto"/>
            <w:gridSpan w:val="2"/>
            <w:shd w:val="clear" w:color="auto" w:fill="CCEEFF"/>
            <w:tcMar>
              <w:top w:w="30" w:type="dxa"/>
              <w:left w:w="20" w:type="dxa"/>
              <w:bottom w:w="30" w:type="dxa"/>
              <w:right w:w="0" w:type="dxa"/>
            </w:tcMar>
            <w:vAlign w:val="bottom"/>
            <w:hideMark/>
          </w:tcPr>
          <w:p w14:paraId="57726B6E" w14:textId="77777777" w:rsidR="00000000" w:rsidRDefault="00C1661D">
            <w:pPr>
              <w:spacing w:after="100"/>
              <w:jc w:val="right"/>
              <w:rPr>
                <w:rFonts w:eastAsia="Times New Roman"/>
              </w:rPr>
            </w:pPr>
            <w:r>
              <w:rPr>
                <w:rFonts w:eastAsia="Times New Roman"/>
                <w:color w:val="000000"/>
                <w:sz w:val="20"/>
                <w:szCs w:val="20"/>
              </w:rPr>
              <w:t>(48)</w:t>
            </w:r>
          </w:p>
        </w:tc>
        <w:tc>
          <w:tcPr>
            <w:tcW w:w="0" w:type="auto"/>
            <w:shd w:val="clear" w:color="auto" w:fill="CCEEFF"/>
            <w:tcMar>
              <w:top w:w="30" w:type="dxa"/>
              <w:left w:w="0" w:type="dxa"/>
              <w:bottom w:w="30" w:type="dxa"/>
              <w:right w:w="20" w:type="dxa"/>
            </w:tcMar>
            <w:vAlign w:val="bottom"/>
            <w:hideMark/>
          </w:tcPr>
          <w:p w14:paraId="5B90395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F5C64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C39629" w14:textId="77777777" w:rsidR="00000000" w:rsidRDefault="00C1661D">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14:paraId="336487F9" w14:textId="77777777" w:rsidR="00000000" w:rsidRDefault="00C1661D">
            <w:pPr>
              <w:spacing w:after="100"/>
              <w:jc w:val="right"/>
              <w:rPr>
                <w:rFonts w:eastAsia="Times New Roman"/>
              </w:rPr>
            </w:pPr>
          </w:p>
        </w:tc>
      </w:tr>
      <w:tr w:rsidR="00000000" w14:paraId="71467C55" w14:textId="77777777">
        <w:trPr>
          <w:divId w:val="1346713626"/>
        </w:trPr>
        <w:tc>
          <w:tcPr>
            <w:tcW w:w="0" w:type="auto"/>
            <w:gridSpan w:val="3"/>
            <w:shd w:val="clear" w:color="auto" w:fill="FFFFFF"/>
            <w:tcMar>
              <w:top w:w="30" w:type="dxa"/>
              <w:left w:w="20" w:type="dxa"/>
              <w:bottom w:w="30" w:type="dxa"/>
              <w:right w:w="20" w:type="dxa"/>
            </w:tcMar>
            <w:vAlign w:val="bottom"/>
            <w:hideMark/>
          </w:tcPr>
          <w:p w14:paraId="39575415" w14:textId="77777777" w:rsidR="00000000" w:rsidRDefault="00C1661D">
            <w:pPr>
              <w:spacing w:after="100"/>
              <w:rPr>
                <w:rFonts w:eastAsia="Times New Roman"/>
              </w:rPr>
            </w:pPr>
            <w:r>
              <w:rPr>
                <w:rFonts w:eastAsia="Times New Roman"/>
                <w:color w:val="000000"/>
                <w:sz w:val="20"/>
                <w:szCs w:val="20"/>
              </w:rPr>
              <w:t>Foreign tax credit carryforwards</w:t>
            </w:r>
          </w:p>
        </w:tc>
        <w:tc>
          <w:tcPr>
            <w:tcW w:w="0" w:type="auto"/>
            <w:gridSpan w:val="2"/>
            <w:shd w:val="clear" w:color="auto" w:fill="FFFFFF"/>
            <w:tcMar>
              <w:top w:w="30" w:type="dxa"/>
              <w:left w:w="20" w:type="dxa"/>
              <w:bottom w:w="30" w:type="dxa"/>
              <w:right w:w="0" w:type="dxa"/>
            </w:tcMar>
            <w:vAlign w:val="bottom"/>
            <w:hideMark/>
          </w:tcPr>
          <w:p w14:paraId="664189AF" w14:textId="77777777" w:rsidR="00000000" w:rsidRDefault="00C1661D">
            <w:pPr>
              <w:spacing w:after="100"/>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14:paraId="7B4BF98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B0B30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D08DC7" w14:textId="77777777" w:rsidR="00000000" w:rsidRDefault="00C1661D">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14:paraId="08DBBF4C" w14:textId="77777777" w:rsidR="00000000" w:rsidRDefault="00C1661D">
            <w:pPr>
              <w:spacing w:after="100"/>
              <w:jc w:val="right"/>
              <w:rPr>
                <w:rFonts w:eastAsia="Times New Roman"/>
              </w:rPr>
            </w:pPr>
          </w:p>
        </w:tc>
      </w:tr>
      <w:tr w:rsidR="00000000" w14:paraId="413B3EE7" w14:textId="77777777">
        <w:trPr>
          <w:divId w:val="1346713626"/>
        </w:trPr>
        <w:tc>
          <w:tcPr>
            <w:tcW w:w="0" w:type="auto"/>
            <w:gridSpan w:val="3"/>
            <w:shd w:val="clear" w:color="auto" w:fill="CCEEFF"/>
            <w:tcMar>
              <w:top w:w="30" w:type="dxa"/>
              <w:left w:w="20" w:type="dxa"/>
              <w:bottom w:w="30" w:type="dxa"/>
              <w:right w:w="20" w:type="dxa"/>
            </w:tcMar>
            <w:vAlign w:val="bottom"/>
            <w:hideMark/>
          </w:tcPr>
          <w:p w14:paraId="381CABC9" w14:textId="77777777" w:rsidR="00000000" w:rsidRDefault="00C1661D">
            <w:pPr>
              <w:spacing w:after="100"/>
              <w:rPr>
                <w:rFonts w:eastAsia="Times New Roman"/>
              </w:rPr>
            </w:pPr>
            <w:r>
              <w:rPr>
                <w:rFonts w:eastAsia="Times New Roman"/>
                <w:color w:val="000000"/>
                <w:sz w:val="20"/>
                <w:szCs w:val="20"/>
              </w:rPr>
              <w:t>Utility regulatory liabilities</w:t>
            </w:r>
          </w:p>
        </w:tc>
        <w:tc>
          <w:tcPr>
            <w:tcW w:w="0" w:type="auto"/>
            <w:gridSpan w:val="2"/>
            <w:shd w:val="clear" w:color="auto" w:fill="CCEEFF"/>
            <w:tcMar>
              <w:top w:w="30" w:type="dxa"/>
              <w:left w:w="20" w:type="dxa"/>
              <w:bottom w:w="30" w:type="dxa"/>
              <w:right w:w="0" w:type="dxa"/>
            </w:tcMar>
            <w:vAlign w:val="bottom"/>
            <w:hideMark/>
          </w:tcPr>
          <w:p w14:paraId="3EF70EDE" w14:textId="77777777" w:rsidR="00000000" w:rsidRDefault="00C1661D">
            <w:pPr>
              <w:spacing w:after="100"/>
              <w:jc w:val="right"/>
              <w:rPr>
                <w:rFonts w:eastAsia="Times New Roman"/>
              </w:rPr>
            </w:pPr>
            <w:r>
              <w:rPr>
                <w:rFonts w:eastAsia="Times New Roman"/>
                <w:color w:val="000000"/>
                <w:sz w:val="20"/>
                <w:szCs w:val="20"/>
              </w:rPr>
              <w:t>(85)</w:t>
            </w:r>
          </w:p>
        </w:tc>
        <w:tc>
          <w:tcPr>
            <w:tcW w:w="0" w:type="auto"/>
            <w:shd w:val="clear" w:color="auto" w:fill="CCEEFF"/>
            <w:tcMar>
              <w:top w:w="30" w:type="dxa"/>
              <w:left w:w="0" w:type="dxa"/>
              <w:bottom w:w="30" w:type="dxa"/>
              <w:right w:w="20" w:type="dxa"/>
            </w:tcMar>
            <w:vAlign w:val="bottom"/>
            <w:hideMark/>
          </w:tcPr>
          <w:p w14:paraId="2702341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9611B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32FA92" w14:textId="77777777" w:rsidR="00000000" w:rsidRDefault="00C1661D">
            <w:pPr>
              <w:spacing w:after="100"/>
              <w:jc w:val="right"/>
              <w:rPr>
                <w:rFonts w:eastAsia="Times New Roman"/>
              </w:rPr>
            </w:pPr>
            <w:r>
              <w:rPr>
                <w:rFonts w:eastAsia="Times New Roman"/>
                <w:color w:val="000000"/>
                <w:sz w:val="20"/>
                <w:szCs w:val="20"/>
              </w:rPr>
              <w:t>(102)</w:t>
            </w:r>
          </w:p>
        </w:tc>
        <w:tc>
          <w:tcPr>
            <w:tcW w:w="0" w:type="auto"/>
            <w:shd w:val="clear" w:color="auto" w:fill="CCEEFF"/>
            <w:tcMar>
              <w:top w:w="30" w:type="dxa"/>
              <w:left w:w="0" w:type="dxa"/>
              <w:bottom w:w="30" w:type="dxa"/>
              <w:right w:w="20" w:type="dxa"/>
            </w:tcMar>
            <w:vAlign w:val="bottom"/>
            <w:hideMark/>
          </w:tcPr>
          <w:p w14:paraId="60C35907" w14:textId="77777777" w:rsidR="00000000" w:rsidRDefault="00C1661D">
            <w:pPr>
              <w:spacing w:after="100"/>
              <w:jc w:val="right"/>
              <w:rPr>
                <w:rFonts w:eastAsia="Times New Roman"/>
              </w:rPr>
            </w:pPr>
          </w:p>
        </w:tc>
      </w:tr>
      <w:tr w:rsidR="00000000" w14:paraId="4A302F55" w14:textId="77777777">
        <w:trPr>
          <w:divId w:val="1346713626"/>
        </w:trPr>
        <w:tc>
          <w:tcPr>
            <w:tcW w:w="0" w:type="auto"/>
            <w:gridSpan w:val="3"/>
            <w:vAlign w:val="center"/>
            <w:hideMark/>
          </w:tcPr>
          <w:p w14:paraId="18E90A33" w14:textId="77777777" w:rsidR="00000000" w:rsidRDefault="00C1661D">
            <w:pPr>
              <w:spacing w:after="100"/>
              <w:jc w:val="right"/>
              <w:rPr>
                <w:rFonts w:eastAsia="Times New Roman"/>
                <w:sz w:val="20"/>
                <w:szCs w:val="20"/>
              </w:rPr>
            </w:pPr>
          </w:p>
        </w:tc>
        <w:tc>
          <w:tcPr>
            <w:tcW w:w="0" w:type="auto"/>
            <w:gridSpan w:val="3"/>
            <w:vAlign w:val="center"/>
            <w:hideMark/>
          </w:tcPr>
          <w:p w14:paraId="3F38F7AE" w14:textId="77777777" w:rsidR="00000000" w:rsidRDefault="00C1661D">
            <w:pPr>
              <w:spacing w:after="100"/>
              <w:rPr>
                <w:rFonts w:eastAsia="Times New Roman"/>
                <w:sz w:val="20"/>
                <w:szCs w:val="20"/>
              </w:rPr>
            </w:pPr>
          </w:p>
        </w:tc>
        <w:tc>
          <w:tcPr>
            <w:tcW w:w="0" w:type="auto"/>
            <w:gridSpan w:val="3"/>
            <w:vAlign w:val="center"/>
            <w:hideMark/>
          </w:tcPr>
          <w:p w14:paraId="0782AE0C" w14:textId="77777777" w:rsidR="00000000" w:rsidRDefault="00C1661D">
            <w:pPr>
              <w:spacing w:after="100"/>
              <w:rPr>
                <w:rFonts w:eastAsia="Times New Roman"/>
                <w:sz w:val="20"/>
                <w:szCs w:val="20"/>
              </w:rPr>
            </w:pPr>
          </w:p>
        </w:tc>
        <w:tc>
          <w:tcPr>
            <w:tcW w:w="0" w:type="auto"/>
            <w:gridSpan w:val="3"/>
            <w:vAlign w:val="center"/>
            <w:hideMark/>
          </w:tcPr>
          <w:p w14:paraId="3B5BC20D" w14:textId="77777777" w:rsidR="00000000" w:rsidRDefault="00C1661D">
            <w:pPr>
              <w:spacing w:after="100"/>
              <w:rPr>
                <w:rFonts w:eastAsia="Times New Roman"/>
                <w:sz w:val="20"/>
                <w:szCs w:val="20"/>
              </w:rPr>
            </w:pPr>
          </w:p>
        </w:tc>
      </w:tr>
      <w:tr w:rsidR="00000000" w14:paraId="59EA0352" w14:textId="77777777">
        <w:trPr>
          <w:divId w:val="1346713626"/>
        </w:trPr>
        <w:tc>
          <w:tcPr>
            <w:tcW w:w="0" w:type="auto"/>
            <w:gridSpan w:val="3"/>
            <w:vAlign w:val="center"/>
            <w:hideMark/>
          </w:tcPr>
          <w:p w14:paraId="3594BC14" w14:textId="77777777" w:rsidR="00000000" w:rsidRDefault="00C1661D">
            <w:pPr>
              <w:spacing w:after="100"/>
              <w:rPr>
                <w:rFonts w:eastAsia="Times New Roman"/>
                <w:sz w:val="20"/>
                <w:szCs w:val="20"/>
              </w:rPr>
            </w:pPr>
          </w:p>
        </w:tc>
        <w:tc>
          <w:tcPr>
            <w:tcW w:w="0" w:type="auto"/>
            <w:gridSpan w:val="3"/>
            <w:vAlign w:val="center"/>
            <w:hideMark/>
          </w:tcPr>
          <w:p w14:paraId="260009D5" w14:textId="77777777" w:rsidR="00000000" w:rsidRDefault="00C1661D">
            <w:pPr>
              <w:spacing w:after="100"/>
              <w:rPr>
                <w:rFonts w:eastAsia="Times New Roman"/>
                <w:sz w:val="20"/>
                <w:szCs w:val="20"/>
              </w:rPr>
            </w:pPr>
          </w:p>
        </w:tc>
        <w:tc>
          <w:tcPr>
            <w:tcW w:w="0" w:type="auto"/>
            <w:gridSpan w:val="3"/>
            <w:vAlign w:val="center"/>
            <w:hideMark/>
          </w:tcPr>
          <w:p w14:paraId="6A85FD8E" w14:textId="77777777" w:rsidR="00000000" w:rsidRDefault="00C1661D">
            <w:pPr>
              <w:spacing w:after="100"/>
              <w:rPr>
                <w:rFonts w:eastAsia="Times New Roman"/>
                <w:sz w:val="20"/>
                <w:szCs w:val="20"/>
              </w:rPr>
            </w:pPr>
          </w:p>
        </w:tc>
        <w:tc>
          <w:tcPr>
            <w:tcW w:w="0" w:type="auto"/>
            <w:gridSpan w:val="3"/>
            <w:vAlign w:val="center"/>
            <w:hideMark/>
          </w:tcPr>
          <w:p w14:paraId="315D0DDF" w14:textId="77777777" w:rsidR="00000000" w:rsidRDefault="00C1661D">
            <w:pPr>
              <w:spacing w:after="100"/>
              <w:rPr>
                <w:rFonts w:eastAsia="Times New Roman"/>
                <w:sz w:val="20"/>
                <w:szCs w:val="20"/>
              </w:rPr>
            </w:pPr>
          </w:p>
        </w:tc>
      </w:tr>
      <w:tr w:rsidR="00000000" w14:paraId="268C84C6" w14:textId="77777777">
        <w:trPr>
          <w:divId w:val="1346713626"/>
        </w:trPr>
        <w:tc>
          <w:tcPr>
            <w:tcW w:w="0" w:type="auto"/>
            <w:gridSpan w:val="3"/>
            <w:shd w:val="clear" w:color="auto" w:fill="FFFFFF"/>
            <w:tcMar>
              <w:top w:w="30" w:type="dxa"/>
              <w:left w:w="20" w:type="dxa"/>
              <w:bottom w:w="30" w:type="dxa"/>
              <w:right w:w="20" w:type="dxa"/>
            </w:tcMar>
            <w:vAlign w:val="bottom"/>
            <w:hideMark/>
          </w:tcPr>
          <w:p w14:paraId="018E3C6E" w14:textId="77777777" w:rsidR="00000000" w:rsidRDefault="00C1661D">
            <w:pPr>
              <w:spacing w:after="100"/>
              <w:rPr>
                <w:rFonts w:eastAsia="Times New Roman"/>
              </w:rPr>
            </w:pPr>
            <w:r>
              <w:rPr>
                <w:rFonts w:eastAsia="Times New Roman"/>
                <w:color w:val="000000"/>
                <w:sz w:val="20"/>
                <w:szCs w:val="20"/>
              </w:rPr>
              <w:t>Utility environmental liabilities</w:t>
            </w:r>
          </w:p>
        </w:tc>
        <w:tc>
          <w:tcPr>
            <w:tcW w:w="0" w:type="auto"/>
            <w:gridSpan w:val="2"/>
            <w:shd w:val="clear" w:color="auto" w:fill="FFFFFF"/>
            <w:tcMar>
              <w:top w:w="30" w:type="dxa"/>
              <w:left w:w="20" w:type="dxa"/>
              <w:bottom w:w="30" w:type="dxa"/>
              <w:right w:w="0" w:type="dxa"/>
            </w:tcMar>
            <w:vAlign w:val="bottom"/>
            <w:hideMark/>
          </w:tcPr>
          <w:p w14:paraId="48B1010E" w14:textId="77777777" w:rsidR="00000000" w:rsidRDefault="00C1661D">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14:paraId="49825FA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9CB91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74F034" w14:textId="77777777" w:rsidR="00000000" w:rsidRDefault="00C1661D">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14:paraId="2D300715" w14:textId="77777777" w:rsidR="00000000" w:rsidRDefault="00C1661D">
            <w:pPr>
              <w:spacing w:after="100"/>
              <w:jc w:val="right"/>
              <w:rPr>
                <w:rFonts w:eastAsia="Times New Roman"/>
              </w:rPr>
            </w:pPr>
          </w:p>
        </w:tc>
      </w:tr>
      <w:tr w:rsidR="00000000" w14:paraId="142EF256" w14:textId="77777777">
        <w:trPr>
          <w:divId w:val="1346713626"/>
        </w:trPr>
        <w:tc>
          <w:tcPr>
            <w:tcW w:w="0" w:type="auto"/>
            <w:gridSpan w:val="3"/>
            <w:shd w:val="clear" w:color="auto" w:fill="CCEEFF"/>
            <w:tcMar>
              <w:top w:w="30" w:type="dxa"/>
              <w:left w:w="20" w:type="dxa"/>
              <w:bottom w:w="30" w:type="dxa"/>
              <w:right w:w="20" w:type="dxa"/>
            </w:tcMar>
            <w:vAlign w:val="bottom"/>
            <w:hideMark/>
          </w:tcPr>
          <w:p w14:paraId="77CE7917" w14:textId="77777777" w:rsidR="00000000" w:rsidRDefault="00C1661D">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47086D67" w14:textId="77777777" w:rsidR="00000000" w:rsidRDefault="00C1661D">
            <w:pPr>
              <w:spacing w:after="100"/>
              <w:jc w:val="right"/>
              <w:rPr>
                <w:rFonts w:eastAsia="Times New Roman"/>
              </w:rPr>
            </w:pPr>
            <w:r>
              <w:rPr>
                <w:rFonts w:eastAsia="Times New Roman"/>
                <w:color w:val="000000"/>
                <w:sz w:val="20"/>
                <w:szCs w:val="20"/>
              </w:rPr>
              <w:t>(125)</w:t>
            </w:r>
          </w:p>
        </w:tc>
        <w:tc>
          <w:tcPr>
            <w:tcW w:w="0" w:type="auto"/>
            <w:shd w:val="clear" w:color="auto" w:fill="CCEEFF"/>
            <w:tcMar>
              <w:top w:w="30" w:type="dxa"/>
              <w:left w:w="0" w:type="dxa"/>
              <w:bottom w:w="30" w:type="dxa"/>
              <w:right w:w="20" w:type="dxa"/>
            </w:tcMar>
            <w:vAlign w:val="bottom"/>
            <w:hideMark/>
          </w:tcPr>
          <w:p w14:paraId="2959E09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0A927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A2D319" w14:textId="77777777" w:rsidR="00000000" w:rsidRDefault="00C1661D">
            <w:pPr>
              <w:spacing w:after="100"/>
              <w:jc w:val="right"/>
              <w:rPr>
                <w:rFonts w:eastAsia="Times New Roman"/>
              </w:rPr>
            </w:pPr>
            <w:r>
              <w:rPr>
                <w:rFonts w:eastAsia="Times New Roman"/>
                <w:color w:val="000000"/>
                <w:sz w:val="20"/>
                <w:szCs w:val="20"/>
              </w:rPr>
              <w:t>(107)</w:t>
            </w:r>
          </w:p>
        </w:tc>
        <w:tc>
          <w:tcPr>
            <w:tcW w:w="0" w:type="auto"/>
            <w:shd w:val="clear" w:color="auto" w:fill="CCEEFF"/>
            <w:tcMar>
              <w:top w:w="30" w:type="dxa"/>
              <w:left w:w="0" w:type="dxa"/>
              <w:bottom w:w="30" w:type="dxa"/>
              <w:right w:w="20" w:type="dxa"/>
            </w:tcMar>
            <w:vAlign w:val="bottom"/>
            <w:hideMark/>
          </w:tcPr>
          <w:p w14:paraId="29895281" w14:textId="77777777" w:rsidR="00000000" w:rsidRDefault="00C1661D">
            <w:pPr>
              <w:spacing w:after="100"/>
              <w:jc w:val="right"/>
              <w:rPr>
                <w:rFonts w:eastAsia="Times New Roman"/>
              </w:rPr>
            </w:pPr>
          </w:p>
        </w:tc>
      </w:tr>
      <w:tr w:rsidR="00000000" w14:paraId="4255B5B5" w14:textId="77777777">
        <w:trPr>
          <w:divId w:val="1346713626"/>
        </w:trPr>
        <w:tc>
          <w:tcPr>
            <w:tcW w:w="0" w:type="auto"/>
            <w:gridSpan w:val="3"/>
            <w:shd w:val="clear" w:color="auto" w:fill="FFFFFF"/>
            <w:tcMar>
              <w:top w:w="30" w:type="dxa"/>
              <w:left w:w="20" w:type="dxa"/>
              <w:bottom w:w="30" w:type="dxa"/>
              <w:right w:w="20" w:type="dxa"/>
            </w:tcMar>
            <w:vAlign w:val="bottom"/>
            <w:hideMark/>
          </w:tcPr>
          <w:p w14:paraId="68138E0E" w14:textId="77777777" w:rsidR="00000000" w:rsidRDefault="00C1661D">
            <w:pPr>
              <w:spacing w:after="100"/>
              <w:rPr>
                <w:rFonts w:eastAsia="Times New Roman"/>
              </w:rPr>
            </w:pPr>
            <w:r>
              <w:rPr>
                <w:rFonts w:eastAsia="Times New Roman"/>
                <w:color w:val="000000"/>
                <w:sz w:val="20"/>
                <w:szCs w:val="20"/>
              </w:rPr>
              <w:t>Gross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3D8D7F" w14:textId="77777777" w:rsidR="00000000" w:rsidRDefault="00C1661D">
            <w:pPr>
              <w:spacing w:after="100"/>
              <w:jc w:val="right"/>
              <w:rPr>
                <w:rFonts w:eastAsia="Times New Roman"/>
              </w:rPr>
            </w:pPr>
            <w:r>
              <w:rPr>
                <w:rFonts w:eastAsia="Times New Roman"/>
                <w:color w:val="000000"/>
                <w:sz w:val="20"/>
                <w:szCs w:val="20"/>
              </w:rPr>
              <w:t>(487)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6A15E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D6434A"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E02C99" w14:textId="77777777" w:rsidR="00000000" w:rsidRDefault="00C1661D">
            <w:pPr>
              <w:spacing w:after="100"/>
              <w:jc w:val="right"/>
              <w:rPr>
                <w:rFonts w:eastAsia="Times New Roman"/>
              </w:rPr>
            </w:pPr>
            <w:r>
              <w:rPr>
                <w:rFonts w:eastAsia="Times New Roman"/>
                <w:color w:val="000000"/>
                <w:sz w:val="20"/>
                <w:szCs w:val="20"/>
              </w:rPr>
              <w:t>(533)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1BC4B3" w14:textId="77777777" w:rsidR="00000000" w:rsidRDefault="00C1661D">
            <w:pPr>
              <w:spacing w:after="100"/>
              <w:jc w:val="right"/>
              <w:rPr>
                <w:rFonts w:eastAsia="Times New Roman"/>
              </w:rPr>
            </w:pPr>
          </w:p>
        </w:tc>
      </w:tr>
      <w:tr w:rsidR="00000000" w14:paraId="6BBBE547" w14:textId="77777777">
        <w:trPr>
          <w:divId w:val="1346713626"/>
        </w:trPr>
        <w:tc>
          <w:tcPr>
            <w:tcW w:w="0" w:type="auto"/>
            <w:gridSpan w:val="3"/>
            <w:shd w:val="clear" w:color="auto" w:fill="CCEEFF"/>
            <w:tcMar>
              <w:top w:w="30" w:type="dxa"/>
              <w:left w:w="20" w:type="dxa"/>
              <w:bottom w:w="30" w:type="dxa"/>
              <w:right w:w="20" w:type="dxa"/>
            </w:tcMar>
            <w:vAlign w:val="bottom"/>
            <w:hideMark/>
          </w:tcPr>
          <w:p w14:paraId="6D28C0CF" w14:textId="77777777" w:rsidR="00000000" w:rsidRDefault="00C1661D">
            <w:pPr>
              <w:spacing w:after="100"/>
              <w:rPr>
                <w:rFonts w:eastAsia="Times New Roman"/>
              </w:rPr>
            </w:pPr>
            <w:r>
              <w:rPr>
                <w:rFonts w:eastAsia="Times New Roman"/>
                <w:color w:val="000000"/>
                <w:sz w:val="20"/>
                <w:szCs w:val="20"/>
              </w:rPr>
              <w:t>Deferred tax assets valuation allowance</w:t>
            </w:r>
          </w:p>
        </w:tc>
        <w:tc>
          <w:tcPr>
            <w:tcW w:w="0" w:type="auto"/>
            <w:gridSpan w:val="2"/>
            <w:shd w:val="clear" w:color="auto" w:fill="CCEEFF"/>
            <w:tcMar>
              <w:top w:w="30" w:type="dxa"/>
              <w:left w:w="20" w:type="dxa"/>
              <w:bottom w:w="30" w:type="dxa"/>
              <w:right w:w="0" w:type="dxa"/>
            </w:tcMar>
            <w:vAlign w:val="bottom"/>
            <w:hideMark/>
          </w:tcPr>
          <w:p w14:paraId="4F79C028" w14:textId="77777777" w:rsidR="00000000" w:rsidRDefault="00C1661D">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14:paraId="0CCD9B3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8814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140A50" w14:textId="77777777" w:rsidR="00000000" w:rsidRDefault="00C1661D">
            <w:pPr>
              <w:spacing w:after="100"/>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bottom"/>
            <w:hideMark/>
          </w:tcPr>
          <w:p w14:paraId="3CDC5529" w14:textId="77777777" w:rsidR="00000000" w:rsidRDefault="00C1661D">
            <w:pPr>
              <w:spacing w:after="100"/>
              <w:jc w:val="right"/>
              <w:rPr>
                <w:rFonts w:eastAsia="Times New Roman"/>
              </w:rPr>
            </w:pPr>
          </w:p>
        </w:tc>
      </w:tr>
      <w:tr w:rsidR="00000000" w14:paraId="79550E64" w14:textId="77777777">
        <w:trPr>
          <w:divId w:val="1346713626"/>
        </w:trPr>
        <w:tc>
          <w:tcPr>
            <w:tcW w:w="0" w:type="auto"/>
            <w:gridSpan w:val="3"/>
            <w:shd w:val="clear" w:color="auto" w:fill="FFFFFF"/>
            <w:tcMar>
              <w:top w:w="30" w:type="dxa"/>
              <w:left w:w="20" w:type="dxa"/>
              <w:bottom w:w="30" w:type="dxa"/>
              <w:right w:w="20" w:type="dxa"/>
            </w:tcMar>
            <w:vAlign w:val="bottom"/>
            <w:hideMark/>
          </w:tcPr>
          <w:p w14:paraId="2257B767" w14:textId="77777777" w:rsidR="00000000" w:rsidRDefault="00C1661D">
            <w:pPr>
              <w:spacing w:after="100"/>
              <w:rPr>
                <w:rFonts w:eastAsia="Times New Roman"/>
              </w:rPr>
            </w:pPr>
            <w:r>
              <w:rPr>
                <w:rFonts w:eastAsia="Times New Roman"/>
                <w:color w:val="000000"/>
                <w:sz w:val="20"/>
                <w:szCs w:val="20"/>
              </w:rPr>
              <w:t>Net deferred tax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239F65"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A6A946" w14:textId="77777777" w:rsidR="00000000" w:rsidRDefault="00C1661D">
            <w:pPr>
              <w:spacing w:after="100"/>
              <w:jc w:val="right"/>
              <w:rPr>
                <w:rFonts w:eastAsia="Times New Roman"/>
              </w:rPr>
            </w:pPr>
            <w:r>
              <w:rPr>
                <w:rFonts w:eastAsia="Times New Roman"/>
                <w:color w:val="000000"/>
                <w:sz w:val="20"/>
                <w:szCs w:val="20"/>
              </w:rPr>
              <w:t>1,249 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BB8DC7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EF7D21"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A02D0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6EC8823" w14:textId="77777777" w:rsidR="00000000" w:rsidRDefault="00C1661D">
            <w:pPr>
              <w:spacing w:after="100"/>
              <w:jc w:val="right"/>
              <w:rPr>
                <w:rFonts w:eastAsia="Times New Roman"/>
              </w:rPr>
            </w:pPr>
            <w:r>
              <w:rPr>
                <w:rFonts w:eastAsia="Times New Roman"/>
                <w:color w:val="000000"/>
                <w:sz w:val="20"/>
                <w:szCs w:val="20"/>
              </w:rPr>
              <w:t>1,082 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2F86D9" w14:textId="77777777" w:rsidR="00000000" w:rsidRDefault="00C1661D">
            <w:pPr>
              <w:spacing w:after="100"/>
              <w:jc w:val="right"/>
              <w:rPr>
                <w:rFonts w:eastAsia="Times New Roman"/>
              </w:rPr>
            </w:pPr>
          </w:p>
        </w:tc>
      </w:tr>
    </w:tbl>
    <w:p w14:paraId="4F16112E" w14:textId="77777777" w:rsidR="00000000" w:rsidRDefault="00C1661D">
      <w:pPr>
        <w:jc w:val="both"/>
        <w:divId w:val="1577862730"/>
        <w:rPr>
          <w:rFonts w:eastAsia="Times New Roman"/>
        </w:rPr>
      </w:pPr>
      <w:r>
        <w:rPr>
          <w:rFonts w:eastAsia="Times New Roman"/>
          <w:color w:val="000000"/>
          <w:sz w:val="20"/>
          <w:szCs w:val="20"/>
        </w:rPr>
        <w:t>At September </w:t>
      </w:r>
      <w:r>
        <w:rPr>
          <w:rFonts w:eastAsia="Times New Roman"/>
          <w:color w:val="000000"/>
          <w:sz w:val="20"/>
          <w:szCs w:val="20"/>
        </w:rPr>
        <w:t>30, 2022, we carried foreign net operating loss carryforwards of $5 relating to Flaga, $30 at certain subsidiaries of UGI France, and $10 in the Netherlands with no expiration dates. We have state net operating loss carryforwards primarily relating to cert</w:t>
      </w:r>
      <w:r>
        <w:rPr>
          <w:rFonts w:eastAsia="Times New Roman"/>
          <w:color w:val="000000"/>
          <w:sz w:val="20"/>
          <w:szCs w:val="20"/>
        </w:rPr>
        <w:t xml:space="preserve">ain subsidiaries that approximate $787 and expire through 2042. We also have federal operating loss carryforwards of $16 for Mountaintop Energy Holdings, LLC and $6 for certain operations of AmeriGas Propane. At </w:t>
      </w:r>
    </w:p>
    <w:p w14:paraId="1C9DFF7C" w14:textId="77777777" w:rsidR="00000000" w:rsidRDefault="00C1661D">
      <w:pPr>
        <w:jc w:val="center"/>
        <w:divId w:val="480733012"/>
        <w:rPr>
          <w:rFonts w:eastAsia="Times New Roman"/>
        </w:rPr>
      </w:pPr>
      <w:r>
        <w:rPr>
          <w:rFonts w:eastAsia="Times New Roman"/>
          <w:color w:val="000000"/>
          <w:sz w:val="20"/>
          <w:szCs w:val="20"/>
        </w:rPr>
        <w:t>F-33</w:t>
      </w:r>
    </w:p>
    <w:p w14:paraId="745EEF7E" w14:textId="77777777" w:rsidR="00000000" w:rsidRDefault="00C1661D">
      <w:pPr>
        <w:rPr>
          <w:rFonts w:eastAsia="Times New Roman"/>
        </w:rPr>
      </w:pPr>
      <w:r>
        <w:rPr>
          <w:rFonts w:eastAsia="Times New Roman"/>
        </w:rPr>
        <w:pict w14:anchorId="56BA5092">
          <v:rect id="_x0000_i1146" style="width:0;height:1.5pt" o:hralign="center" o:hrstd="t" o:hr="t" fillcolor="#a0a0a0" stroked="f"/>
        </w:pict>
      </w:r>
    </w:p>
    <w:p w14:paraId="79169E7E" w14:textId="77777777" w:rsidR="00000000" w:rsidRDefault="00C1661D">
      <w:pPr>
        <w:divId w:val="2094665680"/>
        <w:rPr>
          <w:rFonts w:eastAsia="Times New Roman"/>
        </w:rPr>
      </w:pPr>
      <w:hyperlink w:anchor="i3850c3c6c0104e42b9951aac2f16098a_7" w:history="1">
        <w:r>
          <w:rPr>
            <w:rStyle w:val="a3"/>
            <w:rFonts w:eastAsia="Times New Roman"/>
            <w:sz w:val="20"/>
            <w:szCs w:val="20"/>
          </w:rPr>
          <w:t>Table of Contents</w:t>
        </w:r>
      </w:hyperlink>
    </w:p>
    <w:p w14:paraId="73CB535D" w14:textId="77777777" w:rsidR="00000000" w:rsidRDefault="00C1661D">
      <w:pPr>
        <w:divId w:val="584071088"/>
        <w:rPr>
          <w:rFonts w:eastAsia="Times New Roman"/>
        </w:rPr>
      </w:pPr>
      <w:r>
        <w:rPr>
          <w:rFonts w:eastAsia="Times New Roman"/>
          <w:b/>
          <w:bCs/>
          <w:color w:val="000000"/>
          <w:sz w:val="20"/>
          <w:szCs w:val="20"/>
        </w:rPr>
        <w:t>UGI Corporation and Subsidiaries</w:t>
      </w:r>
    </w:p>
    <w:p w14:paraId="5A49FFE9" w14:textId="77777777" w:rsidR="00000000" w:rsidRDefault="00C1661D">
      <w:pPr>
        <w:divId w:val="1792439109"/>
        <w:rPr>
          <w:rFonts w:eastAsia="Times New Roman"/>
        </w:rPr>
      </w:pPr>
      <w:r>
        <w:rPr>
          <w:rFonts w:eastAsia="Times New Roman"/>
          <w:b/>
          <w:bCs/>
          <w:color w:val="000000"/>
          <w:sz w:val="20"/>
          <w:szCs w:val="20"/>
        </w:rPr>
        <w:t>Notes to Consolidated Financial Statements</w:t>
      </w:r>
    </w:p>
    <w:p w14:paraId="63EB617D" w14:textId="77777777" w:rsidR="00000000" w:rsidRDefault="00C1661D">
      <w:pPr>
        <w:divId w:val="1279141179"/>
        <w:rPr>
          <w:rFonts w:eastAsia="Times New Roman"/>
        </w:rPr>
      </w:pPr>
      <w:r>
        <w:rPr>
          <w:rFonts w:eastAsia="Times New Roman"/>
          <w:color w:val="000000"/>
          <w:sz w:val="20"/>
          <w:szCs w:val="20"/>
        </w:rPr>
        <w:t>(Currency in millions, except per share amounts and where indicated otherwise)</w:t>
      </w:r>
    </w:p>
    <w:p w14:paraId="5807DC10" w14:textId="77777777" w:rsidR="00000000" w:rsidRDefault="00C1661D">
      <w:pPr>
        <w:jc w:val="both"/>
        <w:divId w:val="701051447"/>
        <w:rPr>
          <w:rFonts w:eastAsia="Times New Roman"/>
        </w:rPr>
      </w:pPr>
      <w:r>
        <w:rPr>
          <w:rFonts w:eastAsia="Times New Roman"/>
          <w:color w:val="000000"/>
          <w:sz w:val="20"/>
          <w:szCs w:val="20"/>
        </w:rPr>
        <w:t xml:space="preserve">September 30, 2022, deferred tax assets relating to operating loss carryforwards amounted to $48 related to various UGI subsidiaries. </w:t>
      </w:r>
    </w:p>
    <w:p w14:paraId="409241FB" w14:textId="77777777" w:rsidR="00000000" w:rsidRDefault="00C1661D">
      <w:pPr>
        <w:jc w:val="both"/>
        <w:rPr>
          <w:rFonts w:eastAsia="Times New Roman"/>
        </w:rPr>
      </w:pPr>
    </w:p>
    <w:p w14:paraId="45FA10CD" w14:textId="77777777" w:rsidR="00000000" w:rsidRDefault="00C1661D">
      <w:pPr>
        <w:jc w:val="both"/>
        <w:rPr>
          <w:rFonts w:eastAsia="Times New Roman"/>
        </w:rPr>
      </w:pPr>
      <w:r>
        <w:rPr>
          <w:rFonts w:eastAsia="Times New Roman"/>
          <w:color w:val="000000"/>
          <w:sz w:val="20"/>
          <w:szCs w:val="20"/>
        </w:rPr>
        <w:t>Valuation allowances against deferred ta</w:t>
      </w:r>
      <w:r>
        <w:rPr>
          <w:rFonts w:eastAsia="Times New Roman"/>
          <w:color w:val="000000"/>
          <w:sz w:val="20"/>
          <w:szCs w:val="20"/>
        </w:rPr>
        <w:t>x assets exist for foreign tax credit carryforwards, net operating loss carryforwards of foreign subsidiaries, capital loss carryforwards and a notional interest deduction. The valuation allowance for all deferred tax assets increased by $3 in Fiscal 2022,</w:t>
      </w:r>
      <w:r>
        <w:rPr>
          <w:rFonts w:eastAsia="Times New Roman"/>
          <w:color w:val="000000"/>
          <w:sz w:val="20"/>
          <w:szCs w:val="20"/>
        </w:rPr>
        <w:t xml:space="preserve"> which included a $17 increase in a notional interest deduction carryover, a $4 decrease from state tax rate changes, offset by a release of $6 against FTCs, that will be realizable in the future and a $4 decrease related to foreign net operating loss carr</w:t>
      </w:r>
      <w:r>
        <w:rPr>
          <w:rFonts w:eastAsia="Times New Roman"/>
          <w:color w:val="000000"/>
          <w:sz w:val="20"/>
          <w:szCs w:val="20"/>
        </w:rPr>
        <w:t>y forwards.</w:t>
      </w:r>
    </w:p>
    <w:p w14:paraId="2563616A" w14:textId="77777777" w:rsidR="00000000" w:rsidRDefault="00C1661D">
      <w:pPr>
        <w:jc w:val="both"/>
        <w:rPr>
          <w:rFonts w:eastAsia="Times New Roman"/>
        </w:rPr>
      </w:pPr>
    </w:p>
    <w:p w14:paraId="709CEA49" w14:textId="77777777" w:rsidR="00000000" w:rsidRDefault="00C1661D">
      <w:pPr>
        <w:jc w:val="both"/>
        <w:rPr>
          <w:rFonts w:eastAsia="Times New Roman"/>
        </w:rPr>
      </w:pPr>
      <w:r>
        <w:rPr>
          <w:rFonts w:eastAsia="Times New Roman"/>
          <w:color w:val="000000"/>
          <w:sz w:val="20"/>
          <w:szCs w:val="20"/>
        </w:rPr>
        <w:t xml:space="preserve">The valuation allowance for all deferred tax assets increased by $33 in Fiscal 2021, which included a $30 increase related to future capital losses from the PennEast and Hudson investments, and a $10 increase in a notional interest deduction </w:t>
      </w:r>
      <w:r>
        <w:rPr>
          <w:rFonts w:eastAsia="Times New Roman"/>
          <w:color w:val="000000"/>
          <w:sz w:val="20"/>
          <w:szCs w:val="20"/>
        </w:rPr>
        <w:t>carryover, partially offset by the release of $10 against FTCs.</w:t>
      </w:r>
    </w:p>
    <w:p w14:paraId="4ED4D6FF" w14:textId="77777777" w:rsidR="00000000" w:rsidRDefault="00C1661D">
      <w:pPr>
        <w:jc w:val="both"/>
        <w:divId w:val="208349603"/>
        <w:rPr>
          <w:rFonts w:eastAsia="Times New Roman"/>
        </w:rPr>
      </w:pPr>
      <w:r>
        <w:rPr>
          <w:rFonts w:eastAsia="Times New Roman"/>
          <w:color w:val="000000"/>
          <w:sz w:val="20"/>
          <w:szCs w:val="20"/>
        </w:rPr>
        <w:t>We conduct business and file tax returns in the U.S., numerous states, local jurisdictions and in France and certain other European countries. Our U.S. federal income tax returns are settled t</w:t>
      </w:r>
      <w:r>
        <w:rPr>
          <w:rFonts w:eastAsia="Times New Roman"/>
          <w:color w:val="000000"/>
          <w:sz w:val="20"/>
          <w:szCs w:val="20"/>
        </w:rPr>
        <w:t>hrough the 2018 tax year, our French tax returns are settled through the 2018 tax year, our Austrian tax returns are settled through 2017 and our other European tax returns are effectively settled for various years from 2014 to 2019. State and other income</w:t>
      </w:r>
      <w:r>
        <w:rPr>
          <w:rFonts w:eastAsia="Times New Roman"/>
          <w:color w:val="000000"/>
          <w:sz w:val="20"/>
          <w:szCs w:val="20"/>
        </w:rPr>
        <w:t xml:space="preserve"> tax returns in the U.S. are generally subject to examination for a period of three to five years after the filing of the respective returns. </w:t>
      </w:r>
    </w:p>
    <w:p w14:paraId="5648E4CE" w14:textId="77777777" w:rsidR="00000000" w:rsidRDefault="00C1661D">
      <w:pPr>
        <w:jc w:val="both"/>
        <w:divId w:val="1700810277"/>
        <w:rPr>
          <w:rFonts w:eastAsia="Times New Roman"/>
        </w:rPr>
      </w:pPr>
      <w:r>
        <w:rPr>
          <w:rFonts w:eastAsia="Times New Roman"/>
          <w:color w:val="000000"/>
          <w:sz w:val="20"/>
          <w:szCs w:val="20"/>
        </w:rPr>
        <w:t>The Company’s unrecognized tax benefits including amounts related to accrued interest, which if subsequently reco</w:t>
      </w:r>
      <w:r>
        <w:rPr>
          <w:rFonts w:eastAsia="Times New Roman"/>
          <w:color w:val="000000"/>
          <w:sz w:val="20"/>
          <w:szCs w:val="20"/>
        </w:rPr>
        <w:t xml:space="preserve">gnized would be recorded as a benefit to income taxes, amounted to $4, $4, and $4 at September 30, 2022, 2021 and 2020, respectively. Activity related to these unrecognized tax benefits was not material for all periods presented. </w:t>
      </w:r>
    </w:p>
    <w:tbl>
      <w:tblPr>
        <w:tblW w:w="4992" w:type="pct"/>
        <w:tblCellMar>
          <w:top w:w="15" w:type="dxa"/>
          <w:left w:w="15" w:type="dxa"/>
          <w:bottom w:w="15" w:type="dxa"/>
          <w:right w:w="15" w:type="dxa"/>
        </w:tblCellMar>
        <w:tblLook w:val="04A0" w:firstRow="1" w:lastRow="0" w:firstColumn="1" w:lastColumn="0" w:noHBand="0" w:noVBand="1"/>
      </w:tblPr>
      <w:tblGrid>
        <w:gridCol w:w="61"/>
        <w:gridCol w:w="4892"/>
        <w:gridCol w:w="36"/>
        <w:gridCol w:w="61"/>
        <w:gridCol w:w="942"/>
        <w:gridCol w:w="36"/>
        <w:gridCol w:w="36"/>
        <w:gridCol w:w="36"/>
        <w:gridCol w:w="36"/>
        <w:gridCol w:w="46"/>
        <w:gridCol w:w="942"/>
        <w:gridCol w:w="36"/>
        <w:gridCol w:w="36"/>
        <w:gridCol w:w="36"/>
        <w:gridCol w:w="36"/>
        <w:gridCol w:w="46"/>
        <w:gridCol w:w="943"/>
        <w:gridCol w:w="36"/>
      </w:tblGrid>
      <w:tr w:rsidR="00000000" w14:paraId="5B2A4B91" w14:textId="77777777">
        <w:trPr>
          <w:divId w:val="1941208906"/>
        </w:trPr>
        <w:tc>
          <w:tcPr>
            <w:tcW w:w="50" w:type="pct"/>
            <w:vAlign w:val="center"/>
            <w:hideMark/>
          </w:tcPr>
          <w:p w14:paraId="457E8974" w14:textId="77777777" w:rsidR="00000000" w:rsidRDefault="00C1661D">
            <w:pPr>
              <w:jc w:val="both"/>
              <w:rPr>
                <w:rFonts w:eastAsia="Times New Roman"/>
              </w:rPr>
            </w:pPr>
          </w:p>
        </w:tc>
        <w:tc>
          <w:tcPr>
            <w:tcW w:w="2961" w:type="pct"/>
            <w:vAlign w:val="center"/>
            <w:hideMark/>
          </w:tcPr>
          <w:p w14:paraId="226C0015" w14:textId="77777777" w:rsidR="00000000" w:rsidRDefault="00C1661D">
            <w:pPr>
              <w:spacing w:after="100"/>
              <w:rPr>
                <w:rFonts w:eastAsia="Times New Roman"/>
                <w:sz w:val="20"/>
                <w:szCs w:val="20"/>
              </w:rPr>
            </w:pPr>
          </w:p>
        </w:tc>
        <w:tc>
          <w:tcPr>
            <w:tcW w:w="5" w:type="pct"/>
            <w:vAlign w:val="center"/>
            <w:hideMark/>
          </w:tcPr>
          <w:p w14:paraId="244BF069" w14:textId="77777777" w:rsidR="00000000" w:rsidRDefault="00C1661D">
            <w:pPr>
              <w:spacing w:after="100"/>
              <w:rPr>
                <w:rFonts w:eastAsia="Times New Roman"/>
                <w:sz w:val="20"/>
                <w:szCs w:val="20"/>
              </w:rPr>
            </w:pPr>
          </w:p>
        </w:tc>
        <w:tc>
          <w:tcPr>
            <w:tcW w:w="50" w:type="pct"/>
            <w:vAlign w:val="center"/>
            <w:hideMark/>
          </w:tcPr>
          <w:p w14:paraId="1052AA43" w14:textId="77777777" w:rsidR="00000000" w:rsidRDefault="00C1661D">
            <w:pPr>
              <w:spacing w:after="100"/>
              <w:rPr>
                <w:rFonts w:eastAsia="Times New Roman"/>
                <w:sz w:val="20"/>
                <w:szCs w:val="20"/>
              </w:rPr>
            </w:pPr>
          </w:p>
        </w:tc>
        <w:tc>
          <w:tcPr>
            <w:tcW w:w="581" w:type="pct"/>
            <w:vAlign w:val="center"/>
            <w:hideMark/>
          </w:tcPr>
          <w:p w14:paraId="4E5A9612" w14:textId="77777777" w:rsidR="00000000" w:rsidRDefault="00C1661D">
            <w:pPr>
              <w:spacing w:after="100"/>
              <w:rPr>
                <w:rFonts w:eastAsia="Times New Roman"/>
                <w:sz w:val="20"/>
                <w:szCs w:val="20"/>
              </w:rPr>
            </w:pPr>
          </w:p>
        </w:tc>
        <w:tc>
          <w:tcPr>
            <w:tcW w:w="5" w:type="pct"/>
            <w:vAlign w:val="center"/>
            <w:hideMark/>
          </w:tcPr>
          <w:p w14:paraId="043C0031" w14:textId="77777777" w:rsidR="00000000" w:rsidRDefault="00C1661D">
            <w:pPr>
              <w:spacing w:after="100"/>
              <w:rPr>
                <w:rFonts w:eastAsia="Times New Roman"/>
                <w:sz w:val="20"/>
                <w:szCs w:val="20"/>
              </w:rPr>
            </w:pPr>
          </w:p>
        </w:tc>
        <w:tc>
          <w:tcPr>
            <w:tcW w:w="5" w:type="pct"/>
            <w:vAlign w:val="center"/>
            <w:hideMark/>
          </w:tcPr>
          <w:p w14:paraId="0CE00E80" w14:textId="77777777" w:rsidR="00000000" w:rsidRDefault="00C1661D">
            <w:pPr>
              <w:spacing w:after="100"/>
              <w:rPr>
                <w:rFonts w:eastAsia="Times New Roman"/>
                <w:sz w:val="20"/>
                <w:szCs w:val="20"/>
              </w:rPr>
            </w:pPr>
          </w:p>
        </w:tc>
        <w:tc>
          <w:tcPr>
            <w:tcW w:w="26" w:type="pct"/>
            <w:vAlign w:val="center"/>
            <w:hideMark/>
          </w:tcPr>
          <w:p w14:paraId="0A990EE8" w14:textId="77777777" w:rsidR="00000000" w:rsidRDefault="00C1661D">
            <w:pPr>
              <w:spacing w:after="100"/>
              <w:rPr>
                <w:rFonts w:eastAsia="Times New Roman"/>
                <w:sz w:val="20"/>
                <w:szCs w:val="20"/>
              </w:rPr>
            </w:pPr>
          </w:p>
        </w:tc>
        <w:tc>
          <w:tcPr>
            <w:tcW w:w="5" w:type="pct"/>
            <w:vAlign w:val="center"/>
            <w:hideMark/>
          </w:tcPr>
          <w:p w14:paraId="2CDD9BEC" w14:textId="77777777" w:rsidR="00000000" w:rsidRDefault="00C1661D">
            <w:pPr>
              <w:spacing w:after="100"/>
              <w:rPr>
                <w:rFonts w:eastAsia="Times New Roman"/>
                <w:sz w:val="20"/>
                <w:szCs w:val="20"/>
              </w:rPr>
            </w:pPr>
          </w:p>
        </w:tc>
        <w:tc>
          <w:tcPr>
            <w:tcW w:w="50" w:type="pct"/>
            <w:vAlign w:val="center"/>
            <w:hideMark/>
          </w:tcPr>
          <w:p w14:paraId="4CB364B5" w14:textId="77777777" w:rsidR="00000000" w:rsidRDefault="00C1661D">
            <w:pPr>
              <w:spacing w:after="100"/>
              <w:rPr>
                <w:rFonts w:eastAsia="Times New Roman"/>
                <w:sz w:val="20"/>
                <w:szCs w:val="20"/>
              </w:rPr>
            </w:pPr>
          </w:p>
        </w:tc>
        <w:tc>
          <w:tcPr>
            <w:tcW w:w="581" w:type="pct"/>
            <w:vAlign w:val="center"/>
            <w:hideMark/>
          </w:tcPr>
          <w:p w14:paraId="192B4188" w14:textId="77777777" w:rsidR="00000000" w:rsidRDefault="00C1661D">
            <w:pPr>
              <w:spacing w:after="100"/>
              <w:rPr>
                <w:rFonts w:eastAsia="Times New Roman"/>
                <w:sz w:val="20"/>
                <w:szCs w:val="20"/>
              </w:rPr>
            </w:pPr>
          </w:p>
        </w:tc>
        <w:tc>
          <w:tcPr>
            <w:tcW w:w="5" w:type="pct"/>
            <w:vAlign w:val="center"/>
            <w:hideMark/>
          </w:tcPr>
          <w:p w14:paraId="2B7DC6B7" w14:textId="77777777" w:rsidR="00000000" w:rsidRDefault="00C1661D">
            <w:pPr>
              <w:spacing w:after="100"/>
              <w:rPr>
                <w:rFonts w:eastAsia="Times New Roman"/>
                <w:sz w:val="20"/>
                <w:szCs w:val="20"/>
              </w:rPr>
            </w:pPr>
          </w:p>
        </w:tc>
        <w:tc>
          <w:tcPr>
            <w:tcW w:w="5" w:type="pct"/>
            <w:vAlign w:val="center"/>
            <w:hideMark/>
          </w:tcPr>
          <w:p w14:paraId="133D18D3" w14:textId="77777777" w:rsidR="00000000" w:rsidRDefault="00C1661D">
            <w:pPr>
              <w:spacing w:after="100"/>
              <w:rPr>
                <w:rFonts w:eastAsia="Times New Roman"/>
                <w:sz w:val="20"/>
                <w:szCs w:val="20"/>
              </w:rPr>
            </w:pPr>
          </w:p>
        </w:tc>
        <w:tc>
          <w:tcPr>
            <w:tcW w:w="26" w:type="pct"/>
            <w:vAlign w:val="center"/>
            <w:hideMark/>
          </w:tcPr>
          <w:p w14:paraId="29EE0EED" w14:textId="77777777" w:rsidR="00000000" w:rsidRDefault="00C1661D">
            <w:pPr>
              <w:spacing w:after="100"/>
              <w:rPr>
                <w:rFonts w:eastAsia="Times New Roman"/>
                <w:sz w:val="20"/>
                <w:szCs w:val="20"/>
              </w:rPr>
            </w:pPr>
          </w:p>
        </w:tc>
        <w:tc>
          <w:tcPr>
            <w:tcW w:w="5" w:type="pct"/>
            <w:vAlign w:val="center"/>
            <w:hideMark/>
          </w:tcPr>
          <w:p w14:paraId="2CBF5D63" w14:textId="77777777" w:rsidR="00000000" w:rsidRDefault="00C1661D">
            <w:pPr>
              <w:spacing w:after="100"/>
              <w:rPr>
                <w:rFonts w:eastAsia="Times New Roman"/>
                <w:sz w:val="20"/>
                <w:szCs w:val="20"/>
              </w:rPr>
            </w:pPr>
          </w:p>
        </w:tc>
        <w:tc>
          <w:tcPr>
            <w:tcW w:w="50" w:type="pct"/>
            <w:vAlign w:val="center"/>
            <w:hideMark/>
          </w:tcPr>
          <w:p w14:paraId="446E56C9" w14:textId="77777777" w:rsidR="00000000" w:rsidRDefault="00C1661D">
            <w:pPr>
              <w:spacing w:after="100"/>
              <w:rPr>
                <w:rFonts w:eastAsia="Times New Roman"/>
                <w:sz w:val="20"/>
                <w:szCs w:val="20"/>
              </w:rPr>
            </w:pPr>
          </w:p>
        </w:tc>
        <w:tc>
          <w:tcPr>
            <w:tcW w:w="582" w:type="pct"/>
            <w:vAlign w:val="center"/>
            <w:hideMark/>
          </w:tcPr>
          <w:p w14:paraId="58044338" w14:textId="77777777" w:rsidR="00000000" w:rsidRDefault="00C1661D">
            <w:pPr>
              <w:spacing w:after="100"/>
              <w:rPr>
                <w:rFonts w:eastAsia="Times New Roman"/>
                <w:sz w:val="20"/>
                <w:szCs w:val="20"/>
              </w:rPr>
            </w:pPr>
          </w:p>
        </w:tc>
        <w:tc>
          <w:tcPr>
            <w:tcW w:w="5" w:type="pct"/>
            <w:vAlign w:val="center"/>
            <w:hideMark/>
          </w:tcPr>
          <w:p w14:paraId="3693B241" w14:textId="77777777" w:rsidR="00000000" w:rsidRDefault="00C1661D">
            <w:pPr>
              <w:spacing w:after="100"/>
              <w:rPr>
                <w:rFonts w:eastAsia="Times New Roman"/>
                <w:sz w:val="20"/>
                <w:szCs w:val="20"/>
              </w:rPr>
            </w:pPr>
          </w:p>
        </w:tc>
      </w:tr>
      <w:tr w:rsidR="00000000" w14:paraId="3A7A77A4" w14:textId="77777777">
        <w:trPr>
          <w:divId w:val="1941208906"/>
          <w:trHeight w:val="60"/>
        </w:trPr>
        <w:tc>
          <w:tcPr>
            <w:tcW w:w="0" w:type="auto"/>
            <w:gridSpan w:val="3"/>
            <w:tcMar>
              <w:top w:w="0" w:type="dxa"/>
              <w:left w:w="20" w:type="dxa"/>
              <w:bottom w:w="0" w:type="dxa"/>
              <w:right w:w="20" w:type="dxa"/>
            </w:tcMar>
            <w:vAlign w:val="center"/>
            <w:hideMark/>
          </w:tcPr>
          <w:p w14:paraId="00A1DF5C"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026C31"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FD6E3E"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7B08AE"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08D1FA"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6C4AB3" w14:textId="77777777" w:rsidR="00000000" w:rsidRDefault="00C1661D">
            <w:pPr>
              <w:spacing w:after="100"/>
              <w:rPr>
                <w:rFonts w:eastAsia="Times New Roman"/>
                <w:sz w:val="20"/>
                <w:szCs w:val="20"/>
              </w:rPr>
            </w:pPr>
          </w:p>
        </w:tc>
      </w:tr>
      <w:tr w:rsidR="00000000" w14:paraId="10190175" w14:textId="77777777">
        <w:trPr>
          <w:divId w:val="1941208906"/>
        </w:trPr>
        <w:tc>
          <w:tcPr>
            <w:tcW w:w="0" w:type="auto"/>
            <w:gridSpan w:val="3"/>
            <w:vAlign w:val="center"/>
            <w:hideMark/>
          </w:tcPr>
          <w:p w14:paraId="074C946A" w14:textId="77777777" w:rsidR="00000000" w:rsidRDefault="00C1661D">
            <w:pPr>
              <w:spacing w:after="100"/>
              <w:rPr>
                <w:rFonts w:eastAsia="Times New Roman"/>
                <w:sz w:val="20"/>
                <w:szCs w:val="20"/>
              </w:rPr>
            </w:pPr>
          </w:p>
        </w:tc>
        <w:tc>
          <w:tcPr>
            <w:tcW w:w="0" w:type="auto"/>
            <w:gridSpan w:val="3"/>
            <w:vAlign w:val="center"/>
            <w:hideMark/>
          </w:tcPr>
          <w:p w14:paraId="1FE66513" w14:textId="77777777" w:rsidR="00000000" w:rsidRDefault="00C1661D">
            <w:pPr>
              <w:spacing w:after="100"/>
              <w:rPr>
                <w:rFonts w:eastAsia="Times New Roman"/>
                <w:sz w:val="20"/>
                <w:szCs w:val="20"/>
              </w:rPr>
            </w:pPr>
          </w:p>
        </w:tc>
        <w:tc>
          <w:tcPr>
            <w:tcW w:w="0" w:type="auto"/>
            <w:gridSpan w:val="3"/>
            <w:vAlign w:val="center"/>
            <w:hideMark/>
          </w:tcPr>
          <w:p w14:paraId="64C05714" w14:textId="77777777" w:rsidR="00000000" w:rsidRDefault="00C1661D">
            <w:pPr>
              <w:spacing w:after="100"/>
              <w:rPr>
                <w:rFonts w:eastAsia="Times New Roman"/>
                <w:sz w:val="20"/>
                <w:szCs w:val="20"/>
              </w:rPr>
            </w:pPr>
          </w:p>
        </w:tc>
        <w:tc>
          <w:tcPr>
            <w:tcW w:w="0" w:type="auto"/>
            <w:gridSpan w:val="3"/>
            <w:vAlign w:val="center"/>
            <w:hideMark/>
          </w:tcPr>
          <w:p w14:paraId="41D9778D" w14:textId="77777777" w:rsidR="00000000" w:rsidRDefault="00C1661D">
            <w:pPr>
              <w:spacing w:after="100"/>
              <w:rPr>
                <w:rFonts w:eastAsia="Times New Roman"/>
                <w:sz w:val="20"/>
                <w:szCs w:val="20"/>
              </w:rPr>
            </w:pPr>
          </w:p>
        </w:tc>
        <w:tc>
          <w:tcPr>
            <w:tcW w:w="0" w:type="auto"/>
            <w:gridSpan w:val="3"/>
            <w:vAlign w:val="center"/>
            <w:hideMark/>
          </w:tcPr>
          <w:p w14:paraId="4ECC3B88" w14:textId="77777777" w:rsidR="00000000" w:rsidRDefault="00C1661D">
            <w:pPr>
              <w:spacing w:after="100"/>
              <w:rPr>
                <w:rFonts w:eastAsia="Times New Roman"/>
                <w:sz w:val="20"/>
                <w:szCs w:val="20"/>
              </w:rPr>
            </w:pPr>
          </w:p>
        </w:tc>
        <w:tc>
          <w:tcPr>
            <w:tcW w:w="0" w:type="auto"/>
            <w:gridSpan w:val="3"/>
            <w:vAlign w:val="center"/>
            <w:hideMark/>
          </w:tcPr>
          <w:p w14:paraId="0C14AC0C" w14:textId="77777777" w:rsidR="00000000" w:rsidRDefault="00C1661D">
            <w:pPr>
              <w:spacing w:after="100"/>
              <w:rPr>
                <w:rFonts w:eastAsia="Times New Roman"/>
                <w:sz w:val="20"/>
                <w:szCs w:val="20"/>
              </w:rPr>
            </w:pPr>
          </w:p>
        </w:tc>
      </w:tr>
      <w:tr w:rsidR="00000000" w14:paraId="104B8932" w14:textId="77777777">
        <w:trPr>
          <w:divId w:val="1941208906"/>
        </w:trPr>
        <w:tc>
          <w:tcPr>
            <w:tcW w:w="0" w:type="auto"/>
            <w:gridSpan w:val="3"/>
            <w:vAlign w:val="center"/>
            <w:hideMark/>
          </w:tcPr>
          <w:p w14:paraId="2A59A8B7" w14:textId="77777777" w:rsidR="00000000" w:rsidRDefault="00C1661D">
            <w:pPr>
              <w:spacing w:after="100"/>
              <w:rPr>
                <w:rFonts w:eastAsia="Times New Roman"/>
                <w:sz w:val="20"/>
                <w:szCs w:val="20"/>
              </w:rPr>
            </w:pPr>
          </w:p>
        </w:tc>
        <w:tc>
          <w:tcPr>
            <w:tcW w:w="0" w:type="auto"/>
            <w:gridSpan w:val="3"/>
            <w:vAlign w:val="center"/>
            <w:hideMark/>
          </w:tcPr>
          <w:p w14:paraId="4CAA4BB2" w14:textId="77777777" w:rsidR="00000000" w:rsidRDefault="00C1661D">
            <w:pPr>
              <w:spacing w:after="100"/>
              <w:rPr>
                <w:rFonts w:eastAsia="Times New Roman"/>
                <w:sz w:val="20"/>
                <w:szCs w:val="20"/>
              </w:rPr>
            </w:pPr>
          </w:p>
        </w:tc>
        <w:tc>
          <w:tcPr>
            <w:tcW w:w="0" w:type="auto"/>
            <w:gridSpan w:val="3"/>
            <w:vAlign w:val="center"/>
            <w:hideMark/>
          </w:tcPr>
          <w:p w14:paraId="3C26D5FD" w14:textId="77777777" w:rsidR="00000000" w:rsidRDefault="00C1661D">
            <w:pPr>
              <w:spacing w:after="100"/>
              <w:rPr>
                <w:rFonts w:eastAsia="Times New Roman"/>
                <w:sz w:val="20"/>
                <w:szCs w:val="20"/>
              </w:rPr>
            </w:pPr>
          </w:p>
        </w:tc>
        <w:tc>
          <w:tcPr>
            <w:tcW w:w="0" w:type="auto"/>
            <w:gridSpan w:val="3"/>
            <w:vAlign w:val="center"/>
            <w:hideMark/>
          </w:tcPr>
          <w:p w14:paraId="38EC1B16" w14:textId="77777777" w:rsidR="00000000" w:rsidRDefault="00C1661D">
            <w:pPr>
              <w:spacing w:after="100"/>
              <w:rPr>
                <w:rFonts w:eastAsia="Times New Roman"/>
                <w:sz w:val="20"/>
                <w:szCs w:val="20"/>
              </w:rPr>
            </w:pPr>
          </w:p>
        </w:tc>
        <w:tc>
          <w:tcPr>
            <w:tcW w:w="0" w:type="auto"/>
            <w:gridSpan w:val="3"/>
            <w:vAlign w:val="center"/>
            <w:hideMark/>
          </w:tcPr>
          <w:p w14:paraId="54D7DC1B" w14:textId="77777777" w:rsidR="00000000" w:rsidRDefault="00C1661D">
            <w:pPr>
              <w:spacing w:after="100"/>
              <w:rPr>
                <w:rFonts w:eastAsia="Times New Roman"/>
                <w:sz w:val="20"/>
                <w:szCs w:val="20"/>
              </w:rPr>
            </w:pPr>
          </w:p>
        </w:tc>
        <w:tc>
          <w:tcPr>
            <w:tcW w:w="0" w:type="auto"/>
            <w:gridSpan w:val="3"/>
            <w:vAlign w:val="center"/>
            <w:hideMark/>
          </w:tcPr>
          <w:p w14:paraId="7823CBBA" w14:textId="77777777" w:rsidR="00000000" w:rsidRDefault="00C1661D">
            <w:pPr>
              <w:spacing w:after="100"/>
              <w:rPr>
                <w:rFonts w:eastAsia="Times New Roman"/>
                <w:sz w:val="20"/>
                <w:szCs w:val="20"/>
              </w:rPr>
            </w:pPr>
          </w:p>
        </w:tc>
      </w:tr>
      <w:tr w:rsidR="00000000" w14:paraId="289583F3" w14:textId="77777777">
        <w:trPr>
          <w:divId w:val="1941208906"/>
        </w:trPr>
        <w:tc>
          <w:tcPr>
            <w:tcW w:w="0" w:type="auto"/>
            <w:gridSpan w:val="3"/>
            <w:vAlign w:val="center"/>
            <w:hideMark/>
          </w:tcPr>
          <w:p w14:paraId="3CDB08EC" w14:textId="77777777" w:rsidR="00000000" w:rsidRDefault="00C1661D">
            <w:pPr>
              <w:spacing w:after="100"/>
              <w:rPr>
                <w:rFonts w:eastAsia="Times New Roman"/>
                <w:sz w:val="20"/>
                <w:szCs w:val="20"/>
              </w:rPr>
            </w:pPr>
          </w:p>
        </w:tc>
        <w:tc>
          <w:tcPr>
            <w:tcW w:w="0" w:type="auto"/>
            <w:gridSpan w:val="3"/>
            <w:vAlign w:val="center"/>
            <w:hideMark/>
          </w:tcPr>
          <w:p w14:paraId="39F223B2" w14:textId="77777777" w:rsidR="00000000" w:rsidRDefault="00C1661D">
            <w:pPr>
              <w:spacing w:after="100"/>
              <w:rPr>
                <w:rFonts w:eastAsia="Times New Roman"/>
                <w:sz w:val="20"/>
                <w:szCs w:val="20"/>
              </w:rPr>
            </w:pPr>
          </w:p>
        </w:tc>
        <w:tc>
          <w:tcPr>
            <w:tcW w:w="0" w:type="auto"/>
            <w:gridSpan w:val="3"/>
            <w:vAlign w:val="center"/>
            <w:hideMark/>
          </w:tcPr>
          <w:p w14:paraId="195034F7" w14:textId="77777777" w:rsidR="00000000" w:rsidRDefault="00C1661D">
            <w:pPr>
              <w:spacing w:after="100"/>
              <w:rPr>
                <w:rFonts w:eastAsia="Times New Roman"/>
                <w:sz w:val="20"/>
                <w:szCs w:val="20"/>
              </w:rPr>
            </w:pPr>
          </w:p>
        </w:tc>
        <w:tc>
          <w:tcPr>
            <w:tcW w:w="0" w:type="auto"/>
            <w:gridSpan w:val="3"/>
            <w:vAlign w:val="center"/>
            <w:hideMark/>
          </w:tcPr>
          <w:p w14:paraId="350C9E47" w14:textId="77777777" w:rsidR="00000000" w:rsidRDefault="00C1661D">
            <w:pPr>
              <w:spacing w:after="100"/>
              <w:rPr>
                <w:rFonts w:eastAsia="Times New Roman"/>
                <w:sz w:val="20"/>
                <w:szCs w:val="20"/>
              </w:rPr>
            </w:pPr>
          </w:p>
        </w:tc>
        <w:tc>
          <w:tcPr>
            <w:tcW w:w="0" w:type="auto"/>
            <w:gridSpan w:val="3"/>
            <w:vAlign w:val="center"/>
            <w:hideMark/>
          </w:tcPr>
          <w:p w14:paraId="4020ECA0" w14:textId="77777777" w:rsidR="00000000" w:rsidRDefault="00C1661D">
            <w:pPr>
              <w:spacing w:after="100"/>
              <w:rPr>
                <w:rFonts w:eastAsia="Times New Roman"/>
                <w:sz w:val="20"/>
                <w:szCs w:val="20"/>
              </w:rPr>
            </w:pPr>
          </w:p>
        </w:tc>
        <w:tc>
          <w:tcPr>
            <w:tcW w:w="0" w:type="auto"/>
            <w:gridSpan w:val="3"/>
            <w:vAlign w:val="center"/>
            <w:hideMark/>
          </w:tcPr>
          <w:p w14:paraId="4A228001" w14:textId="77777777" w:rsidR="00000000" w:rsidRDefault="00C1661D">
            <w:pPr>
              <w:spacing w:after="100"/>
              <w:rPr>
                <w:rFonts w:eastAsia="Times New Roman"/>
                <w:sz w:val="20"/>
                <w:szCs w:val="20"/>
              </w:rPr>
            </w:pPr>
          </w:p>
        </w:tc>
      </w:tr>
      <w:tr w:rsidR="00000000" w14:paraId="67D383D3" w14:textId="77777777">
        <w:trPr>
          <w:divId w:val="1941208906"/>
        </w:trPr>
        <w:tc>
          <w:tcPr>
            <w:tcW w:w="0" w:type="auto"/>
            <w:gridSpan w:val="3"/>
            <w:vAlign w:val="center"/>
            <w:hideMark/>
          </w:tcPr>
          <w:p w14:paraId="0AF3D61A" w14:textId="77777777" w:rsidR="00000000" w:rsidRDefault="00C1661D">
            <w:pPr>
              <w:spacing w:after="100"/>
              <w:rPr>
                <w:rFonts w:eastAsia="Times New Roman"/>
                <w:sz w:val="20"/>
                <w:szCs w:val="20"/>
              </w:rPr>
            </w:pPr>
          </w:p>
        </w:tc>
        <w:tc>
          <w:tcPr>
            <w:tcW w:w="0" w:type="auto"/>
            <w:gridSpan w:val="3"/>
            <w:vAlign w:val="center"/>
            <w:hideMark/>
          </w:tcPr>
          <w:p w14:paraId="4769483C" w14:textId="77777777" w:rsidR="00000000" w:rsidRDefault="00C1661D">
            <w:pPr>
              <w:spacing w:after="100"/>
              <w:rPr>
                <w:rFonts w:eastAsia="Times New Roman"/>
                <w:sz w:val="20"/>
                <w:szCs w:val="20"/>
              </w:rPr>
            </w:pPr>
          </w:p>
        </w:tc>
        <w:tc>
          <w:tcPr>
            <w:tcW w:w="0" w:type="auto"/>
            <w:gridSpan w:val="3"/>
            <w:vAlign w:val="center"/>
            <w:hideMark/>
          </w:tcPr>
          <w:p w14:paraId="2D0506C1" w14:textId="77777777" w:rsidR="00000000" w:rsidRDefault="00C1661D">
            <w:pPr>
              <w:spacing w:after="100"/>
              <w:rPr>
                <w:rFonts w:eastAsia="Times New Roman"/>
                <w:sz w:val="20"/>
                <w:szCs w:val="20"/>
              </w:rPr>
            </w:pPr>
          </w:p>
        </w:tc>
        <w:tc>
          <w:tcPr>
            <w:tcW w:w="0" w:type="auto"/>
            <w:gridSpan w:val="3"/>
            <w:vAlign w:val="center"/>
            <w:hideMark/>
          </w:tcPr>
          <w:p w14:paraId="34E0F59A" w14:textId="77777777" w:rsidR="00000000" w:rsidRDefault="00C1661D">
            <w:pPr>
              <w:spacing w:after="100"/>
              <w:rPr>
                <w:rFonts w:eastAsia="Times New Roman"/>
                <w:sz w:val="20"/>
                <w:szCs w:val="20"/>
              </w:rPr>
            </w:pPr>
          </w:p>
        </w:tc>
        <w:tc>
          <w:tcPr>
            <w:tcW w:w="0" w:type="auto"/>
            <w:gridSpan w:val="3"/>
            <w:vAlign w:val="center"/>
            <w:hideMark/>
          </w:tcPr>
          <w:p w14:paraId="353AE678" w14:textId="77777777" w:rsidR="00000000" w:rsidRDefault="00C1661D">
            <w:pPr>
              <w:spacing w:after="100"/>
              <w:rPr>
                <w:rFonts w:eastAsia="Times New Roman"/>
                <w:sz w:val="20"/>
                <w:szCs w:val="20"/>
              </w:rPr>
            </w:pPr>
          </w:p>
        </w:tc>
        <w:tc>
          <w:tcPr>
            <w:tcW w:w="0" w:type="auto"/>
            <w:gridSpan w:val="3"/>
            <w:vAlign w:val="center"/>
            <w:hideMark/>
          </w:tcPr>
          <w:p w14:paraId="2FA8550C" w14:textId="77777777" w:rsidR="00000000" w:rsidRDefault="00C1661D">
            <w:pPr>
              <w:spacing w:after="100"/>
              <w:rPr>
                <w:rFonts w:eastAsia="Times New Roman"/>
                <w:sz w:val="20"/>
                <w:szCs w:val="20"/>
              </w:rPr>
            </w:pPr>
          </w:p>
        </w:tc>
      </w:tr>
      <w:tr w:rsidR="00000000" w14:paraId="1FD6E566" w14:textId="77777777">
        <w:trPr>
          <w:divId w:val="1941208906"/>
        </w:trPr>
        <w:tc>
          <w:tcPr>
            <w:tcW w:w="0" w:type="auto"/>
            <w:gridSpan w:val="3"/>
            <w:vAlign w:val="center"/>
            <w:hideMark/>
          </w:tcPr>
          <w:p w14:paraId="38752705" w14:textId="77777777" w:rsidR="00000000" w:rsidRDefault="00C1661D">
            <w:pPr>
              <w:spacing w:after="100"/>
              <w:rPr>
                <w:rFonts w:eastAsia="Times New Roman"/>
                <w:sz w:val="20"/>
                <w:szCs w:val="20"/>
              </w:rPr>
            </w:pPr>
          </w:p>
        </w:tc>
        <w:tc>
          <w:tcPr>
            <w:tcW w:w="0" w:type="auto"/>
            <w:gridSpan w:val="3"/>
            <w:vAlign w:val="center"/>
            <w:hideMark/>
          </w:tcPr>
          <w:p w14:paraId="0166BDD7" w14:textId="77777777" w:rsidR="00000000" w:rsidRDefault="00C1661D">
            <w:pPr>
              <w:spacing w:after="100"/>
              <w:rPr>
                <w:rFonts w:eastAsia="Times New Roman"/>
                <w:sz w:val="20"/>
                <w:szCs w:val="20"/>
              </w:rPr>
            </w:pPr>
          </w:p>
        </w:tc>
        <w:tc>
          <w:tcPr>
            <w:tcW w:w="0" w:type="auto"/>
            <w:gridSpan w:val="3"/>
            <w:vAlign w:val="center"/>
            <w:hideMark/>
          </w:tcPr>
          <w:p w14:paraId="5D8D9E78" w14:textId="77777777" w:rsidR="00000000" w:rsidRDefault="00C1661D">
            <w:pPr>
              <w:spacing w:after="100"/>
              <w:rPr>
                <w:rFonts w:eastAsia="Times New Roman"/>
                <w:sz w:val="20"/>
                <w:szCs w:val="20"/>
              </w:rPr>
            </w:pPr>
          </w:p>
        </w:tc>
        <w:tc>
          <w:tcPr>
            <w:tcW w:w="0" w:type="auto"/>
            <w:gridSpan w:val="3"/>
            <w:vAlign w:val="center"/>
            <w:hideMark/>
          </w:tcPr>
          <w:p w14:paraId="1D0558BC" w14:textId="77777777" w:rsidR="00000000" w:rsidRDefault="00C1661D">
            <w:pPr>
              <w:spacing w:after="100"/>
              <w:rPr>
                <w:rFonts w:eastAsia="Times New Roman"/>
                <w:sz w:val="20"/>
                <w:szCs w:val="20"/>
              </w:rPr>
            </w:pPr>
          </w:p>
        </w:tc>
        <w:tc>
          <w:tcPr>
            <w:tcW w:w="0" w:type="auto"/>
            <w:gridSpan w:val="3"/>
            <w:vAlign w:val="center"/>
            <w:hideMark/>
          </w:tcPr>
          <w:p w14:paraId="7129DBE4" w14:textId="77777777" w:rsidR="00000000" w:rsidRDefault="00C1661D">
            <w:pPr>
              <w:spacing w:after="100"/>
              <w:rPr>
                <w:rFonts w:eastAsia="Times New Roman"/>
                <w:sz w:val="20"/>
                <w:szCs w:val="20"/>
              </w:rPr>
            </w:pPr>
          </w:p>
        </w:tc>
        <w:tc>
          <w:tcPr>
            <w:tcW w:w="0" w:type="auto"/>
            <w:gridSpan w:val="3"/>
            <w:vAlign w:val="center"/>
            <w:hideMark/>
          </w:tcPr>
          <w:p w14:paraId="6DE5B17C" w14:textId="77777777" w:rsidR="00000000" w:rsidRDefault="00C1661D">
            <w:pPr>
              <w:spacing w:after="100"/>
              <w:rPr>
                <w:rFonts w:eastAsia="Times New Roman"/>
                <w:sz w:val="20"/>
                <w:szCs w:val="20"/>
              </w:rPr>
            </w:pPr>
          </w:p>
        </w:tc>
      </w:tr>
      <w:tr w:rsidR="00000000" w14:paraId="72099B94" w14:textId="77777777">
        <w:trPr>
          <w:divId w:val="1941208906"/>
        </w:trPr>
        <w:tc>
          <w:tcPr>
            <w:tcW w:w="0" w:type="auto"/>
            <w:gridSpan w:val="3"/>
            <w:vAlign w:val="center"/>
            <w:hideMark/>
          </w:tcPr>
          <w:p w14:paraId="122B3D91" w14:textId="77777777" w:rsidR="00000000" w:rsidRDefault="00C1661D">
            <w:pPr>
              <w:spacing w:after="100"/>
              <w:rPr>
                <w:rFonts w:eastAsia="Times New Roman"/>
                <w:sz w:val="20"/>
                <w:szCs w:val="20"/>
              </w:rPr>
            </w:pPr>
          </w:p>
        </w:tc>
        <w:tc>
          <w:tcPr>
            <w:tcW w:w="0" w:type="auto"/>
            <w:gridSpan w:val="3"/>
            <w:vAlign w:val="center"/>
            <w:hideMark/>
          </w:tcPr>
          <w:p w14:paraId="1FE5B068" w14:textId="77777777" w:rsidR="00000000" w:rsidRDefault="00C1661D">
            <w:pPr>
              <w:spacing w:after="100"/>
              <w:rPr>
                <w:rFonts w:eastAsia="Times New Roman"/>
                <w:sz w:val="20"/>
                <w:szCs w:val="20"/>
              </w:rPr>
            </w:pPr>
          </w:p>
        </w:tc>
        <w:tc>
          <w:tcPr>
            <w:tcW w:w="0" w:type="auto"/>
            <w:gridSpan w:val="3"/>
            <w:vAlign w:val="center"/>
            <w:hideMark/>
          </w:tcPr>
          <w:p w14:paraId="49AD3942" w14:textId="77777777" w:rsidR="00000000" w:rsidRDefault="00C1661D">
            <w:pPr>
              <w:spacing w:after="100"/>
              <w:rPr>
                <w:rFonts w:eastAsia="Times New Roman"/>
                <w:sz w:val="20"/>
                <w:szCs w:val="20"/>
              </w:rPr>
            </w:pPr>
          </w:p>
        </w:tc>
        <w:tc>
          <w:tcPr>
            <w:tcW w:w="0" w:type="auto"/>
            <w:gridSpan w:val="3"/>
            <w:vAlign w:val="center"/>
            <w:hideMark/>
          </w:tcPr>
          <w:p w14:paraId="157A6AA7" w14:textId="77777777" w:rsidR="00000000" w:rsidRDefault="00C1661D">
            <w:pPr>
              <w:spacing w:after="100"/>
              <w:rPr>
                <w:rFonts w:eastAsia="Times New Roman"/>
                <w:sz w:val="20"/>
                <w:szCs w:val="20"/>
              </w:rPr>
            </w:pPr>
          </w:p>
        </w:tc>
        <w:tc>
          <w:tcPr>
            <w:tcW w:w="0" w:type="auto"/>
            <w:gridSpan w:val="3"/>
            <w:vAlign w:val="center"/>
            <w:hideMark/>
          </w:tcPr>
          <w:p w14:paraId="145A3BB2" w14:textId="77777777" w:rsidR="00000000" w:rsidRDefault="00C1661D">
            <w:pPr>
              <w:spacing w:after="100"/>
              <w:rPr>
                <w:rFonts w:eastAsia="Times New Roman"/>
                <w:sz w:val="20"/>
                <w:szCs w:val="20"/>
              </w:rPr>
            </w:pPr>
          </w:p>
        </w:tc>
        <w:tc>
          <w:tcPr>
            <w:tcW w:w="0" w:type="auto"/>
            <w:gridSpan w:val="3"/>
            <w:vAlign w:val="center"/>
            <w:hideMark/>
          </w:tcPr>
          <w:p w14:paraId="64B0E9E3" w14:textId="77777777" w:rsidR="00000000" w:rsidRDefault="00C1661D">
            <w:pPr>
              <w:spacing w:after="100"/>
              <w:rPr>
                <w:rFonts w:eastAsia="Times New Roman"/>
                <w:sz w:val="20"/>
                <w:szCs w:val="20"/>
              </w:rPr>
            </w:pPr>
          </w:p>
        </w:tc>
      </w:tr>
      <w:tr w:rsidR="00000000" w14:paraId="63CD8D46" w14:textId="77777777">
        <w:trPr>
          <w:divId w:val="1941208906"/>
        </w:trPr>
        <w:tc>
          <w:tcPr>
            <w:tcW w:w="0" w:type="auto"/>
            <w:gridSpan w:val="3"/>
            <w:vAlign w:val="center"/>
            <w:hideMark/>
          </w:tcPr>
          <w:p w14:paraId="75A26F1A" w14:textId="77777777" w:rsidR="00000000" w:rsidRDefault="00C1661D">
            <w:pPr>
              <w:spacing w:after="100"/>
              <w:rPr>
                <w:rFonts w:eastAsia="Times New Roman"/>
                <w:sz w:val="20"/>
                <w:szCs w:val="20"/>
              </w:rPr>
            </w:pPr>
          </w:p>
        </w:tc>
        <w:tc>
          <w:tcPr>
            <w:tcW w:w="0" w:type="auto"/>
            <w:gridSpan w:val="3"/>
            <w:vAlign w:val="center"/>
            <w:hideMark/>
          </w:tcPr>
          <w:p w14:paraId="738D3FD7" w14:textId="77777777" w:rsidR="00000000" w:rsidRDefault="00C1661D">
            <w:pPr>
              <w:spacing w:after="100"/>
              <w:rPr>
                <w:rFonts w:eastAsia="Times New Roman"/>
                <w:sz w:val="20"/>
                <w:szCs w:val="20"/>
              </w:rPr>
            </w:pPr>
          </w:p>
        </w:tc>
        <w:tc>
          <w:tcPr>
            <w:tcW w:w="0" w:type="auto"/>
            <w:gridSpan w:val="3"/>
            <w:vAlign w:val="center"/>
            <w:hideMark/>
          </w:tcPr>
          <w:p w14:paraId="0CD6FDA4" w14:textId="77777777" w:rsidR="00000000" w:rsidRDefault="00C1661D">
            <w:pPr>
              <w:spacing w:after="100"/>
              <w:rPr>
                <w:rFonts w:eastAsia="Times New Roman"/>
                <w:sz w:val="20"/>
                <w:szCs w:val="20"/>
              </w:rPr>
            </w:pPr>
          </w:p>
        </w:tc>
        <w:tc>
          <w:tcPr>
            <w:tcW w:w="0" w:type="auto"/>
            <w:gridSpan w:val="3"/>
            <w:vAlign w:val="center"/>
            <w:hideMark/>
          </w:tcPr>
          <w:p w14:paraId="2ECD2AA9" w14:textId="77777777" w:rsidR="00000000" w:rsidRDefault="00C1661D">
            <w:pPr>
              <w:spacing w:after="100"/>
              <w:rPr>
                <w:rFonts w:eastAsia="Times New Roman"/>
                <w:sz w:val="20"/>
                <w:szCs w:val="20"/>
              </w:rPr>
            </w:pPr>
          </w:p>
        </w:tc>
        <w:tc>
          <w:tcPr>
            <w:tcW w:w="0" w:type="auto"/>
            <w:gridSpan w:val="3"/>
            <w:vAlign w:val="center"/>
            <w:hideMark/>
          </w:tcPr>
          <w:p w14:paraId="0FEA6413" w14:textId="77777777" w:rsidR="00000000" w:rsidRDefault="00C1661D">
            <w:pPr>
              <w:spacing w:after="100"/>
              <w:rPr>
                <w:rFonts w:eastAsia="Times New Roman"/>
                <w:sz w:val="20"/>
                <w:szCs w:val="20"/>
              </w:rPr>
            </w:pPr>
          </w:p>
        </w:tc>
        <w:tc>
          <w:tcPr>
            <w:tcW w:w="0" w:type="auto"/>
            <w:gridSpan w:val="3"/>
            <w:vAlign w:val="center"/>
            <w:hideMark/>
          </w:tcPr>
          <w:p w14:paraId="2E0DD5BD" w14:textId="77777777" w:rsidR="00000000" w:rsidRDefault="00C1661D">
            <w:pPr>
              <w:spacing w:after="100"/>
              <w:rPr>
                <w:rFonts w:eastAsia="Times New Roman"/>
                <w:sz w:val="20"/>
                <w:szCs w:val="20"/>
              </w:rPr>
            </w:pPr>
          </w:p>
        </w:tc>
      </w:tr>
    </w:tbl>
    <w:p w14:paraId="5FB1998F" w14:textId="77777777" w:rsidR="00000000" w:rsidRDefault="00C1661D">
      <w:pPr>
        <w:jc w:val="both"/>
        <w:rPr>
          <w:rFonts w:eastAsia="Times New Roman"/>
        </w:rPr>
      </w:pPr>
      <w:r>
        <w:rPr>
          <w:rFonts w:eastAsia="Times New Roman"/>
          <w:b/>
          <w:bCs/>
          <w:color w:val="000000"/>
          <w:sz w:val="20"/>
          <w:szCs w:val="20"/>
          <w:u w:val="single"/>
        </w:rPr>
        <w:t xml:space="preserve">Note 8 — Employee Retirement Plans </w:t>
      </w:r>
    </w:p>
    <w:p w14:paraId="3B5CE8B4" w14:textId="77777777" w:rsidR="00000000" w:rsidRDefault="00C1661D">
      <w:pPr>
        <w:jc w:val="both"/>
        <w:divId w:val="1859731608"/>
        <w:rPr>
          <w:rFonts w:eastAsia="Times New Roman"/>
        </w:rPr>
      </w:pPr>
      <w:r>
        <w:rPr>
          <w:rFonts w:eastAsia="Times New Roman"/>
          <w:b/>
          <w:bCs/>
          <w:color w:val="000000"/>
          <w:sz w:val="20"/>
          <w:szCs w:val="20"/>
        </w:rPr>
        <w:t>Defined Benefit Pension and Other Postretirement Plans</w:t>
      </w:r>
    </w:p>
    <w:p w14:paraId="76580E7D" w14:textId="77777777" w:rsidR="00000000" w:rsidRDefault="00C1661D">
      <w:pPr>
        <w:jc w:val="both"/>
        <w:divId w:val="857163565"/>
        <w:rPr>
          <w:rFonts w:eastAsia="Times New Roman"/>
        </w:rPr>
      </w:pPr>
      <w:r>
        <w:rPr>
          <w:rFonts w:eastAsia="Times New Roman"/>
          <w:color w:val="000000"/>
          <w:sz w:val="20"/>
          <w:szCs w:val="20"/>
        </w:rPr>
        <w:t>The U.S. Pension Plans consist of (1) a defined benefit pension plan for employees hired prior to January 1, 2009, of UGI, UGI Utilities, and certain of UGI’s other domestic wholly owned subsidiaries a</w:t>
      </w:r>
      <w:r>
        <w:rPr>
          <w:rFonts w:eastAsia="Times New Roman"/>
          <w:color w:val="000000"/>
          <w:sz w:val="20"/>
          <w:szCs w:val="20"/>
        </w:rPr>
        <w:t>nd (2) a defined benefit pension plan for substantially all Mountaineer employees. U.S. Pension Plans’ benefits are based on years of service, age and employee compensation. In addition, certain UGI International employees in France and Belgium are covered</w:t>
      </w:r>
      <w:r>
        <w:rPr>
          <w:rFonts w:eastAsia="Times New Roman"/>
          <w:color w:val="000000"/>
          <w:sz w:val="20"/>
          <w:szCs w:val="20"/>
        </w:rPr>
        <w:t xml:space="preserve"> by defined benefit pension and postretirement plans. Although the disclosures in the tables below include amounts related to the UGI International plans, such amounts are not material.</w:t>
      </w:r>
    </w:p>
    <w:p w14:paraId="2B30CE18" w14:textId="77777777" w:rsidR="00000000" w:rsidRDefault="00C1661D">
      <w:pPr>
        <w:jc w:val="both"/>
        <w:divId w:val="734745006"/>
        <w:rPr>
          <w:rFonts w:eastAsia="Times New Roman"/>
        </w:rPr>
      </w:pPr>
      <w:r>
        <w:rPr>
          <w:rFonts w:eastAsia="Times New Roman"/>
          <w:color w:val="000000"/>
          <w:sz w:val="20"/>
          <w:szCs w:val="20"/>
        </w:rPr>
        <w:t>We also provide postretirement health care benefits to certain retiree</w:t>
      </w:r>
      <w:r>
        <w:rPr>
          <w:rFonts w:eastAsia="Times New Roman"/>
          <w:color w:val="000000"/>
          <w:sz w:val="20"/>
          <w:szCs w:val="20"/>
        </w:rPr>
        <w:t>s and postretirement life insurance benefits to certain U.S. active and retired employees. The ABO of our other postretirement benefit plans was $22 and $31 as of September 30, 2022 and 2021, respectively. The fair value of the plan assets of our other pos</w:t>
      </w:r>
      <w:r>
        <w:rPr>
          <w:rFonts w:eastAsia="Times New Roman"/>
          <w:color w:val="000000"/>
          <w:sz w:val="20"/>
          <w:szCs w:val="20"/>
        </w:rPr>
        <w:t xml:space="preserve">tretirement benefit plans was $16 and $19 as of September 30, 2022 and 2021, respectively. </w:t>
      </w:r>
    </w:p>
    <w:p w14:paraId="0A5F2BCA" w14:textId="77777777" w:rsidR="00000000" w:rsidRDefault="00C1661D">
      <w:pPr>
        <w:jc w:val="both"/>
        <w:divId w:val="508450943"/>
        <w:rPr>
          <w:rFonts w:eastAsia="Times New Roman"/>
        </w:rPr>
      </w:pPr>
      <w:r>
        <w:rPr>
          <w:rFonts w:eastAsia="Times New Roman"/>
          <w:color w:val="000000"/>
          <w:sz w:val="20"/>
          <w:szCs w:val="20"/>
        </w:rPr>
        <w:t>The following table provides a reconciliation of the PBOs of our pension plans (the U.S. Pension Plans and the UGI International pension plans), plan assets, and th</w:t>
      </w:r>
      <w:r>
        <w:rPr>
          <w:rFonts w:eastAsia="Times New Roman"/>
          <w:color w:val="000000"/>
          <w:sz w:val="20"/>
          <w:szCs w:val="20"/>
        </w:rPr>
        <w:t>e related funded status of our pension plans as of September 30, 2022 and 2021. ABO is the present value of benefits earned to date with benefits based upon current compensation levels. PBO is ABO increased to reflect estimated future compensation.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5787"/>
        <w:gridCol w:w="37"/>
        <w:gridCol w:w="120"/>
        <w:gridCol w:w="886"/>
        <w:gridCol w:w="36"/>
        <w:gridCol w:w="36"/>
        <w:gridCol w:w="36"/>
        <w:gridCol w:w="36"/>
        <w:gridCol w:w="120"/>
        <w:gridCol w:w="850"/>
        <w:gridCol w:w="36"/>
        <w:gridCol w:w="36"/>
        <w:gridCol w:w="36"/>
        <w:gridCol w:w="36"/>
        <w:gridCol w:w="36"/>
        <w:gridCol w:w="36"/>
        <w:gridCol w:w="36"/>
        <w:gridCol w:w="36"/>
        <w:gridCol w:w="36"/>
      </w:tblGrid>
      <w:tr w:rsidR="00000000" w14:paraId="5F2A8D83" w14:textId="77777777">
        <w:trPr>
          <w:divId w:val="962686458"/>
        </w:trPr>
        <w:tc>
          <w:tcPr>
            <w:tcW w:w="50" w:type="pct"/>
            <w:vAlign w:val="center"/>
            <w:hideMark/>
          </w:tcPr>
          <w:p w14:paraId="001F9949" w14:textId="77777777" w:rsidR="00000000" w:rsidRDefault="00C1661D">
            <w:pPr>
              <w:jc w:val="both"/>
              <w:rPr>
                <w:rFonts w:eastAsia="Times New Roman"/>
              </w:rPr>
            </w:pPr>
          </w:p>
        </w:tc>
        <w:tc>
          <w:tcPr>
            <w:tcW w:w="3636" w:type="pct"/>
            <w:vAlign w:val="center"/>
            <w:hideMark/>
          </w:tcPr>
          <w:p w14:paraId="57484223" w14:textId="77777777" w:rsidR="00000000" w:rsidRDefault="00C1661D">
            <w:pPr>
              <w:spacing w:after="100"/>
              <w:rPr>
                <w:rFonts w:eastAsia="Times New Roman"/>
                <w:sz w:val="20"/>
                <w:szCs w:val="20"/>
              </w:rPr>
            </w:pPr>
          </w:p>
        </w:tc>
        <w:tc>
          <w:tcPr>
            <w:tcW w:w="5" w:type="pct"/>
            <w:vAlign w:val="center"/>
            <w:hideMark/>
          </w:tcPr>
          <w:p w14:paraId="0A1E1089" w14:textId="77777777" w:rsidR="00000000" w:rsidRDefault="00C1661D">
            <w:pPr>
              <w:spacing w:after="100"/>
              <w:rPr>
                <w:rFonts w:eastAsia="Times New Roman"/>
                <w:sz w:val="20"/>
                <w:szCs w:val="20"/>
              </w:rPr>
            </w:pPr>
          </w:p>
        </w:tc>
        <w:tc>
          <w:tcPr>
            <w:tcW w:w="50" w:type="pct"/>
            <w:vAlign w:val="center"/>
            <w:hideMark/>
          </w:tcPr>
          <w:p w14:paraId="3E6D1523" w14:textId="77777777" w:rsidR="00000000" w:rsidRDefault="00C1661D">
            <w:pPr>
              <w:spacing w:after="100"/>
              <w:rPr>
                <w:rFonts w:eastAsia="Times New Roman"/>
                <w:sz w:val="20"/>
                <w:szCs w:val="20"/>
              </w:rPr>
            </w:pPr>
          </w:p>
        </w:tc>
        <w:tc>
          <w:tcPr>
            <w:tcW w:w="580" w:type="pct"/>
            <w:vAlign w:val="center"/>
            <w:hideMark/>
          </w:tcPr>
          <w:p w14:paraId="79D0B07C" w14:textId="77777777" w:rsidR="00000000" w:rsidRDefault="00C1661D">
            <w:pPr>
              <w:spacing w:after="100"/>
              <w:rPr>
                <w:rFonts w:eastAsia="Times New Roman"/>
                <w:sz w:val="20"/>
                <w:szCs w:val="20"/>
              </w:rPr>
            </w:pPr>
          </w:p>
        </w:tc>
        <w:tc>
          <w:tcPr>
            <w:tcW w:w="5" w:type="pct"/>
            <w:vAlign w:val="center"/>
            <w:hideMark/>
          </w:tcPr>
          <w:p w14:paraId="560F7DE8" w14:textId="77777777" w:rsidR="00000000" w:rsidRDefault="00C1661D">
            <w:pPr>
              <w:spacing w:after="100"/>
              <w:rPr>
                <w:rFonts w:eastAsia="Times New Roman"/>
                <w:sz w:val="20"/>
                <w:szCs w:val="20"/>
              </w:rPr>
            </w:pPr>
          </w:p>
        </w:tc>
        <w:tc>
          <w:tcPr>
            <w:tcW w:w="5" w:type="pct"/>
            <w:vAlign w:val="center"/>
            <w:hideMark/>
          </w:tcPr>
          <w:p w14:paraId="2B5E06AC" w14:textId="77777777" w:rsidR="00000000" w:rsidRDefault="00C1661D">
            <w:pPr>
              <w:spacing w:after="100"/>
              <w:rPr>
                <w:rFonts w:eastAsia="Times New Roman"/>
                <w:sz w:val="20"/>
                <w:szCs w:val="20"/>
              </w:rPr>
            </w:pPr>
          </w:p>
        </w:tc>
        <w:tc>
          <w:tcPr>
            <w:tcW w:w="26" w:type="pct"/>
            <w:vAlign w:val="center"/>
            <w:hideMark/>
          </w:tcPr>
          <w:p w14:paraId="5132C2B5" w14:textId="77777777" w:rsidR="00000000" w:rsidRDefault="00C1661D">
            <w:pPr>
              <w:spacing w:after="100"/>
              <w:rPr>
                <w:rFonts w:eastAsia="Times New Roman"/>
                <w:sz w:val="20"/>
                <w:szCs w:val="20"/>
              </w:rPr>
            </w:pPr>
          </w:p>
        </w:tc>
        <w:tc>
          <w:tcPr>
            <w:tcW w:w="5" w:type="pct"/>
            <w:vAlign w:val="center"/>
            <w:hideMark/>
          </w:tcPr>
          <w:p w14:paraId="23648BDF" w14:textId="77777777" w:rsidR="00000000" w:rsidRDefault="00C1661D">
            <w:pPr>
              <w:spacing w:after="100"/>
              <w:rPr>
                <w:rFonts w:eastAsia="Times New Roman"/>
                <w:sz w:val="20"/>
                <w:szCs w:val="20"/>
              </w:rPr>
            </w:pPr>
          </w:p>
        </w:tc>
        <w:tc>
          <w:tcPr>
            <w:tcW w:w="50" w:type="pct"/>
            <w:vAlign w:val="center"/>
            <w:hideMark/>
          </w:tcPr>
          <w:p w14:paraId="6356B5FD" w14:textId="77777777" w:rsidR="00000000" w:rsidRDefault="00C1661D">
            <w:pPr>
              <w:spacing w:after="100"/>
              <w:rPr>
                <w:rFonts w:eastAsia="Times New Roman"/>
                <w:sz w:val="20"/>
                <w:szCs w:val="20"/>
              </w:rPr>
            </w:pPr>
          </w:p>
        </w:tc>
        <w:tc>
          <w:tcPr>
            <w:tcW w:w="581" w:type="pct"/>
            <w:vAlign w:val="center"/>
            <w:hideMark/>
          </w:tcPr>
          <w:p w14:paraId="10908BCC" w14:textId="77777777" w:rsidR="00000000" w:rsidRDefault="00C1661D">
            <w:pPr>
              <w:spacing w:after="100"/>
              <w:rPr>
                <w:rFonts w:eastAsia="Times New Roman"/>
                <w:sz w:val="20"/>
                <w:szCs w:val="20"/>
              </w:rPr>
            </w:pPr>
          </w:p>
        </w:tc>
        <w:tc>
          <w:tcPr>
            <w:tcW w:w="5" w:type="pct"/>
            <w:vAlign w:val="center"/>
            <w:hideMark/>
          </w:tcPr>
          <w:p w14:paraId="144FBF45" w14:textId="77777777" w:rsidR="00000000" w:rsidRDefault="00C1661D">
            <w:pPr>
              <w:spacing w:after="100"/>
              <w:rPr>
                <w:rFonts w:eastAsia="Times New Roman"/>
                <w:sz w:val="20"/>
                <w:szCs w:val="20"/>
              </w:rPr>
            </w:pPr>
          </w:p>
        </w:tc>
        <w:tc>
          <w:tcPr>
            <w:tcW w:w="0" w:type="auto"/>
            <w:vAlign w:val="center"/>
            <w:hideMark/>
          </w:tcPr>
          <w:p w14:paraId="52696958" w14:textId="77777777" w:rsidR="00000000" w:rsidRDefault="00C1661D">
            <w:pPr>
              <w:spacing w:after="100"/>
              <w:rPr>
                <w:rFonts w:eastAsia="Times New Roman"/>
                <w:sz w:val="20"/>
                <w:szCs w:val="20"/>
              </w:rPr>
            </w:pPr>
          </w:p>
        </w:tc>
        <w:tc>
          <w:tcPr>
            <w:tcW w:w="0" w:type="auto"/>
            <w:vAlign w:val="center"/>
            <w:hideMark/>
          </w:tcPr>
          <w:p w14:paraId="30FB4669" w14:textId="77777777" w:rsidR="00000000" w:rsidRDefault="00C1661D">
            <w:pPr>
              <w:spacing w:after="100"/>
              <w:rPr>
                <w:rFonts w:eastAsia="Times New Roman"/>
                <w:sz w:val="20"/>
                <w:szCs w:val="20"/>
              </w:rPr>
            </w:pPr>
          </w:p>
        </w:tc>
        <w:tc>
          <w:tcPr>
            <w:tcW w:w="0" w:type="auto"/>
            <w:gridSpan w:val="3"/>
            <w:vAlign w:val="center"/>
            <w:hideMark/>
          </w:tcPr>
          <w:p w14:paraId="32C90422" w14:textId="77777777" w:rsidR="00000000" w:rsidRDefault="00C1661D">
            <w:pPr>
              <w:spacing w:after="100"/>
              <w:rPr>
                <w:rFonts w:eastAsia="Times New Roman"/>
                <w:sz w:val="20"/>
                <w:szCs w:val="20"/>
              </w:rPr>
            </w:pPr>
          </w:p>
        </w:tc>
        <w:tc>
          <w:tcPr>
            <w:tcW w:w="0" w:type="auto"/>
            <w:gridSpan w:val="3"/>
            <w:vAlign w:val="center"/>
            <w:hideMark/>
          </w:tcPr>
          <w:p w14:paraId="64B06BF5" w14:textId="77777777" w:rsidR="00000000" w:rsidRDefault="00C1661D">
            <w:pPr>
              <w:spacing w:after="100"/>
              <w:rPr>
                <w:rFonts w:eastAsia="Times New Roman"/>
                <w:sz w:val="20"/>
                <w:szCs w:val="20"/>
              </w:rPr>
            </w:pPr>
          </w:p>
        </w:tc>
      </w:tr>
      <w:tr w:rsidR="00000000" w14:paraId="6077E3BE" w14:textId="77777777">
        <w:trPr>
          <w:divId w:val="962686458"/>
        </w:trPr>
        <w:tc>
          <w:tcPr>
            <w:tcW w:w="0" w:type="auto"/>
            <w:gridSpan w:val="3"/>
            <w:tcMar>
              <w:top w:w="0" w:type="dxa"/>
              <w:left w:w="20" w:type="dxa"/>
              <w:bottom w:w="0" w:type="dxa"/>
              <w:right w:w="20" w:type="dxa"/>
            </w:tcMar>
            <w:vAlign w:val="center"/>
            <w:hideMark/>
          </w:tcPr>
          <w:p w14:paraId="7E83CFED" w14:textId="77777777" w:rsidR="00000000" w:rsidRDefault="00C1661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1CCA22C" w14:textId="77777777" w:rsidR="00000000" w:rsidRDefault="00C1661D">
            <w:pPr>
              <w:spacing w:after="100"/>
              <w:jc w:val="center"/>
              <w:rPr>
                <w:rFonts w:eastAsia="Times New Roman"/>
              </w:rPr>
            </w:pPr>
            <w:r>
              <w:rPr>
                <w:rFonts w:eastAsia="Times New Roman"/>
                <w:color w:val="000000"/>
                <w:sz w:val="20"/>
                <w:szCs w:val="20"/>
              </w:rPr>
              <w:t>Pension Benefits</w:t>
            </w:r>
          </w:p>
        </w:tc>
        <w:tc>
          <w:tcPr>
            <w:tcW w:w="0" w:type="auto"/>
            <w:vAlign w:val="center"/>
            <w:hideMark/>
          </w:tcPr>
          <w:p w14:paraId="42763B31" w14:textId="77777777" w:rsidR="00000000" w:rsidRDefault="00C1661D">
            <w:pPr>
              <w:spacing w:after="100"/>
              <w:jc w:val="center"/>
              <w:rPr>
                <w:rFonts w:eastAsia="Times New Roman"/>
              </w:rPr>
            </w:pPr>
          </w:p>
        </w:tc>
        <w:tc>
          <w:tcPr>
            <w:tcW w:w="0" w:type="auto"/>
            <w:vAlign w:val="center"/>
            <w:hideMark/>
          </w:tcPr>
          <w:p w14:paraId="4CC98C09" w14:textId="77777777" w:rsidR="00000000" w:rsidRDefault="00C1661D">
            <w:pPr>
              <w:spacing w:after="100"/>
              <w:rPr>
                <w:rFonts w:eastAsia="Times New Roman"/>
                <w:sz w:val="20"/>
                <w:szCs w:val="20"/>
              </w:rPr>
            </w:pPr>
          </w:p>
        </w:tc>
        <w:tc>
          <w:tcPr>
            <w:tcW w:w="0" w:type="auto"/>
            <w:vAlign w:val="center"/>
            <w:hideMark/>
          </w:tcPr>
          <w:p w14:paraId="6B0E08D0" w14:textId="77777777" w:rsidR="00000000" w:rsidRDefault="00C1661D">
            <w:pPr>
              <w:spacing w:after="100"/>
              <w:rPr>
                <w:rFonts w:eastAsia="Times New Roman"/>
                <w:sz w:val="20"/>
                <w:szCs w:val="20"/>
              </w:rPr>
            </w:pPr>
          </w:p>
        </w:tc>
        <w:tc>
          <w:tcPr>
            <w:tcW w:w="0" w:type="auto"/>
            <w:vAlign w:val="center"/>
            <w:hideMark/>
          </w:tcPr>
          <w:p w14:paraId="147501B6" w14:textId="77777777" w:rsidR="00000000" w:rsidRDefault="00C1661D">
            <w:pPr>
              <w:spacing w:after="100"/>
              <w:rPr>
                <w:rFonts w:eastAsia="Times New Roman"/>
                <w:sz w:val="20"/>
                <w:szCs w:val="20"/>
              </w:rPr>
            </w:pPr>
          </w:p>
        </w:tc>
        <w:tc>
          <w:tcPr>
            <w:tcW w:w="0" w:type="auto"/>
            <w:vAlign w:val="center"/>
            <w:hideMark/>
          </w:tcPr>
          <w:p w14:paraId="67CF5731" w14:textId="77777777" w:rsidR="00000000" w:rsidRDefault="00C1661D">
            <w:pPr>
              <w:spacing w:after="100"/>
              <w:rPr>
                <w:rFonts w:eastAsia="Times New Roman"/>
                <w:sz w:val="20"/>
                <w:szCs w:val="20"/>
              </w:rPr>
            </w:pPr>
          </w:p>
        </w:tc>
        <w:tc>
          <w:tcPr>
            <w:tcW w:w="0" w:type="auto"/>
            <w:vAlign w:val="center"/>
            <w:hideMark/>
          </w:tcPr>
          <w:p w14:paraId="1850D5DC" w14:textId="77777777" w:rsidR="00000000" w:rsidRDefault="00C1661D">
            <w:pPr>
              <w:spacing w:after="100"/>
              <w:rPr>
                <w:rFonts w:eastAsia="Times New Roman"/>
                <w:sz w:val="20"/>
                <w:szCs w:val="20"/>
              </w:rPr>
            </w:pPr>
          </w:p>
        </w:tc>
        <w:tc>
          <w:tcPr>
            <w:tcW w:w="0" w:type="auto"/>
            <w:vAlign w:val="center"/>
            <w:hideMark/>
          </w:tcPr>
          <w:p w14:paraId="70291157" w14:textId="77777777" w:rsidR="00000000" w:rsidRDefault="00C1661D">
            <w:pPr>
              <w:spacing w:after="100"/>
              <w:rPr>
                <w:rFonts w:eastAsia="Times New Roman"/>
                <w:sz w:val="20"/>
                <w:szCs w:val="20"/>
              </w:rPr>
            </w:pPr>
          </w:p>
        </w:tc>
        <w:tc>
          <w:tcPr>
            <w:tcW w:w="0" w:type="auto"/>
            <w:vAlign w:val="center"/>
            <w:hideMark/>
          </w:tcPr>
          <w:p w14:paraId="728B2E30" w14:textId="77777777" w:rsidR="00000000" w:rsidRDefault="00C1661D">
            <w:pPr>
              <w:spacing w:after="100"/>
              <w:rPr>
                <w:rFonts w:eastAsia="Times New Roman"/>
                <w:sz w:val="20"/>
                <w:szCs w:val="20"/>
              </w:rPr>
            </w:pPr>
          </w:p>
        </w:tc>
      </w:tr>
      <w:tr w:rsidR="00000000" w14:paraId="64B3673B" w14:textId="77777777">
        <w:trPr>
          <w:divId w:val="962686458"/>
        </w:trPr>
        <w:tc>
          <w:tcPr>
            <w:tcW w:w="0" w:type="auto"/>
            <w:gridSpan w:val="3"/>
            <w:tcMar>
              <w:top w:w="30" w:type="dxa"/>
              <w:left w:w="20" w:type="dxa"/>
              <w:bottom w:w="30" w:type="dxa"/>
              <w:right w:w="20" w:type="dxa"/>
            </w:tcMar>
            <w:vAlign w:val="bottom"/>
            <w:hideMark/>
          </w:tcPr>
          <w:p w14:paraId="7268D70C"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B0EDE32"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446F014D" w14:textId="77777777" w:rsidR="00000000" w:rsidRDefault="00C1661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191B858"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vAlign w:val="center"/>
            <w:hideMark/>
          </w:tcPr>
          <w:p w14:paraId="7E59EBD8" w14:textId="77777777" w:rsidR="00000000" w:rsidRDefault="00C1661D">
            <w:pPr>
              <w:spacing w:after="100"/>
              <w:jc w:val="center"/>
              <w:rPr>
                <w:rFonts w:eastAsia="Times New Roman"/>
              </w:rPr>
            </w:pPr>
          </w:p>
        </w:tc>
        <w:tc>
          <w:tcPr>
            <w:tcW w:w="0" w:type="auto"/>
            <w:vAlign w:val="center"/>
            <w:hideMark/>
          </w:tcPr>
          <w:p w14:paraId="5AB9C29D" w14:textId="77777777" w:rsidR="00000000" w:rsidRDefault="00C1661D">
            <w:pPr>
              <w:spacing w:after="100"/>
              <w:rPr>
                <w:rFonts w:eastAsia="Times New Roman"/>
                <w:sz w:val="20"/>
                <w:szCs w:val="20"/>
              </w:rPr>
            </w:pPr>
          </w:p>
        </w:tc>
        <w:tc>
          <w:tcPr>
            <w:tcW w:w="0" w:type="auto"/>
            <w:gridSpan w:val="3"/>
            <w:vAlign w:val="center"/>
            <w:hideMark/>
          </w:tcPr>
          <w:p w14:paraId="236BF8B3" w14:textId="77777777" w:rsidR="00000000" w:rsidRDefault="00C1661D">
            <w:pPr>
              <w:spacing w:after="100"/>
              <w:rPr>
                <w:rFonts w:eastAsia="Times New Roman"/>
                <w:sz w:val="20"/>
                <w:szCs w:val="20"/>
              </w:rPr>
            </w:pPr>
          </w:p>
        </w:tc>
        <w:tc>
          <w:tcPr>
            <w:tcW w:w="0" w:type="auto"/>
            <w:gridSpan w:val="3"/>
            <w:vAlign w:val="center"/>
            <w:hideMark/>
          </w:tcPr>
          <w:p w14:paraId="0030A194" w14:textId="77777777" w:rsidR="00000000" w:rsidRDefault="00C1661D">
            <w:pPr>
              <w:spacing w:after="100"/>
              <w:rPr>
                <w:rFonts w:eastAsia="Times New Roman"/>
                <w:sz w:val="20"/>
                <w:szCs w:val="20"/>
              </w:rPr>
            </w:pPr>
          </w:p>
        </w:tc>
      </w:tr>
      <w:tr w:rsidR="00000000" w14:paraId="7D9BB34E" w14:textId="77777777">
        <w:trPr>
          <w:divId w:val="962686458"/>
        </w:trPr>
        <w:tc>
          <w:tcPr>
            <w:tcW w:w="0" w:type="auto"/>
            <w:gridSpan w:val="3"/>
            <w:shd w:val="clear" w:color="auto" w:fill="CCEEFF"/>
            <w:tcMar>
              <w:top w:w="30" w:type="dxa"/>
              <w:left w:w="20" w:type="dxa"/>
              <w:bottom w:w="30" w:type="dxa"/>
              <w:right w:w="20" w:type="dxa"/>
            </w:tcMar>
            <w:vAlign w:val="bottom"/>
            <w:hideMark/>
          </w:tcPr>
          <w:p w14:paraId="518C32AD" w14:textId="77777777" w:rsidR="00000000" w:rsidRDefault="00C1661D">
            <w:pPr>
              <w:spacing w:after="100"/>
              <w:rPr>
                <w:rFonts w:eastAsia="Times New Roman"/>
              </w:rPr>
            </w:pPr>
            <w:r>
              <w:rPr>
                <w:rFonts w:eastAsia="Times New Roman"/>
                <w:b/>
                <w:bCs/>
                <w:color w:val="000000"/>
                <w:sz w:val="20"/>
                <w:szCs w:val="20"/>
              </w:rPr>
              <w:t>Change in benefit obligations: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8102D3"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2560251"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8A3909B" w14:textId="77777777" w:rsidR="00000000" w:rsidRDefault="00C1661D">
            <w:pPr>
              <w:spacing w:after="100"/>
              <w:rPr>
                <w:rFonts w:eastAsia="Times New Roman"/>
              </w:rPr>
            </w:pPr>
            <w:r>
              <w:rPr>
                <w:rFonts w:eastAsia="Times New Roman"/>
                <w:color w:val="000000"/>
                <w:sz w:val="20"/>
                <w:szCs w:val="20"/>
              </w:rPr>
              <w:t> </w:t>
            </w:r>
          </w:p>
        </w:tc>
        <w:tc>
          <w:tcPr>
            <w:tcW w:w="0" w:type="auto"/>
            <w:vAlign w:val="center"/>
            <w:hideMark/>
          </w:tcPr>
          <w:p w14:paraId="05EF401C" w14:textId="77777777" w:rsidR="00000000" w:rsidRDefault="00C1661D">
            <w:pPr>
              <w:spacing w:after="100"/>
              <w:rPr>
                <w:rFonts w:eastAsia="Times New Roman"/>
              </w:rPr>
            </w:pPr>
          </w:p>
        </w:tc>
        <w:tc>
          <w:tcPr>
            <w:tcW w:w="0" w:type="auto"/>
            <w:vAlign w:val="center"/>
            <w:hideMark/>
          </w:tcPr>
          <w:p w14:paraId="467B35AF" w14:textId="77777777" w:rsidR="00000000" w:rsidRDefault="00C1661D">
            <w:pPr>
              <w:spacing w:after="100"/>
              <w:rPr>
                <w:rFonts w:eastAsia="Times New Roman"/>
                <w:sz w:val="20"/>
                <w:szCs w:val="20"/>
              </w:rPr>
            </w:pPr>
          </w:p>
        </w:tc>
        <w:tc>
          <w:tcPr>
            <w:tcW w:w="0" w:type="auto"/>
            <w:gridSpan w:val="3"/>
            <w:vAlign w:val="center"/>
            <w:hideMark/>
          </w:tcPr>
          <w:p w14:paraId="7FC7474C" w14:textId="77777777" w:rsidR="00000000" w:rsidRDefault="00C1661D">
            <w:pPr>
              <w:spacing w:after="100"/>
              <w:rPr>
                <w:rFonts w:eastAsia="Times New Roman"/>
                <w:sz w:val="20"/>
                <w:szCs w:val="20"/>
              </w:rPr>
            </w:pPr>
          </w:p>
        </w:tc>
        <w:tc>
          <w:tcPr>
            <w:tcW w:w="0" w:type="auto"/>
            <w:gridSpan w:val="3"/>
            <w:vAlign w:val="center"/>
            <w:hideMark/>
          </w:tcPr>
          <w:p w14:paraId="1B072ED0" w14:textId="77777777" w:rsidR="00000000" w:rsidRDefault="00C1661D">
            <w:pPr>
              <w:spacing w:after="100"/>
              <w:rPr>
                <w:rFonts w:eastAsia="Times New Roman"/>
                <w:sz w:val="20"/>
                <w:szCs w:val="20"/>
              </w:rPr>
            </w:pPr>
          </w:p>
        </w:tc>
      </w:tr>
      <w:tr w:rsidR="00000000" w14:paraId="6CD38F18" w14:textId="77777777">
        <w:trPr>
          <w:divId w:val="962686458"/>
        </w:trPr>
        <w:tc>
          <w:tcPr>
            <w:tcW w:w="0" w:type="auto"/>
            <w:gridSpan w:val="3"/>
            <w:shd w:val="clear" w:color="auto" w:fill="FFFFFF"/>
            <w:tcMar>
              <w:top w:w="30" w:type="dxa"/>
              <w:left w:w="155" w:type="dxa"/>
              <w:bottom w:w="30" w:type="dxa"/>
              <w:right w:w="20" w:type="dxa"/>
            </w:tcMar>
            <w:vAlign w:val="bottom"/>
            <w:hideMark/>
          </w:tcPr>
          <w:p w14:paraId="593ABE0E" w14:textId="77777777" w:rsidR="00000000" w:rsidRDefault="00C1661D">
            <w:pPr>
              <w:spacing w:after="100"/>
              <w:rPr>
                <w:rFonts w:eastAsia="Times New Roman"/>
              </w:rPr>
            </w:pPr>
            <w:r>
              <w:rPr>
                <w:rFonts w:eastAsia="Times New Roman"/>
                <w:color w:val="000000"/>
                <w:sz w:val="20"/>
                <w:szCs w:val="20"/>
              </w:rPr>
              <w:t>Benefit obligations — beginning of year</w:t>
            </w:r>
          </w:p>
        </w:tc>
        <w:tc>
          <w:tcPr>
            <w:tcW w:w="0" w:type="auto"/>
            <w:shd w:val="clear" w:color="auto" w:fill="FFFFFF"/>
            <w:tcMar>
              <w:top w:w="30" w:type="dxa"/>
              <w:left w:w="20" w:type="dxa"/>
              <w:bottom w:w="30" w:type="dxa"/>
              <w:right w:w="0" w:type="dxa"/>
            </w:tcMar>
            <w:vAlign w:val="bottom"/>
            <w:hideMark/>
          </w:tcPr>
          <w:p w14:paraId="3D9A0FB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A594674" w14:textId="77777777" w:rsidR="00000000" w:rsidRDefault="00C1661D">
            <w:pPr>
              <w:spacing w:after="100"/>
              <w:jc w:val="right"/>
              <w:rPr>
                <w:rFonts w:eastAsia="Times New Roman"/>
              </w:rPr>
            </w:pPr>
            <w:r>
              <w:rPr>
                <w:rFonts w:eastAsia="Times New Roman"/>
                <w:color w:val="000000"/>
                <w:sz w:val="20"/>
                <w:szCs w:val="20"/>
              </w:rPr>
              <w:t>870 </w:t>
            </w:r>
          </w:p>
        </w:tc>
        <w:tc>
          <w:tcPr>
            <w:tcW w:w="0" w:type="auto"/>
            <w:shd w:val="clear" w:color="auto" w:fill="FFFFFF"/>
            <w:tcMar>
              <w:top w:w="30" w:type="dxa"/>
              <w:left w:w="0" w:type="dxa"/>
              <w:bottom w:w="30" w:type="dxa"/>
              <w:right w:w="20" w:type="dxa"/>
            </w:tcMar>
            <w:vAlign w:val="bottom"/>
            <w:hideMark/>
          </w:tcPr>
          <w:p w14:paraId="2DF0B6B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9E7DE0"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4FA35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F3AE7F9" w14:textId="77777777" w:rsidR="00000000" w:rsidRDefault="00C1661D">
            <w:pPr>
              <w:spacing w:after="100"/>
              <w:jc w:val="right"/>
              <w:rPr>
                <w:rFonts w:eastAsia="Times New Roman"/>
              </w:rPr>
            </w:pPr>
            <w:r>
              <w:rPr>
                <w:rFonts w:eastAsia="Times New Roman"/>
                <w:color w:val="000000"/>
                <w:sz w:val="20"/>
                <w:szCs w:val="20"/>
              </w:rPr>
              <w:t>782 </w:t>
            </w:r>
          </w:p>
        </w:tc>
        <w:tc>
          <w:tcPr>
            <w:tcW w:w="0" w:type="auto"/>
            <w:shd w:val="clear" w:color="auto" w:fill="FFFFFF"/>
            <w:tcMar>
              <w:top w:w="30" w:type="dxa"/>
              <w:left w:w="0" w:type="dxa"/>
              <w:bottom w:w="30" w:type="dxa"/>
              <w:right w:w="20" w:type="dxa"/>
            </w:tcMar>
            <w:vAlign w:val="bottom"/>
            <w:hideMark/>
          </w:tcPr>
          <w:p w14:paraId="21E21659" w14:textId="77777777" w:rsidR="00000000" w:rsidRDefault="00C1661D">
            <w:pPr>
              <w:spacing w:after="100"/>
              <w:jc w:val="right"/>
              <w:rPr>
                <w:rFonts w:eastAsia="Times New Roman"/>
              </w:rPr>
            </w:pPr>
          </w:p>
        </w:tc>
        <w:tc>
          <w:tcPr>
            <w:tcW w:w="0" w:type="auto"/>
            <w:vAlign w:val="center"/>
            <w:hideMark/>
          </w:tcPr>
          <w:p w14:paraId="79801478" w14:textId="77777777" w:rsidR="00000000" w:rsidRDefault="00C1661D">
            <w:pPr>
              <w:spacing w:after="100"/>
              <w:jc w:val="right"/>
              <w:rPr>
                <w:rFonts w:eastAsia="Times New Roman"/>
                <w:sz w:val="20"/>
                <w:szCs w:val="20"/>
              </w:rPr>
            </w:pPr>
          </w:p>
        </w:tc>
        <w:tc>
          <w:tcPr>
            <w:tcW w:w="0" w:type="auto"/>
            <w:vAlign w:val="center"/>
            <w:hideMark/>
          </w:tcPr>
          <w:p w14:paraId="419E2C04" w14:textId="77777777" w:rsidR="00000000" w:rsidRDefault="00C1661D">
            <w:pPr>
              <w:spacing w:after="100"/>
              <w:rPr>
                <w:rFonts w:eastAsia="Times New Roman"/>
                <w:sz w:val="20"/>
                <w:szCs w:val="20"/>
              </w:rPr>
            </w:pPr>
          </w:p>
        </w:tc>
        <w:tc>
          <w:tcPr>
            <w:tcW w:w="0" w:type="auto"/>
            <w:gridSpan w:val="3"/>
            <w:vAlign w:val="center"/>
            <w:hideMark/>
          </w:tcPr>
          <w:p w14:paraId="6C0B68FF" w14:textId="77777777" w:rsidR="00000000" w:rsidRDefault="00C1661D">
            <w:pPr>
              <w:spacing w:after="100"/>
              <w:rPr>
                <w:rFonts w:eastAsia="Times New Roman"/>
                <w:sz w:val="20"/>
                <w:szCs w:val="20"/>
              </w:rPr>
            </w:pPr>
          </w:p>
        </w:tc>
        <w:tc>
          <w:tcPr>
            <w:tcW w:w="0" w:type="auto"/>
            <w:gridSpan w:val="3"/>
            <w:vAlign w:val="center"/>
            <w:hideMark/>
          </w:tcPr>
          <w:p w14:paraId="0CC7ECC9" w14:textId="77777777" w:rsidR="00000000" w:rsidRDefault="00C1661D">
            <w:pPr>
              <w:spacing w:after="100"/>
              <w:rPr>
                <w:rFonts w:eastAsia="Times New Roman"/>
                <w:sz w:val="20"/>
                <w:szCs w:val="20"/>
              </w:rPr>
            </w:pPr>
          </w:p>
        </w:tc>
      </w:tr>
      <w:tr w:rsidR="00000000" w14:paraId="11AC0C33" w14:textId="77777777">
        <w:trPr>
          <w:divId w:val="962686458"/>
        </w:trPr>
        <w:tc>
          <w:tcPr>
            <w:tcW w:w="0" w:type="auto"/>
            <w:gridSpan w:val="3"/>
            <w:shd w:val="clear" w:color="auto" w:fill="CCEEFF"/>
            <w:tcMar>
              <w:top w:w="30" w:type="dxa"/>
              <w:left w:w="155" w:type="dxa"/>
              <w:bottom w:w="30" w:type="dxa"/>
              <w:right w:w="20" w:type="dxa"/>
            </w:tcMar>
            <w:vAlign w:val="bottom"/>
            <w:hideMark/>
          </w:tcPr>
          <w:p w14:paraId="0B256EC7" w14:textId="77777777" w:rsidR="00000000" w:rsidRDefault="00C1661D">
            <w:pPr>
              <w:spacing w:after="100"/>
              <w:rPr>
                <w:rFonts w:eastAsia="Times New Roman"/>
              </w:rPr>
            </w:pPr>
            <w:r>
              <w:rPr>
                <w:rFonts w:eastAsia="Times New Roman"/>
                <w:color w:val="000000"/>
                <w:sz w:val="20"/>
                <w:szCs w:val="20"/>
              </w:rPr>
              <w:t>Service cost</w:t>
            </w:r>
          </w:p>
        </w:tc>
        <w:tc>
          <w:tcPr>
            <w:tcW w:w="0" w:type="auto"/>
            <w:gridSpan w:val="2"/>
            <w:shd w:val="clear" w:color="auto" w:fill="CCEEFF"/>
            <w:tcMar>
              <w:top w:w="30" w:type="dxa"/>
              <w:left w:w="20" w:type="dxa"/>
              <w:bottom w:w="30" w:type="dxa"/>
              <w:right w:w="0" w:type="dxa"/>
            </w:tcMar>
            <w:vAlign w:val="bottom"/>
            <w:hideMark/>
          </w:tcPr>
          <w:p w14:paraId="361780DD" w14:textId="77777777" w:rsidR="00000000" w:rsidRDefault="00C1661D">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3EB77D7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544C1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F8DC3C" w14:textId="77777777" w:rsidR="00000000" w:rsidRDefault="00C1661D">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5225D29F" w14:textId="77777777" w:rsidR="00000000" w:rsidRDefault="00C1661D">
            <w:pPr>
              <w:spacing w:after="100"/>
              <w:jc w:val="right"/>
              <w:rPr>
                <w:rFonts w:eastAsia="Times New Roman"/>
              </w:rPr>
            </w:pPr>
          </w:p>
        </w:tc>
        <w:tc>
          <w:tcPr>
            <w:tcW w:w="0" w:type="auto"/>
            <w:vAlign w:val="center"/>
            <w:hideMark/>
          </w:tcPr>
          <w:p w14:paraId="100DFC06" w14:textId="77777777" w:rsidR="00000000" w:rsidRDefault="00C1661D">
            <w:pPr>
              <w:spacing w:after="100"/>
              <w:jc w:val="right"/>
              <w:rPr>
                <w:rFonts w:eastAsia="Times New Roman"/>
                <w:sz w:val="20"/>
                <w:szCs w:val="20"/>
              </w:rPr>
            </w:pPr>
          </w:p>
        </w:tc>
        <w:tc>
          <w:tcPr>
            <w:tcW w:w="0" w:type="auto"/>
            <w:vAlign w:val="center"/>
            <w:hideMark/>
          </w:tcPr>
          <w:p w14:paraId="038A38FE" w14:textId="77777777" w:rsidR="00000000" w:rsidRDefault="00C1661D">
            <w:pPr>
              <w:spacing w:after="100"/>
              <w:rPr>
                <w:rFonts w:eastAsia="Times New Roman"/>
                <w:sz w:val="20"/>
                <w:szCs w:val="20"/>
              </w:rPr>
            </w:pPr>
          </w:p>
        </w:tc>
        <w:tc>
          <w:tcPr>
            <w:tcW w:w="0" w:type="auto"/>
            <w:gridSpan w:val="3"/>
            <w:vAlign w:val="center"/>
            <w:hideMark/>
          </w:tcPr>
          <w:p w14:paraId="68B90E56" w14:textId="77777777" w:rsidR="00000000" w:rsidRDefault="00C1661D">
            <w:pPr>
              <w:spacing w:after="100"/>
              <w:rPr>
                <w:rFonts w:eastAsia="Times New Roman"/>
                <w:sz w:val="20"/>
                <w:szCs w:val="20"/>
              </w:rPr>
            </w:pPr>
          </w:p>
        </w:tc>
        <w:tc>
          <w:tcPr>
            <w:tcW w:w="0" w:type="auto"/>
            <w:gridSpan w:val="3"/>
            <w:vAlign w:val="center"/>
            <w:hideMark/>
          </w:tcPr>
          <w:p w14:paraId="1E67DD93" w14:textId="77777777" w:rsidR="00000000" w:rsidRDefault="00C1661D">
            <w:pPr>
              <w:spacing w:after="100"/>
              <w:rPr>
                <w:rFonts w:eastAsia="Times New Roman"/>
                <w:sz w:val="20"/>
                <w:szCs w:val="20"/>
              </w:rPr>
            </w:pPr>
          </w:p>
        </w:tc>
      </w:tr>
      <w:tr w:rsidR="00000000" w14:paraId="2DE70817" w14:textId="77777777">
        <w:trPr>
          <w:divId w:val="962686458"/>
        </w:trPr>
        <w:tc>
          <w:tcPr>
            <w:tcW w:w="0" w:type="auto"/>
            <w:gridSpan w:val="3"/>
            <w:shd w:val="clear" w:color="auto" w:fill="FFFFFF"/>
            <w:tcMar>
              <w:top w:w="30" w:type="dxa"/>
              <w:left w:w="155" w:type="dxa"/>
              <w:bottom w:w="30" w:type="dxa"/>
              <w:right w:w="20" w:type="dxa"/>
            </w:tcMar>
            <w:vAlign w:val="bottom"/>
            <w:hideMark/>
          </w:tcPr>
          <w:p w14:paraId="105CB20F" w14:textId="77777777" w:rsidR="00000000" w:rsidRDefault="00C1661D">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14:paraId="4F279F66" w14:textId="77777777" w:rsidR="00000000" w:rsidRDefault="00C1661D">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3E1ADD8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B0625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B9CAEC" w14:textId="77777777" w:rsidR="00000000" w:rsidRDefault="00C1661D">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14:paraId="56AA8A5D" w14:textId="77777777" w:rsidR="00000000" w:rsidRDefault="00C1661D">
            <w:pPr>
              <w:spacing w:after="100"/>
              <w:jc w:val="right"/>
              <w:rPr>
                <w:rFonts w:eastAsia="Times New Roman"/>
              </w:rPr>
            </w:pPr>
          </w:p>
        </w:tc>
        <w:tc>
          <w:tcPr>
            <w:tcW w:w="0" w:type="auto"/>
            <w:vAlign w:val="center"/>
            <w:hideMark/>
          </w:tcPr>
          <w:p w14:paraId="678AE853" w14:textId="77777777" w:rsidR="00000000" w:rsidRDefault="00C1661D">
            <w:pPr>
              <w:spacing w:after="100"/>
              <w:jc w:val="right"/>
              <w:rPr>
                <w:rFonts w:eastAsia="Times New Roman"/>
                <w:sz w:val="20"/>
                <w:szCs w:val="20"/>
              </w:rPr>
            </w:pPr>
          </w:p>
        </w:tc>
        <w:tc>
          <w:tcPr>
            <w:tcW w:w="0" w:type="auto"/>
            <w:vAlign w:val="center"/>
            <w:hideMark/>
          </w:tcPr>
          <w:p w14:paraId="56FFB07C" w14:textId="77777777" w:rsidR="00000000" w:rsidRDefault="00C1661D">
            <w:pPr>
              <w:spacing w:after="100"/>
              <w:rPr>
                <w:rFonts w:eastAsia="Times New Roman"/>
                <w:sz w:val="20"/>
                <w:szCs w:val="20"/>
              </w:rPr>
            </w:pPr>
          </w:p>
        </w:tc>
        <w:tc>
          <w:tcPr>
            <w:tcW w:w="0" w:type="auto"/>
            <w:gridSpan w:val="3"/>
            <w:vAlign w:val="center"/>
            <w:hideMark/>
          </w:tcPr>
          <w:p w14:paraId="2A227A50" w14:textId="77777777" w:rsidR="00000000" w:rsidRDefault="00C1661D">
            <w:pPr>
              <w:spacing w:after="100"/>
              <w:rPr>
                <w:rFonts w:eastAsia="Times New Roman"/>
                <w:sz w:val="20"/>
                <w:szCs w:val="20"/>
              </w:rPr>
            </w:pPr>
          </w:p>
        </w:tc>
        <w:tc>
          <w:tcPr>
            <w:tcW w:w="0" w:type="auto"/>
            <w:gridSpan w:val="3"/>
            <w:vAlign w:val="center"/>
            <w:hideMark/>
          </w:tcPr>
          <w:p w14:paraId="07BB0CCF" w14:textId="77777777" w:rsidR="00000000" w:rsidRDefault="00C1661D">
            <w:pPr>
              <w:spacing w:after="100"/>
              <w:rPr>
                <w:rFonts w:eastAsia="Times New Roman"/>
                <w:sz w:val="20"/>
                <w:szCs w:val="20"/>
              </w:rPr>
            </w:pPr>
          </w:p>
        </w:tc>
      </w:tr>
      <w:tr w:rsidR="00000000" w14:paraId="340739CC" w14:textId="77777777">
        <w:trPr>
          <w:divId w:val="962686458"/>
        </w:trPr>
        <w:tc>
          <w:tcPr>
            <w:tcW w:w="0" w:type="auto"/>
            <w:gridSpan w:val="3"/>
            <w:shd w:val="clear" w:color="auto" w:fill="CCEEFF"/>
            <w:tcMar>
              <w:top w:w="30" w:type="dxa"/>
              <w:left w:w="155" w:type="dxa"/>
              <w:bottom w:w="30" w:type="dxa"/>
              <w:right w:w="20" w:type="dxa"/>
            </w:tcMar>
            <w:vAlign w:val="bottom"/>
            <w:hideMark/>
          </w:tcPr>
          <w:p w14:paraId="132E1840" w14:textId="77777777" w:rsidR="00000000" w:rsidRDefault="00C1661D">
            <w:pPr>
              <w:spacing w:after="100"/>
              <w:rPr>
                <w:rFonts w:eastAsia="Times New Roman"/>
              </w:rPr>
            </w:pPr>
            <w:r>
              <w:rPr>
                <w:rFonts w:eastAsia="Times New Roman"/>
                <w:color w:val="000000"/>
                <w:sz w:val="20"/>
                <w:szCs w:val="20"/>
              </w:rPr>
              <w:t>Actuarial gain</w:t>
            </w:r>
          </w:p>
        </w:tc>
        <w:tc>
          <w:tcPr>
            <w:tcW w:w="0" w:type="auto"/>
            <w:gridSpan w:val="2"/>
            <w:shd w:val="clear" w:color="auto" w:fill="CCEEFF"/>
            <w:tcMar>
              <w:top w:w="30" w:type="dxa"/>
              <w:left w:w="20" w:type="dxa"/>
              <w:bottom w:w="30" w:type="dxa"/>
              <w:right w:w="0" w:type="dxa"/>
            </w:tcMar>
            <w:vAlign w:val="bottom"/>
            <w:hideMark/>
          </w:tcPr>
          <w:p w14:paraId="6A650412" w14:textId="77777777" w:rsidR="00000000" w:rsidRDefault="00C1661D">
            <w:pPr>
              <w:spacing w:after="100"/>
              <w:jc w:val="right"/>
              <w:rPr>
                <w:rFonts w:eastAsia="Times New Roman"/>
              </w:rPr>
            </w:pPr>
            <w:r>
              <w:rPr>
                <w:rFonts w:eastAsia="Times New Roman"/>
                <w:color w:val="000000"/>
                <w:sz w:val="20"/>
                <w:szCs w:val="20"/>
              </w:rPr>
              <w:t>(240)</w:t>
            </w:r>
          </w:p>
        </w:tc>
        <w:tc>
          <w:tcPr>
            <w:tcW w:w="0" w:type="auto"/>
            <w:shd w:val="clear" w:color="auto" w:fill="CCEEFF"/>
            <w:tcMar>
              <w:top w:w="30" w:type="dxa"/>
              <w:left w:w="0" w:type="dxa"/>
              <w:bottom w:w="30" w:type="dxa"/>
              <w:right w:w="20" w:type="dxa"/>
            </w:tcMar>
            <w:vAlign w:val="bottom"/>
            <w:hideMark/>
          </w:tcPr>
          <w:p w14:paraId="405A28E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E074F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F33CE3" w14:textId="77777777" w:rsidR="00000000" w:rsidRDefault="00C1661D">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14:paraId="3C738331" w14:textId="77777777" w:rsidR="00000000" w:rsidRDefault="00C1661D">
            <w:pPr>
              <w:spacing w:after="100"/>
              <w:jc w:val="right"/>
              <w:rPr>
                <w:rFonts w:eastAsia="Times New Roman"/>
              </w:rPr>
            </w:pPr>
          </w:p>
        </w:tc>
        <w:tc>
          <w:tcPr>
            <w:tcW w:w="0" w:type="auto"/>
            <w:vAlign w:val="center"/>
            <w:hideMark/>
          </w:tcPr>
          <w:p w14:paraId="367CC784" w14:textId="77777777" w:rsidR="00000000" w:rsidRDefault="00C1661D">
            <w:pPr>
              <w:spacing w:after="100"/>
              <w:jc w:val="right"/>
              <w:rPr>
                <w:rFonts w:eastAsia="Times New Roman"/>
                <w:sz w:val="20"/>
                <w:szCs w:val="20"/>
              </w:rPr>
            </w:pPr>
          </w:p>
        </w:tc>
        <w:tc>
          <w:tcPr>
            <w:tcW w:w="0" w:type="auto"/>
            <w:vAlign w:val="center"/>
            <w:hideMark/>
          </w:tcPr>
          <w:p w14:paraId="6BFEEF30" w14:textId="77777777" w:rsidR="00000000" w:rsidRDefault="00C1661D">
            <w:pPr>
              <w:spacing w:after="100"/>
              <w:rPr>
                <w:rFonts w:eastAsia="Times New Roman"/>
                <w:sz w:val="20"/>
                <w:szCs w:val="20"/>
              </w:rPr>
            </w:pPr>
          </w:p>
        </w:tc>
        <w:tc>
          <w:tcPr>
            <w:tcW w:w="0" w:type="auto"/>
            <w:gridSpan w:val="3"/>
            <w:vAlign w:val="center"/>
            <w:hideMark/>
          </w:tcPr>
          <w:p w14:paraId="2E2AF548" w14:textId="77777777" w:rsidR="00000000" w:rsidRDefault="00C1661D">
            <w:pPr>
              <w:spacing w:after="100"/>
              <w:rPr>
                <w:rFonts w:eastAsia="Times New Roman"/>
                <w:sz w:val="20"/>
                <w:szCs w:val="20"/>
              </w:rPr>
            </w:pPr>
          </w:p>
        </w:tc>
        <w:tc>
          <w:tcPr>
            <w:tcW w:w="0" w:type="auto"/>
            <w:gridSpan w:val="3"/>
            <w:vAlign w:val="center"/>
            <w:hideMark/>
          </w:tcPr>
          <w:p w14:paraId="411093E9" w14:textId="77777777" w:rsidR="00000000" w:rsidRDefault="00C1661D">
            <w:pPr>
              <w:spacing w:after="100"/>
              <w:rPr>
                <w:rFonts w:eastAsia="Times New Roman"/>
                <w:sz w:val="20"/>
                <w:szCs w:val="20"/>
              </w:rPr>
            </w:pPr>
          </w:p>
        </w:tc>
      </w:tr>
      <w:tr w:rsidR="00000000" w14:paraId="641AE6A7" w14:textId="77777777">
        <w:trPr>
          <w:divId w:val="962686458"/>
        </w:trPr>
        <w:tc>
          <w:tcPr>
            <w:tcW w:w="0" w:type="auto"/>
            <w:gridSpan w:val="3"/>
            <w:shd w:val="clear" w:color="auto" w:fill="FFFFFF"/>
            <w:tcMar>
              <w:top w:w="30" w:type="dxa"/>
              <w:left w:w="155" w:type="dxa"/>
              <w:bottom w:w="30" w:type="dxa"/>
              <w:right w:w="20" w:type="dxa"/>
            </w:tcMar>
            <w:vAlign w:val="bottom"/>
            <w:hideMark/>
          </w:tcPr>
          <w:p w14:paraId="14410D05" w14:textId="77777777" w:rsidR="00000000" w:rsidRDefault="00C1661D">
            <w:pPr>
              <w:spacing w:after="100"/>
              <w:rPr>
                <w:rFonts w:eastAsia="Times New Roman"/>
              </w:rPr>
            </w:pPr>
            <w:r>
              <w:rPr>
                <w:rFonts w:eastAsia="Times New Roman"/>
                <w:color w:val="000000"/>
                <w:sz w:val="20"/>
                <w:szCs w:val="20"/>
              </w:rPr>
              <w:t>Plan amendments</w:t>
            </w:r>
          </w:p>
        </w:tc>
        <w:tc>
          <w:tcPr>
            <w:tcW w:w="0" w:type="auto"/>
            <w:gridSpan w:val="2"/>
            <w:shd w:val="clear" w:color="auto" w:fill="FFFFFF"/>
            <w:tcMar>
              <w:top w:w="30" w:type="dxa"/>
              <w:left w:w="20" w:type="dxa"/>
              <w:bottom w:w="30" w:type="dxa"/>
              <w:right w:w="0" w:type="dxa"/>
            </w:tcMar>
            <w:vAlign w:val="bottom"/>
            <w:hideMark/>
          </w:tcPr>
          <w:p w14:paraId="1E9D3E5A" w14:textId="77777777" w:rsidR="00000000" w:rsidRDefault="00C1661D">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116DCBC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2E626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8231EE"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4FC264DB" w14:textId="77777777" w:rsidR="00000000" w:rsidRDefault="00C1661D">
            <w:pPr>
              <w:spacing w:after="100"/>
              <w:jc w:val="right"/>
              <w:rPr>
                <w:rFonts w:eastAsia="Times New Roman"/>
              </w:rPr>
            </w:pPr>
          </w:p>
        </w:tc>
        <w:tc>
          <w:tcPr>
            <w:tcW w:w="0" w:type="auto"/>
            <w:vAlign w:val="center"/>
            <w:hideMark/>
          </w:tcPr>
          <w:p w14:paraId="6FA406E3" w14:textId="77777777" w:rsidR="00000000" w:rsidRDefault="00C1661D">
            <w:pPr>
              <w:spacing w:after="100"/>
              <w:jc w:val="right"/>
              <w:rPr>
                <w:rFonts w:eastAsia="Times New Roman"/>
                <w:sz w:val="20"/>
                <w:szCs w:val="20"/>
              </w:rPr>
            </w:pPr>
          </w:p>
        </w:tc>
        <w:tc>
          <w:tcPr>
            <w:tcW w:w="0" w:type="auto"/>
            <w:vAlign w:val="center"/>
            <w:hideMark/>
          </w:tcPr>
          <w:p w14:paraId="02A930CC" w14:textId="77777777" w:rsidR="00000000" w:rsidRDefault="00C1661D">
            <w:pPr>
              <w:spacing w:after="100"/>
              <w:rPr>
                <w:rFonts w:eastAsia="Times New Roman"/>
                <w:sz w:val="20"/>
                <w:szCs w:val="20"/>
              </w:rPr>
            </w:pPr>
          </w:p>
        </w:tc>
        <w:tc>
          <w:tcPr>
            <w:tcW w:w="0" w:type="auto"/>
            <w:gridSpan w:val="3"/>
            <w:vAlign w:val="center"/>
            <w:hideMark/>
          </w:tcPr>
          <w:p w14:paraId="2FC1BF2D" w14:textId="77777777" w:rsidR="00000000" w:rsidRDefault="00C1661D">
            <w:pPr>
              <w:spacing w:after="100"/>
              <w:rPr>
                <w:rFonts w:eastAsia="Times New Roman"/>
                <w:sz w:val="20"/>
                <w:szCs w:val="20"/>
              </w:rPr>
            </w:pPr>
          </w:p>
        </w:tc>
        <w:tc>
          <w:tcPr>
            <w:tcW w:w="0" w:type="auto"/>
            <w:gridSpan w:val="3"/>
            <w:vAlign w:val="center"/>
            <w:hideMark/>
          </w:tcPr>
          <w:p w14:paraId="36CFFC9D" w14:textId="77777777" w:rsidR="00000000" w:rsidRDefault="00C1661D">
            <w:pPr>
              <w:spacing w:after="100"/>
              <w:rPr>
                <w:rFonts w:eastAsia="Times New Roman"/>
                <w:sz w:val="20"/>
                <w:szCs w:val="20"/>
              </w:rPr>
            </w:pPr>
          </w:p>
        </w:tc>
      </w:tr>
      <w:tr w:rsidR="00000000" w14:paraId="0563DABC" w14:textId="77777777">
        <w:trPr>
          <w:divId w:val="962686458"/>
        </w:trPr>
        <w:tc>
          <w:tcPr>
            <w:tcW w:w="0" w:type="auto"/>
            <w:gridSpan w:val="3"/>
            <w:shd w:val="clear" w:color="auto" w:fill="CCEEFF"/>
            <w:tcMar>
              <w:top w:w="30" w:type="dxa"/>
              <w:left w:w="155" w:type="dxa"/>
              <w:bottom w:w="30" w:type="dxa"/>
              <w:right w:w="20" w:type="dxa"/>
            </w:tcMar>
            <w:vAlign w:val="bottom"/>
            <w:hideMark/>
          </w:tcPr>
          <w:p w14:paraId="770F89C7" w14:textId="77777777" w:rsidR="00000000" w:rsidRDefault="00C1661D">
            <w:pPr>
              <w:spacing w:after="100"/>
              <w:rPr>
                <w:rFonts w:eastAsia="Times New Roman"/>
              </w:rPr>
            </w:pPr>
            <w:r>
              <w:rPr>
                <w:rFonts w:eastAsia="Times New Roman"/>
                <w:color w:val="000000"/>
                <w:sz w:val="20"/>
                <w:szCs w:val="20"/>
              </w:rPr>
              <w:t>Acquisitions</w:t>
            </w:r>
          </w:p>
        </w:tc>
        <w:tc>
          <w:tcPr>
            <w:tcW w:w="0" w:type="auto"/>
            <w:gridSpan w:val="2"/>
            <w:shd w:val="clear" w:color="auto" w:fill="CCEEFF"/>
            <w:tcMar>
              <w:top w:w="30" w:type="dxa"/>
              <w:left w:w="20" w:type="dxa"/>
              <w:bottom w:w="30" w:type="dxa"/>
              <w:right w:w="0" w:type="dxa"/>
            </w:tcMar>
            <w:vAlign w:val="bottom"/>
            <w:hideMark/>
          </w:tcPr>
          <w:p w14:paraId="2A2593D3"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EA4DB4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7DBDB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E2E314" w14:textId="77777777" w:rsidR="00000000" w:rsidRDefault="00C1661D">
            <w:pPr>
              <w:spacing w:after="100"/>
              <w:jc w:val="right"/>
              <w:rPr>
                <w:rFonts w:eastAsia="Times New Roman"/>
              </w:rPr>
            </w:pPr>
            <w:r>
              <w:rPr>
                <w:rFonts w:eastAsia="Times New Roman"/>
                <w:color w:val="000000"/>
                <w:sz w:val="20"/>
                <w:szCs w:val="20"/>
              </w:rPr>
              <w:t>114 </w:t>
            </w:r>
          </w:p>
        </w:tc>
        <w:tc>
          <w:tcPr>
            <w:tcW w:w="0" w:type="auto"/>
            <w:shd w:val="clear" w:color="auto" w:fill="CCEEFF"/>
            <w:tcMar>
              <w:top w:w="30" w:type="dxa"/>
              <w:left w:w="0" w:type="dxa"/>
              <w:bottom w:w="30" w:type="dxa"/>
              <w:right w:w="20" w:type="dxa"/>
            </w:tcMar>
            <w:vAlign w:val="bottom"/>
            <w:hideMark/>
          </w:tcPr>
          <w:p w14:paraId="022E3D74" w14:textId="77777777" w:rsidR="00000000" w:rsidRDefault="00C1661D">
            <w:pPr>
              <w:spacing w:after="100"/>
              <w:jc w:val="right"/>
              <w:rPr>
                <w:rFonts w:eastAsia="Times New Roman"/>
              </w:rPr>
            </w:pPr>
          </w:p>
        </w:tc>
        <w:tc>
          <w:tcPr>
            <w:tcW w:w="0" w:type="auto"/>
            <w:vAlign w:val="center"/>
            <w:hideMark/>
          </w:tcPr>
          <w:p w14:paraId="42F82DAF" w14:textId="77777777" w:rsidR="00000000" w:rsidRDefault="00C1661D">
            <w:pPr>
              <w:spacing w:after="100"/>
              <w:jc w:val="right"/>
              <w:rPr>
                <w:rFonts w:eastAsia="Times New Roman"/>
                <w:sz w:val="20"/>
                <w:szCs w:val="20"/>
              </w:rPr>
            </w:pPr>
          </w:p>
        </w:tc>
        <w:tc>
          <w:tcPr>
            <w:tcW w:w="0" w:type="auto"/>
            <w:vAlign w:val="center"/>
            <w:hideMark/>
          </w:tcPr>
          <w:p w14:paraId="45FD624D" w14:textId="77777777" w:rsidR="00000000" w:rsidRDefault="00C1661D">
            <w:pPr>
              <w:spacing w:after="100"/>
              <w:rPr>
                <w:rFonts w:eastAsia="Times New Roman"/>
                <w:sz w:val="20"/>
                <w:szCs w:val="20"/>
              </w:rPr>
            </w:pPr>
          </w:p>
        </w:tc>
        <w:tc>
          <w:tcPr>
            <w:tcW w:w="0" w:type="auto"/>
            <w:gridSpan w:val="3"/>
            <w:vAlign w:val="center"/>
            <w:hideMark/>
          </w:tcPr>
          <w:p w14:paraId="24B0F8A5" w14:textId="77777777" w:rsidR="00000000" w:rsidRDefault="00C1661D">
            <w:pPr>
              <w:spacing w:after="100"/>
              <w:rPr>
                <w:rFonts w:eastAsia="Times New Roman"/>
                <w:sz w:val="20"/>
                <w:szCs w:val="20"/>
              </w:rPr>
            </w:pPr>
          </w:p>
        </w:tc>
        <w:tc>
          <w:tcPr>
            <w:tcW w:w="0" w:type="auto"/>
            <w:gridSpan w:val="3"/>
            <w:vAlign w:val="center"/>
            <w:hideMark/>
          </w:tcPr>
          <w:p w14:paraId="343F8F29" w14:textId="77777777" w:rsidR="00000000" w:rsidRDefault="00C1661D">
            <w:pPr>
              <w:spacing w:after="100"/>
              <w:rPr>
                <w:rFonts w:eastAsia="Times New Roman"/>
                <w:sz w:val="20"/>
                <w:szCs w:val="20"/>
              </w:rPr>
            </w:pPr>
          </w:p>
        </w:tc>
      </w:tr>
      <w:tr w:rsidR="00000000" w14:paraId="2483819E" w14:textId="77777777">
        <w:trPr>
          <w:divId w:val="962686458"/>
        </w:trPr>
        <w:tc>
          <w:tcPr>
            <w:tcW w:w="0" w:type="auto"/>
            <w:gridSpan w:val="3"/>
            <w:vAlign w:val="center"/>
            <w:hideMark/>
          </w:tcPr>
          <w:p w14:paraId="62CB12AC" w14:textId="77777777" w:rsidR="00000000" w:rsidRDefault="00C1661D">
            <w:pPr>
              <w:spacing w:after="100"/>
              <w:rPr>
                <w:rFonts w:eastAsia="Times New Roman"/>
                <w:sz w:val="20"/>
                <w:szCs w:val="20"/>
              </w:rPr>
            </w:pPr>
          </w:p>
        </w:tc>
        <w:tc>
          <w:tcPr>
            <w:tcW w:w="0" w:type="auto"/>
            <w:gridSpan w:val="3"/>
            <w:vAlign w:val="center"/>
            <w:hideMark/>
          </w:tcPr>
          <w:p w14:paraId="2398290D" w14:textId="77777777" w:rsidR="00000000" w:rsidRDefault="00C1661D">
            <w:pPr>
              <w:spacing w:after="100"/>
              <w:rPr>
                <w:rFonts w:eastAsia="Times New Roman"/>
                <w:sz w:val="20"/>
                <w:szCs w:val="20"/>
              </w:rPr>
            </w:pPr>
          </w:p>
        </w:tc>
        <w:tc>
          <w:tcPr>
            <w:tcW w:w="0" w:type="auto"/>
            <w:gridSpan w:val="3"/>
            <w:vAlign w:val="center"/>
            <w:hideMark/>
          </w:tcPr>
          <w:p w14:paraId="1F6BA606" w14:textId="77777777" w:rsidR="00000000" w:rsidRDefault="00C1661D">
            <w:pPr>
              <w:spacing w:after="100"/>
              <w:rPr>
                <w:rFonts w:eastAsia="Times New Roman"/>
                <w:sz w:val="20"/>
                <w:szCs w:val="20"/>
              </w:rPr>
            </w:pPr>
          </w:p>
        </w:tc>
        <w:tc>
          <w:tcPr>
            <w:tcW w:w="0" w:type="auto"/>
            <w:gridSpan w:val="3"/>
            <w:vAlign w:val="center"/>
            <w:hideMark/>
          </w:tcPr>
          <w:p w14:paraId="7FCD06E6" w14:textId="77777777" w:rsidR="00000000" w:rsidRDefault="00C1661D">
            <w:pPr>
              <w:spacing w:after="100"/>
              <w:rPr>
                <w:rFonts w:eastAsia="Times New Roman"/>
                <w:sz w:val="20"/>
                <w:szCs w:val="20"/>
              </w:rPr>
            </w:pPr>
          </w:p>
        </w:tc>
        <w:tc>
          <w:tcPr>
            <w:tcW w:w="0" w:type="auto"/>
            <w:vAlign w:val="center"/>
            <w:hideMark/>
          </w:tcPr>
          <w:p w14:paraId="778E93C5" w14:textId="77777777" w:rsidR="00000000" w:rsidRDefault="00C1661D">
            <w:pPr>
              <w:spacing w:after="100"/>
              <w:rPr>
                <w:rFonts w:eastAsia="Times New Roman"/>
                <w:sz w:val="20"/>
                <w:szCs w:val="20"/>
              </w:rPr>
            </w:pPr>
          </w:p>
        </w:tc>
        <w:tc>
          <w:tcPr>
            <w:tcW w:w="0" w:type="auto"/>
            <w:vAlign w:val="center"/>
            <w:hideMark/>
          </w:tcPr>
          <w:p w14:paraId="33C7F443" w14:textId="77777777" w:rsidR="00000000" w:rsidRDefault="00C1661D">
            <w:pPr>
              <w:spacing w:after="100"/>
              <w:rPr>
                <w:rFonts w:eastAsia="Times New Roman"/>
                <w:sz w:val="20"/>
                <w:szCs w:val="20"/>
              </w:rPr>
            </w:pPr>
          </w:p>
        </w:tc>
        <w:tc>
          <w:tcPr>
            <w:tcW w:w="0" w:type="auto"/>
            <w:gridSpan w:val="3"/>
            <w:vAlign w:val="center"/>
            <w:hideMark/>
          </w:tcPr>
          <w:p w14:paraId="18F28662" w14:textId="77777777" w:rsidR="00000000" w:rsidRDefault="00C1661D">
            <w:pPr>
              <w:spacing w:after="100"/>
              <w:rPr>
                <w:rFonts w:eastAsia="Times New Roman"/>
                <w:sz w:val="20"/>
                <w:szCs w:val="20"/>
              </w:rPr>
            </w:pPr>
          </w:p>
        </w:tc>
        <w:tc>
          <w:tcPr>
            <w:tcW w:w="0" w:type="auto"/>
            <w:gridSpan w:val="3"/>
            <w:vAlign w:val="center"/>
            <w:hideMark/>
          </w:tcPr>
          <w:p w14:paraId="2B1A217D" w14:textId="77777777" w:rsidR="00000000" w:rsidRDefault="00C1661D">
            <w:pPr>
              <w:spacing w:after="100"/>
              <w:rPr>
                <w:rFonts w:eastAsia="Times New Roman"/>
                <w:sz w:val="20"/>
                <w:szCs w:val="20"/>
              </w:rPr>
            </w:pPr>
          </w:p>
        </w:tc>
      </w:tr>
      <w:tr w:rsidR="00000000" w14:paraId="41576C63" w14:textId="77777777">
        <w:trPr>
          <w:divId w:val="962686458"/>
        </w:trPr>
        <w:tc>
          <w:tcPr>
            <w:tcW w:w="0" w:type="auto"/>
            <w:gridSpan w:val="3"/>
            <w:vAlign w:val="center"/>
            <w:hideMark/>
          </w:tcPr>
          <w:p w14:paraId="64104FA1" w14:textId="77777777" w:rsidR="00000000" w:rsidRDefault="00C1661D">
            <w:pPr>
              <w:spacing w:after="100"/>
              <w:rPr>
                <w:rFonts w:eastAsia="Times New Roman"/>
                <w:sz w:val="20"/>
                <w:szCs w:val="20"/>
              </w:rPr>
            </w:pPr>
          </w:p>
        </w:tc>
        <w:tc>
          <w:tcPr>
            <w:tcW w:w="0" w:type="auto"/>
            <w:gridSpan w:val="3"/>
            <w:vAlign w:val="center"/>
            <w:hideMark/>
          </w:tcPr>
          <w:p w14:paraId="60CBCD65" w14:textId="77777777" w:rsidR="00000000" w:rsidRDefault="00C1661D">
            <w:pPr>
              <w:spacing w:after="100"/>
              <w:rPr>
                <w:rFonts w:eastAsia="Times New Roman"/>
                <w:sz w:val="20"/>
                <w:szCs w:val="20"/>
              </w:rPr>
            </w:pPr>
          </w:p>
        </w:tc>
        <w:tc>
          <w:tcPr>
            <w:tcW w:w="0" w:type="auto"/>
            <w:gridSpan w:val="3"/>
            <w:vAlign w:val="center"/>
            <w:hideMark/>
          </w:tcPr>
          <w:p w14:paraId="059389D7" w14:textId="77777777" w:rsidR="00000000" w:rsidRDefault="00C1661D">
            <w:pPr>
              <w:spacing w:after="100"/>
              <w:rPr>
                <w:rFonts w:eastAsia="Times New Roman"/>
                <w:sz w:val="20"/>
                <w:szCs w:val="20"/>
              </w:rPr>
            </w:pPr>
          </w:p>
        </w:tc>
        <w:tc>
          <w:tcPr>
            <w:tcW w:w="0" w:type="auto"/>
            <w:gridSpan w:val="3"/>
            <w:vAlign w:val="center"/>
            <w:hideMark/>
          </w:tcPr>
          <w:p w14:paraId="081BB109" w14:textId="77777777" w:rsidR="00000000" w:rsidRDefault="00C1661D">
            <w:pPr>
              <w:spacing w:after="100"/>
              <w:rPr>
                <w:rFonts w:eastAsia="Times New Roman"/>
                <w:sz w:val="20"/>
                <w:szCs w:val="20"/>
              </w:rPr>
            </w:pPr>
          </w:p>
        </w:tc>
        <w:tc>
          <w:tcPr>
            <w:tcW w:w="0" w:type="auto"/>
            <w:vAlign w:val="center"/>
            <w:hideMark/>
          </w:tcPr>
          <w:p w14:paraId="29635507" w14:textId="77777777" w:rsidR="00000000" w:rsidRDefault="00C1661D">
            <w:pPr>
              <w:spacing w:after="100"/>
              <w:rPr>
                <w:rFonts w:eastAsia="Times New Roman"/>
                <w:sz w:val="20"/>
                <w:szCs w:val="20"/>
              </w:rPr>
            </w:pPr>
          </w:p>
        </w:tc>
        <w:tc>
          <w:tcPr>
            <w:tcW w:w="0" w:type="auto"/>
            <w:vAlign w:val="center"/>
            <w:hideMark/>
          </w:tcPr>
          <w:p w14:paraId="62C1AE34" w14:textId="77777777" w:rsidR="00000000" w:rsidRDefault="00C1661D">
            <w:pPr>
              <w:spacing w:after="100"/>
              <w:rPr>
                <w:rFonts w:eastAsia="Times New Roman"/>
                <w:sz w:val="20"/>
                <w:szCs w:val="20"/>
              </w:rPr>
            </w:pPr>
          </w:p>
        </w:tc>
        <w:tc>
          <w:tcPr>
            <w:tcW w:w="0" w:type="auto"/>
            <w:gridSpan w:val="3"/>
            <w:vAlign w:val="center"/>
            <w:hideMark/>
          </w:tcPr>
          <w:p w14:paraId="3B44F7BA" w14:textId="77777777" w:rsidR="00000000" w:rsidRDefault="00C1661D">
            <w:pPr>
              <w:spacing w:after="100"/>
              <w:rPr>
                <w:rFonts w:eastAsia="Times New Roman"/>
                <w:sz w:val="20"/>
                <w:szCs w:val="20"/>
              </w:rPr>
            </w:pPr>
          </w:p>
        </w:tc>
        <w:tc>
          <w:tcPr>
            <w:tcW w:w="0" w:type="auto"/>
            <w:gridSpan w:val="3"/>
            <w:vAlign w:val="center"/>
            <w:hideMark/>
          </w:tcPr>
          <w:p w14:paraId="5FE0778E" w14:textId="77777777" w:rsidR="00000000" w:rsidRDefault="00C1661D">
            <w:pPr>
              <w:spacing w:after="100"/>
              <w:rPr>
                <w:rFonts w:eastAsia="Times New Roman"/>
                <w:sz w:val="20"/>
                <w:szCs w:val="20"/>
              </w:rPr>
            </w:pPr>
          </w:p>
        </w:tc>
      </w:tr>
      <w:tr w:rsidR="00000000" w14:paraId="38640B9B" w14:textId="77777777">
        <w:trPr>
          <w:divId w:val="962686458"/>
        </w:trPr>
        <w:tc>
          <w:tcPr>
            <w:tcW w:w="0" w:type="auto"/>
            <w:gridSpan w:val="3"/>
            <w:shd w:val="clear" w:color="auto" w:fill="FFFFFF"/>
            <w:tcMar>
              <w:top w:w="30" w:type="dxa"/>
              <w:left w:w="155" w:type="dxa"/>
              <w:bottom w:w="30" w:type="dxa"/>
              <w:right w:w="20" w:type="dxa"/>
            </w:tcMar>
            <w:vAlign w:val="bottom"/>
            <w:hideMark/>
          </w:tcPr>
          <w:p w14:paraId="51E5D7B9" w14:textId="77777777" w:rsidR="00000000" w:rsidRDefault="00C1661D">
            <w:pPr>
              <w:spacing w:after="100"/>
              <w:rPr>
                <w:rFonts w:eastAsia="Times New Roman"/>
              </w:rPr>
            </w:pPr>
            <w:r>
              <w:rPr>
                <w:rFonts w:eastAsia="Times New Roman"/>
                <w:color w:val="000000"/>
                <w:sz w:val="20"/>
                <w:szCs w:val="20"/>
              </w:rPr>
              <w:t>Foreign currency</w:t>
            </w:r>
          </w:p>
        </w:tc>
        <w:tc>
          <w:tcPr>
            <w:tcW w:w="0" w:type="auto"/>
            <w:gridSpan w:val="2"/>
            <w:shd w:val="clear" w:color="auto" w:fill="FFFFFF"/>
            <w:tcMar>
              <w:top w:w="30" w:type="dxa"/>
              <w:left w:w="20" w:type="dxa"/>
              <w:bottom w:w="30" w:type="dxa"/>
              <w:right w:w="0" w:type="dxa"/>
            </w:tcMar>
            <w:vAlign w:val="bottom"/>
            <w:hideMark/>
          </w:tcPr>
          <w:p w14:paraId="7991B22A" w14:textId="77777777" w:rsidR="00000000" w:rsidRDefault="00C1661D">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14:paraId="656CECE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C9D05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4B1CDC" w14:textId="77777777" w:rsidR="00000000" w:rsidRDefault="00C1661D">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3F9EE9AE" w14:textId="77777777" w:rsidR="00000000" w:rsidRDefault="00C1661D">
            <w:pPr>
              <w:spacing w:after="100"/>
              <w:jc w:val="right"/>
              <w:rPr>
                <w:rFonts w:eastAsia="Times New Roman"/>
              </w:rPr>
            </w:pPr>
          </w:p>
        </w:tc>
        <w:tc>
          <w:tcPr>
            <w:tcW w:w="0" w:type="auto"/>
            <w:vAlign w:val="center"/>
            <w:hideMark/>
          </w:tcPr>
          <w:p w14:paraId="4E77962C" w14:textId="77777777" w:rsidR="00000000" w:rsidRDefault="00C1661D">
            <w:pPr>
              <w:spacing w:after="100"/>
              <w:jc w:val="right"/>
              <w:rPr>
                <w:rFonts w:eastAsia="Times New Roman"/>
                <w:sz w:val="20"/>
                <w:szCs w:val="20"/>
              </w:rPr>
            </w:pPr>
          </w:p>
        </w:tc>
        <w:tc>
          <w:tcPr>
            <w:tcW w:w="0" w:type="auto"/>
            <w:vAlign w:val="center"/>
            <w:hideMark/>
          </w:tcPr>
          <w:p w14:paraId="5CC8E748" w14:textId="77777777" w:rsidR="00000000" w:rsidRDefault="00C1661D">
            <w:pPr>
              <w:spacing w:after="100"/>
              <w:rPr>
                <w:rFonts w:eastAsia="Times New Roman"/>
                <w:sz w:val="20"/>
                <w:szCs w:val="20"/>
              </w:rPr>
            </w:pPr>
          </w:p>
        </w:tc>
        <w:tc>
          <w:tcPr>
            <w:tcW w:w="0" w:type="auto"/>
            <w:gridSpan w:val="3"/>
            <w:vAlign w:val="center"/>
            <w:hideMark/>
          </w:tcPr>
          <w:p w14:paraId="225D9212" w14:textId="77777777" w:rsidR="00000000" w:rsidRDefault="00C1661D">
            <w:pPr>
              <w:spacing w:after="100"/>
              <w:rPr>
                <w:rFonts w:eastAsia="Times New Roman"/>
                <w:sz w:val="20"/>
                <w:szCs w:val="20"/>
              </w:rPr>
            </w:pPr>
          </w:p>
        </w:tc>
        <w:tc>
          <w:tcPr>
            <w:tcW w:w="0" w:type="auto"/>
            <w:gridSpan w:val="3"/>
            <w:vAlign w:val="center"/>
            <w:hideMark/>
          </w:tcPr>
          <w:p w14:paraId="7AB97901" w14:textId="77777777" w:rsidR="00000000" w:rsidRDefault="00C1661D">
            <w:pPr>
              <w:spacing w:after="100"/>
              <w:rPr>
                <w:rFonts w:eastAsia="Times New Roman"/>
                <w:sz w:val="20"/>
                <w:szCs w:val="20"/>
              </w:rPr>
            </w:pPr>
          </w:p>
        </w:tc>
      </w:tr>
      <w:tr w:rsidR="00000000" w14:paraId="5A6AEB1E" w14:textId="77777777">
        <w:trPr>
          <w:divId w:val="962686458"/>
        </w:trPr>
        <w:tc>
          <w:tcPr>
            <w:tcW w:w="0" w:type="auto"/>
            <w:gridSpan w:val="3"/>
            <w:shd w:val="clear" w:color="auto" w:fill="CCEEFF"/>
            <w:tcMar>
              <w:top w:w="30" w:type="dxa"/>
              <w:left w:w="155" w:type="dxa"/>
              <w:bottom w:w="30" w:type="dxa"/>
              <w:right w:w="20" w:type="dxa"/>
            </w:tcMar>
            <w:vAlign w:val="bottom"/>
            <w:hideMark/>
          </w:tcPr>
          <w:p w14:paraId="711E170B" w14:textId="77777777" w:rsidR="00000000" w:rsidRDefault="00C1661D">
            <w:pPr>
              <w:spacing w:after="100"/>
              <w:rPr>
                <w:rFonts w:eastAsia="Times New Roman"/>
              </w:rPr>
            </w:pPr>
            <w:r>
              <w:rPr>
                <w:rFonts w:eastAsia="Times New Roman"/>
                <w:color w:val="000000"/>
                <w:sz w:val="20"/>
                <w:szCs w:val="20"/>
              </w:rPr>
              <w:t>Benefits paid</w:t>
            </w: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2A66E3C1" w14:textId="77777777" w:rsidR="00000000" w:rsidRDefault="00C1661D">
            <w:pPr>
              <w:spacing w:after="100"/>
              <w:jc w:val="right"/>
              <w:rPr>
                <w:rFonts w:eastAsia="Times New Roman"/>
              </w:rPr>
            </w:pPr>
            <w:r>
              <w:rPr>
                <w:rFonts w:eastAsia="Times New Roman"/>
                <w:color w:val="000000"/>
                <w:sz w:val="20"/>
                <w:szCs w:val="20"/>
              </w:rPr>
              <w:t>(34)</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483C262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9155A1" w14:textId="77777777" w:rsidR="00000000" w:rsidRDefault="00C1661D">
            <w:pPr>
              <w:spacing w:after="100"/>
              <w:jc w:val="right"/>
              <w:rPr>
                <w:rFonts w:eastAsia="Times New Roman"/>
                <w:sz w:val="20"/>
                <w:szCs w:val="20"/>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508ECDB1" w14:textId="77777777" w:rsidR="00000000" w:rsidRDefault="00C1661D">
            <w:pPr>
              <w:spacing w:after="100"/>
              <w:jc w:val="right"/>
              <w:rPr>
                <w:rFonts w:eastAsia="Times New Roman"/>
              </w:rPr>
            </w:pPr>
            <w:r>
              <w:rPr>
                <w:rFonts w:eastAsia="Times New Roman"/>
                <w:color w:val="000000"/>
                <w:sz w:val="20"/>
                <w:szCs w:val="20"/>
              </w:rPr>
              <w:t>(31)</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1175CEBA" w14:textId="77777777" w:rsidR="00000000" w:rsidRDefault="00C1661D">
            <w:pPr>
              <w:spacing w:after="100"/>
              <w:jc w:val="right"/>
              <w:rPr>
                <w:rFonts w:eastAsia="Times New Roman"/>
              </w:rPr>
            </w:pPr>
          </w:p>
        </w:tc>
        <w:tc>
          <w:tcPr>
            <w:tcW w:w="0" w:type="auto"/>
            <w:vAlign w:val="center"/>
            <w:hideMark/>
          </w:tcPr>
          <w:p w14:paraId="6F887DB9" w14:textId="77777777" w:rsidR="00000000" w:rsidRDefault="00C1661D">
            <w:pPr>
              <w:spacing w:after="100"/>
              <w:jc w:val="right"/>
              <w:rPr>
                <w:rFonts w:eastAsia="Times New Roman"/>
                <w:sz w:val="20"/>
                <w:szCs w:val="20"/>
              </w:rPr>
            </w:pPr>
          </w:p>
        </w:tc>
        <w:tc>
          <w:tcPr>
            <w:tcW w:w="0" w:type="auto"/>
            <w:vAlign w:val="center"/>
            <w:hideMark/>
          </w:tcPr>
          <w:p w14:paraId="624C1F56" w14:textId="77777777" w:rsidR="00000000" w:rsidRDefault="00C1661D">
            <w:pPr>
              <w:spacing w:after="100"/>
              <w:rPr>
                <w:rFonts w:eastAsia="Times New Roman"/>
                <w:sz w:val="20"/>
                <w:szCs w:val="20"/>
              </w:rPr>
            </w:pPr>
          </w:p>
        </w:tc>
        <w:tc>
          <w:tcPr>
            <w:tcW w:w="0" w:type="auto"/>
            <w:gridSpan w:val="3"/>
            <w:vAlign w:val="center"/>
            <w:hideMark/>
          </w:tcPr>
          <w:p w14:paraId="1D5B0D45" w14:textId="77777777" w:rsidR="00000000" w:rsidRDefault="00C1661D">
            <w:pPr>
              <w:spacing w:after="100"/>
              <w:rPr>
                <w:rFonts w:eastAsia="Times New Roman"/>
                <w:sz w:val="20"/>
                <w:szCs w:val="20"/>
              </w:rPr>
            </w:pPr>
          </w:p>
        </w:tc>
        <w:tc>
          <w:tcPr>
            <w:tcW w:w="0" w:type="auto"/>
            <w:gridSpan w:val="3"/>
            <w:vAlign w:val="center"/>
            <w:hideMark/>
          </w:tcPr>
          <w:p w14:paraId="4918E08A" w14:textId="77777777" w:rsidR="00000000" w:rsidRDefault="00C1661D">
            <w:pPr>
              <w:spacing w:after="100"/>
              <w:rPr>
                <w:rFonts w:eastAsia="Times New Roman"/>
                <w:sz w:val="20"/>
                <w:szCs w:val="20"/>
              </w:rPr>
            </w:pPr>
          </w:p>
        </w:tc>
      </w:tr>
    </w:tbl>
    <w:p w14:paraId="52CAC7B2" w14:textId="77777777" w:rsidR="00000000" w:rsidRDefault="00C1661D">
      <w:pPr>
        <w:jc w:val="center"/>
        <w:divId w:val="1171947179"/>
        <w:rPr>
          <w:rFonts w:eastAsia="Times New Roman"/>
        </w:rPr>
      </w:pPr>
      <w:r>
        <w:rPr>
          <w:rFonts w:eastAsia="Times New Roman"/>
          <w:color w:val="000000"/>
          <w:sz w:val="20"/>
          <w:szCs w:val="20"/>
        </w:rPr>
        <w:t>F-34</w:t>
      </w:r>
    </w:p>
    <w:p w14:paraId="485BE3C9" w14:textId="77777777" w:rsidR="00000000" w:rsidRDefault="00C1661D">
      <w:pPr>
        <w:rPr>
          <w:rFonts w:eastAsia="Times New Roman"/>
        </w:rPr>
      </w:pPr>
      <w:r>
        <w:rPr>
          <w:rFonts w:eastAsia="Times New Roman"/>
        </w:rPr>
        <w:pict w14:anchorId="44B1E21B">
          <v:rect id="_x0000_i1147" style="width:0;height:1.5pt" o:hralign="center" o:hrstd="t" o:hr="t" fillcolor="#a0a0a0" stroked="f"/>
        </w:pict>
      </w:r>
    </w:p>
    <w:p w14:paraId="083E73FC" w14:textId="77777777" w:rsidR="00000000" w:rsidRDefault="00C1661D">
      <w:pPr>
        <w:divId w:val="1919250265"/>
        <w:rPr>
          <w:rFonts w:eastAsia="Times New Roman"/>
        </w:rPr>
      </w:pPr>
      <w:hyperlink w:anchor="i3850c3c6c0104e42b9951aac2f16098a_7" w:history="1">
        <w:r>
          <w:rPr>
            <w:rStyle w:val="a3"/>
            <w:rFonts w:eastAsia="Times New Roman"/>
            <w:sz w:val="20"/>
            <w:szCs w:val="20"/>
          </w:rPr>
          <w:t>Table of Contents</w:t>
        </w:r>
      </w:hyperlink>
    </w:p>
    <w:p w14:paraId="5EF4357B" w14:textId="77777777" w:rsidR="00000000" w:rsidRDefault="00C1661D">
      <w:pPr>
        <w:divId w:val="1423718800"/>
        <w:rPr>
          <w:rFonts w:eastAsia="Times New Roman"/>
        </w:rPr>
      </w:pPr>
      <w:r>
        <w:rPr>
          <w:rFonts w:eastAsia="Times New Roman"/>
          <w:b/>
          <w:bCs/>
          <w:color w:val="000000"/>
          <w:sz w:val="20"/>
          <w:szCs w:val="20"/>
        </w:rPr>
        <w:t>UGI Corporation and Subsidiaries</w:t>
      </w:r>
    </w:p>
    <w:p w14:paraId="59B48C98" w14:textId="77777777" w:rsidR="00000000" w:rsidRDefault="00C1661D">
      <w:pPr>
        <w:divId w:val="1399785544"/>
        <w:rPr>
          <w:rFonts w:eastAsia="Times New Roman"/>
        </w:rPr>
      </w:pPr>
      <w:r>
        <w:rPr>
          <w:rFonts w:eastAsia="Times New Roman"/>
          <w:b/>
          <w:bCs/>
          <w:color w:val="000000"/>
          <w:sz w:val="20"/>
          <w:szCs w:val="20"/>
        </w:rPr>
        <w:t>Notes to Consolidated Financial Statements</w:t>
      </w:r>
    </w:p>
    <w:p w14:paraId="7E82860C" w14:textId="77777777" w:rsidR="00000000" w:rsidRDefault="00C1661D">
      <w:pPr>
        <w:divId w:val="868100809"/>
        <w:rPr>
          <w:rFonts w:eastAsia="Times New Roman"/>
        </w:rPr>
      </w:pPr>
      <w:r>
        <w:rPr>
          <w:rFonts w:eastAsia="Times New Roman"/>
          <w:color w:val="000000"/>
          <w:sz w:val="20"/>
          <w:szCs w:val="20"/>
        </w:rPr>
        <w:t>(Currency in millions, except per share amounts and where indicated otherwise)</w:t>
      </w:r>
    </w:p>
    <w:tbl>
      <w:tblPr>
        <w:tblW w:w="5000" w:type="pct"/>
        <w:tblCellMar>
          <w:top w:w="15" w:type="dxa"/>
          <w:left w:w="15" w:type="dxa"/>
          <w:bottom w:w="15" w:type="dxa"/>
          <w:right w:w="15" w:type="dxa"/>
        </w:tblCellMar>
        <w:tblLook w:val="04A0" w:firstRow="1" w:lastRow="0" w:firstColumn="1" w:lastColumn="0" w:noHBand="0" w:noVBand="1"/>
      </w:tblPr>
      <w:tblGrid>
        <w:gridCol w:w="38"/>
        <w:gridCol w:w="5787"/>
        <w:gridCol w:w="37"/>
        <w:gridCol w:w="120"/>
        <w:gridCol w:w="886"/>
        <w:gridCol w:w="36"/>
        <w:gridCol w:w="36"/>
        <w:gridCol w:w="36"/>
        <w:gridCol w:w="36"/>
        <w:gridCol w:w="120"/>
        <w:gridCol w:w="850"/>
        <w:gridCol w:w="36"/>
        <w:gridCol w:w="36"/>
        <w:gridCol w:w="36"/>
        <w:gridCol w:w="36"/>
        <w:gridCol w:w="36"/>
        <w:gridCol w:w="36"/>
        <w:gridCol w:w="36"/>
        <w:gridCol w:w="36"/>
        <w:gridCol w:w="36"/>
      </w:tblGrid>
      <w:tr w:rsidR="00000000" w14:paraId="4DF7030B" w14:textId="77777777">
        <w:trPr>
          <w:divId w:val="1788045911"/>
        </w:trPr>
        <w:tc>
          <w:tcPr>
            <w:tcW w:w="50" w:type="pct"/>
            <w:vAlign w:val="center"/>
            <w:hideMark/>
          </w:tcPr>
          <w:p w14:paraId="705D6A99" w14:textId="77777777" w:rsidR="00000000" w:rsidRDefault="00C1661D">
            <w:pPr>
              <w:rPr>
                <w:rFonts w:eastAsia="Times New Roman"/>
              </w:rPr>
            </w:pPr>
          </w:p>
        </w:tc>
        <w:tc>
          <w:tcPr>
            <w:tcW w:w="3636" w:type="pct"/>
            <w:vAlign w:val="center"/>
            <w:hideMark/>
          </w:tcPr>
          <w:p w14:paraId="4ACF73AE" w14:textId="77777777" w:rsidR="00000000" w:rsidRDefault="00C1661D">
            <w:pPr>
              <w:spacing w:after="100"/>
              <w:rPr>
                <w:rFonts w:eastAsia="Times New Roman"/>
                <w:sz w:val="20"/>
                <w:szCs w:val="20"/>
              </w:rPr>
            </w:pPr>
          </w:p>
        </w:tc>
        <w:tc>
          <w:tcPr>
            <w:tcW w:w="5" w:type="pct"/>
            <w:vAlign w:val="center"/>
            <w:hideMark/>
          </w:tcPr>
          <w:p w14:paraId="1395BD0B" w14:textId="77777777" w:rsidR="00000000" w:rsidRDefault="00C1661D">
            <w:pPr>
              <w:spacing w:after="100"/>
              <w:rPr>
                <w:rFonts w:eastAsia="Times New Roman"/>
                <w:sz w:val="20"/>
                <w:szCs w:val="20"/>
              </w:rPr>
            </w:pPr>
          </w:p>
        </w:tc>
        <w:tc>
          <w:tcPr>
            <w:tcW w:w="50" w:type="pct"/>
            <w:vAlign w:val="center"/>
            <w:hideMark/>
          </w:tcPr>
          <w:p w14:paraId="728218DF" w14:textId="77777777" w:rsidR="00000000" w:rsidRDefault="00C1661D">
            <w:pPr>
              <w:spacing w:after="100"/>
              <w:rPr>
                <w:rFonts w:eastAsia="Times New Roman"/>
                <w:sz w:val="20"/>
                <w:szCs w:val="20"/>
              </w:rPr>
            </w:pPr>
          </w:p>
        </w:tc>
        <w:tc>
          <w:tcPr>
            <w:tcW w:w="580" w:type="pct"/>
            <w:vAlign w:val="center"/>
            <w:hideMark/>
          </w:tcPr>
          <w:p w14:paraId="040126F7" w14:textId="77777777" w:rsidR="00000000" w:rsidRDefault="00C1661D">
            <w:pPr>
              <w:spacing w:after="100"/>
              <w:rPr>
                <w:rFonts w:eastAsia="Times New Roman"/>
                <w:sz w:val="20"/>
                <w:szCs w:val="20"/>
              </w:rPr>
            </w:pPr>
          </w:p>
        </w:tc>
        <w:tc>
          <w:tcPr>
            <w:tcW w:w="5" w:type="pct"/>
            <w:vAlign w:val="center"/>
            <w:hideMark/>
          </w:tcPr>
          <w:p w14:paraId="3B408043" w14:textId="77777777" w:rsidR="00000000" w:rsidRDefault="00C1661D">
            <w:pPr>
              <w:spacing w:after="100"/>
              <w:rPr>
                <w:rFonts w:eastAsia="Times New Roman"/>
                <w:sz w:val="20"/>
                <w:szCs w:val="20"/>
              </w:rPr>
            </w:pPr>
          </w:p>
        </w:tc>
        <w:tc>
          <w:tcPr>
            <w:tcW w:w="5" w:type="pct"/>
            <w:vAlign w:val="center"/>
            <w:hideMark/>
          </w:tcPr>
          <w:p w14:paraId="34855C76" w14:textId="77777777" w:rsidR="00000000" w:rsidRDefault="00C1661D">
            <w:pPr>
              <w:spacing w:after="100"/>
              <w:rPr>
                <w:rFonts w:eastAsia="Times New Roman"/>
                <w:sz w:val="20"/>
                <w:szCs w:val="20"/>
              </w:rPr>
            </w:pPr>
          </w:p>
        </w:tc>
        <w:tc>
          <w:tcPr>
            <w:tcW w:w="26" w:type="pct"/>
            <w:vAlign w:val="center"/>
            <w:hideMark/>
          </w:tcPr>
          <w:p w14:paraId="7B38F7B3" w14:textId="77777777" w:rsidR="00000000" w:rsidRDefault="00C1661D">
            <w:pPr>
              <w:spacing w:after="100"/>
              <w:rPr>
                <w:rFonts w:eastAsia="Times New Roman"/>
                <w:sz w:val="20"/>
                <w:szCs w:val="20"/>
              </w:rPr>
            </w:pPr>
          </w:p>
        </w:tc>
        <w:tc>
          <w:tcPr>
            <w:tcW w:w="5" w:type="pct"/>
            <w:vAlign w:val="center"/>
            <w:hideMark/>
          </w:tcPr>
          <w:p w14:paraId="53839040" w14:textId="77777777" w:rsidR="00000000" w:rsidRDefault="00C1661D">
            <w:pPr>
              <w:spacing w:after="100"/>
              <w:rPr>
                <w:rFonts w:eastAsia="Times New Roman"/>
                <w:sz w:val="20"/>
                <w:szCs w:val="20"/>
              </w:rPr>
            </w:pPr>
          </w:p>
        </w:tc>
        <w:tc>
          <w:tcPr>
            <w:tcW w:w="50" w:type="pct"/>
            <w:vAlign w:val="center"/>
            <w:hideMark/>
          </w:tcPr>
          <w:p w14:paraId="7941DBC3" w14:textId="77777777" w:rsidR="00000000" w:rsidRDefault="00C1661D">
            <w:pPr>
              <w:spacing w:after="100"/>
              <w:rPr>
                <w:rFonts w:eastAsia="Times New Roman"/>
                <w:sz w:val="20"/>
                <w:szCs w:val="20"/>
              </w:rPr>
            </w:pPr>
          </w:p>
        </w:tc>
        <w:tc>
          <w:tcPr>
            <w:tcW w:w="581" w:type="pct"/>
            <w:vAlign w:val="center"/>
            <w:hideMark/>
          </w:tcPr>
          <w:p w14:paraId="6E98B2FC" w14:textId="77777777" w:rsidR="00000000" w:rsidRDefault="00C1661D">
            <w:pPr>
              <w:spacing w:after="100"/>
              <w:rPr>
                <w:rFonts w:eastAsia="Times New Roman"/>
                <w:sz w:val="20"/>
                <w:szCs w:val="20"/>
              </w:rPr>
            </w:pPr>
          </w:p>
        </w:tc>
        <w:tc>
          <w:tcPr>
            <w:tcW w:w="5" w:type="pct"/>
            <w:vAlign w:val="center"/>
            <w:hideMark/>
          </w:tcPr>
          <w:p w14:paraId="73176428" w14:textId="77777777" w:rsidR="00000000" w:rsidRDefault="00C1661D">
            <w:pPr>
              <w:spacing w:after="100"/>
              <w:rPr>
                <w:rFonts w:eastAsia="Times New Roman"/>
                <w:sz w:val="20"/>
                <w:szCs w:val="20"/>
              </w:rPr>
            </w:pPr>
          </w:p>
        </w:tc>
        <w:tc>
          <w:tcPr>
            <w:tcW w:w="0" w:type="auto"/>
            <w:vAlign w:val="center"/>
            <w:hideMark/>
          </w:tcPr>
          <w:p w14:paraId="636A410C" w14:textId="77777777" w:rsidR="00000000" w:rsidRDefault="00C1661D">
            <w:pPr>
              <w:spacing w:after="100"/>
              <w:rPr>
                <w:rFonts w:eastAsia="Times New Roman"/>
                <w:sz w:val="20"/>
                <w:szCs w:val="20"/>
              </w:rPr>
            </w:pPr>
          </w:p>
        </w:tc>
        <w:tc>
          <w:tcPr>
            <w:tcW w:w="0" w:type="auto"/>
            <w:vAlign w:val="center"/>
            <w:hideMark/>
          </w:tcPr>
          <w:p w14:paraId="7E4E6690" w14:textId="77777777" w:rsidR="00000000" w:rsidRDefault="00C1661D">
            <w:pPr>
              <w:spacing w:after="100"/>
              <w:rPr>
                <w:rFonts w:eastAsia="Times New Roman"/>
                <w:sz w:val="20"/>
                <w:szCs w:val="20"/>
              </w:rPr>
            </w:pPr>
          </w:p>
        </w:tc>
        <w:tc>
          <w:tcPr>
            <w:tcW w:w="0" w:type="auto"/>
            <w:gridSpan w:val="3"/>
            <w:vAlign w:val="center"/>
            <w:hideMark/>
          </w:tcPr>
          <w:p w14:paraId="20C19029" w14:textId="77777777" w:rsidR="00000000" w:rsidRDefault="00C1661D">
            <w:pPr>
              <w:spacing w:after="100"/>
              <w:rPr>
                <w:rFonts w:eastAsia="Times New Roman"/>
                <w:sz w:val="20"/>
                <w:szCs w:val="20"/>
              </w:rPr>
            </w:pPr>
          </w:p>
        </w:tc>
        <w:tc>
          <w:tcPr>
            <w:tcW w:w="0" w:type="auto"/>
            <w:gridSpan w:val="3"/>
            <w:vAlign w:val="center"/>
            <w:hideMark/>
          </w:tcPr>
          <w:p w14:paraId="3CC43376" w14:textId="77777777" w:rsidR="00000000" w:rsidRDefault="00C1661D">
            <w:pPr>
              <w:spacing w:after="100"/>
              <w:rPr>
                <w:rFonts w:eastAsia="Times New Roman"/>
                <w:sz w:val="20"/>
                <w:szCs w:val="20"/>
              </w:rPr>
            </w:pPr>
          </w:p>
        </w:tc>
      </w:tr>
      <w:tr w:rsidR="00000000" w14:paraId="64F448E4" w14:textId="77777777">
        <w:trPr>
          <w:divId w:val="1788045911"/>
        </w:trPr>
        <w:tc>
          <w:tcPr>
            <w:tcW w:w="0" w:type="auto"/>
            <w:gridSpan w:val="3"/>
            <w:tcMar>
              <w:top w:w="0" w:type="dxa"/>
              <w:left w:w="20" w:type="dxa"/>
              <w:bottom w:w="0" w:type="dxa"/>
              <w:right w:w="20" w:type="dxa"/>
            </w:tcMar>
            <w:vAlign w:val="center"/>
            <w:hideMark/>
          </w:tcPr>
          <w:p w14:paraId="183C9A49" w14:textId="77777777" w:rsidR="00000000" w:rsidRDefault="00C1661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7F79B77" w14:textId="77777777" w:rsidR="00000000" w:rsidRDefault="00C1661D">
            <w:pPr>
              <w:spacing w:after="100"/>
              <w:jc w:val="center"/>
              <w:rPr>
                <w:rFonts w:eastAsia="Times New Roman"/>
              </w:rPr>
            </w:pPr>
            <w:r>
              <w:rPr>
                <w:rFonts w:eastAsia="Times New Roman"/>
                <w:color w:val="000000"/>
                <w:sz w:val="20"/>
                <w:szCs w:val="20"/>
              </w:rPr>
              <w:t>Pension Benefits</w:t>
            </w:r>
          </w:p>
        </w:tc>
        <w:tc>
          <w:tcPr>
            <w:tcW w:w="0" w:type="auto"/>
            <w:vAlign w:val="center"/>
            <w:hideMark/>
          </w:tcPr>
          <w:p w14:paraId="2113FFDF" w14:textId="77777777" w:rsidR="00000000" w:rsidRDefault="00C1661D">
            <w:pPr>
              <w:spacing w:after="100"/>
              <w:jc w:val="center"/>
              <w:rPr>
                <w:rFonts w:eastAsia="Times New Roman"/>
              </w:rPr>
            </w:pPr>
          </w:p>
        </w:tc>
        <w:tc>
          <w:tcPr>
            <w:tcW w:w="0" w:type="auto"/>
            <w:vAlign w:val="center"/>
            <w:hideMark/>
          </w:tcPr>
          <w:p w14:paraId="174BC71C" w14:textId="77777777" w:rsidR="00000000" w:rsidRDefault="00C1661D">
            <w:pPr>
              <w:spacing w:after="100"/>
              <w:rPr>
                <w:rFonts w:eastAsia="Times New Roman"/>
                <w:sz w:val="20"/>
                <w:szCs w:val="20"/>
              </w:rPr>
            </w:pPr>
          </w:p>
        </w:tc>
        <w:tc>
          <w:tcPr>
            <w:tcW w:w="0" w:type="auto"/>
            <w:vAlign w:val="center"/>
            <w:hideMark/>
          </w:tcPr>
          <w:p w14:paraId="51224062" w14:textId="77777777" w:rsidR="00000000" w:rsidRDefault="00C1661D">
            <w:pPr>
              <w:spacing w:after="100"/>
              <w:rPr>
                <w:rFonts w:eastAsia="Times New Roman"/>
                <w:sz w:val="20"/>
                <w:szCs w:val="20"/>
              </w:rPr>
            </w:pPr>
          </w:p>
        </w:tc>
        <w:tc>
          <w:tcPr>
            <w:tcW w:w="0" w:type="auto"/>
            <w:vAlign w:val="center"/>
            <w:hideMark/>
          </w:tcPr>
          <w:p w14:paraId="2A0CC6D2" w14:textId="77777777" w:rsidR="00000000" w:rsidRDefault="00C1661D">
            <w:pPr>
              <w:spacing w:after="100"/>
              <w:rPr>
                <w:rFonts w:eastAsia="Times New Roman"/>
                <w:sz w:val="20"/>
                <w:szCs w:val="20"/>
              </w:rPr>
            </w:pPr>
          </w:p>
        </w:tc>
        <w:tc>
          <w:tcPr>
            <w:tcW w:w="0" w:type="auto"/>
            <w:vAlign w:val="center"/>
            <w:hideMark/>
          </w:tcPr>
          <w:p w14:paraId="47342A40" w14:textId="77777777" w:rsidR="00000000" w:rsidRDefault="00C1661D">
            <w:pPr>
              <w:spacing w:after="100"/>
              <w:rPr>
                <w:rFonts w:eastAsia="Times New Roman"/>
                <w:sz w:val="20"/>
                <w:szCs w:val="20"/>
              </w:rPr>
            </w:pPr>
          </w:p>
        </w:tc>
        <w:tc>
          <w:tcPr>
            <w:tcW w:w="0" w:type="auto"/>
            <w:vAlign w:val="center"/>
            <w:hideMark/>
          </w:tcPr>
          <w:p w14:paraId="3745A96D" w14:textId="77777777" w:rsidR="00000000" w:rsidRDefault="00C1661D">
            <w:pPr>
              <w:spacing w:after="100"/>
              <w:rPr>
                <w:rFonts w:eastAsia="Times New Roman"/>
                <w:sz w:val="20"/>
                <w:szCs w:val="20"/>
              </w:rPr>
            </w:pPr>
          </w:p>
        </w:tc>
        <w:tc>
          <w:tcPr>
            <w:tcW w:w="0" w:type="auto"/>
            <w:vAlign w:val="center"/>
            <w:hideMark/>
          </w:tcPr>
          <w:p w14:paraId="06817BB7" w14:textId="77777777" w:rsidR="00000000" w:rsidRDefault="00C1661D">
            <w:pPr>
              <w:spacing w:after="100"/>
              <w:rPr>
                <w:rFonts w:eastAsia="Times New Roman"/>
                <w:sz w:val="20"/>
                <w:szCs w:val="20"/>
              </w:rPr>
            </w:pPr>
          </w:p>
        </w:tc>
        <w:tc>
          <w:tcPr>
            <w:tcW w:w="0" w:type="auto"/>
            <w:vAlign w:val="center"/>
            <w:hideMark/>
          </w:tcPr>
          <w:p w14:paraId="3073C90A" w14:textId="77777777" w:rsidR="00000000" w:rsidRDefault="00C1661D">
            <w:pPr>
              <w:spacing w:after="100"/>
              <w:rPr>
                <w:rFonts w:eastAsia="Times New Roman"/>
                <w:sz w:val="20"/>
                <w:szCs w:val="20"/>
              </w:rPr>
            </w:pPr>
          </w:p>
        </w:tc>
      </w:tr>
      <w:tr w:rsidR="00000000" w14:paraId="153544D8" w14:textId="77777777">
        <w:trPr>
          <w:divId w:val="1788045911"/>
        </w:trPr>
        <w:tc>
          <w:tcPr>
            <w:tcW w:w="0" w:type="auto"/>
            <w:gridSpan w:val="3"/>
            <w:tcMar>
              <w:top w:w="30" w:type="dxa"/>
              <w:left w:w="20" w:type="dxa"/>
              <w:bottom w:w="30" w:type="dxa"/>
              <w:right w:w="20" w:type="dxa"/>
            </w:tcMar>
            <w:vAlign w:val="bottom"/>
            <w:hideMark/>
          </w:tcPr>
          <w:p w14:paraId="0A9D3EE1"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4D81EE5E"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CA26192"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85D436"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vAlign w:val="center"/>
            <w:hideMark/>
          </w:tcPr>
          <w:p w14:paraId="452B01F8" w14:textId="77777777" w:rsidR="00000000" w:rsidRDefault="00C1661D">
            <w:pPr>
              <w:spacing w:after="100"/>
              <w:jc w:val="center"/>
              <w:rPr>
                <w:rFonts w:eastAsia="Times New Roman"/>
              </w:rPr>
            </w:pPr>
          </w:p>
        </w:tc>
        <w:tc>
          <w:tcPr>
            <w:tcW w:w="0" w:type="auto"/>
            <w:vAlign w:val="center"/>
            <w:hideMark/>
          </w:tcPr>
          <w:p w14:paraId="1DF76595" w14:textId="77777777" w:rsidR="00000000" w:rsidRDefault="00C1661D">
            <w:pPr>
              <w:spacing w:after="100"/>
              <w:rPr>
                <w:rFonts w:eastAsia="Times New Roman"/>
                <w:sz w:val="20"/>
                <w:szCs w:val="20"/>
              </w:rPr>
            </w:pPr>
          </w:p>
        </w:tc>
        <w:tc>
          <w:tcPr>
            <w:tcW w:w="0" w:type="auto"/>
            <w:gridSpan w:val="3"/>
            <w:vAlign w:val="center"/>
            <w:hideMark/>
          </w:tcPr>
          <w:p w14:paraId="3700BA7B" w14:textId="77777777" w:rsidR="00000000" w:rsidRDefault="00C1661D">
            <w:pPr>
              <w:spacing w:after="100"/>
              <w:rPr>
                <w:rFonts w:eastAsia="Times New Roman"/>
                <w:sz w:val="20"/>
                <w:szCs w:val="20"/>
              </w:rPr>
            </w:pPr>
          </w:p>
        </w:tc>
        <w:tc>
          <w:tcPr>
            <w:tcW w:w="0" w:type="auto"/>
            <w:gridSpan w:val="3"/>
            <w:vAlign w:val="center"/>
            <w:hideMark/>
          </w:tcPr>
          <w:p w14:paraId="31FEC0C0" w14:textId="77777777" w:rsidR="00000000" w:rsidRDefault="00C1661D">
            <w:pPr>
              <w:spacing w:after="100"/>
              <w:rPr>
                <w:rFonts w:eastAsia="Times New Roman"/>
                <w:sz w:val="20"/>
                <w:szCs w:val="20"/>
              </w:rPr>
            </w:pPr>
          </w:p>
        </w:tc>
      </w:tr>
      <w:tr w:rsidR="00000000" w14:paraId="431250CA" w14:textId="77777777">
        <w:trPr>
          <w:divId w:val="1788045911"/>
        </w:trPr>
        <w:tc>
          <w:tcPr>
            <w:tcW w:w="0" w:type="auto"/>
            <w:gridSpan w:val="3"/>
            <w:shd w:val="clear" w:color="auto" w:fill="FFFFFF"/>
            <w:tcMar>
              <w:top w:w="30" w:type="dxa"/>
              <w:left w:w="155" w:type="dxa"/>
              <w:bottom w:w="30" w:type="dxa"/>
              <w:right w:w="20" w:type="dxa"/>
            </w:tcMar>
            <w:vAlign w:val="bottom"/>
            <w:hideMark/>
          </w:tcPr>
          <w:p w14:paraId="379EC3B3" w14:textId="77777777" w:rsidR="00000000" w:rsidRDefault="00C1661D">
            <w:pPr>
              <w:spacing w:after="100"/>
              <w:rPr>
                <w:rFonts w:eastAsia="Times New Roman"/>
              </w:rPr>
            </w:pPr>
            <w:r>
              <w:rPr>
                <w:rFonts w:eastAsia="Times New Roman"/>
                <w:color w:val="000000"/>
                <w:sz w:val="20"/>
                <w:szCs w:val="20"/>
              </w:rPr>
              <w:t>Benefit obligations — end of year (a)</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0C66A7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6EF392A" w14:textId="77777777" w:rsidR="00000000" w:rsidRDefault="00C1661D">
            <w:pPr>
              <w:spacing w:after="100"/>
              <w:jc w:val="right"/>
              <w:rPr>
                <w:rFonts w:eastAsia="Times New Roman"/>
              </w:rPr>
            </w:pPr>
            <w:r>
              <w:rPr>
                <w:rFonts w:eastAsia="Times New Roman"/>
                <w:color w:val="000000"/>
                <w:sz w:val="20"/>
                <w:szCs w:val="20"/>
              </w:rPr>
              <w:t>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70C33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F0A34"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53716D9"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D74783E" w14:textId="77777777" w:rsidR="00000000" w:rsidRDefault="00C1661D">
            <w:pPr>
              <w:spacing w:after="100"/>
              <w:jc w:val="right"/>
              <w:rPr>
                <w:rFonts w:eastAsia="Times New Roman"/>
              </w:rPr>
            </w:pPr>
            <w:r>
              <w:rPr>
                <w:rFonts w:eastAsia="Times New Roman"/>
                <w:color w:val="000000"/>
                <w:sz w:val="20"/>
                <w:szCs w:val="20"/>
              </w:rPr>
              <w:t>870 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35D4A3" w14:textId="77777777" w:rsidR="00000000" w:rsidRDefault="00C1661D">
            <w:pPr>
              <w:spacing w:after="100"/>
              <w:jc w:val="right"/>
              <w:rPr>
                <w:rFonts w:eastAsia="Times New Roman"/>
              </w:rPr>
            </w:pPr>
          </w:p>
        </w:tc>
        <w:tc>
          <w:tcPr>
            <w:tcW w:w="0" w:type="auto"/>
            <w:vAlign w:val="center"/>
            <w:hideMark/>
          </w:tcPr>
          <w:p w14:paraId="242B638F" w14:textId="77777777" w:rsidR="00000000" w:rsidRDefault="00C1661D">
            <w:pPr>
              <w:spacing w:after="100"/>
              <w:jc w:val="right"/>
              <w:rPr>
                <w:rFonts w:eastAsia="Times New Roman"/>
                <w:sz w:val="20"/>
                <w:szCs w:val="20"/>
              </w:rPr>
            </w:pPr>
          </w:p>
        </w:tc>
        <w:tc>
          <w:tcPr>
            <w:tcW w:w="0" w:type="auto"/>
            <w:vAlign w:val="center"/>
            <w:hideMark/>
          </w:tcPr>
          <w:p w14:paraId="2F971F78" w14:textId="77777777" w:rsidR="00000000" w:rsidRDefault="00C1661D">
            <w:pPr>
              <w:spacing w:after="100"/>
              <w:rPr>
                <w:rFonts w:eastAsia="Times New Roman"/>
                <w:sz w:val="20"/>
                <w:szCs w:val="20"/>
              </w:rPr>
            </w:pPr>
          </w:p>
        </w:tc>
        <w:tc>
          <w:tcPr>
            <w:tcW w:w="0" w:type="auto"/>
            <w:gridSpan w:val="3"/>
            <w:vAlign w:val="center"/>
            <w:hideMark/>
          </w:tcPr>
          <w:p w14:paraId="539F131D" w14:textId="77777777" w:rsidR="00000000" w:rsidRDefault="00C1661D">
            <w:pPr>
              <w:spacing w:after="100"/>
              <w:rPr>
                <w:rFonts w:eastAsia="Times New Roman"/>
                <w:sz w:val="20"/>
                <w:szCs w:val="20"/>
              </w:rPr>
            </w:pPr>
          </w:p>
        </w:tc>
        <w:tc>
          <w:tcPr>
            <w:tcW w:w="0" w:type="auto"/>
            <w:gridSpan w:val="3"/>
            <w:vAlign w:val="center"/>
            <w:hideMark/>
          </w:tcPr>
          <w:p w14:paraId="18AD152E" w14:textId="77777777" w:rsidR="00000000" w:rsidRDefault="00C1661D">
            <w:pPr>
              <w:spacing w:after="100"/>
              <w:rPr>
                <w:rFonts w:eastAsia="Times New Roman"/>
                <w:sz w:val="20"/>
                <w:szCs w:val="20"/>
              </w:rPr>
            </w:pPr>
          </w:p>
        </w:tc>
      </w:tr>
      <w:tr w:rsidR="00000000" w14:paraId="68803ABC" w14:textId="77777777">
        <w:trPr>
          <w:divId w:val="1788045911"/>
        </w:trPr>
        <w:tc>
          <w:tcPr>
            <w:tcW w:w="0" w:type="auto"/>
            <w:gridSpan w:val="3"/>
            <w:shd w:val="clear" w:color="auto" w:fill="CCEEFF"/>
            <w:tcMar>
              <w:top w:w="30" w:type="dxa"/>
              <w:left w:w="20" w:type="dxa"/>
              <w:bottom w:w="30" w:type="dxa"/>
              <w:right w:w="20" w:type="dxa"/>
            </w:tcMar>
            <w:vAlign w:val="bottom"/>
            <w:hideMark/>
          </w:tcPr>
          <w:p w14:paraId="30B22F5F" w14:textId="77777777" w:rsidR="00000000" w:rsidRDefault="00C1661D">
            <w:pPr>
              <w:spacing w:after="100"/>
              <w:rPr>
                <w:rFonts w:eastAsia="Times New Roman"/>
              </w:rPr>
            </w:pPr>
            <w:r>
              <w:rPr>
                <w:rFonts w:eastAsia="Times New Roman"/>
                <w:b/>
                <w:bCs/>
                <w:color w:val="000000"/>
                <w:sz w:val="20"/>
                <w:szCs w:val="20"/>
              </w:rPr>
              <w:t>Change in plan assets:</w:t>
            </w:r>
          </w:p>
        </w:tc>
        <w:tc>
          <w:tcPr>
            <w:tcW w:w="0" w:type="auto"/>
            <w:gridSpan w:val="3"/>
            <w:shd w:val="clear" w:color="auto" w:fill="CCEEFF"/>
            <w:tcMar>
              <w:top w:w="30" w:type="dxa"/>
              <w:left w:w="20" w:type="dxa"/>
              <w:bottom w:w="30" w:type="dxa"/>
              <w:right w:w="20" w:type="dxa"/>
            </w:tcMar>
            <w:vAlign w:val="bottom"/>
            <w:hideMark/>
          </w:tcPr>
          <w:p w14:paraId="3ED02F1F"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3AC8968"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D20501F" w14:textId="77777777" w:rsidR="00000000" w:rsidRDefault="00C1661D">
            <w:pPr>
              <w:spacing w:after="100"/>
              <w:rPr>
                <w:rFonts w:eastAsia="Times New Roman"/>
              </w:rPr>
            </w:pPr>
            <w:r>
              <w:rPr>
                <w:rFonts w:eastAsia="Times New Roman"/>
                <w:color w:val="000000"/>
                <w:sz w:val="20"/>
                <w:szCs w:val="20"/>
              </w:rPr>
              <w:t> </w:t>
            </w:r>
          </w:p>
        </w:tc>
        <w:tc>
          <w:tcPr>
            <w:tcW w:w="0" w:type="auto"/>
            <w:vAlign w:val="center"/>
            <w:hideMark/>
          </w:tcPr>
          <w:p w14:paraId="7BAE79F8" w14:textId="77777777" w:rsidR="00000000" w:rsidRDefault="00C1661D">
            <w:pPr>
              <w:spacing w:after="100"/>
              <w:rPr>
                <w:rFonts w:eastAsia="Times New Roman"/>
              </w:rPr>
            </w:pPr>
          </w:p>
        </w:tc>
        <w:tc>
          <w:tcPr>
            <w:tcW w:w="0" w:type="auto"/>
            <w:vAlign w:val="center"/>
            <w:hideMark/>
          </w:tcPr>
          <w:p w14:paraId="6F8A0E96" w14:textId="77777777" w:rsidR="00000000" w:rsidRDefault="00C1661D">
            <w:pPr>
              <w:spacing w:after="100"/>
              <w:rPr>
                <w:rFonts w:eastAsia="Times New Roman"/>
                <w:sz w:val="20"/>
                <w:szCs w:val="20"/>
              </w:rPr>
            </w:pPr>
          </w:p>
        </w:tc>
        <w:tc>
          <w:tcPr>
            <w:tcW w:w="0" w:type="auto"/>
            <w:gridSpan w:val="3"/>
            <w:vAlign w:val="center"/>
            <w:hideMark/>
          </w:tcPr>
          <w:p w14:paraId="1E5E7520" w14:textId="77777777" w:rsidR="00000000" w:rsidRDefault="00C1661D">
            <w:pPr>
              <w:spacing w:after="100"/>
              <w:rPr>
                <w:rFonts w:eastAsia="Times New Roman"/>
                <w:sz w:val="20"/>
                <w:szCs w:val="20"/>
              </w:rPr>
            </w:pPr>
          </w:p>
        </w:tc>
        <w:tc>
          <w:tcPr>
            <w:tcW w:w="0" w:type="auto"/>
            <w:gridSpan w:val="3"/>
            <w:vAlign w:val="center"/>
            <w:hideMark/>
          </w:tcPr>
          <w:p w14:paraId="28BFFE01" w14:textId="77777777" w:rsidR="00000000" w:rsidRDefault="00C1661D">
            <w:pPr>
              <w:spacing w:after="100"/>
              <w:rPr>
                <w:rFonts w:eastAsia="Times New Roman"/>
                <w:sz w:val="20"/>
                <w:szCs w:val="20"/>
              </w:rPr>
            </w:pPr>
          </w:p>
        </w:tc>
      </w:tr>
      <w:tr w:rsidR="00000000" w14:paraId="663B1F9B" w14:textId="77777777">
        <w:trPr>
          <w:divId w:val="1788045911"/>
        </w:trPr>
        <w:tc>
          <w:tcPr>
            <w:tcW w:w="0" w:type="auto"/>
            <w:gridSpan w:val="3"/>
            <w:shd w:val="clear" w:color="auto" w:fill="FFFFFF"/>
            <w:tcMar>
              <w:top w:w="30" w:type="dxa"/>
              <w:left w:w="155" w:type="dxa"/>
              <w:bottom w:w="30" w:type="dxa"/>
              <w:right w:w="20" w:type="dxa"/>
            </w:tcMar>
            <w:vAlign w:val="bottom"/>
            <w:hideMark/>
          </w:tcPr>
          <w:p w14:paraId="1A5A3E5A" w14:textId="77777777" w:rsidR="00000000" w:rsidRDefault="00C1661D">
            <w:pPr>
              <w:spacing w:after="100"/>
              <w:rPr>
                <w:rFonts w:eastAsia="Times New Roman"/>
              </w:rPr>
            </w:pPr>
            <w:r>
              <w:rPr>
                <w:rFonts w:eastAsia="Times New Roman"/>
                <w:color w:val="000000"/>
                <w:sz w:val="20"/>
                <w:szCs w:val="20"/>
              </w:rPr>
              <w:t>Fair value of plan assets — beginning of year</w:t>
            </w:r>
          </w:p>
        </w:tc>
        <w:tc>
          <w:tcPr>
            <w:tcW w:w="0" w:type="auto"/>
            <w:shd w:val="clear" w:color="auto" w:fill="FFFFFF"/>
            <w:tcMar>
              <w:top w:w="30" w:type="dxa"/>
              <w:left w:w="20" w:type="dxa"/>
              <w:bottom w:w="30" w:type="dxa"/>
              <w:right w:w="0" w:type="dxa"/>
            </w:tcMar>
            <w:vAlign w:val="bottom"/>
            <w:hideMark/>
          </w:tcPr>
          <w:p w14:paraId="1316C66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BC74B97" w14:textId="77777777" w:rsidR="00000000" w:rsidRDefault="00C1661D">
            <w:pPr>
              <w:spacing w:after="100"/>
              <w:jc w:val="right"/>
              <w:rPr>
                <w:rFonts w:eastAsia="Times New Roman"/>
              </w:rPr>
            </w:pPr>
            <w:r>
              <w:rPr>
                <w:rFonts w:eastAsia="Times New Roman"/>
                <w:color w:val="000000"/>
                <w:sz w:val="20"/>
                <w:szCs w:val="20"/>
              </w:rPr>
              <w:t>736 </w:t>
            </w:r>
          </w:p>
        </w:tc>
        <w:tc>
          <w:tcPr>
            <w:tcW w:w="0" w:type="auto"/>
            <w:shd w:val="clear" w:color="auto" w:fill="FFFFFF"/>
            <w:tcMar>
              <w:top w:w="30" w:type="dxa"/>
              <w:left w:w="0" w:type="dxa"/>
              <w:bottom w:w="30" w:type="dxa"/>
              <w:right w:w="20" w:type="dxa"/>
            </w:tcMar>
            <w:vAlign w:val="bottom"/>
            <w:hideMark/>
          </w:tcPr>
          <w:p w14:paraId="57ABD3B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5269B"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3070B6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04E765D" w14:textId="77777777" w:rsidR="00000000" w:rsidRDefault="00C1661D">
            <w:pPr>
              <w:spacing w:after="100"/>
              <w:jc w:val="right"/>
              <w:rPr>
                <w:rFonts w:eastAsia="Times New Roman"/>
              </w:rPr>
            </w:pPr>
            <w:r>
              <w:rPr>
                <w:rFonts w:eastAsia="Times New Roman"/>
                <w:color w:val="000000"/>
                <w:sz w:val="20"/>
                <w:szCs w:val="20"/>
              </w:rPr>
              <w:t>585 </w:t>
            </w:r>
          </w:p>
        </w:tc>
        <w:tc>
          <w:tcPr>
            <w:tcW w:w="0" w:type="auto"/>
            <w:shd w:val="clear" w:color="auto" w:fill="FFFFFF"/>
            <w:tcMar>
              <w:top w:w="30" w:type="dxa"/>
              <w:left w:w="0" w:type="dxa"/>
              <w:bottom w:w="30" w:type="dxa"/>
              <w:right w:w="20" w:type="dxa"/>
            </w:tcMar>
            <w:vAlign w:val="bottom"/>
            <w:hideMark/>
          </w:tcPr>
          <w:p w14:paraId="0D1FD449" w14:textId="77777777" w:rsidR="00000000" w:rsidRDefault="00C1661D">
            <w:pPr>
              <w:spacing w:after="100"/>
              <w:jc w:val="right"/>
              <w:rPr>
                <w:rFonts w:eastAsia="Times New Roman"/>
              </w:rPr>
            </w:pPr>
          </w:p>
        </w:tc>
        <w:tc>
          <w:tcPr>
            <w:tcW w:w="0" w:type="auto"/>
            <w:vAlign w:val="center"/>
            <w:hideMark/>
          </w:tcPr>
          <w:p w14:paraId="191FA9CC" w14:textId="77777777" w:rsidR="00000000" w:rsidRDefault="00C1661D">
            <w:pPr>
              <w:spacing w:after="100"/>
              <w:jc w:val="right"/>
              <w:rPr>
                <w:rFonts w:eastAsia="Times New Roman"/>
                <w:sz w:val="20"/>
                <w:szCs w:val="20"/>
              </w:rPr>
            </w:pPr>
          </w:p>
        </w:tc>
        <w:tc>
          <w:tcPr>
            <w:tcW w:w="0" w:type="auto"/>
            <w:vAlign w:val="center"/>
            <w:hideMark/>
          </w:tcPr>
          <w:p w14:paraId="6EC1B034" w14:textId="77777777" w:rsidR="00000000" w:rsidRDefault="00C1661D">
            <w:pPr>
              <w:spacing w:after="100"/>
              <w:rPr>
                <w:rFonts w:eastAsia="Times New Roman"/>
                <w:sz w:val="20"/>
                <w:szCs w:val="20"/>
              </w:rPr>
            </w:pPr>
          </w:p>
        </w:tc>
        <w:tc>
          <w:tcPr>
            <w:tcW w:w="0" w:type="auto"/>
            <w:gridSpan w:val="3"/>
            <w:vAlign w:val="center"/>
            <w:hideMark/>
          </w:tcPr>
          <w:p w14:paraId="1791A478" w14:textId="77777777" w:rsidR="00000000" w:rsidRDefault="00C1661D">
            <w:pPr>
              <w:spacing w:after="100"/>
              <w:rPr>
                <w:rFonts w:eastAsia="Times New Roman"/>
                <w:sz w:val="20"/>
                <w:szCs w:val="20"/>
              </w:rPr>
            </w:pPr>
          </w:p>
        </w:tc>
        <w:tc>
          <w:tcPr>
            <w:tcW w:w="0" w:type="auto"/>
            <w:gridSpan w:val="3"/>
            <w:vAlign w:val="center"/>
            <w:hideMark/>
          </w:tcPr>
          <w:p w14:paraId="495F4086" w14:textId="77777777" w:rsidR="00000000" w:rsidRDefault="00C1661D">
            <w:pPr>
              <w:spacing w:after="100"/>
              <w:rPr>
                <w:rFonts w:eastAsia="Times New Roman"/>
                <w:sz w:val="20"/>
                <w:szCs w:val="20"/>
              </w:rPr>
            </w:pPr>
          </w:p>
        </w:tc>
      </w:tr>
      <w:tr w:rsidR="00000000" w14:paraId="1DD5054F" w14:textId="77777777">
        <w:trPr>
          <w:divId w:val="1788045911"/>
        </w:trPr>
        <w:tc>
          <w:tcPr>
            <w:tcW w:w="0" w:type="auto"/>
            <w:gridSpan w:val="3"/>
            <w:shd w:val="clear" w:color="auto" w:fill="CCEEFF"/>
            <w:tcMar>
              <w:top w:w="30" w:type="dxa"/>
              <w:left w:w="155" w:type="dxa"/>
              <w:bottom w:w="30" w:type="dxa"/>
              <w:right w:w="20" w:type="dxa"/>
            </w:tcMar>
            <w:vAlign w:val="bottom"/>
            <w:hideMark/>
          </w:tcPr>
          <w:p w14:paraId="05386FBA" w14:textId="77777777" w:rsidR="00000000" w:rsidRDefault="00C1661D">
            <w:pPr>
              <w:spacing w:after="100"/>
              <w:rPr>
                <w:rFonts w:eastAsia="Times New Roman"/>
              </w:rPr>
            </w:pPr>
            <w:r>
              <w:rPr>
                <w:rFonts w:eastAsia="Times New Roman"/>
                <w:color w:val="000000"/>
                <w:sz w:val="20"/>
                <w:szCs w:val="20"/>
              </w:rPr>
              <w:t>Actual (loss) gain on plan assets</w:t>
            </w:r>
          </w:p>
        </w:tc>
        <w:tc>
          <w:tcPr>
            <w:tcW w:w="0" w:type="auto"/>
            <w:gridSpan w:val="2"/>
            <w:shd w:val="clear" w:color="auto" w:fill="CCEEFF"/>
            <w:tcMar>
              <w:top w:w="30" w:type="dxa"/>
              <w:left w:w="20" w:type="dxa"/>
              <w:bottom w:w="30" w:type="dxa"/>
              <w:right w:w="0" w:type="dxa"/>
            </w:tcMar>
            <w:vAlign w:val="bottom"/>
            <w:hideMark/>
          </w:tcPr>
          <w:p w14:paraId="6122F40E" w14:textId="77777777" w:rsidR="00000000" w:rsidRDefault="00C1661D">
            <w:pPr>
              <w:spacing w:after="100"/>
              <w:jc w:val="right"/>
              <w:rPr>
                <w:rFonts w:eastAsia="Times New Roman"/>
              </w:rPr>
            </w:pPr>
            <w:r>
              <w:rPr>
                <w:rFonts w:eastAsia="Times New Roman"/>
                <w:color w:val="000000"/>
                <w:sz w:val="20"/>
                <w:szCs w:val="20"/>
              </w:rPr>
              <w:t>(173)</w:t>
            </w:r>
          </w:p>
        </w:tc>
        <w:tc>
          <w:tcPr>
            <w:tcW w:w="0" w:type="auto"/>
            <w:shd w:val="clear" w:color="auto" w:fill="CCEEFF"/>
            <w:tcMar>
              <w:top w:w="30" w:type="dxa"/>
              <w:left w:w="0" w:type="dxa"/>
              <w:bottom w:w="30" w:type="dxa"/>
              <w:right w:w="20" w:type="dxa"/>
            </w:tcMar>
            <w:vAlign w:val="bottom"/>
            <w:hideMark/>
          </w:tcPr>
          <w:p w14:paraId="14F9B3D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7561D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37AFC1" w14:textId="77777777" w:rsidR="00000000" w:rsidRDefault="00C1661D">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375E447F" w14:textId="77777777" w:rsidR="00000000" w:rsidRDefault="00C1661D">
            <w:pPr>
              <w:spacing w:after="100"/>
              <w:jc w:val="right"/>
              <w:rPr>
                <w:rFonts w:eastAsia="Times New Roman"/>
              </w:rPr>
            </w:pPr>
          </w:p>
        </w:tc>
        <w:tc>
          <w:tcPr>
            <w:tcW w:w="0" w:type="auto"/>
            <w:vAlign w:val="center"/>
            <w:hideMark/>
          </w:tcPr>
          <w:p w14:paraId="36769D9F" w14:textId="77777777" w:rsidR="00000000" w:rsidRDefault="00C1661D">
            <w:pPr>
              <w:spacing w:after="100"/>
              <w:jc w:val="right"/>
              <w:rPr>
                <w:rFonts w:eastAsia="Times New Roman"/>
                <w:sz w:val="20"/>
                <w:szCs w:val="20"/>
              </w:rPr>
            </w:pPr>
          </w:p>
        </w:tc>
        <w:tc>
          <w:tcPr>
            <w:tcW w:w="0" w:type="auto"/>
            <w:vAlign w:val="center"/>
            <w:hideMark/>
          </w:tcPr>
          <w:p w14:paraId="7F899C4C" w14:textId="77777777" w:rsidR="00000000" w:rsidRDefault="00C1661D">
            <w:pPr>
              <w:spacing w:after="100"/>
              <w:rPr>
                <w:rFonts w:eastAsia="Times New Roman"/>
                <w:sz w:val="20"/>
                <w:szCs w:val="20"/>
              </w:rPr>
            </w:pPr>
          </w:p>
        </w:tc>
        <w:tc>
          <w:tcPr>
            <w:tcW w:w="0" w:type="auto"/>
            <w:gridSpan w:val="3"/>
            <w:vAlign w:val="center"/>
            <w:hideMark/>
          </w:tcPr>
          <w:p w14:paraId="5D3E1102" w14:textId="77777777" w:rsidR="00000000" w:rsidRDefault="00C1661D">
            <w:pPr>
              <w:spacing w:after="100"/>
              <w:rPr>
                <w:rFonts w:eastAsia="Times New Roman"/>
                <w:sz w:val="20"/>
                <w:szCs w:val="20"/>
              </w:rPr>
            </w:pPr>
          </w:p>
        </w:tc>
        <w:tc>
          <w:tcPr>
            <w:tcW w:w="0" w:type="auto"/>
            <w:gridSpan w:val="3"/>
            <w:vAlign w:val="center"/>
            <w:hideMark/>
          </w:tcPr>
          <w:p w14:paraId="311F6E3E" w14:textId="77777777" w:rsidR="00000000" w:rsidRDefault="00C1661D">
            <w:pPr>
              <w:spacing w:after="100"/>
              <w:rPr>
                <w:rFonts w:eastAsia="Times New Roman"/>
                <w:sz w:val="20"/>
                <w:szCs w:val="20"/>
              </w:rPr>
            </w:pPr>
          </w:p>
        </w:tc>
      </w:tr>
      <w:tr w:rsidR="00000000" w14:paraId="455887D8" w14:textId="77777777">
        <w:trPr>
          <w:divId w:val="1788045911"/>
        </w:trPr>
        <w:tc>
          <w:tcPr>
            <w:tcW w:w="0" w:type="auto"/>
            <w:gridSpan w:val="3"/>
            <w:shd w:val="clear" w:color="auto" w:fill="FFFFFF"/>
            <w:tcMar>
              <w:top w:w="30" w:type="dxa"/>
              <w:left w:w="155" w:type="dxa"/>
              <w:bottom w:w="30" w:type="dxa"/>
              <w:right w:w="20" w:type="dxa"/>
            </w:tcMar>
            <w:vAlign w:val="bottom"/>
            <w:hideMark/>
          </w:tcPr>
          <w:p w14:paraId="103977CD" w14:textId="77777777" w:rsidR="00000000" w:rsidRDefault="00C1661D">
            <w:pPr>
              <w:spacing w:after="100"/>
              <w:rPr>
                <w:rFonts w:eastAsia="Times New Roman"/>
              </w:rPr>
            </w:pPr>
            <w:r>
              <w:rPr>
                <w:rFonts w:eastAsia="Times New Roman"/>
                <w:color w:val="000000"/>
                <w:sz w:val="20"/>
                <w:szCs w:val="20"/>
              </w:rPr>
              <w:t>Foreign currency</w:t>
            </w:r>
          </w:p>
        </w:tc>
        <w:tc>
          <w:tcPr>
            <w:tcW w:w="0" w:type="auto"/>
            <w:gridSpan w:val="2"/>
            <w:shd w:val="clear" w:color="auto" w:fill="FFFFFF"/>
            <w:tcMar>
              <w:top w:w="30" w:type="dxa"/>
              <w:left w:w="20" w:type="dxa"/>
              <w:bottom w:w="30" w:type="dxa"/>
              <w:right w:w="0" w:type="dxa"/>
            </w:tcMar>
            <w:vAlign w:val="bottom"/>
            <w:hideMark/>
          </w:tcPr>
          <w:p w14:paraId="07B5AD9F" w14:textId="77777777" w:rsidR="00000000" w:rsidRDefault="00C1661D">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5FD25E7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7DD8F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F83865"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983FEC" w14:textId="77777777" w:rsidR="00000000" w:rsidRDefault="00C1661D">
            <w:pPr>
              <w:spacing w:after="100"/>
              <w:jc w:val="right"/>
              <w:rPr>
                <w:rFonts w:eastAsia="Times New Roman"/>
              </w:rPr>
            </w:pPr>
          </w:p>
        </w:tc>
        <w:tc>
          <w:tcPr>
            <w:tcW w:w="0" w:type="auto"/>
            <w:vAlign w:val="center"/>
            <w:hideMark/>
          </w:tcPr>
          <w:p w14:paraId="3ED93AA5" w14:textId="77777777" w:rsidR="00000000" w:rsidRDefault="00C1661D">
            <w:pPr>
              <w:spacing w:after="100"/>
              <w:jc w:val="right"/>
              <w:rPr>
                <w:rFonts w:eastAsia="Times New Roman"/>
                <w:sz w:val="20"/>
                <w:szCs w:val="20"/>
              </w:rPr>
            </w:pPr>
          </w:p>
        </w:tc>
        <w:tc>
          <w:tcPr>
            <w:tcW w:w="0" w:type="auto"/>
            <w:vAlign w:val="center"/>
            <w:hideMark/>
          </w:tcPr>
          <w:p w14:paraId="2EAB93CD" w14:textId="77777777" w:rsidR="00000000" w:rsidRDefault="00C1661D">
            <w:pPr>
              <w:spacing w:after="100"/>
              <w:rPr>
                <w:rFonts w:eastAsia="Times New Roman"/>
                <w:sz w:val="20"/>
                <w:szCs w:val="20"/>
              </w:rPr>
            </w:pPr>
          </w:p>
        </w:tc>
        <w:tc>
          <w:tcPr>
            <w:tcW w:w="0" w:type="auto"/>
            <w:gridSpan w:val="3"/>
            <w:vAlign w:val="center"/>
            <w:hideMark/>
          </w:tcPr>
          <w:p w14:paraId="0751DA5F" w14:textId="77777777" w:rsidR="00000000" w:rsidRDefault="00C1661D">
            <w:pPr>
              <w:spacing w:after="100"/>
              <w:rPr>
                <w:rFonts w:eastAsia="Times New Roman"/>
                <w:sz w:val="20"/>
                <w:szCs w:val="20"/>
              </w:rPr>
            </w:pPr>
          </w:p>
        </w:tc>
        <w:tc>
          <w:tcPr>
            <w:tcW w:w="0" w:type="auto"/>
            <w:gridSpan w:val="3"/>
            <w:vAlign w:val="center"/>
            <w:hideMark/>
          </w:tcPr>
          <w:p w14:paraId="6A331925" w14:textId="77777777" w:rsidR="00000000" w:rsidRDefault="00C1661D">
            <w:pPr>
              <w:spacing w:after="100"/>
              <w:rPr>
                <w:rFonts w:eastAsia="Times New Roman"/>
                <w:sz w:val="20"/>
                <w:szCs w:val="20"/>
              </w:rPr>
            </w:pPr>
          </w:p>
        </w:tc>
      </w:tr>
      <w:tr w:rsidR="00000000" w14:paraId="1E24E1C8" w14:textId="77777777">
        <w:trPr>
          <w:divId w:val="1788045911"/>
        </w:trPr>
        <w:tc>
          <w:tcPr>
            <w:tcW w:w="0" w:type="auto"/>
            <w:gridSpan w:val="3"/>
            <w:shd w:val="clear" w:color="auto" w:fill="CCEEFF"/>
            <w:tcMar>
              <w:top w:w="30" w:type="dxa"/>
              <w:left w:w="155" w:type="dxa"/>
              <w:bottom w:w="30" w:type="dxa"/>
              <w:right w:w="20" w:type="dxa"/>
            </w:tcMar>
            <w:vAlign w:val="bottom"/>
            <w:hideMark/>
          </w:tcPr>
          <w:p w14:paraId="7060366B" w14:textId="77777777" w:rsidR="00000000" w:rsidRDefault="00C1661D">
            <w:pPr>
              <w:spacing w:after="100"/>
              <w:rPr>
                <w:rFonts w:eastAsia="Times New Roman"/>
              </w:rPr>
            </w:pPr>
            <w:r>
              <w:rPr>
                <w:rFonts w:eastAsia="Times New Roman"/>
                <w:color w:val="000000"/>
                <w:sz w:val="20"/>
                <w:szCs w:val="20"/>
              </w:rPr>
              <w:t>Employer contributions</w:t>
            </w:r>
          </w:p>
        </w:tc>
        <w:tc>
          <w:tcPr>
            <w:tcW w:w="0" w:type="auto"/>
            <w:gridSpan w:val="2"/>
            <w:shd w:val="clear" w:color="auto" w:fill="CCEEFF"/>
            <w:tcMar>
              <w:top w:w="30" w:type="dxa"/>
              <w:left w:w="20" w:type="dxa"/>
              <w:bottom w:w="30" w:type="dxa"/>
              <w:right w:w="0" w:type="dxa"/>
            </w:tcMar>
            <w:vAlign w:val="bottom"/>
            <w:hideMark/>
          </w:tcPr>
          <w:p w14:paraId="3614959E" w14:textId="77777777" w:rsidR="00000000" w:rsidRDefault="00C1661D">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4EBC93D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81210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DC2B81" w14:textId="77777777" w:rsidR="00000000" w:rsidRDefault="00C1661D">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487DF5A4" w14:textId="77777777" w:rsidR="00000000" w:rsidRDefault="00C1661D">
            <w:pPr>
              <w:spacing w:after="100"/>
              <w:jc w:val="right"/>
              <w:rPr>
                <w:rFonts w:eastAsia="Times New Roman"/>
              </w:rPr>
            </w:pPr>
          </w:p>
        </w:tc>
        <w:tc>
          <w:tcPr>
            <w:tcW w:w="0" w:type="auto"/>
            <w:vAlign w:val="center"/>
            <w:hideMark/>
          </w:tcPr>
          <w:p w14:paraId="23455F22" w14:textId="77777777" w:rsidR="00000000" w:rsidRDefault="00C1661D">
            <w:pPr>
              <w:spacing w:after="100"/>
              <w:jc w:val="right"/>
              <w:rPr>
                <w:rFonts w:eastAsia="Times New Roman"/>
                <w:sz w:val="20"/>
                <w:szCs w:val="20"/>
              </w:rPr>
            </w:pPr>
          </w:p>
        </w:tc>
        <w:tc>
          <w:tcPr>
            <w:tcW w:w="0" w:type="auto"/>
            <w:vAlign w:val="center"/>
            <w:hideMark/>
          </w:tcPr>
          <w:p w14:paraId="375F6AED" w14:textId="77777777" w:rsidR="00000000" w:rsidRDefault="00C1661D">
            <w:pPr>
              <w:spacing w:after="100"/>
              <w:rPr>
                <w:rFonts w:eastAsia="Times New Roman"/>
                <w:sz w:val="20"/>
                <w:szCs w:val="20"/>
              </w:rPr>
            </w:pPr>
          </w:p>
        </w:tc>
        <w:tc>
          <w:tcPr>
            <w:tcW w:w="0" w:type="auto"/>
            <w:gridSpan w:val="3"/>
            <w:vAlign w:val="center"/>
            <w:hideMark/>
          </w:tcPr>
          <w:p w14:paraId="6295DC30" w14:textId="77777777" w:rsidR="00000000" w:rsidRDefault="00C1661D">
            <w:pPr>
              <w:spacing w:after="100"/>
              <w:rPr>
                <w:rFonts w:eastAsia="Times New Roman"/>
                <w:sz w:val="20"/>
                <w:szCs w:val="20"/>
              </w:rPr>
            </w:pPr>
          </w:p>
        </w:tc>
        <w:tc>
          <w:tcPr>
            <w:tcW w:w="0" w:type="auto"/>
            <w:gridSpan w:val="3"/>
            <w:vAlign w:val="center"/>
            <w:hideMark/>
          </w:tcPr>
          <w:p w14:paraId="2A2D1254" w14:textId="77777777" w:rsidR="00000000" w:rsidRDefault="00C1661D">
            <w:pPr>
              <w:spacing w:after="100"/>
              <w:rPr>
                <w:rFonts w:eastAsia="Times New Roman"/>
                <w:sz w:val="20"/>
                <w:szCs w:val="20"/>
              </w:rPr>
            </w:pPr>
          </w:p>
        </w:tc>
      </w:tr>
      <w:tr w:rsidR="00000000" w14:paraId="29C99AAE" w14:textId="77777777">
        <w:trPr>
          <w:divId w:val="1788045911"/>
        </w:trPr>
        <w:tc>
          <w:tcPr>
            <w:tcW w:w="0" w:type="auto"/>
            <w:gridSpan w:val="3"/>
            <w:shd w:val="clear" w:color="auto" w:fill="FFFFFF"/>
            <w:tcMar>
              <w:top w:w="30" w:type="dxa"/>
              <w:left w:w="155" w:type="dxa"/>
              <w:bottom w:w="30" w:type="dxa"/>
              <w:right w:w="20" w:type="dxa"/>
            </w:tcMar>
            <w:vAlign w:val="bottom"/>
            <w:hideMark/>
          </w:tcPr>
          <w:p w14:paraId="07F67127" w14:textId="77777777" w:rsidR="00000000" w:rsidRDefault="00C1661D">
            <w:pPr>
              <w:spacing w:after="100"/>
              <w:rPr>
                <w:rFonts w:eastAsia="Times New Roman"/>
              </w:rPr>
            </w:pPr>
            <w:r>
              <w:rPr>
                <w:rFonts w:eastAsia="Times New Roman"/>
                <w:color w:val="000000"/>
                <w:sz w:val="20"/>
                <w:szCs w:val="20"/>
              </w:rPr>
              <w:t>Acquisitions</w:t>
            </w:r>
          </w:p>
        </w:tc>
        <w:tc>
          <w:tcPr>
            <w:tcW w:w="0" w:type="auto"/>
            <w:gridSpan w:val="2"/>
            <w:shd w:val="clear" w:color="auto" w:fill="FFFFFF"/>
            <w:tcMar>
              <w:top w:w="30" w:type="dxa"/>
              <w:left w:w="20" w:type="dxa"/>
              <w:bottom w:w="30" w:type="dxa"/>
              <w:right w:w="0" w:type="dxa"/>
            </w:tcMar>
            <w:vAlign w:val="bottom"/>
            <w:hideMark/>
          </w:tcPr>
          <w:p w14:paraId="145FA13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B774D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0B5EF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46D5F0" w14:textId="77777777" w:rsidR="00000000" w:rsidRDefault="00C1661D">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14:paraId="0B8A3879" w14:textId="77777777" w:rsidR="00000000" w:rsidRDefault="00C1661D">
            <w:pPr>
              <w:spacing w:after="100"/>
              <w:jc w:val="right"/>
              <w:rPr>
                <w:rFonts w:eastAsia="Times New Roman"/>
              </w:rPr>
            </w:pPr>
          </w:p>
        </w:tc>
        <w:tc>
          <w:tcPr>
            <w:tcW w:w="0" w:type="auto"/>
            <w:vAlign w:val="center"/>
            <w:hideMark/>
          </w:tcPr>
          <w:p w14:paraId="50A53D2B" w14:textId="77777777" w:rsidR="00000000" w:rsidRDefault="00C1661D">
            <w:pPr>
              <w:spacing w:after="100"/>
              <w:jc w:val="right"/>
              <w:rPr>
                <w:rFonts w:eastAsia="Times New Roman"/>
                <w:sz w:val="20"/>
                <w:szCs w:val="20"/>
              </w:rPr>
            </w:pPr>
          </w:p>
        </w:tc>
        <w:tc>
          <w:tcPr>
            <w:tcW w:w="0" w:type="auto"/>
            <w:vAlign w:val="center"/>
            <w:hideMark/>
          </w:tcPr>
          <w:p w14:paraId="6E2871D6" w14:textId="77777777" w:rsidR="00000000" w:rsidRDefault="00C1661D">
            <w:pPr>
              <w:spacing w:after="100"/>
              <w:rPr>
                <w:rFonts w:eastAsia="Times New Roman"/>
                <w:sz w:val="20"/>
                <w:szCs w:val="20"/>
              </w:rPr>
            </w:pPr>
          </w:p>
        </w:tc>
        <w:tc>
          <w:tcPr>
            <w:tcW w:w="0" w:type="auto"/>
            <w:gridSpan w:val="3"/>
            <w:vAlign w:val="center"/>
            <w:hideMark/>
          </w:tcPr>
          <w:p w14:paraId="20A40911" w14:textId="77777777" w:rsidR="00000000" w:rsidRDefault="00C1661D">
            <w:pPr>
              <w:spacing w:after="100"/>
              <w:rPr>
                <w:rFonts w:eastAsia="Times New Roman"/>
                <w:sz w:val="20"/>
                <w:szCs w:val="20"/>
              </w:rPr>
            </w:pPr>
          </w:p>
        </w:tc>
        <w:tc>
          <w:tcPr>
            <w:tcW w:w="0" w:type="auto"/>
            <w:gridSpan w:val="3"/>
            <w:vAlign w:val="center"/>
            <w:hideMark/>
          </w:tcPr>
          <w:p w14:paraId="4FFCA16C" w14:textId="77777777" w:rsidR="00000000" w:rsidRDefault="00C1661D">
            <w:pPr>
              <w:spacing w:after="100"/>
              <w:rPr>
                <w:rFonts w:eastAsia="Times New Roman"/>
                <w:sz w:val="20"/>
                <w:szCs w:val="20"/>
              </w:rPr>
            </w:pPr>
          </w:p>
        </w:tc>
      </w:tr>
      <w:tr w:rsidR="00000000" w14:paraId="4E4DC631" w14:textId="77777777">
        <w:trPr>
          <w:divId w:val="1788045911"/>
        </w:trPr>
        <w:tc>
          <w:tcPr>
            <w:tcW w:w="0" w:type="auto"/>
            <w:gridSpan w:val="3"/>
            <w:vAlign w:val="center"/>
            <w:hideMark/>
          </w:tcPr>
          <w:p w14:paraId="363FD503" w14:textId="77777777" w:rsidR="00000000" w:rsidRDefault="00C1661D">
            <w:pPr>
              <w:spacing w:after="100"/>
              <w:rPr>
                <w:rFonts w:eastAsia="Times New Roman"/>
                <w:sz w:val="20"/>
                <w:szCs w:val="20"/>
              </w:rPr>
            </w:pPr>
          </w:p>
        </w:tc>
        <w:tc>
          <w:tcPr>
            <w:tcW w:w="0" w:type="auto"/>
            <w:gridSpan w:val="3"/>
            <w:vAlign w:val="center"/>
            <w:hideMark/>
          </w:tcPr>
          <w:p w14:paraId="49DB98B9" w14:textId="77777777" w:rsidR="00000000" w:rsidRDefault="00C1661D">
            <w:pPr>
              <w:spacing w:after="100"/>
              <w:rPr>
                <w:rFonts w:eastAsia="Times New Roman"/>
                <w:sz w:val="20"/>
                <w:szCs w:val="20"/>
              </w:rPr>
            </w:pPr>
          </w:p>
        </w:tc>
        <w:tc>
          <w:tcPr>
            <w:tcW w:w="0" w:type="auto"/>
            <w:gridSpan w:val="3"/>
            <w:vAlign w:val="center"/>
            <w:hideMark/>
          </w:tcPr>
          <w:p w14:paraId="087ED9BC" w14:textId="77777777" w:rsidR="00000000" w:rsidRDefault="00C1661D">
            <w:pPr>
              <w:spacing w:after="100"/>
              <w:rPr>
                <w:rFonts w:eastAsia="Times New Roman"/>
                <w:sz w:val="20"/>
                <w:szCs w:val="20"/>
              </w:rPr>
            </w:pPr>
          </w:p>
        </w:tc>
        <w:tc>
          <w:tcPr>
            <w:tcW w:w="0" w:type="auto"/>
            <w:gridSpan w:val="3"/>
            <w:vAlign w:val="center"/>
            <w:hideMark/>
          </w:tcPr>
          <w:p w14:paraId="0573C3B0" w14:textId="77777777" w:rsidR="00000000" w:rsidRDefault="00C1661D">
            <w:pPr>
              <w:spacing w:after="100"/>
              <w:rPr>
                <w:rFonts w:eastAsia="Times New Roman"/>
                <w:sz w:val="20"/>
                <w:szCs w:val="20"/>
              </w:rPr>
            </w:pPr>
          </w:p>
        </w:tc>
        <w:tc>
          <w:tcPr>
            <w:tcW w:w="0" w:type="auto"/>
            <w:vAlign w:val="center"/>
            <w:hideMark/>
          </w:tcPr>
          <w:p w14:paraId="4526E7DE" w14:textId="77777777" w:rsidR="00000000" w:rsidRDefault="00C1661D">
            <w:pPr>
              <w:spacing w:after="100"/>
              <w:rPr>
                <w:rFonts w:eastAsia="Times New Roman"/>
                <w:sz w:val="20"/>
                <w:szCs w:val="20"/>
              </w:rPr>
            </w:pPr>
          </w:p>
        </w:tc>
        <w:tc>
          <w:tcPr>
            <w:tcW w:w="0" w:type="auto"/>
            <w:vAlign w:val="center"/>
            <w:hideMark/>
          </w:tcPr>
          <w:p w14:paraId="0099FA95" w14:textId="77777777" w:rsidR="00000000" w:rsidRDefault="00C1661D">
            <w:pPr>
              <w:spacing w:after="100"/>
              <w:rPr>
                <w:rFonts w:eastAsia="Times New Roman"/>
                <w:sz w:val="20"/>
                <w:szCs w:val="20"/>
              </w:rPr>
            </w:pPr>
          </w:p>
        </w:tc>
        <w:tc>
          <w:tcPr>
            <w:tcW w:w="0" w:type="auto"/>
            <w:gridSpan w:val="3"/>
            <w:vAlign w:val="center"/>
            <w:hideMark/>
          </w:tcPr>
          <w:p w14:paraId="2E2ECBD2" w14:textId="77777777" w:rsidR="00000000" w:rsidRDefault="00C1661D">
            <w:pPr>
              <w:spacing w:after="100"/>
              <w:rPr>
                <w:rFonts w:eastAsia="Times New Roman"/>
                <w:sz w:val="20"/>
                <w:szCs w:val="20"/>
              </w:rPr>
            </w:pPr>
          </w:p>
        </w:tc>
        <w:tc>
          <w:tcPr>
            <w:tcW w:w="0" w:type="auto"/>
            <w:gridSpan w:val="3"/>
            <w:vAlign w:val="center"/>
            <w:hideMark/>
          </w:tcPr>
          <w:p w14:paraId="544DF8C7" w14:textId="77777777" w:rsidR="00000000" w:rsidRDefault="00C1661D">
            <w:pPr>
              <w:spacing w:after="100"/>
              <w:rPr>
                <w:rFonts w:eastAsia="Times New Roman"/>
                <w:sz w:val="20"/>
                <w:szCs w:val="20"/>
              </w:rPr>
            </w:pPr>
          </w:p>
        </w:tc>
      </w:tr>
      <w:tr w:rsidR="00000000" w14:paraId="730F5AFD" w14:textId="77777777">
        <w:trPr>
          <w:divId w:val="1788045911"/>
        </w:trPr>
        <w:tc>
          <w:tcPr>
            <w:tcW w:w="0" w:type="auto"/>
            <w:gridSpan w:val="3"/>
            <w:shd w:val="clear" w:color="auto" w:fill="CCEEFF"/>
            <w:tcMar>
              <w:top w:w="30" w:type="dxa"/>
              <w:left w:w="155" w:type="dxa"/>
              <w:bottom w:w="30" w:type="dxa"/>
              <w:right w:w="20" w:type="dxa"/>
            </w:tcMar>
            <w:vAlign w:val="bottom"/>
            <w:hideMark/>
          </w:tcPr>
          <w:p w14:paraId="18B92A82" w14:textId="77777777" w:rsidR="00000000" w:rsidRDefault="00C1661D">
            <w:pPr>
              <w:spacing w:after="100"/>
              <w:rPr>
                <w:rFonts w:eastAsia="Times New Roman"/>
              </w:rPr>
            </w:pPr>
            <w:r>
              <w:rPr>
                <w:rFonts w:eastAsia="Times New Roman"/>
                <w:color w:val="000000"/>
                <w:sz w:val="20"/>
                <w:szCs w:val="20"/>
              </w:rPr>
              <w:t>Benefits paid</w:t>
            </w:r>
          </w:p>
        </w:tc>
        <w:tc>
          <w:tcPr>
            <w:tcW w:w="0" w:type="auto"/>
            <w:gridSpan w:val="2"/>
            <w:shd w:val="clear" w:color="auto" w:fill="CCEEFF"/>
            <w:tcMar>
              <w:top w:w="30" w:type="dxa"/>
              <w:left w:w="20" w:type="dxa"/>
              <w:bottom w:w="30" w:type="dxa"/>
              <w:right w:w="0" w:type="dxa"/>
            </w:tcMar>
            <w:vAlign w:val="bottom"/>
            <w:hideMark/>
          </w:tcPr>
          <w:p w14:paraId="12A07580" w14:textId="77777777" w:rsidR="00000000" w:rsidRDefault="00C1661D">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14:paraId="30C872C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8673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CC1C18" w14:textId="77777777" w:rsidR="00000000" w:rsidRDefault="00C1661D">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14:paraId="5B5E9544" w14:textId="77777777" w:rsidR="00000000" w:rsidRDefault="00C1661D">
            <w:pPr>
              <w:spacing w:after="100"/>
              <w:jc w:val="right"/>
              <w:rPr>
                <w:rFonts w:eastAsia="Times New Roman"/>
              </w:rPr>
            </w:pPr>
          </w:p>
        </w:tc>
        <w:tc>
          <w:tcPr>
            <w:tcW w:w="0" w:type="auto"/>
            <w:vAlign w:val="center"/>
            <w:hideMark/>
          </w:tcPr>
          <w:p w14:paraId="569135A8" w14:textId="77777777" w:rsidR="00000000" w:rsidRDefault="00C1661D">
            <w:pPr>
              <w:spacing w:after="100"/>
              <w:jc w:val="right"/>
              <w:rPr>
                <w:rFonts w:eastAsia="Times New Roman"/>
                <w:sz w:val="20"/>
                <w:szCs w:val="20"/>
              </w:rPr>
            </w:pPr>
          </w:p>
        </w:tc>
        <w:tc>
          <w:tcPr>
            <w:tcW w:w="0" w:type="auto"/>
            <w:vAlign w:val="center"/>
            <w:hideMark/>
          </w:tcPr>
          <w:p w14:paraId="1BC453B6" w14:textId="77777777" w:rsidR="00000000" w:rsidRDefault="00C1661D">
            <w:pPr>
              <w:spacing w:after="100"/>
              <w:rPr>
                <w:rFonts w:eastAsia="Times New Roman"/>
                <w:sz w:val="20"/>
                <w:szCs w:val="20"/>
              </w:rPr>
            </w:pPr>
          </w:p>
        </w:tc>
        <w:tc>
          <w:tcPr>
            <w:tcW w:w="0" w:type="auto"/>
            <w:gridSpan w:val="3"/>
            <w:vAlign w:val="center"/>
            <w:hideMark/>
          </w:tcPr>
          <w:p w14:paraId="55CC3340" w14:textId="77777777" w:rsidR="00000000" w:rsidRDefault="00C1661D">
            <w:pPr>
              <w:spacing w:after="100"/>
              <w:rPr>
                <w:rFonts w:eastAsia="Times New Roman"/>
                <w:sz w:val="20"/>
                <w:szCs w:val="20"/>
              </w:rPr>
            </w:pPr>
          </w:p>
        </w:tc>
        <w:tc>
          <w:tcPr>
            <w:tcW w:w="0" w:type="auto"/>
            <w:gridSpan w:val="3"/>
            <w:vAlign w:val="center"/>
            <w:hideMark/>
          </w:tcPr>
          <w:p w14:paraId="15D6F8B1" w14:textId="77777777" w:rsidR="00000000" w:rsidRDefault="00C1661D">
            <w:pPr>
              <w:spacing w:after="100"/>
              <w:rPr>
                <w:rFonts w:eastAsia="Times New Roman"/>
                <w:sz w:val="20"/>
                <w:szCs w:val="20"/>
              </w:rPr>
            </w:pPr>
          </w:p>
        </w:tc>
      </w:tr>
      <w:tr w:rsidR="00000000" w14:paraId="6D825448" w14:textId="77777777">
        <w:trPr>
          <w:divId w:val="1788045911"/>
        </w:trPr>
        <w:tc>
          <w:tcPr>
            <w:tcW w:w="0" w:type="auto"/>
            <w:gridSpan w:val="3"/>
            <w:shd w:val="clear" w:color="auto" w:fill="FFFFFF"/>
            <w:tcMar>
              <w:top w:w="30" w:type="dxa"/>
              <w:left w:w="155" w:type="dxa"/>
              <w:bottom w:w="30" w:type="dxa"/>
              <w:right w:w="20" w:type="dxa"/>
            </w:tcMar>
            <w:vAlign w:val="bottom"/>
            <w:hideMark/>
          </w:tcPr>
          <w:p w14:paraId="2F22A10F" w14:textId="77777777" w:rsidR="00000000" w:rsidRDefault="00C1661D">
            <w:pPr>
              <w:spacing w:after="100"/>
              <w:rPr>
                <w:rFonts w:eastAsia="Times New Roman"/>
              </w:rPr>
            </w:pPr>
            <w:r>
              <w:rPr>
                <w:rFonts w:eastAsia="Times New Roman"/>
                <w:color w:val="000000"/>
                <w:sz w:val="20"/>
                <w:szCs w:val="20"/>
              </w:rPr>
              <w:t>Fair value of plan assets —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E898DBF"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E0FB54C" w14:textId="77777777" w:rsidR="00000000" w:rsidRDefault="00C1661D">
            <w:pPr>
              <w:spacing w:after="100"/>
              <w:jc w:val="right"/>
              <w:rPr>
                <w:rFonts w:eastAsia="Times New Roman"/>
              </w:rPr>
            </w:pPr>
            <w:r>
              <w:rPr>
                <w:rFonts w:eastAsia="Times New Roman"/>
                <w:color w:val="000000"/>
                <w:sz w:val="20"/>
                <w:szCs w:val="20"/>
              </w:rPr>
              <w:t>541 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AB077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4943EF"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BFDF0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DCA42E" w14:textId="77777777" w:rsidR="00000000" w:rsidRDefault="00C1661D">
            <w:pPr>
              <w:spacing w:after="100"/>
              <w:jc w:val="right"/>
              <w:rPr>
                <w:rFonts w:eastAsia="Times New Roman"/>
              </w:rPr>
            </w:pPr>
            <w:r>
              <w:rPr>
                <w:rFonts w:eastAsia="Times New Roman"/>
                <w:color w:val="000000"/>
                <w:sz w:val="20"/>
                <w:szCs w:val="20"/>
              </w:rPr>
              <w:t>736 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9343DD" w14:textId="77777777" w:rsidR="00000000" w:rsidRDefault="00C1661D">
            <w:pPr>
              <w:spacing w:after="100"/>
              <w:jc w:val="right"/>
              <w:rPr>
                <w:rFonts w:eastAsia="Times New Roman"/>
              </w:rPr>
            </w:pPr>
          </w:p>
        </w:tc>
        <w:tc>
          <w:tcPr>
            <w:tcW w:w="0" w:type="auto"/>
            <w:vAlign w:val="center"/>
            <w:hideMark/>
          </w:tcPr>
          <w:p w14:paraId="229F563F" w14:textId="77777777" w:rsidR="00000000" w:rsidRDefault="00C1661D">
            <w:pPr>
              <w:spacing w:after="100"/>
              <w:jc w:val="right"/>
              <w:rPr>
                <w:rFonts w:eastAsia="Times New Roman"/>
                <w:sz w:val="20"/>
                <w:szCs w:val="20"/>
              </w:rPr>
            </w:pPr>
          </w:p>
        </w:tc>
        <w:tc>
          <w:tcPr>
            <w:tcW w:w="0" w:type="auto"/>
            <w:vAlign w:val="center"/>
            <w:hideMark/>
          </w:tcPr>
          <w:p w14:paraId="55BC6429" w14:textId="77777777" w:rsidR="00000000" w:rsidRDefault="00C1661D">
            <w:pPr>
              <w:spacing w:after="100"/>
              <w:rPr>
                <w:rFonts w:eastAsia="Times New Roman"/>
                <w:sz w:val="20"/>
                <w:szCs w:val="20"/>
              </w:rPr>
            </w:pPr>
          </w:p>
        </w:tc>
        <w:tc>
          <w:tcPr>
            <w:tcW w:w="0" w:type="auto"/>
            <w:gridSpan w:val="3"/>
            <w:vAlign w:val="center"/>
            <w:hideMark/>
          </w:tcPr>
          <w:p w14:paraId="375B585B" w14:textId="77777777" w:rsidR="00000000" w:rsidRDefault="00C1661D">
            <w:pPr>
              <w:spacing w:after="100"/>
              <w:rPr>
                <w:rFonts w:eastAsia="Times New Roman"/>
                <w:sz w:val="20"/>
                <w:szCs w:val="20"/>
              </w:rPr>
            </w:pPr>
          </w:p>
        </w:tc>
        <w:tc>
          <w:tcPr>
            <w:tcW w:w="0" w:type="auto"/>
            <w:gridSpan w:val="3"/>
            <w:vAlign w:val="center"/>
            <w:hideMark/>
          </w:tcPr>
          <w:p w14:paraId="46595E45" w14:textId="77777777" w:rsidR="00000000" w:rsidRDefault="00C1661D">
            <w:pPr>
              <w:spacing w:after="100"/>
              <w:rPr>
                <w:rFonts w:eastAsia="Times New Roman"/>
                <w:sz w:val="20"/>
                <w:szCs w:val="20"/>
              </w:rPr>
            </w:pPr>
          </w:p>
        </w:tc>
      </w:tr>
      <w:tr w:rsidR="00000000" w14:paraId="1322011E" w14:textId="77777777">
        <w:trPr>
          <w:divId w:val="1788045911"/>
        </w:trPr>
        <w:tc>
          <w:tcPr>
            <w:tcW w:w="0" w:type="auto"/>
            <w:gridSpan w:val="3"/>
            <w:shd w:val="clear" w:color="auto" w:fill="CCEEFF"/>
            <w:tcMar>
              <w:top w:w="30" w:type="dxa"/>
              <w:left w:w="20" w:type="dxa"/>
              <w:bottom w:w="30" w:type="dxa"/>
              <w:right w:w="20" w:type="dxa"/>
            </w:tcMar>
            <w:vAlign w:val="bottom"/>
            <w:hideMark/>
          </w:tcPr>
          <w:p w14:paraId="3BE8387B" w14:textId="77777777" w:rsidR="00000000" w:rsidRDefault="00C1661D">
            <w:pPr>
              <w:spacing w:after="100"/>
              <w:rPr>
                <w:rFonts w:eastAsia="Times New Roman"/>
              </w:rPr>
            </w:pPr>
            <w:r>
              <w:rPr>
                <w:rFonts w:eastAsia="Times New Roman"/>
                <w:b/>
                <w:bCs/>
                <w:color w:val="000000"/>
                <w:sz w:val="20"/>
                <w:szCs w:val="20"/>
              </w:rPr>
              <w:t>Funded status of the plans — end of year (b)</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CB96EE"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6A16E7" w14:textId="77777777" w:rsidR="00000000" w:rsidRDefault="00C1661D">
            <w:pPr>
              <w:spacing w:after="100"/>
              <w:jc w:val="right"/>
              <w:rPr>
                <w:rFonts w:eastAsia="Times New Roman"/>
              </w:rPr>
            </w:pPr>
            <w:r>
              <w:rPr>
                <w:rFonts w:eastAsia="Times New Roman"/>
                <w:color w:val="000000"/>
                <w:sz w:val="20"/>
                <w:szCs w:val="20"/>
              </w:rPr>
              <w:t>(92)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FD921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D9F444"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7C96D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B48509" w14:textId="77777777" w:rsidR="00000000" w:rsidRDefault="00C1661D">
            <w:pPr>
              <w:spacing w:after="100"/>
              <w:jc w:val="right"/>
              <w:rPr>
                <w:rFonts w:eastAsia="Times New Roman"/>
              </w:rPr>
            </w:pPr>
            <w:r>
              <w:rPr>
                <w:rFonts w:eastAsia="Times New Roman"/>
                <w:color w:val="000000"/>
                <w:sz w:val="20"/>
                <w:szCs w:val="20"/>
              </w:rPr>
              <w:t>(134)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6081B6" w14:textId="77777777" w:rsidR="00000000" w:rsidRDefault="00C1661D">
            <w:pPr>
              <w:spacing w:after="100"/>
              <w:jc w:val="right"/>
              <w:rPr>
                <w:rFonts w:eastAsia="Times New Roman"/>
              </w:rPr>
            </w:pPr>
          </w:p>
        </w:tc>
        <w:tc>
          <w:tcPr>
            <w:tcW w:w="0" w:type="auto"/>
            <w:vAlign w:val="center"/>
            <w:hideMark/>
          </w:tcPr>
          <w:p w14:paraId="005CFBFD" w14:textId="77777777" w:rsidR="00000000" w:rsidRDefault="00C1661D">
            <w:pPr>
              <w:spacing w:after="100"/>
              <w:jc w:val="right"/>
              <w:rPr>
                <w:rFonts w:eastAsia="Times New Roman"/>
                <w:sz w:val="20"/>
                <w:szCs w:val="20"/>
              </w:rPr>
            </w:pPr>
          </w:p>
        </w:tc>
        <w:tc>
          <w:tcPr>
            <w:tcW w:w="0" w:type="auto"/>
            <w:vAlign w:val="center"/>
            <w:hideMark/>
          </w:tcPr>
          <w:p w14:paraId="0A3BB65C" w14:textId="77777777" w:rsidR="00000000" w:rsidRDefault="00C1661D">
            <w:pPr>
              <w:spacing w:after="100"/>
              <w:rPr>
                <w:rFonts w:eastAsia="Times New Roman"/>
                <w:sz w:val="20"/>
                <w:szCs w:val="20"/>
              </w:rPr>
            </w:pPr>
          </w:p>
        </w:tc>
        <w:tc>
          <w:tcPr>
            <w:tcW w:w="0" w:type="auto"/>
            <w:gridSpan w:val="3"/>
            <w:vAlign w:val="center"/>
            <w:hideMark/>
          </w:tcPr>
          <w:p w14:paraId="2FCFA9A9" w14:textId="77777777" w:rsidR="00000000" w:rsidRDefault="00C1661D">
            <w:pPr>
              <w:spacing w:after="100"/>
              <w:rPr>
                <w:rFonts w:eastAsia="Times New Roman"/>
                <w:sz w:val="20"/>
                <w:szCs w:val="20"/>
              </w:rPr>
            </w:pPr>
          </w:p>
        </w:tc>
        <w:tc>
          <w:tcPr>
            <w:tcW w:w="0" w:type="auto"/>
            <w:gridSpan w:val="3"/>
            <w:vAlign w:val="center"/>
            <w:hideMark/>
          </w:tcPr>
          <w:p w14:paraId="4CAC9020" w14:textId="77777777" w:rsidR="00000000" w:rsidRDefault="00C1661D">
            <w:pPr>
              <w:spacing w:after="100"/>
              <w:rPr>
                <w:rFonts w:eastAsia="Times New Roman"/>
                <w:sz w:val="20"/>
                <w:szCs w:val="20"/>
              </w:rPr>
            </w:pPr>
          </w:p>
        </w:tc>
      </w:tr>
      <w:tr w:rsidR="00000000" w14:paraId="67FFFE9B" w14:textId="77777777">
        <w:trPr>
          <w:divId w:val="1788045911"/>
        </w:trPr>
        <w:tc>
          <w:tcPr>
            <w:tcW w:w="0" w:type="auto"/>
            <w:gridSpan w:val="3"/>
            <w:vAlign w:val="center"/>
            <w:hideMark/>
          </w:tcPr>
          <w:p w14:paraId="1A91A3D5" w14:textId="77777777" w:rsidR="00000000" w:rsidRDefault="00C1661D">
            <w:pPr>
              <w:spacing w:after="100"/>
              <w:rPr>
                <w:rFonts w:eastAsia="Times New Roman"/>
                <w:sz w:val="20"/>
                <w:szCs w:val="20"/>
              </w:rPr>
            </w:pPr>
          </w:p>
        </w:tc>
        <w:tc>
          <w:tcPr>
            <w:tcW w:w="0" w:type="auto"/>
            <w:gridSpan w:val="3"/>
            <w:vAlign w:val="center"/>
            <w:hideMark/>
          </w:tcPr>
          <w:p w14:paraId="6046E43D" w14:textId="77777777" w:rsidR="00000000" w:rsidRDefault="00C1661D">
            <w:pPr>
              <w:spacing w:after="100"/>
              <w:rPr>
                <w:rFonts w:eastAsia="Times New Roman"/>
                <w:sz w:val="20"/>
                <w:szCs w:val="20"/>
              </w:rPr>
            </w:pPr>
          </w:p>
        </w:tc>
        <w:tc>
          <w:tcPr>
            <w:tcW w:w="0" w:type="auto"/>
            <w:gridSpan w:val="3"/>
            <w:vAlign w:val="center"/>
            <w:hideMark/>
          </w:tcPr>
          <w:p w14:paraId="1AAEEB67" w14:textId="77777777" w:rsidR="00000000" w:rsidRDefault="00C1661D">
            <w:pPr>
              <w:spacing w:after="100"/>
              <w:rPr>
                <w:rFonts w:eastAsia="Times New Roman"/>
                <w:sz w:val="20"/>
                <w:szCs w:val="20"/>
              </w:rPr>
            </w:pPr>
          </w:p>
        </w:tc>
        <w:tc>
          <w:tcPr>
            <w:tcW w:w="0" w:type="auto"/>
            <w:gridSpan w:val="3"/>
            <w:vAlign w:val="center"/>
            <w:hideMark/>
          </w:tcPr>
          <w:p w14:paraId="43898FD5" w14:textId="77777777" w:rsidR="00000000" w:rsidRDefault="00C1661D">
            <w:pPr>
              <w:spacing w:after="100"/>
              <w:rPr>
                <w:rFonts w:eastAsia="Times New Roman"/>
                <w:sz w:val="20"/>
                <w:szCs w:val="20"/>
              </w:rPr>
            </w:pPr>
          </w:p>
        </w:tc>
        <w:tc>
          <w:tcPr>
            <w:tcW w:w="0" w:type="auto"/>
            <w:vAlign w:val="center"/>
            <w:hideMark/>
          </w:tcPr>
          <w:p w14:paraId="0F5FA7D0" w14:textId="77777777" w:rsidR="00000000" w:rsidRDefault="00C1661D">
            <w:pPr>
              <w:spacing w:after="100"/>
              <w:rPr>
                <w:rFonts w:eastAsia="Times New Roman"/>
                <w:sz w:val="20"/>
                <w:szCs w:val="20"/>
              </w:rPr>
            </w:pPr>
          </w:p>
        </w:tc>
        <w:tc>
          <w:tcPr>
            <w:tcW w:w="0" w:type="auto"/>
            <w:vAlign w:val="center"/>
            <w:hideMark/>
          </w:tcPr>
          <w:p w14:paraId="63B58A56" w14:textId="77777777" w:rsidR="00000000" w:rsidRDefault="00C1661D">
            <w:pPr>
              <w:spacing w:after="100"/>
              <w:rPr>
                <w:rFonts w:eastAsia="Times New Roman"/>
                <w:sz w:val="20"/>
                <w:szCs w:val="20"/>
              </w:rPr>
            </w:pPr>
          </w:p>
        </w:tc>
        <w:tc>
          <w:tcPr>
            <w:tcW w:w="0" w:type="auto"/>
            <w:gridSpan w:val="3"/>
            <w:vAlign w:val="center"/>
            <w:hideMark/>
          </w:tcPr>
          <w:p w14:paraId="4688F2CA" w14:textId="77777777" w:rsidR="00000000" w:rsidRDefault="00C1661D">
            <w:pPr>
              <w:spacing w:after="100"/>
              <w:rPr>
                <w:rFonts w:eastAsia="Times New Roman"/>
                <w:sz w:val="20"/>
                <w:szCs w:val="20"/>
              </w:rPr>
            </w:pPr>
          </w:p>
        </w:tc>
        <w:tc>
          <w:tcPr>
            <w:tcW w:w="0" w:type="auto"/>
            <w:gridSpan w:val="3"/>
            <w:vAlign w:val="center"/>
            <w:hideMark/>
          </w:tcPr>
          <w:p w14:paraId="0ED6F84B" w14:textId="77777777" w:rsidR="00000000" w:rsidRDefault="00C1661D">
            <w:pPr>
              <w:spacing w:after="100"/>
              <w:rPr>
                <w:rFonts w:eastAsia="Times New Roman"/>
                <w:sz w:val="20"/>
                <w:szCs w:val="20"/>
              </w:rPr>
            </w:pPr>
          </w:p>
        </w:tc>
      </w:tr>
      <w:tr w:rsidR="00000000" w14:paraId="7680DDBB" w14:textId="77777777">
        <w:trPr>
          <w:divId w:val="1788045911"/>
        </w:trPr>
        <w:tc>
          <w:tcPr>
            <w:tcW w:w="0" w:type="auto"/>
            <w:gridSpan w:val="3"/>
            <w:vAlign w:val="center"/>
            <w:hideMark/>
          </w:tcPr>
          <w:p w14:paraId="62D76456" w14:textId="77777777" w:rsidR="00000000" w:rsidRDefault="00C1661D">
            <w:pPr>
              <w:spacing w:after="100"/>
              <w:rPr>
                <w:rFonts w:eastAsia="Times New Roman"/>
                <w:sz w:val="20"/>
                <w:szCs w:val="20"/>
              </w:rPr>
            </w:pPr>
          </w:p>
        </w:tc>
        <w:tc>
          <w:tcPr>
            <w:tcW w:w="0" w:type="auto"/>
            <w:gridSpan w:val="3"/>
            <w:vAlign w:val="center"/>
            <w:hideMark/>
          </w:tcPr>
          <w:p w14:paraId="7C3123E3" w14:textId="77777777" w:rsidR="00000000" w:rsidRDefault="00C1661D">
            <w:pPr>
              <w:spacing w:after="100"/>
              <w:rPr>
                <w:rFonts w:eastAsia="Times New Roman"/>
                <w:sz w:val="20"/>
                <w:szCs w:val="20"/>
              </w:rPr>
            </w:pPr>
          </w:p>
        </w:tc>
        <w:tc>
          <w:tcPr>
            <w:tcW w:w="0" w:type="auto"/>
            <w:gridSpan w:val="3"/>
            <w:vAlign w:val="center"/>
            <w:hideMark/>
          </w:tcPr>
          <w:p w14:paraId="043AA3D8" w14:textId="77777777" w:rsidR="00000000" w:rsidRDefault="00C1661D">
            <w:pPr>
              <w:spacing w:after="100"/>
              <w:rPr>
                <w:rFonts w:eastAsia="Times New Roman"/>
                <w:sz w:val="20"/>
                <w:szCs w:val="20"/>
              </w:rPr>
            </w:pPr>
          </w:p>
        </w:tc>
        <w:tc>
          <w:tcPr>
            <w:tcW w:w="0" w:type="auto"/>
            <w:gridSpan w:val="3"/>
            <w:vAlign w:val="center"/>
            <w:hideMark/>
          </w:tcPr>
          <w:p w14:paraId="58AC49FE" w14:textId="77777777" w:rsidR="00000000" w:rsidRDefault="00C1661D">
            <w:pPr>
              <w:spacing w:after="100"/>
              <w:rPr>
                <w:rFonts w:eastAsia="Times New Roman"/>
                <w:sz w:val="20"/>
                <w:szCs w:val="20"/>
              </w:rPr>
            </w:pPr>
          </w:p>
        </w:tc>
        <w:tc>
          <w:tcPr>
            <w:tcW w:w="0" w:type="auto"/>
            <w:vAlign w:val="center"/>
            <w:hideMark/>
          </w:tcPr>
          <w:p w14:paraId="649F7BC6" w14:textId="77777777" w:rsidR="00000000" w:rsidRDefault="00C1661D">
            <w:pPr>
              <w:spacing w:after="100"/>
              <w:rPr>
                <w:rFonts w:eastAsia="Times New Roman"/>
                <w:sz w:val="20"/>
                <w:szCs w:val="20"/>
              </w:rPr>
            </w:pPr>
          </w:p>
        </w:tc>
        <w:tc>
          <w:tcPr>
            <w:tcW w:w="0" w:type="auto"/>
            <w:vAlign w:val="center"/>
            <w:hideMark/>
          </w:tcPr>
          <w:p w14:paraId="555C475A" w14:textId="77777777" w:rsidR="00000000" w:rsidRDefault="00C1661D">
            <w:pPr>
              <w:spacing w:after="100"/>
              <w:rPr>
                <w:rFonts w:eastAsia="Times New Roman"/>
                <w:sz w:val="20"/>
                <w:szCs w:val="20"/>
              </w:rPr>
            </w:pPr>
          </w:p>
        </w:tc>
        <w:tc>
          <w:tcPr>
            <w:tcW w:w="0" w:type="auto"/>
            <w:gridSpan w:val="3"/>
            <w:vAlign w:val="center"/>
            <w:hideMark/>
          </w:tcPr>
          <w:p w14:paraId="502A1B2A" w14:textId="77777777" w:rsidR="00000000" w:rsidRDefault="00C1661D">
            <w:pPr>
              <w:spacing w:after="100"/>
              <w:rPr>
                <w:rFonts w:eastAsia="Times New Roman"/>
                <w:sz w:val="20"/>
                <w:szCs w:val="20"/>
              </w:rPr>
            </w:pPr>
          </w:p>
        </w:tc>
        <w:tc>
          <w:tcPr>
            <w:tcW w:w="0" w:type="auto"/>
            <w:gridSpan w:val="3"/>
            <w:vAlign w:val="center"/>
            <w:hideMark/>
          </w:tcPr>
          <w:p w14:paraId="7A61016E" w14:textId="77777777" w:rsidR="00000000" w:rsidRDefault="00C1661D">
            <w:pPr>
              <w:spacing w:after="100"/>
              <w:rPr>
                <w:rFonts w:eastAsia="Times New Roman"/>
                <w:sz w:val="20"/>
                <w:szCs w:val="20"/>
              </w:rPr>
            </w:pPr>
          </w:p>
        </w:tc>
      </w:tr>
      <w:tr w:rsidR="00000000" w14:paraId="70B6B41B" w14:textId="77777777">
        <w:trPr>
          <w:divId w:val="1788045911"/>
        </w:trPr>
        <w:tc>
          <w:tcPr>
            <w:tcW w:w="0" w:type="auto"/>
            <w:gridSpan w:val="3"/>
            <w:vAlign w:val="center"/>
            <w:hideMark/>
          </w:tcPr>
          <w:p w14:paraId="48C74A0A" w14:textId="77777777" w:rsidR="00000000" w:rsidRDefault="00C1661D">
            <w:pPr>
              <w:spacing w:after="100"/>
              <w:rPr>
                <w:rFonts w:eastAsia="Times New Roman"/>
                <w:sz w:val="20"/>
                <w:szCs w:val="20"/>
              </w:rPr>
            </w:pPr>
          </w:p>
        </w:tc>
        <w:tc>
          <w:tcPr>
            <w:tcW w:w="0" w:type="auto"/>
            <w:gridSpan w:val="3"/>
            <w:vAlign w:val="center"/>
            <w:hideMark/>
          </w:tcPr>
          <w:p w14:paraId="20704C42" w14:textId="77777777" w:rsidR="00000000" w:rsidRDefault="00C1661D">
            <w:pPr>
              <w:spacing w:after="100"/>
              <w:rPr>
                <w:rFonts w:eastAsia="Times New Roman"/>
                <w:sz w:val="20"/>
                <w:szCs w:val="20"/>
              </w:rPr>
            </w:pPr>
          </w:p>
        </w:tc>
        <w:tc>
          <w:tcPr>
            <w:tcW w:w="0" w:type="auto"/>
            <w:gridSpan w:val="3"/>
            <w:vAlign w:val="center"/>
            <w:hideMark/>
          </w:tcPr>
          <w:p w14:paraId="0F2A45AA" w14:textId="77777777" w:rsidR="00000000" w:rsidRDefault="00C1661D">
            <w:pPr>
              <w:spacing w:after="100"/>
              <w:rPr>
                <w:rFonts w:eastAsia="Times New Roman"/>
                <w:sz w:val="20"/>
                <w:szCs w:val="20"/>
              </w:rPr>
            </w:pPr>
          </w:p>
        </w:tc>
        <w:tc>
          <w:tcPr>
            <w:tcW w:w="0" w:type="auto"/>
            <w:gridSpan w:val="3"/>
            <w:vAlign w:val="center"/>
            <w:hideMark/>
          </w:tcPr>
          <w:p w14:paraId="63BF3B62" w14:textId="77777777" w:rsidR="00000000" w:rsidRDefault="00C1661D">
            <w:pPr>
              <w:spacing w:after="100"/>
              <w:rPr>
                <w:rFonts w:eastAsia="Times New Roman"/>
                <w:sz w:val="20"/>
                <w:szCs w:val="20"/>
              </w:rPr>
            </w:pPr>
          </w:p>
        </w:tc>
        <w:tc>
          <w:tcPr>
            <w:tcW w:w="0" w:type="auto"/>
            <w:vAlign w:val="center"/>
            <w:hideMark/>
          </w:tcPr>
          <w:p w14:paraId="3A561A62" w14:textId="77777777" w:rsidR="00000000" w:rsidRDefault="00C1661D">
            <w:pPr>
              <w:spacing w:after="100"/>
              <w:rPr>
                <w:rFonts w:eastAsia="Times New Roman"/>
                <w:sz w:val="20"/>
                <w:szCs w:val="20"/>
              </w:rPr>
            </w:pPr>
          </w:p>
        </w:tc>
        <w:tc>
          <w:tcPr>
            <w:tcW w:w="0" w:type="auto"/>
            <w:vAlign w:val="center"/>
            <w:hideMark/>
          </w:tcPr>
          <w:p w14:paraId="143EFE24" w14:textId="77777777" w:rsidR="00000000" w:rsidRDefault="00C1661D">
            <w:pPr>
              <w:spacing w:after="100"/>
              <w:rPr>
                <w:rFonts w:eastAsia="Times New Roman"/>
                <w:sz w:val="20"/>
                <w:szCs w:val="20"/>
              </w:rPr>
            </w:pPr>
          </w:p>
        </w:tc>
        <w:tc>
          <w:tcPr>
            <w:tcW w:w="0" w:type="auto"/>
            <w:gridSpan w:val="3"/>
            <w:vAlign w:val="center"/>
            <w:hideMark/>
          </w:tcPr>
          <w:p w14:paraId="4FA86B11" w14:textId="77777777" w:rsidR="00000000" w:rsidRDefault="00C1661D">
            <w:pPr>
              <w:spacing w:after="100"/>
              <w:rPr>
                <w:rFonts w:eastAsia="Times New Roman"/>
                <w:sz w:val="20"/>
                <w:szCs w:val="20"/>
              </w:rPr>
            </w:pPr>
          </w:p>
        </w:tc>
        <w:tc>
          <w:tcPr>
            <w:tcW w:w="0" w:type="auto"/>
            <w:gridSpan w:val="3"/>
            <w:vAlign w:val="center"/>
            <w:hideMark/>
          </w:tcPr>
          <w:p w14:paraId="0B2049AA" w14:textId="77777777" w:rsidR="00000000" w:rsidRDefault="00C1661D">
            <w:pPr>
              <w:spacing w:after="100"/>
              <w:rPr>
                <w:rFonts w:eastAsia="Times New Roman"/>
                <w:sz w:val="20"/>
                <w:szCs w:val="20"/>
              </w:rPr>
            </w:pPr>
          </w:p>
        </w:tc>
      </w:tr>
      <w:tr w:rsidR="00000000" w14:paraId="2E41A0C8" w14:textId="77777777">
        <w:trPr>
          <w:divId w:val="1788045911"/>
        </w:trPr>
        <w:tc>
          <w:tcPr>
            <w:tcW w:w="0" w:type="auto"/>
            <w:gridSpan w:val="3"/>
            <w:vAlign w:val="center"/>
            <w:hideMark/>
          </w:tcPr>
          <w:p w14:paraId="2C28563D" w14:textId="77777777" w:rsidR="00000000" w:rsidRDefault="00C1661D">
            <w:pPr>
              <w:spacing w:after="100"/>
              <w:rPr>
                <w:rFonts w:eastAsia="Times New Roman"/>
                <w:sz w:val="20"/>
                <w:szCs w:val="20"/>
              </w:rPr>
            </w:pPr>
          </w:p>
        </w:tc>
        <w:tc>
          <w:tcPr>
            <w:tcW w:w="0" w:type="auto"/>
            <w:gridSpan w:val="3"/>
            <w:vAlign w:val="center"/>
            <w:hideMark/>
          </w:tcPr>
          <w:p w14:paraId="22812154" w14:textId="77777777" w:rsidR="00000000" w:rsidRDefault="00C1661D">
            <w:pPr>
              <w:spacing w:after="100"/>
              <w:rPr>
                <w:rFonts w:eastAsia="Times New Roman"/>
                <w:sz w:val="20"/>
                <w:szCs w:val="20"/>
              </w:rPr>
            </w:pPr>
          </w:p>
        </w:tc>
        <w:tc>
          <w:tcPr>
            <w:tcW w:w="0" w:type="auto"/>
            <w:gridSpan w:val="3"/>
            <w:vAlign w:val="center"/>
            <w:hideMark/>
          </w:tcPr>
          <w:p w14:paraId="4EE84BB6" w14:textId="77777777" w:rsidR="00000000" w:rsidRDefault="00C1661D">
            <w:pPr>
              <w:spacing w:after="100"/>
              <w:rPr>
                <w:rFonts w:eastAsia="Times New Roman"/>
                <w:sz w:val="20"/>
                <w:szCs w:val="20"/>
              </w:rPr>
            </w:pPr>
          </w:p>
        </w:tc>
        <w:tc>
          <w:tcPr>
            <w:tcW w:w="0" w:type="auto"/>
            <w:gridSpan w:val="3"/>
            <w:vAlign w:val="center"/>
            <w:hideMark/>
          </w:tcPr>
          <w:p w14:paraId="40AD67CC" w14:textId="77777777" w:rsidR="00000000" w:rsidRDefault="00C1661D">
            <w:pPr>
              <w:spacing w:after="100"/>
              <w:rPr>
                <w:rFonts w:eastAsia="Times New Roman"/>
                <w:sz w:val="20"/>
                <w:szCs w:val="20"/>
              </w:rPr>
            </w:pPr>
          </w:p>
        </w:tc>
        <w:tc>
          <w:tcPr>
            <w:tcW w:w="0" w:type="auto"/>
            <w:vAlign w:val="center"/>
            <w:hideMark/>
          </w:tcPr>
          <w:p w14:paraId="5773DF6A" w14:textId="77777777" w:rsidR="00000000" w:rsidRDefault="00C1661D">
            <w:pPr>
              <w:spacing w:after="100"/>
              <w:rPr>
                <w:rFonts w:eastAsia="Times New Roman"/>
                <w:sz w:val="20"/>
                <w:szCs w:val="20"/>
              </w:rPr>
            </w:pPr>
          </w:p>
        </w:tc>
        <w:tc>
          <w:tcPr>
            <w:tcW w:w="0" w:type="auto"/>
            <w:vAlign w:val="center"/>
            <w:hideMark/>
          </w:tcPr>
          <w:p w14:paraId="134ECB57" w14:textId="77777777" w:rsidR="00000000" w:rsidRDefault="00C1661D">
            <w:pPr>
              <w:spacing w:after="100"/>
              <w:rPr>
                <w:rFonts w:eastAsia="Times New Roman"/>
                <w:sz w:val="20"/>
                <w:szCs w:val="20"/>
              </w:rPr>
            </w:pPr>
          </w:p>
        </w:tc>
        <w:tc>
          <w:tcPr>
            <w:tcW w:w="0" w:type="auto"/>
            <w:gridSpan w:val="3"/>
            <w:vAlign w:val="center"/>
            <w:hideMark/>
          </w:tcPr>
          <w:p w14:paraId="50DB7650" w14:textId="77777777" w:rsidR="00000000" w:rsidRDefault="00C1661D">
            <w:pPr>
              <w:spacing w:after="100"/>
              <w:rPr>
                <w:rFonts w:eastAsia="Times New Roman"/>
                <w:sz w:val="20"/>
                <w:szCs w:val="20"/>
              </w:rPr>
            </w:pPr>
          </w:p>
        </w:tc>
        <w:tc>
          <w:tcPr>
            <w:tcW w:w="0" w:type="auto"/>
            <w:gridSpan w:val="3"/>
            <w:vAlign w:val="center"/>
            <w:hideMark/>
          </w:tcPr>
          <w:p w14:paraId="0E56AD43" w14:textId="77777777" w:rsidR="00000000" w:rsidRDefault="00C1661D">
            <w:pPr>
              <w:spacing w:after="100"/>
              <w:rPr>
                <w:rFonts w:eastAsia="Times New Roman"/>
                <w:sz w:val="20"/>
                <w:szCs w:val="20"/>
              </w:rPr>
            </w:pPr>
          </w:p>
        </w:tc>
      </w:tr>
      <w:tr w:rsidR="00000000" w14:paraId="40038EDD" w14:textId="77777777">
        <w:trPr>
          <w:divId w:val="1788045911"/>
        </w:trPr>
        <w:tc>
          <w:tcPr>
            <w:tcW w:w="0" w:type="auto"/>
            <w:gridSpan w:val="3"/>
            <w:vAlign w:val="center"/>
            <w:hideMark/>
          </w:tcPr>
          <w:p w14:paraId="26C1F066" w14:textId="77777777" w:rsidR="00000000" w:rsidRDefault="00C1661D">
            <w:pPr>
              <w:spacing w:after="100"/>
              <w:rPr>
                <w:rFonts w:eastAsia="Times New Roman"/>
                <w:sz w:val="20"/>
                <w:szCs w:val="20"/>
              </w:rPr>
            </w:pPr>
          </w:p>
        </w:tc>
        <w:tc>
          <w:tcPr>
            <w:tcW w:w="0" w:type="auto"/>
            <w:gridSpan w:val="3"/>
            <w:vAlign w:val="center"/>
            <w:hideMark/>
          </w:tcPr>
          <w:p w14:paraId="7930476D" w14:textId="77777777" w:rsidR="00000000" w:rsidRDefault="00C1661D">
            <w:pPr>
              <w:spacing w:after="100"/>
              <w:rPr>
                <w:rFonts w:eastAsia="Times New Roman"/>
                <w:sz w:val="20"/>
                <w:szCs w:val="20"/>
              </w:rPr>
            </w:pPr>
          </w:p>
        </w:tc>
        <w:tc>
          <w:tcPr>
            <w:tcW w:w="0" w:type="auto"/>
            <w:gridSpan w:val="3"/>
            <w:vAlign w:val="center"/>
            <w:hideMark/>
          </w:tcPr>
          <w:p w14:paraId="4C3120A6" w14:textId="77777777" w:rsidR="00000000" w:rsidRDefault="00C1661D">
            <w:pPr>
              <w:spacing w:after="100"/>
              <w:rPr>
                <w:rFonts w:eastAsia="Times New Roman"/>
                <w:sz w:val="20"/>
                <w:szCs w:val="20"/>
              </w:rPr>
            </w:pPr>
          </w:p>
        </w:tc>
        <w:tc>
          <w:tcPr>
            <w:tcW w:w="0" w:type="auto"/>
            <w:gridSpan w:val="3"/>
            <w:vAlign w:val="center"/>
            <w:hideMark/>
          </w:tcPr>
          <w:p w14:paraId="13BE6A7B" w14:textId="77777777" w:rsidR="00000000" w:rsidRDefault="00C1661D">
            <w:pPr>
              <w:spacing w:after="100"/>
              <w:rPr>
                <w:rFonts w:eastAsia="Times New Roman"/>
                <w:sz w:val="20"/>
                <w:szCs w:val="20"/>
              </w:rPr>
            </w:pPr>
          </w:p>
        </w:tc>
        <w:tc>
          <w:tcPr>
            <w:tcW w:w="0" w:type="auto"/>
            <w:vAlign w:val="center"/>
            <w:hideMark/>
          </w:tcPr>
          <w:p w14:paraId="0B07B2EC" w14:textId="77777777" w:rsidR="00000000" w:rsidRDefault="00C1661D">
            <w:pPr>
              <w:spacing w:after="100"/>
              <w:rPr>
                <w:rFonts w:eastAsia="Times New Roman"/>
                <w:sz w:val="20"/>
                <w:szCs w:val="20"/>
              </w:rPr>
            </w:pPr>
          </w:p>
        </w:tc>
        <w:tc>
          <w:tcPr>
            <w:tcW w:w="0" w:type="auto"/>
            <w:vAlign w:val="center"/>
            <w:hideMark/>
          </w:tcPr>
          <w:p w14:paraId="4167D117" w14:textId="77777777" w:rsidR="00000000" w:rsidRDefault="00C1661D">
            <w:pPr>
              <w:spacing w:after="100"/>
              <w:rPr>
                <w:rFonts w:eastAsia="Times New Roman"/>
                <w:sz w:val="20"/>
                <w:szCs w:val="20"/>
              </w:rPr>
            </w:pPr>
          </w:p>
        </w:tc>
        <w:tc>
          <w:tcPr>
            <w:tcW w:w="0" w:type="auto"/>
            <w:gridSpan w:val="3"/>
            <w:vAlign w:val="center"/>
            <w:hideMark/>
          </w:tcPr>
          <w:p w14:paraId="46CD3287" w14:textId="77777777" w:rsidR="00000000" w:rsidRDefault="00C1661D">
            <w:pPr>
              <w:spacing w:after="100"/>
              <w:rPr>
                <w:rFonts w:eastAsia="Times New Roman"/>
                <w:sz w:val="20"/>
                <w:szCs w:val="20"/>
              </w:rPr>
            </w:pPr>
          </w:p>
        </w:tc>
        <w:tc>
          <w:tcPr>
            <w:tcW w:w="0" w:type="auto"/>
            <w:gridSpan w:val="3"/>
            <w:vAlign w:val="center"/>
            <w:hideMark/>
          </w:tcPr>
          <w:p w14:paraId="49183058" w14:textId="77777777" w:rsidR="00000000" w:rsidRDefault="00C1661D">
            <w:pPr>
              <w:spacing w:after="100"/>
              <w:rPr>
                <w:rFonts w:eastAsia="Times New Roman"/>
                <w:sz w:val="20"/>
                <w:szCs w:val="20"/>
              </w:rPr>
            </w:pPr>
          </w:p>
        </w:tc>
      </w:tr>
      <w:tr w:rsidR="00000000" w14:paraId="6718FC1F" w14:textId="77777777">
        <w:trPr>
          <w:divId w:val="1788045911"/>
        </w:trPr>
        <w:tc>
          <w:tcPr>
            <w:tcW w:w="0" w:type="auto"/>
            <w:gridSpan w:val="3"/>
            <w:shd w:val="clear" w:color="auto" w:fill="FFFFFF"/>
            <w:tcMar>
              <w:top w:w="30" w:type="dxa"/>
              <w:left w:w="20" w:type="dxa"/>
              <w:bottom w:w="30" w:type="dxa"/>
              <w:right w:w="20" w:type="dxa"/>
            </w:tcMar>
            <w:vAlign w:val="bottom"/>
            <w:hideMark/>
          </w:tcPr>
          <w:p w14:paraId="638C8787" w14:textId="77777777" w:rsidR="00000000" w:rsidRDefault="00C1661D">
            <w:pPr>
              <w:spacing w:after="100"/>
              <w:rPr>
                <w:rFonts w:eastAsia="Times New Roman"/>
              </w:rPr>
            </w:pPr>
            <w:r>
              <w:rPr>
                <w:rFonts w:eastAsia="Times New Roman"/>
                <w:b/>
                <w:bCs/>
                <w:color w:val="000000"/>
                <w:sz w:val="20"/>
                <w:szCs w:val="20"/>
              </w:rPr>
              <w:t>Amounts recorded in UGI Corporation stockholders’ equity (pre-tax):</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1383EAE"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5C95DA0" w14:textId="77777777" w:rsidR="00000000" w:rsidRDefault="00C166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19197062" w14:textId="77777777" w:rsidR="00000000" w:rsidRDefault="00C1661D">
            <w:pPr>
              <w:spacing w:after="100"/>
              <w:rPr>
                <w:rFonts w:eastAsia="Times New Roman"/>
              </w:rPr>
            </w:pPr>
            <w:r>
              <w:rPr>
                <w:rFonts w:eastAsia="Times New Roman"/>
                <w:color w:val="000000"/>
                <w:sz w:val="20"/>
                <w:szCs w:val="20"/>
              </w:rPr>
              <w:t> </w:t>
            </w:r>
          </w:p>
        </w:tc>
        <w:tc>
          <w:tcPr>
            <w:tcW w:w="0" w:type="auto"/>
            <w:vAlign w:val="center"/>
            <w:hideMark/>
          </w:tcPr>
          <w:p w14:paraId="7FF92E59" w14:textId="77777777" w:rsidR="00000000" w:rsidRDefault="00C1661D">
            <w:pPr>
              <w:spacing w:after="100"/>
              <w:rPr>
                <w:rFonts w:eastAsia="Times New Roman"/>
              </w:rPr>
            </w:pPr>
          </w:p>
        </w:tc>
        <w:tc>
          <w:tcPr>
            <w:tcW w:w="0" w:type="auto"/>
            <w:vAlign w:val="center"/>
            <w:hideMark/>
          </w:tcPr>
          <w:p w14:paraId="157408DE" w14:textId="77777777" w:rsidR="00000000" w:rsidRDefault="00C1661D">
            <w:pPr>
              <w:spacing w:after="100"/>
              <w:rPr>
                <w:rFonts w:eastAsia="Times New Roman"/>
                <w:sz w:val="20"/>
                <w:szCs w:val="20"/>
              </w:rPr>
            </w:pPr>
          </w:p>
        </w:tc>
        <w:tc>
          <w:tcPr>
            <w:tcW w:w="0" w:type="auto"/>
            <w:gridSpan w:val="3"/>
            <w:vAlign w:val="center"/>
            <w:hideMark/>
          </w:tcPr>
          <w:p w14:paraId="1F84DBEE" w14:textId="77777777" w:rsidR="00000000" w:rsidRDefault="00C1661D">
            <w:pPr>
              <w:spacing w:after="100"/>
              <w:rPr>
                <w:rFonts w:eastAsia="Times New Roman"/>
                <w:sz w:val="20"/>
                <w:szCs w:val="20"/>
              </w:rPr>
            </w:pPr>
          </w:p>
        </w:tc>
        <w:tc>
          <w:tcPr>
            <w:tcW w:w="0" w:type="auto"/>
            <w:gridSpan w:val="3"/>
            <w:vAlign w:val="center"/>
            <w:hideMark/>
          </w:tcPr>
          <w:p w14:paraId="46F6048A" w14:textId="77777777" w:rsidR="00000000" w:rsidRDefault="00C1661D">
            <w:pPr>
              <w:spacing w:after="100"/>
              <w:rPr>
                <w:rFonts w:eastAsia="Times New Roman"/>
                <w:sz w:val="20"/>
                <w:szCs w:val="20"/>
              </w:rPr>
            </w:pPr>
          </w:p>
        </w:tc>
      </w:tr>
      <w:tr w:rsidR="00000000" w14:paraId="7070D027" w14:textId="77777777">
        <w:trPr>
          <w:divId w:val="1788045911"/>
        </w:trPr>
        <w:tc>
          <w:tcPr>
            <w:tcW w:w="0" w:type="auto"/>
            <w:gridSpan w:val="3"/>
            <w:shd w:val="clear" w:color="auto" w:fill="CCEEFF"/>
            <w:tcMar>
              <w:top w:w="30" w:type="dxa"/>
              <w:left w:w="155" w:type="dxa"/>
              <w:bottom w:w="30" w:type="dxa"/>
              <w:right w:w="20" w:type="dxa"/>
            </w:tcMar>
            <w:vAlign w:val="bottom"/>
            <w:hideMark/>
          </w:tcPr>
          <w:p w14:paraId="448D10DF" w14:textId="77777777" w:rsidR="00000000" w:rsidRDefault="00C1661D">
            <w:pPr>
              <w:spacing w:after="100"/>
              <w:rPr>
                <w:rFonts w:eastAsia="Times New Roman"/>
              </w:rPr>
            </w:pPr>
            <w:r>
              <w:rPr>
                <w:rFonts w:eastAsia="Times New Roman"/>
                <w:color w:val="000000"/>
                <w:sz w:val="20"/>
                <w:szCs w:val="20"/>
              </w:rPr>
              <w:t>Prior service cost</w:t>
            </w:r>
          </w:p>
        </w:tc>
        <w:tc>
          <w:tcPr>
            <w:tcW w:w="0" w:type="auto"/>
            <w:shd w:val="clear" w:color="auto" w:fill="CCEEFF"/>
            <w:tcMar>
              <w:top w:w="30" w:type="dxa"/>
              <w:left w:w="20" w:type="dxa"/>
              <w:bottom w:w="30" w:type="dxa"/>
              <w:right w:w="0" w:type="dxa"/>
            </w:tcMar>
            <w:vAlign w:val="bottom"/>
            <w:hideMark/>
          </w:tcPr>
          <w:p w14:paraId="72CD0C2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F584FDF"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39FCE2D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85C14"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1147A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EF6AA14"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57E7CE5B" w14:textId="77777777" w:rsidR="00000000" w:rsidRDefault="00C1661D">
            <w:pPr>
              <w:spacing w:after="100"/>
              <w:jc w:val="right"/>
              <w:rPr>
                <w:rFonts w:eastAsia="Times New Roman"/>
              </w:rPr>
            </w:pPr>
          </w:p>
        </w:tc>
        <w:tc>
          <w:tcPr>
            <w:tcW w:w="0" w:type="auto"/>
            <w:vAlign w:val="center"/>
            <w:hideMark/>
          </w:tcPr>
          <w:p w14:paraId="72E45418" w14:textId="77777777" w:rsidR="00000000" w:rsidRDefault="00C1661D">
            <w:pPr>
              <w:spacing w:after="100"/>
              <w:jc w:val="right"/>
              <w:rPr>
                <w:rFonts w:eastAsia="Times New Roman"/>
                <w:sz w:val="20"/>
                <w:szCs w:val="20"/>
              </w:rPr>
            </w:pPr>
          </w:p>
        </w:tc>
        <w:tc>
          <w:tcPr>
            <w:tcW w:w="0" w:type="auto"/>
            <w:vAlign w:val="center"/>
            <w:hideMark/>
          </w:tcPr>
          <w:p w14:paraId="3C7B1128" w14:textId="77777777" w:rsidR="00000000" w:rsidRDefault="00C1661D">
            <w:pPr>
              <w:spacing w:after="100"/>
              <w:rPr>
                <w:rFonts w:eastAsia="Times New Roman"/>
                <w:sz w:val="20"/>
                <w:szCs w:val="20"/>
              </w:rPr>
            </w:pPr>
          </w:p>
        </w:tc>
        <w:tc>
          <w:tcPr>
            <w:tcW w:w="0" w:type="auto"/>
            <w:gridSpan w:val="3"/>
            <w:vAlign w:val="center"/>
            <w:hideMark/>
          </w:tcPr>
          <w:p w14:paraId="584E0FDC" w14:textId="77777777" w:rsidR="00000000" w:rsidRDefault="00C1661D">
            <w:pPr>
              <w:spacing w:after="100"/>
              <w:rPr>
                <w:rFonts w:eastAsia="Times New Roman"/>
                <w:sz w:val="20"/>
                <w:szCs w:val="20"/>
              </w:rPr>
            </w:pPr>
          </w:p>
        </w:tc>
        <w:tc>
          <w:tcPr>
            <w:tcW w:w="0" w:type="auto"/>
            <w:gridSpan w:val="3"/>
            <w:vAlign w:val="center"/>
            <w:hideMark/>
          </w:tcPr>
          <w:p w14:paraId="45C34D14" w14:textId="77777777" w:rsidR="00000000" w:rsidRDefault="00C1661D">
            <w:pPr>
              <w:spacing w:after="100"/>
              <w:rPr>
                <w:rFonts w:eastAsia="Times New Roman"/>
                <w:sz w:val="20"/>
                <w:szCs w:val="20"/>
              </w:rPr>
            </w:pPr>
          </w:p>
        </w:tc>
      </w:tr>
      <w:tr w:rsidR="00000000" w14:paraId="23709FAA" w14:textId="77777777">
        <w:trPr>
          <w:divId w:val="1788045911"/>
        </w:trPr>
        <w:tc>
          <w:tcPr>
            <w:tcW w:w="0" w:type="auto"/>
            <w:gridSpan w:val="3"/>
            <w:shd w:val="clear" w:color="auto" w:fill="FFFFFF"/>
            <w:tcMar>
              <w:top w:w="30" w:type="dxa"/>
              <w:left w:w="155" w:type="dxa"/>
              <w:bottom w:w="30" w:type="dxa"/>
              <w:right w:w="20" w:type="dxa"/>
            </w:tcMar>
            <w:vAlign w:val="bottom"/>
            <w:hideMark/>
          </w:tcPr>
          <w:p w14:paraId="32EE6AD8" w14:textId="77777777" w:rsidR="00000000" w:rsidRDefault="00C1661D">
            <w:pPr>
              <w:spacing w:after="100"/>
              <w:rPr>
                <w:rFonts w:eastAsia="Times New Roman"/>
              </w:rPr>
            </w:pPr>
            <w:r>
              <w:rPr>
                <w:rFonts w:eastAsia="Times New Roman"/>
                <w:color w:val="000000"/>
                <w:sz w:val="20"/>
                <w:szCs w:val="20"/>
              </w:rPr>
              <w:t>Net actuarial (gain) loss</w:t>
            </w:r>
          </w:p>
        </w:tc>
        <w:tc>
          <w:tcPr>
            <w:tcW w:w="0" w:type="auto"/>
            <w:gridSpan w:val="2"/>
            <w:shd w:val="clear" w:color="auto" w:fill="FFFFFF"/>
            <w:tcMar>
              <w:top w:w="30" w:type="dxa"/>
              <w:left w:w="20" w:type="dxa"/>
              <w:bottom w:w="30" w:type="dxa"/>
              <w:right w:w="0" w:type="dxa"/>
            </w:tcMar>
            <w:vAlign w:val="bottom"/>
            <w:hideMark/>
          </w:tcPr>
          <w:p w14:paraId="7F85B1EA" w14:textId="77777777" w:rsidR="00000000" w:rsidRDefault="00C1661D">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14:paraId="470748D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82D44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17402D" w14:textId="77777777" w:rsidR="00000000" w:rsidRDefault="00C1661D">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5A05CCCC" w14:textId="77777777" w:rsidR="00000000" w:rsidRDefault="00C1661D">
            <w:pPr>
              <w:spacing w:after="100"/>
              <w:jc w:val="right"/>
              <w:rPr>
                <w:rFonts w:eastAsia="Times New Roman"/>
              </w:rPr>
            </w:pPr>
          </w:p>
        </w:tc>
        <w:tc>
          <w:tcPr>
            <w:tcW w:w="0" w:type="auto"/>
            <w:vAlign w:val="center"/>
            <w:hideMark/>
          </w:tcPr>
          <w:p w14:paraId="2B8E8EC5" w14:textId="77777777" w:rsidR="00000000" w:rsidRDefault="00C1661D">
            <w:pPr>
              <w:spacing w:after="100"/>
              <w:jc w:val="right"/>
              <w:rPr>
                <w:rFonts w:eastAsia="Times New Roman"/>
                <w:sz w:val="20"/>
                <w:szCs w:val="20"/>
              </w:rPr>
            </w:pPr>
          </w:p>
        </w:tc>
        <w:tc>
          <w:tcPr>
            <w:tcW w:w="0" w:type="auto"/>
            <w:vAlign w:val="center"/>
            <w:hideMark/>
          </w:tcPr>
          <w:p w14:paraId="1707DB2F" w14:textId="77777777" w:rsidR="00000000" w:rsidRDefault="00C1661D">
            <w:pPr>
              <w:spacing w:after="100"/>
              <w:rPr>
                <w:rFonts w:eastAsia="Times New Roman"/>
                <w:sz w:val="20"/>
                <w:szCs w:val="20"/>
              </w:rPr>
            </w:pPr>
          </w:p>
        </w:tc>
        <w:tc>
          <w:tcPr>
            <w:tcW w:w="0" w:type="auto"/>
            <w:gridSpan w:val="3"/>
            <w:vAlign w:val="center"/>
            <w:hideMark/>
          </w:tcPr>
          <w:p w14:paraId="237055B8" w14:textId="77777777" w:rsidR="00000000" w:rsidRDefault="00C1661D">
            <w:pPr>
              <w:spacing w:after="100"/>
              <w:rPr>
                <w:rFonts w:eastAsia="Times New Roman"/>
                <w:sz w:val="20"/>
                <w:szCs w:val="20"/>
              </w:rPr>
            </w:pPr>
          </w:p>
        </w:tc>
        <w:tc>
          <w:tcPr>
            <w:tcW w:w="0" w:type="auto"/>
            <w:gridSpan w:val="3"/>
            <w:vAlign w:val="center"/>
            <w:hideMark/>
          </w:tcPr>
          <w:p w14:paraId="27953DCD" w14:textId="77777777" w:rsidR="00000000" w:rsidRDefault="00C1661D">
            <w:pPr>
              <w:spacing w:after="100"/>
              <w:rPr>
                <w:rFonts w:eastAsia="Times New Roman"/>
                <w:sz w:val="20"/>
                <w:szCs w:val="20"/>
              </w:rPr>
            </w:pPr>
          </w:p>
        </w:tc>
      </w:tr>
      <w:tr w:rsidR="00000000" w14:paraId="1CF9DC11" w14:textId="77777777">
        <w:trPr>
          <w:divId w:val="1788045911"/>
        </w:trPr>
        <w:tc>
          <w:tcPr>
            <w:tcW w:w="0" w:type="auto"/>
            <w:gridSpan w:val="3"/>
            <w:shd w:val="clear" w:color="auto" w:fill="CCEEFF"/>
            <w:tcMar>
              <w:top w:w="30" w:type="dxa"/>
              <w:left w:w="20" w:type="dxa"/>
              <w:bottom w:w="30" w:type="dxa"/>
              <w:right w:w="20" w:type="dxa"/>
            </w:tcMar>
            <w:vAlign w:val="bottom"/>
            <w:hideMark/>
          </w:tcPr>
          <w:p w14:paraId="32AA0D75" w14:textId="77777777" w:rsidR="00000000" w:rsidRDefault="00C1661D">
            <w:pPr>
              <w:spacing w:after="100"/>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D30D0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A7C957" w14:textId="77777777" w:rsidR="00000000" w:rsidRDefault="00C1661D">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E3FBD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41ADBE"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B319E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F4ADFF" w14:textId="77777777" w:rsidR="00000000" w:rsidRDefault="00C1661D">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C3E0A2" w14:textId="77777777" w:rsidR="00000000" w:rsidRDefault="00C1661D">
            <w:pPr>
              <w:spacing w:after="100"/>
              <w:jc w:val="right"/>
              <w:rPr>
                <w:rFonts w:eastAsia="Times New Roman"/>
              </w:rPr>
            </w:pPr>
          </w:p>
        </w:tc>
        <w:tc>
          <w:tcPr>
            <w:tcW w:w="0" w:type="auto"/>
            <w:vAlign w:val="center"/>
            <w:hideMark/>
          </w:tcPr>
          <w:p w14:paraId="248D8E41" w14:textId="77777777" w:rsidR="00000000" w:rsidRDefault="00C1661D">
            <w:pPr>
              <w:spacing w:after="100"/>
              <w:jc w:val="right"/>
              <w:rPr>
                <w:rFonts w:eastAsia="Times New Roman"/>
                <w:sz w:val="20"/>
                <w:szCs w:val="20"/>
              </w:rPr>
            </w:pPr>
          </w:p>
        </w:tc>
        <w:tc>
          <w:tcPr>
            <w:tcW w:w="0" w:type="auto"/>
            <w:vAlign w:val="center"/>
            <w:hideMark/>
          </w:tcPr>
          <w:p w14:paraId="65972090" w14:textId="77777777" w:rsidR="00000000" w:rsidRDefault="00C1661D">
            <w:pPr>
              <w:spacing w:after="100"/>
              <w:rPr>
                <w:rFonts w:eastAsia="Times New Roman"/>
                <w:sz w:val="20"/>
                <w:szCs w:val="20"/>
              </w:rPr>
            </w:pPr>
          </w:p>
        </w:tc>
        <w:tc>
          <w:tcPr>
            <w:tcW w:w="0" w:type="auto"/>
            <w:gridSpan w:val="3"/>
            <w:vAlign w:val="center"/>
            <w:hideMark/>
          </w:tcPr>
          <w:p w14:paraId="71C9230E" w14:textId="77777777" w:rsidR="00000000" w:rsidRDefault="00C1661D">
            <w:pPr>
              <w:spacing w:after="100"/>
              <w:rPr>
                <w:rFonts w:eastAsia="Times New Roman"/>
                <w:sz w:val="20"/>
                <w:szCs w:val="20"/>
              </w:rPr>
            </w:pPr>
          </w:p>
        </w:tc>
        <w:tc>
          <w:tcPr>
            <w:tcW w:w="0" w:type="auto"/>
            <w:gridSpan w:val="3"/>
            <w:vAlign w:val="center"/>
            <w:hideMark/>
          </w:tcPr>
          <w:p w14:paraId="4C52BBC2" w14:textId="77777777" w:rsidR="00000000" w:rsidRDefault="00C1661D">
            <w:pPr>
              <w:spacing w:after="100"/>
              <w:rPr>
                <w:rFonts w:eastAsia="Times New Roman"/>
                <w:sz w:val="20"/>
                <w:szCs w:val="20"/>
              </w:rPr>
            </w:pPr>
          </w:p>
        </w:tc>
      </w:tr>
      <w:tr w:rsidR="00000000" w14:paraId="07277FFC" w14:textId="77777777">
        <w:trPr>
          <w:divId w:val="1788045911"/>
        </w:trPr>
        <w:tc>
          <w:tcPr>
            <w:tcW w:w="0" w:type="auto"/>
            <w:gridSpan w:val="3"/>
            <w:shd w:val="clear" w:color="auto" w:fill="FFFFFF"/>
            <w:tcMar>
              <w:top w:w="30" w:type="dxa"/>
              <w:left w:w="20" w:type="dxa"/>
              <w:bottom w:w="30" w:type="dxa"/>
              <w:right w:w="20" w:type="dxa"/>
            </w:tcMar>
            <w:vAlign w:val="bottom"/>
            <w:hideMark/>
          </w:tcPr>
          <w:p w14:paraId="387C42CE" w14:textId="77777777" w:rsidR="00000000" w:rsidRDefault="00C1661D">
            <w:pPr>
              <w:spacing w:after="100"/>
              <w:rPr>
                <w:rFonts w:eastAsia="Times New Roman"/>
              </w:rPr>
            </w:pPr>
            <w:r>
              <w:rPr>
                <w:rFonts w:eastAsia="Times New Roman"/>
                <w:b/>
                <w:bCs/>
                <w:color w:val="000000"/>
                <w:sz w:val="20"/>
                <w:szCs w:val="20"/>
              </w:rPr>
              <w:t>Amounts recorded in regulatory assets and liabilities (pre-tax):</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121BAF62"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B23EE36" w14:textId="77777777" w:rsidR="00000000" w:rsidRDefault="00C166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C765C84" w14:textId="77777777" w:rsidR="00000000" w:rsidRDefault="00C1661D">
            <w:pPr>
              <w:spacing w:after="100"/>
              <w:rPr>
                <w:rFonts w:eastAsia="Times New Roman"/>
              </w:rPr>
            </w:pPr>
            <w:r>
              <w:rPr>
                <w:rFonts w:eastAsia="Times New Roman"/>
                <w:color w:val="000000"/>
                <w:sz w:val="20"/>
                <w:szCs w:val="20"/>
              </w:rPr>
              <w:t> </w:t>
            </w:r>
          </w:p>
        </w:tc>
        <w:tc>
          <w:tcPr>
            <w:tcW w:w="0" w:type="auto"/>
            <w:vAlign w:val="center"/>
            <w:hideMark/>
          </w:tcPr>
          <w:p w14:paraId="23C8180F" w14:textId="77777777" w:rsidR="00000000" w:rsidRDefault="00C1661D">
            <w:pPr>
              <w:spacing w:after="100"/>
              <w:rPr>
                <w:rFonts w:eastAsia="Times New Roman"/>
              </w:rPr>
            </w:pPr>
          </w:p>
        </w:tc>
        <w:tc>
          <w:tcPr>
            <w:tcW w:w="0" w:type="auto"/>
            <w:vAlign w:val="center"/>
            <w:hideMark/>
          </w:tcPr>
          <w:p w14:paraId="4E4FC4B3" w14:textId="77777777" w:rsidR="00000000" w:rsidRDefault="00C1661D">
            <w:pPr>
              <w:spacing w:after="100"/>
              <w:rPr>
                <w:rFonts w:eastAsia="Times New Roman"/>
                <w:sz w:val="20"/>
                <w:szCs w:val="20"/>
              </w:rPr>
            </w:pPr>
          </w:p>
        </w:tc>
        <w:tc>
          <w:tcPr>
            <w:tcW w:w="0" w:type="auto"/>
            <w:gridSpan w:val="3"/>
            <w:vAlign w:val="center"/>
            <w:hideMark/>
          </w:tcPr>
          <w:p w14:paraId="6539EB48" w14:textId="77777777" w:rsidR="00000000" w:rsidRDefault="00C1661D">
            <w:pPr>
              <w:spacing w:after="100"/>
              <w:rPr>
                <w:rFonts w:eastAsia="Times New Roman"/>
                <w:sz w:val="20"/>
                <w:szCs w:val="20"/>
              </w:rPr>
            </w:pPr>
          </w:p>
        </w:tc>
        <w:tc>
          <w:tcPr>
            <w:tcW w:w="0" w:type="auto"/>
            <w:gridSpan w:val="3"/>
            <w:vAlign w:val="center"/>
            <w:hideMark/>
          </w:tcPr>
          <w:p w14:paraId="7A040457" w14:textId="77777777" w:rsidR="00000000" w:rsidRDefault="00C1661D">
            <w:pPr>
              <w:spacing w:after="100"/>
              <w:rPr>
                <w:rFonts w:eastAsia="Times New Roman"/>
                <w:sz w:val="20"/>
                <w:szCs w:val="20"/>
              </w:rPr>
            </w:pPr>
          </w:p>
        </w:tc>
      </w:tr>
      <w:tr w:rsidR="00000000" w14:paraId="7C071AE4" w14:textId="77777777">
        <w:trPr>
          <w:divId w:val="1788045911"/>
        </w:trPr>
        <w:tc>
          <w:tcPr>
            <w:tcW w:w="0" w:type="auto"/>
            <w:gridSpan w:val="3"/>
            <w:vAlign w:val="center"/>
            <w:hideMark/>
          </w:tcPr>
          <w:p w14:paraId="11659C20" w14:textId="77777777" w:rsidR="00000000" w:rsidRDefault="00C1661D">
            <w:pPr>
              <w:spacing w:after="100"/>
              <w:rPr>
                <w:rFonts w:eastAsia="Times New Roman"/>
                <w:sz w:val="20"/>
                <w:szCs w:val="20"/>
              </w:rPr>
            </w:pPr>
          </w:p>
        </w:tc>
        <w:tc>
          <w:tcPr>
            <w:tcW w:w="0" w:type="auto"/>
            <w:gridSpan w:val="3"/>
            <w:vAlign w:val="center"/>
            <w:hideMark/>
          </w:tcPr>
          <w:p w14:paraId="0223263C" w14:textId="77777777" w:rsidR="00000000" w:rsidRDefault="00C1661D">
            <w:pPr>
              <w:spacing w:after="100"/>
              <w:rPr>
                <w:rFonts w:eastAsia="Times New Roman"/>
                <w:sz w:val="20"/>
                <w:szCs w:val="20"/>
              </w:rPr>
            </w:pPr>
          </w:p>
        </w:tc>
        <w:tc>
          <w:tcPr>
            <w:tcW w:w="0" w:type="auto"/>
            <w:gridSpan w:val="3"/>
            <w:vAlign w:val="center"/>
            <w:hideMark/>
          </w:tcPr>
          <w:p w14:paraId="197E7E87" w14:textId="77777777" w:rsidR="00000000" w:rsidRDefault="00C1661D">
            <w:pPr>
              <w:spacing w:after="100"/>
              <w:rPr>
                <w:rFonts w:eastAsia="Times New Roman"/>
                <w:sz w:val="20"/>
                <w:szCs w:val="20"/>
              </w:rPr>
            </w:pPr>
          </w:p>
        </w:tc>
        <w:tc>
          <w:tcPr>
            <w:tcW w:w="0" w:type="auto"/>
            <w:gridSpan w:val="3"/>
            <w:vAlign w:val="center"/>
            <w:hideMark/>
          </w:tcPr>
          <w:p w14:paraId="24C8B366" w14:textId="77777777" w:rsidR="00000000" w:rsidRDefault="00C1661D">
            <w:pPr>
              <w:spacing w:after="100"/>
              <w:rPr>
                <w:rFonts w:eastAsia="Times New Roman"/>
                <w:sz w:val="20"/>
                <w:szCs w:val="20"/>
              </w:rPr>
            </w:pPr>
          </w:p>
        </w:tc>
        <w:tc>
          <w:tcPr>
            <w:tcW w:w="0" w:type="auto"/>
            <w:vAlign w:val="center"/>
            <w:hideMark/>
          </w:tcPr>
          <w:p w14:paraId="42971CEE" w14:textId="77777777" w:rsidR="00000000" w:rsidRDefault="00C1661D">
            <w:pPr>
              <w:spacing w:after="100"/>
              <w:rPr>
                <w:rFonts w:eastAsia="Times New Roman"/>
                <w:sz w:val="20"/>
                <w:szCs w:val="20"/>
              </w:rPr>
            </w:pPr>
          </w:p>
        </w:tc>
        <w:tc>
          <w:tcPr>
            <w:tcW w:w="0" w:type="auto"/>
            <w:vAlign w:val="center"/>
            <w:hideMark/>
          </w:tcPr>
          <w:p w14:paraId="3A3DBE3D" w14:textId="77777777" w:rsidR="00000000" w:rsidRDefault="00C1661D">
            <w:pPr>
              <w:spacing w:after="100"/>
              <w:rPr>
                <w:rFonts w:eastAsia="Times New Roman"/>
                <w:sz w:val="20"/>
                <w:szCs w:val="20"/>
              </w:rPr>
            </w:pPr>
          </w:p>
        </w:tc>
        <w:tc>
          <w:tcPr>
            <w:tcW w:w="0" w:type="auto"/>
            <w:gridSpan w:val="3"/>
            <w:vAlign w:val="center"/>
            <w:hideMark/>
          </w:tcPr>
          <w:p w14:paraId="6DB7F396" w14:textId="77777777" w:rsidR="00000000" w:rsidRDefault="00C1661D">
            <w:pPr>
              <w:spacing w:after="100"/>
              <w:rPr>
                <w:rFonts w:eastAsia="Times New Roman"/>
                <w:sz w:val="20"/>
                <w:szCs w:val="20"/>
              </w:rPr>
            </w:pPr>
          </w:p>
        </w:tc>
        <w:tc>
          <w:tcPr>
            <w:tcW w:w="0" w:type="auto"/>
            <w:gridSpan w:val="3"/>
            <w:vAlign w:val="center"/>
            <w:hideMark/>
          </w:tcPr>
          <w:p w14:paraId="4508C1FF" w14:textId="77777777" w:rsidR="00000000" w:rsidRDefault="00C1661D">
            <w:pPr>
              <w:spacing w:after="100"/>
              <w:rPr>
                <w:rFonts w:eastAsia="Times New Roman"/>
                <w:sz w:val="20"/>
                <w:szCs w:val="20"/>
              </w:rPr>
            </w:pPr>
          </w:p>
        </w:tc>
      </w:tr>
      <w:tr w:rsidR="00000000" w14:paraId="2418BFD7" w14:textId="77777777">
        <w:trPr>
          <w:divId w:val="1788045911"/>
        </w:trPr>
        <w:tc>
          <w:tcPr>
            <w:tcW w:w="0" w:type="auto"/>
            <w:gridSpan w:val="3"/>
            <w:shd w:val="clear" w:color="auto" w:fill="CCEEFF"/>
            <w:tcMar>
              <w:top w:w="30" w:type="dxa"/>
              <w:left w:w="155" w:type="dxa"/>
              <w:bottom w:w="30" w:type="dxa"/>
              <w:right w:w="20" w:type="dxa"/>
            </w:tcMar>
            <w:vAlign w:val="bottom"/>
            <w:hideMark/>
          </w:tcPr>
          <w:p w14:paraId="379F9311" w14:textId="77777777" w:rsidR="00000000" w:rsidRDefault="00C1661D">
            <w:pPr>
              <w:spacing w:after="100"/>
              <w:rPr>
                <w:rFonts w:eastAsia="Times New Roman"/>
              </w:rPr>
            </w:pPr>
            <w:r>
              <w:rPr>
                <w:rFonts w:eastAsia="Times New Roman"/>
                <w:color w:val="000000"/>
                <w:sz w:val="20"/>
                <w:szCs w:val="20"/>
              </w:rPr>
              <w:t>Net actuarial loss</w:t>
            </w:r>
          </w:p>
        </w:tc>
        <w:tc>
          <w:tcPr>
            <w:tcW w:w="0" w:type="auto"/>
            <w:gridSpan w:val="2"/>
            <w:shd w:val="clear" w:color="auto" w:fill="CCEEFF"/>
            <w:tcMar>
              <w:top w:w="30" w:type="dxa"/>
              <w:left w:w="20" w:type="dxa"/>
              <w:bottom w:w="30" w:type="dxa"/>
              <w:right w:w="0" w:type="dxa"/>
            </w:tcMar>
            <w:vAlign w:val="bottom"/>
            <w:hideMark/>
          </w:tcPr>
          <w:p w14:paraId="7FD9BEED" w14:textId="77777777" w:rsidR="00000000" w:rsidRDefault="00C1661D">
            <w:pPr>
              <w:spacing w:after="100"/>
              <w:jc w:val="right"/>
              <w:rPr>
                <w:rFonts w:eastAsia="Times New Roman"/>
              </w:rPr>
            </w:pPr>
            <w:r>
              <w:rPr>
                <w:rFonts w:eastAsia="Times New Roman"/>
                <w:color w:val="000000"/>
                <w:sz w:val="20"/>
                <w:szCs w:val="20"/>
              </w:rPr>
              <w:t>114 </w:t>
            </w:r>
          </w:p>
        </w:tc>
        <w:tc>
          <w:tcPr>
            <w:tcW w:w="0" w:type="auto"/>
            <w:shd w:val="clear" w:color="auto" w:fill="CCEEFF"/>
            <w:tcMar>
              <w:top w:w="30" w:type="dxa"/>
              <w:left w:w="0" w:type="dxa"/>
              <w:bottom w:w="30" w:type="dxa"/>
              <w:right w:w="20" w:type="dxa"/>
            </w:tcMar>
            <w:vAlign w:val="bottom"/>
            <w:hideMark/>
          </w:tcPr>
          <w:p w14:paraId="5F7E7C7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78B5B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E0364D" w14:textId="77777777" w:rsidR="00000000" w:rsidRDefault="00C1661D">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14:paraId="238FF560" w14:textId="77777777" w:rsidR="00000000" w:rsidRDefault="00C1661D">
            <w:pPr>
              <w:spacing w:after="100"/>
              <w:jc w:val="right"/>
              <w:rPr>
                <w:rFonts w:eastAsia="Times New Roman"/>
              </w:rPr>
            </w:pPr>
          </w:p>
        </w:tc>
        <w:tc>
          <w:tcPr>
            <w:tcW w:w="0" w:type="auto"/>
            <w:vAlign w:val="center"/>
            <w:hideMark/>
          </w:tcPr>
          <w:p w14:paraId="64C52FB3" w14:textId="77777777" w:rsidR="00000000" w:rsidRDefault="00C1661D">
            <w:pPr>
              <w:spacing w:after="100"/>
              <w:jc w:val="right"/>
              <w:rPr>
                <w:rFonts w:eastAsia="Times New Roman"/>
                <w:sz w:val="20"/>
                <w:szCs w:val="20"/>
              </w:rPr>
            </w:pPr>
          </w:p>
        </w:tc>
        <w:tc>
          <w:tcPr>
            <w:tcW w:w="0" w:type="auto"/>
            <w:vAlign w:val="center"/>
            <w:hideMark/>
          </w:tcPr>
          <w:p w14:paraId="7BC3DF55" w14:textId="77777777" w:rsidR="00000000" w:rsidRDefault="00C1661D">
            <w:pPr>
              <w:spacing w:after="100"/>
              <w:rPr>
                <w:rFonts w:eastAsia="Times New Roman"/>
                <w:sz w:val="20"/>
                <w:szCs w:val="20"/>
              </w:rPr>
            </w:pPr>
          </w:p>
        </w:tc>
        <w:tc>
          <w:tcPr>
            <w:tcW w:w="0" w:type="auto"/>
            <w:gridSpan w:val="3"/>
            <w:vAlign w:val="center"/>
            <w:hideMark/>
          </w:tcPr>
          <w:p w14:paraId="245BC301" w14:textId="77777777" w:rsidR="00000000" w:rsidRDefault="00C1661D">
            <w:pPr>
              <w:spacing w:after="100"/>
              <w:rPr>
                <w:rFonts w:eastAsia="Times New Roman"/>
                <w:sz w:val="20"/>
                <w:szCs w:val="20"/>
              </w:rPr>
            </w:pPr>
          </w:p>
        </w:tc>
        <w:tc>
          <w:tcPr>
            <w:tcW w:w="0" w:type="auto"/>
            <w:gridSpan w:val="3"/>
            <w:vAlign w:val="center"/>
            <w:hideMark/>
          </w:tcPr>
          <w:p w14:paraId="6F54D268" w14:textId="77777777" w:rsidR="00000000" w:rsidRDefault="00C1661D">
            <w:pPr>
              <w:spacing w:after="100"/>
              <w:rPr>
                <w:rFonts w:eastAsia="Times New Roman"/>
                <w:sz w:val="20"/>
                <w:szCs w:val="20"/>
              </w:rPr>
            </w:pPr>
          </w:p>
        </w:tc>
      </w:tr>
      <w:tr w:rsidR="00000000" w14:paraId="1925ABF0" w14:textId="77777777">
        <w:trPr>
          <w:divId w:val="1788045911"/>
        </w:trPr>
        <w:tc>
          <w:tcPr>
            <w:tcW w:w="0" w:type="auto"/>
            <w:gridSpan w:val="3"/>
            <w:shd w:val="clear" w:color="auto" w:fill="FFFFFF"/>
            <w:tcMar>
              <w:top w:w="30" w:type="dxa"/>
              <w:left w:w="20" w:type="dxa"/>
              <w:bottom w:w="30" w:type="dxa"/>
              <w:right w:w="20" w:type="dxa"/>
            </w:tcMar>
            <w:vAlign w:val="bottom"/>
            <w:hideMark/>
          </w:tcPr>
          <w:p w14:paraId="64846FD9" w14:textId="77777777" w:rsidR="00000000" w:rsidRDefault="00C1661D">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C3C26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C04E851" w14:textId="77777777" w:rsidR="00000000" w:rsidRDefault="00C1661D">
            <w:pPr>
              <w:spacing w:after="100"/>
              <w:jc w:val="right"/>
              <w:rPr>
                <w:rFonts w:eastAsia="Times New Roman"/>
              </w:rPr>
            </w:pPr>
            <w:r>
              <w:rPr>
                <w:rFonts w:eastAsia="Times New Roman"/>
                <w:color w:val="000000"/>
                <w:sz w:val="20"/>
                <w:szCs w:val="20"/>
              </w:rPr>
              <w:t>114 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51468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0BF12E"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5302B6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3FE0961" w14:textId="77777777" w:rsidR="00000000" w:rsidRDefault="00C1661D">
            <w:pPr>
              <w:spacing w:after="100"/>
              <w:jc w:val="right"/>
              <w:rPr>
                <w:rFonts w:eastAsia="Times New Roman"/>
              </w:rPr>
            </w:pPr>
            <w:r>
              <w:rPr>
                <w:rFonts w:eastAsia="Times New Roman"/>
                <w:color w:val="000000"/>
                <w:sz w:val="20"/>
                <w:szCs w:val="20"/>
              </w:rPr>
              <w:t>108 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3BA9220" w14:textId="77777777" w:rsidR="00000000" w:rsidRDefault="00C1661D">
            <w:pPr>
              <w:spacing w:after="100"/>
              <w:jc w:val="right"/>
              <w:rPr>
                <w:rFonts w:eastAsia="Times New Roman"/>
              </w:rPr>
            </w:pPr>
          </w:p>
        </w:tc>
        <w:tc>
          <w:tcPr>
            <w:tcW w:w="0" w:type="auto"/>
            <w:vAlign w:val="center"/>
            <w:hideMark/>
          </w:tcPr>
          <w:p w14:paraId="67849ED4" w14:textId="77777777" w:rsidR="00000000" w:rsidRDefault="00C1661D">
            <w:pPr>
              <w:spacing w:after="100"/>
              <w:jc w:val="right"/>
              <w:rPr>
                <w:rFonts w:eastAsia="Times New Roman"/>
                <w:sz w:val="20"/>
                <w:szCs w:val="20"/>
              </w:rPr>
            </w:pPr>
          </w:p>
        </w:tc>
        <w:tc>
          <w:tcPr>
            <w:tcW w:w="0" w:type="auto"/>
            <w:vAlign w:val="center"/>
            <w:hideMark/>
          </w:tcPr>
          <w:p w14:paraId="65CE169C" w14:textId="77777777" w:rsidR="00000000" w:rsidRDefault="00C1661D">
            <w:pPr>
              <w:spacing w:after="100"/>
              <w:rPr>
                <w:rFonts w:eastAsia="Times New Roman"/>
                <w:sz w:val="20"/>
                <w:szCs w:val="20"/>
              </w:rPr>
            </w:pPr>
          </w:p>
        </w:tc>
        <w:tc>
          <w:tcPr>
            <w:tcW w:w="0" w:type="auto"/>
            <w:gridSpan w:val="3"/>
            <w:vAlign w:val="center"/>
            <w:hideMark/>
          </w:tcPr>
          <w:p w14:paraId="2E465895" w14:textId="77777777" w:rsidR="00000000" w:rsidRDefault="00C1661D">
            <w:pPr>
              <w:spacing w:after="100"/>
              <w:rPr>
                <w:rFonts w:eastAsia="Times New Roman"/>
                <w:sz w:val="20"/>
                <w:szCs w:val="20"/>
              </w:rPr>
            </w:pPr>
          </w:p>
        </w:tc>
        <w:tc>
          <w:tcPr>
            <w:tcW w:w="0" w:type="auto"/>
            <w:gridSpan w:val="3"/>
            <w:vAlign w:val="center"/>
            <w:hideMark/>
          </w:tcPr>
          <w:p w14:paraId="5BC113E9" w14:textId="77777777" w:rsidR="00000000" w:rsidRDefault="00C1661D">
            <w:pPr>
              <w:spacing w:after="100"/>
              <w:rPr>
                <w:rFonts w:eastAsia="Times New Roman"/>
                <w:sz w:val="20"/>
                <w:szCs w:val="20"/>
              </w:rPr>
            </w:pPr>
          </w:p>
        </w:tc>
      </w:tr>
    </w:tbl>
    <w:p w14:paraId="5541C4F1" w14:textId="77777777" w:rsidR="00000000" w:rsidRDefault="00C1661D">
      <w:pPr>
        <w:divId w:val="580261486"/>
        <w:rPr>
          <w:rFonts w:eastAsia="Times New Roman"/>
        </w:rPr>
      </w:pPr>
      <w:r>
        <w:rPr>
          <w:rFonts w:eastAsia="Times New Roman"/>
          <w:color w:val="000000"/>
          <w:sz w:val="20"/>
          <w:szCs w:val="20"/>
        </w:rPr>
        <w:t xml:space="preserve">(a) </w:t>
      </w:r>
      <w:r>
        <w:rPr>
          <w:rFonts w:eastAsia="Times New Roman"/>
          <w:color w:val="000000"/>
          <w:sz w:val="20"/>
          <w:szCs w:val="20"/>
        </w:rPr>
        <w:t>The ABO for the U.S. Pension Plans was $570 and $756 as of September 30, 2022 and 2021, respectively.</w:t>
      </w:r>
    </w:p>
    <w:p w14:paraId="572D3893" w14:textId="77777777" w:rsidR="00000000" w:rsidRDefault="00C1661D">
      <w:pPr>
        <w:divId w:val="336664132"/>
        <w:rPr>
          <w:rFonts w:eastAsia="Times New Roman"/>
        </w:rPr>
      </w:pPr>
      <w:r>
        <w:rPr>
          <w:rFonts w:eastAsia="Times New Roman"/>
          <w:color w:val="000000"/>
          <w:sz w:val="20"/>
          <w:szCs w:val="20"/>
        </w:rPr>
        <w:t xml:space="preserve">(b) Amounts are reflected in “Other noncurrent liabilities” and “Other assets” </w:t>
      </w:r>
      <w:r>
        <w:rPr>
          <w:rFonts w:eastAsia="Times New Roman"/>
          <w:color w:val="000000"/>
          <w:sz w:val="20"/>
          <w:szCs w:val="20"/>
        </w:rPr>
        <w:t>on the Consolidated Balance Sheets. Amounts reflected in “Other assets” are not material.</w:t>
      </w:r>
    </w:p>
    <w:p w14:paraId="7CE0563C" w14:textId="77777777" w:rsidR="00000000" w:rsidRDefault="00C1661D">
      <w:pPr>
        <w:divId w:val="1071611345"/>
        <w:rPr>
          <w:rFonts w:eastAsia="Times New Roman"/>
        </w:rPr>
      </w:pPr>
    </w:p>
    <w:p w14:paraId="45593F25" w14:textId="77777777" w:rsidR="00000000" w:rsidRDefault="00C1661D">
      <w:pPr>
        <w:jc w:val="both"/>
        <w:rPr>
          <w:rFonts w:eastAsia="Times New Roman"/>
        </w:rPr>
      </w:pPr>
      <w:r>
        <w:rPr>
          <w:rFonts w:eastAsia="Times New Roman"/>
          <w:color w:val="000000"/>
          <w:sz w:val="20"/>
          <w:szCs w:val="20"/>
        </w:rPr>
        <w:t xml:space="preserve">In Fiscal 2022 and Fiscal 2021, the change in the pension plans’ PBO due to actuarial gains and losses is principally the result of changes in discount rates. </w:t>
      </w:r>
    </w:p>
    <w:p w14:paraId="0BD85852" w14:textId="77777777" w:rsidR="00000000" w:rsidRDefault="00C1661D">
      <w:pPr>
        <w:jc w:val="both"/>
        <w:divId w:val="1810634637"/>
        <w:rPr>
          <w:rFonts w:eastAsia="Times New Roman"/>
        </w:rPr>
      </w:pPr>
      <w:r>
        <w:rPr>
          <w:rFonts w:eastAsia="Times New Roman"/>
          <w:color w:val="000000"/>
          <w:sz w:val="20"/>
          <w:szCs w:val="20"/>
        </w:rPr>
        <w:t>Actu</w:t>
      </w:r>
      <w:r>
        <w:rPr>
          <w:rFonts w:eastAsia="Times New Roman"/>
          <w:color w:val="000000"/>
          <w:sz w:val="20"/>
          <w:szCs w:val="20"/>
        </w:rPr>
        <w:t xml:space="preserve">arial assumptions for our U.S. Pension Plans are described below. The discount rate assumption was determined by selecting a hypothetical portfolio of high quality corporate bonds appropriate to provide for the projected benefit payments of the plans. The </w:t>
      </w:r>
      <w:r>
        <w:rPr>
          <w:rFonts w:eastAsia="Times New Roman"/>
          <w:color w:val="000000"/>
          <w:sz w:val="20"/>
          <w:szCs w:val="20"/>
        </w:rPr>
        <w:t>discount rate was then developed as the single rate that equates the market value of the bonds purchased to the discounted value of the plans’ benefit payments. The expected rate of return on assets assumption is based on current and expected asset allocat</w:t>
      </w:r>
      <w:r>
        <w:rPr>
          <w:rFonts w:eastAsia="Times New Roman"/>
          <w:color w:val="000000"/>
          <w:sz w:val="20"/>
          <w:szCs w:val="20"/>
        </w:rPr>
        <w:t>ions as well as historical and expected returns on various categories of plan assets (as further described below).</w:t>
      </w:r>
    </w:p>
    <w:tbl>
      <w:tblPr>
        <w:tblW w:w="5000" w:type="pct"/>
        <w:tblCellMar>
          <w:top w:w="15" w:type="dxa"/>
          <w:left w:w="15" w:type="dxa"/>
          <w:bottom w:w="15" w:type="dxa"/>
          <w:right w:w="15" w:type="dxa"/>
        </w:tblCellMar>
        <w:tblLook w:val="04A0" w:firstRow="1" w:lastRow="0" w:firstColumn="1" w:lastColumn="0" w:noHBand="0" w:noVBand="1"/>
      </w:tblPr>
      <w:tblGrid>
        <w:gridCol w:w="37"/>
        <w:gridCol w:w="5218"/>
        <w:gridCol w:w="36"/>
        <w:gridCol w:w="45"/>
        <w:gridCol w:w="575"/>
        <w:gridCol w:w="187"/>
        <w:gridCol w:w="36"/>
        <w:gridCol w:w="36"/>
        <w:gridCol w:w="36"/>
        <w:gridCol w:w="45"/>
        <w:gridCol w:w="511"/>
        <w:gridCol w:w="187"/>
        <w:gridCol w:w="36"/>
        <w:gridCol w:w="36"/>
        <w:gridCol w:w="36"/>
        <w:gridCol w:w="45"/>
        <w:gridCol w:w="513"/>
        <w:gridCol w:w="187"/>
        <w:gridCol w:w="36"/>
        <w:gridCol w:w="36"/>
        <w:gridCol w:w="36"/>
        <w:gridCol w:w="36"/>
        <w:gridCol w:w="36"/>
        <w:gridCol w:w="36"/>
        <w:gridCol w:w="36"/>
        <w:gridCol w:w="36"/>
        <w:gridCol w:w="36"/>
        <w:gridCol w:w="36"/>
        <w:gridCol w:w="36"/>
        <w:gridCol w:w="36"/>
        <w:gridCol w:w="36"/>
        <w:gridCol w:w="36"/>
      </w:tblGrid>
      <w:tr w:rsidR="00000000" w14:paraId="6252B83E" w14:textId="77777777">
        <w:trPr>
          <w:divId w:val="1421368742"/>
        </w:trPr>
        <w:tc>
          <w:tcPr>
            <w:tcW w:w="50" w:type="pct"/>
            <w:vAlign w:val="center"/>
            <w:hideMark/>
          </w:tcPr>
          <w:p w14:paraId="05C0E828" w14:textId="77777777" w:rsidR="00000000" w:rsidRDefault="00C1661D">
            <w:pPr>
              <w:jc w:val="both"/>
              <w:rPr>
                <w:rFonts w:eastAsia="Times New Roman"/>
              </w:rPr>
            </w:pPr>
          </w:p>
        </w:tc>
        <w:tc>
          <w:tcPr>
            <w:tcW w:w="3402" w:type="pct"/>
            <w:vAlign w:val="center"/>
            <w:hideMark/>
          </w:tcPr>
          <w:p w14:paraId="5496FA02" w14:textId="77777777" w:rsidR="00000000" w:rsidRDefault="00C1661D">
            <w:pPr>
              <w:spacing w:after="100"/>
              <w:rPr>
                <w:rFonts w:eastAsia="Times New Roman"/>
                <w:sz w:val="20"/>
                <w:szCs w:val="20"/>
              </w:rPr>
            </w:pPr>
          </w:p>
        </w:tc>
        <w:tc>
          <w:tcPr>
            <w:tcW w:w="5" w:type="pct"/>
            <w:vAlign w:val="center"/>
            <w:hideMark/>
          </w:tcPr>
          <w:p w14:paraId="3F01F066" w14:textId="77777777" w:rsidR="00000000" w:rsidRDefault="00C1661D">
            <w:pPr>
              <w:spacing w:after="100"/>
              <w:rPr>
                <w:rFonts w:eastAsia="Times New Roman"/>
                <w:sz w:val="20"/>
                <w:szCs w:val="20"/>
              </w:rPr>
            </w:pPr>
          </w:p>
        </w:tc>
        <w:tc>
          <w:tcPr>
            <w:tcW w:w="50" w:type="pct"/>
            <w:vAlign w:val="center"/>
            <w:hideMark/>
          </w:tcPr>
          <w:p w14:paraId="48705272" w14:textId="77777777" w:rsidR="00000000" w:rsidRDefault="00C1661D">
            <w:pPr>
              <w:spacing w:after="100"/>
              <w:rPr>
                <w:rFonts w:eastAsia="Times New Roman"/>
                <w:sz w:val="20"/>
                <w:szCs w:val="20"/>
              </w:rPr>
            </w:pPr>
          </w:p>
        </w:tc>
        <w:tc>
          <w:tcPr>
            <w:tcW w:w="434" w:type="pct"/>
            <w:vAlign w:val="center"/>
            <w:hideMark/>
          </w:tcPr>
          <w:p w14:paraId="1817ADA4" w14:textId="77777777" w:rsidR="00000000" w:rsidRDefault="00C1661D">
            <w:pPr>
              <w:spacing w:after="100"/>
              <w:rPr>
                <w:rFonts w:eastAsia="Times New Roman"/>
                <w:sz w:val="20"/>
                <w:szCs w:val="20"/>
              </w:rPr>
            </w:pPr>
          </w:p>
        </w:tc>
        <w:tc>
          <w:tcPr>
            <w:tcW w:w="5" w:type="pct"/>
            <w:vAlign w:val="center"/>
            <w:hideMark/>
          </w:tcPr>
          <w:p w14:paraId="5F6D3854" w14:textId="77777777" w:rsidR="00000000" w:rsidRDefault="00C1661D">
            <w:pPr>
              <w:spacing w:after="100"/>
              <w:rPr>
                <w:rFonts w:eastAsia="Times New Roman"/>
                <w:sz w:val="20"/>
                <w:szCs w:val="20"/>
              </w:rPr>
            </w:pPr>
          </w:p>
        </w:tc>
        <w:tc>
          <w:tcPr>
            <w:tcW w:w="5" w:type="pct"/>
            <w:vAlign w:val="center"/>
            <w:hideMark/>
          </w:tcPr>
          <w:p w14:paraId="7C16E0DA" w14:textId="77777777" w:rsidR="00000000" w:rsidRDefault="00C1661D">
            <w:pPr>
              <w:spacing w:after="100"/>
              <w:rPr>
                <w:rFonts w:eastAsia="Times New Roman"/>
                <w:sz w:val="20"/>
                <w:szCs w:val="20"/>
              </w:rPr>
            </w:pPr>
          </w:p>
        </w:tc>
        <w:tc>
          <w:tcPr>
            <w:tcW w:w="26" w:type="pct"/>
            <w:vAlign w:val="center"/>
            <w:hideMark/>
          </w:tcPr>
          <w:p w14:paraId="14BD1272" w14:textId="77777777" w:rsidR="00000000" w:rsidRDefault="00C1661D">
            <w:pPr>
              <w:spacing w:after="100"/>
              <w:rPr>
                <w:rFonts w:eastAsia="Times New Roman"/>
                <w:sz w:val="20"/>
                <w:szCs w:val="20"/>
              </w:rPr>
            </w:pPr>
          </w:p>
        </w:tc>
        <w:tc>
          <w:tcPr>
            <w:tcW w:w="5" w:type="pct"/>
            <w:vAlign w:val="center"/>
            <w:hideMark/>
          </w:tcPr>
          <w:p w14:paraId="34794DA5" w14:textId="77777777" w:rsidR="00000000" w:rsidRDefault="00C1661D">
            <w:pPr>
              <w:spacing w:after="100"/>
              <w:rPr>
                <w:rFonts w:eastAsia="Times New Roman"/>
                <w:sz w:val="20"/>
                <w:szCs w:val="20"/>
              </w:rPr>
            </w:pPr>
          </w:p>
        </w:tc>
        <w:tc>
          <w:tcPr>
            <w:tcW w:w="50" w:type="pct"/>
            <w:vAlign w:val="center"/>
            <w:hideMark/>
          </w:tcPr>
          <w:p w14:paraId="2CA48F8E" w14:textId="77777777" w:rsidR="00000000" w:rsidRDefault="00C1661D">
            <w:pPr>
              <w:spacing w:after="100"/>
              <w:rPr>
                <w:rFonts w:eastAsia="Times New Roman"/>
                <w:sz w:val="20"/>
                <w:szCs w:val="20"/>
              </w:rPr>
            </w:pPr>
          </w:p>
        </w:tc>
        <w:tc>
          <w:tcPr>
            <w:tcW w:w="434" w:type="pct"/>
            <w:vAlign w:val="center"/>
            <w:hideMark/>
          </w:tcPr>
          <w:p w14:paraId="4024018B" w14:textId="77777777" w:rsidR="00000000" w:rsidRDefault="00C1661D">
            <w:pPr>
              <w:spacing w:after="100"/>
              <w:rPr>
                <w:rFonts w:eastAsia="Times New Roman"/>
                <w:sz w:val="20"/>
                <w:szCs w:val="20"/>
              </w:rPr>
            </w:pPr>
          </w:p>
        </w:tc>
        <w:tc>
          <w:tcPr>
            <w:tcW w:w="5" w:type="pct"/>
            <w:vAlign w:val="center"/>
            <w:hideMark/>
          </w:tcPr>
          <w:p w14:paraId="405C0BDC" w14:textId="77777777" w:rsidR="00000000" w:rsidRDefault="00C1661D">
            <w:pPr>
              <w:spacing w:after="100"/>
              <w:rPr>
                <w:rFonts w:eastAsia="Times New Roman"/>
                <w:sz w:val="20"/>
                <w:szCs w:val="20"/>
              </w:rPr>
            </w:pPr>
          </w:p>
        </w:tc>
        <w:tc>
          <w:tcPr>
            <w:tcW w:w="5" w:type="pct"/>
            <w:vAlign w:val="center"/>
            <w:hideMark/>
          </w:tcPr>
          <w:p w14:paraId="263FD303" w14:textId="77777777" w:rsidR="00000000" w:rsidRDefault="00C1661D">
            <w:pPr>
              <w:spacing w:after="100"/>
              <w:rPr>
                <w:rFonts w:eastAsia="Times New Roman"/>
                <w:sz w:val="20"/>
                <w:szCs w:val="20"/>
              </w:rPr>
            </w:pPr>
          </w:p>
        </w:tc>
        <w:tc>
          <w:tcPr>
            <w:tcW w:w="26" w:type="pct"/>
            <w:vAlign w:val="center"/>
            <w:hideMark/>
          </w:tcPr>
          <w:p w14:paraId="798ED6A1" w14:textId="77777777" w:rsidR="00000000" w:rsidRDefault="00C1661D">
            <w:pPr>
              <w:spacing w:after="100"/>
              <w:rPr>
                <w:rFonts w:eastAsia="Times New Roman"/>
                <w:sz w:val="20"/>
                <w:szCs w:val="20"/>
              </w:rPr>
            </w:pPr>
          </w:p>
        </w:tc>
        <w:tc>
          <w:tcPr>
            <w:tcW w:w="5" w:type="pct"/>
            <w:vAlign w:val="center"/>
            <w:hideMark/>
          </w:tcPr>
          <w:p w14:paraId="77CCD5B2" w14:textId="77777777" w:rsidR="00000000" w:rsidRDefault="00C1661D">
            <w:pPr>
              <w:spacing w:after="100"/>
              <w:rPr>
                <w:rFonts w:eastAsia="Times New Roman"/>
                <w:sz w:val="20"/>
                <w:szCs w:val="20"/>
              </w:rPr>
            </w:pPr>
          </w:p>
        </w:tc>
        <w:tc>
          <w:tcPr>
            <w:tcW w:w="50" w:type="pct"/>
            <w:vAlign w:val="center"/>
            <w:hideMark/>
          </w:tcPr>
          <w:p w14:paraId="082F0D92" w14:textId="77777777" w:rsidR="00000000" w:rsidRDefault="00C1661D">
            <w:pPr>
              <w:spacing w:after="100"/>
              <w:rPr>
                <w:rFonts w:eastAsia="Times New Roman"/>
                <w:sz w:val="20"/>
                <w:szCs w:val="20"/>
              </w:rPr>
            </w:pPr>
          </w:p>
        </w:tc>
        <w:tc>
          <w:tcPr>
            <w:tcW w:w="434" w:type="pct"/>
            <w:vAlign w:val="center"/>
            <w:hideMark/>
          </w:tcPr>
          <w:p w14:paraId="10284FEA" w14:textId="77777777" w:rsidR="00000000" w:rsidRDefault="00C1661D">
            <w:pPr>
              <w:spacing w:after="100"/>
              <w:rPr>
                <w:rFonts w:eastAsia="Times New Roman"/>
                <w:sz w:val="20"/>
                <w:szCs w:val="20"/>
              </w:rPr>
            </w:pPr>
          </w:p>
        </w:tc>
        <w:tc>
          <w:tcPr>
            <w:tcW w:w="5" w:type="pct"/>
            <w:vAlign w:val="center"/>
            <w:hideMark/>
          </w:tcPr>
          <w:p w14:paraId="758E8E7C" w14:textId="77777777" w:rsidR="00000000" w:rsidRDefault="00C1661D">
            <w:pPr>
              <w:spacing w:after="100"/>
              <w:rPr>
                <w:rFonts w:eastAsia="Times New Roman"/>
                <w:sz w:val="20"/>
                <w:szCs w:val="20"/>
              </w:rPr>
            </w:pPr>
          </w:p>
        </w:tc>
        <w:tc>
          <w:tcPr>
            <w:tcW w:w="0" w:type="auto"/>
            <w:vAlign w:val="center"/>
            <w:hideMark/>
          </w:tcPr>
          <w:p w14:paraId="78FD1A03" w14:textId="77777777" w:rsidR="00000000" w:rsidRDefault="00C1661D">
            <w:pPr>
              <w:spacing w:after="100"/>
              <w:rPr>
                <w:rFonts w:eastAsia="Times New Roman"/>
                <w:sz w:val="20"/>
                <w:szCs w:val="20"/>
              </w:rPr>
            </w:pPr>
          </w:p>
        </w:tc>
        <w:tc>
          <w:tcPr>
            <w:tcW w:w="0" w:type="auto"/>
            <w:vAlign w:val="center"/>
            <w:hideMark/>
          </w:tcPr>
          <w:p w14:paraId="20DBE5BE" w14:textId="77777777" w:rsidR="00000000" w:rsidRDefault="00C1661D">
            <w:pPr>
              <w:spacing w:after="100"/>
              <w:rPr>
                <w:rFonts w:eastAsia="Times New Roman"/>
                <w:sz w:val="20"/>
                <w:szCs w:val="20"/>
              </w:rPr>
            </w:pPr>
          </w:p>
        </w:tc>
        <w:tc>
          <w:tcPr>
            <w:tcW w:w="0" w:type="auto"/>
            <w:gridSpan w:val="3"/>
            <w:vAlign w:val="center"/>
            <w:hideMark/>
          </w:tcPr>
          <w:p w14:paraId="2F097F38" w14:textId="77777777" w:rsidR="00000000" w:rsidRDefault="00C1661D">
            <w:pPr>
              <w:spacing w:after="100"/>
              <w:rPr>
                <w:rFonts w:eastAsia="Times New Roman"/>
                <w:sz w:val="20"/>
                <w:szCs w:val="20"/>
              </w:rPr>
            </w:pPr>
          </w:p>
        </w:tc>
        <w:tc>
          <w:tcPr>
            <w:tcW w:w="0" w:type="auto"/>
            <w:gridSpan w:val="3"/>
            <w:vAlign w:val="center"/>
            <w:hideMark/>
          </w:tcPr>
          <w:p w14:paraId="1A624EFA" w14:textId="77777777" w:rsidR="00000000" w:rsidRDefault="00C1661D">
            <w:pPr>
              <w:spacing w:after="100"/>
              <w:rPr>
                <w:rFonts w:eastAsia="Times New Roman"/>
                <w:sz w:val="20"/>
                <w:szCs w:val="20"/>
              </w:rPr>
            </w:pPr>
          </w:p>
        </w:tc>
        <w:tc>
          <w:tcPr>
            <w:tcW w:w="0" w:type="auto"/>
            <w:gridSpan w:val="3"/>
            <w:vAlign w:val="center"/>
            <w:hideMark/>
          </w:tcPr>
          <w:p w14:paraId="487C992C" w14:textId="77777777" w:rsidR="00000000" w:rsidRDefault="00C1661D">
            <w:pPr>
              <w:spacing w:after="100"/>
              <w:rPr>
                <w:rFonts w:eastAsia="Times New Roman"/>
                <w:sz w:val="20"/>
                <w:szCs w:val="20"/>
              </w:rPr>
            </w:pPr>
          </w:p>
        </w:tc>
        <w:tc>
          <w:tcPr>
            <w:tcW w:w="0" w:type="auto"/>
            <w:gridSpan w:val="3"/>
            <w:vAlign w:val="center"/>
            <w:hideMark/>
          </w:tcPr>
          <w:p w14:paraId="6F0D0A58" w14:textId="77777777" w:rsidR="00000000" w:rsidRDefault="00C1661D">
            <w:pPr>
              <w:spacing w:after="100"/>
              <w:rPr>
                <w:rFonts w:eastAsia="Times New Roman"/>
                <w:sz w:val="20"/>
                <w:szCs w:val="20"/>
              </w:rPr>
            </w:pPr>
          </w:p>
        </w:tc>
      </w:tr>
      <w:tr w:rsidR="00000000" w14:paraId="5D9E2929" w14:textId="77777777">
        <w:trPr>
          <w:divId w:val="1421368742"/>
        </w:trPr>
        <w:tc>
          <w:tcPr>
            <w:tcW w:w="0" w:type="auto"/>
            <w:gridSpan w:val="3"/>
            <w:tcMar>
              <w:top w:w="30" w:type="dxa"/>
              <w:left w:w="20" w:type="dxa"/>
              <w:bottom w:w="30" w:type="dxa"/>
              <w:right w:w="20" w:type="dxa"/>
            </w:tcMar>
            <w:vAlign w:val="bottom"/>
            <w:hideMark/>
          </w:tcPr>
          <w:p w14:paraId="1A73207B" w14:textId="77777777" w:rsidR="00000000" w:rsidRDefault="00C1661D">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4DB1CF1F" w14:textId="77777777" w:rsidR="00000000" w:rsidRDefault="00C1661D">
            <w:pPr>
              <w:spacing w:after="100"/>
              <w:jc w:val="center"/>
              <w:rPr>
                <w:rFonts w:eastAsia="Times New Roman"/>
              </w:rPr>
            </w:pPr>
            <w:r>
              <w:rPr>
                <w:rFonts w:eastAsia="Times New Roman"/>
                <w:color w:val="000000"/>
                <w:sz w:val="20"/>
                <w:szCs w:val="20"/>
              </w:rPr>
              <w:t>Pension Plans</w:t>
            </w:r>
          </w:p>
        </w:tc>
        <w:tc>
          <w:tcPr>
            <w:tcW w:w="0" w:type="auto"/>
            <w:vAlign w:val="center"/>
            <w:hideMark/>
          </w:tcPr>
          <w:p w14:paraId="3963BA32" w14:textId="77777777" w:rsidR="00000000" w:rsidRDefault="00C1661D">
            <w:pPr>
              <w:spacing w:after="100"/>
              <w:jc w:val="center"/>
              <w:rPr>
                <w:rFonts w:eastAsia="Times New Roman"/>
              </w:rPr>
            </w:pPr>
          </w:p>
        </w:tc>
        <w:tc>
          <w:tcPr>
            <w:tcW w:w="0" w:type="auto"/>
            <w:vAlign w:val="center"/>
            <w:hideMark/>
          </w:tcPr>
          <w:p w14:paraId="41EAD326" w14:textId="77777777" w:rsidR="00000000" w:rsidRDefault="00C1661D">
            <w:pPr>
              <w:spacing w:after="100"/>
              <w:rPr>
                <w:rFonts w:eastAsia="Times New Roman"/>
                <w:sz w:val="20"/>
                <w:szCs w:val="20"/>
              </w:rPr>
            </w:pPr>
          </w:p>
        </w:tc>
        <w:tc>
          <w:tcPr>
            <w:tcW w:w="0" w:type="auto"/>
            <w:vAlign w:val="center"/>
            <w:hideMark/>
          </w:tcPr>
          <w:p w14:paraId="68B3417A" w14:textId="77777777" w:rsidR="00000000" w:rsidRDefault="00C1661D">
            <w:pPr>
              <w:spacing w:after="100"/>
              <w:rPr>
                <w:rFonts w:eastAsia="Times New Roman"/>
                <w:sz w:val="20"/>
                <w:szCs w:val="20"/>
              </w:rPr>
            </w:pPr>
          </w:p>
        </w:tc>
        <w:tc>
          <w:tcPr>
            <w:tcW w:w="0" w:type="auto"/>
            <w:vAlign w:val="center"/>
            <w:hideMark/>
          </w:tcPr>
          <w:p w14:paraId="3FE3DC02" w14:textId="77777777" w:rsidR="00000000" w:rsidRDefault="00C1661D">
            <w:pPr>
              <w:spacing w:after="100"/>
              <w:rPr>
                <w:rFonts w:eastAsia="Times New Roman"/>
                <w:sz w:val="20"/>
                <w:szCs w:val="20"/>
              </w:rPr>
            </w:pPr>
          </w:p>
        </w:tc>
        <w:tc>
          <w:tcPr>
            <w:tcW w:w="0" w:type="auto"/>
            <w:vAlign w:val="center"/>
            <w:hideMark/>
          </w:tcPr>
          <w:p w14:paraId="237C07C7" w14:textId="77777777" w:rsidR="00000000" w:rsidRDefault="00C1661D">
            <w:pPr>
              <w:spacing w:after="100"/>
              <w:rPr>
                <w:rFonts w:eastAsia="Times New Roman"/>
                <w:sz w:val="20"/>
                <w:szCs w:val="20"/>
              </w:rPr>
            </w:pPr>
          </w:p>
        </w:tc>
        <w:tc>
          <w:tcPr>
            <w:tcW w:w="0" w:type="auto"/>
            <w:vAlign w:val="center"/>
            <w:hideMark/>
          </w:tcPr>
          <w:p w14:paraId="684328F8" w14:textId="77777777" w:rsidR="00000000" w:rsidRDefault="00C1661D">
            <w:pPr>
              <w:spacing w:after="100"/>
              <w:rPr>
                <w:rFonts w:eastAsia="Times New Roman"/>
                <w:sz w:val="20"/>
                <w:szCs w:val="20"/>
              </w:rPr>
            </w:pPr>
          </w:p>
        </w:tc>
        <w:tc>
          <w:tcPr>
            <w:tcW w:w="0" w:type="auto"/>
            <w:vAlign w:val="center"/>
            <w:hideMark/>
          </w:tcPr>
          <w:p w14:paraId="73879D77" w14:textId="77777777" w:rsidR="00000000" w:rsidRDefault="00C1661D">
            <w:pPr>
              <w:spacing w:after="100"/>
              <w:rPr>
                <w:rFonts w:eastAsia="Times New Roman"/>
                <w:sz w:val="20"/>
                <w:szCs w:val="20"/>
              </w:rPr>
            </w:pPr>
          </w:p>
        </w:tc>
        <w:tc>
          <w:tcPr>
            <w:tcW w:w="0" w:type="auto"/>
            <w:vAlign w:val="center"/>
            <w:hideMark/>
          </w:tcPr>
          <w:p w14:paraId="34B0C33C" w14:textId="77777777" w:rsidR="00000000" w:rsidRDefault="00C1661D">
            <w:pPr>
              <w:spacing w:after="100"/>
              <w:rPr>
                <w:rFonts w:eastAsia="Times New Roman"/>
                <w:sz w:val="20"/>
                <w:szCs w:val="20"/>
              </w:rPr>
            </w:pPr>
          </w:p>
        </w:tc>
        <w:tc>
          <w:tcPr>
            <w:tcW w:w="0" w:type="auto"/>
            <w:vAlign w:val="center"/>
            <w:hideMark/>
          </w:tcPr>
          <w:p w14:paraId="7C3EA8F0" w14:textId="77777777" w:rsidR="00000000" w:rsidRDefault="00C1661D">
            <w:pPr>
              <w:spacing w:after="100"/>
              <w:rPr>
                <w:rFonts w:eastAsia="Times New Roman"/>
                <w:sz w:val="20"/>
                <w:szCs w:val="20"/>
              </w:rPr>
            </w:pPr>
          </w:p>
        </w:tc>
        <w:tc>
          <w:tcPr>
            <w:tcW w:w="0" w:type="auto"/>
            <w:vAlign w:val="center"/>
            <w:hideMark/>
          </w:tcPr>
          <w:p w14:paraId="0AE3FEB8" w14:textId="77777777" w:rsidR="00000000" w:rsidRDefault="00C1661D">
            <w:pPr>
              <w:spacing w:after="100"/>
              <w:rPr>
                <w:rFonts w:eastAsia="Times New Roman"/>
                <w:sz w:val="20"/>
                <w:szCs w:val="20"/>
              </w:rPr>
            </w:pPr>
          </w:p>
        </w:tc>
        <w:tc>
          <w:tcPr>
            <w:tcW w:w="0" w:type="auto"/>
            <w:vAlign w:val="center"/>
            <w:hideMark/>
          </w:tcPr>
          <w:p w14:paraId="67AF9250" w14:textId="77777777" w:rsidR="00000000" w:rsidRDefault="00C1661D">
            <w:pPr>
              <w:spacing w:after="100"/>
              <w:rPr>
                <w:rFonts w:eastAsia="Times New Roman"/>
                <w:sz w:val="20"/>
                <w:szCs w:val="20"/>
              </w:rPr>
            </w:pPr>
          </w:p>
        </w:tc>
        <w:tc>
          <w:tcPr>
            <w:tcW w:w="0" w:type="auto"/>
            <w:vAlign w:val="center"/>
            <w:hideMark/>
          </w:tcPr>
          <w:p w14:paraId="558CED1D" w14:textId="77777777" w:rsidR="00000000" w:rsidRDefault="00C1661D">
            <w:pPr>
              <w:spacing w:after="100"/>
              <w:rPr>
                <w:rFonts w:eastAsia="Times New Roman"/>
                <w:sz w:val="20"/>
                <w:szCs w:val="20"/>
              </w:rPr>
            </w:pPr>
          </w:p>
        </w:tc>
        <w:tc>
          <w:tcPr>
            <w:tcW w:w="0" w:type="auto"/>
            <w:vAlign w:val="center"/>
            <w:hideMark/>
          </w:tcPr>
          <w:p w14:paraId="1A715A83" w14:textId="77777777" w:rsidR="00000000" w:rsidRDefault="00C1661D">
            <w:pPr>
              <w:spacing w:after="100"/>
              <w:rPr>
                <w:rFonts w:eastAsia="Times New Roman"/>
                <w:sz w:val="20"/>
                <w:szCs w:val="20"/>
              </w:rPr>
            </w:pPr>
          </w:p>
        </w:tc>
        <w:tc>
          <w:tcPr>
            <w:tcW w:w="0" w:type="auto"/>
            <w:vAlign w:val="center"/>
            <w:hideMark/>
          </w:tcPr>
          <w:p w14:paraId="09AA196D" w14:textId="77777777" w:rsidR="00000000" w:rsidRDefault="00C1661D">
            <w:pPr>
              <w:spacing w:after="100"/>
              <w:rPr>
                <w:rFonts w:eastAsia="Times New Roman"/>
                <w:sz w:val="20"/>
                <w:szCs w:val="20"/>
              </w:rPr>
            </w:pPr>
          </w:p>
        </w:tc>
      </w:tr>
      <w:tr w:rsidR="00000000" w14:paraId="050D0D05" w14:textId="77777777">
        <w:trPr>
          <w:divId w:val="1421368742"/>
        </w:trPr>
        <w:tc>
          <w:tcPr>
            <w:tcW w:w="0" w:type="auto"/>
            <w:gridSpan w:val="3"/>
            <w:tcMar>
              <w:top w:w="30" w:type="dxa"/>
              <w:left w:w="20" w:type="dxa"/>
              <w:bottom w:w="30" w:type="dxa"/>
              <w:right w:w="20" w:type="dxa"/>
            </w:tcMar>
            <w:vAlign w:val="bottom"/>
            <w:hideMark/>
          </w:tcPr>
          <w:p w14:paraId="179DFD70"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310689D"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478A07FB"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6103D3"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45DC6EBF"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917EF6" w14:textId="77777777" w:rsidR="00000000" w:rsidRDefault="00C1661D">
            <w:pPr>
              <w:spacing w:after="100"/>
              <w:jc w:val="center"/>
              <w:rPr>
                <w:rFonts w:eastAsia="Times New Roman"/>
              </w:rPr>
            </w:pPr>
            <w:r>
              <w:rPr>
                <w:rFonts w:eastAsia="Times New Roman"/>
                <w:color w:val="000000"/>
                <w:sz w:val="20"/>
                <w:szCs w:val="20"/>
              </w:rPr>
              <w:t>2020</w:t>
            </w:r>
          </w:p>
        </w:tc>
        <w:tc>
          <w:tcPr>
            <w:tcW w:w="0" w:type="auto"/>
            <w:vAlign w:val="center"/>
            <w:hideMark/>
          </w:tcPr>
          <w:p w14:paraId="4CC07A95" w14:textId="77777777" w:rsidR="00000000" w:rsidRDefault="00C1661D">
            <w:pPr>
              <w:spacing w:after="100"/>
              <w:jc w:val="center"/>
              <w:rPr>
                <w:rFonts w:eastAsia="Times New Roman"/>
              </w:rPr>
            </w:pPr>
          </w:p>
        </w:tc>
        <w:tc>
          <w:tcPr>
            <w:tcW w:w="0" w:type="auto"/>
            <w:vAlign w:val="center"/>
            <w:hideMark/>
          </w:tcPr>
          <w:p w14:paraId="0F2B9075" w14:textId="77777777" w:rsidR="00000000" w:rsidRDefault="00C1661D">
            <w:pPr>
              <w:spacing w:after="100"/>
              <w:rPr>
                <w:rFonts w:eastAsia="Times New Roman"/>
                <w:sz w:val="20"/>
                <w:szCs w:val="20"/>
              </w:rPr>
            </w:pPr>
          </w:p>
        </w:tc>
        <w:tc>
          <w:tcPr>
            <w:tcW w:w="0" w:type="auto"/>
            <w:gridSpan w:val="3"/>
            <w:vAlign w:val="center"/>
            <w:hideMark/>
          </w:tcPr>
          <w:p w14:paraId="15518251" w14:textId="77777777" w:rsidR="00000000" w:rsidRDefault="00C1661D">
            <w:pPr>
              <w:spacing w:after="100"/>
              <w:rPr>
                <w:rFonts w:eastAsia="Times New Roman"/>
                <w:sz w:val="20"/>
                <w:szCs w:val="20"/>
              </w:rPr>
            </w:pPr>
          </w:p>
        </w:tc>
        <w:tc>
          <w:tcPr>
            <w:tcW w:w="0" w:type="auto"/>
            <w:gridSpan w:val="3"/>
            <w:vAlign w:val="center"/>
            <w:hideMark/>
          </w:tcPr>
          <w:p w14:paraId="73011E89" w14:textId="77777777" w:rsidR="00000000" w:rsidRDefault="00C1661D">
            <w:pPr>
              <w:spacing w:after="100"/>
              <w:rPr>
                <w:rFonts w:eastAsia="Times New Roman"/>
                <w:sz w:val="20"/>
                <w:szCs w:val="20"/>
              </w:rPr>
            </w:pPr>
          </w:p>
        </w:tc>
        <w:tc>
          <w:tcPr>
            <w:tcW w:w="0" w:type="auto"/>
            <w:gridSpan w:val="3"/>
            <w:vAlign w:val="center"/>
            <w:hideMark/>
          </w:tcPr>
          <w:p w14:paraId="0CFD680E" w14:textId="77777777" w:rsidR="00000000" w:rsidRDefault="00C1661D">
            <w:pPr>
              <w:spacing w:after="100"/>
              <w:rPr>
                <w:rFonts w:eastAsia="Times New Roman"/>
                <w:sz w:val="20"/>
                <w:szCs w:val="20"/>
              </w:rPr>
            </w:pPr>
          </w:p>
        </w:tc>
        <w:tc>
          <w:tcPr>
            <w:tcW w:w="0" w:type="auto"/>
            <w:gridSpan w:val="3"/>
            <w:vAlign w:val="center"/>
            <w:hideMark/>
          </w:tcPr>
          <w:p w14:paraId="708DA558" w14:textId="77777777" w:rsidR="00000000" w:rsidRDefault="00C1661D">
            <w:pPr>
              <w:spacing w:after="100"/>
              <w:rPr>
                <w:rFonts w:eastAsia="Times New Roman"/>
                <w:sz w:val="20"/>
                <w:szCs w:val="20"/>
              </w:rPr>
            </w:pPr>
          </w:p>
        </w:tc>
      </w:tr>
      <w:tr w:rsidR="00000000" w14:paraId="799A24CE" w14:textId="77777777">
        <w:trPr>
          <w:divId w:val="1421368742"/>
        </w:trPr>
        <w:tc>
          <w:tcPr>
            <w:tcW w:w="0" w:type="auto"/>
            <w:gridSpan w:val="3"/>
            <w:shd w:val="clear" w:color="auto" w:fill="CCEEFF"/>
            <w:tcMar>
              <w:top w:w="30" w:type="dxa"/>
              <w:left w:w="20" w:type="dxa"/>
              <w:bottom w:w="30" w:type="dxa"/>
              <w:right w:w="20" w:type="dxa"/>
            </w:tcMar>
            <w:vAlign w:val="bottom"/>
            <w:hideMark/>
          </w:tcPr>
          <w:p w14:paraId="60B92998" w14:textId="77777777" w:rsidR="00000000" w:rsidRDefault="00C1661D">
            <w:pPr>
              <w:spacing w:after="100"/>
              <w:rPr>
                <w:rFonts w:eastAsia="Times New Roman"/>
              </w:rPr>
            </w:pPr>
            <w:r>
              <w:rPr>
                <w:rFonts w:eastAsia="Times New Roman"/>
                <w:color w:val="000000"/>
                <w:sz w:val="20"/>
                <w:szCs w:val="20"/>
              </w:rPr>
              <w:t>Weighted-average assumptions: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A7D8F93"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DF9CEB1"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37B69C3"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0955BA5"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E9A1E1" w14:textId="77777777" w:rsidR="00000000" w:rsidRDefault="00C1661D">
            <w:pPr>
              <w:spacing w:after="100"/>
              <w:rPr>
                <w:rFonts w:eastAsia="Times New Roman"/>
              </w:rPr>
            </w:pPr>
            <w:r>
              <w:rPr>
                <w:rFonts w:eastAsia="Times New Roman"/>
                <w:color w:val="000000"/>
                <w:sz w:val="20"/>
                <w:szCs w:val="20"/>
              </w:rPr>
              <w:t> </w:t>
            </w:r>
          </w:p>
        </w:tc>
        <w:tc>
          <w:tcPr>
            <w:tcW w:w="0" w:type="auto"/>
            <w:vAlign w:val="center"/>
            <w:hideMark/>
          </w:tcPr>
          <w:p w14:paraId="09F425E2" w14:textId="77777777" w:rsidR="00000000" w:rsidRDefault="00C1661D">
            <w:pPr>
              <w:spacing w:after="100"/>
              <w:rPr>
                <w:rFonts w:eastAsia="Times New Roman"/>
              </w:rPr>
            </w:pPr>
          </w:p>
        </w:tc>
        <w:tc>
          <w:tcPr>
            <w:tcW w:w="0" w:type="auto"/>
            <w:vAlign w:val="center"/>
            <w:hideMark/>
          </w:tcPr>
          <w:p w14:paraId="765E0D37" w14:textId="77777777" w:rsidR="00000000" w:rsidRDefault="00C1661D">
            <w:pPr>
              <w:spacing w:after="100"/>
              <w:rPr>
                <w:rFonts w:eastAsia="Times New Roman"/>
                <w:sz w:val="20"/>
                <w:szCs w:val="20"/>
              </w:rPr>
            </w:pPr>
          </w:p>
        </w:tc>
        <w:tc>
          <w:tcPr>
            <w:tcW w:w="0" w:type="auto"/>
            <w:gridSpan w:val="3"/>
            <w:vAlign w:val="center"/>
            <w:hideMark/>
          </w:tcPr>
          <w:p w14:paraId="112DE714" w14:textId="77777777" w:rsidR="00000000" w:rsidRDefault="00C1661D">
            <w:pPr>
              <w:spacing w:after="100"/>
              <w:rPr>
                <w:rFonts w:eastAsia="Times New Roman"/>
                <w:sz w:val="20"/>
                <w:szCs w:val="20"/>
              </w:rPr>
            </w:pPr>
          </w:p>
        </w:tc>
        <w:tc>
          <w:tcPr>
            <w:tcW w:w="0" w:type="auto"/>
            <w:gridSpan w:val="3"/>
            <w:vAlign w:val="center"/>
            <w:hideMark/>
          </w:tcPr>
          <w:p w14:paraId="2906938E" w14:textId="77777777" w:rsidR="00000000" w:rsidRDefault="00C1661D">
            <w:pPr>
              <w:spacing w:after="100"/>
              <w:rPr>
                <w:rFonts w:eastAsia="Times New Roman"/>
                <w:sz w:val="20"/>
                <w:szCs w:val="20"/>
              </w:rPr>
            </w:pPr>
          </w:p>
        </w:tc>
        <w:tc>
          <w:tcPr>
            <w:tcW w:w="0" w:type="auto"/>
            <w:gridSpan w:val="3"/>
            <w:vAlign w:val="center"/>
            <w:hideMark/>
          </w:tcPr>
          <w:p w14:paraId="7C576548" w14:textId="77777777" w:rsidR="00000000" w:rsidRDefault="00C1661D">
            <w:pPr>
              <w:spacing w:after="100"/>
              <w:rPr>
                <w:rFonts w:eastAsia="Times New Roman"/>
                <w:sz w:val="20"/>
                <w:szCs w:val="20"/>
              </w:rPr>
            </w:pPr>
          </w:p>
        </w:tc>
        <w:tc>
          <w:tcPr>
            <w:tcW w:w="0" w:type="auto"/>
            <w:gridSpan w:val="3"/>
            <w:vAlign w:val="center"/>
            <w:hideMark/>
          </w:tcPr>
          <w:p w14:paraId="3FD56BEC" w14:textId="77777777" w:rsidR="00000000" w:rsidRDefault="00C1661D">
            <w:pPr>
              <w:spacing w:after="100"/>
              <w:rPr>
                <w:rFonts w:eastAsia="Times New Roman"/>
                <w:sz w:val="20"/>
                <w:szCs w:val="20"/>
              </w:rPr>
            </w:pPr>
          </w:p>
        </w:tc>
      </w:tr>
      <w:tr w:rsidR="00000000" w14:paraId="17E1515D" w14:textId="77777777">
        <w:trPr>
          <w:divId w:val="1421368742"/>
        </w:trPr>
        <w:tc>
          <w:tcPr>
            <w:tcW w:w="0" w:type="auto"/>
            <w:gridSpan w:val="3"/>
            <w:tcMar>
              <w:top w:w="30" w:type="dxa"/>
              <w:left w:w="155" w:type="dxa"/>
              <w:bottom w:w="30" w:type="dxa"/>
              <w:right w:w="20" w:type="dxa"/>
            </w:tcMar>
            <w:vAlign w:val="bottom"/>
            <w:hideMark/>
          </w:tcPr>
          <w:p w14:paraId="2982FE81" w14:textId="77777777" w:rsidR="00000000" w:rsidRDefault="00C1661D">
            <w:pPr>
              <w:spacing w:after="100"/>
              <w:rPr>
                <w:rFonts w:eastAsia="Times New Roman"/>
              </w:rPr>
            </w:pPr>
            <w:r>
              <w:rPr>
                <w:rFonts w:eastAsia="Times New Roman"/>
                <w:color w:val="000000"/>
                <w:sz w:val="20"/>
                <w:szCs w:val="20"/>
              </w:rPr>
              <w:t>Discount rate – benefit obligations</w:t>
            </w:r>
          </w:p>
        </w:tc>
        <w:tc>
          <w:tcPr>
            <w:tcW w:w="0" w:type="auto"/>
            <w:gridSpan w:val="2"/>
            <w:tcMar>
              <w:top w:w="30" w:type="dxa"/>
              <w:left w:w="20" w:type="dxa"/>
              <w:bottom w:w="30" w:type="dxa"/>
              <w:right w:w="0" w:type="dxa"/>
            </w:tcMar>
            <w:vAlign w:val="bottom"/>
            <w:hideMark/>
          </w:tcPr>
          <w:p w14:paraId="216A6485" w14:textId="77777777" w:rsidR="00000000" w:rsidRDefault="00C1661D">
            <w:pPr>
              <w:spacing w:after="100"/>
              <w:jc w:val="right"/>
              <w:rPr>
                <w:rFonts w:eastAsia="Times New Roman"/>
              </w:rPr>
            </w:pPr>
            <w:r>
              <w:rPr>
                <w:rFonts w:eastAsia="Times New Roman"/>
                <w:color w:val="000000"/>
                <w:sz w:val="20"/>
                <w:szCs w:val="20"/>
              </w:rPr>
              <w:t>5.70 </w:t>
            </w:r>
          </w:p>
        </w:tc>
        <w:tc>
          <w:tcPr>
            <w:tcW w:w="0" w:type="auto"/>
            <w:tcMar>
              <w:top w:w="30" w:type="dxa"/>
              <w:left w:w="0" w:type="dxa"/>
              <w:bottom w:w="30" w:type="dxa"/>
              <w:right w:w="20" w:type="dxa"/>
            </w:tcMar>
            <w:vAlign w:val="bottom"/>
            <w:hideMark/>
          </w:tcPr>
          <w:p w14:paraId="099F0B00"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3575B9D2" w14:textId="77777777" w:rsidR="00000000" w:rsidRDefault="00C1661D">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00667753" w14:textId="77777777" w:rsidR="00000000" w:rsidRDefault="00C1661D">
            <w:pPr>
              <w:spacing w:after="100"/>
              <w:jc w:val="right"/>
              <w:rPr>
                <w:rFonts w:eastAsia="Times New Roman"/>
              </w:rPr>
            </w:pPr>
            <w:r>
              <w:rPr>
                <w:rFonts w:eastAsia="Times New Roman"/>
                <w:color w:val="000000"/>
                <w:sz w:val="20"/>
                <w:szCs w:val="20"/>
              </w:rPr>
              <w:t>3.13 </w:t>
            </w:r>
          </w:p>
        </w:tc>
        <w:tc>
          <w:tcPr>
            <w:tcW w:w="0" w:type="auto"/>
            <w:tcMar>
              <w:top w:w="30" w:type="dxa"/>
              <w:left w:w="0" w:type="dxa"/>
              <w:bottom w:w="30" w:type="dxa"/>
              <w:right w:w="20" w:type="dxa"/>
            </w:tcMar>
            <w:vAlign w:val="bottom"/>
            <w:hideMark/>
          </w:tcPr>
          <w:p w14:paraId="75FC49F2"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6AADBBDA" w14:textId="77777777" w:rsidR="00000000" w:rsidRDefault="00C1661D">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260C9AD9" w14:textId="77777777" w:rsidR="00000000" w:rsidRDefault="00C1661D">
            <w:pPr>
              <w:spacing w:after="100"/>
              <w:jc w:val="right"/>
              <w:rPr>
                <w:rFonts w:eastAsia="Times New Roman"/>
              </w:rPr>
            </w:pPr>
            <w:r>
              <w:rPr>
                <w:rFonts w:eastAsia="Times New Roman"/>
                <w:color w:val="000000"/>
                <w:sz w:val="20"/>
                <w:szCs w:val="20"/>
              </w:rPr>
              <w:t>2.90 </w:t>
            </w:r>
          </w:p>
        </w:tc>
        <w:tc>
          <w:tcPr>
            <w:tcW w:w="0" w:type="auto"/>
            <w:tcMar>
              <w:top w:w="30" w:type="dxa"/>
              <w:left w:w="0" w:type="dxa"/>
              <w:bottom w:w="30" w:type="dxa"/>
              <w:right w:w="20" w:type="dxa"/>
            </w:tcMar>
            <w:vAlign w:val="bottom"/>
            <w:hideMark/>
          </w:tcPr>
          <w:p w14:paraId="4C9D4BF3" w14:textId="77777777" w:rsidR="00000000" w:rsidRDefault="00C1661D">
            <w:pPr>
              <w:spacing w:after="100"/>
              <w:jc w:val="right"/>
              <w:rPr>
                <w:rFonts w:eastAsia="Times New Roman"/>
              </w:rPr>
            </w:pPr>
            <w:r>
              <w:rPr>
                <w:rFonts w:eastAsia="Times New Roman"/>
                <w:color w:val="000000"/>
                <w:sz w:val="20"/>
                <w:szCs w:val="20"/>
              </w:rPr>
              <w:t>%</w:t>
            </w:r>
          </w:p>
        </w:tc>
        <w:tc>
          <w:tcPr>
            <w:tcW w:w="0" w:type="auto"/>
            <w:vAlign w:val="center"/>
            <w:hideMark/>
          </w:tcPr>
          <w:p w14:paraId="4977904E" w14:textId="77777777" w:rsidR="00000000" w:rsidRDefault="00C1661D">
            <w:pPr>
              <w:spacing w:after="100"/>
              <w:jc w:val="right"/>
              <w:rPr>
                <w:rFonts w:eastAsia="Times New Roman"/>
              </w:rPr>
            </w:pPr>
          </w:p>
        </w:tc>
        <w:tc>
          <w:tcPr>
            <w:tcW w:w="0" w:type="auto"/>
            <w:vAlign w:val="center"/>
            <w:hideMark/>
          </w:tcPr>
          <w:p w14:paraId="0AE7D0D0" w14:textId="77777777" w:rsidR="00000000" w:rsidRDefault="00C1661D">
            <w:pPr>
              <w:spacing w:after="100"/>
              <w:rPr>
                <w:rFonts w:eastAsia="Times New Roman"/>
                <w:sz w:val="20"/>
                <w:szCs w:val="20"/>
              </w:rPr>
            </w:pPr>
          </w:p>
        </w:tc>
        <w:tc>
          <w:tcPr>
            <w:tcW w:w="0" w:type="auto"/>
            <w:gridSpan w:val="3"/>
            <w:vAlign w:val="center"/>
            <w:hideMark/>
          </w:tcPr>
          <w:p w14:paraId="7A42722F" w14:textId="77777777" w:rsidR="00000000" w:rsidRDefault="00C1661D">
            <w:pPr>
              <w:spacing w:after="100"/>
              <w:rPr>
                <w:rFonts w:eastAsia="Times New Roman"/>
                <w:sz w:val="20"/>
                <w:szCs w:val="20"/>
              </w:rPr>
            </w:pPr>
          </w:p>
        </w:tc>
        <w:tc>
          <w:tcPr>
            <w:tcW w:w="0" w:type="auto"/>
            <w:gridSpan w:val="3"/>
            <w:vAlign w:val="center"/>
            <w:hideMark/>
          </w:tcPr>
          <w:p w14:paraId="62235EDF" w14:textId="77777777" w:rsidR="00000000" w:rsidRDefault="00C1661D">
            <w:pPr>
              <w:spacing w:after="100"/>
              <w:rPr>
                <w:rFonts w:eastAsia="Times New Roman"/>
                <w:sz w:val="20"/>
                <w:szCs w:val="20"/>
              </w:rPr>
            </w:pPr>
          </w:p>
        </w:tc>
        <w:tc>
          <w:tcPr>
            <w:tcW w:w="0" w:type="auto"/>
            <w:gridSpan w:val="3"/>
            <w:vAlign w:val="center"/>
            <w:hideMark/>
          </w:tcPr>
          <w:p w14:paraId="01FB7D23" w14:textId="77777777" w:rsidR="00000000" w:rsidRDefault="00C1661D">
            <w:pPr>
              <w:spacing w:after="100"/>
              <w:rPr>
                <w:rFonts w:eastAsia="Times New Roman"/>
                <w:sz w:val="20"/>
                <w:szCs w:val="20"/>
              </w:rPr>
            </w:pPr>
          </w:p>
        </w:tc>
        <w:tc>
          <w:tcPr>
            <w:tcW w:w="0" w:type="auto"/>
            <w:gridSpan w:val="3"/>
            <w:vAlign w:val="center"/>
            <w:hideMark/>
          </w:tcPr>
          <w:p w14:paraId="27FC5F50" w14:textId="77777777" w:rsidR="00000000" w:rsidRDefault="00C1661D">
            <w:pPr>
              <w:spacing w:after="100"/>
              <w:rPr>
                <w:rFonts w:eastAsia="Times New Roman"/>
                <w:sz w:val="20"/>
                <w:szCs w:val="20"/>
              </w:rPr>
            </w:pPr>
          </w:p>
        </w:tc>
      </w:tr>
      <w:tr w:rsidR="00000000" w14:paraId="058179A9" w14:textId="77777777">
        <w:trPr>
          <w:divId w:val="1421368742"/>
        </w:trPr>
        <w:tc>
          <w:tcPr>
            <w:tcW w:w="0" w:type="auto"/>
            <w:gridSpan w:val="3"/>
            <w:shd w:val="clear" w:color="auto" w:fill="CCEEFF"/>
            <w:tcMar>
              <w:top w:w="30" w:type="dxa"/>
              <w:left w:w="20" w:type="dxa"/>
              <w:bottom w:w="30" w:type="dxa"/>
              <w:right w:w="20" w:type="dxa"/>
            </w:tcMar>
            <w:vAlign w:val="bottom"/>
            <w:hideMark/>
          </w:tcPr>
          <w:p w14:paraId="39FB2A56" w14:textId="77777777" w:rsidR="00000000" w:rsidRDefault="00C1661D">
            <w:pPr>
              <w:spacing w:after="100"/>
              <w:ind w:hanging="180"/>
              <w:divId w:val="375856085"/>
              <w:rPr>
                <w:rFonts w:eastAsia="Times New Roman"/>
              </w:rPr>
            </w:pPr>
            <w:r>
              <w:rPr>
                <w:rFonts w:eastAsia="Times New Roman"/>
                <w:color w:val="000000"/>
                <w:sz w:val="20"/>
                <w:szCs w:val="20"/>
              </w:rPr>
              <w:t>Discount rate – benefit cost</w:t>
            </w:r>
          </w:p>
        </w:tc>
        <w:tc>
          <w:tcPr>
            <w:tcW w:w="0" w:type="auto"/>
            <w:gridSpan w:val="2"/>
            <w:shd w:val="clear" w:color="auto" w:fill="CCEEFF"/>
            <w:tcMar>
              <w:top w:w="30" w:type="dxa"/>
              <w:left w:w="20" w:type="dxa"/>
              <w:bottom w:w="30" w:type="dxa"/>
              <w:right w:w="0" w:type="dxa"/>
            </w:tcMar>
            <w:vAlign w:val="bottom"/>
            <w:hideMark/>
          </w:tcPr>
          <w:p w14:paraId="7393FF01" w14:textId="77777777" w:rsidR="00000000" w:rsidRDefault="00C1661D">
            <w:pPr>
              <w:spacing w:after="100"/>
              <w:jc w:val="right"/>
              <w:rPr>
                <w:rFonts w:eastAsia="Times New Roman"/>
              </w:rPr>
            </w:pPr>
            <w:r>
              <w:rPr>
                <w:rFonts w:eastAsia="Times New Roman"/>
                <w:color w:val="000000"/>
                <w:sz w:val="20"/>
                <w:szCs w:val="20"/>
              </w:rPr>
              <w:t>3.13 </w:t>
            </w:r>
          </w:p>
        </w:tc>
        <w:tc>
          <w:tcPr>
            <w:tcW w:w="0" w:type="auto"/>
            <w:shd w:val="clear" w:color="auto" w:fill="CCEEFF"/>
            <w:tcMar>
              <w:top w:w="30" w:type="dxa"/>
              <w:left w:w="0" w:type="dxa"/>
              <w:bottom w:w="30" w:type="dxa"/>
              <w:right w:w="20" w:type="dxa"/>
            </w:tcMar>
            <w:vAlign w:val="bottom"/>
            <w:hideMark/>
          </w:tcPr>
          <w:p w14:paraId="0FAABA6F"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3BEEB8C" w14:textId="77777777" w:rsidR="00000000" w:rsidRDefault="00C166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5F2EAD" w14:textId="77777777" w:rsidR="00000000" w:rsidRDefault="00C1661D">
            <w:pPr>
              <w:spacing w:after="100"/>
              <w:jc w:val="right"/>
              <w:rPr>
                <w:rFonts w:eastAsia="Times New Roman"/>
              </w:rPr>
            </w:pPr>
            <w:r>
              <w:rPr>
                <w:rFonts w:eastAsia="Times New Roman"/>
                <w:color w:val="000000"/>
                <w:sz w:val="20"/>
                <w:szCs w:val="20"/>
              </w:rPr>
              <w:t>2.90 </w:t>
            </w:r>
          </w:p>
        </w:tc>
        <w:tc>
          <w:tcPr>
            <w:tcW w:w="0" w:type="auto"/>
            <w:shd w:val="clear" w:color="auto" w:fill="CCEEFF"/>
            <w:tcMar>
              <w:top w:w="30" w:type="dxa"/>
              <w:left w:w="0" w:type="dxa"/>
              <w:bottom w:w="30" w:type="dxa"/>
              <w:right w:w="20" w:type="dxa"/>
            </w:tcMar>
            <w:vAlign w:val="bottom"/>
            <w:hideMark/>
          </w:tcPr>
          <w:p w14:paraId="548E945D"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CDE94D0" w14:textId="77777777" w:rsidR="00000000" w:rsidRDefault="00C166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FFF863" w14:textId="77777777" w:rsidR="00000000" w:rsidRDefault="00C1661D">
            <w:pPr>
              <w:spacing w:after="100"/>
              <w:jc w:val="right"/>
              <w:rPr>
                <w:rFonts w:eastAsia="Times New Roman"/>
              </w:rPr>
            </w:pPr>
            <w:r>
              <w:rPr>
                <w:rFonts w:eastAsia="Times New Roman"/>
                <w:color w:val="000000"/>
                <w:sz w:val="20"/>
                <w:szCs w:val="20"/>
              </w:rPr>
              <w:t>3.30 </w:t>
            </w:r>
          </w:p>
        </w:tc>
        <w:tc>
          <w:tcPr>
            <w:tcW w:w="0" w:type="auto"/>
            <w:shd w:val="clear" w:color="auto" w:fill="CCEEFF"/>
            <w:tcMar>
              <w:top w:w="30" w:type="dxa"/>
              <w:left w:w="0" w:type="dxa"/>
              <w:bottom w:w="30" w:type="dxa"/>
              <w:right w:w="20" w:type="dxa"/>
            </w:tcMar>
            <w:vAlign w:val="bottom"/>
            <w:hideMark/>
          </w:tcPr>
          <w:p w14:paraId="53E89527" w14:textId="77777777" w:rsidR="00000000" w:rsidRDefault="00C1661D">
            <w:pPr>
              <w:spacing w:after="100"/>
              <w:jc w:val="right"/>
              <w:rPr>
                <w:rFonts w:eastAsia="Times New Roman"/>
              </w:rPr>
            </w:pPr>
            <w:r>
              <w:rPr>
                <w:rFonts w:eastAsia="Times New Roman"/>
                <w:color w:val="000000"/>
                <w:sz w:val="20"/>
                <w:szCs w:val="20"/>
              </w:rPr>
              <w:t>%</w:t>
            </w:r>
          </w:p>
        </w:tc>
        <w:tc>
          <w:tcPr>
            <w:tcW w:w="0" w:type="auto"/>
            <w:vAlign w:val="center"/>
            <w:hideMark/>
          </w:tcPr>
          <w:p w14:paraId="1CAED2F0" w14:textId="77777777" w:rsidR="00000000" w:rsidRDefault="00C1661D">
            <w:pPr>
              <w:spacing w:after="100"/>
              <w:jc w:val="right"/>
              <w:rPr>
                <w:rFonts w:eastAsia="Times New Roman"/>
              </w:rPr>
            </w:pPr>
          </w:p>
        </w:tc>
        <w:tc>
          <w:tcPr>
            <w:tcW w:w="0" w:type="auto"/>
            <w:vAlign w:val="center"/>
            <w:hideMark/>
          </w:tcPr>
          <w:p w14:paraId="79DEFC87" w14:textId="77777777" w:rsidR="00000000" w:rsidRDefault="00C1661D">
            <w:pPr>
              <w:spacing w:after="100"/>
              <w:rPr>
                <w:rFonts w:eastAsia="Times New Roman"/>
                <w:sz w:val="20"/>
                <w:szCs w:val="20"/>
              </w:rPr>
            </w:pPr>
          </w:p>
        </w:tc>
        <w:tc>
          <w:tcPr>
            <w:tcW w:w="0" w:type="auto"/>
            <w:gridSpan w:val="3"/>
            <w:vAlign w:val="center"/>
            <w:hideMark/>
          </w:tcPr>
          <w:p w14:paraId="7A8AC1D9" w14:textId="77777777" w:rsidR="00000000" w:rsidRDefault="00C1661D">
            <w:pPr>
              <w:spacing w:after="100"/>
              <w:rPr>
                <w:rFonts w:eastAsia="Times New Roman"/>
                <w:sz w:val="20"/>
                <w:szCs w:val="20"/>
              </w:rPr>
            </w:pPr>
          </w:p>
        </w:tc>
        <w:tc>
          <w:tcPr>
            <w:tcW w:w="0" w:type="auto"/>
            <w:gridSpan w:val="3"/>
            <w:vAlign w:val="center"/>
            <w:hideMark/>
          </w:tcPr>
          <w:p w14:paraId="383B96F2" w14:textId="77777777" w:rsidR="00000000" w:rsidRDefault="00C1661D">
            <w:pPr>
              <w:spacing w:after="100"/>
              <w:rPr>
                <w:rFonts w:eastAsia="Times New Roman"/>
                <w:sz w:val="20"/>
                <w:szCs w:val="20"/>
              </w:rPr>
            </w:pPr>
          </w:p>
        </w:tc>
        <w:tc>
          <w:tcPr>
            <w:tcW w:w="0" w:type="auto"/>
            <w:gridSpan w:val="3"/>
            <w:vAlign w:val="center"/>
            <w:hideMark/>
          </w:tcPr>
          <w:p w14:paraId="611A9828" w14:textId="77777777" w:rsidR="00000000" w:rsidRDefault="00C1661D">
            <w:pPr>
              <w:spacing w:after="100"/>
              <w:rPr>
                <w:rFonts w:eastAsia="Times New Roman"/>
                <w:sz w:val="20"/>
                <w:szCs w:val="20"/>
              </w:rPr>
            </w:pPr>
          </w:p>
        </w:tc>
        <w:tc>
          <w:tcPr>
            <w:tcW w:w="0" w:type="auto"/>
            <w:gridSpan w:val="3"/>
            <w:vAlign w:val="center"/>
            <w:hideMark/>
          </w:tcPr>
          <w:p w14:paraId="544C12FE" w14:textId="77777777" w:rsidR="00000000" w:rsidRDefault="00C1661D">
            <w:pPr>
              <w:spacing w:after="100"/>
              <w:rPr>
                <w:rFonts w:eastAsia="Times New Roman"/>
                <w:sz w:val="20"/>
                <w:szCs w:val="20"/>
              </w:rPr>
            </w:pPr>
          </w:p>
        </w:tc>
      </w:tr>
      <w:tr w:rsidR="00000000" w14:paraId="320F3A49" w14:textId="77777777">
        <w:trPr>
          <w:divId w:val="1421368742"/>
        </w:trPr>
        <w:tc>
          <w:tcPr>
            <w:tcW w:w="0" w:type="auto"/>
            <w:gridSpan w:val="3"/>
            <w:tcMar>
              <w:top w:w="30" w:type="dxa"/>
              <w:left w:w="20" w:type="dxa"/>
              <w:bottom w:w="30" w:type="dxa"/>
              <w:right w:w="20" w:type="dxa"/>
            </w:tcMar>
            <w:vAlign w:val="bottom"/>
            <w:hideMark/>
          </w:tcPr>
          <w:p w14:paraId="532504A3" w14:textId="77777777" w:rsidR="00000000" w:rsidRDefault="00C1661D">
            <w:pPr>
              <w:spacing w:after="100"/>
              <w:ind w:hanging="180"/>
              <w:divId w:val="1522469074"/>
              <w:rPr>
                <w:rFonts w:eastAsia="Times New Roman"/>
              </w:rPr>
            </w:pPr>
            <w:r>
              <w:rPr>
                <w:rFonts w:eastAsia="Times New Roman"/>
                <w:color w:val="000000"/>
                <w:sz w:val="20"/>
                <w:szCs w:val="20"/>
              </w:rPr>
              <w:t>Expected return on plan assets</w:t>
            </w:r>
          </w:p>
        </w:tc>
        <w:tc>
          <w:tcPr>
            <w:tcW w:w="0" w:type="auto"/>
            <w:gridSpan w:val="2"/>
            <w:tcMar>
              <w:top w:w="30" w:type="dxa"/>
              <w:left w:w="20" w:type="dxa"/>
              <w:bottom w:w="30" w:type="dxa"/>
              <w:right w:w="0" w:type="dxa"/>
            </w:tcMar>
            <w:vAlign w:val="bottom"/>
            <w:hideMark/>
          </w:tcPr>
          <w:p w14:paraId="4E2FBC8D" w14:textId="77777777" w:rsidR="00000000" w:rsidRDefault="00C1661D">
            <w:pPr>
              <w:spacing w:after="100"/>
              <w:jc w:val="right"/>
              <w:rPr>
                <w:rFonts w:eastAsia="Times New Roman"/>
              </w:rPr>
            </w:pPr>
            <w:r>
              <w:rPr>
                <w:rFonts w:eastAsia="Times New Roman"/>
                <w:color w:val="000000"/>
                <w:sz w:val="20"/>
                <w:szCs w:val="20"/>
              </w:rPr>
              <w:t>7.10 </w:t>
            </w:r>
          </w:p>
        </w:tc>
        <w:tc>
          <w:tcPr>
            <w:tcW w:w="0" w:type="auto"/>
            <w:tcMar>
              <w:top w:w="30" w:type="dxa"/>
              <w:left w:w="0" w:type="dxa"/>
              <w:bottom w:w="30" w:type="dxa"/>
              <w:right w:w="20" w:type="dxa"/>
            </w:tcMar>
            <w:vAlign w:val="bottom"/>
            <w:hideMark/>
          </w:tcPr>
          <w:p w14:paraId="1861572D"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695A06AD" w14:textId="77777777" w:rsidR="00000000" w:rsidRDefault="00C1661D">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3DBF16EE" w14:textId="77777777" w:rsidR="00000000" w:rsidRDefault="00C1661D">
            <w:pPr>
              <w:spacing w:after="100"/>
              <w:jc w:val="right"/>
              <w:rPr>
                <w:rFonts w:eastAsia="Times New Roman"/>
              </w:rPr>
            </w:pPr>
            <w:r>
              <w:rPr>
                <w:rFonts w:eastAsia="Times New Roman"/>
                <w:color w:val="000000"/>
                <w:sz w:val="20"/>
                <w:szCs w:val="20"/>
              </w:rPr>
              <w:t>7.10 </w:t>
            </w:r>
          </w:p>
        </w:tc>
        <w:tc>
          <w:tcPr>
            <w:tcW w:w="0" w:type="auto"/>
            <w:tcMar>
              <w:top w:w="30" w:type="dxa"/>
              <w:left w:w="0" w:type="dxa"/>
              <w:bottom w:w="30" w:type="dxa"/>
              <w:right w:w="20" w:type="dxa"/>
            </w:tcMar>
            <w:vAlign w:val="bottom"/>
            <w:hideMark/>
          </w:tcPr>
          <w:p w14:paraId="66DF7A81"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266BA319" w14:textId="77777777" w:rsidR="00000000" w:rsidRDefault="00C1661D">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0A5CAFB5" w14:textId="77777777" w:rsidR="00000000" w:rsidRDefault="00C1661D">
            <w:pPr>
              <w:spacing w:after="100"/>
              <w:jc w:val="right"/>
              <w:rPr>
                <w:rFonts w:eastAsia="Times New Roman"/>
              </w:rPr>
            </w:pPr>
            <w:r>
              <w:rPr>
                <w:rFonts w:eastAsia="Times New Roman"/>
                <w:color w:val="000000"/>
                <w:sz w:val="20"/>
                <w:szCs w:val="20"/>
              </w:rPr>
              <w:t>7.20 </w:t>
            </w:r>
          </w:p>
        </w:tc>
        <w:tc>
          <w:tcPr>
            <w:tcW w:w="0" w:type="auto"/>
            <w:tcMar>
              <w:top w:w="30" w:type="dxa"/>
              <w:left w:w="0" w:type="dxa"/>
              <w:bottom w:w="30" w:type="dxa"/>
              <w:right w:w="20" w:type="dxa"/>
            </w:tcMar>
            <w:vAlign w:val="bottom"/>
            <w:hideMark/>
          </w:tcPr>
          <w:p w14:paraId="20CD5A05" w14:textId="77777777" w:rsidR="00000000" w:rsidRDefault="00C1661D">
            <w:pPr>
              <w:spacing w:after="100"/>
              <w:jc w:val="right"/>
              <w:rPr>
                <w:rFonts w:eastAsia="Times New Roman"/>
              </w:rPr>
            </w:pPr>
            <w:r>
              <w:rPr>
                <w:rFonts w:eastAsia="Times New Roman"/>
                <w:color w:val="000000"/>
                <w:sz w:val="20"/>
                <w:szCs w:val="20"/>
              </w:rPr>
              <w:t>%</w:t>
            </w:r>
          </w:p>
        </w:tc>
        <w:tc>
          <w:tcPr>
            <w:tcW w:w="0" w:type="auto"/>
            <w:vAlign w:val="center"/>
            <w:hideMark/>
          </w:tcPr>
          <w:p w14:paraId="01032C31" w14:textId="77777777" w:rsidR="00000000" w:rsidRDefault="00C1661D">
            <w:pPr>
              <w:spacing w:after="100"/>
              <w:jc w:val="right"/>
              <w:rPr>
                <w:rFonts w:eastAsia="Times New Roman"/>
              </w:rPr>
            </w:pPr>
          </w:p>
        </w:tc>
        <w:tc>
          <w:tcPr>
            <w:tcW w:w="0" w:type="auto"/>
            <w:vAlign w:val="center"/>
            <w:hideMark/>
          </w:tcPr>
          <w:p w14:paraId="71C2F404" w14:textId="77777777" w:rsidR="00000000" w:rsidRDefault="00C1661D">
            <w:pPr>
              <w:spacing w:after="100"/>
              <w:rPr>
                <w:rFonts w:eastAsia="Times New Roman"/>
                <w:sz w:val="20"/>
                <w:szCs w:val="20"/>
              </w:rPr>
            </w:pPr>
          </w:p>
        </w:tc>
        <w:tc>
          <w:tcPr>
            <w:tcW w:w="0" w:type="auto"/>
            <w:gridSpan w:val="3"/>
            <w:vAlign w:val="center"/>
            <w:hideMark/>
          </w:tcPr>
          <w:p w14:paraId="5F1841B3" w14:textId="77777777" w:rsidR="00000000" w:rsidRDefault="00C1661D">
            <w:pPr>
              <w:spacing w:after="100"/>
              <w:rPr>
                <w:rFonts w:eastAsia="Times New Roman"/>
                <w:sz w:val="20"/>
                <w:szCs w:val="20"/>
              </w:rPr>
            </w:pPr>
          </w:p>
        </w:tc>
        <w:tc>
          <w:tcPr>
            <w:tcW w:w="0" w:type="auto"/>
            <w:gridSpan w:val="3"/>
            <w:vAlign w:val="center"/>
            <w:hideMark/>
          </w:tcPr>
          <w:p w14:paraId="409D6C55" w14:textId="77777777" w:rsidR="00000000" w:rsidRDefault="00C1661D">
            <w:pPr>
              <w:spacing w:after="100"/>
              <w:rPr>
                <w:rFonts w:eastAsia="Times New Roman"/>
                <w:sz w:val="20"/>
                <w:szCs w:val="20"/>
              </w:rPr>
            </w:pPr>
          </w:p>
        </w:tc>
        <w:tc>
          <w:tcPr>
            <w:tcW w:w="0" w:type="auto"/>
            <w:gridSpan w:val="3"/>
            <w:vAlign w:val="center"/>
            <w:hideMark/>
          </w:tcPr>
          <w:p w14:paraId="7251DFD4" w14:textId="77777777" w:rsidR="00000000" w:rsidRDefault="00C1661D">
            <w:pPr>
              <w:spacing w:after="100"/>
              <w:rPr>
                <w:rFonts w:eastAsia="Times New Roman"/>
                <w:sz w:val="20"/>
                <w:szCs w:val="20"/>
              </w:rPr>
            </w:pPr>
          </w:p>
        </w:tc>
        <w:tc>
          <w:tcPr>
            <w:tcW w:w="0" w:type="auto"/>
            <w:gridSpan w:val="3"/>
            <w:vAlign w:val="center"/>
            <w:hideMark/>
          </w:tcPr>
          <w:p w14:paraId="4A04B7E2" w14:textId="77777777" w:rsidR="00000000" w:rsidRDefault="00C1661D">
            <w:pPr>
              <w:spacing w:after="100"/>
              <w:rPr>
                <w:rFonts w:eastAsia="Times New Roman"/>
                <w:sz w:val="20"/>
                <w:szCs w:val="20"/>
              </w:rPr>
            </w:pPr>
          </w:p>
        </w:tc>
      </w:tr>
      <w:tr w:rsidR="00000000" w14:paraId="0E142308" w14:textId="77777777">
        <w:trPr>
          <w:divId w:val="1421368742"/>
        </w:trPr>
        <w:tc>
          <w:tcPr>
            <w:tcW w:w="0" w:type="auto"/>
            <w:gridSpan w:val="3"/>
            <w:shd w:val="clear" w:color="auto" w:fill="CCEEFF"/>
            <w:tcMar>
              <w:top w:w="30" w:type="dxa"/>
              <w:left w:w="20" w:type="dxa"/>
              <w:bottom w:w="30" w:type="dxa"/>
              <w:right w:w="20" w:type="dxa"/>
            </w:tcMar>
            <w:vAlign w:val="bottom"/>
            <w:hideMark/>
          </w:tcPr>
          <w:p w14:paraId="0D3BCC8D" w14:textId="77777777" w:rsidR="00000000" w:rsidRDefault="00C1661D">
            <w:pPr>
              <w:spacing w:after="100"/>
              <w:ind w:hanging="180"/>
              <w:divId w:val="1751538781"/>
              <w:rPr>
                <w:rFonts w:eastAsia="Times New Roman"/>
              </w:rPr>
            </w:pPr>
            <w:r>
              <w:rPr>
                <w:rFonts w:eastAsia="Times New Roman"/>
                <w:color w:val="000000"/>
                <w:sz w:val="20"/>
                <w:szCs w:val="20"/>
              </w:rPr>
              <w:t>Rate of increase in salary levels</w:t>
            </w:r>
          </w:p>
        </w:tc>
        <w:tc>
          <w:tcPr>
            <w:tcW w:w="0" w:type="auto"/>
            <w:gridSpan w:val="2"/>
            <w:shd w:val="clear" w:color="auto" w:fill="CCEEFF"/>
            <w:tcMar>
              <w:top w:w="30" w:type="dxa"/>
              <w:left w:w="20" w:type="dxa"/>
              <w:bottom w:w="30" w:type="dxa"/>
              <w:right w:w="0" w:type="dxa"/>
            </w:tcMar>
            <w:vAlign w:val="bottom"/>
            <w:hideMark/>
          </w:tcPr>
          <w:p w14:paraId="4A230262" w14:textId="77777777" w:rsidR="00000000" w:rsidRDefault="00C1661D">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14:paraId="3C1F362E"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46E4E9E" w14:textId="77777777" w:rsidR="00000000" w:rsidRDefault="00C166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CAB6F2" w14:textId="77777777" w:rsidR="00000000" w:rsidRDefault="00C1661D">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14:paraId="09D960EC"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367ECA3" w14:textId="77777777" w:rsidR="00000000" w:rsidRDefault="00C166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EE1E2D" w14:textId="77777777" w:rsidR="00000000" w:rsidRDefault="00C1661D">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14:paraId="6E089304" w14:textId="77777777" w:rsidR="00000000" w:rsidRDefault="00C1661D">
            <w:pPr>
              <w:spacing w:after="100"/>
              <w:jc w:val="right"/>
              <w:rPr>
                <w:rFonts w:eastAsia="Times New Roman"/>
              </w:rPr>
            </w:pPr>
            <w:r>
              <w:rPr>
                <w:rFonts w:eastAsia="Times New Roman"/>
                <w:color w:val="000000"/>
                <w:sz w:val="20"/>
                <w:szCs w:val="20"/>
              </w:rPr>
              <w:t>%</w:t>
            </w:r>
          </w:p>
        </w:tc>
        <w:tc>
          <w:tcPr>
            <w:tcW w:w="0" w:type="auto"/>
            <w:vAlign w:val="center"/>
            <w:hideMark/>
          </w:tcPr>
          <w:p w14:paraId="59FCE53B" w14:textId="77777777" w:rsidR="00000000" w:rsidRDefault="00C1661D">
            <w:pPr>
              <w:spacing w:after="100"/>
              <w:jc w:val="right"/>
              <w:rPr>
                <w:rFonts w:eastAsia="Times New Roman"/>
              </w:rPr>
            </w:pPr>
          </w:p>
        </w:tc>
        <w:tc>
          <w:tcPr>
            <w:tcW w:w="0" w:type="auto"/>
            <w:vAlign w:val="center"/>
            <w:hideMark/>
          </w:tcPr>
          <w:p w14:paraId="55F2EE1C" w14:textId="77777777" w:rsidR="00000000" w:rsidRDefault="00C1661D">
            <w:pPr>
              <w:spacing w:after="100"/>
              <w:rPr>
                <w:rFonts w:eastAsia="Times New Roman"/>
                <w:sz w:val="20"/>
                <w:szCs w:val="20"/>
              </w:rPr>
            </w:pPr>
          </w:p>
        </w:tc>
        <w:tc>
          <w:tcPr>
            <w:tcW w:w="0" w:type="auto"/>
            <w:gridSpan w:val="3"/>
            <w:vAlign w:val="center"/>
            <w:hideMark/>
          </w:tcPr>
          <w:p w14:paraId="63A594AB" w14:textId="77777777" w:rsidR="00000000" w:rsidRDefault="00C1661D">
            <w:pPr>
              <w:spacing w:after="100"/>
              <w:rPr>
                <w:rFonts w:eastAsia="Times New Roman"/>
                <w:sz w:val="20"/>
                <w:szCs w:val="20"/>
              </w:rPr>
            </w:pPr>
          </w:p>
        </w:tc>
        <w:tc>
          <w:tcPr>
            <w:tcW w:w="0" w:type="auto"/>
            <w:gridSpan w:val="3"/>
            <w:vAlign w:val="center"/>
            <w:hideMark/>
          </w:tcPr>
          <w:p w14:paraId="62453E8F" w14:textId="77777777" w:rsidR="00000000" w:rsidRDefault="00C1661D">
            <w:pPr>
              <w:spacing w:after="100"/>
              <w:rPr>
                <w:rFonts w:eastAsia="Times New Roman"/>
                <w:sz w:val="20"/>
                <w:szCs w:val="20"/>
              </w:rPr>
            </w:pPr>
          </w:p>
        </w:tc>
        <w:tc>
          <w:tcPr>
            <w:tcW w:w="0" w:type="auto"/>
            <w:gridSpan w:val="3"/>
            <w:vAlign w:val="center"/>
            <w:hideMark/>
          </w:tcPr>
          <w:p w14:paraId="157DD702" w14:textId="77777777" w:rsidR="00000000" w:rsidRDefault="00C1661D">
            <w:pPr>
              <w:spacing w:after="100"/>
              <w:rPr>
                <w:rFonts w:eastAsia="Times New Roman"/>
                <w:sz w:val="20"/>
                <w:szCs w:val="20"/>
              </w:rPr>
            </w:pPr>
          </w:p>
        </w:tc>
        <w:tc>
          <w:tcPr>
            <w:tcW w:w="0" w:type="auto"/>
            <w:gridSpan w:val="3"/>
            <w:vAlign w:val="center"/>
            <w:hideMark/>
          </w:tcPr>
          <w:p w14:paraId="17AE2026" w14:textId="77777777" w:rsidR="00000000" w:rsidRDefault="00C1661D">
            <w:pPr>
              <w:spacing w:after="100"/>
              <w:rPr>
                <w:rFonts w:eastAsia="Times New Roman"/>
                <w:sz w:val="20"/>
                <w:szCs w:val="20"/>
              </w:rPr>
            </w:pPr>
          </w:p>
        </w:tc>
      </w:tr>
    </w:tbl>
    <w:p w14:paraId="3590997D" w14:textId="77777777" w:rsidR="00000000" w:rsidRDefault="00C1661D">
      <w:pPr>
        <w:jc w:val="center"/>
        <w:divId w:val="1308241562"/>
        <w:rPr>
          <w:rFonts w:eastAsia="Times New Roman"/>
        </w:rPr>
      </w:pPr>
      <w:r>
        <w:rPr>
          <w:rFonts w:eastAsia="Times New Roman"/>
          <w:color w:val="000000"/>
          <w:sz w:val="20"/>
          <w:szCs w:val="20"/>
        </w:rPr>
        <w:t>F-35</w:t>
      </w:r>
    </w:p>
    <w:p w14:paraId="075D1101" w14:textId="77777777" w:rsidR="00000000" w:rsidRDefault="00C1661D">
      <w:pPr>
        <w:rPr>
          <w:rFonts w:eastAsia="Times New Roman"/>
        </w:rPr>
      </w:pPr>
      <w:r>
        <w:rPr>
          <w:rFonts w:eastAsia="Times New Roman"/>
        </w:rPr>
        <w:pict w14:anchorId="773C0351">
          <v:rect id="_x0000_i1148" style="width:0;height:1.5pt" o:hralign="center" o:hrstd="t" o:hr="t" fillcolor="#a0a0a0" stroked="f"/>
        </w:pict>
      </w:r>
    </w:p>
    <w:p w14:paraId="1861F682" w14:textId="77777777" w:rsidR="00000000" w:rsidRDefault="00C1661D">
      <w:pPr>
        <w:divId w:val="556162115"/>
        <w:rPr>
          <w:rFonts w:eastAsia="Times New Roman"/>
        </w:rPr>
      </w:pPr>
      <w:hyperlink w:anchor="i3850c3c6c0104e42b9951aac2f16098a_7" w:history="1">
        <w:r>
          <w:rPr>
            <w:rStyle w:val="a3"/>
            <w:rFonts w:eastAsia="Times New Roman"/>
            <w:sz w:val="20"/>
            <w:szCs w:val="20"/>
          </w:rPr>
          <w:t>Table of Contents</w:t>
        </w:r>
      </w:hyperlink>
    </w:p>
    <w:p w14:paraId="013A93F9" w14:textId="77777777" w:rsidR="00000000" w:rsidRDefault="00C1661D">
      <w:pPr>
        <w:divId w:val="161899687"/>
        <w:rPr>
          <w:rFonts w:eastAsia="Times New Roman"/>
        </w:rPr>
      </w:pPr>
      <w:r>
        <w:rPr>
          <w:rFonts w:eastAsia="Times New Roman"/>
          <w:b/>
          <w:bCs/>
          <w:color w:val="000000"/>
          <w:sz w:val="20"/>
          <w:szCs w:val="20"/>
        </w:rPr>
        <w:t>UGI Corporation and Subsidiaries</w:t>
      </w:r>
    </w:p>
    <w:p w14:paraId="3F4B7A85" w14:textId="77777777" w:rsidR="00000000" w:rsidRDefault="00C1661D">
      <w:pPr>
        <w:divId w:val="1912231625"/>
        <w:rPr>
          <w:rFonts w:eastAsia="Times New Roman"/>
        </w:rPr>
      </w:pPr>
      <w:r>
        <w:rPr>
          <w:rFonts w:eastAsia="Times New Roman"/>
          <w:b/>
          <w:bCs/>
          <w:color w:val="000000"/>
          <w:sz w:val="20"/>
          <w:szCs w:val="20"/>
        </w:rPr>
        <w:t>Notes to Consolidated Financial Statements</w:t>
      </w:r>
    </w:p>
    <w:p w14:paraId="4DA80999" w14:textId="77777777" w:rsidR="00000000" w:rsidRDefault="00C1661D">
      <w:pPr>
        <w:divId w:val="92672860"/>
        <w:rPr>
          <w:rFonts w:eastAsia="Times New Roman"/>
        </w:rPr>
      </w:pPr>
      <w:r>
        <w:rPr>
          <w:rFonts w:eastAsia="Times New Roman"/>
          <w:color w:val="000000"/>
          <w:sz w:val="20"/>
          <w:szCs w:val="20"/>
        </w:rPr>
        <w:t>(Currency in millions, except per share amounts and where indicated otherwise)</w:t>
      </w:r>
    </w:p>
    <w:p w14:paraId="42850A40" w14:textId="77777777" w:rsidR="00000000" w:rsidRDefault="00C1661D">
      <w:pPr>
        <w:jc w:val="both"/>
        <w:divId w:val="55982866"/>
        <w:rPr>
          <w:rFonts w:eastAsia="Times New Roman"/>
        </w:rPr>
      </w:pPr>
      <w:r>
        <w:rPr>
          <w:rFonts w:eastAsia="Times New Roman"/>
          <w:color w:val="000000"/>
          <w:sz w:val="20"/>
          <w:szCs w:val="20"/>
        </w:rPr>
        <w:t>The service cost component of our pension and other postretirement plans, net of amounts capitalized, is reflected in “Operating and administrative expenses” on the Consolidated</w:t>
      </w:r>
      <w:r>
        <w:rPr>
          <w:rFonts w:eastAsia="Times New Roman"/>
          <w:color w:val="000000"/>
          <w:sz w:val="20"/>
          <w:szCs w:val="20"/>
        </w:rPr>
        <w:t xml:space="preserve"> Statements of Income. The non-service cost components, net of amounts capitalized by Utilities as a regulatory asset, are reflected in “Other non-operating income (expense), net” on the Consolidated Statements of Income. Other postretirement benefit cost </w:t>
      </w:r>
      <w:r>
        <w:rPr>
          <w:rFonts w:eastAsia="Times New Roman"/>
          <w:color w:val="000000"/>
          <w:sz w:val="20"/>
          <w:szCs w:val="20"/>
        </w:rPr>
        <w:t>was not material for all periods presented. Net periodic pension cost includes the following components:</w:t>
      </w:r>
    </w:p>
    <w:tbl>
      <w:tblPr>
        <w:tblW w:w="4956" w:type="pct"/>
        <w:tblCellMar>
          <w:top w:w="15" w:type="dxa"/>
          <w:left w:w="15" w:type="dxa"/>
          <w:bottom w:w="15" w:type="dxa"/>
          <w:right w:w="15" w:type="dxa"/>
        </w:tblCellMar>
        <w:tblLook w:val="04A0" w:firstRow="1" w:lastRow="0" w:firstColumn="1" w:lastColumn="0" w:noHBand="0" w:noVBand="1"/>
      </w:tblPr>
      <w:tblGrid>
        <w:gridCol w:w="40"/>
        <w:gridCol w:w="5176"/>
        <w:gridCol w:w="39"/>
        <w:gridCol w:w="121"/>
        <w:gridCol w:w="627"/>
        <w:gridCol w:w="36"/>
        <w:gridCol w:w="36"/>
        <w:gridCol w:w="36"/>
        <w:gridCol w:w="36"/>
        <w:gridCol w:w="121"/>
        <w:gridCol w:w="580"/>
        <w:gridCol w:w="36"/>
        <w:gridCol w:w="36"/>
        <w:gridCol w:w="36"/>
        <w:gridCol w:w="36"/>
        <w:gridCol w:w="121"/>
        <w:gridCol w:w="580"/>
        <w:gridCol w:w="36"/>
        <w:gridCol w:w="36"/>
        <w:gridCol w:w="36"/>
        <w:gridCol w:w="36"/>
        <w:gridCol w:w="36"/>
        <w:gridCol w:w="36"/>
        <w:gridCol w:w="36"/>
        <w:gridCol w:w="36"/>
        <w:gridCol w:w="36"/>
        <w:gridCol w:w="36"/>
        <w:gridCol w:w="36"/>
        <w:gridCol w:w="36"/>
        <w:gridCol w:w="36"/>
        <w:gridCol w:w="36"/>
        <w:gridCol w:w="36"/>
      </w:tblGrid>
      <w:tr w:rsidR="00000000" w14:paraId="28BA71D6" w14:textId="77777777">
        <w:trPr>
          <w:divId w:val="509758099"/>
        </w:trPr>
        <w:tc>
          <w:tcPr>
            <w:tcW w:w="50" w:type="pct"/>
            <w:vAlign w:val="center"/>
            <w:hideMark/>
          </w:tcPr>
          <w:p w14:paraId="04E700A9" w14:textId="77777777" w:rsidR="00000000" w:rsidRDefault="00C1661D">
            <w:pPr>
              <w:jc w:val="both"/>
              <w:rPr>
                <w:rFonts w:eastAsia="Times New Roman"/>
              </w:rPr>
            </w:pPr>
          </w:p>
        </w:tc>
        <w:tc>
          <w:tcPr>
            <w:tcW w:w="3388" w:type="pct"/>
            <w:vAlign w:val="center"/>
            <w:hideMark/>
          </w:tcPr>
          <w:p w14:paraId="2D110AD8" w14:textId="77777777" w:rsidR="00000000" w:rsidRDefault="00C1661D">
            <w:pPr>
              <w:spacing w:after="100"/>
              <w:rPr>
                <w:rFonts w:eastAsia="Times New Roman"/>
                <w:sz w:val="20"/>
                <w:szCs w:val="20"/>
              </w:rPr>
            </w:pPr>
          </w:p>
        </w:tc>
        <w:tc>
          <w:tcPr>
            <w:tcW w:w="5" w:type="pct"/>
            <w:vAlign w:val="center"/>
            <w:hideMark/>
          </w:tcPr>
          <w:p w14:paraId="01D9C3D5" w14:textId="77777777" w:rsidR="00000000" w:rsidRDefault="00C1661D">
            <w:pPr>
              <w:spacing w:after="100"/>
              <w:rPr>
                <w:rFonts w:eastAsia="Times New Roman"/>
                <w:sz w:val="20"/>
                <w:szCs w:val="20"/>
              </w:rPr>
            </w:pPr>
          </w:p>
        </w:tc>
        <w:tc>
          <w:tcPr>
            <w:tcW w:w="50" w:type="pct"/>
            <w:vAlign w:val="center"/>
            <w:hideMark/>
          </w:tcPr>
          <w:p w14:paraId="1A3A812C" w14:textId="77777777" w:rsidR="00000000" w:rsidRDefault="00C1661D">
            <w:pPr>
              <w:spacing w:after="100"/>
              <w:rPr>
                <w:rFonts w:eastAsia="Times New Roman"/>
                <w:sz w:val="20"/>
                <w:szCs w:val="20"/>
              </w:rPr>
            </w:pPr>
          </w:p>
        </w:tc>
        <w:tc>
          <w:tcPr>
            <w:tcW w:w="439" w:type="pct"/>
            <w:vAlign w:val="center"/>
            <w:hideMark/>
          </w:tcPr>
          <w:p w14:paraId="517A30B4" w14:textId="77777777" w:rsidR="00000000" w:rsidRDefault="00C1661D">
            <w:pPr>
              <w:spacing w:after="100"/>
              <w:rPr>
                <w:rFonts w:eastAsia="Times New Roman"/>
                <w:sz w:val="20"/>
                <w:szCs w:val="20"/>
              </w:rPr>
            </w:pPr>
          </w:p>
        </w:tc>
        <w:tc>
          <w:tcPr>
            <w:tcW w:w="5" w:type="pct"/>
            <w:vAlign w:val="center"/>
            <w:hideMark/>
          </w:tcPr>
          <w:p w14:paraId="57AB5151" w14:textId="77777777" w:rsidR="00000000" w:rsidRDefault="00C1661D">
            <w:pPr>
              <w:spacing w:after="100"/>
              <w:rPr>
                <w:rFonts w:eastAsia="Times New Roman"/>
                <w:sz w:val="20"/>
                <w:szCs w:val="20"/>
              </w:rPr>
            </w:pPr>
          </w:p>
        </w:tc>
        <w:tc>
          <w:tcPr>
            <w:tcW w:w="5" w:type="pct"/>
            <w:vAlign w:val="center"/>
            <w:hideMark/>
          </w:tcPr>
          <w:p w14:paraId="625B67CA" w14:textId="77777777" w:rsidR="00000000" w:rsidRDefault="00C1661D">
            <w:pPr>
              <w:spacing w:after="100"/>
              <w:rPr>
                <w:rFonts w:eastAsia="Times New Roman"/>
                <w:sz w:val="20"/>
                <w:szCs w:val="20"/>
              </w:rPr>
            </w:pPr>
          </w:p>
        </w:tc>
        <w:tc>
          <w:tcPr>
            <w:tcW w:w="26" w:type="pct"/>
            <w:vAlign w:val="center"/>
            <w:hideMark/>
          </w:tcPr>
          <w:p w14:paraId="67A9A8A4" w14:textId="77777777" w:rsidR="00000000" w:rsidRDefault="00C1661D">
            <w:pPr>
              <w:spacing w:after="100"/>
              <w:rPr>
                <w:rFonts w:eastAsia="Times New Roman"/>
                <w:sz w:val="20"/>
                <w:szCs w:val="20"/>
              </w:rPr>
            </w:pPr>
          </w:p>
        </w:tc>
        <w:tc>
          <w:tcPr>
            <w:tcW w:w="5" w:type="pct"/>
            <w:vAlign w:val="center"/>
            <w:hideMark/>
          </w:tcPr>
          <w:p w14:paraId="72B789DF" w14:textId="77777777" w:rsidR="00000000" w:rsidRDefault="00C1661D">
            <w:pPr>
              <w:spacing w:after="100"/>
              <w:rPr>
                <w:rFonts w:eastAsia="Times New Roman"/>
                <w:sz w:val="20"/>
                <w:szCs w:val="20"/>
              </w:rPr>
            </w:pPr>
          </w:p>
        </w:tc>
        <w:tc>
          <w:tcPr>
            <w:tcW w:w="50" w:type="pct"/>
            <w:vAlign w:val="center"/>
            <w:hideMark/>
          </w:tcPr>
          <w:p w14:paraId="0631183E" w14:textId="77777777" w:rsidR="00000000" w:rsidRDefault="00C1661D">
            <w:pPr>
              <w:spacing w:after="100"/>
              <w:rPr>
                <w:rFonts w:eastAsia="Times New Roman"/>
                <w:sz w:val="20"/>
                <w:szCs w:val="20"/>
              </w:rPr>
            </w:pPr>
          </w:p>
        </w:tc>
        <w:tc>
          <w:tcPr>
            <w:tcW w:w="439" w:type="pct"/>
            <w:vAlign w:val="center"/>
            <w:hideMark/>
          </w:tcPr>
          <w:p w14:paraId="247BA91D" w14:textId="77777777" w:rsidR="00000000" w:rsidRDefault="00C1661D">
            <w:pPr>
              <w:spacing w:after="100"/>
              <w:rPr>
                <w:rFonts w:eastAsia="Times New Roman"/>
                <w:sz w:val="20"/>
                <w:szCs w:val="20"/>
              </w:rPr>
            </w:pPr>
          </w:p>
        </w:tc>
        <w:tc>
          <w:tcPr>
            <w:tcW w:w="5" w:type="pct"/>
            <w:vAlign w:val="center"/>
            <w:hideMark/>
          </w:tcPr>
          <w:p w14:paraId="371385EB" w14:textId="77777777" w:rsidR="00000000" w:rsidRDefault="00C1661D">
            <w:pPr>
              <w:spacing w:after="100"/>
              <w:rPr>
                <w:rFonts w:eastAsia="Times New Roman"/>
                <w:sz w:val="20"/>
                <w:szCs w:val="20"/>
              </w:rPr>
            </w:pPr>
          </w:p>
        </w:tc>
        <w:tc>
          <w:tcPr>
            <w:tcW w:w="5" w:type="pct"/>
            <w:vAlign w:val="center"/>
            <w:hideMark/>
          </w:tcPr>
          <w:p w14:paraId="03054DAF" w14:textId="77777777" w:rsidR="00000000" w:rsidRDefault="00C1661D">
            <w:pPr>
              <w:spacing w:after="100"/>
              <w:rPr>
                <w:rFonts w:eastAsia="Times New Roman"/>
                <w:sz w:val="20"/>
                <w:szCs w:val="20"/>
              </w:rPr>
            </w:pPr>
          </w:p>
        </w:tc>
        <w:tc>
          <w:tcPr>
            <w:tcW w:w="26" w:type="pct"/>
            <w:vAlign w:val="center"/>
            <w:hideMark/>
          </w:tcPr>
          <w:p w14:paraId="7D81E6B9" w14:textId="77777777" w:rsidR="00000000" w:rsidRDefault="00C1661D">
            <w:pPr>
              <w:spacing w:after="100"/>
              <w:rPr>
                <w:rFonts w:eastAsia="Times New Roman"/>
                <w:sz w:val="20"/>
                <w:szCs w:val="20"/>
              </w:rPr>
            </w:pPr>
          </w:p>
        </w:tc>
        <w:tc>
          <w:tcPr>
            <w:tcW w:w="5" w:type="pct"/>
            <w:vAlign w:val="center"/>
            <w:hideMark/>
          </w:tcPr>
          <w:p w14:paraId="7B7D313B" w14:textId="77777777" w:rsidR="00000000" w:rsidRDefault="00C1661D">
            <w:pPr>
              <w:spacing w:after="100"/>
              <w:rPr>
                <w:rFonts w:eastAsia="Times New Roman"/>
                <w:sz w:val="20"/>
                <w:szCs w:val="20"/>
              </w:rPr>
            </w:pPr>
          </w:p>
        </w:tc>
        <w:tc>
          <w:tcPr>
            <w:tcW w:w="50" w:type="pct"/>
            <w:vAlign w:val="center"/>
            <w:hideMark/>
          </w:tcPr>
          <w:p w14:paraId="0CD6961A" w14:textId="77777777" w:rsidR="00000000" w:rsidRDefault="00C1661D">
            <w:pPr>
              <w:spacing w:after="100"/>
              <w:rPr>
                <w:rFonts w:eastAsia="Times New Roman"/>
                <w:sz w:val="20"/>
                <w:szCs w:val="20"/>
              </w:rPr>
            </w:pPr>
          </w:p>
        </w:tc>
        <w:tc>
          <w:tcPr>
            <w:tcW w:w="439" w:type="pct"/>
            <w:vAlign w:val="center"/>
            <w:hideMark/>
          </w:tcPr>
          <w:p w14:paraId="1F492C0E" w14:textId="77777777" w:rsidR="00000000" w:rsidRDefault="00C1661D">
            <w:pPr>
              <w:spacing w:after="100"/>
              <w:rPr>
                <w:rFonts w:eastAsia="Times New Roman"/>
                <w:sz w:val="20"/>
                <w:szCs w:val="20"/>
              </w:rPr>
            </w:pPr>
          </w:p>
        </w:tc>
        <w:tc>
          <w:tcPr>
            <w:tcW w:w="5" w:type="pct"/>
            <w:vAlign w:val="center"/>
            <w:hideMark/>
          </w:tcPr>
          <w:p w14:paraId="552BC8EF" w14:textId="77777777" w:rsidR="00000000" w:rsidRDefault="00C1661D">
            <w:pPr>
              <w:spacing w:after="100"/>
              <w:rPr>
                <w:rFonts w:eastAsia="Times New Roman"/>
                <w:sz w:val="20"/>
                <w:szCs w:val="20"/>
              </w:rPr>
            </w:pPr>
          </w:p>
        </w:tc>
        <w:tc>
          <w:tcPr>
            <w:tcW w:w="0" w:type="auto"/>
            <w:vAlign w:val="center"/>
            <w:hideMark/>
          </w:tcPr>
          <w:p w14:paraId="0BC86D57" w14:textId="77777777" w:rsidR="00000000" w:rsidRDefault="00C1661D">
            <w:pPr>
              <w:spacing w:after="100"/>
              <w:rPr>
                <w:rFonts w:eastAsia="Times New Roman"/>
                <w:sz w:val="20"/>
                <w:szCs w:val="20"/>
              </w:rPr>
            </w:pPr>
          </w:p>
        </w:tc>
        <w:tc>
          <w:tcPr>
            <w:tcW w:w="0" w:type="auto"/>
            <w:vAlign w:val="center"/>
            <w:hideMark/>
          </w:tcPr>
          <w:p w14:paraId="23176764" w14:textId="77777777" w:rsidR="00000000" w:rsidRDefault="00C1661D">
            <w:pPr>
              <w:spacing w:after="100"/>
              <w:rPr>
                <w:rFonts w:eastAsia="Times New Roman"/>
                <w:sz w:val="20"/>
                <w:szCs w:val="20"/>
              </w:rPr>
            </w:pPr>
          </w:p>
        </w:tc>
        <w:tc>
          <w:tcPr>
            <w:tcW w:w="0" w:type="auto"/>
            <w:gridSpan w:val="3"/>
            <w:vAlign w:val="center"/>
            <w:hideMark/>
          </w:tcPr>
          <w:p w14:paraId="53E6376D" w14:textId="77777777" w:rsidR="00000000" w:rsidRDefault="00C1661D">
            <w:pPr>
              <w:spacing w:after="100"/>
              <w:rPr>
                <w:rFonts w:eastAsia="Times New Roman"/>
                <w:sz w:val="20"/>
                <w:szCs w:val="20"/>
              </w:rPr>
            </w:pPr>
          </w:p>
        </w:tc>
        <w:tc>
          <w:tcPr>
            <w:tcW w:w="0" w:type="auto"/>
            <w:gridSpan w:val="3"/>
            <w:vAlign w:val="center"/>
            <w:hideMark/>
          </w:tcPr>
          <w:p w14:paraId="41E9311B" w14:textId="77777777" w:rsidR="00000000" w:rsidRDefault="00C1661D">
            <w:pPr>
              <w:spacing w:after="100"/>
              <w:rPr>
                <w:rFonts w:eastAsia="Times New Roman"/>
                <w:sz w:val="20"/>
                <w:szCs w:val="20"/>
              </w:rPr>
            </w:pPr>
          </w:p>
        </w:tc>
        <w:tc>
          <w:tcPr>
            <w:tcW w:w="0" w:type="auto"/>
            <w:gridSpan w:val="3"/>
            <w:vAlign w:val="center"/>
            <w:hideMark/>
          </w:tcPr>
          <w:p w14:paraId="2A0DB0DA" w14:textId="77777777" w:rsidR="00000000" w:rsidRDefault="00C1661D">
            <w:pPr>
              <w:spacing w:after="100"/>
              <w:rPr>
                <w:rFonts w:eastAsia="Times New Roman"/>
                <w:sz w:val="20"/>
                <w:szCs w:val="20"/>
              </w:rPr>
            </w:pPr>
          </w:p>
        </w:tc>
        <w:tc>
          <w:tcPr>
            <w:tcW w:w="0" w:type="auto"/>
            <w:gridSpan w:val="3"/>
            <w:vAlign w:val="center"/>
            <w:hideMark/>
          </w:tcPr>
          <w:p w14:paraId="6A465F14" w14:textId="77777777" w:rsidR="00000000" w:rsidRDefault="00C1661D">
            <w:pPr>
              <w:spacing w:after="100"/>
              <w:rPr>
                <w:rFonts w:eastAsia="Times New Roman"/>
                <w:sz w:val="20"/>
                <w:szCs w:val="20"/>
              </w:rPr>
            </w:pPr>
          </w:p>
        </w:tc>
      </w:tr>
      <w:tr w:rsidR="00000000" w14:paraId="5105F241" w14:textId="77777777">
        <w:trPr>
          <w:divId w:val="509758099"/>
        </w:trPr>
        <w:tc>
          <w:tcPr>
            <w:tcW w:w="0" w:type="auto"/>
            <w:gridSpan w:val="3"/>
            <w:tcMar>
              <w:top w:w="30" w:type="dxa"/>
              <w:left w:w="20" w:type="dxa"/>
              <w:bottom w:w="30" w:type="dxa"/>
              <w:right w:w="20" w:type="dxa"/>
            </w:tcMar>
            <w:vAlign w:val="bottom"/>
            <w:hideMark/>
          </w:tcPr>
          <w:p w14:paraId="13ADE3FB" w14:textId="77777777" w:rsidR="00000000" w:rsidRDefault="00C1661D">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110FC15E" w14:textId="77777777" w:rsidR="00000000" w:rsidRDefault="00C1661D">
            <w:pPr>
              <w:spacing w:after="100"/>
              <w:jc w:val="center"/>
              <w:rPr>
                <w:rFonts w:eastAsia="Times New Roman"/>
              </w:rPr>
            </w:pPr>
            <w:r>
              <w:rPr>
                <w:rFonts w:eastAsia="Times New Roman"/>
                <w:color w:val="000000"/>
                <w:sz w:val="20"/>
                <w:szCs w:val="20"/>
              </w:rPr>
              <w:t>Pension Benefits</w:t>
            </w:r>
          </w:p>
        </w:tc>
        <w:tc>
          <w:tcPr>
            <w:tcW w:w="0" w:type="auto"/>
            <w:vAlign w:val="center"/>
            <w:hideMark/>
          </w:tcPr>
          <w:p w14:paraId="2479FAEF" w14:textId="77777777" w:rsidR="00000000" w:rsidRDefault="00C1661D">
            <w:pPr>
              <w:spacing w:after="100"/>
              <w:jc w:val="center"/>
              <w:rPr>
                <w:rFonts w:eastAsia="Times New Roman"/>
              </w:rPr>
            </w:pPr>
          </w:p>
        </w:tc>
        <w:tc>
          <w:tcPr>
            <w:tcW w:w="0" w:type="auto"/>
            <w:vAlign w:val="center"/>
            <w:hideMark/>
          </w:tcPr>
          <w:p w14:paraId="769C56BF" w14:textId="77777777" w:rsidR="00000000" w:rsidRDefault="00C1661D">
            <w:pPr>
              <w:spacing w:after="100"/>
              <w:rPr>
                <w:rFonts w:eastAsia="Times New Roman"/>
                <w:sz w:val="20"/>
                <w:szCs w:val="20"/>
              </w:rPr>
            </w:pPr>
          </w:p>
        </w:tc>
        <w:tc>
          <w:tcPr>
            <w:tcW w:w="0" w:type="auto"/>
            <w:vAlign w:val="center"/>
            <w:hideMark/>
          </w:tcPr>
          <w:p w14:paraId="66B8D8DE" w14:textId="77777777" w:rsidR="00000000" w:rsidRDefault="00C1661D">
            <w:pPr>
              <w:spacing w:after="100"/>
              <w:rPr>
                <w:rFonts w:eastAsia="Times New Roman"/>
                <w:sz w:val="20"/>
                <w:szCs w:val="20"/>
              </w:rPr>
            </w:pPr>
          </w:p>
        </w:tc>
        <w:tc>
          <w:tcPr>
            <w:tcW w:w="0" w:type="auto"/>
            <w:vAlign w:val="center"/>
            <w:hideMark/>
          </w:tcPr>
          <w:p w14:paraId="5C64A3AC" w14:textId="77777777" w:rsidR="00000000" w:rsidRDefault="00C1661D">
            <w:pPr>
              <w:spacing w:after="100"/>
              <w:rPr>
                <w:rFonts w:eastAsia="Times New Roman"/>
                <w:sz w:val="20"/>
                <w:szCs w:val="20"/>
              </w:rPr>
            </w:pPr>
          </w:p>
        </w:tc>
        <w:tc>
          <w:tcPr>
            <w:tcW w:w="0" w:type="auto"/>
            <w:vAlign w:val="center"/>
            <w:hideMark/>
          </w:tcPr>
          <w:p w14:paraId="1BE7F453" w14:textId="77777777" w:rsidR="00000000" w:rsidRDefault="00C1661D">
            <w:pPr>
              <w:spacing w:after="100"/>
              <w:rPr>
                <w:rFonts w:eastAsia="Times New Roman"/>
                <w:sz w:val="20"/>
                <w:szCs w:val="20"/>
              </w:rPr>
            </w:pPr>
          </w:p>
        </w:tc>
        <w:tc>
          <w:tcPr>
            <w:tcW w:w="0" w:type="auto"/>
            <w:vAlign w:val="center"/>
            <w:hideMark/>
          </w:tcPr>
          <w:p w14:paraId="2C94CAC7" w14:textId="77777777" w:rsidR="00000000" w:rsidRDefault="00C1661D">
            <w:pPr>
              <w:spacing w:after="100"/>
              <w:rPr>
                <w:rFonts w:eastAsia="Times New Roman"/>
                <w:sz w:val="20"/>
                <w:szCs w:val="20"/>
              </w:rPr>
            </w:pPr>
          </w:p>
        </w:tc>
        <w:tc>
          <w:tcPr>
            <w:tcW w:w="0" w:type="auto"/>
            <w:vAlign w:val="center"/>
            <w:hideMark/>
          </w:tcPr>
          <w:p w14:paraId="6333F7BA" w14:textId="77777777" w:rsidR="00000000" w:rsidRDefault="00C1661D">
            <w:pPr>
              <w:spacing w:after="100"/>
              <w:rPr>
                <w:rFonts w:eastAsia="Times New Roman"/>
                <w:sz w:val="20"/>
                <w:szCs w:val="20"/>
              </w:rPr>
            </w:pPr>
          </w:p>
        </w:tc>
        <w:tc>
          <w:tcPr>
            <w:tcW w:w="0" w:type="auto"/>
            <w:vAlign w:val="center"/>
            <w:hideMark/>
          </w:tcPr>
          <w:p w14:paraId="5BB386B1" w14:textId="77777777" w:rsidR="00000000" w:rsidRDefault="00C1661D">
            <w:pPr>
              <w:spacing w:after="100"/>
              <w:rPr>
                <w:rFonts w:eastAsia="Times New Roman"/>
                <w:sz w:val="20"/>
                <w:szCs w:val="20"/>
              </w:rPr>
            </w:pPr>
          </w:p>
        </w:tc>
        <w:tc>
          <w:tcPr>
            <w:tcW w:w="0" w:type="auto"/>
            <w:vAlign w:val="center"/>
            <w:hideMark/>
          </w:tcPr>
          <w:p w14:paraId="11431244" w14:textId="77777777" w:rsidR="00000000" w:rsidRDefault="00C1661D">
            <w:pPr>
              <w:spacing w:after="100"/>
              <w:rPr>
                <w:rFonts w:eastAsia="Times New Roman"/>
                <w:sz w:val="20"/>
                <w:szCs w:val="20"/>
              </w:rPr>
            </w:pPr>
          </w:p>
        </w:tc>
        <w:tc>
          <w:tcPr>
            <w:tcW w:w="0" w:type="auto"/>
            <w:vAlign w:val="center"/>
            <w:hideMark/>
          </w:tcPr>
          <w:p w14:paraId="552065A3" w14:textId="77777777" w:rsidR="00000000" w:rsidRDefault="00C1661D">
            <w:pPr>
              <w:spacing w:after="100"/>
              <w:rPr>
                <w:rFonts w:eastAsia="Times New Roman"/>
                <w:sz w:val="20"/>
                <w:szCs w:val="20"/>
              </w:rPr>
            </w:pPr>
          </w:p>
        </w:tc>
        <w:tc>
          <w:tcPr>
            <w:tcW w:w="0" w:type="auto"/>
            <w:vAlign w:val="center"/>
            <w:hideMark/>
          </w:tcPr>
          <w:p w14:paraId="56E7FB20" w14:textId="77777777" w:rsidR="00000000" w:rsidRDefault="00C1661D">
            <w:pPr>
              <w:spacing w:after="100"/>
              <w:rPr>
                <w:rFonts w:eastAsia="Times New Roman"/>
                <w:sz w:val="20"/>
                <w:szCs w:val="20"/>
              </w:rPr>
            </w:pPr>
          </w:p>
        </w:tc>
        <w:tc>
          <w:tcPr>
            <w:tcW w:w="0" w:type="auto"/>
            <w:vAlign w:val="center"/>
            <w:hideMark/>
          </w:tcPr>
          <w:p w14:paraId="1C99DD75" w14:textId="77777777" w:rsidR="00000000" w:rsidRDefault="00C1661D">
            <w:pPr>
              <w:spacing w:after="100"/>
              <w:rPr>
                <w:rFonts w:eastAsia="Times New Roman"/>
                <w:sz w:val="20"/>
                <w:szCs w:val="20"/>
              </w:rPr>
            </w:pPr>
          </w:p>
        </w:tc>
        <w:tc>
          <w:tcPr>
            <w:tcW w:w="0" w:type="auto"/>
            <w:vAlign w:val="center"/>
            <w:hideMark/>
          </w:tcPr>
          <w:p w14:paraId="55D19B62" w14:textId="77777777" w:rsidR="00000000" w:rsidRDefault="00C1661D">
            <w:pPr>
              <w:spacing w:after="100"/>
              <w:rPr>
                <w:rFonts w:eastAsia="Times New Roman"/>
                <w:sz w:val="20"/>
                <w:szCs w:val="20"/>
              </w:rPr>
            </w:pPr>
          </w:p>
        </w:tc>
        <w:tc>
          <w:tcPr>
            <w:tcW w:w="0" w:type="auto"/>
            <w:vAlign w:val="center"/>
            <w:hideMark/>
          </w:tcPr>
          <w:p w14:paraId="6542DC2F" w14:textId="77777777" w:rsidR="00000000" w:rsidRDefault="00C1661D">
            <w:pPr>
              <w:spacing w:after="100"/>
              <w:rPr>
                <w:rFonts w:eastAsia="Times New Roman"/>
                <w:sz w:val="20"/>
                <w:szCs w:val="20"/>
              </w:rPr>
            </w:pPr>
          </w:p>
        </w:tc>
      </w:tr>
      <w:tr w:rsidR="00000000" w14:paraId="3C88ED25" w14:textId="77777777">
        <w:trPr>
          <w:divId w:val="509758099"/>
        </w:trPr>
        <w:tc>
          <w:tcPr>
            <w:tcW w:w="0" w:type="auto"/>
            <w:gridSpan w:val="3"/>
            <w:tcMar>
              <w:top w:w="30" w:type="dxa"/>
              <w:left w:w="20" w:type="dxa"/>
              <w:bottom w:w="30" w:type="dxa"/>
              <w:right w:w="20" w:type="dxa"/>
            </w:tcMar>
            <w:vAlign w:val="bottom"/>
            <w:hideMark/>
          </w:tcPr>
          <w:p w14:paraId="6C2B9921"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F9E67F2"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5B068A8D"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FE22AF"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448556C9"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5F343C" w14:textId="77777777" w:rsidR="00000000" w:rsidRDefault="00C1661D">
            <w:pPr>
              <w:spacing w:after="100"/>
              <w:jc w:val="center"/>
              <w:rPr>
                <w:rFonts w:eastAsia="Times New Roman"/>
              </w:rPr>
            </w:pPr>
            <w:r>
              <w:rPr>
                <w:rFonts w:eastAsia="Times New Roman"/>
                <w:color w:val="000000"/>
                <w:sz w:val="20"/>
                <w:szCs w:val="20"/>
              </w:rPr>
              <w:t>2020</w:t>
            </w:r>
          </w:p>
        </w:tc>
        <w:tc>
          <w:tcPr>
            <w:tcW w:w="0" w:type="auto"/>
            <w:vAlign w:val="center"/>
            <w:hideMark/>
          </w:tcPr>
          <w:p w14:paraId="4163CC1F" w14:textId="77777777" w:rsidR="00000000" w:rsidRDefault="00C1661D">
            <w:pPr>
              <w:spacing w:after="100"/>
              <w:jc w:val="center"/>
              <w:rPr>
                <w:rFonts w:eastAsia="Times New Roman"/>
              </w:rPr>
            </w:pPr>
          </w:p>
        </w:tc>
        <w:tc>
          <w:tcPr>
            <w:tcW w:w="0" w:type="auto"/>
            <w:vAlign w:val="center"/>
            <w:hideMark/>
          </w:tcPr>
          <w:p w14:paraId="2C9A9170" w14:textId="77777777" w:rsidR="00000000" w:rsidRDefault="00C1661D">
            <w:pPr>
              <w:spacing w:after="100"/>
              <w:rPr>
                <w:rFonts w:eastAsia="Times New Roman"/>
                <w:sz w:val="20"/>
                <w:szCs w:val="20"/>
              </w:rPr>
            </w:pPr>
          </w:p>
        </w:tc>
        <w:tc>
          <w:tcPr>
            <w:tcW w:w="0" w:type="auto"/>
            <w:gridSpan w:val="3"/>
            <w:vAlign w:val="center"/>
            <w:hideMark/>
          </w:tcPr>
          <w:p w14:paraId="40CA36CD" w14:textId="77777777" w:rsidR="00000000" w:rsidRDefault="00C1661D">
            <w:pPr>
              <w:spacing w:after="100"/>
              <w:rPr>
                <w:rFonts w:eastAsia="Times New Roman"/>
                <w:sz w:val="20"/>
                <w:szCs w:val="20"/>
              </w:rPr>
            </w:pPr>
          </w:p>
        </w:tc>
        <w:tc>
          <w:tcPr>
            <w:tcW w:w="0" w:type="auto"/>
            <w:gridSpan w:val="3"/>
            <w:vAlign w:val="center"/>
            <w:hideMark/>
          </w:tcPr>
          <w:p w14:paraId="28A52A65" w14:textId="77777777" w:rsidR="00000000" w:rsidRDefault="00C1661D">
            <w:pPr>
              <w:spacing w:after="100"/>
              <w:rPr>
                <w:rFonts w:eastAsia="Times New Roman"/>
                <w:sz w:val="20"/>
                <w:szCs w:val="20"/>
              </w:rPr>
            </w:pPr>
          </w:p>
        </w:tc>
        <w:tc>
          <w:tcPr>
            <w:tcW w:w="0" w:type="auto"/>
            <w:gridSpan w:val="3"/>
            <w:vAlign w:val="center"/>
            <w:hideMark/>
          </w:tcPr>
          <w:p w14:paraId="635828F3" w14:textId="77777777" w:rsidR="00000000" w:rsidRDefault="00C1661D">
            <w:pPr>
              <w:spacing w:after="100"/>
              <w:rPr>
                <w:rFonts w:eastAsia="Times New Roman"/>
                <w:sz w:val="20"/>
                <w:szCs w:val="20"/>
              </w:rPr>
            </w:pPr>
          </w:p>
        </w:tc>
        <w:tc>
          <w:tcPr>
            <w:tcW w:w="0" w:type="auto"/>
            <w:gridSpan w:val="3"/>
            <w:vAlign w:val="center"/>
            <w:hideMark/>
          </w:tcPr>
          <w:p w14:paraId="4827DE53" w14:textId="77777777" w:rsidR="00000000" w:rsidRDefault="00C1661D">
            <w:pPr>
              <w:spacing w:after="100"/>
              <w:rPr>
                <w:rFonts w:eastAsia="Times New Roman"/>
                <w:sz w:val="20"/>
                <w:szCs w:val="20"/>
              </w:rPr>
            </w:pPr>
          </w:p>
        </w:tc>
      </w:tr>
      <w:tr w:rsidR="00000000" w14:paraId="79D1931D" w14:textId="77777777">
        <w:trPr>
          <w:divId w:val="509758099"/>
        </w:trPr>
        <w:tc>
          <w:tcPr>
            <w:tcW w:w="0" w:type="auto"/>
            <w:gridSpan w:val="3"/>
            <w:shd w:val="clear" w:color="auto" w:fill="CCEEFF"/>
            <w:tcMar>
              <w:top w:w="30" w:type="dxa"/>
              <w:left w:w="20" w:type="dxa"/>
              <w:bottom w:w="30" w:type="dxa"/>
              <w:right w:w="20" w:type="dxa"/>
            </w:tcMar>
            <w:vAlign w:val="bottom"/>
            <w:hideMark/>
          </w:tcPr>
          <w:p w14:paraId="6BFE79DB" w14:textId="77777777" w:rsidR="00000000" w:rsidRDefault="00C1661D">
            <w:pPr>
              <w:spacing w:after="100"/>
              <w:rPr>
                <w:rFonts w:eastAsia="Times New Roman"/>
              </w:rPr>
            </w:pPr>
            <w:r>
              <w:rPr>
                <w:rFonts w:eastAsia="Times New Roman"/>
                <w:color w:val="000000"/>
                <w:sz w:val="20"/>
                <w:szCs w:val="20"/>
              </w:rPr>
              <w:t>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95C97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5E73EE" w14:textId="77777777" w:rsidR="00000000" w:rsidRDefault="00C1661D">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9256E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1D2699"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5EA27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8B4B68" w14:textId="77777777" w:rsidR="00000000" w:rsidRDefault="00C1661D">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D893A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A509FE"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7D2213"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9113B7" w14:textId="77777777" w:rsidR="00000000" w:rsidRDefault="00C1661D">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ADFAAB" w14:textId="77777777" w:rsidR="00000000" w:rsidRDefault="00C1661D">
            <w:pPr>
              <w:spacing w:after="100"/>
              <w:jc w:val="right"/>
              <w:rPr>
                <w:rFonts w:eastAsia="Times New Roman"/>
              </w:rPr>
            </w:pPr>
          </w:p>
        </w:tc>
        <w:tc>
          <w:tcPr>
            <w:tcW w:w="0" w:type="auto"/>
            <w:vAlign w:val="center"/>
            <w:hideMark/>
          </w:tcPr>
          <w:p w14:paraId="49764BE3" w14:textId="77777777" w:rsidR="00000000" w:rsidRDefault="00C1661D">
            <w:pPr>
              <w:spacing w:after="100"/>
              <w:jc w:val="right"/>
              <w:rPr>
                <w:rFonts w:eastAsia="Times New Roman"/>
                <w:sz w:val="20"/>
                <w:szCs w:val="20"/>
              </w:rPr>
            </w:pPr>
          </w:p>
        </w:tc>
        <w:tc>
          <w:tcPr>
            <w:tcW w:w="0" w:type="auto"/>
            <w:vAlign w:val="center"/>
            <w:hideMark/>
          </w:tcPr>
          <w:p w14:paraId="5A4A0E2B" w14:textId="77777777" w:rsidR="00000000" w:rsidRDefault="00C1661D">
            <w:pPr>
              <w:spacing w:after="100"/>
              <w:rPr>
                <w:rFonts w:eastAsia="Times New Roman"/>
                <w:sz w:val="20"/>
                <w:szCs w:val="20"/>
              </w:rPr>
            </w:pPr>
          </w:p>
        </w:tc>
        <w:tc>
          <w:tcPr>
            <w:tcW w:w="0" w:type="auto"/>
            <w:gridSpan w:val="3"/>
            <w:vAlign w:val="center"/>
            <w:hideMark/>
          </w:tcPr>
          <w:p w14:paraId="660E6521" w14:textId="77777777" w:rsidR="00000000" w:rsidRDefault="00C1661D">
            <w:pPr>
              <w:spacing w:after="100"/>
              <w:rPr>
                <w:rFonts w:eastAsia="Times New Roman"/>
                <w:sz w:val="20"/>
                <w:szCs w:val="20"/>
              </w:rPr>
            </w:pPr>
          </w:p>
        </w:tc>
        <w:tc>
          <w:tcPr>
            <w:tcW w:w="0" w:type="auto"/>
            <w:gridSpan w:val="3"/>
            <w:vAlign w:val="center"/>
            <w:hideMark/>
          </w:tcPr>
          <w:p w14:paraId="514A9734" w14:textId="77777777" w:rsidR="00000000" w:rsidRDefault="00C1661D">
            <w:pPr>
              <w:spacing w:after="100"/>
              <w:rPr>
                <w:rFonts w:eastAsia="Times New Roman"/>
                <w:sz w:val="20"/>
                <w:szCs w:val="20"/>
              </w:rPr>
            </w:pPr>
          </w:p>
        </w:tc>
        <w:tc>
          <w:tcPr>
            <w:tcW w:w="0" w:type="auto"/>
            <w:gridSpan w:val="3"/>
            <w:vAlign w:val="center"/>
            <w:hideMark/>
          </w:tcPr>
          <w:p w14:paraId="3597752A" w14:textId="77777777" w:rsidR="00000000" w:rsidRDefault="00C1661D">
            <w:pPr>
              <w:spacing w:after="100"/>
              <w:rPr>
                <w:rFonts w:eastAsia="Times New Roman"/>
                <w:sz w:val="20"/>
                <w:szCs w:val="20"/>
              </w:rPr>
            </w:pPr>
          </w:p>
        </w:tc>
        <w:tc>
          <w:tcPr>
            <w:tcW w:w="0" w:type="auto"/>
            <w:gridSpan w:val="3"/>
            <w:vAlign w:val="center"/>
            <w:hideMark/>
          </w:tcPr>
          <w:p w14:paraId="0E76ACD8" w14:textId="77777777" w:rsidR="00000000" w:rsidRDefault="00C1661D">
            <w:pPr>
              <w:spacing w:after="100"/>
              <w:rPr>
                <w:rFonts w:eastAsia="Times New Roman"/>
                <w:sz w:val="20"/>
                <w:szCs w:val="20"/>
              </w:rPr>
            </w:pPr>
          </w:p>
        </w:tc>
      </w:tr>
      <w:tr w:rsidR="00000000" w14:paraId="23590639" w14:textId="77777777">
        <w:trPr>
          <w:divId w:val="509758099"/>
        </w:trPr>
        <w:tc>
          <w:tcPr>
            <w:tcW w:w="0" w:type="auto"/>
            <w:gridSpan w:val="3"/>
            <w:shd w:val="clear" w:color="auto" w:fill="FFFFFF"/>
            <w:tcMar>
              <w:top w:w="30" w:type="dxa"/>
              <w:left w:w="20" w:type="dxa"/>
              <w:bottom w:w="30" w:type="dxa"/>
              <w:right w:w="20" w:type="dxa"/>
            </w:tcMar>
            <w:vAlign w:val="bottom"/>
            <w:hideMark/>
          </w:tcPr>
          <w:p w14:paraId="7805A5A9" w14:textId="77777777" w:rsidR="00000000" w:rsidRDefault="00C1661D">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14:paraId="0BB1346A" w14:textId="77777777" w:rsidR="00000000" w:rsidRDefault="00C1661D">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28348F4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68E57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38D8AE" w14:textId="77777777" w:rsidR="00000000" w:rsidRDefault="00C1661D">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14:paraId="21DD771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2F363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402CBB" w14:textId="77777777" w:rsidR="00000000" w:rsidRDefault="00C1661D">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14:paraId="7700DDB8" w14:textId="77777777" w:rsidR="00000000" w:rsidRDefault="00C1661D">
            <w:pPr>
              <w:spacing w:after="100"/>
              <w:jc w:val="right"/>
              <w:rPr>
                <w:rFonts w:eastAsia="Times New Roman"/>
              </w:rPr>
            </w:pPr>
          </w:p>
        </w:tc>
        <w:tc>
          <w:tcPr>
            <w:tcW w:w="0" w:type="auto"/>
            <w:vAlign w:val="center"/>
            <w:hideMark/>
          </w:tcPr>
          <w:p w14:paraId="7746C93C" w14:textId="77777777" w:rsidR="00000000" w:rsidRDefault="00C1661D">
            <w:pPr>
              <w:spacing w:after="100"/>
              <w:jc w:val="right"/>
              <w:rPr>
                <w:rFonts w:eastAsia="Times New Roman"/>
                <w:sz w:val="20"/>
                <w:szCs w:val="20"/>
              </w:rPr>
            </w:pPr>
          </w:p>
        </w:tc>
        <w:tc>
          <w:tcPr>
            <w:tcW w:w="0" w:type="auto"/>
            <w:vAlign w:val="center"/>
            <w:hideMark/>
          </w:tcPr>
          <w:p w14:paraId="71A30A7D" w14:textId="77777777" w:rsidR="00000000" w:rsidRDefault="00C1661D">
            <w:pPr>
              <w:spacing w:after="100"/>
              <w:rPr>
                <w:rFonts w:eastAsia="Times New Roman"/>
                <w:sz w:val="20"/>
                <w:szCs w:val="20"/>
              </w:rPr>
            </w:pPr>
          </w:p>
        </w:tc>
        <w:tc>
          <w:tcPr>
            <w:tcW w:w="0" w:type="auto"/>
            <w:gridSpan w:val="3"/>
            <w:vAlign w:val="center"/>
            <w:hideMark/>
          </w:tcPr>
          <w:p w14:paraId="16D65BD1" w14:textId="77777777" w:rsidR="00000000" w:rsidRDefault="00C1661D">
            <w:pPr>
              <w:spacing w:after="100"/>
              <w:rPr>
                <w:rFonts w:eastAsia="Times New Roman"/>
                <w:sz w:val="20"/>
                <w:szCs w:val="20"/>
              </w:rPr>
            </w:pPr>
          </w:p>
        </w:tc>
        <w:tc>
          <w:tcPr>
            <w:tcW w:w="0" w:type="auto"/>
            <w:gridSpan w:val="3"/>
            <w:vAlign w:val="center"/>
            <w:hideMark/>
          </w:tcPr>
          <w:p w14:paraId="388D24E3" w14:textId="77777777" w:rsidR="00000000" w:rsidRDefault="00C1661D">
            <w:pPr>
              <w:spacing w:after="100"/>
              <w:rPr>
                <w:rFonts w:eastAsia="Times New Roman"/>
                <w:sz w:val="20"/>
                <w:szCs w:val="20"/>
              </w:rPr>
            </w:pPr>
          </w:p>
        </w:tc>
        <w:tc>
          <w:tcPr>
            <w:tcW w:w="0" w:type="auto"/>
            <w:gridSpan w:val="3"/>
            <w:vAlign w:val="center"/>
            <w:hideMark/>
          </w:tcPr>
          <w:p w14:paraId="19CCE8A4" w14:textId="77777777" w:rsidR="00000000" w:rsidRDefault="00C1661D">
            <w:pPr>
              <w:spacing w:after="100"/>
              <w:rPr>
                <w:rFonts w:eastAsia="Times New Roman"/>
                <w:sz w:val="20"/>
                <w:szCs w:val="20"/>
              </w:rPr>
            </w:pPr>
          </w:p>
        </w:tc>
        <w:tc>
          <w:tcPr>
            <w:tcW w:w="0" w:type="auto"/>
            <w:gridSpan w:val="3"/>
            <w:vAlign w:val="center"/>
            <w:hideMark/>
          </w:tcPr>
          <w:p w14:paraId="65059CB0" w14:textId="77777777" w:rsidR="00000000" w:rsidRDefault="00C1661D">
            <w:pPr>
              <w:spacing w:after="100"/>
              <w:rPr>
                <w:rFonts w:eastAsia="Times New Roman"/>
                <w:sz w:val="20"/>
                <w:szCs w:val="20"/>
              </w:rPr>
            </w:pPr>
          </w:p>
        </w:tc>
      </w:tr>
      <w:tr w:rsidR="00000000" w14:paraId="68EB6094" w14:textId="77777777">
        <w:trPr>
          <w:divId w:val="509758099"/>
        </w:trPr>
        <w:tc>
          <w:tcPr>
            <w:tcW w:w="0" w:type="auto"/>
            <w:gridSpan w:val="3"/>
            <w:shd w:val="clear" w:color="auto" w:fill="CCEEFF"/>
            <w:tcMar>
              <w:top w:w="30" w:type="dxa"/>
              <w:left w:w="20" w:type="dxa"/>
              <w:bottom w:w="30" w:type="dxa"/>
              <w:right w:w="20" w:type="dxa"/>
            </w:tcMar>
            <w:vAlign w:val="bottom"/>
            <w:hideMark/>
          </w:tcPr>
          <w:p w14:paraId="29507CF8" w14:textId="77777777" w:rsidR="00000000" w:rsidRDefault="00C1661D">
            <w:pPr>
              <w:spacing w:after="100"/>
              <w:rPr>
                <w:rFonts w:eastAsia="Times New Roman"/>
              </w:rPr>
            </w:pPr>
            <w:r>
              <w:rPr>
                <w:rFonts w:eastAsia="Times New Roman"/>
                <w:color w:val="000000"/>
                <w:sz w:val="20"/>
                <w:szCs w:val="20"/>
              </w:rPr>
              <w:t>Expected return on assets</w:t>
            </w:r>
          </w:p>
        </w:tc>
        <w:tc>
          <w:tcPr>
            <w:tcW w:w="0" w:type="auto"/>
            <w:gridSpan w:val="2"/>
            <w:shd w:val="clear" w:color="auto" w:fill="CCEEFF"/>
            <w:tcMar>
              <w:top w:w="30" w:type="dxa"/>
              <w:left w:w="20" w:type="dxa"/>
              <w:bottom w:w="30" w:type="dxa"/>
              <w:right w:w="0" w:type="dxa"/>
            </w:tcMar>
            <w:vAlign w:val="bottom"/>
            <w:hideMark/>
          </w:tcPr>
          <w:p w14:paraId="0FD6FBC8" w14:textId="77777777" w:rsidR="00000000" w:rsidRDefault="00C1661D">
            <w:pPr>
              <w:spacing w:after="100"/>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14:paraId="4585D84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C73DF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9FFCBA" w14:textId="77777777" w:rsidR="00000000" w:rsidRDefault="00C1661D">
            <w:pPr>
              <w:spacing w:after="100"/>
              <w:jc w:val="right"/>
              <w:rPr>
                <w:rFonts w:eastAsia="Times New Roman"/>
              </w:rPr>
            </w:pPr>
            <w:r>
              <w:rPr>
                <w:rFonts w:eastAsia="Times New Roman"/>
                <w:color w:val="000000"/>
                <w:sz w:val="20"/>
                <w:szCs w:val="20"/>
              </w:rPr>
              <w:t>(40)</w:t>
            </w:r>
          </w:p>
        </w:tc>
        <w:tc>
          <w:tcPr>
            <w:tcW w:w="0" w:type="auto"/>
            <w:shd w:val="clear" w:color="auto" w:fill="CCEEFF"/>
            <w:tcMar>
              <w:top w:w="30" w:type="dxa"/>
              <w:left w:w="0" w:type="dxa"/>
              <w:bottom w:w="30" w:type="dxa"/>
              <w:right w:w="20" w:type="dxa"/>
            </w:tcMar>
            <w:vAlign w:val="bottom"/>
            <w:hideMark/>
          </w:tcPr>
          <w:p w14:paraId="7CAF2B8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26EB6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22DD1C" w14:textId="77777777" w:rsidR="00000000" w:rsidRDefault="00C1661D">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14:paraId="63896891" w14:textId="77777777" w:rsidR="00000000" w:rsidRDefault="00C1661D">
            <w:pPr>
              <w:spacing w:after="100"/>
              <w:jc w:val="right"/>
              <w:rPr>
                <w:rFonts w:eastAsia="Times New Roman"/>
              </w:rPr>
            </w:pPr>
          </w:p>
        </w:tc>
        <w:tc>
          <w:tcPr>
            <w:tcW w:w="0" w:type="auto"/>
            <w:vAlign w:val="center"/>
            <w:hideMark/>
          </w:tcPr>
          <w:p w14:paraId="297D6402" w14:textId="77777777" w:rsidR="00000000" w:rsidRDefault="00C1661D">
            <w:pPr>
              <w:spacing w:after="100"/>
              <w:jc w:val="right"/>
              <w:rPr>
                <w:rFonts w:eastAsia="Times New Roman"/>
                <w:sz w:val="20"/>
                <w:szCs w:val="20"/>
              </w:rPr>
            </w:pPr>
          </w:p>
        </w:tc>
        <w:tc>
          <w:tcPr>
            <w:tcW w:w="0" w:type="auto"/>
            <w:vAlign w:val="center"/>
            <w:hideMark/>
          </w:tcPr>
          <w:p w14:paraId="4A7278B1" w14:textId="77777777" w:rsidR="00000000" w:rsidRDefault="00C1661D">
            <w:pPr>
              <w:spacing w:after="100"/>
              <w:rPr>
                <w:rFonts w:eastAsia="Times New Roman"/>
                <w:sz w:val="20"/>
                <w:szCs w:val="20"/>
              </w:rPr>
            </w:pPr>
          </w:p>
        </w:tc>
        <w:tc>
          <w:tcPr>
            <w:tcW w:w="0" w:type="auto"/>
            <w:gridSpan w:val="3"/>
            <w:vAlign w:val="center"/>
            <w:hideMark/>
          </w:tcPr>
          <w:p w14:paraId="248D0195" w14:textId="77777777" w:rsidR="00000000" w:rsidRDefault="00C1661D">
            <w:pPr>
              <w:spacing w:after="100"/>
              <w:rPr>
                <w:rFonts w:eastAsia="Times New Roman"/>
                <w:sz w:val="20"/>
                <w:szCs w:val="20"/>
              </w:rPr>
            </w:pPr>
          </w:p>
        </w:tc>
        <w:tc>
          <w:tcPr>
            <w:tcW w:w="0" w:type="auto"/>
            <w:gridSpan w:val="3"/>
            <w:vAlign w:val="center"/>
            <w:hideMark/>
          </w:tcPr>
          <w:p w14:paraId="50827E74" w14:textId="77777777" w:rsidR="00000000" w:rsidRDefault="00C1661D">
            <w:pPr>
              <w:spacing w:after="100"/>
              <w:rPr>
                <w:rFonts w:eastAsia="Times New Roman"/>
                <w:sz w:val="20"/>
                <w:szCs w:val="20"/>
              </w:rPr>
            </w:pPr>
          </w:p>
        </w:tc>
        <w:tc>
          <w:tcPr>
            <w:tcW w:w="0" w:type="auto"/>
            <w:gridSpan w:val="3"/>
            <w:vAlign w:val="center"/>
            <w:hideMark/>
          </w:tcPr>
          <w:p w14:paraId="393A135D" w14:textId="77777777" w:rsidR="00000000" w:rsidRDefault="00C1661D">
            <w:pPr>
              <w:spacing w:after="100"/>
              <w:rPr>
                <w:rFonts w:eastAsia="Times New Roman"/>
                <w:sz w:val="20"/>
                <w:szCs w:val="20"/>
              </w:rPr>
            </w:pPr>
          </w:p>
        </w:tc>
        <w:tc>
          <w:tcPr>
            <w:tcW w:w="0" w:type="auto"/>
            <w:gridSpan w:val="3"/>
            <w:vAlign w:val="center"/>
            <w:hideMark/>
          </w:tcPr>
          <w:p w14:paraId="0405ADDB" w14:textId="77777777" w:rsidR="00000000" w:rsidRDefault="00C1661D">
            <w:pPr>
              <w:spacing w:after="100"/>
              <w:rPr>
                <w:rFonts w:eastAsia="Times New Roman"/>
                <w:sz w:val="20"/>
                <w:szCs w:val="20"/>
              </w:rPr>
            </w:pPr>
          </w:p>
        </w:tc>
      </w:tr>
      <w:tr w:rsidR="00000000" w14:paraId="66AA941B" w14:textId="77777777">
        <w:trPr>
          <w:divId w:val="509758099"/>
        </w:trPr>
        <w:tc>
          <w:tcPr>
            <w:tcW w:w="0" w:type="auto"/>
            <w:gridSpan w:val="3"/>
            <w:shd w:val="clear" w:color="auto" w:fill="FFFFFF"/>
            <w:tcMar>
              <w:top w:w="30" w:type="dxa"/>
              <w:left w:w="20" w:type="dxa"/>
              <w:bottom w:w="30" w:type="dxa"/>
              <w:right w:w="20" w:type="dxa"/>
            </w:tcMar>
            <w:vAlign w:val="bottom"/>
            <w:hideMark/>
          </w:tcPr>
          <w:p w14:paraId="28E50C8C" w14:textId="77777777" w:rsidR="00000000" w:rsidRDefault="00C1661D">
            <w:pPr>
              <w:spacing w:after="100"/>
              <w:rPr>
                <w:rFonts w:eastAsia="Times New Roman"/>
              </w:rPr>
            </w:pPr>
            <w:r>
              <w:rPr>
                <w:rFonts w:eastAsia="Times New Roman"/>
                <w:color w:val="000000"/>
                <w:sz w:val="20"/>
                <w:szCs w:val="20"/>
              </w:rPr>
              <w:t>Curtailment gain</w:t>
            </w:r>
          </w:p>
        </w:tc>
        <w:tc>
          <w:tcPr>
            <w:tcW w:w="0" w:type="auto"/>
            <w:gridSpan w:val="2"/>
            <w:shd w:val="clear" w:color="auto" w:fill="FFFFFF"/>
            <w:tcMar>
              <w:top w:w="30" w:type="dxa"/>
              <w:left w:w="20" w:type="dxa"/>
              <w:bottom w:w="30" w:type="dxa"/>
              <w:right w:w="0" w:type="dxa"/>
            </w:tcMar>
            <w:vAlign w:val="bottom"/>
            <w:hideMark/>
          </w:tcPr>
          <w:p w14:paraId="761F1738"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1CAC0A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4E4DB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0941E6"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331E04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702A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AE87BA" w14:textId="77777777" w:rsidR="00000000" w:rsidRDefault="00C1661D">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1599E575" w14:textId="77777777" w:rsidR="00000000" w:rsidRDefault="00C1661D">
            <w:pPr>
              <w:spacing w:after="100"/>
              <w:jc w:val="right"/>
              <w:rPr>
                <w:rFonts w:eastAsia="Times New Roman"/>
              </w:rPr>
            </w:pPr>
          </w:p>
        </w:tc>
        <w:tc>
          <w:tcPr>
            <w:tcW w:w="0" w:type="auto"/>
            <w:vAlign w:val="center"/>
            <w:hideMark/>
          </w:tcPr>
          <w:p w14:paraId="4C0468C9" w14:textId="77777777" w:rsidR="00000000" w:rsidRDefault="00C1661D">
            <w:pPr>
              <w:spacing w:after="100"/>
              <w:jc w:val="right"/>
              <w:rPr>
                <w:rFonts w:eastAsia="Times New Roman"/>
                <w:sz w:val="20"/>
                <w:szCs w:val="20"/>
              </w:rPr>
            </w:pPr>
          </w:p>
        </w:tc>
        <w:tc>
          <w:tcPr>
            <w:tcW w:w="0" w:type="auto"/>
            <w:vAlign w:val="center"/>
            <w:hideMark/>
          </w:tcPr>
          <w:p w14:paraId="6034B219" w14:textId="77777777" w:rsidR="00000000" w:rsidRDefault="00C1661D">
            <w:pPr>
              <w:spacing w:after="100"/>
              <w:rPr>
                <w:rFonts w:eastAsia="Times New Roman"/>
                <w:sz w:val="20"/>
                <w:szCs w:val="20"/>
              </w:rPr>
            </w:pPr>
          </w:p>
        </w:tc>
        <w:tc>
          <w:tcPr>
            <w:tcW w:w="0" w:type="auto"/>
            <w:gridSpan w:val="3"/>
            <w:vAlign w:val="center"/>
            <w:hideMark/>
          </w:tcPr>
          <w:p w14:paraId="60A14312" w14:textId="77777777" w:rsidR="00000000" w:rsidRDefault="00C1661D">
            <w:pPr>
              <w:spacing w:after="100"/>
              <w:rPr>
                <w:rFonts w:eastAsia="Times New Roman"/>
                <w:sz w:val="20"/>
                <w:szCs w:val="20"/>
              </w:rPr>
            </w:pPr>
          </w:p>
        </w:tc>
        <w:tc>
          <w:tcPr>
            <w:tcW w:w="0" w:type="auto"/>
            <w:gridSpan w:val="3"/>
            <w:vAlign w:val="center"/>
            <w:hideMark/>
          </w:tcPr>
          <w:p w14:paraId="2596E926" w14:textId="77777777" w:rsidR="00000000" w:rsidRDefault="00C1661D">
            <w:pPr>
              <w:spacing w:after="100"/>
              <w:rPr>
                <w:rFonts w:eastAsia="Times New Roman"/>
                <w:sz w:val="20"/>
                <w:szCs w:val="20"/>
              </w:rPr>
            </w:pPr>
          </w:p>
        </w:tc>
        <w:tc>
          <w:tcPr>
            <w:tcW w:w="0" w:type="auto"/>
            <w:gridSpan w:val="3"/>
            <w:vAlign w:val="center"/>
            <w:hideMark/>
          </w:tcPr>
          <w:p w14:paraId="297B27F4" w14:textId="77777777" w:rsidR="00000000" w:rsidRDefault="00C1661D">
            <w:pPr>
              <w:spacing w:after="100"/>
              <w:rPr>
                <w:rFonts w:eastAsia="Times New Roman"/>
                <w:sz w:val="20"/>
                <w:szCs w:val="20"/>
              </w:rPr>
            </w:pPr>
          </w:p>
        </w:tc>
        <w:tc>
          <w:tcPr>
            <w:tcW w:w="0" w:type="auto"/>
            <w:gridSpan w:val="3"/>
            <w:vAlign w:val="center"/>
            <w:hideMark/>
          </w:tcPr>
          <w:p w14:paraId="74B88A9D" w14:textId="77777777" w:rsidR="00000000" w:rsidRDefault="00C1661D">
            <w:pPr>
              <w:spacing w:after="100"/>
              <w:rPr>
                <w:rFonts w:eastAsia="Times New Roman"/>
                <w:sz w:val="20"/>
                <w:szCs w:val="20"/>
              </w:rPr>
            </w:pPr>
          </w:p>
        </w:tc>
      </w:tr>
      <w:tr w:rsidR="00000000" w14:paraId="7A8C628A" w14:textId="77777777">
        <w:trPr>
          <w:divId w:val="509758099"/>
        </w:trPr>
        <w:tc>
          <w:tcPr>
            <w:tcW w:w="0" w:type="auto"/>
            <w:gridSpan w:val="3"/>
            <w:vAlign w:val="center"/>
            <w:hideMark/>
          </w:tcPr>
          <w:p w14:paraId="3900BF61" w14:textId="77777777" w:rsidR="00000000" w:rsidRDefault="00C1661D">
            <w:pPr>
              <w:spacing w:after="100"/>
              <w:rPr>
                <w:rFonts w:eastAsia="Times New Roman"/>
                <w:sz w:val="20"/>
                <w:szCs w:val="20"/>
              </w:rPr>
            </w:pPr>
          </w:p>
        </w:tc>
        <w:tc>
          <w:tcPr>
            <w:tcW w:w="0" w:type="auto"/>
            <w:gridSpan w:val="3"/>
            <w:vAlign w:val="center"/>
            <w:hideMark/>
          </w:tcPr>
          <w:p w14:paraId="6CBAB178" w14:textId="77777777" w:rsidR="00000000" w:rsidRDefault="00C1661D">
            <w:pPr>
              <w:spacing w:after="100"/>
              <w:rPr>
                <w:rFonts w:eastAsia="Times New Roman"/>
                <w:sz w:val="20"/>
                <w:szCs w:val="20"/>
              </w:rPr>
            </w:pPr>
          </w:p>
        </w:tc>
        <w:tc>
          <w:tcPr>
            <w:tcW w:w="0" w:type="auto"/>
            <w:gridSpan w:val="3"/>
            <w:vAlign w:val="center"/>
            <w:hideMark/>
          </w:tcPr>
          <w:p w14:paraId="51374280" w14:textId="77777777" w:rsidR="00000000" w:rsidRDefault="00C1661D">
            <w:pPr>
              <w:spacing w:after="100"/>
              <w:rPr>
                <w:rFonts w:eastAsia="Times New Roman"/>
                <w:sz w:val="20"/>
                <w:szCs w:val="20"/>
              </w:rPr>
            </w:pPr>
          </w:p>
        </w:tc>
        <w:tc>
          <w:tcPr>
            <w:tcW w:w="0" w:type="auto"/>
            <w:gridSpan w:val="3"/>
            <w:vAlign w:val="center"/>
            <w:hideMark/>
          </w:tcPr>
          <w:p w14:paraId="4FFF16B8" w14:textId="77777777" w:rsidR="00000000" w:rsidRDefault="00C1661D">
            <w:pPr>
              <w:spacing w:after="100"/>
              <w:rPr>
                <w:rFonts w:eastAsia="Times New Roman"/>
                <w:sz w:val="20"/>
                <w:szCs w:val="20"/>
              </w:rPr>
            </w:pPr>
          </w:p>
        </w:tc>
        <w:tc>
          <w:tcPr>
            <w:tcW w:w="0" w:type="auto"/>
            <w:gridSpan w:val="3"/>
            <w:vAlign w:val="center"/>
            <w:hideMark/>
          </w:tcPr>
          <w:p w14:paraId="0817721B" w14:textId="77777777" w:rsidR="00000000" w:rsidRDefault="00C1661D">
            <w:pPr>
              <w:spacing w:after="100"/>
              <w:rPr>
                <w:rFonts w:eastAsia="Times New Roman"/>
                <w:sz w:val="20"/>
                <w:szCs w:val="20"/>
              </w:rPr>
            </w:pPr>
          </w:p>
        </w:tc>
        <w:tc>
          <w:tcPr>
            <w:tcW w:w="0" w:type="auto"/>
            <w:gridSpan w:val="3"/>
            <w:vAlign w:val="center"/>
            <w:hideMark/>
          </w:tcPr>
          <w:p w14:paraId="06812072" w14:textId="77777777" w:rsidR="00000000" w:rsidRDefault="00C1661D">
            <w:pPr>
              <w:spacing w:after="100"/>
              <w:rPr>
                <w:rFonts w:eastAsia="Times New Roman"/>
                <w:sz w:val="20"/>
                <w:szCs w:val="20"/>
              </w:rPr>
            </w:pPr>
          </w:p>
        </w:tc>
        <w:tc>
          <w:tcPr>
            <w:tcW w:w="0" w:type="auto"/>
            <w:vAlign w:val="center"/>
            <w:hideMark/>
          </w:tcPr>
          <w:p w14:paraId="22C67674" w14:textId="77777777" w:rsidR="00000000" w:rsidRDefault="00C1661D">
            <w:pPr>
              <w:spacing w:after="100"/>
              <w:rPr>
                <w:rFonts w:eastAsia="Times New Roman"/>
                <w:sz w:val="20"/>
                <w:szCs w:val="20"/>
              </w:rPr>
            </w:pPr>
          </w:p>
        </w:tc>
        <w:tc>
          <w:tcPr>
            <w:tcW w:w="0" w:type="auto"/>
            <w:vAlign w:val="center"/>
            <w:hideMark/>
          </w:tcPr>
          <w:p w14:paraId="32BB0D18" w14:textId="77777777" w:rsidR="00000000" w:rsidRDefault="00C1661D">
            <w:pPr>
              <w:spacing w:after="100"/>
              <w:rPr>
                <w:rFonts w:eastAsia="Times New Roman"/>
                <w:sz w:val="20"/>
                <w:szCs w:val="20"/>
              </w:rPr>
            </w:pPr>
          </w:p>
        </w:tc>
        <w:tc>
          <w:tcPr>
            <w:tcW w:w="0" w:type="auto"/>
            <w:gridSpan w:val="3"/>
            <w:vAlign w:val="center"/>
            <w:hideMark/>
          </w:tcPr>
          <w:p w14:paraId="4CF21A19" w14:textId="77777777" w:rsidR="00000000" w:rsidRDefault="00C1661D">
            <w:pPr>
              <w:spacing w:after="100"/>
              <w:rPr>
                <w:rFonts w:eastAsia="Times New Roman"/>
                <w:sz w:val="20"/>
                <w:szCs w:val="20"/>
              </w:rPr>
            </w:pPr>
          </w:p>
        </w:tc>
        <w:tc>
          <w:tcPr>
            <w:tcW w:w="0" w:type="auto"/>
            <w:gridSpan w:val="3"/>
            <w:vAlign w:val="center"/>
            <w:hideMark/>
          </w:tcPr>
          <w:p w14:paraId="7EE01CC0" w14:textId="77777777" w:rsidR="00000000" w:rsidRDefault="00C1661D">
            <w:pPr>
              <w:spacing w:after="100"/>
              <w:rPr>
                <w:rFonts w:eastAsia="Times New Roman"/>
                <w:sz w:val="20"/>
                <w:szCs w:val="20"/>
              </w:rPr>
            </w:pPr>
          </w:p>
        </w:tc>
        <w:tc>
          <w:tcPr>
            <w:tcW w:w="0" w:type="auto"/>
            <w:gridSpan w:val="3"/>
            <w:vAlign w:val="center"/>
            <w:hideMark/>
          </w:tcPr>
          <w:p w14:paraId="76BBF2A0" w14:textId="77777777" w:rsidR="00000000" w:rsidRDefault="00C1661D">
            <w:pPr>
              <w:spacing w:after="100"/>
              <w:rPr>
                <w:rFonts w:eastAsia="Times New Roman"/>
                <w:sz w:val="20"/>
                <w:szCs w:val="20"/>
              </w:rPr>
            </w:pPr>
          </w:p>
        </w:tc>
        <w:tc>
          <w:tcPr>
            <w:tcW w:w="0" w:type="auto"/>
            <w:gridSpan w:val="3"/>
            <w:vAlign w:val="center"/>
            <w:hideMark/>
          </w:tcPr>
          <w:p w14:paraId="2357CE27" w14:textId="77777777" w:rsidR="00000000" w:rsidRDefault="00C1661D">
            <w:pPr>
              <w:spacing w:after="100"/>
              <w:rPr>
                <w:rFonts w:eastAsia="Times New Roman"/>
                <w:sz w:val="20"/>
                <w:szCs w:val="20"/>
              </w:rPr>
            </w:pPr>
          </w:p>
        </w:tc>
      </w:tr>
      <w:tr w:rsidR="00000000" w14:paraId="01772FC0" w14:textId="77777777">
        <w:trPr>
          <w:divId w:val="509758099"/>
        </w:trPr>
        <w:tc>
          <w:tcPr>
            <w:tcW w:w="0" w:type="auto"/>
            <w:gridSpan w:val="3"/>
            <w:shd w:val="clear" w:color="auto" w:fill="CCEEFF"/>
            <w:tcMar>
              <w:top w:w="30" w:type="dxa"/>
              <w:left w:w="20" w:type="dxa"/>
              <w:bottom w:w="30" w:type="dxa"/>
              <w:right w:w="20" w:type="dxa"/>
            </w:tcMar>
            <w:vAlign w:val="bottom"/>
            <w:hideMark/>
          </w:tcPr>
          <w:p w14:paraId="76AD470F" w14:textId="77777777" w:rsidR="00000000" w:rsidRDefault="00C1661D">
            <w:pPr>
              <w:spacing w:after="100"/>
              <w:rPr>
                <w:rFonts w:eastAsia="Times New Roman"/>
              </w:rPr>
            </w:pPr>
            <w:r>
              <w:rPr>
                <w:rFonts w:eastAsia="Times New Roman"/>
                <w:color w:val="000000"/>
                <w:sz w:val="20"/>
                <w:szCs w:val="20"/>
              </w:rPr>
              <w:t>Amortization of:</w:t>
            </w:r>
          </w:p>
        </w:tc>
        <w:tc>
          <w:tcPr>
            <w:tcW w:w="0" w:type="auto"/>
            <w:gridSpan w:val="3"/>
            <w:shd w:val="clear" w:color="auto" w:fill="CCEEFF"/>
            <w:tcMar>
              <w:top w:w="0" w:type="dxa"/>
              <w:left w:w="20" w:type="dxa"/>
              <w:bottom w:w="0" w:type="dxa"/>
              <w:right w:w="20" w:type="dxa"/>
            </w:tcMar>
            <w:vAlign w:val="center"/>
            <w:hideMark/>
          </w:tcPr>
          <w:p w14:paraId="708BFF43"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CC8E1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73358F"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DA93C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650C0C" w14:textId="77777777" w:rsidR="00000000" w:rsidRDefault="00C1661D">
            <w:pPr>
              <w:spacing w:after="100"/>
              <w:rPr>
                <w:rFonts w:eastAsia="Times New Roman"/>
                <w:sz w:val="20"/>
                <w:szCs w:val="20"/>
              </w:rPr>
            </w:pPr>
          </w:p>
        </w:tc>
        <w:tc>
          <w:tcPr>
            <w:tcW w:w="0" w:type="auto"/>
            <w:vAlign w:val="center"/>
            <w:hideMark/>
          </w:tcPr>
          <w:p w14:paraId="188BE368" w14:textId="77777777" w:rsidR="00000000" w:rsidRDefault="00C1661D">
            <w:pPr>
              <w:spacing w:after="100"/>
              <w:rPr>
                <w:rFonts w:eastAsia="Times New Roman"/>
                <w:sz w:val="20"/>
                <w:szCs w:val="20"/>
              </w:rPr>
            </w:pPr>
          </w:p>
        </w:tc>
        <w:tc>
          <w:tcPr>
            <w:tcW w:w="0" w:type="auto"/>
            <w:vAlign w:val="center"/>
            <w:hideMark/>
          </w:tcPr>
          <w:p w14:paraId="499FC55A" w14:textId="77777777" w:rsidR="00000000" w:rsidRDefault="00C1661D">
            <w:pPr>
              <w:spacing w:after="100"/>
              <w:rPr>
                <w:rFonts w:eastAsia="Times New Roman"/>
                <w:sz w:val="20"/>
                <w:szCs w:val="20"/>
              </w:rPr>
            </w:pPr>
          </w:p>
        </w:tc>
        <w:tc>
          <w:tcPr>
            <w:tcW w:w="0" w:type="auto"/>
            <w:gridSpan w:val="3"/>
            <w:vAlign w:val="center"/>
            <w:hideMark/>
          </w:tcPr>
          <w:p w14:paraId="1162ECDB" w14:textId="77777777" w:rsidR="00000000" w:rsidRDefault="00C1661D">
            <w:pPr>
              <w:spacing w:after="100"/>
              <w:rPr>
                <w:rFonts w:eastAsia="Times New Roman"/>
                <w:sz w:val="20"/>
                <w:szCs w:val="20"/>
              </w:rPr>
            </w:pPr>
          </w:p>
        </w:tc>
        <w:tc>
          <w:tcPr>
            <w:tcW w:w="0" w:type="auto"/>
            <w:gridSpan w:val="3"/>
            <w:vAlign w:val="center"/>
            <w:hideMark/>
          </w:tcPr>
          <w:p w14:paraId="1B255B43" w14:textId="77777777" w:rsidR="00000000" w:rsidRDefault="00C1661D">
            <w:pPr>
              <w:spacing w:after="100"/>
              <w:rPr>
                <w:rFonts w:eastAsia="Times New Roman"/>
                <w:sz w:val="20"/>
                <w:szCs w:val="20"/>
              </w:rPr>
            </w:pPr>
          </w:p>
        </w:tc>
        <w:tc>
          <w:tcPr>
            <w:tcW w:w="0" w:type="auto"/>
            <w:gridSpan w:val="3"/>
            <w:vAlign w:val="center"/>
            <w:hideMark/>
          </w:tcPr>
          <w:p w14:paraId="032ADAAE" w14:textId="77777777" w:rsidR="00000000" w:rsidRDefault="00C1661D">
            <w:pPr>
              <w:spacing w:after="100"/>
              <w:rPr>
                <w:rFonts w:eastAsia="Times New Roman"/>
                <w:sz w:val="20"/>
                <w:szCs w:val="20"/>
              </w:rPr>
            </w:pPr>
          </w:p>
        </w:tc>
        <w:tc>
          <w:tcPr>
            <w:tcW w:w="0" w:type="auto"/>
            <w:gridSpan w:val="3"/>
            <w:vAlign w:val="center"/>
            <w:hideMark/>
          </w:tcPr>
          <w:p w14:paraId="1E1407AD" w14:textId="77777777" w:rsidR="00000000" w:rsidRDefault="00C1661D">
            <w:pPr>
              <w:spacing w:after="100"/>
              <w:rPr>
                <w:rFonts w:eastAsia="Times New Roman"/>
                <w:sz w:val="20"/>
                <w:szCs w:val="20"/>
              </w:rPr>
            </w:pPr>
          </w:p>
        </w:tc>
      </w:tr>
      <w:tr w:rsidR="00000000" w14:paraId="0F78C94A" w14:textId="77777777">
        <w:trPr>
          <w:divId w:val="509758099"/>
        </w:trPr>
        <w:tc>
          <w:tcPr>
            <w:tcW w:w="0" w:type="auto"/>
            <w:gridSpan w:val="3"/>
            <w:shd w:val="clear" w:color="auto" w:fill="FFFFFF"/>
            <w:tcMar>
              <w:top w:w="30" w:type="dxa"/>
              <w:left w:w="155" w:type="dxa"/>
              <w:bottom w:w="30" w:type="dxa"/>
              <w:right w:w="20" w:type="dxa"/>
            </w:tcMar>
            <w:vAlign w:val="bottom"/>
            <w:hideMark/>
          </w:tcPr>
          <w:p w14:paraId="546F9032" w14:textId="77777777" w:rsidR="00000000" w:rsidRDefault="00C1661D">
            <w:pPr>
              <w:spacing w:after="100"/>
              <w:rPr>
                <w:rFonts w:eastAsia="Times New Roman"/>
              </w:rPr>
            </w:pPr>
            <w:r>
              <w:rPr>
                <w:rFonts w:eastAsia="Times New Roman"/>
                <w:color w:val="000000"/>
                <w:sz w:val="20"/>
                <w:szCs w:val="20"/>
              </w:rPr>
              <w:t>Prior service cost</w:t>
            </w:r>
          </w:p>
        </w:tc>
        <w:tc>
          <w:tcPr>
            <w:tcW w:w="0" w:type="auto"/>
            <w:gridSpan w:val="2"/>
            <w:shd w:val="clear" w:color="auto" w:fill="FFFFFF"/>
            <w:tcMar>
              <w:top w:w="30" w:type="dxa"/>
              <w:left w:w="20" w:type="dxa"/>
              <w:bottom w:w="30" w:type="dxa"/>
              <w:right w:w="0" w:type="dxa"/>
            </w:tcMar>
            <w:vAlign w:val="bottom"/>
            <w:hideMark/>
          </w:tcPr>
          <w:p w14:paraId="56FBB7E3"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CA701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AAFB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72FFE1"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CF27C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35598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B95DD9" w14:textId="77777777" w:rsidR="00000000" w:rsidRDefault="00C1661D">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07522FB1" w14:textId="77777777" w:rsidR="00000000" w:rsidRDefault="00C1661D">
            <w:pPr>
              <w:spacing w:after="100"/>
              <w:jc w:val="right"/>
              <w:rPr>
                <w:rFonts w:eastAsia="Times New Roman"/>
              </w:rPr>
            </w:pPr>
          </w:p>
        </w:tc>
        <w:tc>
          <w:tcPr>
            <w:tcW w:w="0" w:type="auto"/>
            <w:vAlign w:val="center"/>
            <w:hideMark/>
          </w:tcPr>
          <w:p w14:paraId="76FC5551" w14:textId="77777777" w:rsidR="00000000" w:rsidRDefault="00C1661D">
            <w:pPr>
              <w:spacing w:after="100"/>
              <w:jc w:val="right"/>
              <w:rPr>
                <w:rFonts w:eastAsia="Times New Roman"/>
                <w:sz w:val="20"/>
                <w:szCs w:val="20"/>
              </w:rPr>
            </w:pPr>
          </w:p>
        </w:tc>
        <w:tc>
          <w:tcPr>
            <w:tcW w:w="0" w:type="auto"/>
            <w:vAlign w:val="center"/>
            <w:hideMark/>
          </w:tcPr>
          <w:p w14:paraId="4961F139" w14:textId="77777777" w:rsidR="00000000" w:rsidRDefault="00C1661D">
            <w:pPr>
              <w:spacing w:after="100"/>
              <w:rPr>
                <w:rFonts w:eastAsia="Times New Roman"/>
                <w:sz w:val="20"/>
                <w:szCs w:val="20"/>
              </w:rPr>
            </w:pPr>
          </w:p>
        </w:tc>
        <w:tc>
          <w:tcPr>
            <w:tcW w:w="0" w:type="auto"/>
            <w:gridSpan w:val="3"/>
            <w:vAlign w:val="center"/>
            <w:hideMark/>
          </w:tcPr>
          <w:p w14:paraId="4D6FE7A8" w14:textId="77777777" w:rsidR="00000000" w:rsidRDefault="00C1661D">
            <w:pPr>
              <w:spacing w:after="100"/>
              <w:rPr>
                <w:rFonts w:eastAsia="Times New Roman"/>
                <w:sz w:val="20"/>
                <w:szCs w:val="20"/>
              </w:rPr>
            </w:pPr>
          </w:p>
        </w:tc>
        <w:tc>
          <w:tcPr>
            <w:tcW w:w="0" w:type="auto"/>
            <w:gridSpan w:val="3"/>
            <w:vAlign w:val="center"/>
            <w:hideMark/>
          </w:tcPr>
          <w:p w14:paraId="5916EA9A" w14:textId="77777777" w:rsidR="00000000" w:rsidRDefault="00C1661D">
            <w:pPr>
              <w:spacing w:after="100"/>
              <w:rPr>
                <w:rFonts w:eastAsia="Times New Roman"/>
                <w:sz w:val="20"/>
                <w:szCs w:val="20"/>
              </w:rPr>
            </w:pPr>
          </w:p>
        </w:tc>
        <w:tc>
          <w:tcPr>
            <w:tcW w:w="0" w:type="auto"/>
            <w:gridSpan w:val="3"/>
            <w:vAlign w:val="center"/>
            <w:hideMark/>
          </w:tcPr>
          <w:p w14:paraId="5F32F63A" w14:textId="77777777" w:rsidR="00000000" w:rsidRDefault="00C1661D">
            <w:pPr>
              <w:spacing w:after="100"/>
              <w:rPr>
                <w:rFonts w:eastAsia="Times New Roman"/>
                <w:sz w:val="20"/>
                <w:szCs w:val="20"/>
              </w:rPr>
            </w:pPr>
          </w:p>
        </w:tc>
        <w:tc>
          <w:tcPr>
            <w:tcW w:w="0" w:type="auto"/>
            <w:gridSpan w:val="3"/>
            <w:vAlign w:val="center"/>
            <w:hideMark/>
          </w:tcPr>
          <w:p w14:paraId="411CF892" w14:textId="77777777" w:rsidR="00000000" w:rsidRDefault="00C1661D">
            <w:pPr>
              <w:spacing w:after="100"/>
              <w:rPr>
                <w:rFonts w:eastAsia="Times New Roman"/>
                <w:sz w:val="20"/>
                <w:szCs w:val="20"/>
              </w:rPr>
            </w:pPr>
          </w:p>
        </w:tc>
      </w:tr>
      <w:tr w:rsidR="00000000" w14:paraId="2E662E3B" w14:textId="77777777">
        <w:trPr>
          <w:divId w:val="509758099"/>
        </w:trPr>
        <w:tc>
          <w:tcPr>
            <w:tcW w:w="0" w:type="auto"/>
            <w:gridSpan w:val="3"/>
            <w:shd w:val="clear" w:color="auto" w:fill="CCEEFF"/>
            <w:tcMar>
              <w:top w:w="30" w:type="dxa"/>
              <w:left w:w="155" w:type="dxa"/>
              <w:bottom w:w="30" w:type="dxa"/>
              <w:right w:w="20" w:type="dxa"/>
            </w:tcMar>
            <w:vAlign w:val="bottom"/>
            <w:hideMark/>
          </w:tcPr>
          <w:p w14:paraId="27CEE3F7" w14:textId="77777777" w:rsidR="00000000" w:rsidRDefault="00C1661D">
            <w:pPr>
              <w:spacing w:after="100"/>
              <w:rPr>
                <w:rFonts w:eastAsia="Times New Roman"/>
              </w:rPr>
            </w:pPr>
            <w:r>
              <w:rPr>
                <w:rFonts w:eastAsia="Times New Roman"/>
                <w:color w:val="000000"/>
                <w:sz w:val="20"/>
                <w:szCs w:val="20"/>
              </w:rPr>
              <w:t>Actuarial loss</w:t>
            </w:r>
          </w:p>
        </w:tc>
        <w:tc>
          <w:tcPr>
            <w:tcW w:w="0" w:type="auto"/>
            <w:gridSpan w:val="2"/>
            <w:shd w:val="clear" w:color="auto" w:fill="CCEEFF"/>
            <w:tcMar>
              <w:top w:w="30" w:type="dxa"/>
              <w:left w:w="20" w:type="dxa"/>
              <w:bottom w:w="30" w:type="dxa"/>
              <w:right w:w="0" w:type="dxa"/>
            </w:tcMar>
            <w:vAlign w:val="bottom"/>
            <w:hideMark/>
          </w:tcPr>
          <w:p w14:paraId="470C4A87" w14:textId="77777777" w:rsidR="00000000" w:rsidRDefault="00C1661D">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3D94080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05502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E0F748" w14:textId="77777777" w:rsidR="00000000" w:rsidRDefault="00C1661D">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2A7B5C9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9C327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482996" w14:textId="77777777" w:rsidR="00000000" w:rsidRDefault="00C1661D">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63704817" w14:textId="77777777" w:rsidR="00000000" w:rsidRDefault="00C1661D">
            <w:pPr>
              <w:spacing w:after="100"/>
              <w:jc w:val="right"/>
              <w:rPr>
                <w:rFonts w:eastAsia="Times New Roman"/>
              </w:rPr>
            </w:pPr>
          </w:p>
        </w:tc>
        <w:tc>
          <w:tcPr>
            <w:tcW w:w="0" w:type="auto"/>
            <w:vAlign w:val="center"/>
            <w:hideMark/>
          </w:tcPr>
          <w:p w14:paraId="658A8A12" w14:textId="77777777" w:rsidR="00000000" w:rsidRDefault="00C1661D">
            <w:pPr>
              <w:spacing w:after="100"/>
              <w:jc w:val="right"/>
              <w:rPr>
                <w:rFonts w:eastAsia="Times New Roman"/>
                <w:sz w:val="20"/>
                <w:szCs w:val="20"/>
              </w:rPr>
            </w:pPr>
          </w:p>
        </w:tc>
        <w:tc>
          <w:tcPr>
            <w:tcW w:w="0" w:type="auto"/>
            <w:vAlign w:val="center"/>
            <w:hideMark/>
          </w:tcPr>
          <w:p w14:paraId="0EDFCE13" w14:textId="77777777" w:rsidR="00000000" w:rsidRDefault="00C1661D">
            <w:pPr>
              <w:spacing w:after="100"/>
              <w:rPr>
                <w:rFonts w:eastAsia="Times New Roman"/>
                <w:sz w:val="20"/>
                <w:szCs w:val="20"/>
              </w:rPr>
            </w:pPr>
          </w:p>
        </w:tc>
        <w:tc>
          <w:tcPr>
            <w:tcW w:w="0" w:type="auto"/>
            <w:gridSpan w:val="3"/>
            <w:vAlign w:val="center"/>
            <w:hideMark/>
          </w:tcPr>
          <w:p w14:paraId="3AF17A35" w14:textId="77777777" w:rsidR="00000000" w:rsidRDefault="00C1661D">
            <w:pPr>
              <w:spacing w:after="100"/>
              <w:rPr>
                <w:rFonts w:eastAsia="Times New Roman"/>
                <w:sz w:val="20"/>
                <w:szCs w:val="20"/>
              </w:rPr>
            </w:pPr>
          </w:p>
        </w:tc>
        <w:tc>
          <w:tcPr>
            <w:tcW w:w="0" w:type="auto"/>
            <w:gridSpan w:val="3"/>
            <w:vAlign w:val="center"/>
            <w:hideMark/>
          </w:tcPr>
          <w:p w14:paraId="5CEA0BC8" w14:textId="77777777" w:rsidR="00000000" w:rsidRDefault="00C1661D">
            <w:pPr>
              <w:spacing w:after="100"/>
              <w:rPr>
                <w:rFonts w:eastAsia="Times New Roman"/>
                <w:sz w:val="20"/>
                <w:szCs w:val="20"/>
              </w:rPr>
            </w:pPr>
          </w:p>
        </w:tc>
        <w:tc>
          <w:tcPr>
            <w:tcW w:w="0" w:type="auto"/>
            <w:gridSpan w:val="3"/>
            <w:vAlign w:val="center"/>
            <w:hideMark/>
          </w:tcPr>
          <w:p w14:paraId="19D2F144" w14:textId="77777777" w:rsidR="00000000" w:rsidRDefault="00C1661D">
            <w:pPr>
              <w:spacing w:after="100"/>
              <w:rPr>
                <w:rFonts w:eastAsia="Times New Roman"/>
                <w:sz w:val="20"/>
                <w:szCs w:val="20"/>
              </w:rPr>
            </w:pPr>
          </w:p>
        </w:tc>
        <w:tc>
          <w:tcPr>
            <w:tcW w:w="0" w:type="auto"/>
            <w:gridSpan w:val="3"/>
            <w:vAlign w:val="center"/>
            <w:hideMark/>
          </w:tcPr>
          <w:p w14:paraId="4C7E8FF9" w14:textId="77777777" w:rsidR="00000000" w:rsidRDefault="00C1661D">
            <w:pPr>
              <w:spacing w:after="100"/>
              <w:rPr>
                <w:rFonts w:eastAsia="Times New Roman"/>
                <w:sz w:val="20"/>
                <w:szCs w:val="20"/>
              </w:rPr>
            </w:pPr>
          </w:p>
        </w:tc>
      </w:tr>
      <w:tr w:rsidR="00000000" w14:paraId="7B5844CD" w14:textId="77777777">
        <w:trPr>
          <w:divId w:val="509758099"/>
        </w:trPr>
        <w:tc>
          <w:tcPr>
            <w:tcW w:w="0" w:type="auto"/>
            <w:gridSpan w:val="3"/>
            <w:vAlign w:val="center"/>
            <w:hideMark/>
          </w:tcPr>
          <w:p w14:paraId="2108610E" w14:textId="77777777" w:rsidR="00000000" w:rsidRDefault="00C1661D">
            <w:pPr>
              <w:spacing w:after="100"/>
              <w:rPr>
                <w:rFonts w:eastAsia="Times New Roman"/>
                <w:sz w:val="20"/>
                <w:szCs w:val="20"/>
              </w:rPr>
            </w:pPr>
          </w:p>
        </w:tc>
        <w:tc>
          <w:tcPr>
            <w:tcW w:w="0" w:type="auto"/>
            <w:gridSpan w:val="3"/>
            <w:vAlign w:val="center"/>
            <w:hideMark/>
          </w:tcPr>
          <w:p w14:paraId="598024D6" w14:textId="77777777" w:rsidR="00000000" w:rsidRDefault="00C1661D">
            <w:pPr>
              <w:spacing w:after="100"/>
              <w:rPr>
                <w:rFonts w:eastAsia="Times New Roman"/>
                <w:sz w:val="20"/>
                <w:szCs w:val="20"/>
              </w:rPr>
            </w:pPr>
          </w:p>
        </w:tc>
        <w:tc>
          <w:tcPr>
            <w:tcW w:w="0" w:type="auto"/>
            <w:gridSpan w:val="3"/>
            <w:vAlign w:val="center"/>
            <w:hideMark/>
          </w:tcPr>
          <w:p w14:paraId="2411FBE9" w14:textId="77777777" w:rsidR="00000000" w:rsidRDefault="00C1661D">
            <w:pPr>
              <w:spacing w:after="100"/>
              <w:rPr>
                <w:rFonts w:eastAsia="Times New Roman"/>
                <w:sz w:val="20"/>
                <w:szCs w:val="20"/>
              </w:rPr>
            </w:pPr>
          </w:p>
        </w:tc>
        <w:tc>
          <w:tcPr>
            <w:tcW w:w="0" w:type="auto"/>
            <w:gridSpan w:val="3"/>
            <w:vAlign w:val="center"/>
            <w:hideMark/>
          </w:tcPr>
          <w:p w14:paraId="60F9EF23" w14:textId="77777777" w:rsidR="00000000" w:rsidRDefault="00C1661D">
            <w:pPr>
              <w:spacing w:after="100"/>
              <w:rPr>
                <w:rFonts w:eastAsia="Times New Roman"/>
                <w:sz w:val="20"/>
                <w:szCs w:val="20"/>
              </w:rPr>
            </w:pPr>
          </w:p>
        </w:tc>
        <w:tc>
          <w:tcPr>
            <w:tcW w:w="0" w:type="auto"/>
            <w:gridSpan w:val="3"/>
            <w:vAlign w:val="center"/>
            <w:hideMark/>
          </w:tcPr>
          <w:p w14:paraId="6F57F538" w14:textId="77777777" w:rsidR="00000000" w:rsidRDefault="00C1661D">
            <w:pPr>
              <w:spacing w:after="100"/>
              <w:rPr>
                <w:rFonts w:eastAsia="Times New Roman"/>
                <w:sz w:val="20"/>
                <w:szCs w:val="20"/>
              </w:rPr>
            </w:pPr>
          </w:p>
        </w:tc>
        <w:tc>
          <w:tcPr>
            <w:tcW w:w="0" w:type="auto"/>
            <w:gridSpan w:val="3"/>
            <w:vAlign w:val="center"/>
            <w:hideMark/>
          </w:tcPr>
          <w:p w14:paraId="1C674794" w14:textId="77777777" w:rsidR="00000000" w:rsidRDefault="00C1661D">
            <w:pPr>
              <w:spacing w:after="100"/>
              <w:rPr>
                <w:rFonts w:eastAsia="Times New Roman"/>
                <w:sz w:val="20"/>
                <w:szCs w:val="20"/>
              </w:rPr>
            </w:pPr>
          </w:p>
        </w:tc>
        <w:tc>
          <w:tcPr>
            <w:tcW w:w="0" w:type="auto"/>
            <w:vAlign w:val="center"/>
            <w:hideMark/>
          </w:tcPr>
          <w:p w14:paraId="4131B156" w14:textId="77777777" w:rsidR="00000000" w:rsidRDefault="00C1661D">
            <w:pPr>
              <w:spacing w:after="100"/>
              <w:rPr>
                <w:rFonts w:eastAsia="Times New Roman"/>
                <w:sz w:val="20"/>
                <w:szCs w:val="20"/>
              </w:rPr>
            </w:pPr>
          </w:p>
        </w:tc>
        <w:tc>
          <w:tcPr>
            <w:tcW w:w="0" w:type="auto"/>
            <w:vAlign w:val="center"/>
            <w:hideMark/>
          </w:tcPr>
          <w:p w14:paraId="2A6D0F67" w14:textId="77777777" w:rsidR="00000000" w:rsidRDefault="00C1661D">
            <w:pPr>
              <w:spacing w:after="100"/>
              <w:rPr>
                <w:rFonts w:eastAsia="Times New Roman"/>
                <w:sz w:val="20"/>
                <w:szCs w:val="20"/>
              </w:rPr>
            </w:pPr>
          </w:p>
        </w:tc>
        <w:tc>
          <w:tcPr>
            <w:tcW w:w="0" w:type="auto"/>
            <w:gridSpan w:val="3"/>
            <w:vAlign w:val="center"/>
            <w:hideMark/>
          </w:tcPr>
          <w:p w14:paraId="34F4B01F" w14:textId="77777777" w:rsidR="00000000" w:rsidRDefault="00C1661D">
            <w:pPr>
              <w:spacing w:after="100"/>
              <w:rPr>
                <w:rFonts w:eastAsia="Times New Roman"/>
                <w:sz w:val="20"/>
                <w:szCs w:val="20"/>
              </w:rPr>
            </w:pPr>
          </w:p>
        </w:tc>
        <w:tc>
          <w:tcPr>
            <w:tcW w:w="0" w:type="auto"/>
            <w:gridSpan w:val="3"/>
            <w:vAlign w:val="center"/>
            <w:hideMark/>
          </w:tcPr>
          <w:p w14:paraId="2A15569A" w14:textId="77777777" w:rsidR="00000000" w:rsidRDefault="00C1661D">
            <w:pPr>
              <w:spacing w:after="100"/>
              <w:rPr>
                <w:rFonts w:eastAsia="Times New Roman"/>
                <w:sz w:val="20"/>
                <w:szCs w:val="20"/>
              </w:rPr>
            </w:pPr>
          </w:p>
        </w:tc>
        <w:tc>
          <w:tcPr>
            <w:tcW w:w="0" w:type="auto"/>
            <w:gridSpan w:val="3"/>
            <w:vAlign w:val="center"/>
            <w:hideMark/>
          </w:tcPr>
          <w:p w14:paraId="0FA81469" w14:textId="77777777" w:rsidR="00000000" w:rsidRDefault="00C1661D">
            <w:pPr>
              <w:spacing w:after="100"/>
              <w:rPr>
                <w:rFonts w:eastAsia="Times New Roman"/>
                <w:sz w:val="20"/>
                <w:szCs w:val="20"/>
              </w:rPr>
            </w:pPr>
          </w:p>
        </w:tc>
        <w:tc>
          <w:tcPr>
            <w:tcW w:w="0" w:type="auto"/>
            <w:gridSpan w:val="3"/>
            <w:vAlign w:val="center"/>
            <w:hideMark/>
          </w:tcPr>
          <w:p w14:paraId="3E23B80B" w14:textId="77777777" w:rsidR="00000000" w:rsidRDefault="00C1661D">
            <w:pPr>
              <w:spacing w:after="100"/>
              <w:rPr>
                <w:rFonts w:eastAsia="Times New Roman"/>
                <w:sz w:val="20"/>
                <w:szCs w:val="20"/>
              </w:rPr>
            </w:pPr>
          </w:p>
        </w:tc>
      </w:tr>
      <w:tr w:rsidR="00000000" w14:paraId="7756A536" w14:textId="77777777">
        <w:trPr>
          <w:divId w:val="509758099"/>
        </w:trPr>
        <w:tc>
          <w:tcPr>
            <w:tcW w:w="0" w:type="auto"/>
            <w:gridSpan w:val="3"/>
            <w:vAlign w:val="center"/>
            <w:hideMark/>
          </w:tcPr>
          <w:p w14:paraId="04545F44" w14:textId="77777777" w:rsidR="00000000" w:rsidRDefault="00C1661D">
            <w:pPr>
              <w:spacing w:after="100"/>
              <w:rPr>
                <w:rFonts w:eastAsia="Times New Roman"/>
                <w:sz w:val="20"/>
                <w:szCs w:val="20"/>
              </w:rPr>
            </w:pPr>
          </w:p>
        </w:tc>
        <w:tc>
          <w:tcPr>
            <w:tcW w:w="0" w:type="auto"/>
            <w:gridSpan w:val="3"/>
            <w:vAlign w:val="center"/>
            <w:hideMark/>
          </w:tcPr>
          <w:p w14:paraId="33D771AB" w14:textId="77777777" w:rsidR="00000000" w:rsidRDefault="00C1661D">
            <w:pPr>
              <w:spacing w:after="100"/>
              <w:rPr>
                <w:rFonts w:eastAsia="Times New Roman"/>
                <w:sz w:val="20"/>
                <w:szCs w:val="20"/>
              </w:rPr>
            </w:pPr>
          </w:p>
        </w:tc>
        <w:tc>
          <w:tcPr>
            <w:tcW w:w="0" w:type="auto"/>
            <w:gridSpan w:val="3"/>
            <w:vAlign w:val="center"/>
            <w:hideMark/>
          </w:tcPr>
          <w:p w14:paraId="6B308F46" w14:textId="77777777" w:rsidR="00000000" w:rsidRDefault="00C1661D">
            <w:pPr>
              <w:spacing w:after="100"/>
              <w:rPr>
                <w:rFonts w:eastAsia="Times New Roman"/>
                <w:sz w:val="20"/>
                <w:szCs w:val="20"/>
              </w:rPr>
            </w:pPr>
          </w:p>
        </w:tc>
        <w:tc>
          <w:tcPr>
            <w:tcW w:w="0" w:type="auto"/>
            <w:gridSpan w:val="3"/>
            <w:vAlign w:val="center"/>
            <w:hideMark/>
          </w:tcPr>
          <w:p w14:paraId="40F56EAF" w14:textId="77777777" w:rsidR="00000000" w:rsidRDefault="00C1661D">
            <w:pPr>
              <w:spacing w:after="100"/>
              <w:rPr>
                <w:rFonts w:eastAsia="Times New Roman"/>
                <w:sz w:val="20"/>
                <w:szCs w:val="20"/>
              </w:rPr>
            </w:pPr>
          </w:p>
        </w:tc>
        <w:tc>
          <w:tcPr>
            <w:tcW w:w="0" w:type="auto"/>
            <w:gridSpan w:val="3"/>
            <w:vAlign w:val="center"/>
            <w:hideMark/>
          </w:tcPr>
          <w:p w14:paraId="22A40BF7" w14:textId="77777777" w:rsidR="00000000" w:rsidRDefault="00C1661D">
            <w:pPr>
              <w:spacing w:after="100"/>
              <w:rPr>
                <w:rFonts w:eastAsia="Times New Roman"/>
                <w:sz w:val="20"/>
                <w:szCs w:val="20"/>
              </w:rPr>
            </w:pPr>
          </w:p>
        </w:tc>
        <w:tc>
          <w:tcPr>
            <w:tcW w:w="0" w:type="auto"/>
            <w:gridSpan w:val="3"/>
            <w:vAlign w:val="center"/>
            <w:hideMark/>
          </w:tcPr>
          <w:p w14:paraId="0A6BB4C9" w14:textId="77777777" w:rsidR="00000000" w:rsidRDefault="00C1661D">
            <w:pPr>
              <w:spacing w:after="100"/>
              <w:rPr>
                <w:rFonts w:eastAsia="Times New Roman"/>
                <w:sz w:val="20"/>
                <w:szCs w:val="20"/>
              </w:rPr>
            </w:pPr>
          </w:p>
        </w:tc>
        <w:tc>
          <w:tcPr>
            <w:tcW w:w="0" w:type="auto"/>
            <w:vAlign w:val="center"/>
            <w:hideMark/>
          </w:tcPr>
          <w:p w14:paraId="61034362" w14:textId="77777777" w:rsidR="00000000" w:rsidRDefault="00C1661D">
            <w:pPr>
              <w:spacing w:after="100"/>
              <w:rPr>
                <w:rFonts w:eastAsia="Times New Roman"/>
                <w:sz w:val="20"/>
                <w:szCs w:val="20"/>
              </w:rPr>
            </w:pPr>
          </w:p>
        </w:tc>
        <w:tc>
          <w:tcPr>
            <w:tcW w:w="0" w:type="auto"/>
            <w:vAlign w:val="center"/>
            <w:hideMark/>
          </w:tcPr>
          <w:p w14:paraId="553CE190" w14:textId="77777777" w:rsidR="00000000" w:rsidRDefault="00C1661D">
            <w:pPr>
              <w:spacing w:after="100"/>
              <w:rPr>
                <w:rFonts w:eastAsia="Times New Roman"/>
                <w:sz w:val="20"/>
                <w:szCs w:val="20"/>
              </w:rPr>
            </w:pPr>
          </w:p>
        </w:tc>
        <w:tc>
          <w:tcPr>
            <w:tcW w:w="0" w:type="auto"/>
            <w:gridSpan w:val="3"/>
            <w:vAlign w:val="center"/>
            <w:hideMark/>
          </w:tcPr>
          <w:p w14:paraId="1BA63EC9" w14:textId="77777777" w:rsidR="00000000" w:rsidRDefault="00C1661D">
            <w:pPr>
              <w:spacing w:after="100"/>
              <w:rPr>
                <w:rFonts w:eastAsia="Times New Roman"/>
                <w:sz w:val="20"/>
                <w:szCs w:val="20"/>
              </w:rPr>
            </w:pPr>
          </w:p>
        </w:tc>
        <w:tc>
          <w:tcPr>
            <w:tcW w:w="0" w:type="auto"/>
            <w:gridSpan w:val="3"/>
            <w:vAlign w:val="center"/>
            <w:hideMark/>
          </w:tcPr>
          <w:p w14:paraId="53C366F5" w14:textId="77777777" w:rsidR="00000000" w:rsidRDefault="00C1661D">
            <w:pPr>
              <w:spacing w:after="100"/>
              <w:rPr>
                <w:rFonts w:eastAsia="Times New Roman"/>
                <w:sz w:val="20"/>
                <w:szCs w:val="20"/>
              </w:rPr>
            </w:pPr>
          </w:p>
        </w:tc>
        <w:tc>
          <w:tcPr>
            <w:tcW w:w="0" w:type="auto"/>
            <w:gridSpan w:val="3"/>
            <w:vAlign w:val="center"/>
            <w:hideMark/>
          </w:tcPr>
          <w:p w14:paraId="0A5198DA" w14:textId="77777777" w:rsidR="00000000" w:rsidRDefault="00C1661D">
            <w:pPr>
              <w:spacing w:after="100"/>
              <w:rPr>
                <w:rFonts w:eastAsia="Times New Roman"/>
                <w:sz w:val="20"/>
                <w:szCs w:val="20"/>
              </w:rPr>
            </w:pPr>
          </w:p>
        </w:tc>
        <w:tc>
          <w:tcPr>
            <w:tcW w:w="0" w:type="auto"/>
            <w:gridSpan w:val="3"/>
            <w:vAlign w:val="center"/>
            <w:hideMark/>
          </w:tcPr>
          <w:p w14:paraId="7761A07C" w14:textId="77777777" w:rsidR="00000000" w:rsidRDefault="00C1661D">
            <w:pPr>
              <w:spacing w:after="100"/>
              <w:rPr>
                <w:rFonts w:eastAsia="Times New Roman"/>
                <w:sz w:val="20"/>
                <w:szCs w:val="20"/>
              </w:rPr>
            </w:pPr>
          </w:p>
        </w:tc>
      </w:tr>
      <w:tr w:rsidR="00000000" w14:paraId="6245DD7F" w14:textId="77777777">
        <w:trPr>
          <w:divId w:val="509758099"/>
        </w:trPr>
        <w:tc>
          <w:tcPr>
            <w:tcW w:w="0" w:type="auto"/>
            <w:gridSpan w:val="3"/>
            <w:shd w:val="clear" w:color="auto" w:fill="FFFFFF"/>
            <w:tcMar>
              <w:top w:w="30" w:type="dxa"/>
              <w:left w:w="20" w:type="dxa"/>
              <w:bottom w:w="30" w:type="dxa"/>
              <w:right w:w="20" w:type="dxa"/>
            </w:tcMar>
            <w:vAlign w:val="bottom"/>
            <w:hideMark/>
          </w:tcPr>
          <w:p w14:paraId="520D05AC" w14:textId="77777777" w:rsidR="00000000" w:rsidRDefault="00C1661D">
            <w:pPr>
              <w:spacing w:after="100"/>
              <w:rPr>
                <w:rFonts w:eastAsia="Times New Roman"/>
              </w:rPr>
            </w:pPr>
            <w:r>
              <w:rPr>
                <w:rFonts w:eastAsia="Times New Roman"/>
                <w:color w:val="000000"/>
                <w:sz w:val="20"/>
                <w:szCs w:val="20"/>
              </w:rPr>
              <w:t>Net benefit (income)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9F777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B70437" w14:textId="77777777" w:rsidR="00000000" w:rsidRDefault="00C1661D">
            <w:pPr>
              <w:spacing w:after="100"/>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29B91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DFAEB"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80149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A2AB37" w14:textId="77777777" w:rsidR="00000000" w:rsidRDefault="00C1661D">
            <w:pPr>
              <w:spacing w:after="100"/>
              <w:jc w:val="right"/>
              <w:rPr>
                <w:rFonts w:eastAsia="Times New Roman"/>
              </w:rPr>
            </w:pPr>
            <w:r>
              <w:rPr>
                <w:rFonts w:eastAsia="Times New Roman"/>
                <w:color w:val="000000"/>
                <w:sz w:val="20"/>
                <w:szCs w:val="20"/>
              </w:rPr>
              <w:t>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8F25F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0250F"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8A905C"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BD0E013" w14:textId="77777777" w:rsidR="00000000" w:rsidRDefault="00C1661D">
            <w:pPr>
              <w:spacing w:after="100"/>
              <w:jc w:val="right"/>
              <w:rPr>
                <w:rFonts w:eastAsia="Times New Roman"/>
              </w:rPr>
            </w:pPr>
            <w:r>
              <w:rPr>
                <w:rFonts w:eastAsia="Times New Roman"/>
                <w:color w:val="000000"/>
                <w:sz w:val="20"/>
                <w:szCs w:val="20"/>
              </w:rPr>
              <w:t>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31441F" w14:textId="77777777" w:rsidR="00000000" w:rsidRDefault="00C1661D">
            <w:pPr>
              <w:spacing w:after="100"/>
              <w:jc w:val="right"/>
              <w:rPr>
                <w:rFonts w:eastAsia="Times New Roman"/>
              </w:rPr>
            </w:pPr>
          </w:p>
        </w:tc>
        <w:tc>
          <w:tcPr>
            <w:tcW w:w="0" w:type="auto"/>
            <w:vAlign w:val="center"/>
            <w:hideMark/>
          </w:tcPr>
          <w:p w14:paraId="580F1F9E" w14:textId="77777777" w:rsidR="00000000" w:rsidRDefault="00C1661D">
            <w:pPr>
              <w:spacing w:after="100"/>
              <w:jc w:val="right"/>
              <w:rPr>
                <w:rFonts w:eastAsia="Times New Roman"/>
                <w:sz w:val="20"/>
                <w:szCs w:val="20"/>
              </w:rPr>
            </w:pPr>
          </w:p>
        </w:tc>
        <w:tc>
          <w:tcPr>
            <w:tcW w:w="0" w:type="auto"/>
            <w:vAlign w:val="center"/>
            <w:hideMark/>
          </w:tcPr>
          <w:p w14:paraId="573CDFBE" w14:textId="77777777" w:rsidR="00000000" w:rsidRDefault="00C1661D">
            <w:pPr>
              <w:spacing w:after="100"/>
              <w:rPr>
                <w:rFonts w:eastAsia="Times New Roman"/>
                <w:sz w:val="20"/>
                <w:szCs w:val="20"/>
              </w:rPr>
            </w:pPr>
          </w:p>
        </w:tc>
        <w:tc>
          <w:tcPr>
            <w:tcW w:w="0" w:type="auto"/>
            <w:gridSpan w:val="3"/>
            <w:vAlign w:val="center"/>
            <w:hideMark/>
          </w:tcPr>
          <w:p w14:paraId="556052B7" w14:textId="77777777" w:rsidR="00000000" w:rsidRDefault="00C1661D">
            <w:pPr>
              <w:spacing w:after="100"/>
              <w:rPr>
                <w:rFonts w:eastAsia="Times New Roman"/>
                <w:sz w:val="20"/>
                <w:szCs w:val="20"/>
              </w:rPr>
            </w:pPr>
          </w:p>
        </w:tc>
        <w:tc>
          <w:tcPr>
            <w:tcW w:w="0" w:type="auto"/>
            <w:gridSpan w:val="3"/>
            <w:vAlign w:val="center"/>
            <w:hideMark/>
          </w:tcPr>
          <w:p w14:paraId="6B521663" w14:textId="77777777" w:rsidR="00000000" w:rsidRDefault="00C1661D">
            <w:pPr>
              <w:spacing w:after="100"/>
              <w:rPr>
                <w:rFonts w:eastAsia="Times New Roman"/>
                <w:sz w:val="20"/>
                <w:szCs w:val="20"/>
              </w:rPr>
            </w:pPr>
          </w:p>
        </w:tc>
        <w:tc>
          <w:tcPr>
            <w:tcW w:w="0" w:type="auto"/>
            <w:gridSpan w:val="3"/>
            <w:vAlign w:val="center"/>
            <w:hideMark/>
          </w:tcPr>
          <w:p w14:paraId="4731C0FC" w14:textId="77777777" w:rsidR="00000000" w:rsidRDefault="00C1661D">
            <w:pPr>
              <w:spacing w:after="100"/>
              <w:rPr>
                <w:rFonts w:eastAsia="Times New Roman"/>
                <w:sz w:val="20"/>
                <w:szCs w:val="20"/>
              </w:rPr>
            </w:pPr>
          </w:p>
        </w:tc>
        <w:tc>
          <w:tcPr>
            <w:tcW w:w="0" w:type="auto"/>
            <w:gridSpan w:val="3"/>
            <w:vAlign w:val="center"/>
            <w:hideMark/>
          </w:tcPr>
          <w:p w14:paraId="5AC56879" w14:textId="77777777" w:rsidR="00000000" w:rsidRDefault="00C1661D">
            <w:pPr>
              <w:spacing w:after="100"/>
              <w:rPr>
                <w:rFonts w:eastAsia="Times New Roman"/>
                <w:sz w:val="20"/>
                <w:szCs w:val="20"/>
              </w:rPr>
            </w:pPr>
          </w:p>
        </w:tc>
      </w:tr>
    </w:tbl>
    <w:p w14:paraId="2D4F2E6D" w14:textId="77777777" w:rsidR="00000000" w:rsidRDefault="00C1661D">
      <w:pPr>
        <w:divId w:val="380593248"/>
        <w:rPr>
          <w:rFonts w:eastAsia="Times New Roman"/>
        </w:rPr>
      </w:pPr>
    </w:p>
    <w:p w14:paraId="51B4C48B" w14:textId="77777777" w:rsidR="00000000" w:rsidRDefault="00C1661D">
      <w:pPr>
        <w:jc w:val="both"/>
        <w:rPr>
          <w:rFonts w:eastAsia="Times New Roman"/>
        </w:rPr>
      </w:pPr>
      <w:r>
        <w:rPr>
          <w:rFonts w:eastAsia="Times New Roman"/>
          <w:color w:val="000000"/>
          <w:sz w:val="20"/>
          <w:szCs w:val="20"/>
        </w:rPr>
        <w:t xml:space="preserve">It is our general policy to fund amounts for U.S. Pension Plans benefits equal to at least the minimum required contribution set forth in applicable employee benefit laws. From time to time, we may, at our discretion, contribute additional amounts. During </w:t>
      </w:r>
      <w:r>
        <w:rPr>
          <w:rFonts w:eastAsia="Times New Roman"/>
          <w:color w:val="000000"/>
          <w:sz w:val="20"/>
          <w:szCs w:val="20"/>
        </w:rPr>
        <w:t>Fiscal 2022, Fiscal 2021 and Fiscal 2020, we made cash contributions to the U.S. Pension Plans of $14, $13 and $13, respectively. The minimum required contributions in Fiscal 2023 are not expected to be material.</w:t>
      </w:r>
    </w:p>
    <w:p w14:paraId="1EE4E423" w14:textId="77777777" w:rsidR="00000000" w:rsidRDefault="00C1661D">
      <w:pPr>
        <w:jc w:val="both"/>
        <w:divId w:val="1434983644"/>
        <w:rPr>
          <w:rFonts w:eastAsia="Times New Roman"/>
        </w:rPr>
      </w:pPr>
      <w:r>
        <w:rPr>
          <w:rFonts w:eastAsia="Times New Roman"/>
          <w:color w:val="000000"/>
          <w:sz w:val="20"/>
          <w:szCs w:val="20"/>
        </w:rPr>
        <w:t xml:space="preserve">UGI Utilities has established a VEBA trust </w:t>
      </w:r>
      <w:r>
        <w:rPr>
          <w:rFonts w:eastAsia="Times New Roman"/>
          <w:color w:val="000000"/>
          <w:sz w:val="20"/>
          <w:szCs w:val="20"/>
        </w:rPr>
        <w:t>to pay certain retiree health care and life insurance benefits by depositing into the VEBA the annual amount of postretirement benefits costs, if any. Assets associated with the VEBA are not material and we do not expect to be required to make any contribu</w:t>
      </w:r>
      <w:r>
        <w:rPr>
          <w:rFonts w:eastAsia="Times New Roman"/>
          <w:color w:val="000000"/>
          <w:sz w:val="20"/>
          <w:szCs w:val="20"/>
        </w:rPr>
        <w:t>tions to the VEBA during Fiscal 2023.</w:t>
      </w:r>
    </w:p>
    <w:p w14:paraId="4E10CBCF" w14:textId="77777777" w:rsidR="00000000" w:rsidRDefault="00C1661D">
      <w:pPr>
        <w:jc w:val="both"/>
        <w:divId w:val="1002855528"/>
        <w:rPr>
          <w:rFonts w:eastAsia="Times New Roman"/>
        </w:rPr>
      </w:pPr>
      <w:r>
        <w:rPr>
          <w:rFonts w:eastAsia="Times New Roman"/>
          <w:color w:val="000000"/>
          <w:sz w:val="20"/>
          <w:szCs w:val="20"/>
        </w:rPr>
        <w:t>Expected payments for postretirement benefits over the next 10 years are not material. Expected payments for pension benefits are as follows:</w:t>
      </w:r>
    </w:p>
    <w:tbl>
      <w:tblPr>
        <w:tblW w:w="5000" w:type="pct"/>
        <w:tblCellMar>
          <w:top w:w="15" w:type="dxa"/>
          <w:left w:w="15" w:type="dxa"/>
          <w:bottom w:w="15" w:type="dxa"/>
          <w:right w:w="15" w:type="dxa"/>
        </w:tblCellMar>
        <w:tblLook w:val="04A0" w:firstRow="1" w:lastRow="0" w:firstColumn="1" w:lastColumn="0" w:noHBand="0" w:noVBand="1"/>
      </w:tblPr>
      <w:tblGrid>
        <w:gridCol w:w="51"/>
        <w:gridCol w:w="6993"/>
        <w:gridCol w:w="36"/>
        <w:gridCol w:w="121"/>
        <w:gridCol w:w="997"/>
        <w:gridCol w:w="36"/>
        <w:gridCol w:w="36"/>
        <w:gridCol w:w="36"/>
      </w:tblGrid>
      <w:tr w:rsidR="00000000" w14:paraId="553EFA21" w14:textId="77777777">
        <w:trPr>
          <w:divId w:val="45490052"/>
        </w:trPr>
        <w:tc>
          <w:tcPr>
            <w:tcW w:w="50" w:type="pct"/>
            <w:vAlign w:val="center"/>
            <w:hideMark/>
          </w:tcPr>
          <w:p w14:paraId="7567ADC5" w14:textId="77777777" w:rsidR="00000000" w:rsidRDefault="00C1661D">
            <w:pPr>
              <w:jc w:val="both"/>
              <w:rPr>
                <w:rFonts w:eastAsia="Times New Roman"/>
              </w:rPr>
            </w:pPr>
          </w:p>
        </w:tc>
        <w:tc>
          <w:tcPr>
            <w:tcW w:w="4265" w:type="pct"/>
            <w:vAlign w:val="center"/>
            <w:hideMark/>
          </w:tcPr>
          <w:p w14:paraId="25825C26" w14:textId="77777777" w:rsidR="00000000" w:rsidRDefault="00C1661D">
            <w:pPr>
              <w:spacing w:after="100"/>
              <w:rPr>
                <w:rFonts w:eastAsia="Times New Roman"/>
                <w:sz w:val="20"/>
                <w:szCs w:val="20"/>
              </w:rPr>
            </w:pPr>
          </w:p>
        </w:tc>
        <w:tc>
          <w:tcPr>
            <w:tcW w:w="5" w:type="pct"/>
            <w:vAlign w:val="center"/>
            <w:hideMark/>
          </w:tcPr>
          <w:p w14:paraId="1515E1C5" w14:textId="77777777" w:rsidR="00000000" w:rsidRDefault="00C1661D">
            <w:pPr>
              <w:spacing w:after="100"/>
              <w:rPr>
                <w:rFonts w:eastAsia="Times New Roman"/>
                <w:sz w:val="20"/>
                <w:szCs w:val="20"/>
              </w:rPr>
            </w:pPr>
          </w:p>
        </w:tc>
        <w:tc>
          <w:tcPr>
            <w:tcW w:w="50" w:type="pct"/>
            <w:vAlign w:val="center"/>
            <w:hideMark/>
          </w:tcPr>
          <w:p w14:paraId="0382EC61" w14:textId="77777777" w:rsidR="00000000" w:rsidRDefault="00C1661D">
            <w:pPr>
              <w:spacing w:after="100"/>
              <w:rPr>
                <w:rFonts w:eastAsia="Times New Roman"/>
                <w:sz w:val="20"/>
                <w:szCs w:val="20"/>
              </w:rPr>
            </w:pPr>
          </w:p>
        </w:tc>
        <w:tc>
          <w:tcPr>
            <w:tcW w:w="624" w:type="pct"/>
            <w:vAlign w:val="center"/>
            <w:hideMark/>
          </w:tcPr>
          <w:p w14:paraId="50B3065A" w14:textId="77777777" w:rsidR="00000000" w:rsidRDefault="00C1661D">
            <w:pPr>
              <w:spacing w:after="100"/>
              <w:rPr>
                <w:rFonts w:eastAsia="Times New Roman"/>
                <w:sz w:val="20"/>
                <w:szCs w:val="20"/>
              </w:rPr>
            </w:pPr>
          </w:p>
        </w:tc>
        <w:tc>
          <w:tcPr>
            <w:tcW w:w="5" w:type="pct"/>
            <w:vAlign w:val="center"/>
            <w:hideMark/>
          </w:tcPr>
          <w:p w14:paraId="7F077E9D" w14:textId="77777777" w:rsidR="00000000" w:rsidRDefault="00C1661D">
            <w:pPr>
              <w:spacing w:after="100"/>
              <w:rPr>
                <w:rFonts w:eastAsia="Times New Roman"/>
                <w:sz w:val="20"/>
                <w:szCs w:val="20"/>
              </w:rPr>
            </w:pPr>
          </w:p>
        </w:tc>
        <w:tc>
          <w:tcPr>
            <w:tcW w:w="0" w:type="auto"/>
            <w:vAlign w:val="center"/>
            <w:hideMark/>
          </w:tcPr>
          <w:p w14:paraId="5D9137A8" w14:textId="77777777" w:rsidR="00000000" w:rsidRDefault="00C1661D">
            <w:pPr>
              <w:spacing w:after="100"/>
              <w:rPr>
                <w:rFonts w:eastAsia="Times New Roman"/>
                <w:sz w:val="20"/>
                <w:szCs w:val="20"/>
              </w:rPr>
            </w:pPr>
          </w:p>
        </w:tc>
        <w:tc>
          <w:tcPr>
            <w:tcW w:w="0" w:type="auto"/>
            <w:vAlign w:val="center"/>
            <w:hideMark/>
          </w:tcPr>
          <w:p w14:paraId="27111428" w14:textId="77777777" w:rsidR="00000000" w:rsidRDefault="00C1661D">
            <w:pPr>
              <w:spacing w:after="100"/>
              <w:rPr>
                <w:rFonts w:eastAsia="Times New Roman"/>
                <w:sz w:val="20"/>
                <w:szCs w:val="20"/>
              </w:rPr>
            </w:pPr>
          </w:p>
        </w:tc>
      </w:tr>
      <w:tr w:rsidR="00000000" w14:paraId="4AA38CB6" w14:textId="77777777">
        <w:trPr>
          <w:divId w:val="45490052"/>
        </w:trPr>
        <w:tc>
          <w:tcPr>
            <w:tcW w:w="0" w:type="auto"/>
            <w:gridSpan w:val="3"/>
            <w:tcMar>
              <w:top w:w="0" w:type="dxa"/>
              <w:left w:w="20" w:type="dxa"/>
              <w:bottom w:w="0" w:type="dxa"/>
              <w:right w:w="20" w:type="dxa"/>
            </w:tcMar>
            <w:vAlign w:val="center"/>
            <w:hideMark/>
          </w:tcPr>
          <w:p w14:paraId="6C0E9548"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681EE6F" w14:textId="77777777" w:rsidR="00000000" w:rsidRDefault="00C1661D">
            <w:pPr>
              <w:spacing w:after="100"/>
              <w:jc w:val="center"/>
              <w:rPr>
                <w:rFonts w:eastAsia="Times New Roman"/>
              </w:rPr>
            </w:pPr>
            <w:r>
              <w:rPr>
                <w:rFonts w:eastAsia="Times New Roman"/>
                <w:color w:val="000000"/>
                <w:sz w:val="20"/>
                <w:szCs w:val="20"/>
              </w:rPr>
              <w:t>Pension</w:t>
            </w:r>
            <w:r>
              <w:rPr>
                <w:rFonts w:eastAsia="Times New Roman"/>
                <w:color w:val="000000"/>
                <w:sz w:val="20"/>
                <w:szCs w:val="20"/>
              </w:rPr>
              <w:br/>
              <w:t>Benefits</w:t>
            </w:r>
          </w:p>
        </w:tc>
        <w:tc>
          <w:tcPr>
            <w:tcW w:w="0" w:type="auto"/>
            <w:vAlign w:val="center"/>
            <w:hideMark/>
          </w:tcPr>
          <w:p w14:paraId="41A4D4CB" w14:textId="77777777" w:rsidR="00000000" w:rsidRDefault="00C1661D">
            <w:pPr>
              <w:spacing w:after="100"/>
              <w:jc w:val="center"/>
              <w:rPr>
                <w:rFonts w:eastAsia="Times New Roman"/>
              </w:rPr>
            </w:pPr>
          </w:p>
        </w:tc>
        <w:tc>
          <w:tcPr>
            <w:tcW w:w="0" w:type="auto"/>
            <w:vAlign w:val="center"/>
            <w:hideMark/>
          </w:tcPr>
          <w:p w14:paraId="6B8439A0" w14:textId="77777777" w:rsidR="00000000" w:rsidRDefault="00C1661D">
            <w:pPr>
              <w:spacing w:after="100"/>
              <w:rPr>
                <w:rFonts w:eastAsia="Times New Roman"/>
                <w:sz w:val="20"/>
                <w:szCs w:val="20"/>
              </w:rPr>
            </w:pPr>
          </w:p>
        </w:tc>
      </w:tr>
      <w:tr w:rsidR="00000000" w14:paraId="1F4608DA" w14:textId="77777777">
        <w:trPr>
          <w:divId w:val="45490052"/>
        </w:trPr>
        <w:tc>
          <w:tcPr>
            <w:tcW w:w="0" w:type="auto"/>
            <w:gridSpan w:val="3"/>
            <w:shd w:val="clear" w:color="auto" w:fill="CCEEFF"/>
            <w:tcMar>
              <w:top w:w="30" w:type="dxa"/>
              <w:left w:w="20" w:type="dxa"/>
              <w:bottom w:w="30" w:type="dxa"/>
              <w:right w:w="20" w:type="dxa"/>
            </w:tcMar>
            <w:vAlign w:val="bottom"/>
            <w:hideMark/>
          </w:tcPr>
          <w:p w14:paraId="7F59F702" w14:textId="77777777" w:rsidR="00000000" w:rsidRDefault="00C1661D">
            <w:pPr>
              <w:spacing w:after="100"/>
              <w:rPr>
                <w:rFonts w:eastAsia="Times New Roman"/>
              </w:rPr>
            </w:pPr>
            <w:r>
              <w:rPr>
                <w:rFonts w:eastAsia="Times New Roman"/>
                <w:color w:val="000000"/>
                <w:sz w:val="20"/>
                <w:szCs w:val="20"/>
              </w:rPr>
              <w:t>Fiscal 2023</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66003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22F475" w14:textId="77777777" w:rsidR="00000000" w:rsidRDefault="00C1661D">
            <w:pPr>
              <w:spacing w:after="100"/>
              <w:jc w:val="right"/>
              <w:rPr>
                <w:rFonts w:eastAsia="Times New Roman"/>
              </w:rPr>
            </w:pPr>
            <w:r>
              <w:rPr>
                <w:rFonts w:eastAsia="Times New Roman"/>
                <w:color w:val="000000"/>
                <w:sz w:val="20"/>
                <w:szCs w:val="20"/>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08E200" w14:textId="77777777" w:rsidR="00000000" w:rsidRDefault="00C1661D">
            <w:pPr>
              <w:spacing w:after="100"/>
              <w:jc w:val="right"/>
              <w:rPr>
                <w:rFonts w:eastAsia="Times New Roman"/>
              </w:rPr>
            </w:pPr>
          </w:p>
        </w:tc>
        <w:tc>
          <w:tcPr>
            <w:tcW w:w="0" w:type="auto"/>
            <w:vAlign w:val="center"/>
            <w:hideMark/>
          </w:tcPr>
          <w:p w14:paraId="08D30E5E" w14:textId="77777777" w:rsidR="00000000" w:rsidRDefault="00C1661D">
            <w:pPr>
              <w:spacing w:after="100"/>
              <w:jc w:val="right"/>
              <w:rPr>
                <w:rFonts w:eastAsia="Times New Roman"/>
                <w:sz w:val="20"/>
                <w:szCs w:val="20"/>
              </w:rPr>
            </w:pPr>
          </w:p>
        </w:tc>
        <w:tc>
          <w:tcPr>
            <w:tcW w:w="0" w:type="auto"/>
            <w:vAlign w:val="center"/>
            <w:hideMark/>
          </w:tcPr>
          <w:p w14:paraId="23DAE313" w14:textId="77777777" w:rsidR="00000000" w:rsidRDefault="00C1661D">
            <w:pPr>
              <w:spacing w:after="100"/>
              <w:rPr>
                <w:rFonts w:eastAsia="Times New Roman"/>
                <w:sz w:val="20"/>
                <w:szCs w:val="20"/>
              </w:rPr>
            </w:pPr>
          </w:p>
        </w:tc>
      </w:tr>
      <w:tr w:rsidR="00000000" w14:paraId="18474CB7" w14:textId="77777777">
        <w:trPr>
          <w:divId w:val="45490052"/>
        </w:trPr>
        <w:tc>
          <w:tcPr>
            <w:tcW w:w="0" w:type="auto"/>
            <w:gridSpan w:val="3"/>
            <w:shd w:val="clear" w:color="auto" w:fill="FFFFFF"/>
            <w:tcMar>
              <w:top w:w="30" w:type="dxa"/>
              <w:left w:w="20" w:type="dxa"/>
              <w:bottom w:w="30" w:type="dxa"/>
              <w:right w:w="20" w:type="dxa"/>
            </w:tcMar>
            <w:vAlign w:val="bottom"/>
            <w:hideMark/>
          </w:tcPr>
          <w:p w14:paraId="5CCE4878" w14:textId="77777777" w:rsidR="00000000" w:rsidRDefault="00C1661D">
            <w:pPr>
              <w:spacing w:after="100"/>
              <w:rPr>
                <w:rFonts w:eastAsia="Times New Roman"/>
              </w:rPr>
            </w:pPr>
            <w:r>
              <w:rPr>
                <w:rFonts w:eastAsia="Times New Roman"/>
                <w:color w:val="000000"/>
                <w:sz w:val="20"/>
                <w:szCs w:val="20"/>
              </w:rPr>
              <w:t>Fiscal 2024</w:t>
            </w:r>
          </w:p>
        </w:tc>
        <w:tc>
          <w:tcPr>
            <w:tcW w:w="0" w:type="auto"/>
            <w:shd w:val="clear" w:color="auto" w:fill="FFFFFF"/>
            <w:tcMar>
              <w:top w:w="30" w:type="dxa"/>
              <w:left w:w="20" w:type="dxa"/>
              <w:bottom w:w="30" w:type="dxa"/>
              <w:right w:w="0" w:type="dxa"/>
            </w:tcMar>
            <w:vAlign w:val="bottom"/>
            <w:hideMark/>
          </w:tcPr>
          <w:p w14:paraId="70BF030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E4F34B" w14:textId="77777777" w:rsidR="00000000" w:rsidRDefault="00C1661D">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14:paraId="6C5681E6" w14:textId="77777777" w:rsidR="00000000" w:rsidRDefault="00C1661D">
            <w:pPr>
              <w:spacing w:after="100"/>
              <w:jc w:val="right"/>
              <w:rPr>
                <w:rFonts w:eastAsia="Times New Roman"/>
              </w:rPr>
            </w:pPr>
          </w:p>
        </w:tc>
        <w:tc>
          <w:tcPr>
            <w:tcW w:w="0" w:type="auto"/>
            <w:vAlign w:val="center"/>
            <w:hideMark/>
          </w:tcPr>
          <w:p w14:paraId="4DC245EC" w14:textId="77777777" w:rsidR="00000000" w:rsidRDefault="00C1661D">
            <w:pPr>
              <w:spacing w:after="100"/>
              <w:jc w:val="right"/>
              <w:rPr>
                <w:rFonts w:eastAsia="Times New Roman"/>
                <w:sz w:val="20"/>
                <w:szCs w:val="20"/>
              </w:rPr>
            </w:pPr>
          </w:p>
        </w:tc>
        <w:tc>
          <w:tcPr>
            <w:tcW w:w="0" w:type="auto"/>
            <w:vAlign w:val="center"/>
            <w:hideMark/>
          </w:tcPr>
          <w:p w14:paraId="310141D5" w14:textId="77777777" w:rsidR="00000000" w:rsidRDefault="00C1661D">
            <w:pPr>
              <w:spacing w:after="100"/>
              <w:rPr>
                <w:rFonts w:eastAsia="Times New Roman"/>
                <w:sz w:val="20"/>
                <w:szCs w:val="20"/>
              </w:rPr>
            </w:pPr>
          </w:p>
        </w:tc>
      </w:tr>
      <w:tr w:rsidR="00000000" w14:paraId="2F523F36" w14:textId="77777777">
        <w:trPr>
          <w:divId w:val="45490052"/>
        </w:trPr>
        <w:tc>
          <w:tcPr>
            <w:tcW w:w="0" w:type="auto"/>
            <w:gridSpan w:val="3"/>
            <w:shd w:val="clear" w:color="auto" w:fill="CCEEFF"/>
            <w:tcMar>
              <w:top w:w="30" w:type="dxa"/>
              <w:left w:w="20" w:type="dxa"/>
              <w:bottom w:w="30" w:type="dxa"/>
              <w:right w:w="20" w:type="dxa"/>
            </w:tcMar>
            <w:vAlign w:val="bottom"/>
            <w:hideMark/>
          </w:tcPr>
          <w:p w14:paraId="0256D523" w14:textId="77777777" w:rsidR="00000000" w:rsidRDefault="00C1661D">
            <w:pPr>
              <w:spacing w:after="100"/>
              <w:rPr>
                <w:rFonts w:eastAsia="Times New Roman"/>
              </w:rPr>
            </w:pPr>
            <w:r>
              <w:rPr>
                <w:rFonts w:eastAsia="Times New Roman"/>
                <w:color w:val="000000"/>
                <w:sz w:val="20"/>
                <w:szCs w:val="20"/>
              </w:rPr>
              <w:t>Fiscal 2025</w:t>
            </w:r>
          </w:p>
        </w:tc>
        <w:tc>
          <w:tcPr>
            <w:tcW w:w="0" w:type="auto"/>
            <w:shd w:val="clear" w:color="auto" w:fill="CCEEFF"/>
            <w:tcMar>
              <w:top w:w="30" w:type="dxa"/>
              <w:left w:w="20" w:type="dxa"/>
              <w:bottom w:w="30" w:type="dxa"/>
              <w:right w:w="0" w:type="dxa"/>
            </w:tcMar>
            <w:vAlign w:val="bottom"/>
            <w:hideMark/>
          </w:tcPr>
          <w:p w14:paraId="583B4C3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E7FC80" w14:textId="77777777" w:rsidR="00000000" w:rsidRDefault="00C1661D">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14:paraId="5FCEAA84" w14:textId="77777777" w:rsidR="00000000" w:rsidRDefault="00C1661D">
            <w:pPr>
              <w:spacing w:after="100"/>
              <w:jc w:val="right"/>
              <w:rPr>
                <w:rFonts w:eastAsia="Times New Roman"/>
              </w:rPr>
            </w:pPr>
          </w:p>
        </w:tc>
        <w:tc>
          <w:tcPr>
            <w:tcW w:w="0" w:type="auto"/>
            <w:vAlign w:val="center"/>
            <w:hideMark/>
          </w:tcPr>
          <w:p w14:paraId="16707913" w14:textId="77777777" w:rsidR="00000000" w:rsidRDefault="00C1661D">
            <w:pPr>
              <w:spacing w:after="100"/>
              <w:jc w:val="right"/>
              <w:rPr>
                <w:rFonts w:eastAsia="Times New Roman"/>
                <w:sz w:val="20"/>
                <w:szCs w:val="20"/>
              </w:rPr>
            </w:pPr>
          </w:p>
        </w:tc>
        <w:tc>
          <w:tcPr>
            <w:tcW w:w="0" w:type="auto"/>
            <w:vAlign w:val="center"/>
            <w:hideMark/>
          </w:tcPr>
          <w:p w14:paraId="73E18FB0" w14:textId="77777777" w:rsidR="00000000" w:rsidRDefault="00C1661D">
            <w:pPr>
              <w:spacing w:after="100"/>
              <w:rPr>
                <w:rFonts w:eastAsia="Times New Roman"/>
                <w:sz w:val="20"/>
                <w:szCs w:val="20"/>
              </w:rPr>
            </w:pPr>
          </w:p>
        </w:tc>
      </w:tr>
      <w:tr w:rsidR="00000000" w14:paraId="7558BD65" w14:textId="77777777">
        <w:trPr>
          <w:divId w:val="45490052"/>
        </w:trPr>
        <w:tc>
          <w:tcPr>
            <w:tcW w:w="0" w:type="auto"/>
            <w:gridSpan w:val="3"/>
            <w:shd w:val="clear" w:color="auto" w:fill="FFFFFF"/>
            <w:tcMar>
              <w:top w:w="30" w:type="dxa"/>
              <w:left w:w="20" w:type="dxa"/>
              <w:bottom w:w="30" w:type="dxa"/>
              <w:right w:w="20" w:type="dxa"/>
            </w:tcMar>
            <w:vAlign w:val="bottom"/>
            <w:hideMark/>
          </w:tcPr>
          <w:p w14:paraId="014FC03B" w14:textId="77777777" w:rsidR="00000000" w:rsidRDefault="00C1661D">
            <w:pPr>
              <w:spacing w:after="100"/>
              <w:rPr>
                <w:rFonts w:eastAsia="Times New Roman"/>
              </w:rPr>
            </w:pPr>
            <w:r>
              <w:rPr>
                <w:rFonts w:eastAsia="Times New Roman"/>
                <w:color w:val="000000"/>
                <w:sz w:val="20"/>
                <w:szCs w:val="20"/>
              </w:rPr>
              <w:t>Fiscal 2026</w:t>
            </w:r>
          </w:p>
        </w:tc>
        <w:tc>
          <w:tcPr>
            <w:tcW w:w="0" w:type="auto"/>
            <w:shd w:val="clear" w:color="auto" w:fill="FFFFFF"/>
            <w:tcMar>
              <w:top w:w="30" w:type="dxa"/>
              <w:left w:w="20" w:type="dxa"/>
              <w:bottom w:w="30" w:type="dxa"/>
              <w:right w:w="0" w:type="dxa"/>
            </w:tcMar>
            <w:vAlign w:val="bottom"/>
            <w:hideMark/>
          </w:tcPr>
          <w:p w14:paraId="6B8E411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B640F42" w14:textId="77777777" w:rsidR="00000000" w:rsidRDefault="00C1661D">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14:paraId="58AA3EC0" w14:textId="77777777" w:rsidR="00000000" w:rsidRDefault="00C1661D">
            <w:pPr>
              <w:spacing w:after="100"/>
              <w:jc w:val="right"/>
              <w:rPr>
                <w:rFonts w:eastAsia="Times New Roman"/>
              </w:rPr>
            </w:pPr>
          </w:p>
        </w:tc>
        <w:tc>
          <w:tcPr>
            <w:tcW w:w="0" w:type="auto"/>
            <w:vAlign w:val="center"/>
            <w:hideMark/>
          </w:tcPr>
          <w:p w14:paraId="16363B8C" w14:textId="77777777" w:rsidR="00000000" w:rsidRDefault="00C1661D">
            <w:pPr>
              <w:spacing w:after="100"/>
              <w:jc w:val="right"/>
              <w:rPr>
                <w:rFonts w:eastAsia="Times New Roman"/>
                <w:sz w:val="20"/>
                <w:szCs w:val="20"/>
              </w:rPr>
            </w:pPr>
          </w:p>
        </w:tc>
        <w:tc>
          <w:tcPr>
            <w:tcW w:w="0" w:type="auto"/>
            <w:vAlign w:val="center"/>
            <w:hideMark/>
          </w:tcPr>
          <w:p w14:paraId="39971DA3" w14:textId="77777777" w:rsidR="00000000" w:rsidRDefault="00C1661D">
            <w:pPr>
              <w:spacing w:after="100"/>
              <w:rPr>
                <w:rFonts w:eastAsia="Times New Roman"/>
                <w:sz w:val="20"/>
                <w:szCs w:val="20"/>
              </w:rPr>
            </w:pPr>
          </w:p>
        </w:tc>
      </w:tr>
      <w:tr w:rsidR="00000000" w14:paraId="5BDDEB5E" w14:textId="77777777">
        <w:trPr>
          <w:divId w:val="45490052"/>
        </w:trPr>
        <w:tc>
          <w:tcPr>
            <w:tcW w:w="0" w:type="auto"/>
            <w:gridSpan w:val="3"/>
            <w:shd w:val="clear" w:color="auto" w:fill="CCEEFF"/>
            <w:tcMar>
              <w:top w:w="30" w:type="dxa"/>
              <w:left w:w="20" w:type="dxa"/>
              <w:bottom w:w="30" w:type="dxa"/>
              <w:right w:w="20" w:type="dxa"/>
            </w:tcMar>
            <w:vAlign w:val="bottom"/>
            <w:hideMark/>
          </w:tcPr>
          <w:p w14:paraId="6866BAF5" w14:textId="77777777" w:rsidR="00000000" w:rsidRDefault="00C1661D">
            <w:pPr>
              <w:spacing w:after="100"/>
              <w:rPr>
                <w:rFonts w:eastAsia="Times New Roman"/>
              </w:rPr>
            </w:pPr>
            <w:r>
              <w:rPr>
                <w:rFonts w:eastAsia="Times New Roman"/>
                <w:color w:val="000000"/>
                <w:sz w:val="20"/>
                <w:szCs w:val="20"/>
              </w:rPr>
              <w:t>Fiscal 2027</w:t>
            </w:r>
          </w:p>
        </w:tc>
        <w:tc>
          <w:tcPr>
            <w:tcW w:w="0" w:type="auto"/>
            <w:shd w:val="clear" w:color="auto" w:fill="CCEEFF"/>
            <w:tcMar>
              <w:top w:w="30" w:type="dxa"/>
              <w:left w:w="20" w:type="dxa"/>
              <w:bottom w:w="30" w:type="dxa"/>
              <w:right w:w="0" w:type="dxa"/>
            </w:tcMar>
            <w:vAlign w:val="bottom"/>
            <w:hideMark/>
          </w:tcPr>
          <w:p w14:paraId="481F3F2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1C71941" w14:textId="77777777" w:rsidR="00000000" w:rsidRDefault="00C1661D">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14:paraId="7E20BB23" w14:textId="77777777" w:rsidR="00000000" w:rsidRDefault="00C1661D">
            <w:pPr>
              <w:spacing w:after="100"/>
              <w:jc w:val="right"/>
              <w:rPr>
                <w:rFonts w:eastAsia="Times New Roman"/>
              </w:rPr>
            </w:pPr>
          </w:p>
        </w:tc>
        <w:tc>
          <w:tcPr>
            <w:tcW w:w="0" w:type="auto"/>
            <w:vAlign w:val="center"/>
            <w:hideMark/>
          </w:tcPr>
          <w:p w14:paraId="48B8168A" w14:textId="77777777" w:rsidR="00000000" w:rsidRDefault="00C1661D">
            <w:pPr>
              <w:spacing w:after="100"/>
              <w:jc w:val="right"/>
              <w:rPr>
                <w:rFonts w:eastAsia="Times New Roman"/>
                <w:sz w:val="20"/>
                <w:szCs w:val="20"/>
              </w:rPr>
            </w:pPr>
          </w:p>
        </w:tc>
        <w:tc>
          <w:tcPr>
            <w:tcW w:w="0" w:type="auto"/>
            <w:vAlign w:val="center"/>
            <w:hideMark/>
          </w:tcPr>
          <w:p w14:paraId="59458A77" w14:textId="77777777" w:rsidR="00000000" w:rsidRDefault="00C1661D">
            <w:pPr>
              <w:spacing w:after="100"/>
              <w:rPr>
                <w:rFonts w:eastAsia="Times New Roman"/>
                <w:sz w:val="20"/>
                <w:szCs w:val="20"/>
              </w:rPr>
            </w:pPr>
          </w:p>
        </w:tc>
      </w:tr>
      <w:tr w:rsidR="00000000" w14:paraId="2C24F9E5" w14:textId="77777777">
        <w:trPr>
          <w:divId w:val="45490052"/>
        </w:trPr>
        <w:tc>
          <w:tcPr>
            <w:tcW w:w="0" w:type="auto"/>
            <w:gridSpan w:val="3"/>
            <w:shd w:val="clear" w:color="auto" w:fill="FFFFFF"/>
            <w:tcMar>
              <w:top w:w="30" w:type="dxa"/>
              <w:left w:w="20" w:type="dxa"/>
              <w:bottom w:w="30" w:type="dxa"/>
              <w:right w:w="20" w:type="dxa"/>
            </w:tcMar>
            <w:vAlign w:val="bottom"/>
            <w:hideMark/>
          </w:tcPr>
          <w:p w14:paraId="6B9B63D1" w14:textId="77777777" w:rsidR="00000000" w:rsidRDefault="00C1661D">
            <w:pPr>
              <w:spacing w:after="100"/>
              <w:rPr>
                <w:rFonts w:eastAsia="Times New Roman"/>
              </w:rPr>
            </w:pPr>
            <w:r>
              <w:rPr>
                <w:rFonts w:eastAsia="Times New Roman"/>
                <w:color w:val="000000"/>
                <w:sz w:val="20"/>
                <w:szCs w:val="20"/>
              </w:rPr>
              <w:t>Fiscal 2028 - 2032</w:t>
            </w:r>
          </w:p>
        </w:tc>
        <w:tc>
          <w:tcPr>
            <w:tcW w:w="0" w:type="auto"/>
            <w:shd w:val="clear" w:color="auto" w:fill="FFFFFF"/>
            <w:tcMar>
              <w:top w:w="30" w:type="dxa"/>
              <w:left w:w="20" w:type="dxa"/>
              <w:bottom w:w="30" w:type="dxa"/>
              <w:right w:w="0" w:type="dxa"/>
            </w:tcMar>
            <w:vAlign w:val="bottom"/>
            <w:hideMark/>
          </w:tcPr>
          <w:p w14:paraId="43512DA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C505820" w14:textId="77777777" w:rsidR="00000000" w:rsidRDefault="00C1661D">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14:paraId="515186E9" w14:textId="77777777" w:rsidR="00000000" w:rsidRDefault="00C1661D">
            <w:pPr>
              <w:spacing w:after="100"/>
              <w:jc w:val="right"/>
              <w:rPr>
                <w:rFonts w:eastAsia="Times New Roman"/>
              </w:rPr>
            </w:pPr>
          </w:p>
        </w:tc>
        <w:tc>
          <w:tcPr>
            <w:tcW w:w="0" w:type="auto"/>
            <w:vAlign w:val="center"/>
            <w:hideMark/>
          </w:tcPr>
          <w:p w14:paraId="3FB176D4" w14:textId="77777777" w:rsidR="00000000" w:rsidRDefault="00C1661D">
            <w:pPr>
              <w:spacing w:after="100"/>
              <w:jc w:val="right"/>
              <w:rPr>
                <w:rFonts w:eastAsia="Times New Roman"/>
                <w:sz w:val="20"/>
                <w:szCs w:val="20"/>
              </w:rPr>
            </w:pPr>
          </w:p>
        </w:tc>
        <w:tc>
          <w:tcPr>
            <w:tcW w:w="0" w:type="auto"/>
            <w:vAlign w:val="center"/>
            <w:hideMark/>
          </w:tcPr>
          <w:p w14:paraId="16288938" w14:textId="77777777" w:rsidR="00000000" w:rsidRDefault="00C1661D">
            <w:pPr>
              <w:spacing w:after="100"/>
              <w:rPr>
                <w:rFonts w:eastAsia="Times New Roman"/>
                <w:sz w:val="20"/>
                <w:szCs w:val="20"/>
              </w:rPr>
            </w:pPr>
          </w:p>
        </w:tc>
      </w:tr>
    </w:tbl>
    <w:p w14:paraId="219383C9" w14:textId="77777777" w:rsidR="00000000" w:rsidRDefault="00C1661D">
      <w:pPr>
        <w:jc w:val="both"/>
        <w:divId w:val="746344227"/>
        <w:rPr>
          <w:rFonts w:eastAsia="Times New Roman"/>
        </w:rPr>
      </w:pPr>
      <w:r>
        <w:rPr>
          <w:rFonts w:eastAsia="Times New Roman"/>
          <w:color w:val="000000"/>
          <w:sz w:val="20"/>
          <w:szCs w:val="20"/>
        </w:rPr>
        <w:t xml:space="preserve">We also sponsor unfunded and non-qualified supplemental executive defined benefit retirement plans. At September 30, 2022 and 2021, the PBOs of these plans, including obligations for amounts held in grantor trusts, totaled $44 and $57, respectively. Costs </w:t>
      </w:r>
      <w:r>
        <w:rPr>
          <w:rFonts w:eastAsia="Times New Roman"/>
          <w:color w:val="000000"/>
          <w:sz w:val="20"/>
          <w:szCs w:val="20"/>
        </w:rPr>
        <w:t>associated with these plans were not material for all periods presented and are excluded from the tables above. Amounts recorded in UGI’s stockholders’ equity for these plans include pre-tax losses of $1 and $10 at September 30, 2022 and 2021, respectively</w:t>
      </w:r>
      <w:r>
        <w:rPr>
          <w:rFonts w:eastAsia="Times New Roman"/>
          <w:color w:val="000000"/>
          <w:sz w:val="20"/>
          <w:szCs w:val="20"/>
        </w:rPr>
        <w:t>, principally representing unrecognized actuarial losses. In Fiscal 2023, the estimated amount that will be amortized from such pre-tax actuarial losses into retiree benefit cost is not material. During Fiscal 2021, the Company made $12 of payments for the</w:t>
      </w:r>
      <w:r>
        <w:rPr>
          <w:rFonts w:eastAsia="Times New Roman"/>
          <w:color w:val="000000"/>
          <w:sz w:val="20"/>
          <w:szCs w:val="20"/>
        </w:rPr>
        <w:t xml:space="preserve"> supplemental executive defined benefit retirement plans. During Fiscal 2022 and Fiscal 2020, the payments the Company made with respect to the supplemental executive defined benefit retirement plans were not material. The total fair value of the grantor t</w:t>
      </w:r>
      <w:r>
        <w:rPr>
          <w:rFonts w:eastAsia="Times New Roman"/>
          <w:color w:val="000000"/>
          <w:sz w:val="20"/>
          <w:szCs w:val="20"/>
        </w:rPr>
        <w:t>rust investment assets associated with the supplemental executive defined benefit retirement plans, which are included in “Other assets” on the Consolidated Balance Sheets, totaled $31 and $44 at September 30, 2022 and 2021, respectively.</w:t>
      </w:r>
    </w:p>
    <w:p w14:paraId="33337556" w14:textId="77777777" w:rsidR="00000000" w:rsidRDefault="00C1661D">
      <w:pPr>
        <w:jc w:val="center"/>
        <w:divId w:val="503785176"/>
        <w:rPr>
          <w:rFonts w:eastAsia="Times New Roman"/>
        </w:rPr>
      </w:pPr>
      <w:r>
        <w:rPr>
          <w:rFonts w:eastAsia="Times New Roman"/>
          <w:color w:val="000000"/>
          <w:sz w:val="20"/>
          <w:szCs w:val="20"/>
        </w:rPr>
        <w:t>F-36</w:t>
      </w:r>
    </w:p>
    <w:p w14:paraId="58292A60" w14:textId="77777777" w:rsidR="00000000" w:rsidRDefault="00C1661D">
      <w:pPr>
        <w:rPr>
          <w:rFonts w:eastAsia="Times New Roman"/>
        </w:rPr>
      </w:pPr>
      <w:r>
        <w:rPr>
          <w:rFonts w:eastAsia="Times New Roman"/>
        </w:rPr>
        <w:pict w14:anchorId="54582EA3">
          <v:rect id="_x0000_i1149" style="width:0;height:1.5pt" o:hralign="center" o:hrstd="t" o:hr="t" fillcolor="#a0a0a0" stroked="f"/>
        </w:pict>
      </w:r>
    </w:p>
    <w:p w14:paraId="3E4B7F50" w14:textId="77777777" w:rsidR="00000000" w:rsidRDefault="00C1661D">
      <w:pPr>
        <w:divId w:val="2099522920"/>
        <w:rPr>
          <w:rFonts w:eastAsia="Times New Roman"/>
        </w:rPr>
      </w:pPr>
      <w:hyperlink w:anchor="i3850c3c6c0104e42b9951aac2f16098a_7" w:history="1">
        <w:r>
          <w:rPr>
            <w:rStyle w:val="a3"/>
            <w:rFonts w:eastAsia="Times New Roman"/>
            <w:sz w:val="20"/>
            <w:szCs w:val="20"/>
          </w:rPr>
          <w:t>Table of Contents</w:t>
        </w:r>
      </w:hyperlink>
    </w:p>
    <w:p w14:paraId="7160031D" w14:textId="77777777" w:rsidR="00000000" w:rsidRDefault="00C1661D">
      <w:pPr>
        <w:divId w:val="150484470"/>
        <w:rPr>
          <w:rFonts w:eastAsia="Times New Roman"/>
        </w:rPr>
      </w:pPr>
      <w:r>
        <w:rPr>
          <w:rFonts w:eastAsia="Times New Roman"/>
          <w:b/>
          <w:bCs/>
          <w:color w:val="000000"/>
          <w:sz w:val="20"/>
          <w:szCs w:val="20"/>
        </w:rPr>
        <w:t>UGI Corporation and Subsidiaries</w:t>
      </w:r>
    </w:p>
    <w:p w14:paraId="0B6474B0" w14:textId="77777777" w:rsidR="00000000" w:rsidRDefault="00C1661D">
      <w:pPr>
        <w:divId w:val="1227910299"/>
        <w:rPr>
          <w:rFonts w:eastAsia="Times New Roman"/>
        </w:rPr>
      </w:pPr>
      <w:r>
        <w:rPr>
          <w:rFonts w:eastAsia="Times New Roman"/>
          <w:b/>
          <w:bCs/>
          <w:color w:val="000000"/>
          <w:sz w:val="20"/>
          <w:szCs w:val="20"/>
        </w:rPr>
        <w:t>Notes to Consolidated Financial Statements</w:t>
      </w:r>
    </w:p>
    <w:p w14:paraId="27DD2EE0" w14:textId="77777777" w:rsidR="00000000" w:rsidRDefault="00C1661D">
      <w:pPr>
        <w:divId w:val="323244328"/>
        <w:rPr>
          <w:rFonts w:eastAsia="Times New Roman"/>
        </w:rPr>
      </w:pPr>
      <w:r>
        <w:rPr>
          <w:rFonts w:eastAsia="Times New Roman"/>
          <w:color w:val="000000"/>
          <w:sz w:val="20"/>
          <w:szCs w:val="20"/>
        </w:rPr>
        <w:t>(Currency in millions, except per share amounts and where indicated otherwise)</w:t>
      </w:r>
    </w:p>
    <w:p w14:paraId="6B5BFDEC" w14:textId="77777777" w:rsidR="00000000" w:rsidRDefault="00C1661D">
      <w:pPr>
        <w:jc w:val="both"/>
        <w:divId w:val="841508760"/>
        <w:rPr>
          <w:rFonts w:eastAsia="Times New Roman"/>
        </w:rPr>
      </w:pPr>
      <w:r>
        <w:rPr>
          <w:rFonts w:eastAsia="Times New Roman"/>
          <w:b/>
          <w:bCs/>
          <w:color w:val="000000"/>
          <w:sz w:val="20"/>
          <w:szCs w:val="20"/>
        </w:rPr>
        <w:t>U</w:t>
      </w:r>
      <w:r>
        <w:rPr>
          <w:rFonts w:eastAsia="Times New Roman"/>
          <w:b/>
          <w:bCs/>
          <w:color w:val="000000"/>
          <w:sz w:val="20"/>
          <w:szCs w:val="20"/>
        </w:rPr>
        <w:t>.S. Pension Plans’ Assets</w:t>
      </w:r>
    </w:p>
    <w:p w14:paraId="43292991" w14:textId="77777777" w:rsidR="00000000" w:rsidRDefault="00C1661D">
      <w:pPr>
        <w:jc w:val="both"/>
        <w:divId w:val="1763842052"/>
        <w:rPr>
          <w:rFonts w:eastAsia="Times New Roman"/>
        </w:rPr>
      </w:pPr>
      <w:r>
        <w:rPr>
          <w:rFonts w:eastAsia="Times New Roman"/>
          <w:color w:val="000000"/>
          <w:sz w:val="20"/>
          <w:szCs w:val="20"/>
        </w:rPr>
        <w:t>The assets of the U.S. Pension Plans are held in trust. The investment policies and asset allocation strategies for the assets in these trusts are determined by the Retirement Plan Committee comprising certain members of UGI’s sen</w:t>
      </w:r>
      <w:r>
        <w:rPr>
          <w:rFonts w:eastAsia="Times New Roman"/>
          <w:color w:val="000000"/>
          <w:sz w:val="20"/>
          <w:szCs w:val="20"/>
        </w:rPr>
        <w:t>ior management. The overall investment objective is to minimize projected funded status volatility by more closely aligning the duration of the U.S. Pension Plans’ fixed income portfolio to the duration of its liabilities. The proportion of plan assets all</w:t>
      </w:r>
      <w:r>
        <w:rPr>
          <w:rFonts w:eastAsia="Times New Roman"/>
          <w:color w:val="000000"/>
          <w:sz w:val="20"/>
          <w:szCs w:val="20"/>
        </w:rPr>
        <w:t>ocated to fixed income investments will increase as the funded status increases. Investments are made principally in common collective trust funds that consist of equity index investments, bond index investments and short-term investments, and, to a much l</w:t>
      </w:r>
      <w:r>
        <w:rPr>
          <w:rFonts w:eastAsia="Times New Roman"/>
          <w:color w:val="000000"/>
          <w:sz w:val="20"/>
          <w:szCs w:val="20"/>
        </w:rPr>
        <w:t xml:space="preserve">ess extent, UGI Common Stock. </w:t>
      </w:r>
    </w:p>
    <w:p w14:paraId="1D2C69A2" w14:textId="77777777" w:rsidR="00000000" w:rsidRDefault="00C1661D">
      <w:pPr>
        <w:jc w:val="both"/>
        <w:divId w:val="1885485108"/>
        <w:rPr>
          <w:rFonts w:eastAsia="Times New Roman"/>
        </w:rPr>
      </w:pPr>
      <w:r>
        <w:rPr>
          <w:rFonts w:eastAsia="Times New Roman"/>
          <w:color w:val="000000"/>
          <w:sz w:val="20"/>
          <w:szCs w:val="20"/>
        </w:rPr>
        <w:t>The targets and actual allocations for the U.S. Pension Plans’ trust assets at September 30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681"/>
        <w:gridCol w:w="36"/>
        <w:gridCol w:w="42"/>
        <w:gridCol w:w="844"/>
        <w:gridCol w:w="187"/>
        <w:gridCol w:w="36"/>
        <w:gridCol w:w="36"/>
        <w:gridCol w:w="36"/>
        <w:gridCol w:w="42"/>
        <w:gridCol w:w="774"/>
        <w:gridCol w:w="187"/>
        <w:gridCol w:w="36"/>
        <w:gridCol w:w="36"/>
        <w:gridCol w:w="36"/>
        <w:gridCol w:w="42"/>
        <w:gridCol w:w="774"/>
        <w:gridCol w:w="188"/>
        <w:gridCol w:w="37"/>
        <w:gridCol w:w="36"/>
        <w:gridCol w:w="36"/>
        <w:gridCol w:w="42"/>
        <w:gridCol w:w="846"/>
        <w:gridCol w:w="187"/>
        <w:gridCol w:w="36"/>
        <w:gridCol w:w="36"/>
      </w:tblGrid>
      <w:tr w:rsidR="00000000" w14:paraId="781428A7" w14:textId="77777777">
        <w:trPr>
          <w:divId w:val="1493908474"/>
        </w:trPr>
        <w:tc>
          <w:tcPr>
            <w:tcW w:w="50" w:type="pct"/>
            <w:vAlign w:val="center"/>
            <w:hideMark/>
          </w:tcPr>
          <w:p w14:paraId="4BDD2A0B" w14:textId="77777777" w:rsidR="00000000" w:rsidRDefault="00C1661D">
            <w:pPr>
              <w:jc w:val="both"/>
              <w:rPr>
                <w:rFonts w:eastAsia="Times New Roman"/>
              </w:rPr>
            </w:pPr>
          </w:p>
        </w:tc>
        <w:tc>
          <w:tcPr>
            <w:tcW w:w="2298" w:type="pct"/>
            <w:vAlign w:val="center"/>
            <w:hideMark/>
          </w:tcPr>
          <w:p w14:paraId="7EA2B8B1" w14:textId="77777777" w:rsidR="00000000" w:rsidRDefault="00C1661D">
            <w:pPr>
              <w:spacing w:after="100"/>
              <w:rPr>
                <w:rFonts w:eastAsia="Times New Roman"/>
                <w:sz w:val="20"/>
                <w:szCs w:val="20"/>
              </w:rPr>
            </w:pPr>
          </w:p>
        </w:tc>
        <w:tc>
          <w:tcPr>
            <w:tcW w:w="5" w:type="pct"/>
            <w:vAlign w:val="center"/>
            <w:hideMark/>
          </w:tcPr>
          <w:p w14:paraId="43945031" w14:textId="77777777" w:rsidR="00000000" w:rsidRDefault="00C1661D">
            <w:pPr>
              <w:spacing w:after="100"/>
              <w:rPr>
                <w:rFonts w:eastAsia="Times New Roman"/>
                <w:sz w:val="20"/>
                <w:szCs w:val="20"/>
              </w:rPr>
            </w:pPr>
          </w:p>
        </w:tc>
        <w:tc>
          <w:tcPr>
            <w:tcW w:w="50" w:type="pct"/>
            <w:vAlign w:val="center"/>
            <w:hideMark/>
          </w:tcPr>
          <w:p w14:paraId="2BD5453D" w14:textId="77777777" w:rsidR="00000000" w:rsidRDefault="00C1661D">
            <w:pPr>
              <w:spacing w:after="100"/>
              <w:rPr>
                <w:rFonts w:eastAsia="Times New Roman"/>
                <w:sz w:val="20"/>
                <w:szCs w:val="20"/>
              </w:rPr>
            </w:pPr>
          </w:p>
        </w:tc>
        <w:tc>
          <w:tcPr>
            <w:tcW w:w="580" w:type="pct"/>
            <w:vAlign w:val="center"/>
            <w:hideMark/>
          </w:tcPr>
          <w:p w14:paraId="2FCDFC0B" w14:textId="77777777" w:rsidR="00000000" w:rsidRDefault="00C1661D">
            <w:pPr>
              <w:spacing w:after="100"/>
              <w:rPr>
                <w:rFonts w:eastAsia="Times New Roman"/>
                <w:sz w:val="20"/>
                <w:szCs w:val="20"/>
              </w:rPr>
            </w:pPr>
          </w:p>
        </w:tc>
        <w:tc>
          <w:tcPr>
            <w:tcW w:w="5" w:type="pct"/>
            <w:vAlign w:val="center"/>
            <w:hideMark/>
          </w:tcPr>
          <w:p w14:paraId="0C4B0565" w14:textId="77777777" w:rsidR="00000000" w:rsidRDefault="00C1661D">
            <w:pPr>
              <w:spacing w:after="100"/>
              <w:rPr>
                <w:rFonts w:eastAsia="Times New Roman"/>
                <w:sz w:val="20"/>
                <w:szCs w:val="20"/>
              </w:rPr>
            </w:pPr>
          </w:p>
        </w:tc>
        <w:tc>
          <w:tcPr>
            <w:tcW w:w="5" w:type="pct"/>
            <w:vAlign w:val="center"/>
            <w:hideMark/>
          </w:tcPr>
          <w:p w14:paraId="351AAD89" w14:textId="77777777" w:rsidR="00000000" w:rsidRDefault="00C1661D">
            <w:pPr>
              <w:spacing w:after="100"/>
              <w:rPr>
                <w:rFonts w:eastAsia="Times New Roman"/>
                <w:sz w:val="20"/>
                <w:szCs w:val="20"/>
              </w:rPr>
            </w:pPr>
          </w:p>
        </w:tc>
        <w:tc>
          <w:tcPr>
            <w:tcW w:w="26" w:type="pct"/>
            <w:vAlign w:val="center"/>
            <w:hideMark/>
          </w:tcPr>
          <w:p w14:paraId="5B80434D" w14:textId="77777777" w:rsidR="00000000" w:rsidRDefault="00C1661D">
            <w:pPr>
              <w:spacing w:after="100"/>
              <w:rPr>
                <w:rFonts w:eastAsia="Times New Roman"/>
                <w:sz w:val="20"/>
                <w:szCs w:val="20"/>
              </w:rPr>
            </w:pPr>
          </w:p>
        </w:tc>
        <w:tc>
          <w:tcPr>
            <w:tcW w:w="5" w:type="pct"/>
            <w:vAlign w:val="center"/>
            <w:hideMark/>
          </w:tcPr>
          <w:p w14:paraId="62A2B557" w14:textId="77777777" w:rsidR="00000000" w:rsidRDefault="00C1661D">
            <w:pPr>
              <w:spacing w:after="100"/>
              <w:rPr>
                <w:rFonts w:eastAsia="Times New Roman"/>
                <w:sz w:val="20"/>
                <w:szCs w:val="20"/>
              </w:rPr>
            </w:pPr>
          </w:p>
        </w:tc>
        <w:tc>
          <w:tcPr>
            <w:tcW w:w="50" w:type="pct"/>
            <w:vAlign w:val="center"/>
            <w:hideMark/>
          </w:tcPr>
          <w:p w14:paraId="1713B8AE" w14:textId="77777777" w:rsidR="00000000" w:rsidRDefault="00C1661D">
            <w:pPr>
              <w:spacing w:after="100"/>
              <w:rPr>
                <w:rFonts w:eastAsia="Times New Roman"/>
                <w:sz w:val="20"/>
                <w:szCs w:val="20"/>
              </w:rPr>
            </w:pPr>
          </w:p>
        </w:tc>
        <w:tc>
          <w:tcPr>
            <w:tcW w:w="580" w:type="pct"/>
            <w:vAlign w:val="center"/>
            <w:hideMark/>
          </w:tcPr>
          <w:p w14:paraId="6AA0982A" w14:textId="77777777" w:rsidR="00000000" w:rsidRDefault="00C1661D">
            <w:pPr>
              <w:spacing w:after="100"/>
              <w:rPr>
                <w:rFonts w:eastAsia="Times New Roman"/>
                <w:sz w:val="20"/>
                <w:szCs w:val="20"/>
              </w:rPr>
            </w:pPr>
          </w:p>
        </w:tc>
        <w:tc>
          <w:tcPr>
            <w:tcW w:w="5" w:type="pct"/>
            <w:vAlign w:val="center"/>
            <w:hideMark/>
          </w:tcPr>
          <w:p w14:paraId="2DFA82DD" w14:textId="77777777" w:rsidR="00000000" w:rsidRDefault="00C1661D">
            <w:pPr>
              <w:spacing w:after="100"/>
              <w:rPr>
                <w:rFonts w:eastAsia="Times New Roman"/>
                <w:sz w:val="20"/>
                <w:szCs w:val="20"/>
              </w:rPr>
            </w:pPr>
          </w:p>
        </w:tc>
        <w:tc>
          <w:tcPr>
            <w:tcW w:w="5" w:type="pct"/>
            <w:vAlign w:val="center"/>
            <w:hideMark/>
          </w:tcPr>
          <w:p w14:paraId="7E7B1892" w14:textId="77777777" w:rsidR="00000000" w:rsidRDefault="00C1661D">
            <w:pPr>
              <w:spacing w:after="100"/>
              <w:rPr>
                <w:rFonts w:eastAsia="Times New Roman"/>
                <w:sz w:val="20"/>
                <w:szCs w:val="20"/>
              </w:rPr>
            </w:pPr>
          </w:p>
        </w:tc>
        <w:tc>
          <w:tcPr>
            <w:tcW w:w="26" w:type="pct"/>
            <w:vAlign w:val="center"/>
            <w:hideMark/>
          </w:tcPr>
          <w:p w14:paraId="536A9365" w14:textId="77777777" w:rsidR="00000000" w:rsidRDefault="00C1661D">
            <w:pPr>
              <w:spacing w:after="100"/>
              <w:rPr>
                <w:rFonts w:eastAsia="Times New Roman"/>
                <w:sz w:val="20"/>
                <w:szCs w:val="20"/>
              </w:rPr>
            </w:pPr>
          </w:p>
        </w:tc>
        <w:tc>
          <w:tcPr>
            <w:tcW w:w="5" w:type="pct"/>
            <w:vAlign w:val="center"/>
            <w:hideMark/>
          </w:tcPr>
          <w:p w14:paraId="3AA57B5C" w14:textId="77777777" w:rsidR="00000000" w:rsidRDefault="00C1661D">
            <w:pPr>
              <w:spacing w:after="100"/>
              <w:rPr>
                <w:rFonts w:eastAsia="Times New Roman"/>
                <w:sz w:val="20"/>
                <w:szCs w:val="20"/>
              </w:rPr>
            </w:pPr>
          </w:p>
        </w:tc>
        <w:tc>
          <w:tcPr>
            <w:tcW w:w="50" w:type="pct"/>
            <w:vAlign w:val="center"/>
            <w:hideMark/>
          </w:tcPr>
          <w:p w14:paraId="797A40F3" w14:textId="77777777" w:rsidR="00000000" w:rsidRDefault="00C1661D">
            <w:pPr>
              <w:spacing w:after="100"/>
              <w:rPr>
                <w:rFonts w:eastAsia="Times New Roman"/>
                <w:sz w:val="20"/>
                <w:szCs w:val="20"/>
              </w:rPr>
            </w:pPr>
          </w:p>
        </w:tc>
        <w:tc>
          <w:tcPr>
            <w:tcW w:w="580" w:type="pct"/>
            <w:vAlign w:val="center"/>
            <w:hideMark/>
          </w:tcPr>
          <w:p w14:paraId="621AA3E2" w14:textId="77777777" w:rsidR="00000000" w:rsidRDefault="00C1661D">
            <w:pPr>
              <w:spacing w:after="100"/>
              <w:rPr>
                <w:rFonts w:eastAsia="Times New Roman"/>
                <w:sz w:val="20"/>
                <w:szCs w:val="20"/>
              </w:rPr>
            </w:pPr>
          </w:p>
        </w:tc>
        <w:tc>
          <w:tcPr>
            <w:tcW w:w="5" w:type="pct"/>
            <w:vAlign w:val="center"/>
            <w:hideMark/>
          </w:tcPr>
          <w:p w14:paraId="330E0DD0" w14:textId="77777777" w:rsidR="00000000" w:rsidRDefault="00C1661D">
            <w:pPr>
              <w:spacing w:after="100"/>
              <w:rPr>
                <w:rFonts w:eastAsia="Times New Roman"/>
                <w:sz w:val="20"/>
                <w:szCs w:val="20"/>
              </w:rPr>
            </w:pPr>
          </w:p>
        </w:tc>
        <w:tc>
          <w:tcPr>
            <w:tcW w:w="5" w:type="pct"/>
            <w:vAlign w:val="center"/>
            <w:hideMark/>
          </w:tcPr>
          <w:p w14:paraId="3D34AFF1" w14:textId="77777777" w:rsidR="00000000" w:rsidRDefault="00C1661D">
            <w:pPr>
              <w:spacing w:after="100"/>
              <w:rPr>
                <w:rFonts w:eastAsia="Times New Roman"/>
                <w:sz w:val="20"/>
                <w:szCs w:val="20"/>
              </w:rPr>
            </w:pPr>
          </w:p>
        </w:tc>
        <w:tc>
          <w:tcPr>
            <w:tcW w:w="19" w:type="pct"/>
            <w:vAlign w:val="center"/>
            <w:hideMark/>
          </w:tcPr>
          <w:p w14:paraId="294E800D" w14:textId="77777777" w:rsidR="00000000" w:rsidRDefault="00C1661D">
            <w:pPr>
              <w:spacing w:after="100"/>
              <w:rPr>
                <w:rFonts w:eastAsia="Times New Roman"/>
                <w:sz w:val="20"/>
                <w:szCs w:val="20"/>
              </w:rPr>
            </w:pPr>
          </w:p>
        </w:tc>
        <w:tc>
          <w:tcPr>
            <w:tcW w:w="5" w:type="pct"/>
            <w:vAlign w:val="center"/>
            <w:hideMark/>
          </w:tcPr>
          <w:p w14:paraId="439341D9" w14:textId="77777777" w:rsidR="00000000" w:rsidRDefault="00C1661D">
            <w:pPr>
              <w:spacing w:after="100"/>
              <w:rPr>
                <w:rFonts w:eastAsia="Times New Roman"/>
                <w:sz w:val="20"/>
                <w:szCs w:val="20"/>
              </w:rPr>
            </w:pPr>
          </w:p>
        </w:tc>
        <w:tc>
          <w:tcPr>
            <w:tcW w:w="50" w:type="pct"/>
            <w:vAlign w:val="center"/>
            <w:hideMark/>
          </w:tcPr>
          <w:p w14:paraId="0351F47B" w14:textId="77777777" w:rsidR="00000000" w:rsidRDefault="00C1661D">
            <w:pPr>
              <w:spacing w:after="100"/>
              <w:rPr>
                <w:rFonts w:eastAsia="Times New Roman"/>
                <w:sz w:val="20"/>
                <w:szCs w:val="20"/>
              </w:rPr>
            </w:pPr>
          </w:p>
        </w:tc>
        <w:tc>
          <w:tcPr>
            <w:tcW w:w="581" w:type="pct"/>
            <w:vAlign w:val="center"/>
            <w:hideMark/>
          </w:tcPr>
          <w:p w14:paraId="7A1CD391" w14:textId="77777777" w:rsidR="00000000" w:rsidRDefault="00C1661D">
            <w:pPr>
              <w:spacing w:after="100"/>
              <w:rPr>
                <w:rFonts w:eastAsia="Times New Roman"/>
                <w:sz w:val="20"/>
                <w:szCs w:val="20"/>
              </w:rPr>
            </w:pPr>
          </w:p>
        </w:tc>
        <w:tc>
          <w:tcPr>
            <w:tcW w:w="5" w:type="pct"/>
            <w:vAlign w:val="center"/>
            <w:hideMark/>
          </w:tcPr>
          <w:p w14:paraId="3EED6D6B" w14:textId="77777777" w:rsidR="00000000" w:rsidRDefault="00C1661D">
            <w:pPr>
              <w:spacing w:after="100"/>
              <w:rPr>
                <w:rFonts w:eastAsia="Times New Roman"/>
                <w:sz w:val="20"/>
                <w:szCs w:val="20"/>
              </w:rPr>
            </w:pPr>
          </w:p>
        </w:tc>
        <w:tc>
          <w:tcPr>
            <w:tcW w:w="0" w:type="auto"/>
            <w:vAlign w:val="center"/>
            <w:hideMark/>
          </w:tcPr>
          <w:p w14:paraId="358B897F" w14:textId="77777777" w:rsidR="00000000" w:rsidRDefault="00C1661D">
            <w:pPr>
              <w:spacing w:after="100"/>
              <w:rPr>
                <w:rFonts w:eastAsia="Times New Roman"/>
                <w:sz w:val="20"/>
                <w:szCs w:val="20"/>
              </w:rPr>
            </w:pPr>
          </w:p>
        </w:tc>
        <w:tc>
          <w:tcPr>
            <w:tcW w:w="0" w:type="auto"/>
            <w:vAlign w:val="center"/>
            <w:hideMark/>
          </w:tcPr>
          <w:p w14:paraId="4526AEFE" w14:textId="77777777" w:rsidR="00000000" w:rsidRDefault="00C1661D">
            <w:pPr>
              <w:spacing w:after="100"/>
              <w:rPr>
                <w:rFonts w:eastAsia="Times New Roman"/>
                <w:sz w:val="20"/>
                <w:szCs w:val="20"/>
              </w:rPr>
            </w:pPr>
          </w:p>
        </w:tc>
      </w:tr>
      <w:tr w:rsidR="00000000" w14:paraId="09FAC406" w14:textId="77777777">
        <w:trPr>
          <w:divId w:val="1493908474"/>
        </w:trPr>
        <w:tc>
          <w:tcPr>
            <w:tcW w:w="0" w:type="auto"/>
            <w:gridSpan w:val="3"/>
            <w:tcMar>
              <w:top w:w="30" w:type="dxa"/>
              <w:left w:w="20" w:type="dxa"/>
              <w:bottom w:w="30" w:type="dxa"/>
              <w:right w:w="20" w:type="dxa"/>
            </w:tcMar>
            <w:vAlign w:val="bottom"/>
            <w:hideMark/>
          </w:tcPr>
          <w:p w14:paraId="38687B77" w14:textId="77777777" w:rsidR="00000000" w:rsidRDefault="00C1661D">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1B55542E" w14:textId="77777777" w:rsidR="00000000" w:rsidRDefault="00C1661D">
            <w:pPr>
              <w:spacing w:after="100"/>
              <w:jc w:val="center"/>
              <w:rPr>
                <w:rFonts w:eastAsia="Times New Roman"/>
              </w:rPr>
            </w:pPr>
            <w:r>
              <w:rPr>
                <w:rFonts w:eastAsia="Times New Roman"/>
                <w:color w:val="000000"/>
                <w:sz w:val="20"/>
                <w:szCs w:val="20"/>
              </w:rPr>
              <w:t>Actual</w:t>
            </w:r>
          </w:p>
        </w:tc>
        <w:tc>
          <w:tcPr>
            <w:tcW w:w="0" w:type="auto"/>
            <w:gridSpan w:val="3"/>
            <w:tcMar>
              <w:top w:w="0" w:type="dxa"/>
              <w:left w:w="20" w:type="dxa"/>
              <w:bottom w:w="0" w:type="dxa"/>
              <w:right w:w="20" w:type="dxa"/>
            </w:tcMar>
            <w:vAlign w:val="center"/>
            <w:hideMark/>
          </w:tcPr>
          <w:p w14:paraId="338B3B48" w14:textId="77777777" w:rsidR="00000000" w:rsidRDefault="00C1661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F6E1970" w14:textId="77777777" w:rsidR="00000000" w:rsidRDefault="00C1661D">
            <w:pPr>
              <w:spacing w:after="100"/>
              <w:jc w:val="center"/>
              <w:rPr>
                <w:rFonts w:eastAsia="Times New Roman"/>
              </w:rPr>
            </w:pPr>
            <w:r>
              <w:rPr>
                <w:rFonts w:eastAsia="Times New Roman"/>
                <w:color w:val="000000"/>
                <w:sz w:val="20"/>
                <w:szCs w:val="20"/>
              </w:rPr>
              <w:t>Target Asset Allocation (b)</w:t>
            </w:r>
          </w:p>
        </w:tc>
        <w:tc>
          <w:tcPr>
            <w:tcW w:w="0" w:type="auto"/>
            <w:vAlign w:val="center"/>
            <w:hideMark/>
          </w:tcPr>
          <w:p w14:paraId="3DD2C730" w14:textId="77777777" w:rsidR="00000000" w:rsidRDefault="00C1661D">
            <w:pPr>
              <w:spacing w:after="100"/>
              <w:jc w:val="center"/>
              <w:rPr>
                <w:rFonts w:eastAsia="Times New Roman"/>
              </w:rPr>
            </w:pPr>
          </w:p>
        </w:tc>
        <w:tc>
          <w:tcPr>
            <w:tcW w:w="0" w:type="auto"/>
            <w:vAlign w:val="center"/>
            <w:hideMark/>
          </w:tcPr>
          <w:p w14:paraId="5A304CAF" w14:textId="77777777" w:rsidR="00000000" w:rsidRDefault="00C1661D">
            <w:pPr>
              <w:spacing w:after="100"/>
              <w:rPr>
                <w:rFonts w:eastAsia="Times New Roman"/>
                <w:sz w:val="20"/>
                <w:szCs w:val="20"/>
              </w:rPr>
            </w:pPr>
          </w:p>
        </w:tc>
      </w:tr>
      <w:tr w:rsidR="00000000" w14:paraId="4CA5063A" w14:textId="77777777">
        <w:trPr>
          <w:divId w:val="1493908474"/>
        </w:trPr>
        <w:tc>
          <w:tcPr>
            <w:tcW w:w="0" w:type="auto"/>
            <w:gridSpan w:val="3"/>
            <w:tcMar>
              <w:top w:w="30" w:type="dxa"/>
              <w:left w:w="20" w:type="dxa"/>
              <w:bottom w:w="30" w:type="dxa"/>
              <w:right w:w="20" w:type="dxa"/>
            </w:tcMar>
            <w:vAlign w:val="bottom"/>
            <w:hideMark/>
          </w:tcPr>
          <w:p w14:paraId="743EC39D"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6E34909"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7875A06E"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9884B6"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1D281190"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3673D1"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3505DCBD"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F200E6"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vAlign w:val="center"/>
            <w:hideMark/>
          </w:tcPr>
          <w:p w14:paraId="2B1940E9" w14:textId="77777777" w:rsidR="00000000" w:rsidRDefault="00C1661D">
            <w:pPr>
              <w:spacing w:after="100"/>
              <w:jc w:val="center"/>
              <w:rPr>
                <w:rFonts w:eastAsia="Times New Roman"/>
              </w:rPr>
            </w:pPr>
          </w:p>
        </w:tc>
        <w:tc>
          <w:tcPr>
            <w:tcW w:w="0" w:type="auto"/>
            <w:vAlign w:val="center"/>
            <w:hideMark/>
          </w:tcPr>
          <w:p w14:paraId="02DBFDD2" w14:textId="77777777" w:rsidR="00000000" w:rsidRDefault="00C1661D">
            <w:pPr>
              <w:spacing w:after="100"/>
              <w:rPr>
                <w:rFonts w:eastAsia="Times New Roman"/>
                <w:sz w:val="20"/>
                <w:szCs w:val="20"/>
              </w:rPr>
            </w:pPr>
          </w:p>
        </w:tc>
      </w:tr>
      <w:tr w:rsidR="00000000" w14:paraId="5F9151E0" w14:textId="77777777">
        <w:trPr>
          <w:divId w:val="1493908474"/>
        </w:trPr>
        <w:tc>
          <w:tcPr>
            <w:tcW w:w="0" w:type="auto"/>
            <w:gridSpan w:val="3"/>
            <w:shd w:val="clear" w:color="auto" w:fill="CCEEFF"/>
            <w:tcMar>
              <w:top w:w="30" w:type="dxa"/>
              <w:left w:w="20" w:type="dxa"/>
              <w:bottom w:w="30" w:type="dxa"/>
              <w:right w:w="20" w:type="dxa"/>
            </w:tcMar>
            <w:vAlign w:val="bottom"/>
            <w:hideMark/>
          </w:tcPr>
          <w:p w14:paraId="71ECCDF7" w14:textId="77777777" w:rsidR="00000000" w:rsidRDefault="00C1661D">
            <w:pPr>
              <w:spacing w:after="100"/>
              <w:rPr>
                <w:rFonts w:eastAsia="Times New Roman"/>
              </w:rPr>
            </w:pPr>
            <w:r>
              <w:rPr>
                <w:rFonts w:eastAsia="Times New Roman"/>
                <w:color w:val="000000"/>
                <w:sz w:val="20"/>
                <w:szCs w:val="20"/>
              </w:rPr>
              <w:t>Equity investments: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4A666FB"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EC9748A"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188A54E"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23A6CA3"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666981B"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8E63D6B"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CF0438" w14:textId="77777777" w:rsidR="00000000" w:rsidRDefault="00C1661D">
            <w:pPr>
              <w:spacing w:after="100"/>
              <w:rPr>
                <w:rFonts w:eastAsia="Times New Roman"/>
                <w:sz w:val="20"/>
                <w:szCs w:val="20"/>
              </w:rPr>
            </w:pPr>
          </w:p>
        </w:tc>
        <w:tc>
          <w:tcPr>
            <w:tcW w:w="0" w:type="auto"/>
            <w:vAlign w:val="center"/>
            <w:hideMark/>
          </w:tcPr>
          <w:p w14:paraId="07E1A3BA" w14:textId="77777777" w:rsidR="00000000" w:rsidRDefault="00C1661D">
            <w:pPr>
              <w:spacing w:after="100"/>
              <w:rPr>
                <w:rFonts w:eastAsia="Times New Roman"/>
                <w:sz w:val="20"/>
                <w:szCs w:val="20"/>
              </w:rPr>
            </w:pPr>
          </w:p>
        </w:tc>
        <w:tc>
          <w:tcPr>
            <w:tcW w:w="0" w:type="auto"/>
            <w:vAlign w:val="center"/>
            <w:hideMark/>
          </w:tcPr>
          <w:p w14:paraId="7652BFB4" w14:textId="77777777" w:rsidR="00000000" w:rsidRDefault="00C1661D">
            <w:pPr>
              <w:spacing w:after="100"/>
              <w:rPr>
                <w:rFonts w:eastAsia="Times New Roman"/>
                <w:sz w:val="20"/>
                <w:szCs w:val="20"/>
              </w:rPr>
            </w:pPr>
          </w:p>
        </w:tc>
      </w:tr>
      <w:tr w:rsidR="00000000" w14:paraId="61CAF670" w14:textId="77777777">
        <w:trPr>
          <w:divId w:val="1493908474"/>
        </w:trPr>
        <w:tc>
          <w:tcPr>
            <w:tcW w:w="0" w:type="auto"/>
            <w:gridSpan w:val="3"/>
            <w:shd w:val="clear" w:color="auto" w:fill="FFFFFF"/>
            <w:tcMar>
              <w:top w:w="30" w:type="dxa"/>
              <w:left w:w="155" w:type="dxa"/>
              <w:bottom w:w="30" w:type="dxa"/>
              <w:right w:w="20" w:type="dxa"/>
            </w:tcMar>
            <w:vAlign w:val="bottom"/>
            <w:hideMark/>
          </w:tcPr>
          <w:p w14:paraId="64FEF762" w14:textId="77777777" w:rsidR="00000000" w:rsidRDefault="00C1661D">
            <w:pPr>
              <w:spacing w:after="100"/>
              <w:rPr>
                <w:rFonts w:eastAsia="Times New Roman"/>
              </w:rPr>
            </w:pPr>
            <w:r>
              <w:rPr>
                <w:rFonts w:eastAsia="Times New Roman"/>
                <w:color w:val="000000"/>
                <w:sz w:val="20"/>
                <w:szCs w:val="20"/>
              </w:rPr>
              <w:t>U.S. equities</w:t>
            </w:r>
          </w:p>
        </w:tc>
        <w:tc>
          <w:tcPr>
            <w:tcW w:w="0" w:type="auto"/>
            <w:gridSpan w:val="2"/>
            <w:shd w:val="clear" w:color="auto" w:fill="FFFFFF"/>
            <w:tcMar>
              <w:top w:w="30" w:type="dxa"/>
              <w:left w:w="20" w:type="dxa"/>
              <w:bottom w:w="30" w:type="dxa"/>
              <w:right w:w="0" w:type="dxa"/>
            </w:tcMar>
            <w:vAlign w:val="bottom"/>
            <w:hideMark/>
          </w:tcPr>
          <w:p w14:paraId="246551DB" w14:textId="77777777" w:rsidR="00000000" w:rsidRDefault="00C1661D">
            <w:pPr>
              <w:spacing w:after="100"/>
              <w:jc w:val="right"/>
              <w:rPr>
                <w:rFonts w:eastAsia="Times New Roman"/>
              </w:rPr>
            </w:pPr>
            <w:r>
              <w:rPr>
                <w:rFonts w:eastAsia="Times New Roman"/>
                <w:color w:val="000000"/>
                <w:sz w:val="20"/>
                <w:szCs w:val="20"/>
              </w:rPr>
              <w:t>26.5 </w:t>
            </w:r>
          </w:p>
        </w:tc>
        <w:tc>
          <w:tcPr>
            <w:tcW w:w="0" w:type="auto"/>
            <w:shd w:val="clear" w:color="auto" w:fill="FFFFFF"/>
            <w:tcMar>
              <w:top w:w="30" w:type="dxa"/>
              <w:left w:w="0" w:type="dxa"/>
              <w:bottom w:w="30" w:type="dxa"/>
              <w:right w:w="20" w:type="dxa"/>
            </w:tcMar>
            <w:vAlign w:val="bottom"/>
            <w:hideMark/>
          </w:tcPr>
          <w:p w14:paraId="5E01FD92"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D69C107" w14:textId="77777777" w:rsidR="00000000" w:rsidRDefault="00C166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1EEE1B" w14:textId="77777777" w:rsidR="00000000" w:rsidRDefault="00C1661D">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14:paraId="16A13D01"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2AE15DF" w14:textId="77777777" w:rsidR="00000000" w:rsidRDefault="00C166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89E2EE" w14:textId="77777777" w:rsidR="00000000" w:rsidRDefault="00C1661D">
            <w:pPr>
              <w:spacing w:after="100"/>
              <w:jc w:val="right"/>
              <w:rPr>
                <w:rFonts w:eastAsia="Times New Roman"/>
              </w:rPr>
            </w:pPr>
            <w:r>
              <w:rPr>
                <w:rFonts w:eastAsia="Times New Roman"/>
                <w:color w:val="000000"/>
                <w:sz w:val="20"/>
                <w:szCs w:val="20"/>
              </w:rPr>
              <w:t>24.7 </w:t>
            </w:r>
          </w:p>
        </w:tc>
        <w:tc>
          <w:tcPr>
            <w:tcW w:w="0" w:type="auto"/>
            <w:shd w:val="clear" w:color="auto" w:fill="FFFFFF"/>
            <w:tcMar>
              <w:top w:w="30" w:type="dxa"/>
              <w:left w:w="0" w:type="dxa"/>
              <w:bottom w:w="30" w:type="dxa"/>
              <w:right w:w="20" w:type="dxa"/>
            </w:tcMar>
            <w:vAlign w:val="bottom"/>
            <w:hideMark/>
          </w:tcPr>
          <w:p w14:paraId="63D392E9"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6B7D54D" w14:textId="77777777" w:rsidR="00000000" w:rsidRDefault="00C166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7ED0F4" w14:textId="77777777" w:rsidR="00000000" w:rsidRDefault="00C1661D">
            <w:pPr>
              <w:spacing w:after="100"/>
              <w:jc w:val="right"/>
              <w:rPr>
                <w:rFonts w:eastAsia="Times New Roman"/>
              </w:rPr>
            </w:pPr>
            <w:r>
              <w:rPr>
                <w:rFonts w:eastAsia="Times New Roman"/>
                <w:color w:val="000000"/>
                <w:sz w:val="20"/>
                <w:szCs w:val="20"/>
              </w:rPr>
              <w:t>25.3 </w:t>
            </w:r>
          </w:p>
        </w:tc>
        <w:tc>
          <w:tcPr>
            <w:tcW w:w="0" w:type="auto"/>
            <w:shd w:val="clear" w:color="auto" w:fill="FFFFFF"/>
            <w:tcMar>
              <w:top w:w="30" w:type="dxa"/>
              <w:left w:w="0" w:type="dxa"/>
              <w:bottom w:w="30" w:type="dxa"/>
              <w:right w:w="20" w:type="dxa"/>
            </w:tcMar>
            <w:vAlign w:val="bottom"/>
            <w:hideMark/>
          </w:tcPr>
          <w:p w14:paraId="3D22DC49" w14:textId="77777777" w:rsidR="00000000" w:rsidRDefault="00C1661D">
            <w:pPr>
              <w:spacing w:after="100"/>
              <w:jc w:val="right"/>
              <w:rPr>
                <w:rFonts w:eastAsia="Times New Roman"/>
              </w:rPr>
            </w:pPr>
            <w:r>
              <w:rPr>
                <w:rFonts w:eastAsia="Times New Roman"/>
                <w:color w:val="000000"/>
                <w:sz w:val="20"/>
                <w:szCs w:val="20"/>
              </w:rPr>
              <w:t>%</w:t>
            </w:r>
          </w:p>
        </w:tc>
        <w:tc>
          <w:tcPr>
            <w:tcW w:w="0" w:type="auto"/>
            <w:vAlign w:val="center"/>
            <w:hideMark/>
          </w:tcPr>
          <w:p w14:paraId="7D69A678" w14:textId="77777777" w:rsidR="00000000" w:rsidRDefault="00C1661D">
            <w:pPr>
              <w:spacing w:after="100"/>
              <w:jc w:val="right"/>
              <w:rPr>
                <w:rFonts w:eastAsia="Times New Roman"/>
              </w:rPr>
            </w:pPr>
          </w:p>
        </w:tc>
        <w:tc>
          <w:tcPr>
            <w:tcW w:w="0" w:type="auto"/>
            <w:vAlign w:val="center"/>
            <w:hideMark/>
          </w:tcPr>
          <w:p w14:paraId="59245482" w14:textId="77777777" w:rsidR="00000000" w:rsidRDefault="00C1661D">
            <w:pPr>
              <w:spacing w:after="100"/>
              <w:rPr>
                <w:rFonts w:eastAsia="Times New Roman"/>
                <w:sz w:val="20"/>
                <w:szCs w:val="20"/>
              </w:rPr>
            </w:pPr>
          </w:p>
        </w:tc>
      </w:tr>
      <w:tr w:rsidR="00000000" w14:paraId="6AB64207" w14:textId="77777777">
        <w:trPr>
          <w:divId w:val="1493908474"/>
        </w:trPr>
        <w:tc>
          <w:tcPr>
            <w:tcW w:w="0" w:type="auto"/>
            <w:gridSpan w:val="3"/>
            <w:shd w:val="clear" w:color="auto" w:fill="CCEEFF"/>
            <w:tcMar>
              <w:top w:w="30" w:type="dxa"/>
              <w:left w:w="155" w:type="dxa"/>
              <w:bottom w:w="30" w:type="dxa"/>
              <w:right w:w="20" w:type="dxa"/>
            </w:tcMar>
            <w:vAlign w:val="bottom"/>
            <w:hideMark/>
          </w:tcPr>
          <w:p w14:paraId="425D0027" w14:textId="77777777" w:rsidR="00000000" w:rsidRDefault="00C1661D">
            <w:pPr>
              <w:spacing w:after="100"/>
              <w:rPr>
                <w:rFonts w:eastAsia="Times New Roman"/>
              </w:rPr>
            </w:pPr>
            <w:r>
              <w:rPr>
                <w:rFonts w:eastAsia="Times New Roman"/>
                <w:color w:val="000000"/>
                <w:sz w:val="20"/>
                <w:szCs w:val="20"/>
              </w:rPr>
              <w:t>Non-U.S. equities</w:t>
            </w:r>
          </w:p>
        </w:tc>
        <w:tc>
          <w:tcPr>
            <w:tcW w:w="0" w:type="auto"/>
            <w:gridSpan w:val="2"/>
            <w:shd w:val="clear" w:color="auto" w:fill="CCEEFF"/>
            <w:tcMar>
              <w:top w:w="30" w:type="dxa"/>
              <w:left w:w="20" w:type="dxa"/>
              <w:bottom w:w="30" w:type="dxa"/>
              <w:right w:w="0" w:type="dxa"/>
            </w:tcMar>
            <w:vAlign w:val="bottom"/>
            <w:hideMark/>
          </w:tcPr>
          <w:p w14:paraId="04DBAD5E" w14:textId="77777777" w:rsidR="00000000" w:rsidRDefault="00C1661D">
            <w:pPr>
              <w:spacing w:after="100"/>
              <w:jc w:val="right"/>
              <w:rPr>
                <w:rFonts w:eastAsia="Times New Roman"/>
              </w:rPr>
            </w:pPr>
            <w:r>
              <w:rPr>
                <w:rFonts w:eastAsia="Times New Roman"/>
                <w:color w:val="000000"/>
                <w:sz w:val="20"/>
                <w:szCs w:val="20"/>
              </w:rPr>
              <w:t>20.9 </w:t>
            </w:r>
          </w:p>
        </w:tc>
        <w:tc>
          <w:tcPr>
            <w:tcW w:w="0" w:type="auto"/>
            <w:shd w:val="clear" w:color="auto" w:fill="CCEEFF"/>
            <w:tcMar>
              <w:top w:w="30" w:type="dxa"/>
              <w:left w:w="0" w:type="dxa"/>
              <w:bottom w:w="30" w:type="dxa"/>
              <w:right w:w="20" w:type="dxa"/>
            </w:tcMar>
            <w:vAlign w:val="bottom"/>
            <w:hideMark/>
          </w:tcPr>
          <w:p w14:paraId="7A96906A"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D2F2538" w14:textId="77777777" w:rsidR="00000000" w:rsidRDefault="00C166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B3D925" w14:textId="77777777" w:rsidR="00000000" w:rsidRDefault="00C1661D">
            <w:pPr>
              <w:spacing w:after="100"/>
              <w:jc w:val="right"/>
              <w:rPr>
                <w:rFonts w:eastAsia="Times New Roman"/>
              </w:rPr>
            </w:pPr>
            <w:r>
              <w:rPr>
                <w:rFonts w:eastAsia="Times New Roman"/>
                <w:color w:val="000000"/>
                <w:sz w:val="20"/>
                <w:szCs w:val="20"/>
              </w:rPr>
              <w:t>21.7 </w:t>
            </w:r>
          </w:p>
        </w:tc>
        <w:tc>
          <w:tcPr>
            <w:tcW w:w="0" w:type="auto"/>
            <w:shd w:val="clear" w:color="auto" w:fill="CCEEFF"/>
            <w:tcMar>
              <w:top w:w="30" w:type="dxa"/>
              <w:left w:w="0" w:type="dxa"/>
              <w:bottom w:w="30" w:type="dxa"/>
              <w:right w:w="20" w:type="dxa"/>
            </w:tcMar>
            <w:vAlign w:val="bottom"/>
            <w:hideMark/>
          </w:tcPr>
          <w:p w14:paraId="529E2766"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85A4E6C" w14:textId="77777777" w:rsidR="00000000" w:rsidRDefault="00C166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7F3AF5" w14:textId="77777777" w:rsidR="00000000" w:rsidRDefault="00C1661D">
            <w:pPr>
              <w:spacing w:after="100"/>
              <w:jc w:val="right"/>
              <w:rPr>
                <w:rFonts w:eastAsia="Times New Roman"/>
              </w:rPr>
            </w:pPr>
            <w:r>
              <w:rPr>
                <w:rFonts w:eastAsia="Times New Roman"/>
                <w:color w:val="000000"/>
                <w:sz w:val="20"/>
                <w:szCs w:val="20"/>
              </w:rPr>
              <w:t>20.9 </w:t>
            </w:r>
          </w:p>
        </w:tc>
        <w:tc>
          <w:tcPr>
            <w:tcW w:w="0" w:type="auto"/>
            <w:shd w:val="clear" w:color="auto" w:fill="CCEEFF"/>
            <w:tcMar>
              <w:top w:w="30" w:type="dxa"/>
              <w:left w:w="0" w:type="dxa"/>
              <w:bottom w:w="30" w:type="dxa"/>
              <w:right w:w="20" w:type="dxa"/>
            </w:tcMar>
            <w:vAlign w:val="bottom"/>
            <w:hideMark/>
          </w:tcPr>
          <w:p w14:paraId="3B05ABE9"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3A0DA7E" w14:textId="77777777" w:rsidR="00000000" w:rsidRDefault="00C166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EAED3D" w14:textId="77777777" w:rsidR="00000000" w:rsidRDefault="00C1661D">
            <w:pPr>
              <w:spacing w:after="100"/>
              <w:jc w:val="right"/>
              <w:rPr>
                <w:rFonts w:eastAsia="Times New Roman"/>
              </w:rPr>
            </w:pPr>
            <w:r>
              <w:rPr>
                <w:rFonts w:eastAsia="Times New Roman"/>
                <w:color w:val="000000"/>
                <w:sz w:val="20"/>
                <w:szCs w:val="20"/>
              </w:rPr>
              <w:t>21.4 </w:t>
            </w:r>
          </w:p>
        </w:tc>
        <w:tc>
          <w:tcPr>
            <w:tcW w:w="0" w:type="auto"/>
            <w:shd w:val="clear" w:color="auto" w:fill="CCEEFF"/>
            <w:tcMar>
              <w:top w:w="30" w:type="dxa"/>
              <w:left w:w="0" w:type="dxa"/>
              <w:bottom w:w="30" w:type="dxa"/>
              <w:right w:w="20" w:type="dxa"/>
            </w:tcMar>
            <w:vAlign w:val="bottom"/>
            <w:hideMark/>
          </w:tcPr>
          <w:p w14:paraId="4B9C125A" w14:textId="77777777" w:rsidR="00000000" w:rsidRDefault="00C1661D">
            <w:pPr>
              <w:spacing w:after="100"/>
              <w:jc w:val="right"/>
              <w:rPr>
                <w:rFonts w:eastAsia="Times New Roman"/>
              </w:rPr>
            </w:pPr>
            <w:r>
              <w:rPr>
                <w:rFonts w:eastAsia="Times New Roman"/>
                <w:color w:val="000000"/>
                <w:sz w:val="20"/>
                <w:szCs w:val="20"/>
              </w:rPr>
              <w:t>%</w:t>
            </w:r>
          </w:p>
        </w:tc>
        <w:tc>
          <w:tcPr>
            <w:tcW w:w="0" w:type="auto"/>
            <w:vAlign w:val="center"/>
            <w:hideMark/>
          </w:tcPr>
          <w:p w14:paraId="3D78F4B1" w14:textId="77777777" w:rsidR="00000000" w:rsidRDefault="00C1661D">
            <w:pPr>
              <w:spacing w:after="100"/>
              <w:jc w:val="right"/>
              <w:rPr>
                <w:rFonts w:eastAsia="Times New Roman"/>
              </w:rPr>
            </w:pPr>
          </w:p>
        </w:tc>
        <w:tc>
          <w:tcPr>
            <w:tcW w:w="0" w:type="auto"/>
            <w:vAlign w:val="center"/>
            <w:hideMark/>
          </w:tcPr>
          <w:p w14:paraId="644FF6A7" w14:textId="77777777" w:rsidR="00000000" w:rsidRDefault="00C1661D">
            <w:pPr>
              <w:spacing w:after="100"/>
              <w:rPr>
                <w:rFonts w:eastAsia="Times New Roman"/>
                <w:sz w:val="20"/>
                <w:szCs w:val="20"/>
              </w:rPr>
            </w:pPr>
          </w:p>
        </w:tc>
      </w:tr>
      <w:tr w:rsidR="00000000" w14:paraId="2D9F499F" w14:textId="77777777">
        <w:trPr>
          <w:divId w:val="1493908474"/>
        </w:trPr>
        <w:tc>
          <w:tcPr>
            <w:tcW w:w="0" w:type="auto"/>
            <w:gridSpan w:val="3"/>
            <w:shd w:val="clear" w:color="auto" w:fill="FFFFFF"/>
            <w:tcMar>
              <w:top w:w="30" w:type="dxa"/>
              <w:left w:w="155" w:type="dxa"/>
              <w:bottom w:w="30" w:type="dxa"/>
              <w:right w:w="20" w:type="dxa"/>
            </w:tcMar>
            <w:vAlign w:val="bottom"/>
            <w:hideMark/>
          </w:tcPr>
          <w:p w14:paraId="6D0FECD1" w14:textId="77777777" w:rsidR="00000000" w:rsidRDefault="00C1661D">
            <w:pPr>
              <w:spacing w:after="100"/>
              <w:rPr>
                <w:rFonts w:eastAsia="Times New Roman"/>
              </w:rPr>
            </w:pPr>
            <w:r>
              <w:rPr>
                <w:rFonts w:eastAsia="Times New Roman"/>
                <w:color w:val="000000"/>
                <w:sz w:val="20"/>
                <w:szCs w:val="20"/>
              </w:rPr>
              <w:t>Global equities (a)</w:t>
            </w:r>
          </w:p>
        </w:tc>
        <w:tc>
          <w:tcPr>
            <w:tcW w:w="0" w:type="auto"/>
            <w:gridSpan w:val="2"/>
            <w:shd w:val="clear" w:color="auto" w:fill="FFFFFF"/>
            <w:tcMar>
              <w:top w:w="30" w:type="dxa"/>
              <w:left w:w="20" w:type="dxa"/>
              <w:bottom w:w="30" w:type="dxa"/>
              <w:right w:w="0" w:type="dxa"/>
            </w:tcMar>
            <w:vAlign w:val="bottom"/>
            <w:hideMark/>
          </w:tcPr>
          <w:p w14:paraId="16FD0BCF" w14:textId="77777777" w:rsidR="00000000" w:rsidRDefault="00C1661D">
            <w:pPr>
              <w:spacing w:after="100"/>
              <w:jc w:val="right"/>
              <w:rPr>
                <w:rFonts w:eastAsia="Times New Roman"/>
              </w:rPr>
            </w:pPr>
            <w:r>
              <w:rPr>
                <w:rFonts w:eastAsia="Times New Roman"/>
                <w:color w:val="000000"/>
                <w:sz w:val="20"/>
                <w:szCs w:val="20"/>
              </w:rPr>
              <w:t>13.8 </w:t>
            </w:r>
          </w:p>
        </w:tc>
        <w:tc>
          <w:tcPr>
            <w:tcW w:w="0" w:type="auto"/>
            <w:shd w:val="clear" w:color="auto" w:fill="FFFFFF"/>
            <w:tcMar>
              <w:top w:w="30" w:type="dxa"/>
              <w:left w:w="0" w:type="dxa"/>
              <w:bottom w:w="30" w:type="dxa"/>
              <w:right w:w="20" w:type="dxa"/>
            </w:tcMar>
            <w:vAlign w:val="bottom"/>
            <w:hideMark/>
          </w:tcPr>
          <w:p w14:paraId="04BABDAC"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B0B2F2D" w14:textId="77777777" w:rsidR="00000000" w:rsidRDefault="00C166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1D93F5" w14:textId="77777777" w:rsidR="00000000" w:rsidRDefault="00C1661D">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14:paraId="54C20A33"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30E2B75" w14:textId="77777777" w:rsidR="00000000" w:rsidRDefault="00C166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A5F4AE" w14:textId="77777777" w:rsidR="00000000" w:rsidRDefault="00C1661D">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14:paraId="16A89480"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C55AB72" w14:textId="77777777" w:rsidR="00000000" w:rsidRDefault="00C166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9F100D" w14:textId="77777777" w:rsidR="00000000" w:rsidRDefault="00C1661D">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14:paraId="3A37A22F" w14:textId="77777777" w:rsidR="00000000" w:rsidRDefault="00C1661D">
            <w:pPr>
              <w:spacing w:after="100"/>
              <w:jc w:val="right"/>
              <w:rPr>
                <w:rFonts w:eastAsia="Times New Roman"/>
              </w:rPr>
            </w:pPr>
            <w:r>
              <w:rPr>
                <w:rFonts w:eastAsia="Times New Roman"/>
                <w:color w:val="000000"/>
                <w:sz w:val="20"/>
                <w:szCs w:val="20"/>
              </w:rPr>
              <w:t>%</w:t>
            </w:r>
          </w:p>
        </w:tc>
        <w:tc>
          <w:tcPr>
            <w:tcW w:w="0" w:type="auto"/>
            <w:vAlign w:val="center"/>
            <w:hideMark/>
          </w:tcPr>
          <w:p w14:paraId="0355A84A" w14:textId="77777777" w:rsidR="00000000" w:rsidRDefault="00C1661D">
            <w:pPr>
              <w:spacing w:after="100"/>
              <w:jc w:val="right"/>
              <w:rPr>
                <w:rFonts w:eastAsia="Times New Roman"/>
              </w:rPr>
            </w:pPr>
          </w:p>
        </w:tc>
        <w:tc>
          <w:tcPr>
            <w:tcW w:w="0" w:type="auto"/>
            <w:vAlign w:val="center"/>
            <w:hideMark/>
          </w:tcPr>
          <w:p w14:paraId="0825CFBD" w14:textId="77777777" w:rsidR="00000000" w:rsidRDefault="00C1661D">
            <w:pPr>
              <w:spacing w:after="100"/>
              <w:rPr>
                <w:rFonts w:eastAsia="Times New Roman"/>
                <w:sz w:val="20"/>
                <w:szCs w:val="20"/>
              </w:rPr>
            </w:pPr>
          </w:p>
        </w:tc>
      </w:tr>
      <w:tr w:rsidR="00000000" w14:paraId="2336FC48" w14:textId="77777777">
        <w:trPr>
          <w:divId w:val="1493908474"/>
        </w:trPr>
        <w:tc>
          <w:tcPr>
            <w:tcW w:w="0" w:type="auto"/>
            <w:gridSpan w:val="3"/>
            <w:shd w:val="clear" w:color="auto" w:fill="CCEEFF"/>
            <w:tcMar>
              <w:top w:w="30" w:type="dxa"/>
              <w:left w:w="380" w:type="dxa"/>
              <w:bottom w:w="30" w:type="dxa"/>
              <w:right w:w="20" w:type="dxa"/>
            </w:tcMar>
            <w:vAlign w:val="bottom"/>
            <w:hideMark/>
          </w:tcPr>
          <w:p w14:paraId="52D828EF" w14:textId="77777777" w:rsidR="00000000" w:rsidRDefault="00C1661D">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A7404D" w14:textId="77777777" w:rsidR="00000000" w:rsidRDefault="00C1661D">
            <w:pPr>
              <w:spacing w:after="100"/>
              <w:jc w:val="right"/>
              <w:rPr>
                <w:rFonts w:eastAsia="Times New Roman"/>
              </w:rPr>
            </w:pPr>
            <w:r>
              <w:rPr>
                <w:rFonts w:eastAsia="Times New Roman"/>
                <w:color w:val="000000"/>
                <w:sz w:val="20"/>
                <w:szCs w:val="20"/>
              </w:rPr>
              <w:t>61.2 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5A9DE5"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F681E74" w14:textId="77777777" w:rsidR="00000000" w:rsidRDefault="00C1661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650DD2" w14:textId="77777777" w:rsidR="00000000" w:rsidRDefault="00C1661D">
            <w:pPr>
              <w:spacing w:after="100"/>
              <w:jc w:val="right"/>
              <w:rPr>
                <w:rFonts w:eastAsia="Times New Roman"/>
              </w:rPr>
            </w:pPr>
            <w:r>
              <w:rPr>
                <w:rFonts w:eastAsia="Times New Roman"/>
                <w:color w:val="000000"/>
                <w:sz w:val="20"/>
                <w:szCs w:val="20"/>
              </w:rPr>
              <w:t>59.9 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D02EA5"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89A456F" w14:textId="77777777" w:rsidR="00000000" w:rsidRDefault="00C1661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6696D5" w14:textId="77777777" w:rsidR="00000000" w:rsidRDefault="00C1661D">
            <w:pPr>
              <w:spacing w:after="100"/>
              <w:jc w:val="right"/>
              <w:rPr>
                <w:rFonts w:eastAsia="Times New Roman"/>
              </w:rPr>
            </w:pPr>
            <w:r>
              <w:rPr>
                <w:rFonts w:eastAsia="Times New Roman"/>
                <w:color w:val="000000"/>
                <w:sz w:val="20"/>
                <w:szCs w:val="20"/>
              </w:rPr>
              <w:t>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B5253F"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B62C0BF" w14:textId="77777777" w:rsidR="00000000" w:rsidRDefault="00C1661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89430A" w14:textId="77777777" w:rsidR="00000000" w:rsidRDefault="00C1661D">
            <w:pPr>
              <w:spacing w:after="100"/>
              <w:jc w:val="right"/>
              <w:rPr>
                <w:rFonts w:eastAsia="Times New Roman"/>
              </w:rPr>
            </w:pPr>
            <w:r>
              <w:rPr>
                <w:rFonts w:eastAsia="Times New Roman"/>
                <w:color w:val="000000"/>
                <w:sz w:val="20"/>
                <w:szCs w:val="20"/>
              </w:rPr>
              <w:t>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DDC6CE" w14:textId="77777777" w:rsidR="00000000" w:rsidRDefault="00C1661D">
            <w:pPr>
              <w:spacing w:after="100"/>
              <w:jc w:val="right"/>
              <w:rPr>
                <w:rFonts w:eastAsia="Times New Roman"/>
              </w:rPr>
            </w:pPr>
            <w:r>
              <w:rPr>
                <w:rFonts w:eastAsia="Times New Roman"/>
                <w:color w:val="000000"/>
                <w:sz w:val="20"/>
                <w:szCs w:val="20"/>
              </w:rPr>
              <w:t>%</w:t>
            </w:r>
          </w:p>
        </w:tc>
        <w:tc>
          <w:tcPr>
            <w:tcW w:w="0" w:type="auto"/>
            <w:vAlign w:val="center"/>
            <w:hideMark/>
          </w:tcPr>
          <w:p w14:paraId="79207D29" w14:textId="77777777" w:rsidR="00000000" w:rsidRDefault="00C1661D">
            <w:pPr>
              <w:spacing w:after="100"/>
              <w:jc w:val="right"/>
              <w:rPr>
                <w:rFonts w:eastAsia="Times New Roman"/>
              </w:rPr>
            </w:pPr>
          </w:p>
        </w:tc>
        <w:tc>
          <w:tcPr>
            <w:tcW w:w="0" w:type="auto"/>
            <w:vAlign w:val="center"/>
            <w:hideMark/>
          </w:tcPr>
          <w:p w14:paraId="6E6E942A" w14:textId="77777777" w:rsidR="00000000" w:rsidRDefault="00C1661D">
            <w:pPr>
              <w:spacing w:after="100"/>
              <w:rPr>
                <w:rFonts w:eastAsia="Times New Roman"/>
                <w:sz w:val="20"/>
                <w:szCs w:val="20"/>
              </w:rPr>
            </w:pPr>
          </w:p>
        </w:tc>
      </w:tr>
      <w:tr w:rsidR="00000000" w14:paraId="26D12862" w14:textId="77777777">
        <w:trPr>
          <w:divId w:val="1493908474"/>
        </w:trPr>
        <w:tc>
          <w:tcPr>
            <w:tcW w:w="0" w:type="auto"/>
            <w:gridSpan w:val="3"/>
            <w:shd w:val="clear" w:color="auto" w:fill="FFFFFF"/>
            <w:tcMar>
              <w:top w:w="30" w:type="dxa"/>
              <w:left w:w="20" w:type="dxa"/>
              <w:bottom w:w="30" w:type="dxa"/>
              <w:right w:w="20" w:type="dxa"/>
            </w:tcMar>
            <w:vAlign w:val="bottom"/>
            <w:hideMark/>
          </w:tcPr>
          <w:p w14:paraId="0F7914BA" w14:textId="77777777" w:rsidR="00000000" w:rsidRDefault="00C1661D">
            <w:pPr>
              <w:spacing w:after="100"/>
              <w:rPr>
                <w:rFonts w:eastAsia="Times New Roman"/>
              </w:rPr>
            </w:pPr>
            <w:r>
              <w:rPr>
                <w:rFonts w:eastAsia="Times New Roman"/>
                <w:color w:val="000000"/>
                <w:sz w:val="20"/>
                <w:szCs w:val="20"/>
              </w:rPr>
              <w:t>Fixed income funds &amp; cash equivalents</w:t>
            </w:r>
          </w:p>
        </w:tc>
        <w:tc>
          <w:tcPr>
            <w:tcW w:w="0" w:type="auto"/>
            <w:gridSpan w:val="2"/>
            <w:shd w:val="clear" w:color="auto" w:fill="FFFFFF"/>
            <w:tcMar>
              <w:top w:w="30" w:type="dxa"/>
              <w:left w:w="20" w:type="dxa"/>
              <w:bottom w:w="30" w:type="dxa"/>
              <w:right w:w="0" w:type="dxa"/>
            </w:tcMar>
            <w:vAlign w:val="bottom"/>
            <w:hideMark/>
          </w:tcPr>
          <w:p w14:paraId="331CCA62" w14:textId="77777777" w:rsidR="00000000" w:rsidRDefault="00C1661D">
            <w:pPr>
              <w:spacing w:after="100"/>
              <w:jc w:val="right"/>
              <w:rPr>
                <w:rFonts w:eastAsia="Times New Roman"/>
              </w:rPr>
            </w:pPr>
            <w:r>
              <w:rPr>
                <w:rFonts w:eastAsia="Times New Roman"/>
                <w:color w:val="000000"/>
                <w:sz w:val="20"/>
                <w:szCs w:val="20"/>
              </w:rPr>
              <w:t>35.5 </w:t>
            </w:r>
          </w:p>
        </w:tc>
        <w:tc>
          <w:tcPr>
            <w:tcW w:w="0" w:type="auto"/>
            <w:shd w:val="clear" w:color="auto" w:fill="FFFFFF"/>
            <w:tcMar>
              <w:top w:w="30" w:type="dxa"/>
              <w:left w:w="0" w:type="dxa"/>
              <w:bottom w:w="30" w:type="dxa"/>
              <w:right w:w="20" w:type="dxa"/>
            </w:tcMar>
            <w:vAlign w:val="bottom"/>
            <w:hideMark/>
          </w:tcPr>
          <w:p w14:paraId="728CEEE2"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3B559C7" w14:textId="77777777" w:rsidR="00000000" w:rsidRDefault="00C166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41DC90" w14:textId="77777777" w:rsidR="00000000" w:rsidRDefault="00C1661D">
            <w:pPr>
              <w:spacing w:after="100"/>
              <w:jc w:val="right"/>
              <w:rPr>
                <w:rFonts w:eastAsia="Times New Roman"/>
              </w:rPr>
            </w:pPr>
            <w:r>
              <w:rPr>
                <w:rFonts w:eastAsia="Times New Roman"/>
                <w:color w:val="000000"/>
                <w:sz w:val="20"/>
                <w:szCs w:val="20"/>
              </w:rPr>
              <w:t>36.4 </w:t>
            </w:r>
          </w:p>
        </w:tc>
        <w:tc>
          <w:tcPr>
            <w:tcW w:w="0" w:type="auto"/>
            <w:shd w:val="clear" w:color="auto" w:fill="FFFFFF"/>
            <w:tcMar>
              <w:top w:w="30" w:type="dxa"/>
              <w:left w:w="0" w:type="dxa"/>
              <w:bottom w:w="30" w:type="dxa"/>
              <w:right w:w="20" w:type="dxa"/>
            </w:tcMar>
            <w:vAlign w:val="bottom"/>
            <w:hideMark/>
          </w:tcPr>
          <w:p w14:paraId="1CB78623"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7A1B013" w14:textId="77777777" w:rsidR="00000000" w:rsidRDefault="00C166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ECAE0F" w14:textId="77777777" w:rsidR="00000000" w:rsidRDefault="00C1661D">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14:paraId="32DE312B"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1110F8C" w14:textId="77777777" w:rsidR="00000000" w:rsidRDefault="00C1661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8E27EE" w14:textId="77777777" w:rsidR="00000000" w:rsidRDefault="00C1661D">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14:paraId="269EA689" w14:textId="77777777" w:rsidR="00000000" w:rsidRDefault="00C1661D">
            <w:pPr>
              <w:spacing w:after="100"/>
              <w:jc w:val="right"/>
              <w:rPr>
                <w:rFonts w:eastAsia="Times New Roman"/>
              </w:rPr>
            </w:pPr>
            <w:r>
              <w:rPr>
                <w:rFonts w:eastAsia="Times New Roman"/>
                <w:color w:val="000000"/>
                <w:sz w:val="20"/>
                <w:szCs w:val="20"/>
              </w:rPr>
              <w:t>%</w:t>
            </w:r>
          </w:p>
        </w:tc>
        <w:tc>
          <w:tcPr>
            <w:tcW w:w="0" w:type="auto"/>
            <w:vAlign w:val="center"/>
            <w:hideMark/>
          </w:tcPr>
          <w:p w14:paraId="2F679DC7" w14:textId="77777777" w:rsidR="00000000" w:rsidRDefault="00C1661D">
            <w:pPr>
              <w:spacing w:after="100"/>
              <w:jc w:val="right"/>
              <w:rPr>
                <w:rFonts w:eastAsia="Times New Roman"/>
              </w:rPr>
            </w:pPr>
          </w:p>
        </w:tc>
        <w:tc>
          <w:tcPr>
            <w:tcW w:w="0" w:type="auto"/>
            <w:vAlign w:val="center"/>
            <w:hideMark/>
          </w:tcPr>
          <w:p w14:paraId="351CA420" w14:textId="77777777" w:rsidR="00000000" w:rsidRDefault="00C1661D">
            <w:pPr>
              <w:spacing w:after="100"/>
              <w:rPr>
                <w:rFonts w:eastAsia="Times New Roman"/>
                <w:sz w:val="20"/>
                <w:szCs w:val="20"/>
              </w:rPr>
            </w:pPr>
          </w:p>
        </w:tc>
      </w:tr>
      <w:tr w:rsidR="00000000" w14:paraId="625A1B4B" w14:textId="77777777">
        <w:trPr>
          <w:divId w:val="1493908474"/>
        </w:trPr>
        <w:tc>
          <w:tcPr>
            <w:tcW w:w="0" w:type="auto"/>
            <w:gridSpan w:val="3"/>
            <w:shd w:val="clear" w:color="auto" w:fill="CCEEFF"/>
            <w:tcMar>
              <w:top w:w="30" w:type="dxa"/>
              <w:left w:w="20" w:type="dxa"/>
              <w:bottom w:w="30" w:type="dxa"/>
              <w:right w:w="20" w:type="dxa"/>
            </w:tcMar>
            <w:vAlign w:val="bottom"/>
            <w:hideMark/>
          </w:tcPr>
          <w:p w14:paraId="4106F964" w14:textId="77777777" w:rsidR="00000000" w:rsidRDefault="00C1661D">
            <w:pPr>
              <w:spacing w:after="100"/>
              <w:rPr>
                <w:rFonts w:eastAsia="Times New Roman"/>
              </w:rPr>
            </w:pPr>
            <w:r>
              <w:rPr>
                <w:rFonts w:eastAsia="Times New Roman"/>
                <w:color w:val="000000"/>
                <w:sz w:val="20"/>
                <w:szCs w:val="20"/>
              </w:rPr>
              <w:t>Alternative investments</w:t>
            </w:r>
          </w:p>
        </w:tc>
        <w:tc>
          <w:tcPr>
            <w:tcW w:w="0" w:type="auto"/>
            <w:gridSpan w:val="2"/>
            <w:shd w:val="clear" w:color="auto" w:fill="CCEEFF"/>
            <w:tcMar>
              <w:top w:w="30" w:type="dxa"/>
              <w:left w:w="20" w:type="dxa"/>
              <w:bottom w:w="30" w:type="dxa"/>
              <w:right w:w="0" w:type="dxa"/>
            </w:tcMar>
            <w:vAlign w:val="bottom"/>
            <w:hideMark/>
          </w:tcPr>
          <w:p w14:paraId="439A373D" w14:textId="77777777" w:rsidR="00000000" w:rsidRDefault="00C1661D">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14:paraId="0E45E4B2"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A6349B9" w14:textId="77777777" w:rsidR="00000000" w:rsidRDefault="00C166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0FF581" w14:textId="77777777" w:rsidR="00000000" w:rsidRDefault="00C1661D">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14:paraId="054A31A8"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A5F9AB4" w14:textId="77777777" w:rsidR="00000000" w:rsidRDefault="00C166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BEA65D" w14:textId="77777777" w:rsidR="00000000" w:rsidRDefault="00C1661D">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14:paraId="7D00EF62"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7EC8C3F" w14:textId="77777777" w:rsidR="00000000" w:rsidRDefault="00C1661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CD1A4A" w14:textId="77777777" w:rsidR="00000000" w:rsidRDefault="00C1661D">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14:paraId="2F7654B6" w14:textId="77777777" w:rsidR="00000000" w:rsidRDefault="00C1661D">
            <w:pPr>
              <w:spacing w:after="100"/>
              <w:jc w:val="right"/>
              <w:rPr>
                <w:rFonts w:eastAsia="Times New Roman"/>
              </w:rPr>
            </w:pPr>
            <w:r>
              <w:rPr>
                <w:rFonts w:eastAsia="Times New Roman"/>
                <w:color w:val="000000"/>
                <w:sz w:val="20"/>
                <w:szCs w:val="20"/>
              </w:rPr>
              <w:t>%</w:t>
            </w:r>
          </w:p>
        </w:tc>
        <w:tc>
          <w:tcPr>
            <w:tcW w:w="0" w:type="auto"/>
            <w:vAlign w:val="center"/>
            <w:hideMark/>
          </w:tcPr>
          <w:p w14:paraId="699C9D10" w14:textId="77777777" w:rsidR="00000000" w:rsidRDefault="00C1661D">
            <w:pPr>
              <w:spacing w:after="100"/>
              <w:jc w:val="right"/>
              <w:rPr>
                <w:rFonts w:eastAsia="Times New Roman"/>
              </w:rPr>
            </w:pPr>
          </w:p>
        </w:tc>
        <w:tc>
          <w:tcPr>
            <w:tcW w:w="0" w:type="auto"/>
            <w:vAlign w:val="center"/>
            <w:hideMark/>
          </w:tcPr>
          <w:p w14:paraId="38424B93" w14:textId="77777777" w:rsidR="00000000" w:rsidRDefault="00C1661D">
            <w:pPr>
              <w:spacing w:after="100"/>
              <w:rPr>
                <w:rFonts w:eastAsia="Times New Roman"/>
                <w:sz w:val="20"/>
                <w:szCs w:val="20"/>
              </w:rPr>
            </w:pPr>
          </w:p>
        </w:tc>
      </w:tr>
      <w:tr w:rsidR="00000000" w14:paraId="4C2C9B97" w14:textId="77777777">
        <w:trPr>
          <w:divId w:val="1493908474"/>
        </w:trPr>
        <w:tc>
          <w:tcPr>
            <w:tcW w:w="0" w:type="auto"/>
            <w:gridSpan w:val="3"/>
            <w:shd w:val="clear" w:color="auto" w:fill="FFFFFF"/>
            <w:tcMar>
              <w:top w:w="30" w:type="dxa"/>
              <w:left w:w="155" w:type="dxa"/>
              <w:bottom w:w="30" w:type="dxa"/>
              <w:right w:w="20" w:type="dxa"/>
            </w:tcMar>
            <w:vAlign w:val="bottom"/>
            <w:hideMark/>
          </w:tcPr>
          <w:p w14:paraId="35D604BB" w14:textId="77777777" w:rsidR="00000000" w:rsidRDefault="00C1661D">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8056C4" w14:textId="77777777" w:rsidR="00000000" w:rsidRDefault="00C1661D">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C8D9F6E"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02A0D1C" w14:textId="77777777" w:rsidR="00000000" w:rsidRDefault="00C1661D">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45D652" w14:textId="77777777" w:rsidR="00000000" w:rsidRDefault="00C1661D">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3BD809"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4DBBFB6" w14:textId="77777777" w:rsidR="00000000" w:rsidRDefault="00C1661D">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569F48" w14:textId="77777777" w:rsidR="00000000" w:rsidRDefault="00C1661D">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F2951DD"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F367AC8" w14:textId="77777777" w:rsidR="00000000" w:rsidRDefault="00C1661D">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1108ED" w14:textId="77777777" w:rsidR="00000000" w:rsidRDefault="00C1661D">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901D67" w14:textId="77777777" w:rsidR="00000000" w:rsidRDefault="00C1661D">
            <w:pPr>
              <w:spacing w:after="100"/>
              <w:jc w:val="right"/>
              <w:rPr>
                <w:rFonts w:eastAsia="Times New Roman"/>
              </w:rPr>
            </w:pPr>
            <w:r>
              <w:rPr>
                <w:rFonts w:eastAsia="Times New Roman"/>
                <w:color w:val="000000"/>
                <w:sz w:val="20"/>
                <w:szCs w:val="20"/>
              </w:rPr>
              <w:t>%</w:t>
            </w:r>
          </w:p>
        </w:tc>
        <w:tc>
          <w:tcPr>
            <w:tcW w:w="0" w:type="auto"/>
            <w:vAlign w:val="center"/>
            <w:hideMark/>
          </w:tcPr>
          <w:p w14:paraId="03C4BFD4" w14:textId="77777777" w:rsidR="00000000" w:rsidRDefault="00C1661D">
            <w:pPr>
              <w:spacing w:after="100"/>
              <w:jc w:val="right"/>
              <w:rPr>
                <w:rFonts w:eastAsia="Times New Roman"/>
              </w:rPr>
            </w:pPr>
          </w:p>
        </w:tc>
        <w:tc>
          <w:tcPr>
            <w:tcW w:w="0" w:type="auto"/>
            <w:vAlign w:val="center"/>
            <w:hideMark/>
          </w:tcPr>
          <w:p w14:paraId="2DFFDF77" w14:textId="77777777" w:rsidR="00000000" w:rsidRDefault="00C1661D">
            <w:pPr>
              <w:spacing w:after="100"/>
              <w:rPr>
                <w:rFonts w:eastAsia="Times New Roman"/>
                <w:sz w:val="20"/>
                <w:szCs w:val="20"/>
              </w:rPr>
            </w:pPr>
          </w:p>
        </w:tc>
      </w:tr>
    </w:tbl>
    <w:p w14:paraId="6659D502" w14:textId="77777777" w:rsidR="00000000" w:rsidRDefault="00C1661D">
      <w:pPr>
        <w:divId w:val="1993673664"/>
        <w:rPr>
          <w:rFonts w:eastAsia="Times New Roman"/>
        </w:rPr>
      </w:pPr>
      <w:r>
        <w:rPr>
          <w:rFonts w:eastAsia="Times New Roman"/>
          <w:color w:val="000000"/>
          <w:sz w:val="20"/>
          <w:szCs w:val="20"/>
        </w:rPr>
        <w:t>(a) Comprises investment funds that consist of a mix of U.S. and Non-U.S. equity securities.</w:t>
      </w:r>
    </w:p>
    <w:p w14:paraId="1F4D8FCF" w14:textId="77777777" w:rsidR="00000000" w:rsidRDefault="00C1661D">
      <w:pPr>
        <w:divId w:val="1061370763"/>
        <w:rPr>
          <w:rFonts w:eastAsia="Times New Roman"/>
        </w:rPr>
      </w:pPr>
      <w:r>
        <w:rPr>
          <w:rFonts w:eastAsia="Times New Roman"/>
          <w:color w:val="000000"/>
          <w:sz w:val="20"/>
          <w:szCs w:val="20"/>
        </w:rPr>
        <w:t xml:space="preserve">(b) </w:t>
      </w:r>
      <w:r>
        <w:rPr>
          <w:rFonts w:eastAsia="Times New Roman"/>
          <w:color w:val="000000"/>
          <w:sz w:val="20"/>
          <w:szCs w:val="20"/>
        </w:rPr>
        <w:t>There is a permitted range for the allocation of the trust assets for the U.S. Pension Plans, excluding the defined benefit pension plan for Mountaineer employees, which is 5% less than and greater than the target allocation.</w:t>
      </w:r>
    </w:p>
    <w:tbl>
      <w:tblPr>
        <w:tblW w:w="4941" w:type="pct"/>
        <w:tblCellMar>
          <w:top w:w="15" w:type="dxa"/>
          <w:left w:w="15" w:type="dxa"/>
          <w:bottom w:w="15" w:type="dxa"/>
          <w:right w:w="15" w:type="dxa"/>
        </w:tblCellMar>
        <w:tblLook w:val="04A0" w:firstRow="1" w:lastRow="0" w:firstColumn="1" w:lastColumn="0" w:noHBand="0" w:noVBand="1"/>
      </w:tblPr>
      <w:tblGrid>
        <w:gridCol w:w="58"/>
        <w:gridCol w:w="3615"/>
        <w:gridCol w:w="36"/>
        <w:gridCol w:w="58"/>
        <w:gridCol w:w="943"/>
        <w:gridCol w:w="36"/>
        <w:gridCol w:w="36"/>
        <w:gridCol w:w="36"/>
        <w:gridCol w:w="36"/>
        <w:gridCol w:w="41"/>
        <w:gridCol w:w="943"/>
        <w:gridCol w:w="36"/>
        <w:gridCol w:w="36"/>
        <w:gridCol w:w="36"/>
        <w:gridCol w:w="36"/>
        <w:gridCol w:w="41"/>
        <w:gridCol w:w="944"/>
        <w:gridCol w:w="36"/>
        <w:gridCol w:w="36"/>
        <w:gridCol w:w="36"/>
        <w:gridCol w:w="36"/>
        <w:gridCol w:w="43"/>
        <w:gridCol w:w="1018"/>
        <w:gridCol w:w="36"/>
      </w:tblGrid>
      <w:tr w:rsidR="00000000" w14:paraId="0595D269" w14:textId="77777777">
        <w:trPr>
          <w:divId w:val="676732888"/>
        </w:trPr>
        <w:tc>
          <w:tcPr>
            <w:tcW w:w="50" w:type="pct"/>
            <w:vAlign w:val="center"/>
            <w:hideMark/>
          </w:tcPr>
          <w:p w14:paraId="7D92C91E" w14:textId="77777777" w:rsidR="00000000" w:rsidRDefault="00C1661D">
            <w:pPr>
              <w:rPr>
                <w:rFonts w:eastAsia="Times New Roman"/>
              </w:rPr>
            </w:pPr>
          </w:p>
        </w:tc>
        <w:tc>
          <w:tcPr>
            <w:tcW w:w="2215" w:type="pct"/>
            <w:vAlign w:val="center"/>
            <w:hideMark/>
          </w:tcPr>
          <w:p w14:paraId="033A8AB3" w14:textId="77777777" w:rsidR="00000000" w:rsidRDefault="00C1661D">
            <w:pPr>
              <w:spacing w:after="100"/>
              <w:rPr>
                <w:rFonts w:eastAsia="Times New Roman"/>
                <w:sz w:val="20"/>
                <w:szCs w:val="20"/>
              </w:rPr>
            </w:pPr>
          </w:p>
        </w:tc>
        <w:tc>
          <w:tcPr>
            <w:tcW w:w="5" w:type="pct"/>
            <w:vAlign w:val="center"/>
            <w:hideMark/>
          </w:tcPr>
          <w:p w14:paraId="77E79FCF" w14:textId="77777777" w:rsidR="00000000" w:rsidRDefault="00C1661D">
            <w:pPr>
              <w:spacing w:after="100"/>
              <w:rPr>
                <w:rFonts w:eastAsia="Times New Roman"/>
                <w:sz w:val="20"/>
                <w:szCs w:val="20"/>
              </w:rPr>
            </w:pPr>
          </w:p>
        </w:tc>
        <w:tc>
          <w:tcPr>
            <w:tcW w:w="50" w:type="pct"/>
            <w:vAlign w:val="center"/>
            <w:hideMark/>
          </w:tcPr>
          <w:p w14:paraId="0BEABD8B" w14:textId="77777777" w:rsidR="00000000" w:rsidRDefault="00C1661D">
            <w:pPr>
              <w:spacing w:after="100"/>
              <w:rPr>
                <w:rFonts w:eastAsia="Times New Roman"/>
                <w:sz w:val="20"/>
                <w:szCs w:val="20"/>
              </w:rPr>
            </w:pPr>
          </w:p>
        </w:tc>
        <w:tc>
          <w:tcPr>
            <w:tcW w:w="588" w:type="pct"/>
            <w:vAlign w:val="center"/>
            <w:hideMark/>
          </w:tcPr>
          <w:p w14:paraId="477632EB" w14:textId="77777777" w:rsidR="00000000" w:rsidRDefault="00C1661D">
            <w:pPr>
              <w:spacing w:after="100"/>
              <w:rPr>
                <w:rFonts w:eastAsia="Times New Roman"/>
                <w:sz w:val="20"/>
                <w:szCs w:val="20"/>
              </w:rPr>
            </w:pPr>
          </w:p>
        </w:tc>
        <w:tc>
          <w:tcPr>
            <w:tcW w:w="5" w:type="pct"/>
            <w:vAlign w:val="center"/>
            <w:hideMark/>
          </w:tcPr>
          <w:p w14:paraId="1C8C4EC5" w14:textId="77777777" w:rsidR="00000000" w:rsidRDefault="00C1661D">
            <w:pPr>
              <w:spacing w:after="100"/>
              <w:rPr>
                <w:rFonts w:eastAsia="Times New Roman"/>
                <w:sz w:val="20"/>
                <w:szCs w:val="20"/>
              </w:rPr>
            </w:pPr>
          </w:p>
        </w:tc>
        <w:tc>
          <w:tcPr>
            <w:tcW w:w="5" w:type="pct"/>
            <w:vAlign w:val="center"/>
            <w:hideMark/>
          </w:tcPr>
          <w:p w14:paraId="4DB69689" w14:textId="77777777" w:rsidR="00000000" w:rsidRDefault="00C1661D">
            <w:pPr>
              <w:spacing w:after="100"/>
              <w:rPr>
                <w:rFonts w:eastAsia="Times New Roman"/>
                <w:sz w:val="20"/>
                <w:szCs w:val="20"/>
              </w:rPr>
            </w:pPr>
          </w:p>
        </w:tc>
        <w:tc>
          <w:tcPr>
            <w:tcW w:w="26" w:type="pct"/>
            <w:vAlign w:val="center"/>
            <w:hideMark/>
          </w:tcPr>
          <w:p w14:paraId="70B9DDBC" w14:textId="77777777" w:rsidR="00000000" w:rsidRDefault="00C1661D">
            <w:pPr>
              <w:spacing w:after="100"/>
              <w:rPr>
                <w:rFonts w:eastAsia="Times New Roman"/>
                <w:sz w:val="20"/>
                <w:szCs w:val="20"/>
              </w:rPr>
            </w:pPr>
          </w:p>
        </w:tc>
        <w:tc>
          <w:tcPr>
            <w:tcW w:w="5" w:type="pct"/>
            <w:vAlign w:val="center"/>
            <w:hideMark/>
          </w:tcPr>
          <w:p w14:paraId="257C5894" w14:textId="77777777" w:rsidR="00000000" w:rsidRDefault="00C1661D">
            <w:pPr>
              <w:spacing w:after="100"/>
              <w:rPr>
                <w:rFonts w:eastAsia="Times New Roman"/>
                <w:sz w:val="20"/>
                <w:szCs w:val="20"/>
              </w:rPr>
            </w:pPr>
          </w:p>
        </w:tc>
        <w:tc>
          <w:tcPr>
            <w:tcW w:w="50" w:type="pct"/>
            <w:vAlign w:val="center"/>
            <w:hideMark/>
          </w:tcPr>
          <w:p w14:paraId="2E5EF32B" w14:textId="77777777" w:rsidR="00000000" w:rsidRDefault="00C1661D">
            <w:pPr>
              <w:spacing w:after="100"/>
              <w:rPr>
                <w:rFonts w:eastAsia="Times New Roman"/>
                <w:sz w:val="20"/>
                <w:szCs w:val="20"/>
              </w:rPr>
            </w:pPr>
          </w:p>
        </w:tc>
        <w:tc>
          <w:tcPr>
            <w:tcW w:w="588" w:type="pct"/>
            <w:vAlign w:val="center"/>
            <w:hideMark/>
          </w:tcPr>
          <w:p w14:paraId="0BA38474" w14:textId="77777777" w:rsidR="00000000" w:rsidRDefault="00C1661D">
            <w:pPr>
              <w:spacing w:after="100"/>
              <w:rPr>
                <w:rFonts w:eastAsia="Times New Roman"/>
                <w:sz w:val="20"/>
                <w:szCs w:val="20"/>
              </w:rPr>
            </w:pPr>
          </w:p>
        </w:tc>
        <w:tc>
          <w:tcPr>
            <w:tcW w:w="5" w:type="pct"/>
            <w:vAlign w:val="center"/>
            <w:hideMark/>
          </w:tcPr>
          <w:p w14:paraId="1B1D02BA" w14:textId="77777777" w:rsidR="00000000" w:rsidRDefault="00C1661D">
            <w:pPr>
              <w:spacing w:after="100"/>
              <w:rPr>
                <w:rFonts w:eastAsia="Times New Roman"/>
                <w:sz w:val="20"/>
                <w:szCs w:val="20"/>
              </w:rPr>
            </w:pPr>
          </w:p>
        </w:tc>
        <w:tc>
          <w:tcPr>
            <w:tcW w:w="5" w:type="pct"/>
            <w:vAlign w:val="center"/>
            <w:hideMark/>
          </w:tcPr>
          <w:p w14:paraId="42FE4FF8" w14:textId="77777777" w:rsidR="00000000" w:rsidRDefault="00C1661D">
            <w:pPr>
              <w:spacing w:after="100"/>
              <w:rPr>
                <w:rFonts w:eastAsia="Times New Roman"/>
                <w:sz w:val="20"/>
                <w:szCs w:val="20"/>
              </w:rPr>
            </w:pPr>
          </w:p>
        </w:tc>
        <w:tc>
          <w:tcPr>
            <w:tcW w:w="26" w:type="pct"/>
            <w:vAlign w:val="center"/>
            <w:hideMark/>
          </w:tcPr>
          <w:p w14:paraId="314EB1FD" w14:textId="77777777" w:rsidR="00000000" w:rsidRDefault="00C1661D">
            <w:pPr>
              <w:spacing w:after="100"/>
              <w:rPr>
                <w:rFonts w:eastAsia="Times New Roman"/>
                <w:sz w:val="20"/>
                <w:szCs w:val="20"/>
              </w:rPr>
            </w:pPr>
          </w:p>
        </w:tc>
        <w:tc>
          <w:tcPr>
            <w:tcW w:w="5" w:type="pct"/>
            <w:vAlign w:val="center"/>
            <w:hideMark/>
          </w:tcPr>
          <w:p w14:paraId="330F0908" w14:textId="77777777" w:rsidR="00000000" w:rsidRDefault="00C1661D">
            <w:pPr>
              <w:spacing w:after="100"/>
              <w:rPr>
                <w:rFonts w:eastAsia="Times New Roman"/>
                <w:sz w:val="20"/>
                <w:szCs w:val="20"/>
              </w:rPr>
            </w:pPr>
          </w:p>
        </w:tc>
        <w:tc>
          <w:tcPr>
            <w:tcW w:w="50" w:type="pct"/>
            <w:vAlign w:val="center"/>
            <w:hideMark/>
          </w:tcPr>
          <w:p w14:paraId="62DA54BE" w14:textId="77777777" w:rsidR="00000000" w:rsidRDefault="00C1661D">
            <w:pPr>
              <w:spacing w:after="100"/>
              <w:rPr>
                <w:rFonts w:eastAsia="Times New Roman"/>
                <w:sz w:val="20"/>
                <w:szCs w:val="20"/>
              </w:rPr>
            </w:pPr>
          </w:p>
        </w:tc>
        <w:tc>
          <w:tcPr>
            <w:tcW w:w="588" w:type="pct"/>
            <w:vAlign w:val="center"/>
            <w:hideMark/>
          </w:tcPr>
          <w:p w14:paraId="6CF1D8E2" w14:textId="77777777" w:rsidR="00000000" w:rsidRDefault="00C1661D">
            <w:pPr>
              <w:spacing w:after="100"/>
              <w:rPr>
                <w:rFonts w:eastAsia="Times New Roman"/>
                <w:sz w:val="20"/>
                <w:szCs w:val="20"/>
              </w:rPr>
            </w:pPr>
          </w:p>
        </w:tc>
        <w:tc>
          <w:tcPr>
            <w:tcW w:w="5" w:type="pct"/>
            <w:vAlign w:val="center"/>
            <w:hideMark/>
          </w:tcPr>
          <w:p w14:paraId="151A4A78" w14:textId="77777777" w:rsidR="00000000" w:rsidRDefault="00C1661D">
            <w:pPr>
              <w:spacing w:after="100"/>
              <w:rPr>
                <w:rFonts w:eastAsia="Times New Roman"/>
                <w:sz w:val="20"/>
                <w:szCs w:val="20"/>
              </w:rPr>
            </w:pPr>
          </w:p>
        </w:tc>
        <w:tc>
          <w:tcPr>
            <w:tcW w:w="5" w:type="pct"/>
            <w:vAlign w:val="center"/>
            <w:hideMark/>
          </w:tcPr>
          <w:p w14:paraId="2CA79485" w14:textId="77777777" w:rsidR="00000000" w:rsidRDefault="00C1661D">
            <w:pPr>
              <w:spacing w:after="100"/>
              <w:rPr>
                <w:rFonts w:eastAsia="Times New Roman"/>
                <w:sz w:val="20"/>
                <w:szCs w:val="20"/>
              </w:rPr>
            </w:pPr>
          </w:p>
        </w:tc>
        <w:tc>
          <w:tcPr>
            <w:tcW w:w="26" w:type="pct"/>
            <w:vAlign w:val="center"/>
            <w:hideMark/>
          </w:tcPr>
          <w:p w14:paraId="33F96B43" w14:textId="77777777" w:rsidR="00000000" w:rsidRDefault="00C1661D">
            <w:pPr>
              <w:spacing w:after="100"/>
              <w:rPr>
                <w:rFonts w:eastAsia="Times New Roman"/>
                <w:sz w:val="20"/>
                <w:szCs w:val="20"/>
              </w:rPr>
            </w:pPr>
          </w:p>
        </w:tc>
        <w:tc>
          <w:tcPr>
            <w:tcW w:w="5" w:type="pct"/>
            <w:vAlign w:val="center"/>
            <w:hideMark/>
          </w:tcPr>
          <w:p w14:paraId="0294C4FB" w14:textId="77777777" w:rsidR="00000000" w:rsidRDefault="00C1661D">
            <w:pPr>
              <w:spacing w:after="100"/>
              <w:rPr>
                <w:rFonts w:eastAsia="Times New Roman"/>
                <w:sz w:val="20"/>
                <w:szCs w:val="20"/>
              </w:rPr>
            </w:pPr>
          </w:p>
        </w:tc>
        <w:tc>
          <w:tcPr>
            <w:tcW w:w="50" w:type="pct"/>
            <w:vAlign w:val="center"/>
            <w:hideMark/>
          </w:tcPr>
          <w:p w14:paraId="20558A48" w14:textId="77777777" w:rsidR="00000000" w:rsidRDefault="00C1661D">
            <w:pPr>
              <w:spacing w:after="100"/>
              <w:rPr>
                <w:rFonts w:eastAsia="Times New Roman"/>
                <w:sz w:val="20"/>
                <w:szCs w:val="20"/>
              </w:rPr>
            </w:pPr>
          </w:p>
        </w:tc>
        <w:tc>
          <w:tcPr>
            <w:tcW w:w="633" w:type="pct"/>
            <w:vAlign w:val="center"/>
            <w:hideMark/>
          </w:tcPr>
          <w:p w14:paraId="0CA6AF5F" w14:textId="77777777" w:rsidR="00000000" w:rsidRDefault="00C1661D">
            <w:pPr>
              <w:spacing w:after="100"/>
              <w:rPr>
                <w:rFonts w:eastAsia="Times New Roman"/>
                <w:sz w:val="20"/>
                <w:szCs w:val="20"/>
              </w:rPr>
            </w:pPr>
          </w:p>
        </w:tc>
        <w:tc>
          <w:tcPr>
            <w:tcW w:w="5" w:type="pct"/>
            <w:vAlign w:val="center"/>
            <w:hideMark/>
          </w:tcPr>
          <w:p w14:paraId="71A2975E" w14:textId="77777777" w:rsidR="00000000" w:rsidRDefault="00C1661D">
            <w:pPr>
              <w:spacing w:after="100"/>
              <w:rPr>
                <w:rFonts w:eastAsia="Times New Roman"/>
                <w:sz w:val="20"/>
                <w:szCs w:val="20"/>
              </w:rPr>
            </w:pPr>
          </w:p>
        </w:tc>
      </w:tr>
      <w:tr w:rsidR="00000000" w14:paraId="332188E0" w14:textId="77777777">
        <w:trPr>
          <w:divId w:val="676732888"/>
          <w:trHeight w:val="60"/>
        </w:trPr>
        <w:tc>
          <w:tcPr>
            <w:tcW w:w="0" w:type="auto"/>
            <w:gridSpan w:val="3"/>
            <w:tcMar>
              <w:top w:w="0" w:type="dxa"/>
              <w:left w:w="20" w:type="dxa"/>
              <w:bottom w:w="0" w:type="dxa"/>
              <w:right w:w="20" w:type="dxa"/>
            </w:tcMar>
            <w:vAlign w:val="center"/>
            <w:hideMark/>
          </w:tcPr>
          <w:p w14:paraId="5FB5B0ED"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51696F"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46B266"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36BC30"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DE3BB4"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A5400F"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9746DC"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861D5F" w14:textId="77777777" w:rsidR="00000000" w:rsidRDefault="00C1661D">
            <w:pPr>
              <w:spacing w:after="100"/>
              <w:rPr>
                <w:rFonts w:eastAsia="Times New Roman"/>
                <w:sz w:val="20"/>
                <w:szCs w:val="20"/>
              </w:rPr>
            </w:pPr>
          </w:p>
        </w:tc>
      </w:tr>
      <w:tr w:rsidR="00000000" w14:paraId="1C188DC2" w14:textId="77777777">
        <w:trPr>
          <w:divId w:val="676732888"/>
        </w:trPr>
        <w:tc>
          <w:tcPr>
            <w:tcW w:w="0" w:type="auto"/>
            <w:gridSpan w:val="3"/>
            <w:vAlign w:val="center"/>
            <w:hideMark/>
          </w:tcPr>
          <w:p w14:paraId="288CB82B" w14:textId="77777777" w:rsidR="00000000" w:rsidRDefault="00C1661D">
            <w:pPr>
              <w:spacing w:after="100"/>
              <w:rPr>
                <w:rFonts w:eastAsia="Times New Roman"/>
                <w:sz w:val="20"/>
                <w:szCs w:val="20"/>
              </w:rPr>
            </w:pPr>
          </w:p>
        </w:tc>
        <w:tc>
          <w:tcPr>
            <w:tcW w:w="0" w:type="auto"/>
            <w:gridSpan w:val="3"/>
            <w:vAlign w:val="center"/>
            <w:hideMark/>
          </w:tcPr>
          <w:p w14:paraId="39820557" w14:textId="77777777" w:rsidR="00000000" w:rsidRDefault="00C1661D">
            <w:pPr>
              <w:spacing w:after="100"/>
              <w:rPr>
                <w:rFonts w:eastAsia="Times New Roman"/>
                <w:sz w:val="20"/>
                <w:szCs w:val="20"/>
              </w:rPr>
            </w:pPr>
          </w:p>
        </w:tc>
        <w:tc>
          <w:tcPr>
            <w:tcW w:w="0" w:type="auto"/>
            <w:gridSpan w:val="3"/>
            <w:vAlign w:val="center"/>
            <w:hideMark/>
          </w:tcPr>
          <w:p w14:paraId="4C13AB87" w14:textId="77777777" w:rsidR="00000000" w:rsidRDefault="00C1661D">
            <w:pPr>
              <w:spacing w:after="100"/>
              <w:rPr>
                <w:rFonts w:eastAsia="Times New Roman"/>
                <w:sz w:val="20"/>
                <w:szCs w:val="20"/>
              </w:rPr>
            </w:pPr>
          </w:p>
        </w:tc>
        <w:tc>
          <w:tcPr>
            <w:tcW w:w="0" w:type="auto"/>
            <w:gridSpan w:val="3"/>
            <w:vAlign w:val="center"/>
            <w:hideMark/>
          </w:tcPr>
          <w:p w14:paraId="29A83A7A" w14:textId="77777777" w:rsidR="00000000" w:rsidRDefault="00C1661D">
            <w:pPr>
              <w:spacing w:after="100"/>
              <w:rPr>
                <w:rFonts w:eastAsia="Times New Roman"/>
                <w:sz w:val="20"/>
                <w:szCs w:val="20"/>
              </w:rPr>
            </w:pPr>
          </w:p>
        </w:tc>
        <w:tc>
          <w:tcPr>
            <w:tcW w:w="0" w:type="auto"/>
            <w:gridSpan w:val="3"/>
            <w:vAlign w:val="center"/>
            <w:hideMark/>
          </w:tcPr>
          <w:p w14:paraId="35D82B65" w14:textId="77777777" w:rsidR="00000000" w:rsidRDefault="00C1661D">
            <w:pPr>
              <w:spacing w:after="100"/>
              <w:rPr>
                <w:rFonts w:eastAsia="Times New Roman"/>
                <w:sz w:val="20"/>
                <w:szCs w:val="20"/>
              </w:rPr>
            </w:pPr>
          </w:p>
        </w:tc>
        <w:tc>
          <w:tcPr>
            <w:tcW w:w="0" w:type="auto"/>
            <w:gridSpan w:val="3"/>
            <w:vAlign w:val="center"/>
            <w:hideMark/>
          </w:tcPr>
          <w:p w14:paraId="410589B3" w14:textId="77777777" w:rsidR="00000000" w:rsidRDefault="00C1661D">
            <w:pPr>
              <w:spacing w:after="100"/>
              <w:rPr>
                <w:rFonts w:eastAsia="Times New Roman"/>
                <w:sz w:val="20"/>
                <w:szCs w:val="20"/>
              </w:rPr>
            </w:pPr>
          </w:p>
        </w:tc>
        <w:tc>
          <w:tcPr>
            <w:tcW w:w="0" w:type="auto"/>
            <w:vAlign w:val="center"/>
            <w:hideMark/>
          </w:tcPr>
          <w:p w14:paraId="0C8060DC" w14:textId="77777777" w:rsidR="00000000" w:rsidRDefault="00C1661D">
            <w:pPr>
              <w:spacing w:after="100"/>
              <w:rPr>
                <w:rFonts w:eastAsia="Times New Roman"/>
                <w:sz w:val="20"/>
                <w:szCs w:val="20"/>
              </w:rPr>
            </w:pPr>
          </w:p>
        </w:tc>
        <w:tc>
          <w:tcPr>
            <w:tcW w:w="0" w:type="auto"/>
            <w:vAlign w:val="center"/>
            <w:hideMark/>
          </w:tcPr>
          <w:p w14:paraId="3410A0AE" w14:textId="77777777" w:rsidR="00000000" w:rsidRDefault="00C1661D">
            <w:pPr>
              <w:spacing w:after="100"/>
              <w:rPr>
                <w:rFonts w:eastAsia="Times New Roman"/>
                <w:sz w:val="20"/>
                <w:szCs w:val="20"/>
              </w:rPr>
            </w:pPr>
          </w:p>
        </w:tc>
        <w:tc>
          <w:tcPr>
            <w:tcW w:w="0" w:type="auto"/>
            <w:vAlign w:val="center"/>
            <w:hideMark/>
          </w:tcPr>
          <w:p w14:paraId="7CF0F4FF" w14:textId="77777777" w:rsidR="00000000" w:rsidRDefault="00C1661D">
            <w:pPr>
              <w:spacing w:after="100"/>
              <w:rPr>
                <w:rFonts w:eastAsia="Times New Roman"/>
                <w:sz w:val="20"/>
                <w:szCs w:val="20"/>
              </w:rPr>
            </w:pPr>
          </w:p>
        </w:tc>
        <w:tc>
          <w:tcPr>
            <w:tcW w:w="0" w:type="auto"/>
            <w:vAlign w:val="center"/>
            <w:hideMark/>
          </w:tcPr>
          <w:p w14:paraId="42F3C6E9" w14:textId="77777777" w:rsidR="00000000" w:rsidRDefault="00C1661D">
            <w:pPr>
              <w:spacing w:after="100"/>
              <w:rPr>
                <w:rFonts w:eastAsia="Times New Roman"/>
                <w:sz w:val="20"/>
                <w:szCs w:val="20"/>
              </w:rPr>
            </w:pPr>
          </w:p>
        </w:tc>
        <w:tc>
          <w:tcPr>
            <w:tcW w:w="0" w:type="auto"/>
            <w:vAlign w:val="center"/>
            <w:hideMark/>
          </w:tcPr>
          <w:p w14:paraId="1D229E41" w14:textId="77777777" w:rsidR="00000000" w:rsidRDefault="00C1661D">
            <w:pPr>
              <w:spacing w:after="100"/>
              <w:rPr>
                <w:rFonts w:eastAsia="Times New Roman"/>
                <w:sz w:val="20"/>
                <w:szCs w:val="20"/>
              </w:rPr>
            </w:pPr>
          </w:p>
        </w:tc>
        <w:tc>
          <w:tcPr>
            <w:tcW w:w="0" w:type="auto"/>
            <w:vAlign w:val="center"/>
            <w:hideMark/>
          </w:tcPr>
          <w:p w14:paraId="541DF3A3" w14:textId="77777777" w:rsidR="00000000" w:rsidRDefault="00C1661D">
            <w:pPr>
              <w:spacing w:after="100"/>
              <w:rPr>
                <w:rFonts w:eastAsia="Times New Roman"/>
                <w:sz w:val="20"/>
                <w:szCs w:val="20"/>
              </w:rPr>
            </w:pPr>
          </w:p>
        </w:tc>
      </w:tr>
      <w:tr w:rsidR="00000000" w14:paraId="1E4A3027" w14:textId="77777777">
        <w:trPr>
          <w:divId w:val="676732888"/>
        </w:trPr>
        <w:tc>
          <w:tcPr>
            <w:tcW w:w="0" w:type="auto"/>
            <w:gridSpan w:val="3"/>
            <w:vAlign w:val="center"/>
            <w:hideMark/>
          </w:tcPr>
          <w:p w14:paraId="75030146" w14:textId="77777777" w:rsidR="00000000" w:rsidRDefault="00C1661D">
            <w:pPr>
              <w:spacing w:after="100"/>
              <w:rPr>
                <w:rFonts w:eastAsia="Times New Roman"/>
                <w:sz w:val="20"/>
                <w:szCs w:val="20"/>
              </w:rPr>
            </w:pPr>
          </w:p>
        </w:tc>
        <w:tc>
          <w:tcPr>
            <w:tcW w:w="0" w:type="auto"/>
            <w:gridSpan w:val="3"/>
            <w:vAlign w:val="center"/>
            <w:hideMark/>
          </w:tcPr>
          <w:p w14:paraId="0F54C44F" w14:textId="77777777" w:rsidR="00000000" w:rsidRDefault="00C1661D">
            <w:pPr>
              <w:spacing w:after="100"/>
              <w:rPr>
                <w:rFonts w:eastAsia="Times New Roman"/>
                <w:sz w:val="20"/>
                <w:szCs w:val="20"/>
              </w:rPr>
            </w:pPr>
          </w:p>
        </w:tc>
        <w:tc>
          <w:tcPr>
            <w:tcW w:w="0" w:type="auto"/>
            <w:gridSpan w:val="3"/>
            <w:vAlign w:val="center"/>
            <w:hideMark/>
          </w:tcPr>
          <w:p w14:paraId="41FBB123" w14:textId="77777777" w:rsidR="00000000" w:rsidRDefault="00C1661D">
            <w:pPr>
              <w:spacing w:after="100"/>
              <w:rPr>
                <w:rFonts w:eastAsia="Times New Roman"/>
                <w:sz w:val="20"/>
                <w:szCs w:val="20"/>
              </w:rPr>
            </w:pPr>
          </w:p>
        </w:tc>
        <w:tc>
          <w:tcPr>
            <w:tcW w:w="0" w:type="auto"/>
            <w:gridSpan w:val="3"/>
            <w:vAlign w:val="center"/>
            <w:hideMark/>
          </w:tcPr>
          <w:p w14:paraId="6FC76C85" w14:textId="77777777" w:rsidR="00000000" w:rsidRDefault="00C1661D">
            <w:pPr>
              <w:spacing w:after="100"/>
              <w:rPr>
                <w:rFonts w:eastAsia="Times New Roman"/>
                <w:sz w:val="20"/>
                <w:szCs w:val="20"/>
              </w:rPr>
            </w:pPr>
          </w:p>
        </w:tc>
        <w:tc>
          <w:tcPr>
            <w:tcW w:w="0" w:type="auto"/>
            <w:gridSpan w:val="3"/>
            <w:vAlign w:val="center"/>
            <w:hideMark/>
          </w:tcPr>
          <w:p w14:paraId="509B1E3B" w14:textId="77777777" w:rsidR="00000000" w:rsidRDefault="00C1661D">
            <w:pPr>
              <w:spacing w:after="100"/>
              <w:rPr>
                <w:rFonts w:eastAsia="Times New Roman"/>
                <w:sz w:val="20"/>
                <w:szCs w:val="20"/>
              </w:rPr>
            </w:pPr>
          </w:p>
        </w:tc>
        <w:tc>
          <w:tcPr>
            <w:tcW w:w="0" w:type="auto"/>
            <w:gridSpan w:val="3"/>
            <w:vAlign w:val="center"/>
            <w:hideMark/>
          </w:tcPr>
          <w:p w14:paraId="69E39745" w14:textId="77777777" w:rsidR="00000000" w:rsidRDefault="00C1661D">
            <w:pPr>
              <w:spacing w:after="100"/>
              <w:rPr>
                <w:rFonts w:eastAsia="Times New Roman"/>
                <w:sz w:val="20"/>
                <w:szCs w:val="20"/>
              </w:rPr>
            </w:pPr>
          </w:p>
        </w:tc>
        <w:tc>
          <w:tcPr>
            <w:tcW w:w="0" w:type="auto"/>
            <w:vAlign w:val="center"/>
            <w:hideMark/>
          </w:tcPr>
          <w:p w14:paraId="5B2F2A1A" w14:textId="77777777" w:rsidR="00000000" w:rsidRDefault="00C1661D">
            <w:pPr>
              <w:spacing w:after="100"/>
              <w:rPr>
                <w:rFonts w:eastAsia="Times New Roman"/>
                <w:sz w:val="20"/>
                <w:szCs w:val="20"/>
              </w:rPr>
            </w:pPr>
          </w:p>
        </w:tc>
        <w:tc>
          <w:tcPr>
            <w:tcW w:w="0" w:type="auto"/>
            <w:vAlign w:val="center"/>
            <w:hideMark/>
          </w:tcPr>
          <w:p w14:paraId="3B6F00D6" w14:textId="77777777" w:rsidR="00000000" w:rsidRDefault="00C1661D">
            <w:pPr>
              <w:spacing w:after="100"/>
              <w:rPr>
                <w:rFonts w:eastAsia="Times New Roman"/>
                <w:sz w:val="20"/>
                <w:szCs w:val="20"/>
              </w:rPr>
            </w:pPr>
          </w:p>
        </w:tc>
        <w:tc>
          <w:tcPr>
            <w:tcW w:w="0" w:type="auto"/>
            <w:vAlign w:val="center"/>
            <w:hideMark/>
          </w:tcPr>
          <w:p w14:paraId="2C7FDFF8" w14:textId="77777777" w:rsidR="00000000" w:rsidRDefault="00C1661D">
            <w:pPr>
              <w:spacing w:after="100"/>
              <w:rPr>
                <w:rFonts w:eastAsia="Times New Roman"/>
                <w:sz w:val="20"/>
                <w:szCs w:val="20"/>
              </w:rPr>
            </w:pPr>
          </w:p>
        </w:tc>
        <w:tc>
          <w:tcPr>
            <w:tcW w:w="0" w:type="auto"/>
            <w:vAlign w:val="center"/>
            <w:hideMark/>
          </w:tcPr>
          <w:p w14:paraId="40BFF8D9" w14:textId="77777777" w:rsidR="00000000" w:rsidRDefault="00C1661D">
            <w:pPr>
              <w:spacing w:after="100"/>
              <w:rPr>
                <w:rFonts w:eastAsia="Times New Roman"/>
                <w:sz w:val="20"/>
                <w:szCs w:val="20"/>
              </w:rPr>
            </w:pPr>
          </w:p>
        </w:tc>
        <w:tc>
          <w:tcPr>
            <w:tcW w:w="0" w:type="auto"/>
            <w:vAlign w:val="center"/>
            <w:hideMark/>
          </w:tcPr>
          <w:p w14:paraId="1FBA68D0" w14:textId="77777777" w:rsidR="00000000" w:rsidRDefault="00C1661D">
            <w:pPr>
              <w:spacing w:after="100"/>
              <w:rPr>
                <w:rFonts w:eastAsia="Times New Roman"/>
                <w:sz w:val="20"/>
                <w:szCs w:val="20"/>
              </w:rPr>
            </w:pPr>
          </w:p>
        </w:tc>
        <w:tc>
          <w:tcPr>
            <w:tcW w:w="0" w:type="auto"/>
            <w:vAlign w:val="center"/>
            <w:hideMark/>
          </w:tcPr>
          <w:p w14:paraId="4D53AE15" w14:textId="77777777" w:rsidR="00000000" w:rsidRDefault="00C1661D">
            <w:pPr>
              <w:spacing w:after="100"/>
              <w:rPr>
                <w:rFonts w:eastAsia="Times New Roman"/>
                <w:sz w:val="20"/>
                <w:szCs w:val="20"/>
              </w:rPr>
            </w:pPr>
          </w:p>
        </w:tc>
      </w:tr>
      <w:tr w:rsidR="00000000" w14:paraId="344BFA84" w14:textId="77777777">
        <w:trPr>
          <w:divId w:val="676732888"/>
        </w:trPr>
        <w:tc>
          <w:tcPr>
            <w:tcW w:w="0" w:type="auto"/>
            <w:gridSpan w:val="3"/>
            <w:vAlign w:val="center"/>
            <w:hideMark/>
          </w:tcPr>
          <w:p w14:paraId="1F25F773" w14:textId="77777777" w:rsidR="00000000" w:rsidRDefault="00C1661D">
            <w:pPr>
              <w:spacing w:after="100"/>
              <w:rPr>
                <w:rFonts w:eastAsia="Times New Roman"/>
                <w:sz w:val="20"/>
                <w:szCs w:val="20"/>
              </w:rPr>
            </w:pPr>
          </w:p>
        </w:tc>
        <w:tc>
          <w:tcPr>
            <w:tcW w:w="0" w:type="auto"/>
            <w:gridSpan w:val="3"/>
            <w:vAlign w:val="center"/>
            <w:hideMark/>
          </w:tcPr>
          <w:p w14:paraId="0E92C1DC" w14:textId="77777777" w:rsidR="00000000" w:rsidRDefault="00C1661D">
            <w:pPr>
              <w:spacing w:after="100"/>
              <w:rPr>
                <w:rFonts w:eastAsia="Times New Roman"/>
                <w:sz w:val="20"/>
                <w:szCs w:val="20"/>
              </w:rPr>
            </w:pPr>
          </w:p>
        </w:tc>
        <w:tc>
          <w:tcPr>
            <w:tcW w:w="0" w:type="auto"/>
            <w:gridSpan w:val="3"/>
            <w:vAlign w:val="center"/>
            <w:hideMark/>
          </w:tcPr>
          <w:p w14:paraId="2F23C88C" w14:textId="77777777" w:rsidR="00000000" w:rsidRDefault="00C1661D">
            <w:pPr>
              <w:spacing w:after="100"/>
              <w:rPr>
                <w:rFonts w:eastAsia="Times New Roman"/>
                <w:sz w:val="20"/>
                <w:szCs w:val="20"/>
              </w:rPr>
            </w:pPr>
          </w:p>
        </w:tc>
        <w:tc>
          <w:tcPr>
            <w:tcW w:w="0" w:type="auto"/>
            <w:gridSpan w:val="3"/>
            <w:vAlign w:val="center"/>
            <w:hideMark/>
          </w:tcPr>
          <w:p w14:paraId="0AD18279" w14:textId="77777777" w:rsidR="00000000" w:rsidRDefault="00C1661D">
            <w:pPr>
              <w:spacing w:after="100"/>
              <w:rPr>
                <w:rFonts w:eastAsia="Times New Roman"/>
                <w:sz w:val="20"/>
                <w:szCs w:val="20"/>
              </w:rPr>
            </w:pPr>
          </w:p>
        </w:tc>
        <w:tc>
          <w:tcPr>
            <w:tcW w:w="0" w:type="auto"/>
            <w:gridSpan w:val="3"/>
            <w:vAlign w:val="center"/>
            <w:hideMark/>
          </w:tcPr>
          <w:p w14:paraId="228706BE" w14:textId="77777777" w:rsidR="00000000" w:rsidRDefault="00C1661D">
            <w:pPr>
              <w:spacing w:after="100"/>
              <w:rPr>
                <w:rFonts w:eastAsia="Times New Roman"/>
                <w:sz w:val="20"/>
                <w:szCs w:val="20"/>
              </w:rPr>
            </w:pPr>
          </w:p>
        </w:tc>
        <w:tc>
          <w:tcPr>
            <w:tcW w:w="0" w:type="auto"/>
            <w:gridSpan w:val="3"/>
            <w:vAlign w:val="center"/>
            <w:hideMark/>
          </w:tcPr>
          <w:p w14:paraId="311A7600" w14:textId="77777777" w:rsidR="00000000" w:rsidRDefault="00C1661D">
            <w:pPr>
              <w:spacing w:after="100"/>
              <w:rPr>
                <w:rFonts w:eastAsia="Times New Roman"/>
                <w:sz w:val="20"/>
                <w:szCs w:val="20"/>
              </w:rPr>
            </w:pPr>
          </w:p>
        </w:tc>
        <w:tc>
          <w:tcPr>
            <w:tcW w:w="0" w:type="auto"/>
            <w:gridSpan w:val="3"/>
            <w:vAlign w:val="center"/>
            <w:hideMark/>
          </w:tcPr>
          <w:p w14:paraId="5F2DA2B5" w14:textId="77777777" w:rsidR="00000000" w:rsidRDefault="00C1661D">
            <w:pPr>
              <w:spacing w:after="100"/>
              <w:rPr>
                <w:rFonts w:eastAsia="Times New Roman"/>
                <w:sz w:val="20"/>
                <w:szCs w:val="20"/>
              </w:rPr>
            </w:pPr>
          </w:p>
        </w:tc>
        <w:tc>
          <w:tcPr>
            <w:tcW w:w="0" w:type="auto"/>
            <w:gridSpan w:val="3"/>
            <w:vAlign w:val="center"/>
            <w:hideMark/>
          </w:tcPr>
          <w:p w14:paraId="74C7E93F" w14:textId="77777777" w:rsidR="00000000" w:rsidRDefault="00C1661D">
            <w:pPr>
              <w:spacing w:after="100"/>
              <w:rPr>
                <w:rFonts w:eastAsia="Times New Roman"/>
                <w:sz w:val="20"/>
                <w:szCs w:val="20"/>
              </w:rPr>
            </w:pPr>
          </w:p>
        </w:tc>
      </w:tr>
      <w:tr w:rsidR="00000000" w14:paraId="4AB369B3" w14:textId="77777777">
        <w:trPr>
          <w:divId w:val="676732888"/>
        </w:trPr>
        <w:tc>
          <w:tcPr>
            <w:tcW w:w="0" w:type="auto"/>
            <w:gridSpan w:val="3"/>
            <w:vAlign w:val="center"/>
            <w:hideMark/>
          </w:tcPr>
          <w:p w14:paraId="61D671B1" w14:textId="77777777" w:rsidR="00000000" w:rsidRDefault="00C1661D">
            <w:pPr>
              <w:spacing w:after="100"/>
              <w:rPr>
                <w:rFonts w:eastAsia="Times New Roman"/>
                <w:sz w:val="20"/>
                <w:szCs w:val="20"/>
              </w:rPr>
            </w:pPr>
          </w:p>
        </w:tc>
        <w:tc>
          <w:tcPr>
            <w:tcW w:w="0" w:type="auto"/>
            <w:gridSpan w:val="3"/>
            <w:vAlign w:val="center"/>
            <w:hideMark/>
          </w:tcPr>
          <w:p w14:paraId="7AD48809" w14:textId="77777777" w:rsidR="00000000" w:rsidRDefault="00C1661D">
            <w:pPr>
              <w:spacing w:after="100"/>
              <w:rPr>
                <w:rFonts w:eastAsia="Times New Roman"/>
                <w:sz w:val="20"/>
                <w:szCs w:val="20"/>
              </w:rPr>
            </w:pPr>
          </w:p>
        </w:tc>
        <w:tc>
          <w:tcPr>
            <w:tcW w:w="0" w:type="auto"/>
            <w:gridSpan w:val="3"/>
            <w:vAlign w:val="center"/>
            <w:hideMark/>
          </w:tcPr>
          <w:p w14:paraId="4673C152" w14:textId="77777777" w:rsidR="00000000" w:rsidRDefault="00C1661D">
            <w:pPr>
              <w:spacing w:after="100"/>
              <w:rPr>
                <w:rFonts w:eastAsia="Times New Roman"/>
                <w:sz w:val="20"/>
                <w:szCs w:val="20"/>
              </w:rPr>
            </w:pPr>
          </w:p>
        </w:tc>
        <w:tc>
          <w:tcPr>
            <w:tcW w:w="0" w:type="auto"/>
            <w:gridSpan w:val="3"/>
            <w:vAlign w:val="center"/>
            <w:hideMark/>
          </w:tcPr>
          <w:p w14:paraId="61CC50F6" w14:textId="77777777" w:rsidR="00000000" w:rsidRDefault="00C1661D">
            <w:pPr>
              <w:spacing w:after="100"/>
              <w:rPr>
                <w:rFonts w:eastAsia="Times New Roman"/>
                <w:sz w:val="20"/>
                <w:szCs w:val="20"/>
              </w:rPr>
            </w:pPr>
          </w:p>
        </w:tc>
        <w:tc>
          <w:tcPr>
            <w:tcW w:w="0" w:type="auto"/>
            <w:gridSpan w:val="3"/>
            <w:vAlign w:val="center"/>
            <w:hideMark/>
          </w:tcPr>
          <w:p w14:paraId="764AD5F7" w14:textId="77777777" w:rsidR="00000000" w:rsidRDefault="00C1661D">
            <w:pPr>
              <w:spacing w:after="100"/>
              <w:rPr>
                <w:rFonts w:eastAsia="Times New Roman"/>
                <w:sz w:val="20"/>
                <w:szCs w:val="20"/>
              </w:rPr>
            </w:pPr>
          </w:p>
        </w:tc>
        <w:tc>
          <w:tcPr>
            <w:tcW w:w="0" w:type="auto"/>
            <w:gridSpan w:val="3"/>
            <w:vAlign w:val="center"/>
            <w:hideMark/>
          </w:tcPr>
          <w:p w14:paraId="2FFF5473" w14:textId="77777777" w:rsidR="00000000" w:rsidRDefault="00C1661D">
            <w:pPr>
              <w:spacing w:after="100"/>
              <w:rPr>
                <w:rFonts w:eastAsia="Times New Roman"/>
                <w:sz w:val="20"/>
                <w:szCs w:val="20"/>
              </w:rPr>
            </w:pPr>
          </w:p>
        </w:tc>
        <w:tc>
          <w:tcPr>
            <w:tcW w:w="0" w:type="auto"/>
            <w:gridSpan w:val="3"/>
            <w:vAlign w:val="center"/>
            <w:hideMark/>
          </w:tcPr>
          <w:p w14:paraId="71579305" w14:textId="77777777" w:rsidR="00000000" w:rsidRDefault="00C1661D">
            <w:pPr>
              <w:spacing w:after="100"/>
              <w:rPr>
                <w:rFonts w:eastAsia="Times New Roman"/>
                <w:sz w:val="20"/>
                <w:szCs w:val="20"/>
              </w:rPr>
            </w:pPr>
          </w:p>
        </w:tc>
        <w:tc>
          <w:tcPr>
            <w:tcW w:w="0" w:type="auto"/>
            <w:gridSpan w:val="3"/>
            <w:vAlign w:val="center"/>
            <w:hideMark/>
          </w:tcPr>
          <w:p w14:paraId="47B01F73" w14:textId="77777777" w:rsidR="00000000" w:rsidRDefault="00C1661D">
            <w:pPr>
              <w:spacing w:after="100"/>
              <w:rPr>
                <w:rFonts w:eastAsia="Times New Roman"/>
                <w:sz w:val="20"/>
                <w:szCs w:val="20"/>
              </w:rPr>
            </w:pPr>
          </w:p>
        </w:tc>
      </w:tr>
      <w:tr w:rsidR="00000000" w14:paraId="075A8639" w14:textId="77777777">
        <w:trPr>
          <w:divId w:val="676732888"/>
        </w:trPr>
        <w:tc>
          <w:tcPr>
            <w:tcW w:w="0" w:type="auto"/>
            <w:gridSpan w:val="3"/>
            <w:vAlign w:val="center"/>
            <w:hideMark/>
          </w:tcPr>
          <w:p w14:paraId="5FEAD995" w14:textId="77777777" w:rsidR="00000000" w:rsidRDefault="00C1661D">
            <w:pPr>
              <w:spacing w:after="100"/>
              <w:rPr>
                <w:rFonts w:eastAsia="Times New Roman"/>
                <w:sz w:val="20"/>
                <w:szCs w:val="20"/>
              </w:rPr>
            </w:pPr>
          </w:p>
        </w:tc>
        <w:tc>
          <w:tcPr>
            <w:tcW w:w="0" w:type="auto"/>
            <w:gridSpan w:val="3"/>
            <w:vAlign w:val="center"/>
            <w:hideMark/>
          </w:tcPr>
          <w:p w14:paraId="4FAA1600" w14:textId="77777777" w:rsidR="00000000" w:rsidRDefault="00C1661D">
            <w:pPr>
              <w:spacing w:after="100"/>
              <w:rPr>
                <w:rFonts w:eastAsia="Times New Roman"/>
                <w:sz w:val="20"/>
                <w:szCs w:val="20"/>
              </w:rPr>
            </w:pPr>
          </w:p>
        </w:tc>
        <w:tc>
          <w:tcPr>
            <w:tcW w:w="0" w:type="auto"/>
            <w:gridSpan w:val="3"/>
            <w:vAlign w:val="center"/>
            <w:hideMark/>
          </w:tcPr>
          <w:p w14:paraId="4B1AD4EB" w14:textId="77777777" w:rsidR="00000000" w:rsidRDefault="00C1661D">
            <w:pPr>
              <w:spacing w:after="100"/>
              <w:rPr>
                <w:rFonts w:eastAsia="Times New Roman"/>
                <w:sz w:val="20"/>
                <w:szCs w:val="20"/>
              </w:rPr>
            </w:pPr>
          </w:p>
        </w:tc>
        <w:tc>
          <w:tcPr>
            <w:tcW w:w="0" w:type="auto"/>
            <w:gridSpan w:val="3"/>
            <w:vAlign w:val="center"/>
            <w:hideMark/>
          </w:tcPr>
          <w:p w14:paraId="5F6709D2" w14:textId="77777777" w:rsidR="00000000" w:rsidRDefault="00C1661D">
            <w:pPr>
              <w:spacing w:after="100"/>
              <w:rPr>
                <w:rFonts w:eastAsia="Times New Roman"/>
                <w:sz w:val="20"/>
                <w:szCs w:val="20"/>
              </w:rPr>
            </w:pPr>
          </w:p>
        </w:tc>
        <w:tc>
          <w:tcPr>
            <w:tcW w:w="0" w:type="auto"/>
            <w:gridSpan w:val="3"/>
            <w:vAlign w:val="center"/>
            <w:hideMark/>
          </w:tcPr>
          <w:p w14:paraId="0EF09DF3" w14:textId="77777777" w:rsidR="00000000" w:rsidRDefault="00C1661D">
            <w:pPr>
              <w:spacing w:after="100"/>
              <w:rPr>
                <w:rFonts w:eastAsia="Times New Roman"/>
                <w:sz w:val="20"/>
                <w:szCs w:val="20"/>
              </w:rPr>
            </w:pPr>
          </w:p>
        </w:tc>
        <w:tc>
          <w:tcPr>
            <w:tcW w:w="0" w:type="auto"/>
            <w:gridSpan w:val="3"/>
            <w:vAlign w:val="center"/>
            <w:hideMark/>
          </w:tcPr>
          <w:p w14:paraId="3FE832E4" w14:textId="77777777" w:rsidR="00000000" w:rsidRDefault="00C1661D">
            <w:pPr>
              <w:spacing w:after="100"/>
              <w:rPr>
                <w:rFonts w:eastAsia="Times New Roman"/>
                <w:sz w:val="20"/>
                <w:szCs w:val="20"/>
              </w:rPr>
            </w:pPr>
          </w:p>
        </w:tc>
        <w:tc>
          <w:tcPr>
            <w:tcW w:w="0" w:type="auto"/>
            <w:gridSpan w:val="3"/>
            <w:vAlign w:val="center"/>
            <w:hideMark/>
          </w:tcPr>
          <w:p w14:paraId="49F536D6" w14:textId="77777777" w:rsidR="00000000" w:rsidRDefault="00C1661D">
            <w:pPr>
              <w:spacing w:after="100"/>
              <w:rPr>
                <w:rFonts w:eastAsia="Times New Roman"/>
                <w:sz w:val="20"/>
                <w:szCs w:val="20"/>
              </w:rPr>
            </w:pPr>
          </w:p>
        </w:tc>
        <w:tc>
          <w:tcPr>
            <w:tcW w:w="0" w:type="auto"/>
            <w:gridSpan w:val="3"/>
            <w:vAlign w:val="center"/>
            <w:hideMark/>
          </w:tcPr>
          <w:p w14:paraId="5F4579B2" w14:textId="77777777" w:rsidR="00000000" w:rsidRDefault="00C1661D">
            <w:pPr>
              <w:spacing w:after="100"/>
              <w:rPr>
                <w:rFonts w:eastAsia="Times New Roman"/>
                <w:sz w:val="20"/>
                <w:szCs w:val="20"/>
              </w:rPr>
            </w:pPr>
          </w:p>
        </w:tc>
      </w:tr>
    </w:tbl>
    <w:p w14:paraId="36DBE30B" w14:textId="77777777" w:rsidR="00000000" w:rsidRDefault="00C1661D">
      <w:pPr>
        <w:divId w:val="986277666"/>
        <w:rPr>
          <w:rFonts w:eastAsia="Times New Roman"/>
        </w:rPr>
      </w:pPr>
    </w:p>
    <w:p w14:paraId="2CA1E886" w14:textId="77777777" w:rsidR="00000000" w:rsidRDefault="00C1661D">
      <w:pPr>
        <w:jc w:val="center"/>
        <w:divId w:val="582229347"/>
        <w:rPr>
          <w:rFonts w:eastAsia="Times New Roman"/>
        </w:rPr>
      </w:pPr>
      <w:r>
        <w:rPr>
          <w:rFonts w:eastAsia="Times New Roman"/>
          <w:color w:val="000000"/>
          <w:sz w:val="20"/>
          <w:szCs w:val="20"/>
        </w:rPr>
        <w:t>F-37</w:t>
      </w:r>
    </w:p>
    <w:p w14:paraId="5A623A1D" w14:textId="77777777" w:rsidR="00000000" w:rsidRDefault="00C1661D">
      <w:pPr>
        <w:rPr>
          <w:rFonts w:eastAsia="Times New Roman"/>
        </w:rPr>
      </w:pPr>
      <w:r>
        <w:rPr>
          <w:rFonts w:eastAsia="Times New Roman"/>
        </w:rPr>
        <w:pict w14:anchorId="560218ED">
          <v:rect id="_x0000_i1150" style="width:0;height:1.5pt" o:hralign="center" o:hrstd="t" o:hr="t" fillcolor="#a0a0a0" stroked="f"/>
        </w:pict>
      </w:r>
    </w:p>
    <w:p w14:paraId="055C57C9" w14:textId="77777777" w:rsidR="00000000" w:rsidRDefault="00C1661D">
      <w:pPr>
        <w:divId w:val="1895654570"/>
        <w:rPr>
          <w:rFonts w:eastAsia="Times New Roman"/>
        </w:rPr>
      </w:pPr>
      <w:hyperlink w:anchor="i3850c3c6c0104e42b9951aac2f16098a_7" w:history="1">
        <w:r>
          <w:rPr>
            <w:rStyle w:val="a3"/>
            <w:rFonts w:eastAsia="Times New Roman"/>
            <w:sz w:val="20"/>
            <w:szCs w:val="20"/>
          </w:rPr>
          <w:t>Table of Contents</w:t>
        </w:r>
      </w:hyperlink>
    </w:p>
    <w:p w14:paraId="42A0670D" w14:textId="77777777" w:rsidR="00000000" w:rsidRDefault="00C1661D">
      <w:pPr>
        <w:divId w:val="1696736410"/>
        <w:rPr>
          <w:rFonts w:eastAsia="Times New Roman"/>
        </w:rPr>
      </w:pPr>
      <w:r>
        <w:rPr>
          <w:rFonts w:eastAsia="Times New Roman"/>
          <w:b/>
          <w:bCs/>
          <w:color w:val="000000"/>
          <w:sz w:val="20"/>
          <w:szCs w:val="20"/>
        </w:rPr>
        <w:t>UGI Corporation and Subsidiaries</w:t>
      </w:r>
    </w:p>
    <w:p w14:paraId="1E9E3DEF" w14:textId="77777777" w:rsidR="00000000" w:rsidRDefault="00C1661D">
      <w:pPr>
        <w:divId w:val="1211503867"/>
        <w:rPr>
          <w:rFonts w:eastAsia="Times New Roman"/>
        </w:rPr>
      </w:pPr>
      <w:r>
        <w:rPr>
          <w:rFonts w:eastAsia="Times New Roman"/>
          <w:b/>
          <w:bCs/>
          <w:color w:val="000000"/>
          <w:sz w:val="20"/>
          <w:szCs w:val="20"/>
        </w:rPr>
        <w:t>Notes to Consolidated Financial Statements</w:t>
      </w:r>
    </w:p>
    <w:p w14:paraId="37BAB5FE" w14:textId="77777777" w:rsidR="00000000" w:rsidRDefault="00C1661D">
      <w:pPr>
        <w:divId w:val="1946300471"/>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14:paraId="10E4A5A5" w14:textId="77777777" w:rsidR="00000000" w:rsidRDefault="00C1661D">
      <w:pPr>
        <w:jc w:val="both"/>
        <w:rPr>
          <w:rFonts w:eastAsia="Times New Roman"/>
        </w:rPr>
      </w:pPr>
      <w:r>
        <w:rPr>
          <w:rFonts w:eastAsia="Times New Roman"/>
          <w:color w:val="000000"/>
          <w:sz w:val="20"/>
          <w:szCs w:val="20"/>
        </w:rPr>
        <w:t>Common collective trust funds in the U.S. Pension Plans primarily include investments in U.S., Non-U.S. and global (a mix of U.S. and Non-U.S.) equities, fixed income and short-term investments. The fair values of common collective trust funds a</w:t>
      </w:r>
      <w:r>
        <w:rPr>
          <w:rFonts w:eastAsia="Times New Roman"/>
          <w:color w:val="000000"/>
          <w:sz w:val="20"/>
          <w:szCs w:val="20"/>
        </w:rPr>
        <w:t xml:space="preserve">nd cash equivalents are valued at the NAV of units of the collective trusts. The NAVs, as provided by the trustee, are used as a practical expedient to estimate fair value based on the fair values of the underlying investments held by the funds less their </w:t>
      </w:r>
      <w:r>
        <w:rPr>
          <w:rFonts w:eastAsia="Times New Roman"/>
          <w:color w:val="000000"/>
          <w:sz w:val="20"/>
          <w:szCs w:val="20"/>
        </w:rPr>
        <w:t>liabilities. The fair values of the U.S. Pension Plans trust assets by asset class as of September 30, 2022 and 2021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6000"/>
        <w:gridCol w:w="37"/>
        <w:gridCol w:w="120"/>
        <w:gridCol w:w="921"/>
        <w:gridCol w:w="36"/>
        <w:gridCol w:w="36"/>
        <w:gridCol w:w="36"/>
        <w:gridCol w:w="36"/>
        <w:gridCol w:w="120"/>
        <w:gridCol w:w="888"/>
        <w:gridCol w:w="36"/>
      </w:tblGrid>
      <w:tr w:rsidR="00000000" w14:paraId="48E6F8F7" w14:textId="77777777">
        <w:trPr>
          <w:divId w:val="1919438091"/>
        </w:trPr>
        <w:tc>
          <w:tcPr>
            <w:tcW w:w="50" w:type="pct"/>
            <w:vAlign w:val="center"/>
            <w:hideMark/>
          </w:tcPr>
          <w:p w14:paraId="2EB372A6" w14:textId="77777777" w:rsidR="00000000" w:rsidRDefault="00C1661D">
            <w:pPr>
              <w:jc w:val="both"/>
              <w:rPr>
                <w:rFonts w:eastAsia="Times New Roman"/>
              </w:rPr>
            </w:pPr>
          </w:p>
        </w:tc>
        <w:tc>
          <w:tcPr>
            <w:tcW w:w="3636" w:type="pct"/>
            <w:vAlign w:val="center"/>
            <w:hideMark/>
          </w:tcPr>
          <w:p w14:paraId="35421DA0" w14:textId="77777777" w:rsidR="00000000" w:rsidRDefault="00C1661D">
            <w:pPr>
              <w:spacing w:after="100"/>
              <w:rPr>
                <w:rFonts w:eastAsia="Times New Roman"/>
                <w:sz w:val="20"/>
                <w:szCs w:val="20"/>
              </w:rPr>
            </w:pPr>
          </w:p>
        </w:tc>
        <w:tc>
          <w:tcPr>
            <w:tcW w:w="5" w:type="pct"/>
            <w:vAlign w:val="center"/>
            <w:hideMark/>
          </w:tcPr>
          <w:p w14:paraId="44775C5D" w14:textId="77777777" w:rsidR="00000000" w:rsidRDefault="00C1661D">
            <w:pPr>
              <w:spacing w:after="100"/>
              <w:rPr>
                <w:rFonts w:eastAsia="Times New Roman"/>
                <w:sz w:val="20"/>
                <w:szCs w:val="20"/>
              </w:rPr>
            </w:pPr>
          </w:p>
        </w:tc>
        <w:tc>
          <w:tcPr>
            <w:tcW w:w="50" w:type="pct"/>
            <w:vAlign w:val="center"/>
            <w:hideMark/>
          </w:tcPr>
          <w:p w14:paraId="321F4270" w14:textId="77777777" w:rsidR="00000000" w:rsidRDefault="00C1661D">
            <w:pPr>
              <w:spacing w:after="100"/>
              <w:rPr>
                <w:rFonts w:eastAsia="Times New Roman"/>
                <w:sz w:val="20"/>
                <w:szCs w:val="20"/>
              </w:rPr>
            </w:pPr>
          </w:p>
        </w:tc>
        <w:tc>
          <w:tcPr>
            <w:tcW w:w="580" w:type="pct"/>
            <w:vAlign w:val="center"/>
            <w:hideMark/>
          </w:tcPr>
          <w:p w14:paraId="744496AE" w14:textId="77777777" w:rsidR="00000000" w:rsidRDefault="00C1661D">
            <w:pPr>
              <w:spacing w:after="100"/>
              <w:rPr>
                <w:rFonts w:eastAsia="Times New Roman"/>
                <w:sz w:val="20"/>
                <w:szCs w:val="20"/>
              </w:rPr>
            </w:pPr>
          </w:p>
        </w:tc>
        <w:tc>
          <w:tcPr>
            <w:tcW w:w="5" w:type="pct"/>
            <w:vAlign w:val="center"/>
            <w:hideMark/>
          </w:tcPr>
          <w:p w14:paraId="065582CE" w14:textId="77777777" w:rsidR="00000000" w:rsidRDefault="00C1661D">
            <w:pPr>
              <w:spacing w:after="100"/>
              <w:rPr>
                <w:rFonts w:eastAsia="Times New Roman"/>
                <w:sz w:val="20"/>
                <w:szCs w:val="20"/>
              </w:rPr>
            </w:pPr>
          </w:p>
        </w:tc>
        <w:tc>
          <w:tcPr>
            <w:tcW w:w="5" w:type="pct"/>
            <w:vAlign w:val="center"/>
            <w:hideMark/>
          </w:tcPr>
          <w:p w14:paraId="1987DA67" w14:textId="77777777" w:rsidR="00000000" w:rsidRDefault="00C1661D">
            <w:pPr>
              <w:spacing w:after="100"/>
              <w:rPr>
                <w:rFonts w:eastAsia="Times New Roman"/>
                <w:sz w:val="20"/>
                <w:szCs w:val="20"/>
              </w:rPr>
            </w:pPr>
          </w:p>
        </w:tc>
        <w:tc>
          <w:tcPr>
            <w:tcW w:w="26" w:type="pct"/>
            <w:vAlign w:val="center"/>
            <w:hideMark/>
          </w:tcPr>
          <w:p w14:paraId="0BD2526D" w14:textId="77777777" w:rsidR="00000000" w:rsidRDefault="00C1661D">
            <w:pPr>
              <w:spacing w:after="100"/>
              <w:rPr>
                <w:rFonts w:eastAsia="Times New Roman"/>
                <w:sz w:val="20"/>
                <w:szCs w:val="20"/>
              </w:rPr>
            </w:pPr>
          </w:p>
        </w:tc>
        <w:tc>
          <w:tcPr>
            <w:tcW w:w="5" w:type="pct"/>
            <w:vAlign w:val="center"/>
            <w:hideMark/>
          </w:tcPr>
          <w:p w14:paraId="1EB0CB22" w14:textId="77777777" w:rsidR="00000000" w:rsidRDefault="00C1661D">
            <w:pPr>
              <w:spacing w:after="100"/>
              <w:rPr>
                <w:rFonts w:eastAsia="Times New Roman"/>
                <w:sz w:val="20"/>
                <w:szCs w:val="20"/>
              </w:rPr>
            </w:pPr>
          </w:p>
        </w:tc>
        <w:tc>
          <w:tcPr>
            <w:tcW w:w="50" w:type="pct"/>
            <w:vAlign w:val="center"/>
            <w:hideMark/>
          </w:tcPr>
          <w:p w14:paraId="7F6D9F47" w14:textId="77777777" w:rsidR="00000000" w:rsidRDefault="00C1661D">
            <w:pPr>
              <w:spacing w:after="100"/>
              <w:rPr>
                <w:rFonts w:eastAsia="Times New Roman"/>
                <w:sz w:val="20"/>
                <w:szCs w:val="20"/>
              </w:rPr>
            </w:pPr>
          </w:p>
        </w:tc>
        <w:tc>
          <w:tcPr>
            <w:tcW w:w="581" w:type="pct"/>
            <w:vAlign w:val="center"/>
            <w:hideMark/>
          </w:tcPr>
          <w:p w14:paraId="2B847562" w14:textId="77777777" w:rsidR="00000000" w:rsidRDefault="00C1661D">
            <w:pPr>
              <w:spacing w:after="100"/>
              <w:rPr>
                <w:rFonts w:eastAsia="Times New Roman"/>
                <w:sz w:val="20"/>
                <w:szCs w:val="20"/>
              </w:rPr>
            </w:pPr>
          </w:p>
        </w:tc>
        <w:tc>
          <w:tcPr>
            <w:tcW w:w="5" w:type="pct"/>
            <w:vAlign w:val="center"/>
            <w:hideMark/>
          </w:tcPr>
          <w:p w14:paraId="1397FD8E" w14:textId="77777777" w:rsidR="00000000" w:rsidRDefault="00C1661D">
            <w:pPr>
              <w:spacing w:after="100"/>
              <w:rPr>
                <w:rFonts w:eastAsia="Times New Roman"/>
                <w:sz w:val="20"/>
                <w:szCs w:val="20"/>
              </w:rPr>
            </w:pPr>
          </w:p>
        </w:tc>
      </w:tr>
      <w:tr w:rsidR="00000000" w14:paraId="64EBC2DD" w14:textId="77777777">
        <w:trPr>
          <w:divId w:val="1919438091"/>
        </w:trPr>
        <w:tc>
          <w:tcPr>
            <w:tcW w:w="0" w:type="auto"/>
            <w:gridSpan w:val="3"/>
            <w:tcMar>
              <w:top w:w="0" w:type="dxa"/>
              <w:left w:w="20" w:type="dxa"/>
              <w:bottom w:w="0" w:type="dxa"/>
              <w:right w:w="20" w:type="dxa"/>
            </w:tcMar>
            <w:vAlign w:val="center"/>
            <w:hideMark/>
          </w:tcPr>
          <w:p w14:paraId="5FEA0767"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02AD4EF"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7637987B"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DE1A7B6" w14:textId="77777777" w:rsidR="00000000" w:rsidRDefault="00C1661D">
            <w:pPr>
              <w:spacing w:after="100"/>
              <w:jc w:val="center"/>
              <w:rPr>
                <w:rFonts w:eastAsia="Times New Roman"/>
              </w:rPr>
            </w:pPr>
            <w:r>
              <w:rPr>
                <w:rFonts w:eastAsia="Times New Roman"/>
                <w:color w:val="000000"/>
                <w:sz w:val="20"/>
                <w:szCs w:val="20"/>
              </w:rPr>
              <w:t>2021</w:t>
            </w:r>
          </w:p>
        </w:tc>
      </w:tr>
      <w:tr w:rsidR="00000000" w14:paraId="11148BEE" w14:textId="77777777">
        <w:trPr>
          <w:divId w:val="1919438091"/>
        </w:trPr>
        <w:tc>
          <w:tcPr>
            <w:tcW w:w="0" w:type="auto"/>
            <w:gridSpan w:val="3"/>
            <w:shd w:val="clear" w:color="auto" w:fill="CCEEFF"/>
            <w:tcMar>
              <w:top w:w="30" w:type="dxa"/>
              <w:left w:w="20" w:type="dxa"/>
              <w:bottom w:w="30" w:type="dxa"/>
              <w:right w:w="20" w:type="dxa"/>
            </w:tcMar>
            <w:vAlign w:val="bottom"/>
            <w:hideMark/>
          </w:tcPr>
          <w:p w14:paraId="439F78A5" w14:textId="77777777" w:rsidR="00000000" w:rsidRDefault="00C1661D">
            <w:pPr>
              <w:spacing w:after="100"/>
              <w:rPr>
                <w:rFonts w:eastAsia="Times New Roman"/>
              </w:rPr>
            </w:pPr>
            <w:r>
              <w:rPr>
                <w:rFonts w:eastAsia="Times New Roman"/>
                <w:b/>
                <w:bCs/>
                <w:color w:val="000000"/>
                <w:sz w:val="20"/>
                <w:szCs w:val="20"/>
              </w:rPr>
              <w:t>U.S. Pension Plans: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7E41C0B"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514C47C"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C2B7DD" w14:textId="77777777" w:rsidR="00000000" w:rsidRDefault="00C1661D">
            <w:pPr>
              <w:spacing w:after="100"/>
              <w:rPr>
                <w:rFonts w:eastAsia="Times New Roman"/>
                <w:sz w:val="20"/>
                <w:szCs w:val="20"/>
              </w:rPr>
            </w:pPr>
          </w:p>
        </w:tc>
      </w:tr>
      <w:tr w:rsidR="00000000" w14:paraId="2DD16B89" w14:textId="77777777">
        <w:trPr>
          <w:divId w:val="1919438091"/>
        </w:trPr>
        <w:tc>
          <w:tcPr>
            <w:tcW w:w="0" w:type="auto"/>
            <w:gridSpan w:val="3"/>
            <w:shd w:val="clear" w:color="auto" w:fill="FFFFFF"/>
            <w:tcMar>
              <w:top w:w="30" w:type="dxa"/>
              <w:left w:w="20" w:type="dxa"/>
              <w:bottom w:w="30" w:type="dxa"/>
              <w:right w:w="20" w:type="dxa"/>
            </w:tcMar>
            <w:vAlign w:val="bottom"/>
            <w:hideMark/>
          </w:tcPr>
          <w:p w14:paraId="5C48D97D" w14:textId="77777777" w:rsidR="00000000" w:rsidRDefault="00C1661D">
            <w:pPr>
              <w:spacing w:after="100"/>
              <w:rPr>
                <w:rFonts w:eastAsia="Times New Roman"/>
              </w:rPr>
            </w:pPr>
            <w:r>
              <w:rPr>
                <w:rFonts w:eastAsia="Times New Roman"/>
                <w:color w:val="000000"/>
                <w:sz w:val="20"/>
                <w:szCs w:val="20"/>
              </w:rPr>
              <w:t>Domestic equity investments:</w:t>
            </w:r>
          </w:p>
        </w:tc>
        <w:tc>
          <w:tcPr>
            <w:tcW w:w="0" w:type="auto"/>
            <w:gridSpan w:val="3"/>
            <w:shd w:val="clear" w:color="auto" w:fill="FFFFFF"/>
            <w:tcMar>
              <w:top w:w="30" w:type="dxa"/>
              <w:left w:w="20" w:type="dxa"/>
              <w:bottom w:w="30" w:type="dxa"/>
              <w:right w:w="20" w:type="dxa"/>
            </w:tcMar>
            <w:vAlign w:val="bottom"/>
            <w:hideMark/>
          </w:tcPr>
          <w:p w14:paraId="71CC7ACE"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C902E57"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4EA309" w14:textId="77777777" w:rsidR="00000000" w:rsidRDefault="00C1661D">
            <w:pPr>
              <w:spacing w:after="100"/>
              <w:rPr>
                <w:rFonts w:eastAsia="Times New Roman"/>
                <w:sz w:val="20"/>
                <w:szCs w:val="20"/>
              </w:rPr>
            </w:pPr>
          </w:p>
        </w:tc>
      </w:tr>
      <w:tr w:rsidR="00000000" w14:paraId="2CC6B826" w14:textId="77777777">
        <w:trPr>
          <w:divId w:val="1919438091"/>
        </w:trPr>
        <w:tc>
          <w:tcPr>
            <w:tcW w:w="0" w:type="auto"/>
            <w:gridSpan w:val="3"/>
            <w:vAlign w:val="center"/>
            <w:hideMark/>
          </w:tcPr>
          <w:p w14:paraId="56172363" w14:textId="77777777" w:rsidR="00000000" w:rsidRDefault="00C1661D">
            <w:pPr>
              <w:spacing w:after="100"/>
              <w:rPr>
                <w:rFonts w:eastAsia="Times New Roman"/>
                <w:sz w:val="20"/>
                <w:szCs w:val="20"/>
              </w:rPr>
            </w:pPr>
          </w:p>
        </w:tc>
        <w:tc>
          <w:tcPr>
            <w:tcW w:w="0" w:type="auto"/>
            <w:gridSpan w:val="3"/>
            <w:vAlign w:val="center"/>
            <w:hideMark/>
          </w:tcPr>
          <w:p w14:paraId="50B564C8" w14:textId="77777777" w:rsidR="00000000" w:rsidRDefault="00C1661D">
            <w:pPr>
              <w:spacing w:after="100"/>
              <w:rPr>
                <w:rFonts w:eastAsia="Times New Roman"/>
                <w:sz w:val="20"/>
                <w:szCs w:val="20"/>
              </w:rPr>
            </w:pPr>
          </w:p>
        </w:tc>
        <w:tc>
          <w:tcPr>
            <w:tcW w:w="0" w:type="auto"/>
            <w:gridSpan w:val="3"/>
            <w:vAlign w:val="center"/>
            <w:hideMark/>
          </w:tcPr>
          <w:p w14:paraId="59E82200" w14:textId="77777777" w:rsidR="00000000" w:rsidRDefault="00C1661D">
            <w:pPr>
              <w:spacing w:after="100"/>
              <w:rPr>
                <w:rFonts w:eastAsia="Times New Roman"/>
                <w:sz w:val="20"/>
                <w:szCs w:val="20"/>
              </w:rPr>
            </w:pPr>
          </w:p>
        </w:tc>
        <w:tc>
          <w:tcPr>
            <w:tcW w:w="0" w:type="auto"/>
            <w:gridSpan w:val="3"/>
            <w:vAlign w:val="center"/>
            <w:hideMark/>
          </w:tcPr>
          <w:p w14:paraId="396D2F92" w14:textId="77777777" w:rsidR="00000000" w:rsidRDefault="00C1661D">
            <w:pPr>
              <w:spacing w:after="100"/>
              <w:rPr>
                <w:rFonts w:eastAsia="Times New Roman"/>
                <w:sz w:val="20"/>
                <w:szCs w:val="20"/>
              </w:rPr>
            </w:pPr>
          </w:p>
        </w:tc>
      </w:tr>
      <w:tr w:rsidR="00000000" w14:paraId="5CAFFF70" w14:textId="77777777">
        <w:trPr>
          <w:divId w:val="1919438091"/>
        </w:trPr>
        <w:tc>
          <w:tcPr>
            <w:tcW w:w="0" w:type="auto"/>
            <w:gridSpan w:val="3"/>
            <w:vAlign w:val="center"/>
            <w:hideMark/>
          </w:tcPr>
          <w:p w14:paraId="5E9367EA" w14:textId="77777777" w:rsidR="00000000" w:rsidRDefault="00C1661D">
            <w:pPr>
              <w:spacing w:after="100"/>
              <w:rPr>
                <w:rFonts w:eastAsia="Times New Roman"/>
                <w:sz w:val="20"/>
                <w:szCs w:val="20"/>
              </w:rPr>
            </w:pPr>
          </w:p>
        </w:tc>
        <w:tc>
          <w:tcPr>
            <w:tcW w:w="0" w:type="auto"/>
            <w:gridSpan w:val="3"/>
            <w:vAlign w:val="center"/>
            <w:hideMark/>
          </w:tcPr>
          <w:p w14:paraId="58065B3E" w14:textId="77777777" w:rsidR="00000000" w:rsidRDefault="00C1661D">
            <w:pPr>
              <w:spacing w:after="100"/>
              <w:rPr>
                <w:rFonts w:eastAsia="Times New Roman"/>
                <w:sz w:val="20"/>
                <w:szCs w:val="20"/>
              </w:rPr>
            </w:pPr>
          </w:p>
        </w:tc>
        <w:tc>
          <w:tcPr>
            <w:tcW w:w="0" w:type="auto"/>
            <w:gridSpan w:val="3"/>
            <w:vAlign w:val="center"/>
            <w:hideMark/>
          </w:tcPr>
          <w:p w14:paraId="06E72E32" w14:textId="77777777" w:rsidR="00000000" w:rsidRDefault="00C1661D">
            <w:pPr>
              <w:spacing w:after="100"/>
              <w:rPr>
                <w:rFonts w:eastAsia="Times New Roman"/>
                <w:sz w:val="20"/>
                <w:szCs w:val="20"/>
              </w:rPr>
            </w:pPr>
          </w:p>
        </w:tc>
        <w:tc>
          <w:tcPr>
            <w:tcW w:w="0" w:type="auto"/>
            <w:gridSpan w:val="3"/>
            <w:vAlign w:val="center"/>
            <w:hideMark/>
          </w:tcPr>
          <w:p w14:paraId="6DE3F161" w14:textId="77777777" w:rsidR="00000000" w:rsidRDefault="00C1661D">
            <w:pPr>
              <w:spacing w:after="100"/>
              <w:rPr>
                <w:rFonts w:eastAsia="Times New Roman"/>
                <w:sz w:val="20"/>
                <w:szCs w:val="20"/>
              </w:rPr>
            </w:pPr>
          </w:p>
        </w:tc>
      </w:tr>
      <w:tr w:rsidR="00000000" w14:paraId="1C077B58" w14:textId="77777777">
        <w:trPr>
          <w:divId w:val="1919438091"/>
        </w:trPr>
        <w:tc>
          <w:tcPr>
            <w:tcW w:w="0" w:type="auto"/>
            <w:gridSpan w:val="3"/>
            <w:vAlign w:val="center"/>
            <w:hideMark/>
          </w:tcPr>
          <w:p w14:paraId="66E7466C" w14:textId="77777777" w:rsidR="00000000" w:rsidRDefault="00C1661D">
            <w:pPr>
              <w:spacing w:after="100"/>
              <w:rPr>
                <w:rFonts w:eastAsia="Times New Roman"/>
                <w:sz w:val="20"/>
                <w:szCs w:val="20"/>
              </w:rPr>
            </w:pPr>
          </w:p>
        </w:tc>
        <w:tc>
          <w:tcPr>
            <w:tcW w:w="0" w:type="auto"/>
            <w:gridSpan w:val="3"/>
            <w:vAlign w:val="center"/>
            <w:hideMark/>
          </w:tcPr>
          <w:p w14:paraId="51859C2A" w14:textId="77777777" w:rsidR="00000000" w:rsidRDefault="00C1661D">
            <w:pPr>
              <w:spacing w:after="100"/>
              <w:rPr>
                <w:rFonts w:eastAsia="Times New Roman"/>
                <w:sz w:val="20"/>
                <w:szCs w:val="20"/>
              </w:rPr>
            </w:pPr>
          </w:p>
        </w:tc>
        <w:tc>
          <w:tcPr>
            <w:tcW w:w="0" w:type="auto"/>
            <w:gridSpan w:val="3"/>
            <w:vAlign w:val="center"/>
            <w:hideMark/>
          </w:tcPr>
          <w:p w14:paraId="0DC4C590" w14:textId="77777777" w:rsidR="00000000" w:rsidRDefault="00C1661D">
            <w:pPr>
              <w:spacing w:after="100"/>
              <w:rPr>
                <w:rFonts w:eastAsia="Times New Roman"/>
                <w:sz w:val="20"/>
                <w:szCs w:val="20"/>
              </w:rPr>
            </w:pPr>
          </w:p>
        </w:tc>
        <w:tc>
          <w:tcPr>
            <w:tcW w:w="0" w:type="auto"/>
            <w:gridSpan w:val="3"/>
            <w:vAlign w:val="center"/>
            <w:hideMark/>
          </w:tcPr>
          <w:p w14:paraId="50DBD1AB" w14:textId="77777777" w:rsidR="00000000" w:rsidRDefault="00C1661D">
            <w:pPr>
              <w:spacing w:after="100"/>
              <w:rPr>
                <w:rFonts w:eastAsia="Times New Roman"/>
                <w:sz w:val="20"/>
                <w:szCs w:val="20"/>
              </w:rPr>
            </w:pPr>
          </w:p>
        </w:tc>
      </w:tr>
      <w:tr w:rsidR="00000000" w14:paraId="4E118C82" w14:textId="77777777">
        <w:trPr>
          <w:divId w:val="1919438091"/>
        </w:trPr>
        <w:tc>
          <w:tcPr>
            <w:tcW w:w="0" w:type="auto"/>
            <w:gridSpan w:val="3"/>
            <w:shd w:val="clear" w:color="auto" w:fill="CCEEFF"/>
            <w:tcMar>
              <w:top w:w="30" w:type="dxa"/>
              <w:left w:w="20" w:type="dxa"/>
              <w:bottom w:w="30" w:type="dxa"/>
              <w:right w:w="20" w:type="dxa"/>
            </w:tcMar>
            <w:vAlign w:val="bottom"/>
            <w:hideMark/>
          </w:tcPr>
          <w:p w14:paraId="661399DC" w14:textId="77777777" w:rsidR="00000000" w:rsidRDefault="00C1661D">
            <w:pPr>
              <w:spacing w:after="100"/>
              <w:rPr>
                <w:rFonts w:eastAsia="Times New Roman"/>
              </w:rPr>
            </w:pPr>
            <w:r>
              <w:rPr>
                <w:rFonts w:eastAsia="Times New Roman"/>
                <w:color w:val="000000"/>
                <w:sz w:val="20"/>
                <w:szCs w:val="20"/>
              </w:rPr>
              <w:t>   UGI Corporation Common Stock</w:t>
            </w:r>
          </w:p>
        </w:tc>
        <w:tc>
          <w:tcPr>
            <w:tcW w:w="0" w:type="auto"/>
            <w:shd w:val="clear" w:color="auto" w:fill="CCEEFF"/>
            <w:tcMar>
              <w:top w:w="30" w:type="dxa"/>
              <w:left w:w="20" w:type="dxa"/>
              <w:bottom w:w="30" w:type="dxa"/>
              <w:right w:w="0" w:type="dxa"/>
            </w:tcMar>
            <w:vAlign w:val="bottom"/>
            <w:hideMark/>
          </w:tcPr>
          <w:p w14:paraId="1902844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099A58F" w14:textId="77777777" w:rsidR="00000000" w:rsidRDefault="00C1661D">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14:paraId="71712BE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AE054D"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0E206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0FF046A" w14:textId="77777777" w:rsidR="00000000" w:rsidRDefault="00C1661D">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14:paraId="225911EE" w14:textId="77777777" w:rsidR="00000000" w:rsidRDefault="00C1661D">
            <w:pPr>
              <w:spacing w:after="100"/>
              <w:jc w:val="right"/>
              <w:rPr>
                <w:rFonts w:eastAsia="Times New Roman"/>
              </w:rPr>
            </w:pPr>
          </w:p>
        </w:tc>
      </w:tr>
      <w:tr w:rsidR="00000000" w14:paraId="3ED622AF" w14:textId="77777777">
        <w:trPr>
          <w:divId w:val="1919438091"/>
        </w:trPr>
        <w:tc>
          <w:tcPr>
            <w:tcW w:w="0" w:type="auto"/>
            <w:gridSpan w:val="3"/>
            <w:shd w:val="clear" w:color="auto" w:fill="FFFFFF"/>
            <w:tcMar>
              <w:top w:w="30" w:type="dxa"/>
              <w:left w:w="20" w:type="dxa"/>
              <w:bottom w:w="30" w:type="dxa"/>
              <w:right w:w="20" w:type="dxa"/>
            </w:tcMar>
            <w:vAlign w:val="bottom"/>
            <w:hideMark/>
          </w:tcPr>
          <w:p w14:paraId="12484826" w14:textId="77777777" w:rsidR="00000000" w:rsidRDefault="00C1661D">
            <w:pPr>
              <w:spacing w:after="100"/>
              <w:rPr>
                <w:rFonts w:eastAsia="Times New Roman"/>
              </w:rPr>
            </w:pPr>
            <w:r>
              <w:rPr>
                <w:rFonts w:eastAsia="Times New Roman"/>
                <w:color w:val="000000"/>
                <w:sz w:val="20"/>
                <w:szCs w:val="20"/>
              </w:rPr>
              <w:t>     Total domestic equity investments (a)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048303" w14:textId="77777777" w:rsidR="00000000" w:rsidRDefault="00C1661D">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23068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BEF775"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283219" w14:textId="77777777" w:rsidR="00000000" w:rsidRDefault="00C1661D">
            <w:pPr>
              <w:spacing w:after="100"/>
              <w:jc w:val="right"/>
              <w:rPr>
                <w:rFonts w:eastAsia="Times New Roman"/>
              </w:rPr>
            </w:pPr>
            <w:r>
              <w:rPr>
                <w:rFonts w:eastAsia="Times New Roman"/>
                <w:color w:val="000000"/>
                <w:sz w:val="20"/>
                <w:szCs w:val="20"/>
              </w:rPr>
              <w:t>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16C6D2" w14:textId="77777777" w:rsidR="00000000" w:rsidRDefault="00C1661D">
            <w:pPr>
              <w:spacing w:after="100"/>
              <w:jc w:val="right"/>
              <w:rPr>
                <w:rFonts w:eastAsia="Times New Roman"/>
              </w:rPr>
            </w:pPr>
          </w:p>
        </w:tc>
      </w:tr>
      <w:tr w:rsidR="00000000" w14:paraId="27C30793" w14:textId="77777777">
        <w:trPr>
          <w:divId w:val="1919438091"/>
        </w:trPr>
        <w:tc>
          <w:tcPr>
            <w:tcW w:w="0" w:type="auto"/>
            <w:gridSpan w:val="3"/>
            <w:vAlign w:val="center"/>
            <w:hideMark/>
          </w:tcPr>
          <w:p w14:paraId="37FD567D" w14:textId="77777777" w:rsidR="00000000" w:rsidRDefault="00C1661D">
            <w:pPr>
              <w:spacing w:after="100"/>
              <w:jc w:val="right"/>
              <w:rPr>
                <w:rFonts w:eastAsia="Times New Roman"/>
                <w:sz w:val="20"/>
                <w:szCs w:val="20"/>
              </w:rPr>
            </w:pPr>
          </w:p>
        </w:tc>
        <w:tc>
          <w:tcPr>
            <w:tcW w:w="0" w:type="auto"/>
            <w:gridSpan w:val="3"/>
            <w:vAlign w:val="center"/>
            <w:hideMark/>
          </w:tcPr>
          <w:p w14:paraId="0CEBCBC3" w14:textId="77777777" w:rsidR="00000000" w:rsidRDefault="00C1661D">
            <w:pPr>
              <w:spacing w:after="100"/>
              <w:rPr>
                <w:rFonts w:eastAsia="Times New Roman"/>
                <w:sz w:val="20"/>
                <w:szCs w:val="20"/>
              </w:rPr>
            </w:pPr>
          </w:p>
        </w:tc>
        <w:tc>
          <w:tcPr>
            <w:tcW w:w="0" w:type="auto"/>
            <w:gridSpan w:val="3"/>
            <w:vAlign w:val="center"/>
            <w:hideMark/>
          </w:tcPr>
          <w:p w14:paraId="4CF49CDB" w14:textId="77777777" w:rsidR="00000000" w:rsidRDefault="00C1661D">
            <w:pPr>
              <w:spacing w:after="100"/>
              <w:rPr>
                <w:rFonts w:eastAsia="Times New Roman"/>
                <w:sz w:val="20"/>
                <w:szCs w:val="20"/>
              </w:rPr>
            </w:pPr>
          </w:p>
        </w:tc>
        <w:tc>
          <w:tcPr>
            <w:tcW w:w="0" w:type="auto"/>
            <w:gridSpan w:val="3"/>
            <w:vAlign w:val="center"/>
            <w:hideMark/>
          </w:tcPr>
          <w:p w14:paraId="5F324D0E" w14:textId="77777777" w:rsidR="00000000" w:rsidRDefault="00C1661D">
            <w:pPr>
              <w:spacing w:after="100"/>
              <w:rPr>
                <w:rFonts w:eastAsia="Times New Roman"/>
                <w:sz w:val="20"/>
                <w:szCs w:val="20"/>
              </w:rPr>
            </w:pPr>
          </w:p>
        </w:tc>
      </w:tr>
      <w:tr w:rsidR="00000000" w14:paraId="379ABC4E" w14:textId="77777777">
        <w:trPr>
          <w:divId w:val="1919438091"/>
        </w:trPr>
        <w:tc>
          <w:tcPr>
            <w:tcW w:w="0" w:type="auto"/>
            <w:gridSpan w:val="3"/>
            <w:vAlign w:val="center"/>
            <w:hideMark/>
          </w:tcPr>
          <w:p w14:paraId="0006650D" w14:textId="77777777" w:rsidR="00000000" w:rsidRDefault="00C1661D">
            <w:pPr>
              <w:spacing w:after="100"/>
              <w:rPr>
                <w:rFonts w:eastAsia="Times New Roman"/>
                <w:sz w:val="20"/>
                <w:szCs w:val="20"/>
              </w:rPr>
            </w:pPr>
          </w:p>
        </w:tc>
        <w:tc>
          <w:tcPr>
            <w:tcW w:w="0" w:type="auto"/>
            <w:gridSpan w:val="3"/>
            <w:vAlign w:val="center"/>
            <w:hideMark/>
          </w:tcPr>
          <w:p w14:paraId="105F649D" w14:textId="77777777" w:rsidR="00000000" w:rsidRDefault="00C1661D">
            <w:pPr>
              <w:spacing w:after="100"/>
              <w:rPr>
                <w:rFonts w:eastAsia="Times New Roman"/>
                <w:sz w:val="20"/>
                <w:szCs w:val="20"/>
              </w:rPr>
            </w:pPr>
          </w:p>
        </w:tc>
        <w:tc>
          <w:tcPr>
            <w:tcW w:w="0" w:type="auto"/>
            <w:gridSpan w:val="3"/>
            <w:vAlign w:val="center"/>
            <w:hideMark/>
          </w:tcPr>
          <w:p w14:paraId="36A39A0D" w14:textId="77777777" w:rsidR="00000000" w:rsidRDefault="00C1661D">
            <w:pPr>
              <w:spacing w:after="100"/>
              <w:rPr>
                <w:rFonts w:eastAsia="Times New Roman"/>
                <w:sz w:val="20"/>
                <w:szCs w:val="20"/>
              </w:rPr>
            </w:pPr>
          </w:p>
        </w:tc>
        <w:tc>
          <w:tcPr>
            <w:tcW w:w="0" w:type="auto"/>
            <w:gridSpan w:val="3"/>
            <w:vAlign w:val="center"/>
            <w:hideMark/>
          </w:tcPr>
          <w:p w14:paraId="3D59C300" w14:textId="77777777" w:rsidR="00000000" w:rsidRDefault="00C1661D">
            <w:pPr>
              <w:spacing w:after="100"/>
              <w:rPr>
                <w:rFonts w:eastAsia="Times New Roman"/>
                <w:sz w:val="20"/>
                <w:szCs w:val="20"/>
              </w:rPr>
            </w:pPr>
          </w:p>
        </w:tc>
      </w:tr>
      <w:tr w:rsidR="00000000" w14:paraId="7FAF8CBB" w14:textId="77777777">
        <w:trPr>
          <w:divId w:val="1919438091"/>
        </w:trPr>
        <w:tc>
          <w:tcPr>
            <w:tcW w:w="0" w:type="auto"/>
            <w:gridSpan w:val="3"/>
            <w:vAlign w:val="center"/>
            <w:hideMark/>
          </w:tcPr>
          <w:p w14:paraId="4636C5FE" w14:textId="77777777" w:rsidR="00000000" w:rsidRDefault="00C1661D">
            <w:pPr>
              <w:spacing w:after="100"/>
              <w:rPr>
                <w:rFonts w:eastAsia="Times New Roman"/>
                <w:sz w:val="20"/>
                <w:szCs w:val="20"/>
              </w:rPr>
            </w:pPr>
          </w:p>
        </w:tc>
        <w:tc>
          <w:tcPr>
            <w:tcW w:w="0" w:type="auto"/>
            <w:gridSpan w:val="3"/>
            <w:vAlign w:val="center"/>
            <w:hideMark/>
          </w:tcPr>
          <w:p w14:paraId="3E5669F4" w14:textId="77777777" w:rsidR="00000000" w:rsidRDefault="00C1661D">
            <w:pPr>
              <w:spacing w:after="100"/>
              <w:rPr>
                <w:rFonts w:eastAsia="Times New Roman"/>
                <w:sz w:val="20"/>
                <w:szCs w:val="20"/>
              </w:rPr>
            </w:pPr>
          </w:p>
        </w:tc>
        <w:tc>
          <w:tcPr>
            <w:tcW w:w="0" w:type="auto"/>
            <w:gridSpan w:val="3"/>
            <w:vAlign w:val="center"/>
            <w:hideMark/>
          </w:tcPr>
          <w:p w14:paraId="142B96D3" w14:textId="77777777" w:rsidR="00000000" w:rsidRDefault="00C1661D">
            <w:pPr>
              <w:spacing w:after="100"/>
              <w:rPr>
                <w:rFonts w:eastAsia="Times New Roman"/>
                <w:sz w:val="20"/>
                <w:szCs w:val="20"/>
              </w:rPr>
            </w:pPr>
          </w:p>
        </w:tc>
        <w:tc>
          <w:tcPr>
            <w:tcW w:w="0" w:type="auto"/>
            <w:gridSpan w:val="3"/>
            <w:vAlign w:val="center"/>
            <w:hideMark/>
          </w:tcPr>
          <w:p w14:paraId="6745E6AE" w14:textId="77777777" w:rsidR="00000000" w:rsidRDefault="00C1661D">
            <w:pPr>
              <w:spacing w:after="100"/>
              <w:rPr>
                <w:rFonts w:eastAsia="Times New Roman"/>
                <w:sz w:val="20"/>
                <w:szCs w:val="20"/>
              </w:rPr>
            </w:pPr>
          </w:p>
        </w:tc>
      </w:tr>
      <w:tr w:rsidR="00000000" w14:paraId="25E2BA71" w14:textId="77777777">
        <w:trPr>
          <w:divId w:val="1919438091"/>
        </w:trPr>
        <w:tc>
          <w:tcPr>
            <w:tcW w:w="0" w:type="auto"/>
            <w:gridSpan w:val="3"/>
            <w:vAlign w:val="center"/>
            <w:hideMark/>
          </w:tcPr>
          <w:p w14:paraId="0CB6D4E1" w14:textId="77777777" w:rsidR="00000000" w:rsidRDefault="00C1661D">
            <w:pPr>
              <w:spacing w:after="100"/>
              <w:rPr>
                <w:rFonts w:eastAsia="Times New Roman"/>
                <w:sz w:val="20"/>
                <w:szCs w:val="20"/>
              </w:rPr>
            </w:pPr>
          </w:p>
        </w:tc>
        <w:tc>
          <w:tcPr>
            <w:tcW w:w="0" w:type="auto"/>
            <w:gridSpan w:val="3"/>
            <w:vAlign w:val="center"/>
            <w:hideMark/>
          </w:tcPr>
          <w:p w14:paraId="5D11616D" w14:textId="77777777" w:rsidR="00000000" w:rsidRDefault="00C1661D">
            <w:pPr>
              <w:spacing w:after="100"/>
              <w:rPr>
                <w:rFonts w:eastAsia="Times New Roman"/>
                <w:sz w:val="20"/>
                <w:szCs w:val="20"/>
              </w:rPr>
            </w:pPr>
          </w:p>
        </w:tc>
        <w:tc>
          <w:tcPr>
            <w:tcW w:w="0" w:type="auto"/>
            <w:gridSpan w:val="3"/>
            <w:vAlign w:val="center"/>
            <w:hideMark/>
          </w:tcPr>
          <w:p w14:paraId="7ED37A72" w14:textId="77777777" w:rsidR="00000000" w:rsidRDefault="00C1661D">
            <w:pPr>
              <w:spacing w:after="100"/>
              <w:rPr>
                <w:rFonts w:eastAsia="Times New Roman"/>
                <w:sz w:val="20"/>
                <w:szCs w:val="20"/>
              </w:rPr>
            </w:pPr>
          </w:p>
        </w:tc>
        <w:tc>
          <w:tcPr>
            <w:tcW w:w="0" w:type="auto"/>
            <w:gridSpan w:val="3"/>
            <w:vAlign w:val="center"/>
            <w:hideMark/>
          </w:tcPr>
          <w:p w14:paraId="120D5E2E" w14:textId="77777777" w:rsidR="00000000" w:rsidRDefault="00C1661D">
            <w:pPr>
              <w:spacing w:after="100"/>
              <w:rPr>
                <w:rFonts w:eastAsia="Times New Roman"/>
                <w:sz w:val="20"/>
                <w:szCs w:val="20"/>
              </w:rPr>
            </w:pPr>
          </w:p>
        </w:tc>
      </w:tr>
      <w:tr w:rsidR="00000000" w14:paraId="4498361F" w14:textId="77777777">
        <w:trPr>
          <w:divId w:val="1919438091"/>
        </w:trPr>
        <w:tc>
          <w:tcPr>
            <w:tcW w:w="0" w:type="auto"/>
            <w:gridSpan w:val="3"/>
            <w:vAlign w:val="center"/>
            <w:hideMark/>
          </w:tcPr>
          <w:p w14:paraId="06174F94" w14:textId="77777777" w:rsidR="00000000" w:rsidRDefault="00C1661D">
            <w:pPr>
              <w:spacing w:after="100"/>
              <w:rPr>
                <w:rFonts w:eastAsia="Times New Roman"/>
                <w:sz w:val="20"/>
                <w:szCs w:val="20"/>
              </w:rPr>
            </w:pPr>
          </w:p>
        </w:tc>
        <w:tc>
          <w:tcPr>
            <w:tcW w:w="0" w:type="auto"/>
            <w:gridSpan w:val="3"/>
            <w:vAlign w:val="center"/>
            <w:hideMark/>
          </w:tcPr>
          <w:p w14:paraId="4754A207" w14:textId="77777777" w:rsidR="00000000" w:rsidRDefault="00C1661D">
            <w:pPr>
              <w:spacing w:after="100"/>
              <w:rPr>
                <w:rFonts w:eastAsia="Times New Roman"/>
                <w:sz w:val="20"/>
                <w:szCs w:val="20"/>
              </w:rPr>
            </w:pPr>
          </w:p>
        </w:tc>
        <w:tc>
          <w:tcPr>
            <w:tcW w:w="0" w:type="auto"/>
            <w:gridSpan w:val="3"/>
            <w:vAlign w:val="center"/>
            <w:hideMark/>
          </w:tcPr>
          <w:p w14:paraId="14D8C867" w14:textId="77777777" w:rsidR="00000000" w:rsidRDefault="00C1661D">
            <w:pPr>
              <w:spacing w:after="100"/>
              <w:rPr>
                <w:rFonts w:eastAsia="Times New Roman"/>
                <w:sz w:val="20"/>
                <w:szCs w:val="20"/>
              </w:rPr>
            </w:pPr>
          </w:p>
        </w:tc>
        <w:tc>
          <w:tcPr>
            <w:tcW w:w="0" w:type="auto"/>
            <w:gridSpan w:val="3"/>
            <w:vAlign w:val="center"/>
            <w:hideMark/>
          </w:tcPr>
          <w:p w14:paraId="5B8CD36F" w14:textId="77777777" w:rsidR="00000000" w:rsidRDefault="00C1661D">
            <w:pPr>
              <w:spacing w:after="100"/>
              <w:rPr>
                <w:rFonts w:eastAsia="Times New Roman"/>
                <w:sz w:val="20"/>
                <w:szCs w:val="20"/>
              </w:rPr>
            </w:pPr>
          </w:p>
        </w:tc>
      </w:tr>
      <w:tr w:rsidR="00000000" w14:paraId="35A37A38" w14:textId="77777777">
        <w:trPr>
          <w:divId w:val="1919438091"/>
        </w:trPr>
        <w:tc>
          <w:tcPr>
            <w:tcW w:w="0" w:type="auto"/>
            <w:gridSpan w:val="3"/>
            <w:shd w:val="clear" w:color="auto" w:fill="CCEEFF"/>
            <w:tcMar>
              <w:top w:w="30" w:type="dxa"/>
              <w:left w:w="20" w:type="dxa"/>
              <w:bottom w:w="30" w:type="dxa"/>
              <w:right w:w="20" w:type="dxa"/>
            </w:tcMar>
            <w:vAlign w:val="bottom"/>
            <w:hideMark/>
          </w:tcPr>
          <w:p w14:paraId="1E611336" w14:textId="77777777" w:rsidR="00000000" w:rsidRDefault="00C1661D">
            <w:pPr>
              <w:spacing w:after="100"/>
              <w:rPr>
                <w:rFonts w:eastAsia="Times New Roman"/>
              </w:rPr>
            </w:pPr>
            <w:r>
              <w:rPr>
                <w:rFonts w:eastAsia="Times New Roman"/>
                <w:color w:val="000000"/>
                <w:sz w:val="20"/>
                <w:szCs w:val="20"/>
              </w:rPr>
              <w:t>Common collective trust funds: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2AD131"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A7FEB9"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E3C258" w14:textId="77777777" w:rsidR="00000000" w:rsidRDefault="00C1661D">
            <w:pPr>
              <w:spacing w:after="100"/>
              <w:rPr>
                <w:rFonts w:eastAsia="Times New Roman"/>
                <w:sz w:val="20"/>
                <w:szCs w:val="20"/>
              </w:rPr>
            </w:pPr>
          </w:p>
        </w:tc>
      </w:tr>
      <w:tr w:rsidR="00000000" w14:paraId="3CB0683B" w14:textId="77777777">
        <w:trPr>
          <w:divId w:val="1919438091"/>
        </w:trPr>
        <w:tc>
          <w:tcPr>
            <w:tcW w:w="0" w:type="auto"/>
            <w:gridSpan w:val="3"/>
            <w:shd w:val="clear" w:color="auto" w:fill="FFFFFF"/>
            <w:tcMar>
              <w:top w:w="30" w:type="dxa"/>
              <w:left w:w="20" w:type="dxa"/>
              <w:bottom w:w="30" w:type="dxa"/>
              <w:right w:w="20" w:type="dxa"/>
            </w:tcMar>
            <w:vAlign w:val="bottom"/>
            <w:hideMark/>
          </w:tcPr>
          <w:p w14:paraId="5B947E6C" w14:textId="77777777" w:rsidR="00000000" w:rsidRDefault="00C1661D">
            <w:pPr>
              <w:spacing w:after="100"/>
              <w:rPr>
                <w:rFonts w:eastAsia="Times New Roman"/>
              </w:rPr>
            </w:pPr>
            <w:r>
              <w:rPr>
                <w:rFonts w:eastAsia="Times New Roman"/>
                <w:color w:val="000000"/>
                <w:sz w:val="20"/>
                <w:szCs w:val="20"/>
              </w:rPr>
              <w:t>   U.S. equity index investments</w:t>
            </w:r>
          </w:p>
        </w:tc>
        <w:tc>
          <w:tcPr>
            <w:tcW w:w="0" w:type="auto"/>
            <w:gridSpan w:val="2"/>
            <w:shd w:val="clear" w:color="auto" w:fill="FFFFFF"/>
            <w:tcMar>
              <w:top w:w="30" w:type="dxa"/>
              <w:left w:w="20" w:type="dxa"/>
              <w:bottom w:w="30" w:type="dxa"/>
              <w:right w:w="0" w:type="dxa"/>
            </w:tcMar>
            <w:vAlign w:val="bottom"/>
            <w:hideMark/>
          </w:tcPr>
          <w:p w14:paraId="6AC2EB65" w14:textId="77777777" w:rsidR="00000000" w:rsidRDefault="00C1661D">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bottom"/>
            <w:hideMark/>
          </w:tcPr>
          <w:p w14:paraId="52CD6CB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CF847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198B9F" w14:textId="77777777" w:rsidR="00000000" w:rsidRDefault="00C1661D">
            <w:pPr>
              <w:spacing w:after="100"/>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14:paraId="280E03B1" w14:textId="77777777" w:rsidR="00000000" w:rsidRDefault="00C1661D">
            <w:pPr>
              <w:spacing w:after="100"/>
              <w:jc w:val="right"/>
              <w:rPr>
                <w:rFonts w:eastAsia="Times New Roman"/>
              </w:rPr>
            </w:pPr>
          </w:p>
        </w:tc>
      </w:tr>
      <w:tr w:rsidR="00000000" w14:paraId="45FEA3D0" w14:textId="77777777">
        <w:trPr>
          <w:divId w:val="1919438091"/>
        </w:trPr>
        <w:tc>
          <w:tcPr>
            <w:tcW w:w="0" w:type="auto"/>
            <w:gridSpan w:val="3"/>
            <w:shd w:val="clear" w:color="auto" w:fill="CCEEFF"/>
            <w:tcMar>
              <w:top w:w="30" w:type="dxa"/>
              <w:left w:w="20" w:type="dxa"/>
              <w:bottom w:w="30" w:type="dxa"/>
              <w:right w:w="20" w:type="dxa"/>
            </w:tcMar>
            <w:vAlign w:val="bottom"/>
            <w:hideMark/>
          </w:tcPr>
          <w:p w14:paraId="569B6B7C" w14:textId="77777777" w:rsidR="00000000" w:rsidRDefault="00C1661D">
            <w:pPr>
              <w:spacing w:after="100"/>
              <w:rPr>
                <w:rFonts w:eastAsia="Times New Roman"/>
              </w:rPr>
            </w:pPr>
            <w:r>
              <w:rPr>
                <w:rFonts w:eastAsia="Times New Roman"/>
                <w:color w:val="000000"/>
                <w:sz w:val="20"/>
                <w:szCs w:val="20"/>
              </w:rPr>
              <w:t>   Non-U.S. equity index investments</w:t>
            </w:r>
          </w:p>
        </w:tc>
        <w:tc>
          <w:tcPr>
            <w:tcW w:w="0" w:type="auto"/>
            <w:gridSpan w:val="2"/>
            <w:shd w:val="clear" w:color="auto" w:fill="CCEEFF"/>
            <w:tcMar>
              <w:top w:w="30" w:type="dxa"/>
              <w:left w:w="20" w:type="dxa"/>
              <w:bottom w:w="30" w:type="dxa"/>
              <w:right w:w="0" w:type="dxa"/>
            </w:tcMar>
            <w:vAlign w:val="bottom"/>
            <w:hideMark/>
          </w:tcPr>
          <w:p w14:paraId="23775BE6" w14:textId="77777777" w:rsidR="00000000" w:rsidRDefault="00C1661D">
            <w:pPr>
              <w:spacing w:after="100"/>
              <w:jc w:val="right"/>
              <w:rPr>
                <w:rFonts w:eastAsia="Times New Roman"/>
              </w:rPr>
            </w:pPr>
            <w:r>
              <w:rPr>
                <w:rFonts w:eastAsia="Times New Roman"/>
                <w:color w:val="000000"/>
                <w:sz w:val="20"/>
                <w:szCs w:val="20"/>
              </w:rPr>
              <w:t>110 </w:t>
            </w:r>
          </w:p>
        </w:tc>
        <w:tc>
          <w:tcPr>
            <w:tcW w:w="0" w:type="auto"/>
            <w:shd w:val="clear" w:color="auto" w:fill="CCEEFF"/>
            <w:tcMar>
              <w:top w:w="30" w:type="dxa"/>
              <w:left w:w="0" w:type="dxa"/>
              <w:bottom w:w="30" w:type="dxa"/>
              <w:right w:w="20" w:type="dxa"/>
            </w:tcMar>
            <w:vAlign w:val="bottom"/>
            <w:hideMark/>
          </w:tcPr>
          <w:p w14:paraId="350D56F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CDA4A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32AEF3" w14:textId="77777777" w:rsidR="00000000" w:rsidRDefault="00C1661D">
            <w:pPr>
              <w:spacing w:after="100"/>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14:paraId="626E8C06" w14:textId="77777777" w:rsidR="00000000" w:rsidRDefault="00C1661D">
            <w:pPr>
              <w:spacing w:after="100"/>
              <w:jc w:val="right"/>
              <w:rPr>
                <w:rFonts w:eastAsia="Times New Roman"/>
              </w:rPr>
            </w:pPr>
          </w:p>
        </w:tc>
      </w:tr>
      <w:tr w:rsidR="00000000" w14:paraId="77D6C4D1" w14:textId="77777777">
        <w:trPr>
          <w:divId w:val="1919438091"/>
        </w:trPr>
        <w:tc>
          <w:tcPr>
            <w:tcW w:w="0" w:type="auto"/>
            <w:gridSpan w:val="3"/>
            <w:shd w:val="clear" w:color="auto" w:fill="FFFFFF"/>
            <w:tcMar>
              <w:top w:w="30" w:type="dxa"/>
              <w:left w:w="20" w:type="dxa"/>
              <w:bottom w:w="30" w:type="dxa"/>
              <w:right w:w="20" w:type="dxa"/>
            </w:tcMar>
            <w:vAlign w:val="bottom"/>
            <w:hideMark/>
          </w:tcPr>
          <w:p w14:paraId="54DF300A" w14:textId="77777777" w:rsidR="00000000" w:rsidRDefault="00C1661D">
            <w:pPr>
              <w:spacing w:after="100"/>
              <w:rPr>
                <w:rFonts w:eastAsia="Times New Roman"/>
              </w:rPr>
            </w:pPr>
            <w:r>
              <w:rPr>
                <w:rFonts w:eastAsia="Times New Roman"/>
                <w:color w:val="000000"/>
                <w:sz w:val="20"/>
                <w:szCs w:val="20"/>
              </w:rPr>
              <w:t>   Global equity index investments</w:t>
            </w:r>
          </w:p>
        </w:tc>
        <w:tc>
          <w:tcPr>
            <w:tcW w:w="0" w:type="auto"/>
            <w:gridSpan w:val="2"/>
            <w:shd w:val="clear" w:color="auto" w:fill="FFFFFF"/>
            <w:tcMar>
              <w:top w:w="30" w:type="dxa"/>
              <w:left w:w="20" w:type="dxa"/>
              <w:bottom w:w="30" w:type="dxa"/>
              <w:right w:w="0" w:type="dxa"/>
            </w:tcMar>
            <w:vAlign w:val="bottom"/>
            <w:hideMark/>
          </w:tcPr>
          <w:p w14:paraId="1142C26F" w14:textId="77777777" w:rsidR="00000000" w:rsidRDefault="00C1661D">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14:paraId="4929C4C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F302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973FE7" w14:textId="77777777" w:rsidR="00000000" w:rsidRDefault="00C1661D">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14:paraId="6B7B64CC" w14:textId="77777777" w:rsidR="00000000" w:rsidRDefault="00C1661D">
            <w:pPr>
              <w:spacing w:after="100"/>
              <w:jc w:val="right"/>
              <w:rPr>
                <w:rFonts w:eastAsia="Times New Roman"/>
              </w:rPr>
            </w:pPr>
          </w:p>
        </w:tc>
      </w:tr>
      <w:tr w:rsidR="00000000" w14:paraId="3643B4A7" w14:textId="77777777">
        <w:trPr>
          <w:divId w:val="1919438091"/>
        </w:trPr>
        <w:tc>
          <w:tcPr>
            <w:tcW w:w="0" w:type="auto"/>
            <w:gridSpan w:val="3"/>
            <w:shd w:val="clear" w:color="auto" w:fill="CCEEFF"/>
            <w:tcMar>
              <w:top w:w="30" w:type="dxa"/>
              <w:left w:w="20" w:type="dxa"/>
              <w:bottom w:w="30" w:type="dxa"/>
              <w:right w:w="20" w:type="dxa"/>
            </w:tcMar>
            <w:vAlign w:val="bottom"/>
            <w:hideMark/>
          </w:tcPr>
          <w:p w14:paraId="0549768C" w14:textId="77777777" w:rsidR="00000000" w:rsidRDefault="00C1661D">
            <w:pPr>
              <w:spacing w:after="100"/>
              <w:rPr>
                <w:rFonts w:eastAsia="Times New Roman"/>
              </w:rPr>
            </w:pPr>
            <w:r>
              <w:rPr>
                <w:rFonts w:eastAsia="Times New Roman"/>
                <w:color w:val="000000"/>
                <w:sz w:val="20"/>
                <w:szCs w:val="20"/>
              </w:rPr>
              <w:t>   Bond index investments</w:t>
            </w:r>
          </w:p>
        </w:tc>
        <w:tc>
          <w:tcPr>
            <w:tcW w:w="0" w:type="auto"/>
            <w:gridSpan w:val="2"/>
            <w:shd w:val="clear" w:color="auto" w:fill="CCEEFF"/>
            <w:tcMar>
              <w:top w:w="30" w:type="dxa"/>
              <w:left w:w="20" w:type="dxa"/>
              <w:bottom w:w="30" w:type="dxa"/>
              <w:right w:w="0" w:type="dxa"/>
            </w:tcMar>
            <w:vAlign w:val="bottom"/>
            <w:hideMark/>
          </w:tcPr>
          <w:p w14:paraId="6E558CA2" w14:textId="77777777" w:rsidR="00000000" w:rsidRDefault="00C1661D">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bottom"/>
            <w:hideMark/>
          </w:tcPr>
          <w:p w14:paraId="6301106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DEE21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9529D6" w14:textId="77777777" w:rsidR="00000000" w:rsidRDefault="00C1661D">
            <w:pPr>
              <w:spacing w:after="100"/>
              <w:jc w:val="right"/>
              <w:rPr>
                <w:rFonts w:eastAsia="Times New Roman"/>
              </w:rPr>
            </w:pPr>
            <w:r>
              <w:rPr>
                <w:rFonts w:eastAsia="Times New Roman"/>
                <w:color w:val="000000"/>
                <w:sz w:val="20"/>
                <w:szCs w:val="20"/>
              </w:rPr>
              <w:t>254 </w:t>
            </w:r>
          </w:p>
        </w:tc>
        <w:tc>
          <w:tcPr>
            <w:tcW w:w="0" w:type="auto"/>
            <w:shd w:val="clear" w:color="auto" w:fill="CCEEFF"/>
            <w:tcMar>
              <w:top w:w="30" w:type="dxa"/>
              <w:left w:w="0" w:type="dxa"/>
              <w:bottom w:w="30" w:type="dxa"/>
              <w:right w:w="20" w:type="dxa"/>
            </w:tcMar>
            <w:vAlign w:val="bottom"/>
            <w:hideMark/>
          </w:tcPr>
          <w:p w14:paraId="5C72AC2A" w14:textId="77777777" w:rsidR="00000000" w:rsidRDefault="00C1661D">
            <w:pPr>
              <w:spacing w:after="100"/>
              <w:jc w:val="right"/>
              <w:rPr>
                <w:rFonts w:eastAsia="Times New Roman"/>
              </w:rPr>
            </w:pPr>
          </w:p>
        </w:tc>
      </w:tr>
      <w:tr w:rsidR="00000000" w14:paraId="43FAB8AA" w14:textId="77777777">
        <w:trPr>
          <w:divId w:val="1919438091"/>
        </w:trPr>
        <w:tc>
          <w:tcPr>
            <w:tcW w:w="0" w:type="auto"/>
            <w:gridSpan w:val="3"/>
            <w:shd w:val="clear" w:color="auto" w:fill="FFFFFF"/>
            <w:tcMar>
              <w:top w:w="30" w:type="dxa"/>
              <w:left w:w="20" w:type="dxa"/>
              <w:bottom w:w="30" w:type="dxa"/>
              <w:right w:w="20" w:type="dxa"/>
            </w:tcMar>
            <w:vAlign w:val="bottom"/>
            <w:hideMark/>
          </w:tcPr>
          <w:p w14:paraId="5E764C00" w14:textId="77777777" w:rsidR="00000000" w:rsidRDefault="00C1661D">
            <w:pPr>
              <w:spacing w:after="100"/>
              <w:rPr>
                <w:rFonts w:eastAsia="Times New Roman"/>
              </w:rPr>
            </w:pPr>
            <w:r>
              <w:rPr>
                <w:rFonts w:eastAsia="Times New Roman"/>
                <w:color w:val="000000"/>
                <w:sz w:val="20"/>
                <w:szCs w:val="20"/>
              </w:rPr>
              <w:t>  </w:t>
            </w:r>
            <w:r>
              <w:rPr>
                <w:rFonts w:eastAsia="Times New Roman"/>
                <w:color w:val="000000"/>
                <w:sz w:val="20"/>
                <w:szCs w:val="20"/>
              </w:rPr>
              <w:t> Cash equivalents</w:t>
            </w:r>
          </w:p>
        </w:tc>
        <w:tc>
          <w:tcPr>
            <w:tcW w:w="0" w:type="auto"/>
            <w:gridSpan w:val="2"/>
            <w:shd w:val="clear" w:color="auto" w:fill="FFFFFF"/>
            <w:tcMar>
              <w:top w:w="30" w:type="dxa"/>
              <w:left w:w="20" w:type="dxa"/>
              <w:bottom w:w="30" w:type="dxa"/>
              <w:right w:w="0" w:type="dxa"/>
            </w:tcMar>
            <w:vAlign w:val="bottom"/>
            <w:hideMark/>
          </w:tcPr>
          <w:p w14:paraId="7B4E73F6" w14:textId="77777777" w:rsidR="00000000" w:rsidRDefault="00C1661D">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0BC3AE0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F7767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898B99" w14:textId="77777777" w:rsidR="00000000" w:rsidRDefault="00C1661D">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73BD65E3" w14:textId="77777777" w:rsidR="00000000" w:rsidRDefault="00C1661D">
            <w:pPr>
              <w:spacing w:after="100"/>
              <w:jc w:val="right"/>
              <w:rPr>
                <w:rFonts w:eastAsia="Times New Roman"/>
              </w:rPr>
            </w:pPr>
          </w:p>
        </w:tc>
      </w:tr>
      <w:tr w:rsidR="00000000" w14:paraId="39989E83" w14:textId="77777777">
        <w:trPr>
          <w:divId w:val="1919438091"/>
        </w:trPr>
        <w:tc>
          <w:tcPr>
            <w:tcW w:w="0" w:type="auto"/>
            <w:gridSpan w:val="3"/>
            <w:shd w:val="clear" w:color="auto" w:fill="CCEEFF"/>
            <w:tcMar>
              <w:top w:w="30" w:type="dxa"/>
              <w:left w:w="20" w:type="dxa"/>
              <w:bottom w:w="30" w:type="dxa"/>
              <w:right w:w="20" w:type="dxa"/>
            </w:tcMar>
            <w:vAlign w:val="bottom"/>
            <w:hideMark/>
          </w:tcPr>
          <w:p w14:paraId="048B2DB3" w14:textId="77777777" w:rsidR="00000000" w:rsidRDefault="00C1661D">
            <w:pPr>
              <w:spacing w:after="100"/>
              <w:rPr>
                <w:rFonts w:eastAsia="Times New Roman"/>
              </w:rPr>
            </w:pPr>
            <w:r>
              <w:rPr>
                <w:rFonts w:eastAsia="Times New Roman"/>
                <w:color w:val="000000"/>
                <w:sz w:val="20"/>
                <w:szCs w:val="20"/>
              </w:rPr>
              <w:t>     Total common collective trust funds (b)</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64DAA1" w14:textId="77777777" w:rsidR="00000000" w:rsidRDefault="00C1661D">
            <w:pPr>
              <w:spacing w:after="100"/>
              <w:jc w:val="right"/>
              <w:rPr>
                <w:rFonts w:eastAsia="Times New Roman"/>
              </w:rPr>
            </w:pPr>
            <w:r>
              <w:rPr>
                <w:rFonts w:eastAsia="Times New Roman"/>
                <w:color w:val="000000"/>
                <w:sz w:val="20"/>
                <w:szCs w:val="20"/>
              </w:rPr>
              <w:t>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2451F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686345"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B503F1" w14:textId="77777777" w:rsidR="00000000" w:rsidRDefault="00C1661D">
            <w:pPr>
              <w:spacing w:after="100"/>
              <w:jc w:val="right"/>
              <w:rPr>
                <w:rFonts w:eastAsia="Times New Roman"/>
              </w:rPr>
            </w:pPr>
            <w:r>
              <w:rPr>
                <w:rFonts w:eastAsia="Times New Roman"/>
                <w:color w:val="000000"/>
                <w:sz w:val="20"/>
                <w:szCs w:val="20"/>
              </w:rPr>
              <w:t>655 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64FF08" w14:textId="77777777" w:rsidR="00000000" w:rsidRDefault="00C1661D">
            <w:pPr>
              <w:spacing w:after="100"/>
              <w:jc w:val="right"/>
              <w:rPr>
                <w:rFonts w:eastAsia="Times New Roman"/>
              </w:rPr>
            </w:pPr>
          </w:p>
        </w:tc>
      </w:tr>
      <w:tr w:rsidR="00000000" w14:paraId="381D2CC3" w14:textId="77777777">
        <w:trPr>
          <w:divId w:val="1919438091"/>
        </w:trPr>
        <w:tc>
          <w:tcPr>
            <w:tcW w:w="0" w:type="auto"/>
            <w:gridSpan w:val="3"/>
            <w:shd w:val="clear" w:color="auto" w:fill="FFFFFF"/>
            <w:tcMar>
              <w:top w:w="30" w:type="dxa"/>
              <w:left w:w="20" w:type="dxa"/>
              <w:bottom w:w="30" w:type="dxa"/>
              <w:right w:w="20" w:type="dxa"/>
            </w:tcMar>
            <w:vAlign w:val="bottom"/>
            <w:hideMark/>
          </w:tcPr>
          <w:p w14:paraId="2F05E1CE" w14:textId="77777777" w:rsidR="00000000" w:rsidRDefault="00C1661D">
            <w:pPr>
              <w:spacing w:after="100"/>
              <w:rPr>
                <w:rFonts w:eastAsia="Times New Roman"/>
              </w:rPr>
            </w:pPr>
            <w:r>
              <w:rPr>
                <w:rFonts w:eastAsia="Times New Roman"/>
                <w:color w:val="000000"/>
                <w:sz w:val="20"/>
                <w:szCs w:val="20"/>
              </w:rPr>
              <w:t>Alternative investments (b)</w:t>
            </w:r>
          </w:p>
        </w:tc>
        <w:tc>
          <w:tcPr>
            <w:tcW w:w="0" w:type="auto"/>
            <w:gridSpan w:val="2"/>
            <w:shd w:val="clear" w:color="auto" w:fill="FFFFFF"/>
            <w:tcMar>
              <w:top w:w="30" w:type="dxa"/>
              <w:left w:w="20" w:type="dxa"/>
              <w:bottom w:w="30" w:type="dxa"/>
              <w:right w:w="0" w:type="dxa"/>
            </w:tcMar>
            <w:vAlign w:val="bottom"/>
            <w:hideMark/>
          </w:tcPr>
          <w:p w14:paraId="0FB469FD" w14:textId="77777777" w:rsidR="00000000" w:rsidRDefault="00C1661D">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1752D3B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9023C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B8D059" w14:textId="77777777" w:rsidR="00000000" w:rsidRDefault="00C1661D">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481DBE5F" w14:textId="77777777" w:rsidR="00000000" w:rsidRDefault="00C1661D">
            <w:pPr>
              <w:spacing w:after="100"/>
              <w:jc w:val="right"/>
              <w:rPr>
                <w:rFonts w:eastAsia="Times New Roman"/>
              </w:rPr>
            </w:pPr>
          </w:p>
        </w:tc>
      </w:tr>
      <w:tr w:rsidR="00000000" w14:paraId="12DCD8F1" w14:textId="77777777">
        <w:trPr>
          <w:divId w:val="1919438091"/>
        </w:trPr>
        <w:tc>
          <w:tcPr>
            <w:tcW w:w="0" w:type="auto"/>
            <w:gridSpan w:val="3"/>
            <w:shd w:val="clear" w:color="auto" w:fill="CCEEFF"/>
            <w:tcMar>
              <w:top w:w="30" w:type="dxa"/>
              <w:left w:w="20" w:type="dxa"/>
              <w:bottom w:w="30" w:type="dxa"/>
              <w:right w:w="20" w:type="dxa"/>
            </w:tcMar>
            <w:vAlign w:val="bottom"/>
            <w:hideMark/>
          </w:tcPr>
          <w:p w14:paraId="524AFE0B" w14:textId="77777777" w:rsidR="00000000" w:rsidRDefault="00C1661D">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00D79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5BB5C4" w14:textId="77777777" w:rsidR="00000000" w:rsidRDefault="00C1661D">
            <w:pPr>
              <w:spacing w:after="100"/>
              <w:jc w:val="right"/>
              <w:rPr>
                <w:rFonts w:eastAsia="Times New Roman"/>
              </w:rPr>
            </w:pPr>
            <w:r>
              <w:rPr>
                <w:rFonts w:eastAsia="Times New Roman"/>
                <w:color w:val="000000"/>
                <w:sz w:val="20"/>
                <w:szCs w:val="20"/>
              </w:rPr>
              <w:t>525 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58E7F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C888D6"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364EF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D7F14D2" w14:textId="77777777" w:rsidR="00000000" w:rsidRDefault="00C1661D">
            <w:pPr>
              <w:spacing w:after="100"/>
              <w:jc w:val="right"/>
              <w:rPr>
                <w:rFonts w:eastAsia="Times New Roman"/>
              </w:rPr>
            </w:pPr>
            <w:r>
              <w:rPr>
                <w:rFonts w:eastAsia="Times New Roman"/>
                <w:color w:val="000000"/>
                <w:sz w:val="20"/>
                <w:szCs w:val="20"/>
              </w:rPr>
              <w:t>717 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4E88A4" w14:textId="77777777" w:rsidR="00000000" w:rsidRDefault="00C1661D">
            <w:pPr>
              <w:spacing w:after="100"/>
              <w:jc w:val="right"/>
              <w:rPr>
                <w:rFonts w:eastAsia="Times New Roman"/>
              </w:rPr>
            </w:pPr>
          </w:p>
        </w:tc>
      </w:tr>
    </w:tbl>
    <w:tbl>
      <w:tblPr>
        <w:tblW w:w="4941" w:type="pct"/>
        <w:tblCellMar>
          <w:top w:w="15" w:type="dxa"/>
          <w:left w:w="15" w:type="dxa"/>
          <w:bottom w:w="15" w:type="dxa"/>
          <w:right w:w="15" w:type="dxa"/>
        </w:tblCellMar>
        <w:tblLook w:val="04A0" w:firstRow="1" w:lastRow="0" w:firstColumn="1" w:lastColumn="0" w:noHBand="0" w:noVBand="1"/>
      </w:tblPr>
      <w:tblGrid>
        <w:gridCol w:w="144"/>
        <w:gridCol w:w="2616"/>
        <w:gridCol w:w="144"/>
        <w:gridCol w:w="144"/>
        <w:gridCol w:w="965"/>
        <w:gridCol w:w="144"/>
        <w:gridCol w:w="144"/>
        <w:gridCol w:w="144"/>
        <w:gridCol w:w="144"/>
        <w:gridCol w:w="144"/>
        <w:gridCol w:w="965"/>
        <w:gridCol w:w="144"/>
        <w:gridCol w:w="144"/>
        <w:gridCol w:w="144"/>
        <w:gridCol w:w="144"/>
        <w:gridCol w:w="144"/>
        <w:gridCol w:w="965"/>
        <w:gridCol w:w="144"/>
        <w:gridCol w:w="144"/>
        <w:gridCol w:w="144"/>
        <w:gridCol w:w="144"/>
        <w:gridCol w:w="144"/>
        <w:gridCol w:w="940"/>
        <w:gridCol w:w="144"/>
        <w:gridCol w:w="144"/>
        <w:gridCol w:w="144"/>
        <w:gridCol w:w="144"/>
        <w:gridCol w:w="144"/>
        <w:gridCol w:w="965"/>
        <w:gridCol w:w="144"/>
      </w:tblGrid>
      <w:tr w:rsidR="00000000" w14:paraId="64A08BAE" w14:textId="77777777">
        <w:tc>
          <w:tcPr>
            <w:tcW w:w="50" w:type="pct"/>
            <w:vAlign w:val="center"/>
            <w:hideMark/>
          </w:tcPr>
          <w:p w14:paraId="3D7B5577" w14:textId="77777777" w:rsidR="00000000" w:rsidRDefault="00C1661D">
            <w:pPr>
              <w:rPr>
                <w:rFonts w:eastAsia="Times New Roman"/>
              </w:rPr>
            </w:pPr>
          </w:p>
        </w:tc>
        <w:tc>
          <w:tcPr>
            <w:tcW w:w="1594" w:type="pct"/>
            <w:vAlign w:val="center"/>
            <w:hideMark/>
          </w:tcPr>
          <w:p w14:paraId="3F8A8DBF" w14:textId="77777777" w:rsidR="00000000" w:rsidRDefault="00C1661D">
            <w:pPr>
              <w:spacing w:after="100"/>
              <w:rPr>
                <w:rFonts w:eastAsia="Times New Roman"/>
                <w:sz w:val="20"/>
                <w:szCs w:val="20"/>
              </w:rPr>
            </w:pPr>
          </w:p>
        </w:tc>
        <w:tc>
          <w:tcPr>
            <w:tcW w:w="5" w:type="pct"/>
            <w:vAlign w:val="center"/>
            <w:hideMark/>
          </w:tcPr>
          <w:p w14:paraId="416CB838" w14:textId="77777777" w:rsidR="00000000" w:rsidRDefault="00C1661D">
            <w:pPr>
              <w:spacing w:after="100"/>
              <w:rPr>
                <w:rFonts w:eastAsia="Times New Roman"/>
                <w:sz w:val="20"/>
                <w:szCs w:val="20"/>
              </w:rPr>
            </w:pPr>
          </w:p>
        </w:tc>
        <w:tc>
          <w:tcPr>
            <w:tcW w:w="50" w:type="pct"/>
            <w:vAlign w:val="center"/>
            <w:hideMark/>
          </w:tcPr>
          <w:p w14:paraId="02E42266" w14:textId="77777777" w:rsidR="00000000" w:rsidRDefault="00C1661D">
            <w:pPr>
              <w:spacing w:after="100"/>
              <w:rPr>
                <w:rFonts w:eastAsia="Times New Roman"/>
                <w:sz w:val="20"/>
                <w:szCs w:val="20"/>
              </w:rPr>
            </w:pPr>
          </w:p>
        </w:tc>
        <w:tc>
          <w:tcPr>
            <w:tcW w:w="588" w:type="pct"/>
            <w:vAlign w:val="center"/>
            <w:hideMark/>
          </w:tcPr>
          <w:p w14:paraId="050865AB" w14:textId="77777777" w:rsidR="00000000" w:rsidRDefault="00C1661D">
            <w:pPr>
              <w:spacing w:after="100"/>
              <w:rPr>
                <w:rFonts w:eastAsia="Times New Roman"/>
                <w:sz w:val="20"/>
                <w:szCs w:val="20"/>
              </w:rPr>
            </w:pPr>
          </w:p>
        </w:tc>
        <w:tc>
          <w:tcPr>
            <w:tcW w:w="5" w:type="pct"/>
            <w:vAlign w:val="center"/>
            <w:hideMark/>
          </w:tcPr>
          <w:p w14:paraId="2E3116F5" w14:textId="77777777" w:rsidR="00000000" w:rsidRDefault="00C1661D">
            <w:pPr>
              <w:spacing w:after="100"/>
              <w:rPr>
                <w:rFonts w:eastAsia="Times New Roman"/>
                <w:sz w:val="20"/>
                <w:szCs w:val="20"/>
              </w:rPr>
            </w:pPr>
          </w:p>
        </w:tc>
        <w:tc>
          <w:tcPr>
            <w:tcW w:w="5" w:type="pct"/>
            <w:vAlign w:val="center"/>
            <w:hideMark/>
          </w:tcPr>
          <w:p w14:paraId="2C4A8A90" w14:textId="77777777" w:rsidR="00000000" w:rsidRDefault="00C1661D">
            <w:pPr>
              <w:spacing w:after="100"/>
              <w:rPr>
                <w:rFonts w:eastAsia="Times New Roman"/>
                <w:sz w:val="20"/>
                <w:szCs w:val="20"/>
              </w:rPr>
            </w:pPr>
          </w:p>
        </w:tc>
        <w:tc>
          <w:tcPr>
            <w:tcW w:w="26" w:type="pct"/>
            <w:vAlign w:val="center"/>
            <w:hideMark/>
          </w:tcPr>
          <w:p w14:paraId="42B2918A" w14:textId="77777777" w:rsidR="00000000" w:rsidRDefault="00C1661D">
            <w:pPr>
              <w:spacing w:after="100"/>
              <w:rPr>
                <w:rFonts w:eastAsia="Times New Roman"/>
                <w:sz w:val="20"/>
                <w:szCs w:val="20"/>
              </w:rPr>
            </w:pPr>
          </w:p>
        </w:tc>
        <w:tc>
          <w:tcPr>
            <w:tcW w:w="5" w:type="pct"/>
            <w:vAlign w:val="center"/>
            <w:hideMark/>
          </w:tcPr>
          <w:p w14:paraId="57862772" w14:textId="77777777" w:rsidR="00000000" w:rsidRDefault="00C1661D">
            <w:pPr>
              <w:spacing w:after="100"/>
              <w:rPr>
                <w:rFonts w:eastAsia="Times New Roman"/>
                <w:sz w:val="20"/>
                <w:szCs w:val="20"/>
              </w:rPr>
            </w:pPr>
          </w:p>
        </w:tc>
        <w:tc>
          <w:tcPr>
            <w:tcW w:w="50" w:type="pct"/>
            <w:vAlign w:val="center"/>
            <w:hideMark/>
          </w:tcPr>
          <w:p w14:paraId="50A42D82" w14:textId="77777777" w:rsidR="00000000" w:rsidRDefault="00C1661D">
            <w:pPr>
              <w:spacing w:after="100"/>
              <w:rPr>
                <w:rFonts w:eastAsia="Times New Roman"/>
                <w:sz w:val="20"/>
                <w:szCs w:val="20"/>
              </w:rPr>
            </w:pPr>
          </w:p>
        </w:tc>
        <w:tc>
          <w:tcPr>
            <w:tcW w:w="588" w:type="pct"/>
            <w:vAlign w:val="center"/>
            <w:hideMark/>
          </w:tcPr>
          <w:p w14:paraId="4572C00C" w14:textId="77777777" w:rsidR="00000000" w:rsidRDefault="00C1661D">
            <w:pPr>
              <w:spacing w:after="100"/>
              <w:rPr>
                <w:rFonts w:eastAsia="Times New Roman"/>
                <w:sz w:val="20"/>
                <w:szCs w:val="20"/>
              </w:rPr>
            </w:pPr>
          </w:p>
        </w:tc>
        <w:tc>
          <w:tcPr>
            <w:tcW w:w="5" w:type="pct"/>
            <w:vAlign w:val="center"/>
            <w:hideMark/>
          </w:tcPr>
          <w:p w14:paraId="5E3E74CF" w14:textId="77777777" w:rsidR="00000000" w:rsidRDefault="00C1661D">
            <w:pPr>
              <w:spacing w:after="100"/>
              <w:rPr>
                <w:rFonts w:eastAsia="Times New Roman"/>
                <w:sz w:val="20"/>
                <w:szCs w:val="20"/>
              </w:rPr>
            </w:pPr>
          </w:p>
        </w:tc>
        <w:tc>
          <w:tcPr>
            <w:tcW w:w="5" w:type="pct"/>
            <w:vAlign w:val="center"/>
            <w:hideMark/>
          </w:tcPr>
          <w:p w14:paraId="1D140AFC" w14:textId="77777777" w:rsidR="00000000" w:rsidRDefault="00C1661D">
            <w:pPr>
              <w:spacing w:after="100"/>
              <w:rPr>
                <w:rFonts w:eastAsia="Times New Roman"/>
                <w:sz w:val="20"/>
                <w:szCs w:val="20"/>
              </w:rPr>
            </w:pPr>
          </w:p>
        </w:tc>
        <w:tc>
          <w:tcPr>
            <w:tcW w:w="26" w:type="pct"/>
            <w:vAlign w:val="center"/>
            <w:hideMark/>
          </w:tcPr>
          <w:p w14:paraId="24F61A99" w14:textId="77777777" w:rsidR="00000000" w:rsidRDefault="00C1661D">
            <w:pPr>
              <w:spacing w:after="100"/>
              <w:rPr>
                <w:rFonts w:eastAsia="Times New Roman"/>
                <w:sz w:val="20"/>
                <w:szCs w:val="20"/>
              </w:rPr>
            </w:pPr>
          </w:p>
        </w:tc>
        <w:tc>
          <w:tcPr>
            <w:tcW w:w="5" w:type="pct"/>
            <w:vAlign w:val="center"/>
            <w:hideMark/>
          </w:tcPr>
          <w:p w14:paraId="10672A24" w14:textId="77777777" w:rsidR="00000000" w:rsidRDefault="00C1661D">
            <w:pPr>
              <w:spacing w:after="100"/>
              <w:rPr>
                <w:rFonts w:eastAsia="Times New Roman"/>
                <w:sz w:val="20"/>
                <w:szCs w:val="20"/>
              </w:rPr>
            </w:pPr>
          </w:p>
        </w:tc>
        <w:tc>
          <w:tcPr>
            <w:tcW w:w="50" w:type="pct"/>
            <w:vAlign w:val="center"/>
            <w:hideMark/>
          </w:tcPr>
          <w:p w14:paraId="60C85049" w14:textId="77777777" w:rsidR="00000000" w:rsidRDefault="00C1661D">
            <w:pPr>
              <w:spacing w:after="100"/>
              <w:rPr>
                <w:rFonts w:eastAsia="Times New Roman"/>
                <w:sz w:val="20"/>
                <w:szCs w:val="20"/>
              </w:rPr>
            </w:pPr>
          </w:p>
        </w:tc>
        <w:tc>
          <w:tcPr>
            <w:tcW w:w="588" w:type="pct"/>
            <w:vAlign w:val="center"/>
            <w:hideMark/>
          </w:tcPr>
          <w:p w14:paraId="7FBCFCF9" w14:textId="77777777" w:rsidR="00000000" w:rsidRDefault="00C1661D">
            <w:pPr>
              <w:spacing w:after="100"/>
              <w:rPr>
                <w:rFonts w:eastAsia="Times New Roman"/>
                <w:sz w:val="20"/>
                <w:szCs w:val="20"/>
              </w:rPr>
            </w:pPr>
          </w:p>
        </w:tc>
        <w:tc>
          <w:tcPr>
            <w:tcW w:w="5" w:type="pct"/>
            <w:vAlign w:val="center"/>
            <w:hideMark/>
          </w:tcPr>
          <w:p w14:paraId="1041D159" w14:textId="77777777" w:rsidR="00000000" w:rsidRDefault="00C1661D">
            <w:pPr>
              <w:spacing w:after="100"/>
              <w:rPr>
                <w:rFonts w:eastAsia="Times New Roman"/>
                <w:sz w:val="20"/>
                <w:szCs w:val="20"/>
              </w:rPr>
            </w:pPr>
          </w:p>
        </w:tc>
        <w:tc>
          <w:tcPr>
            <w:tcW w:w="5" w:type="pct"/>
            <w:vAlign w:val="center"/>
            <w:hideMark/>
          </w:tcPr>
          <w:p w14:paraId="48090498" w14:textId="77777777" w:rsidR="00000000" w:rsidRDefault="00C1661D">
            <w:pPr>
              <w:spacing w:after="100"/>
              <w:rPr>
                <w:rFonts w:eastAsia="Times New Roman"/>
                <w:sz w:val="20"/>
                <w:szCs w:val="20"/>
              </w:rPr>
            </w:pPr>
          </w:p>
        </w:tc>
        <w:tc>
          <w:tcPr>
            <w:tcW w:w="26" w:type="pct"/>
            <w:vAlign w:val="center"/>
            <w:hideMark/>
          </w:tcPr>
          <w:p w14:paraId="1D021D14" w14:textId="77777777" w:rsidR="00000000" w:rsidRDefault="00C1661D">
            <w:pPr>
              <w:spacing w:after="100"/>
              <w:rPr>
                <w:rFonts w:eastAsia="Times New Roman"/>
                <w:sz w:val="20"/>
                <w:szCs w:val="20"/>
              </w:rPr>
            </w:pPr>
          </w:p>
        </w:tc>
        <w:tc>
          <w:tcPr>
            <w:tcW w:w="5" w:type="pct"/>
            <w:vAlign w:val="center"/>
            <w:hideMark/>
          </w:tcPr>
          <w:p w14:paraId="75224448" w14:textId="77777777" w:rsidR="00000000" w:rsidRDefault="00C1661D">
            <w:pPr>
              <w:spacing w:after="100"/>
              <w:rPr>
                <w:rFonts w:eastAsia="Times New Roman"/>
                <w:sz w:val="20"/>
                <w:szCs w:val="20"/>
              </w:rPr>
            </w:pPr>
          </w:p>
        </w:tc>
        <w:tc>
          <w:tcPr>
            <w:tcW w:w="50" w:type="pct"/>
            <w:vAlign w:val="center"/>
            <w:hideMark/>
          </w:tcPr>
          <w:p w14:paraId="3EA26AF4" w14:textId="77777777" w:rsidR="00000000" w:rsidRDefault="00C1661D">
            <w:pPr>
              <w:spacing w:after="100"/>
              <w:rPr>
                <w:rFonts w:eastAsia="Times New Roman"/>
                <w:sz w:val="20"/>
                <w:szCs w:val="20"/>
              </w:rPr>
            </w:pPr>
          </w:p>
        </w:tc>
        <w:tc>
          <w:tcPr>
            <w:tcW w:w="573" w:type="pct"/>
            <w:vAlign w:val="center"/>
            <w:hideMark/>
          </w:tcPr>
          <w:p w14:paraId="77EDE296" w14:textId="77777777" w:rsidR="00000000" w:rsidRDefault="00C1661D">
            <w:pPr>
              <w:spacing w:after="100"/>
              <w:rPr>
                <w:rFonts w:eastAsia="Times New Roman"/>
                <w:sz w:val="20"/>
                <w:szCs w:val="20"/>
              </w:rPr>
            </w:pPr>
          </w:p>
        </w:tc>
        <w:tc>
          <w:tcPr>
            <w:tcW w:w="5" w:type="pct"/>
            <w:vAlign w:val="center"/>
            <w:hideMark/>
          </w:tcPr>
          <w:p w14:paraId="7C1A8D6C" w14:textId="77777777" w:rsidR="00000000" w:rsidRDefault="00C1661D">
            <w:pPr>
              <w:spacing w:after="100"/>
              <w:rPr>
                <w:rFonts w:eastAsia="Times New Roman"/>
                <w:sz w:val="20"/>
                <w:szCs w:val="20"/>
              </w:rPr>
            </w:pPr>
          </w:p>
        </w:tc>
        <w:tc>
          <w:tcPr>
            <w:tcW w:w="5" w:type="pct"/>
            <w:vAlign w:val="center"/>
            <w:hideMark/>
          </w:tcPr>
          <w:p w14:paraId="21B06F08" w14:textId="77777777" w:rsidR="00000000" w:rsidRDefault="00C1661D">
            <w:pPr>
              <w:spacing w:after="100"/>
              <w:rPr>
                <w:rFonts w:eastAsia="Times New Roman"/>
                <w:sz w:val="20"/>
                <w:szCs w:val="20"/>
              </w:rPr>
            </w:pPr>
          </w:p>
        </w:tc>
        <w:tc>
          <w:tcPr>
            <w:tcW w:w="26" w:type="pct"/>
            <w:vAlign w:val="center"/>
            <w:hideMark/>
          </w:tcPr>
          <w:p w14:paraId="08A0570F" w14:textId="77777777" w:rsidR="00000000" w:rsidRDefault="00C1661D">
            <w:pPr>
              <w:spacing w:after="100"/>
              <w:rPr>
                <w:rFonts w:eastAsia="Times New Roman"/>
                <w:sz w:val="20"/>
                <w:szCs w:val="20"/>
              </w:rPr>
            </w:pPr>
          </w:p>
        </w:tc>
        <w:tc>
          <w:tcPr>
            <w:tcW w:w="5" w:type="pct"/>
            <w:vAlign w:val="center"/>
            <w:hideMark/>
          </w:tcPr>
          <w:p w14:paraId="0A388310" w14:textId="77777777" w:rsidR="00000000" w:rsidRDefault="00C1661D">
            <w:pPr>
              <w:spacing w:after="100"/>
              <w:rPr>
                <w:rFonts w:eastAsia="Times New Roman"/>
                <w:sz w:val="20"/>
                <w:szCs w:val="20"/>
              </w:rPr>
            </w:pPr>
          </w:p>
        </w:tc>
        <w:tc>
          <w:tcPr>
            <w:tcW w:w="50" w:type="pct"/>
            <w:vAlign w:val="center"/>
            <w:hideMark/>
          </w:tcPr>
          <w:p w14:paraId="3508C186" w14:textId="77777777" w:rsidR="00000000" w:rsidRDefault="00C1661D">
            <w:pPr>
              <w:spacing w:after="100"/>
              <w:rPr>
                <w:rFonts w:eastAsia="Times New Roman"/>
                <w:sz w:val="20"/>
                <w:szCs w:val="20"/>
              </w:rPr>
            </w:pPr>
          </w:p>
        </w:tc>
        <w:tc>
          <w:tcPr>
            <w:tcW w:w="588" w:type="pct"/>
            <w:vAlign w:val="center"/>
            <w:hideMark/>
          </w:tcPr>
          <w:p w14:paraId="2BF4FAD0" w14:textId="77777777" w:rsidR="00000000" w:rsidRDefault="00C1661D">
            <w:pPr>
              <w:spacing w:after="100"/>
              <w:rPr>
                <w:rFonts w:eastAsia="Times New Roman"/>
                <w:sz w:val="20"/>
                <w:szCs w:val="20"/>
              </w:rPr>
            </w:pPr>
          </w:p>
        </w:tc>
        <w:tc>
          <w:tcPr>
            <w:tcW w:w="5" w:type="pct"/>
            <w:vAlign w:val="center"/>
            <w:hideMark/>
          </w:tcPr>
          <w:p w14:paraId="7046BBD3" w14:textId="77777777" w:rsidR="00000000" w:rsidRDefault="00C1661D">
            <w:pPr>
              <w:spacing w:after="100"/>
              <w:rPr>
                <w:rFonts w:eastAsia="Times New Roman"/>
                <w:sz w:val="20"/>
                <w:szCs w:val="20"/>
              </w:rPr>
            </w:pPr>
          </w:p>
        </w:tc>
      </w:tr>
      <w:tr w:rsidR="00000000" w14:paraId="4B668885" w14:textId="77777777">
        <w:trPr>
          <w:trHeight w:val="60"/>
        </w:trPr>
        <w:tc>
          <w:tcPr>
            <w:tcW w:w="0" w:type="auto"/>
            <w:gridSpan w:val="3"/>
            <w:tcMar>
              <w:top w:w="0" w:type="dxa"/>
              <w:left w:w="20" w:type="dxa"/>
              <w:bottom w:w="0" w:type="dxa"/>
              <w:right w:w="20" w:type="dxa"/>
            </w:tcMar>
            <w:vAlign w:val="center"/>
            <w:hideMark/>
          </w:tcPr>
          <w:p w14:paraId="7E1B8021"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0F5DBD"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8BD6ED"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C135F0"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3F189F"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A05CD5"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1645C0"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7E9F95"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BCDFE3"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E5C941" w14:textId="77777777" w:rsidR="00000000" w:rsidRDefault="00C1661D">
            <w:pPr>
              <w:spacing w:after="100"/>
              <w:rPr>
                <w:rFonts w:eastAsia="Times New Roman"/>
                <w:sz w:val="20"/>
                <w:szCs w:val="20"/>
              </w:rPr>
            </w:pPr>
          </w:p>
        </w:tc>
      </w:tr>
      <w:tr w:rsidR="00000000" w14:paraId="551BA157" w14:textId="77777777">
        <w:tc>
          <w:tcPr>
            <w:tcW w:w="0" w:type="auto"/>
            <w:gridSpan w:val="3"/>
            <w:vAlign w:val="center"/>
            <w:hideMark/>
          </w:tcPr>
          <w:p w14:paraId="37904237" w14:textId="77777777" w:rsidR="00000000" w:rsidRDefault="00C1661D">
            <w:pPr>
              <w:spacing w:after="100"/>
              <w:rPr>
                <w:rFonts w:eastAsia="Times New Roman"/>
                <w:sz w:val="20"/>
                <w:szCs w:val="20"/>
              </w:rPr>
            </w:pPr>
          </w:p>
        </w:tc>
        <w:tc>
          <w:tcPr>
            <w:tcW w:w="0" w:type="auto"/>
            <w:gridSpan w:val="3"/>
            <w:vAlign w:val="center"/>
            <w:hideMark/>
          </w:tcPr>
          <w:p w14:paraId="34490109" w14:textId="77777777" w:rsidR="00000000" w:rsidRDefault="00C1661D">
            <w:pPr>
              <w:spacing w:after="100"/>
              <w:rPr>
                <w:rFonts w:eastAsia="Times New Roman"/>
                <w:sz w:val="20"/>
                <w:szCs w:val="20"/>
              </w:rPr>
            </w:pPr>
          </w:p>
        </w:tc>
        <w:tc>
          <w:tcPr>
            <w:tcW w:w="0" w:type="auto"/>
            <w:vAlign w:val="center"/>
            <w:hideMark/>
          </w:tcPr>
          <w:p w14:paraId="6FB993ED" w14:textId="77777777" w:rsidR="00000000" w:rsidRDefault="00C1661D">
            <w:pPr>
              <w:spacing w:after="100"/>
              <w:rPr>
                <w:rFonts w:eastAsia="Times New Roman"/>
                <w:sz w:val="20"/>
                <w:szCs w:val="20"/>
              </w:rPr>
            </w:pPr>
          </w:p>
        </w:tc>
        <w:tc>
          <w:tcPr>
            <w:tcW w:w="0" w:type="auto"/>
            <w:vAlign w:val="center"/>
            <w:hideMark/>
          </w:tcPr>
          <w:p w14:paraId="3D6CED40" w14:textId="77777777" w:rsidR="00000000" w:rsidRDefault="00C1661D">
            <w:pPr>
              <w:spacing w:after="100"/>
              <w:rPr>
                <w:rFonts w:eastAsia="Times New Roman"/>
                <w:sz w:val="20"/>
                <w:szCs w:val="20"/>
              </w:rPr>
            </w:pPr>
          </w:p>
        </w:tc>
        <w:tc>
          <w:tcPr>
            <w:tcW w:w="0" w:type="auto"/>
            <w:vAlign w:val="center"/>
            <w:hideMark/>
          </w:tcPr>
          <w:p w14:paraId="16D6775C" w14:textId="77777777" w:rsidR="00000000" w:rsidRDefault="00C1661D">
            <w:pPr>
              <w:spacing w:after="100"/>
              <w:rPr>
                <w:rFonts w:eastAsia="Times New Roman"/>
                <w:sz w:val="20"/>
                <w:szCs w:val="20"/>
              </w:rPr>
            </w:pPr>
          </w:p>
        </w:tc>
        <w:tc>
          <w:tcPr>
            <w:tcW w:w="0" w:type="auto"/>
            <w:vAlign w:val="center"/>
            <w:hideMark/>
          </w:tcPr>
          <w:p w14:paraId="3CADC65C" w14:textId="77777777" w:rsidR="00000000" w:rsidRDefault="00C1661D">
            <w:pPr>
              <w:spacing w:after="100"/>
              <w:rPr>
                <w:rFonts w:eastAsia="Times New Roman"/>
                <w:sz w:val="20"/>
                <w:szCs w:val="20"/>
              </w:rPr>
            </w:pPr>
          </w:p>
        </w:tc>
        <w:tc>
          <w:tcPr>
            <w:tcW w:w="0" w:type="auto"/>
            <w:vAlign w:val="center"/>
            <w:hideMark/>
          </w:tcPr>
          <w:p w14:paraId="719F8B44" w14:textId="77777777" w:rsidR="00000000" w:rsidRDefault="00C1661D">
            <w:pPr>
              <w:spacing w:after="100"/>
              <w:rPr>
                <w:rFonts w:eastAsia="Times New Roman"/>
                <w:sz w:val="20"/>
                <w:szCs w:val="20"/>
              </w:rPr>
            </w:pPr>
          </w:p>
        </w:tc>
        <w:tc>
          <w:tcPr>
            <w:tcW w:w="0" w:type="auto"/>
            <w:vAlign w:val="center"/>
            <w:hideMark/>
          </w:tcPr>
          <w:p w14:paraId="10AE935C" w14:textId="77777777" w:rsidR="00000000" w:rsidRDefault="00C1661D">
            <w:pPr>
              <w:spacing w:after="100"/>
              <w:rPr>
                <w:rFonts w:eastAsia="Times New Roman"/>
                <w:sz w:val="20"/>
                <w:szCs w:val="20"/>
              </w:rPr>
            </w:pPr>
          </w:p>
        </w:tc>
        <w:tc>
          <w:tcPr>
            <w:tcW w:w="0" w:type="auto"/>
            <w:vAlign w:val="center"/>
            <w:hideMark/>
          </w:tcPr>
          <w:p w14:paraId="1457FA61" w14:textId="77777777" w:rsidR="00000000" w:rsidRDefault="00C1661D">
            <w:pPr>
              <w:spacing w:after="100"/>
              <w:rPr>
                <w:rFonts w:eastAsia="Times New Roman"/>
                <w:sz w:val="20"/>
                <w:szCs w:val="20"/>
              </w:rPr>
            </w:pPr>
          </w:p>
        </w:tc>
        <w:tc>
          <w:tcPr>
            <w:tcW w:w="0" w:type="auto"/>
            <w:vAlign w:val="center"/>
            <w:hideMark/>
          </w:tcPr>
          <w:p w14:paraId="0E2D196F" w14:textId="77777777" w:rsidR="00000000" w:rsidRDefault="00C1661D">
            <w:pPr>
              <w:spacing w:after="100"/>
              <w:rPr>
                <w:rFonts w:eastAsia="Times New Roman"/>
                <w:sz w:val="20"/>
                <w:szCs w:val="20"/>
              </w:rPr>
            </w:pPr>
          </w:p>
        </w:tc>
        <w:tc>
          <w:tcPr>
            <w:tcW w:w="0" w:type="auto"/>
            <w:vAlign w:val="center"/>
            <w:hideMark/>
          </w:tcPr>
          <w:p w14:paraId="733561A8" w14:textId="77777777" w:rsidR="00000000" w:rsidRDefault="00C1661D">
            <w:pPr>
              <w:spacing w:after="100"/>
              <w:rPr>
                <w:rFonts w:eastAsia="Times New Roman"/>
                <w:sz w:val="20"/>
                <w:szCs w:val="20"/>
              </w:rPr>
            </w:pPr>
          </w:p>
        </w:tc>
        <w:tc>
          <w:tcPr>
            <w:tcW w:w="0" w:type="auto"/>
            <w:vAlign w:val="center"/>
            <w:hideMark/>
          </w:tcPr>
          <w:p w14:paraId="61F05BEC" w14:textId="77777777" w:rsidR="00000000" w:rsidRDefault="00C1661D">
            <w:pPr>
              <w:spacing w:after="100"/>
              <w:rPr>
                <w:rFonts w:eastAsia="Times New Roman"/>
                <w:sz w:val="20"/>
                <w:szCs w:val="20"/>
              </w:rPr>
            </w:pPr>
          </w:p>
        </w:tc>
        <w:tc>
          <w:tcPr>
            <w:tcW w:w="0" w:type="auto"/>
            <w:vAlign w:val="center"/>
            <w:hideMark/>
          </w:tcPr>
          <w:p w14:paraId="5D034A2B" w14:textId="77777777" w:rsidR="00000000" w:rsidRDefault="00C1661D">
            <w:pPr>
              <w:spacing w:after="100"/>
              <w:rPr>
                <w:rFonts w:eastAsia="Times New Roman"/>
                <w:sz w:val="20"/>
                <w:szCs w:val="20"/>
              </w:rPr>
            </w:pPr>
          </w:p>
        </w:tc>
        <w:tc>
          <w:tcPr>
            <w:tcW w:w="0" w:type="auto"/>
            <w:vAlign w:val="center"/>
            <w:hideMark/>
          </w:tcPr>
          <w:p w14:paraId="624140DD" w14:textId="77777777" w:rsidR="00000000" w:rsidRDefault="00C1661D">
            <w:pPr>
              <w:spacing w:after="100"/>
              <w:rPr>
                <w:rFonts w:eastAsia="Times New Roman"/>
                <w:sz w:val="20"/>
                <w:szCs w:val="20"/>
              </w:rPr>
            </w:pPr>
          </w:p>
        </w:tc>
        <w:tc>
          <w:tcPr>
            <w:tcW w:w="0" w:type="auto"/>
            <w:vAlign w:val="center"/>
            <w:hideMark/>
          </w:tcPr>
          <w:p w14:paraId="7C62580A" w14:textId="77777777" w:rsidR="00000000" w:rsidRDefault="00C1661D">
            <w:pPr>
              <w:spacing w:after="100"/>
              <w:rPr>
                <w:rFonts w:eastAsia="Times New Roman"/>
                <w:sz w:val="20"/>
                <w:szCs w:val="20"/>
              </w:rPr>
            </w:pPr>
          </w:p>
        </w:tc>
        <w:tc>
          <w:tcPr>
            <w:tcW w:w="0" w:type="auto"/>
            <w:vAlign w:val="center"/>
            <w:hideMark/>
          </w:tcPr>
          <w:p w14:paraId="63D87E34" w14:textId="77777777" w:rsidR="00000000" w:rsidRDefault="00C1661D">
            <w:pPr>
              <w:spacing w:after="100"/>
              <w:rPr>
                <w:rFonts w:eastAsia="Times New Roman"/>
                <w:sz w:val="20"/>
                <w:szCs w:val="20"/>
              </w:rPr>
            </w:pPr>
          </w:p>
        </w:tc>
        <w:tc>
          <w:tcPr>
            <w:tcW w:w="0" w:type="auto"/>
            <w:vAlign w:val="center"/>
            <w:hideMark/>
          </w:tcPr>
          <w:p w14:paraId="036E736D" w14:textId="77777777" w:rsidR="00000000" w:rsidRDefault="00C1661D">
            <w:pPr>
              <w:spacing w:after="100"/>
              <w:rPr>
                <w:rFonts w:eastAsia="Times New Roman"/>
                <w:sz w:val="20"/>
                <w:szCs w:val="20"/>
              </w:rPr>
            </w:pPr>
          </w:p>
        </w:tc>
        <w:tc>
          <w:tcPr>
            <w:tcW w:w="0" w:type="auto"/>
            <w:vAlign w:val="center"/>
            <w:hideMark/>
          </w:tcPr>
          <w:p w14:paraId="3F4ECA9B" w14:textId="77777777" w:rsidR="00000000" w:rsidRDefault="00C1661D">
            <w:pPr>
              <w:spacing w:after="100"/>
              <w:rPr>
                <w:rFonts w:eastAsia="Times New Roman"/>
                <w:sz w:val="20"/>
                <w:szCs w:val="20"/>
              </w:rPr>
            </w:pPr>
          </w:p>
        </w:tc>
        <w:tc>
          <w:tcPr>
            <w:tcW w:w="0" w:type="auto"/>
            <w:vAlign w:val="center"/>
            <w:hideMark/>
          </w:tcPr>
          <w:p w14:paraId="4CBF6404" w14:textId="77777777" w:rsidR="00000000" w:rsidRDefault="00C1661D">
            <w:pPr>
              <w:spacing w:after="100"/>
              <w:rPr>
                <w:rFonts w:eastAsia="Times New Roman"/>
                <w:sz w:val="20"/>
                <w:szCs w:val="20"/>
              </w:rPr>
            </w:pPr>
          </w:p>
        </w:tc>
        <w:tc>
          <w:tcPr>
            <w:tcW w:w="0" w:type="auto"/>
            <w:vAlign w:val="center"/>
            <w:hideMark/>
          </w:tcPr>
          <w:p w14:paraId="656CC0C5" w14:textId="77777777" w:rsidR="00000000" w:rsidRDefault="00C1661D">
            <w:pPr>
              <w:spacing w:after="100"/>
              <w:rPr>
                <w:rFonts w:eastAsia="Times New Roman"/>
                <w:sz w:val="20"/>
                <w:szCs w:val="20"/>
              </w:rPr>
            </w:pPr>
          </w:p>
        </w:tc>
        <w:tc>
          <w:tcPr>
            <w:tcW w:w="0" w:type="auto"/>
            <w:vAlign w:val="center"/>
            <w:hideMark/>
          </w:tcPr>
          <w:p w14:paraId="182C452C" w14:textId="77777777" w:rsidR="00000000" w:rsidRDefault="00C1661D">
            <w:pPr>
              <w:spacing w:after="100"/>
              <w:rPr>
                <w:rFonts w:eastAsia="Times New Roman"/>
                <w:sz w:val="20"/>
                <w:szCs w:val="20"/>
              </w:rPr>
            </w:pPr>
          </w:p>
        </w:tc>
        <w:tc>
          <w:tcPr>
            <w:tcW w:w="0" w:type="auto"/>
            <w:vAlign w:val="center"/>
            <w:hideMark/>
          </w:tcPr>
          <w:p w14:paraId="75666945" w14:textId="77777777" w:rsidR="00000000" w:rsidRDefault="00C1661D">
            <w:pPr>
              <w:spacing w:after="100"/>
              <w:rPr>
                <w:rFonts w:eastAsia="Times New Roman"/>
                <w:sz w:val="20"/>
                <w:szCs w:val="20"/>
              </w:rPr>
            </w:pPr>
          </w:p>
        </w:tc>
        <w:tc>
          <w:tcPr>
            <w:tcW w:w="0" w:type="auto"/>
            <w:vAlign w:val="center"/>
            <w:hideMark/>
          </w:tcPr>
          <w:p w14:paraId="74E1766C" w14:textId="77777777" w:rsidR="00000000" w:rsidRDefault="00C1661D">
            <w:pPr>
              <w:spacing w:after="100"/>
              <w:rPr>
                <w:rFonts w:eastAsia="Times New Roman"/>
                <w:sz w:val="20"/>
                <w:szCs w:val="20"/>
              </w:rPr>
            </w:pPr>
          </w:p>
        </w:tc>
        <w:tc>
          <w:tcPr>
            <w:tcW w:w="0" w:type="auto"/>
            <w:vAlign w:val="center"/>
            <w:hideMark/>
          </w:tcPr>
          <w:p w14:paraId="0888FEE8" w14:textId="77777777" w:rsidR="00000000" w:rsidRDefault="00C1661D">
            <w:pPr>
              <w:spacing w:after="100"/>
              <w:rPr>
                <w:rFonts w:eastAsia="Times New Roman"/>
                <w:sz w:val="20"/>
                <w:szCs w:val="20"/>
              </w:rPr>
            </w:pPr>
          </w:p>
        </w:tc>
        <w:tc>
          <w:tcPr>
            <w:tcW w:w="0" w:type="auto"/>
            <w:vAlign w:val="center"/>
            <w:hideMark/>
          </w:tcPr>
          <w:p w14:paraId="0AA7AC87" w14:textId="77777777" w:rsidR="00000000" w:rsidRDefault="00C1661D">
            <w:pPr>
              <w:spacing w:after="100"/>
              <w:rPr>
                <w:rFonts w:eastAsia="Times New Roman"/>
                <w:sz w:val="20"/>
                <w:szCs w:val="20"/>
              </w:rPr>
            </w:pPr>
          </w:p>
        </w:tc>
        <w:tc>
          <w:tcPr>
            <w:tcW w:w="0" w:type="auto"/>
            <w:vAlign w:val="center"/>
            <w:hideMark/>
          </w:tcPr>
          <w:p w14:paraId="5D926AE4" w14:textId="77777777" w:rsidR="00000000" w:rsidRDefault="00C1661D">
            <w:pPr>
              <w:spacing w:after="100"/>
              <w:rPr>
                <w:rFonts w:eastAsia="Times New Roman"/>
                <w:sz w:val="20"/>
                <w:szCs w:val="20"/>
              </w:rPr>
            </w:pPr>
          </w:p>
        </w:tc>
      </w:tr>
      <w:tr w:rsidR="00000000" w14:paraId="6F8FF0D5" w14:textId="77777777">
        <w:tc>
          <w:tcPr>
            <w:tcW w:w="0" w:type="auto"/>
            <w:gridSpan w:val="3"/>
            <w:vAlign w:val="center"/>
            <w:hideMark/>
          </w:tcPr>
          <w:p w14:paraId="200971C1" w14:textId="77777777" w:rsidR="00000000" w:rsidRDefault="00C1661D">
            <w:pPr>
              <w:spacing w:after="100"/>
              <w:rPr>
                <w:rFonts w:eastAsia="Times New Roman"/>
                <w:sz w:val="20"/>
                <w:szCs w:val="20"/>
              </w:rPr>
            </w:pPr>
          </w:p>
        </w:tc>
        <w:tc>
          <w:tcPr>
            <w:tcW w:w="0" w:type="auto"/>
            <w:gridSpan w:val="3"/>
            <w:vAlign w:val="center"/>
            <w:hideMark/>
          </w:tcPr>
          <w:p w14:paraId="255DC937" w14:textId="77777777" w:rsidR="00000000" w:rsidRDefault="00C1661D">
            <w:pPr>
              <w:spacing w:after="100"/>
              <w:rPr>
                <w:rFonts w:eastAsia="Times New Roman"/>
                <w:sz w:val="20"/>
                <w:szCs w:val="20"/>
              </w:rPr>
            </w:pPr>
          </w:p>
        </w:tc>
        <w:tc>
          <w:tcPr>
            <w:tcW w:w="0" w:type="auto"/>
            <w:gridSpan w:val="3"/>
            <w:vAlign w:val="center"/>
            <w:hideMark/>
          </w:tcPr>
          <w:p w14:paraId="19FCFD21" w14:textId="77777777" w:rsidR="00000000" w:rsidRDefault="00C1661D">
            <w:pPr>
              <w:spacing w:after="100"/>
              <w:rPr>
                <w:rFonts w:eastAsia="Times New Roman"/>
                <w:sz w:val="20"/>
                <w:szCs w:val="20"/>
              </w:rPr>
            </w:pPr>
          </w:p>
        </w:tc>
        <w:tc>
          <w:tcPr>
            <w:tcW w:w="0" w:type="auto"/>
            <w:gridSpan w:val="3"/>
            <w:vAlign w:val="center"/>
            <w:hideMark/>
          </w:tcPr>
          <w:p w14:paraId="19878CAB" w14:textId="77777777" w:rsidR="00000000" w:rsidRDefault="00C1661D">
            <w:pPr>
              <w:spacing w:after="100"/>
              <w:rPr>
                <w:rFonts w:eastAsia="Times New Roman"/>
                <w:sz w:val="20"/>
                <w:szCs w:val="20"/>
              </w:rPr>
            </w:pPr>
          </w:p>
        </w:tc>
        <w:tc>
          <w:tcPr>
            <w:tcW w:w="0" w:type="auto"/>
            <w:gridSpan w:val="3"/>
            <w:vAlign w:val="center"/>
            <w:hideMark/>
          </w:tcPr>
          <w:p w14:paraId="002C4003" w14:textId="77777777" w:rsidR="00000000" w:rsidRDefault="00C1661D">
            <w:pPr>
              <w:spacing w:after="100"/>
              <w:rPr>
                <w:rFonts w:eastAsia="Times New Roman"/>
                <w:sz w:val="20"/>
                <w:szCs w:val="20"/>
              </w:rPr>
            </w:pPr>
          </w:p>
        </w:tc>
        <w:tc>
          <w:tcPr>
            <w:tcW w:w="0" w:type="auto"/>
            <w:gridSpan w:val="3"/>
            <w:vAlign w:val="center"/>
            <w:hideMark/>
          </w:tcPr>
          <w:p w14:paraId="3CA055EF" w14:textId="77777777" w:rsidR="00000000" w:rsidRDefault="00C1661D">
            <w:pPr>
              <w:spacing w:after="100"/>
              <w:rPr>
                <w:rFonts w:eastAsia="Times New Roman"/>
                <w:sz w:val="20"/>
                <w:szCs w:val="20"/>
              </w:rPr>
            </w:pPr>
          </w:p>
        </w:tc>
        <w:tc>
          <w:tcPr>
            <w:tcW w:w="0" w:type="auto"/>
            <w:gridSpan w:val="3"/>
            <w:vAlign w:val="center"/>
            <w:hideMark/>
          </w:tcPr>
          <w:p w14:paraId="6E0D770F" w14:textId="77777777" w:rsidR="00000000" w:rsidRDefault="00C1661D">
            <w:pPr>
              <w:spacing w:after="100"/>
              <w:rPr>
                <w:rFonts w:eastAsia="Times New Roman"/>
                <w:sz w:val="20"/>
                <w:szCs w:val="20"/>
              </w:rPr>
            </w:pPr>
          </w:p>
        </w:tc>
        <w:tc>
          <w:tcPr>
            <w:tcW w:w="0" w:type="auto"/>
            <w:gridSpan w:val="3"/>
            <w:vAlign w:val="center"/>
            <w:hideMark/>
          </w:tcPr>
          <w:p w14:paraId="159D5C62" w14:textId="77777777" w:rsidR="00000000" w:rsidRDefault="00C1661D">
            <w:pPr>
              <w:spacing w:after="100"/>
              <w:rPr>
                <w:rFonts w:eastAsia="Times New Roman"/>
                <w:sz w:val="20"/>
                <w:szCs w:val="20"/>
              </w:rPr>
            </w:pPr>
          </w:p>
        </w:tc>
        <w:tc>
          <w:tcPr>
            <w:tcW w:w="0" w:type="auto"/>
            <w:gridSpan w:val="3"/>
            <w:vAlign w:val="center"/>
            <w:hideMark/>
          </w:tcPr>
          <w:p w14:paraId="50EDDEA9" w14:textId="77777777" w:rsidR="00000000" w:rsidRDefault="00C1661D">
            <w:pPr>
              <w:spacing w:after="100"/>
              <w:rPr>
                <w:rFonts w:eastAsia="Times New Roman"/>
                <w:sz w:val="20"/>
                <w:szCs w:val="20"/>
              </w:rPr>
            </w:pPr>
          </w:p>
        </w:tc>
        <w:tc>
          <w:tcPr>
            <w:tcW w:w="0" w:type="auto"/>
            <w:gridSpan w:val="3"/>
            <w:vAlign w:val="center"/>
            <w:hideMark/>
          </w:tcPr>
          <w:p w14:paraId="5083E909" w14:textId="77777777" w:rsidR="00000000" w:rsidRDefault="00C1661D">
            <w:pPr>
              <w:spacing w:after="100"/>
              <w:rPr>
                <w:rFonts w:eastAsia="Times New Roman"/>
                <w:sz w:val="20"/>
                <w:szCs w:val="20"/>
              </w:rPr>
            </w:pPr>
          </w:p>
        </w:tc>
      </w:tr>
      <w:tr w:rsidR="00000000" w14:paraId="6DB2009A" w14:textId="77777777">
        <w:tc>
          <w:tcPr>
            <w:tcW w:w="0" w:type="auto"/>
            <w:gridSpan w:val="3"/>
            <w:vAlign w:val="center"/>
            <w:hideMark/>
          </w:tcPr>
          <w:p w14:paraId="0017112C" w14:textId="77777777" w:rsidR="00000000" w:rsidRDefault="00C1661D">
            <w:pPr>
              <w:spacing w:after="100"/>
              <w:rPr>
                <w:rFonts w:eastAsia="Times New Roman"/>
                <w:sz w:val="20"/>
                <w:szCs w:val="20"/>
              </w:rPr>
            </w:pPr>
          </w:p>
        </w:tc>
        <w:tc>
          <w:tcPr>
            <w:tcW w:w="0" w:type="auto"/>
            <w:gridSpan w:val="3"/>
            <w:vAlign w:val="center"/>
            <w:hideMark/>
          </w:tcPr>
          <w:p w14:paraId="0FFA66C8" w14:textId="77777777" w:rsidR="00000000" w:rsidRDefault="00C1661D">
            <w:pPr>
              <w:spacing w:after="100"/>
              <w:rPr>
                <w:rFonts w:eastAsia="Times New Roman"/>
                <w:sz w:val="20"/>
                <w:szCs w:val="20"/>
              </w:rPr>
            </w:pPr>
          </w:p>
        </w:tc>
        <w:tc>
          <w:tcPr>
            <w:tcW w:w="0" w:type="auto"/>
            <w:gridSpan w:val="3"/>
            <w:vAlign w:val="center"/>
            <w:hideMark/>
          </w:tcPr>
          <w:p w14:paraId="1445B710" w14:textId="77777777" w:rsidR="00000000" w:rsidRDefault="00C1661D">
            <w:pPr>
              <w:spacing w:after="100"/>
              <w:rPr>
                <w:rFonts w:eastAsia="Times New Roman"/>
                <w:sz w:val="20"/>
                <w:szCs w:val="20"/>
              </w:rPr>
            </w:pPr>
          </w:p>
        </w:tc>
        <w:tc>
          <w:tcPr>
            <w:tcW w:w="0" w:type="auto"/>
            <w:gridSpan w:val="3"/>
            <w:vAlign w:val="center"/>
            <w:hideMark/>
          </w:tcPr>
          <w:p w14:paraId="518CAEFB" w14:textId="77777777" w:rsidR="00000000" w:rsidRDefault="00C1661D">
            <w:pPr>
              <w:spacing w:after="100"/>
              <w:rPr>
                <w:rFonts w:eastAsia="Times New Roman"/>
                <w:sz w:val="20"/>
                <w:szCs w:val="20"/>
              </w:rPr>
            </w:pPr>
          </w:p>
        </w:tc>
        <w:tc>
          <w:tcPr>
            <w:tcW w:w="0" w:type="auto"/>
            <w:gridSpan w:val="3"/>
            <w:vAlign w:val="center"/>
            <w:hideMark/>
          </w:tcPr>
          <w:p w14:paraId="1D21B67C" w14:textId="77777777" w:rsidR="00000000" w:rsidRDefault="00C1661D">
            <w:pPr>
              <w:spacing w:after="100"/>
              <w:rPr>
                <w:rFonts w:eastAsia="Times New Roman"/>
                <w:sz w:val="20"/>
                <w:szCs w:val="20"/>
              </w:rPr>
            </w:pPr>
          </w:p>
        </w:tc>
        <w:tc>
          <w:tcPr>
            <w:tcW w:w="0" w:type="auto"/>
            <w:gridSpan w:val="3"/>
            <w:vAlign w:val="center"/>
            <w:hideMark/>
          </w:tcPr>
          <w:p w14:paraId="31627882" w14:textId="77777777" w:rsidR="00000000" w:rsidRDefault="00C1661D">
            <w:pPr>
              <w:spacing w:after="100"/>
              <w:rPr>
                <w:rFonts w:eastAsia="Times New Roman"/>
                <w:sz w:val="20"/>
                <w:szCs w:val="20"/>
              </w:rPr>
            </w:pPr>
          </w:p>
        </w:tc>
        <w:tc>
          <w:tcPr>
            <w:tcW w:w="0" w:type="auto"/>
            <w:gridSpan w:val="3"/>
            <w:vAlign w:val="center"/>
            <w:hideMark/>
          </w:tcPr>
          <w:p w14:paraId="29B5D551" w14:textId="77777777" w:rsidR="00000000" w:rsidRDefault="00C1661D">
            <w:pPr>
              <w:spacing w:after="100"/>
              <w:rPr>
                <w:rFonts w:eastAsia="Times New Roman"/>
                <w:sz w:val="20"/>
                <w:szCs w:val="20"/>
              </w:rPr>
            </w:pPr>
          </w:p>
        </w:tc>
        <w:tc>
          <w:tcPr>
            <w:tcW w:w="0" w:type="auto"/>
            <w:gridSpan w:val="3"/>
            <w:vAlign w:val="center"/>
            <w:hideMark/>
          </w:tcPr>
          <w:p w14:paraId="3FC53FD8" w14:textId="77777777" w:rsidR="00000000" w:rsidRDefault="00C1661D">
            <w:pPr>
              <w:spacing w:after="100"/>
              <w:rPr>
                <w:rFonts w:eastAsia="Times New Roman"/>
                <w:sz w:val="20"/>
                <w:szCs w:val="20"/>
              </w:rPr>
            </w:pPr>
          </w:p>
        </w:tc>
        <w:tc>
          <w:tcPr>
            <w:tcW w:w="0" w:type="auto"/>
            <w:gridSpan w:val="3"/>
            <w:vAlign w:val="center"/>
            <w:hideMark/>
          </w:tcPr>
          <w:p w14:paraId="0D2F1CE2" w14:textId="77777777" w:rsidR="00000000" w:rsidRDefault="00C1661D">
            <w:pPr>
              <w:spacing w:after="100"/>
              <w:rPr>
                <w:rFonts w:eastAsia="Times New Roman"/>
                <w:sz w:val="20"/>
                <w:szCs w:val="20"/>
              </w:rPr>
            </w:pPr>
          </w:p>
        </w:tc>
        <w:tc>
          <w:tcPr>
            <w:tcW w:w="0" w:type="auto"/>
            <w:gridSpan w:val="3"/>
            <w:vAlign w:val="center"/>
            <w:hideMark/>
          </w:tcPr>
          <w:p w14:paraId="6373D4A7" w14:textId="77777777" w:rsidR="00000000" w:rsidRDefault="00C1661D">
            <w:pPr>
              <w:spacing w:after="100"/>
              <w:rPr>
                <w:rFonts w:eastAsia="Times New Roman"/>
                <w:sz w:val="20"/>
                <w:szCs w:val="20"/>
              </w:rPr>
            </w:pPr>
          </w:p>
        </w:tc>
      </w:tr>
      <w:tr w:rsidR="00000000" w14:paraId="514EE1F6" w14:textId="77777777">
        <w:tc>
          <w:tcPr>
            <w:tcW w:w="0" w:type="auto"/>
            <w:gridSpan w:val="3"/>
            <w:vAlign w:val="center"/>
            <w:hideMark/>
          </w:tcPr>
          <w:p w14:paraId="60CE1066" w14:textId="77777777" w:rsidR="00000000" w:rsidRDefault="00C1661D">
            <w:pPr>
              <w:spacing w:after="100"/>
              <w:rPr>
                <w:rFonts w:eastAsia="Times New Roman"/>
                <w:sz w:val="20"/>
                <w:szCs w:val="20"/>
              </w:rPr>
            </w:pPr>
          </w:p>
        </w:tc>
        <w:tc>
          <w:tcPr>
            <w:tcW w:w="0" w:type="auto"/>
            <w:gridSpan w:val="3"/>
            <w:vAlign w:val="center"/>
            <w:hideMark/>
          </w:tcPr>
          <w:p w14:paraId="5C580E04" w14:textId="77777777" w:rsidR="00000000" w:rsidRDefault="00C1661D">
            <w:pPr>
              <w:spacing w:after="100"/>
              <w:rPr>
                <w:rFonts w:eastAsia="Times New Roman"/>
                <w:sz w:val="20"/>
                <w:szCs w:val="20"/>
              </w:rPr>
            </w:pPr>
          </w:p>
        </w:tc>
        <w:tc>
          <w:tcPr>
            <w:tcW w:w="0" w:type="auto"/>
            <w:gridSpan w:val="3"/>
            <w:vAlign w:val="center"/>
            <w:hideMark/>
          </w:tcPr>
          <w:p w14:paraId="391E9E0C" w14:textId="77777777" w:rsidR="00000000" w:rsidRDefault="00C1661D">
            <w:pPr>
              <w:spacing w:after="100"/>
              <w:rPr>
                <w:rFonts w:eastAsia="Times New Roman"/>
                <w:sz w:val="20"/>
                <w:szCs w:val="20"/>
              </w:rPr>
            </w:pPr>
          </w:p>
        </w:tc>
        <w:tc>
          <w:tcPr>
            <w:tcW w:w="0" w:type="auto"/>
            <w:gridSpan w:val="3"/>
            <w:vAlign w:val="center"/>
            <w:hideMark/>
          </w:tcPr>
          <w:p w14:paraId="66A21018" w14:textId="77777777" w:rsidR="00000000" w:rsidRDefault="00C1661D">
            <w:pPr>
              <w:spacing w:after="100"/>
              <w:rPr>
                <w:rFonts w:eastAsia="Times New Roman"/>
                <w:sz w:val="20"/>
                <w:szCs w:val="20"/>
              </w:rPr>
            </w:pPr>
          </w:p>
        </w:tc>
        <w:tc>
          <w:tcPr>
            <w:tcW w:w="0" w:type="auto"/>
            <w:gridSpan w:val="3"/>
            <w:vAlign w:val="center"/>
            <w:hideMark/>
          </w:tcPr>
          <w:p w14:paraId="72504B79" w14:textId="77777777" w:rsidR="00000000" w:rsidRDefault="00C1661D">
            <w:pPr>
              <w:spacing w:after="100"/>
              <w:rPr>
                <w:rFonts w:eastAsia="Times New Roman"/>
                <w:sz w:val="20"/>
                <w:szCs w:val="20"/>
              </w:rPr>
            </w:pPr>
          </w:p>
        </w:tc>
        <w:tc>
          <w:tcPr>
            <w:tcW w:w="0" w:type="auto"/>
            <w:gridSpan w:val="3"/>
            <w:vAlign w:val="center"/>
            <w:hideMark/>
          </w:tcPr>
          <w:p w14:paraId="0D6C4A3C" w14:textId="77777777" w:rsidR="00000000" w:rsidRDefault="00C1661D">
            <w:pPr>
              <w:spacing w:after="100"/>
              <w:rPr>
                <w:rFonts w:eastAsia="Times New Roman"/>
                <w:sz w:val="20"/>
                <w:szCs w:val="20"/>
              </w:rPr>
            </w:pPr>
          </w:p>
        </w:tc>
        <w:tc>
          <w:tcPr>
            <w:tcW w:w="0" w:type="auto"/>
            <w:gridSpan w:val="3"/>
            <w:vAlign w:val="center"/>
            <w:hideMark/>
          </w:tcPr>
          <w:p w14:paraId="0E689B38" w14:textId="77777777" w:rsidR="00000000" w:rsidRDefault="00C1661D">
            <w:pPr>
              <w:spacing w:after="100"/>
              <w:rPr>
                <w:rFonts w:eastAsia="Times New Roman"/>
                <w:sz w:val="20"/>
                <w:szCs w:val="20"/>
              </w:rPr>
            </w:pPr>
          </w:p>
        </w:tc>
        <w:tc>
          <w:tcPr>
            <w:tcW w:w="0" w:type="auto"/>
            <w:gridSpan w:val="3"/>
            <w:vAlign w:val="center"/>
            <w:hideMark/>
          </w:tcPr>
          <w:p w14:paraId="5E176864" w14:textId="77777777" w:rsidR="00000000" w:rsidRDefault="00C1661D">
            <w:pPr>
              <w:spacing w:after="100"/>
              <w:rPr>
                <w:rFonts w:eastAsia="Times New Roman"/>
                <w:sz w:val="20"/>
                <w:szCs w:val="20"/>
              </w:rPr>
            </w:pPr>
          </w:p>
        </w:tc>
        <w:tc>
          <w:tcPr>
            <w:tcW w:w="0" w:type="auto"/>
            <w:gridSpan w:val="3"/>
            <w:vAlign w:val="center"/>
            <w:hideMark/>
          </w:tcPr>
          <w:p w14:paraId="430CB53F" w14:textId="77777777" w:rsidR="00000000" w:rsidRDefault="00C1661D">
            <w:pPr>
              <w:spacing w:after="100"/>
              <w:rPr>
                <w:rFonts w:eastAsia="Times New Roman"/>
                <w:sz w:val="20"/>
                <w:szCs w:val="20"/>
              </w:rPr>
            </w:pPr>
          </w:p>
        </w:tc>
        <w:tc>
          <w:tcPr>
            <w:tcW w:w="0" w:type="auto"/>
            <w:gridSpan w:val="3"/>
            <w:vAlign w:val="center"/>
            <w:hideMark/>
          </w:tcPr>
          <w:p w14:paraId="59920176" w14:textId="77777777" w:rsidR="00000000" w:rsidRDefault="00C1661D">
            <w:pPr>
              <w:spacing w:after="100"/>
              <w:rPr>
                <w:rFonts w:eastAsia="Times New Roman"/>
                <w:sz w:val="20"/>
                <w:szCs w:val="20"/>
              </w:rPr>
            </w:pPr>
          </w:p>
        </w:tc>
      </w:tr>
      <w:tr w:rsidR="00000000" w14:paraId="5F26C3A5" w14:textId="77777777">
        <w:tc>
          <w:tcPr>
            <w:tcW w:w="0" w:type="auto"/>
            <w:gridSpan w:val="3"/>
            <w:vAlign w:val="center"/>
            <w:hideMark/>
          </w:tcPr>
          <w:p w14:paraId="5A3F68E4" w14:textId="77777777" w:rsidR="00000000" w:rsidRDefault="00C1661D">
            <w:pPr>
              <w:spacing w:after="100"/>
              <w:rPr>
                <w:rFonts w:eastAsia="Times New Roman"/>
                <w:sz w:val="20"/>
                <w:szCs w:val="20"/>
              </w:rPr>
            </w:pPr>
          </w:p>
        </w:tc>
        <w:tc>
          <w:tcPr>
            <w:tcW w:w="0" w:type="auto"/>
            <w:gridSpan w:val="3"/>
            <w:vAlign w:val="center"/>
            <w:hideMark/>
          </w:tcPr>
          <w:p w14:paraId="4DA7DA74" w14:textId="77777777" w:rsidR="00000000" w:rsidRDefault="00C1661D">
            <w:pPr>
              <w:spacing w:after="100"/>
              <w:rPr>
                <w:rFonts w:eastAsia="Times New Roman"/>
                <w:sz w:val="20"/>
                <w:szCs w:val="20"/>
              </w:rPr>
            </w:pPr>
          </w:p>
        </w:tc>
        <w:tc>
          <w:tcPr>
            <w:tcW w:w="0" w:type="auto"/>
            <w:gridSpan w:val="3"/>
            <w:vAlign w:val="center"/>
            <w:hideMark/>
          </w:tcPr>
          <w:p w14:paraId="3B7475FF" w14:textId="77777777" w:rsidR="00000000" w:rsidRDefault="00C1661D">
            <w:pPr>
              <w:spacing w:after="100"/>
              <w:rPr>
                <w:rFonts w:eastAsia="Times New Roman"/>
                <w:sz w:val="20"/>
                <w:szCs w:val="20"/>
              </w:rPr>
            </w:pPr>
          </w:p>
        </w:tc>
        <w:tc>
          <w:tcPr>
            <w:tcW w:w="0" w:type="auto"/>
            <w:gridSpan w:val="3"/>
            <w:vAlign w:val="center"/>
            <w:hideMark/>
          </w:tcPr>
          <w:p w14:paraId="7DDF9A04" w14:textId="77777777" w:rsidR="00000000" w:rsidRDefault="00C1661D">
            <w:pPr>
              <w:spacing w:after="100"/>
              <w:rPr>
                <w:rFonts w:eastAsia="Times New Roman"/>
                <w:sz w:val="20"/>
                <w:szCs w:val="20"/>
              </w:rPr>
            </w:pPr>
          </w:p>
        </w:tc>
        <w:tc>
          <w:tcPr>
            <w:tcW w:w="0" w:type="auto"/>
            <w:gridSpan w:val="3"/>
            <w:vAlign w:val="center"/>
            <w:hideMark/>
          </w:tcPr>
          <w:p w14:paraId="06247841" w14:textId="77777777" w:rsidR="00000000" w:rsidRDefault="00C1661D">
            <w:pPr>
              <w:spacing w:after="100"/>
              <w:rPr>
                <w:rFonts w:eastAsia="Times New Roman"/>
                <w:sz w:val="20"/>
                <w:szCs w:val="20"/>
              </w:rPr>
            </w:pPr>
          </w:p>
        </w:tc>
        <w:tc>
          <w:tcPr>
            <w:tcW w:w="0" w:type="auto"/>
            <w:gridSpan w:val="3"/>
            <w:vAlign w:val="center"/>
            <w:hideMark/>
          </w:tcPr>
          <w:p w14:paraId="4025FF33" w14:textId="77777777" w:rsidR="00000000" w:rsidRDefault="00C1661D">
            <w:pPr>
              <w:spacing w:after="100"/>
              <w:rPr>
                <w:rFonts w:eastAsia="Times New Roman"/>
                <w:sz w:val="20"/>
                <w:szCs w:val="20"/>
              </w:rPr>
            </w:pPr>
          </w:p>
        </w:tc>
        <w:tc>
          <w:tcPr>
            <w:tcW w:w="0" w:type="auto"/>
            <w:gridSpan w:val="3"/>
            <w:vAlign w:val="center"/>
            <w:hideMark/>
          </w:tcPr>
          <w:p w14:paraId="0CBC1A1A" w14:textId="77777777" w:rsidR="00000000" w:rsidRDefault="00C1661D">
            <w:pPr>
              <w:spacing w:after="100"/>
              <w:rPr>
                <w:rFonts w:eastAsia="Times New Roman"/>
                <w:sz w:val="20"/>
                <w:szCs w:val="20"/>
              </w:rPr>
            </w:pPr>
          </w:p>
        </w:tc>
        <w:tc>
          <w:tcPr>
            <w:tcW w:w="0" w:type="auto"/>
            <w:gridSpan w:val="3"/>
            <w:vAlign w:val="center"/>
            <w:hideMark/>
          </w:tcPr>
          <w:p w14:paraId="2742115E" w14:textId="77777777" w:rsidR="00000000" w:rsidRDefault="00C1661D">
            <w:pPr>
              <w:spacing w:after="100"/>
              <w:rPr>
                <w:rFonts w:eastAsia="Times New Roman"/>
                <w:sz w:val="20"/>
                <w:szCs w:val="20"/>
              </w:rPr>
            </w:pPr>
          </w:p>
        </w:tc>
        <w:tc>
          <w:tcPr>
            <w:tcW w:w="0" w:type="auto"/>
            <w:gridSpan w:val="3"/>
            <w:vAlign w:val="center"/>
            <w:hideMark/>
          </w:tcPr>
          <w:p w14:paraId="2CA10649" w14:textId="77777777" w:rsidR="00000000" w:rsidRDefault="00C1661D">
            <w:pPr>
              <w:spacing w:after="100"/>
              <w:rPr>
                <w:rFonts w:eastAsia="Times New Roman"/>
                <w:sz w:val="20"/>
                <w:szCs w:val="20"/>
              </w:rPr>
            </w:pPr>
          </w:p>
        </w:tc>
        <w:tc>
          <w:tcPr>
            <w:tcW w:w="0" w:type="auto"/>
            <w:gridSpan w:val="3"/>
            <w:vAlign w:val="center"/>
            <w:hideMark/>
          </w:tcPr>
          <w:p w14:paraId="387AEEC5" w14:textId="77777777" w:rsidR="00000000" w:rsidRDefault="00C1661D">
            <w:pPr>
              <w:spacing w:after="100"/>
              <w:rPr>
                <w:rFonts w:eastAsia="Times New Roman"/>
                <w:sz w:val="20"/>
                <w:szCs w:val="20"/>
              </w:rPr>
            </w:pPr>
          </w:p>
        </w:tc>
      </w:tr>
      <w:tr w:rsidR="00000000" w14:paraId="59A11664" w14:textId="77777777">
        <w:tc>
          <w:tcPr>
            <w:tcW w:w="0" w:type="auto"/>
            <w:gridSpan w:val="3"/>
            <w:vAlign w:val="center"/>
            <w:hideMark/>
          </w:tcPr>
          <w:p w14:paraId="6D2C871A" w14:textId="77777777" w:rsidR="00000000" w:rsidRDefault="00C1661D">
            <w:pPr>
              <w:spacing w:after="100"/>
              <w:rPr>
                <w:rFonts w:eastAsia="Times New Roman"/>
                <w:sz w:val="20"/>
                <w:szCs w:val="20"/>
              </w:rPr>
            </w:pPr>
          </w:p>
        </w:tc>
        <w:tc>
          <w:tcPr>
            <w:tcW w:w="0" w:type="auto"/>
            <w:gridSpan w:val="3"/>
            <w:vAlign w:val="center"/>
            <w:hideMark/>
          </w:tcPr>
          <w:p w14:paraId="6047DB71" w14:textId="77777777" w:rsidR="00000000" w:rsidRDefault="00C1661D">
            <w:pPr>
              <w:spacing w:after="100"/>
              <w:rPr>
                <w:rFonts w:eastAsia="Times New Roman"/>
                <w:sz w:val="20"/>
                <w:szCs w:val="20"/>
              </w:rPr>
            </w:pPr>
          </w:p>
        </w:tc>
        <w:tc>
          <w:tcPr>
            <w:tcW w:w="0" w:type="auto"/>
            <w:gridSpan w:val="3"/>
            <w:vAlign w:val="center"/>
            <w:hideMark/>
          </w:tcPr>
          <w:p w14:paraId="3FBA6693" w14:textId="77777777" w:rsidR="00000000" w:rsidRDefault="00C1661D">
            <w:pPr>
              <w:spacing w:after="100"/>
              <w:rPr>
                <w:rFonts w:eastAsia="Times New Roman"/>
                <w:sz w:val="20"/>
                <w:szCs w:val="20"/>
              </w:rPr>
            </w:pPr>
          </w:p>
        </w:tc>
        <w:tc>
          <w:tcPr>
            <w:tcW w:w="0" w:type="auto"/>
            <w:gridSpan w:val="3"/>
            <w:vAlign w:val="center"/>
            <w:hideMark/>
          </w:tcPr>
          <w:p w14:paraId="6CFDFE26" w14:textId="77777777" w:rsidR="00000000" w:rsidRDefault="00C1661D">
            <w:pPr>
              <w:spacing w:after="100"/>
              <w:rPr>
                <w:rFonts w:eastAsia="Times New Roman"/>
                <w:sz w:val="20"/>
                <w:szCs w:val="20"/>
              </w:rPr>
            </w:pPr>
          </w:p>
        </w:tc>
        <w:tc>
          <w:tcPr>
            <w:tcW w:w="0" w:type="auto"/>
            <w:gridSpan w:val="3"/>
            <w:vAlign w:val="center"/>
            <w:hideMark/>
          </w:tcPr>
          <w:p w14:paraId="670BF575" w14:textId="77777777" w:rsidR="00000000" w:rsidRDefault="00C1661D">
            <w:pPr>
              <w:spacing w:after="100"/>
              <w:rPr>
                <w:rFonts w:eastAsia="Times New Roman"/>
                <w:sz w:val="20"/>
                <w:szCs w:val="20"/>
              </w:rPr>
            </w:pPr>
          </w:p>
        </w:tc>
        <w:tc>
          <w:tcPr>
            <w:tcW w:w="0" w:type="auto"/>
            <w:gridSpan w:val="3"/>
            <w:vAlign w:val="center"/>
            <w:hideMark/>
          </w:tcPr>
          <w:p w14:paraId="50D47ADF" w14:textId="77777777" w:rsidR="00000000" w:rsidRDefault="00C1661D">
            <w:pPr>
              <w:spacing w:after="100"/>
              <w:rPr>
                <w:rFonts w:eastAsia="Times New Roman"/>
                <w:sz w:val="20"/>
                <w:szCs w:val="20"/>
              </w:rPr>
            </w:pPr>
          </w:p>
        </w:tc>
        <w:tc>
          <w:tcPr>
            <w:tcW w:w="0" w:type="auto"/>
            <w:gridSpan w:val="3"/>
            <w:vAlign w:val="center"/>
            <w:hideMark/>
          </w:tcPr>
          <w:p w14:paraId="027A9009" w14:textId="77777777" w:rsidR="00000000" w:rsidRDefault="00C1661D">
            <w:pPr>
              <w:spacing w:after="100"/>
              <w:rPr>
                <w:rFonts w:eastAsia="Times New Roman"/>
                <w:sz w:val="20"/>
                <w:szCs w:val="20"/>
              </w:rPr>
            </w:pPr>
          </w:p>
        </w:tc>
        <w:tc>
          <w:tcPr>
            <w:tcW w:w="0" w:type="auto"/>
            <w:gridSpan w:val="3"/>
            <w:vAlign w:val="center"/>
            <w:hideMark/>
          </w:tcPr>
          <w:p w14:paraId="32F466A3" w14:textId="77777777" w:rsidR="00000000" w:rsidRDefault="00C1661D">
            <w:pPr>
              <w:spacing w:after="100"/>
              <w:rPr>
                <w:rFonts w:eastAsia="Times New Roman"/>
                <w:sz w:val="20"/>
                <w:szCs w:val="20"/>
              </w:rPr>
            </w:pPr>
          </w:p>
        </w:tc>
        <w:tc>
          <w:tcPr>
            <w:tcW w:w="0" w:type="auto"/>
            <w:gridSpan w:val="3"/>
            <w:vAlign w:val="center"/>
            <w:hideMark/>
          </w:tcPr>
          <w:p w14:paraId="65124BFD" w14:textId="77777777" w:rsidR="00000000" w:rsidRDefault="00C1661D">
            <w:pPr>
              <w:spacing w:after="100"/>
              <w:rPr>
                <w:rFonts w:eastAsia="Times New Roman"/>
                <w:sz w:val="20"/>
                <w:szCs w:val="20"/>
              </w:rPr>
            </w:pPr>
          </w:p>
        </w:tc>
        <w:tc>
          <w:tcPr>
            <w:tcW w:w="0" w:type="auto"/>
            <w:gridSpan w:val="3"/>
            <w:vAlign w:val="center"/>
            <w:hideMark/>
          </w:tcPr>
          <w:p w14:paraId="09FA126A" w14:textId="77777777" w:rsidR="00000000" w:rsidRDefault="00C1661D">
            <w:pPr>
              <w:spacing w:after="100"/>
              <w:rPr>
                <w:rFonts w:eastAsia="Times New Roman"/>
                <w:sz w:val="20"/>
                <w:szCs w:val="20"/>
              </w:rPr>
            </w:pPr>
          </w:p>
        </w:tc>
      </w:tr>
      <w:tr w:rsidR="00000000" w14:paraId="510EC139" w14:textId="77777777">
        <w:tc>
          <w:tcPr>
            <w:tcW w:w="0" w:type="auto"/>
            <w:gridSpan w:val="3"/>
            <w:vAlign w:val="center"/>
            <w:hideMark/>
          </w:tcPr>
          <w:p w14:paraId="13E4E8C7" w14:textId="77777777" w:rsidR="00000000" w:rsidRDefault="00C1661D">
            <w:pPr>
              <w:spacing w:after="100"/>
              <w:rPr>
                <w:rFonts w:eastAsia="Times New Roman"/>
                <w:sz w:val="20"/>
                <w:szCs w:val="20"/>
              </w:rPr>
            </w:pPr>
          </w:p>
        </w:tc>
        <w:tc>
          <w:tcPr>
            <w:tcW w:w="0" w:type="auto"/>
            <w:gridSpan w:val="3"/>
            <w:vAlign w:val="center"/>
            <w:hideMark/>
          </w:tcPr>
          <w:p w14:paraId="4FC2C3BA" w14:textId="77777777" w:rsidR="00000000" w:rsidRDefault="00C1661D">
            <w:pPr>
              <w:spacing w:after="100"/>
              <w:rPr>
                <w:rFonts w:eastAsia="Times New Roman"/>
                <w:sz w:val="20"/>
                <w:szCs w:val="20"/>
              </w:rPr>
            </w:pPr>
          </w:p>
        </w:tc>
        <w:tc>
          <w:tcPr>
            <w:tcW w:w="0" w:type="auto"/>
            <w:gridSpan w:val="3"/>
            <w:vAlign w:val="center"/>
            <w:hideMark/>
          </w:tcPr>
          <w:p w14:paraId="7DDBA191" w14:textId="77777777" w:rsidR="00000000" w:rsidRDefault="00C1661D">
            <w:pPr>
              <w:spacing w:after="100"/>
              <w:rPr>
                <w:rFonts w:eastAsia="Times New Roman"/>
                <w:sz w:val="20"/>
                <w:szCs w:val="20"/>
              </w:rPr>
            </w:pPr>
          </w:p>
        </w:tc>
        <w:tc>
          <w:tcPr>
            <w:tcW w:w="0" w:type="auto"/>
            <w:gridSpan w:val="3"/>
            <w:vAlign w:val="center"/>
            <w:hideMark/>
          </w:tcPr>
          <w:p w14:paraId="6DD22033" w14:textId="77777777" w:rsidR="00000000" w:rsidRDefault="00C1661D">
            <w:pPr>
              <w:spacing w:after="100"/>
              <w:rPr>
                <w:rFonts w:eastAsia="Times New Roman"/>
                <w:sz w:val="20"/>
                <w:szCs w:val="20"/>
              </w:rPr>
            </w:pPr>
          </w:p>
        </w:tc>
        <w:tc>
          <w:tcPr>
            <w:tcW w:w="0" w:type="auto"/>
            <w:gridSpan w:val="3"/>
            <w:vAlign w:val="center"/>
            <w:hideMark/>
          </w:tcPr>
          <w:p w14:paraId="312A2D5A" w14:textId="77777777" w:rsidR="00000000" w:rsidRDefault="00C1661D">
            <w:pPr>
              <w:spacing w:after="100"/>
              <w:rPr>
                <w:rFonts w:eastAsia="Times New Roman"/>
                <w:sz w:val="20"/>
                <w:szCs w:val="20"/>
              </w:rPr>
            </w:pPr>
          </w:p>
        </w:tc>
        <w:tc>
          <w:tcPr>
            <w:tcW w:w="0" w:type="auto"/>
            <w:gridSpan w:val="3"/>
            <w:vAlign w:val="center"/>
            <w:hideMark/>
          </w:tcPr>
          <w:p w14:paraId="3A1AB408" w14:textId="77777777" w:rsidR="00000000" w:rsidRDefault="00C1661D">
            <w:pPr>
              <w:spacing w:after="100"/>
              <w:rPr>
                <w:rFonts w:eastAsia="Times New Roman"/>
                <w:sz w:val="20"/>
                <w:szCs w:val="20"/>
              </w:rPr>
            </w:pPr>
          </w:p>
        </w:tc>
        <w:tc>
          <w:tcPr>
            <w:tcW w:w="0" w:type="auto"/>
            <w:gridSpan w:val="3"/>
            <w:vAlign w:val="center"/>
            <w:hideMark/>
          </w:tcPr>
          <w:p w14:paraId="2D7964AF" w14:textId="77777777" w:rsidR="00000000" w:rsidRDefault="00C1661D">
            <w:pPr>
              <w:spacing w:after="100"/>
              <w:rPr>
                <w:rFonts w:eastAsia="Times New Roman"/>
                <w:sz w:val="20"/>
                <w:szCs w:val="20"/>
              </w:rPr>
            </w:pPr>
          </w:p>
        </w:tc>
        <w:tc>
          <w:tcPr>
            <w:tcW w:w="0" w:type="auto"/>
            <w:gridSpan w:val="3"/>
            <w:vAlign w:val="center"/>
            <w:hideMark/>
          </w:tcPr>
          <w:p w14:paraId="251855E2" w14:textId="77777777" w:rsidR="00000000" w:rsidRDefault="00C1661D">
            <w:pPr>
              <w:spacing w:after="100"/>
              <w:rPr>
                <w:rFonts w:eastAsia="Times New Roman"/>
                <w:sz w:val="20"/>
                <w:szCs w:val="20"/>
              </w:rPr>
            </w:pPr>
          </w:p>
        </w:tc>
        <w:tc>
          <w:tcPr>
            <w:tcW w:w="0" w:type="auto"/>
            <w:gridSpan w:val="3"/>
            <w:vAlign w:val="center"/>
            <w:hideMark/>
          </w:tcPr>
          <w:p w14:paraId="31A37D71" w14:textId="77777777" w:rsidR="00000000" w:rsidRDefault="00C1661D">
            <w:pPr>
              <w:spacing w:after="100"/>
              <w:rPr>
                <w:rFonts w:eastAsia="Times New Roman"/>
                <w:sz w:val="20"/>
                <w:szCs w:val="20"/>
              </w:rPr>
            </w:pPr>
          </w:p>
        </w:tc>
        <w:tc>
          <w:tcPr>
            <w:tcW w:w="0" w:type="auto"/>
            <w:gridSpan w:val="3"/>
            <w:vAlign w:val="center"/>
            <w:hideMark/>
          </w:tcPr>
          <w:p w14:paraId="681036AF" w14:textId="77777777" w:rsidR="00000000" w:rsidRDefault="00C1661D">
            <w:pPr>
              <w:spacing w:after="100"/>
              <w:rPr>
                <w:rFonts w:eastAsia="Times New Roman"/>
                <w:sz w:val="20"/>
                <w:szCs w:val="20"/>
              </w:rPr>
            </w:pPr>
          </w:p>
        </w:tc>
      </w:tr>
      <w:tr w:rsidR="00000000" w14:paraId="4D67BE85" w14:textId="77777777">
        <w:tc>
          <w:tcPr>
            <w:tcW w:w="0" w:type="auto"/>
            <w:gridSpan w:val="3"/>
            <w:vAlign w:val="center"/>
            <w:hideMark/>
          </w:tcPr>
          <w:p w14:paraId="3E1785E4" w14:textId="77777777" w:rsidR="00000000" w:rsidRDefault="00C1661D">
            <w:pPr>
              <w:spacing w:after="100"/>
              <w:rPr>
                <w:rFonts w:eastAsia="Times New Roman"/>
                <w:sz w:val="20"/>
                <w:szCs w:val="20"/>
              </w:rPr>
            </w:pPr>
          </w:p>
        </w:tc>
        <w:tc>
          <w:tcPr>
            <w:tcW w:w="0" w:type="auto"/>
            <w:gridSpan w:val="3"/>
            <w:vAlign w:val="center"/>
            <w:hideMark/>
          </w:tcPr>
          <w:p w14:paraId="27786208" w14:textId="77777777" w:rsidR="00000000" w:rsidRDefault="00C1661D">
            <w:pPr>
              <w:spacing w:after="100"/>
              <w:rPr>
                <w:rFonts w:eastAsia="Times New Roman"/>
                <w:sz w:val="20"/>
                <w:szCs w:val="20"/>
              </w:rPr>
            </w:pPr>
          </w:p>
        </w:tc>
        <w:tc>
          <w:tcPr>
            <w:tcW w:w="0" w:type="auto"/>
            <w:gridSpan w:val="3"/>
            <w:vAlign w:val="center"/>
            <w:hideMark/>
          </w:tcPr>
          <w:p w14:paraId="50559D74" w14:textId="77777777" w:rsidR="00000000" w:rsidRDefault="00C1661D">
            <w:pPr>
              <w:spacing w:after="100"/>
              <w:rPr>
                <w:rFonts w:eastAsia="Times New Roman"/>
                <w:sz w:val="20"/>
                <w:szCs w:val="20"/>
              </w:rPr>
            </w:pPr>
          </w:p>
        </w:tc>
        <w:tc>
          <w:tcPr>
            <w:tcW w:w="0" w:type="auto"/>
            <w:gridSpan w:val="3"/>
            <w:vAlign w:val="center"/>
            <w:hideMark/>
          </w:tcPr>
          <w:p w14:paraId="7F864F17" w14:textId="77777777" w:rsidR="00000000" w:rsidRDefault="00C1661D">
            <w:pPr>
              <w:spacing w:after="100"/>
              <w:rPr>
                <w:rFonts w:eastAsia="Times New Roman"/>
                <w:sz w:val="20"/>
                <w:szCs w:val="20"/>
              </w:rPr>
            </w:pPr>
          </w:p>
        </w:tc>
        <w:tc>
          <w:tcPr>
            <w:tcW w:w="0" w:type="auto"/>
            <w:gridSpan w:val="3"/>
            <w:vAlign w:val="center"/>
            <w:hideMark/>
          </w:tcPr>
          <w:p w14:paraId="5E953165" w14:textId="77777777" w:rsidR="00000000" w:rsidRDefault="00C1661D">
            <w:pPr>
              <w:spacing w:after="100"/>
              <w:rPr>
                <w:rFonts w:eastAsia="Times New Roman"/>
                <w:sz w:val="20"/>
                <w:szCs w:val="20"/>
              </w:rPr>
            </w:pPr>
          </w:p>
        </w:tc>
        <w:tc>
          <w:tcPr>
            <w:tcW w:w="0" w:type="auto"/>
            <w:gridSpan w:val="3"/>
            <w:vAlign w:val="center"/>
            <w:hideMark/>
          </w:tcPr>
          <w:p w14:paraId="1C94DC44" w14:textId="77777777" w:rsidR="00000000" w:rsidRDefault="00C1661D">
            <w:pPr>
              <w:spacing w:after="100"/>
              <w:rPr>
                <w:rFonts w:eastAsia="Times New Roman"/>
                <w:sz w:val="20"/>
                <w:szCs w:val="20"/>
              </w:rPr>
            </w:pPr>
          </w:p>
        </w:tc>
        <w:tc>
          <w:tcPr>
            <w:tcW w:w="0" w:type="auto"/>
            <w:gridSpan w:val="3"/>
            <w:vAlign w:val="center"/>
            <w:hideMark/>
          </w:tcPr>
          <w:p w14:paraId="15D2D7C0" w14:textId="77777777" w:rsidR="00000000" w:rsidRDefault="00C1661D">
            <w:pPr>
              <w:spacing w:after="100"/>
              <w:rPr>
                <w:rFonts w:eastAsia="Times New Roman"/>
                <w:sz w:val="20"/>
                <w:szCs w:val="20"/>
              </w:rPr>
            </w:pPr>
          </w:p>
        </w:tc>
        <w:tc>
          <w:tcPr>
            <w:tcW w:w="0" w:type="auto"/>
            <w:gridSpan w:val="3"/>
            <w:vAlign w:val="center"/>
            <w:hideMark/>
          </w:tcPr>
          <w:p w14:paraId="54AB9952" w14:textId="77777777" w:rsidR="00000000" w:rsidRDefault="00C1661D">
            <w:pPr>
              <w:spacing w:after="100"/>
              <w:rPr>
                <w:rFonts w:eastAsia="Times New Roman"/>
                <w:sz w:val="20"/>
                <w:szCs w:val="20"/>
              </w:rPr>
            </w:pPr>
          </w:p>
        </w:tc>
        <w:tc>
          <w:tcPr>
            <w:tcW w:w="0" w:type="auto"/>
            <w:gridSpan w:val="3"/>
            <w:vAlign w:val="center"/>
            <w:hideMark/>
          </w:tcPr>
          <w:p w14:paraId="5625BDF2" w14:textId="77777777" w:rsidR="00000000" w:rsidRDefault="00C1661D">
            <w:pPr>
              <w:spacing w:after="100"/>
              <w:rPr>
                <w:rFonts w:eastAsia="Times New Roman"/>
                <w:sz w:val="20"/>
                <w:szCs w:val="20"/>
              </w:rPr>
            </w:pPr>
          </w:p>
        </w:tc>
        <w:tc>
          <w:tcPr>
            <w:tcW w:w="0" w:type="auto"/>
            <w:gridSpan w:val="3"/>
            <w:vAlign w:val="center"/>
            <w:hideMark/>
          </w:tcPr>
          <w:p w14:paraId="00F4E0FB" w14:textId="77777777" w:rsidR="00000000" w:rsidRDefault="00C1661D">
            <w:pPr>
              <w:spacing w:after="100"/>
              <w:rPr>
                <w:rFonts w:eastAsia="Times New Roman"/>
                <w:sz w:val="20"/>
                <w:szCs w:val="20"/>
              </w:rPr>
            </w:pPr>
          </w:p>
        </w:tc>
      </w:tr>
      <w:tr w:rsidR="00000000" w14:paraId="4A13463D" w14:textId="77777777">
        <w:tc>
          <w:tcPr>
            <w:tcW w:w="0" w:type="auto"/>
            <w:gridSpan w:val="3"/>
            <w:vAlign w:val="center"/>
            <w:hideMark/>
          </w:tcPr>
          <w:p w14:paraId="2004DD25" w14:textId="77777777" w:rsidR="00000000" w:rsidRDefault="00C1661D">
            <w:pPr>
              <w:spacing w:after="100"/>
              <w:rPr>
                <w:rFonts w:eastAsia="Times New Roman"/>
                <w:sz w:val="20"/>
                <w:szCs w:val="20"/>
              </w:rPr>
            </w:pPr>
          </w:p>
        </w:tc>
        <w:tc>
          <w:tcPr>
            <w:tcW w:w="0" w:type="auto"/>
            <w:gridSpan w:val="3"/>
            <w:vAlign w:val="center"/>
            <w:hideMark/>
          </w:tcPr>
          <w:p w14:paraId="75A497CD" w14:textId="77777777" w:rsidR="00000000" w:rsidRDefault="00C1661D">
            <w:pPr>
              <w:spacing w:after="100"/>
              <w:rPr>
                <w:rFonts w:eastAsia="Times New Roman"/>
                <w:sz w:val="20"/>
                <w:szCs w:val="20"/>
              </w:rPr>
            </w:pPr>
          </w:p>
        </w:tc>
        <w:tc>
          <w:tcPr>
            <w:tcW w:w="0" w:type="auto"/>
            <w:gridSpan w:val="3"/>
            <w:vAlign w:val="center"/>
            <w:hideMark/>
          </w:tcPr>
          <w:p w14:paraId="466078A0" w14:textId="77777777" w:rsidR="00000000" w:rsidRDefault="00C1661D">
            <w:pPr>
              <w:spacing w:after="100"/>
              <w:rPr>
                <w:rFonts w:eastAsia="Times New Roman"/>
                <w:sz w:val="20"/>
                <w:szCs w:val="20"/>
              </w:rPr>
            </w:pPr>
          </w:p>
        </w:tc>
        <w:tc>
          <w:tcPr>
            <w:tcW w:w="0" w:type="auto"/>
            <w:gridSpan w:val="3"/>
            <w:vAlign w:val="center"/>
            <w:hideMark/>
          </w:tcPr>
          <w:p w14:paraId="7E00745A" w14:textId="77777777" w:rsidR="00000000" w:rsidRDefault="00C1661D">
            <w:pPr>
              <w:spacing w:after="100"/>
              <w:rPr>
                <w:rFonts w:eastAsia="Times New Roman"/>
                <w:sz w:val="20"/>
                <w:szCs w:val="20"/>
              </w:rPr>
            </w:pPr>
          </w:p>
        </w:tc>
        <w:tc>
          <w:tcPr>
            <w:tcW w:w="0" w:type="auto"/>
            <w:gridSpan w:val="3"/>
            <w:vAlign w:val="center"/>
            <w:hideMark/>
          </w:tcPr>
          <w:p w14:paraId="727CA5EA" w14:textId="77777777" w:rsidR="00000000" w:rsidRDefault="00C1661D">
            <w:pPr>
              <w:spacing w:after="100"/>
              <w:rPr>
                <w:rFonts w:eastAsia="Times New Roman"/>
                <w:sz w:val="20"/>
                <w:szCs w:val="20"/>
              </w:rPr>
            </w:pPr>
          </w:p>
        </w:tc>
        <w:tc>
          <w:tcPr>
            <w:tcW w:w="0" w:type="auto"/>
            <w:gridSpan w:val="3"/>
            <w:vAlign w:val="center"/>
            <w:hideMark/>
          </w:tcPr>
          <w:p w14:paraId="32F600B6" w14:textId="77777777" w:rsidR="00000000" w:rsidRDefault="00C1661D">
            <w:pPr>
              <w:spacing w:after="100"/>
              <w:rPr>
                <w:rFonts w:eastAsia="Times New Roman"/>
                <w:sz w:val="20"/>
                <w:szCs w:val="20"/>
              </w:rPr>
            </w:pPr>
          </w:p>
        </w:tc>
        <w:tc>
          <w:tcPr>
            <w:tcW w:w="0" w:type="auto"/>
            <w:gridSpan w:val="3"/>
            <w:vAlign w:val="center"/>
            <w:hideMark/>
          </w:tcPr>
          <w:p w14:paraId="228625F4" w14:textId="77777777" w:rsidR="00000000" w:rsidRDefault="00C1661D">
            <w:pPr>
              <w:spacing w:after="100"/>
              <w:rPr>
                <w:rFonts w:eastAsia="Times New Roman"/>
                <w:sz w:val="20"/>
                <w:szCs w:val="20"/>
              </w:rPr>
            </w:pPr>
          </w:p>
        </w:tc>
        <w:tc>
          <w:tcPr>
            <w:tcW w:w="0" w:type="auto"/>
            <w:gridSpan w:val="3"/>
            <w:vAlign w:val="center"/>
            <w:hideMark/>
          </w:tcPr>
          <w:p w14:paraId="0F6AC155" w14:textId="77777777" w:rsidR="00000000" w:rsidRDefault="00C1661D">
            <w:pPr>
              <w:spacing w:after="100"/>
              <w:rPr>
                <w:rFonts w:eastAsia="Times New Roman"/>
                <w:sz w:val="20"/>
                <w:szCs w:val="20"/>
              </w:rPr>
            </w:pPr>
          </w:p>
        </w:tc>
        <w:tc>
          <w:tcPr>
            <w:tcW w:w="0" w:type="auto"/>
            <w:gridSpan w:val="3"/>
            <w:vAlign w:val="center"/>
            <w:hideMark/>
          </w:tcPr>
          <w:p w14:paraId="0D879C7E" w14:textId="77777777" w:rsidR="00000000" w:rsidRDefault="00C1661D">
            <w:pPr>
              <w:spacing w:after="100"/>
              <w:rPr>
                <w:rFonts w:eastAsia="Times New Roman"/>
                <w:sz w:val="20"/>
                <w:szCs w:val="20"/>
              </w:rPr>
            </w:pPr>
          </w:p>
        </w:tc>
        <w:tc>
          <w:tcPr>
            <w:tcW w:w="0" w:type="auto"/>
            <w:gridSpan w:val="3"/>
            <w:vAlign w:val="center"/>
            <w:hideMark/>
          </w:tcPr>
          <w:p w14:paraId="268B539C" w14:textId="77777777" w:rsidR="00000000" w:rsidRDefault="00C1661D">
            <w:pPr>
              <w:spacing w:after="100"/>
              <w:rPr>
                <w:rFonts w:eastAsia="Times New Roman"/>
                <w:sz w:val="20"/>
                <w:szCs w:val="20"/>
              </w:rPr>
            </w:pPr>
          </w:p>
        </w:tc>
      </w:tr>
      <w:tr w:rsidR="00000000" w14:paraId="50C11E8F" w14:textId="77777777">
        <w:tc>
          <w:tcPr>
            <w:tcW w:w="0" w:type="auto"/>
            <w:gridSpan w:val="3"/>
            <w:vAlign w:val="center"/>
            <w:hideMark/>
          </w:tcPr>
          <w:p w14:paraId="607A5F56" w14:textId="77777777" w:rsidR="00000000" w:rsidRDefault="00C1661D">
            <w:pPr>
              <w:spacing w:after="100"/>
              <w:rPr>
                <w:rFonts w:eastAsia="Times New Roman"/>
                <w:sz w:val="20"/>
                <w:szCs w:val="20"/>
              </w:rPr>
            </w:pPr>
          </w:p>
        </w:tc>
        <w:tc>
          <w:tcPr>
            <w:tcW w:w="0" w:type="auto"/>
            <w:gridSpan w:val="3"/>
            <w:vAlign w:val="center"/>
            <w:hideMark/>
          </w:tcPr>
          <w:p w14:paraId="51A84387" w14:textId="77777777" w:rsidR="00000000" w:rsidRDefault="00C1661D">
            <w:pPr>
              <w:spacing w:after="100"/>
              <w:rPr>
                <w:rFonts w:eastAsia="Times New Roman"/>
                <w:sz w:val="20"/>
                <w:szCs w:val="20"/>
              </w:rPr>
            </w:pPr>
          </w:p>
        </w:tc>
        <w:tc>
          <w:tcPr>
            <w:tcW w:w="0" w:type="auto"/>
            <w:gridSpan w:val="3"/>
            <w:vAlign w:val="center"/>
            <w:hideMark/>
          </w:tcPr>
          <w:p w14:paraId="3F33715A" w14:textId="77777777" w:rsidR="00000000" w:rsidRDefault="00C1661D">
            <w:pPr>
              <w:spacing w:after="100"/>
              <w:rPr>
                <w:rFonts w:eastAsia="Times New Roman"/>
                <w:sz w:val="20"/>
                <w:szCs w:val="20"/>
              </w:rPr>
            </w:pPr>
          </w:p>
        </w:tc>
        <w:tc>
          <w:tcPr>
            <w:tcW w:w="0" w:type="auto"/>
            <w:gridSpan w:val="3"/>
            <w:vAlign w:val="center"/>
            <w:hideMark/>
          </w:tcPr>
          <w:p w14:paraId="33906555" w14:textId="77777777" w:rsidR="00000000" w:rsidRDefault="00C1661D">
            <w:pPr>
              <w:spacing w:after="100"/>
              <w:rPr>
                <w:rFonts w:eastAsia="Times New Roman"/>
                <w:sz w:val="20"/>
                <w:szCs w:val="20"/>
              </w:rPr>
            </w:pPr>
          </w:p>
        </w:tc>
        <w:tc>
          <w:tcPr>
            <w:tcW w:w="0" w:type="auto"/>
            <w:gridSpan w:val="3"/>
            <w:vAlign w:val="center"/>
            <w:hideMark/>
          </w:tcPr>
          <w:p w14:paraId="458C4D56" w14:textId="77777777" w:rsidR="00000000" w:rsidRDefault="00C1661D">
            <w:pPr>
              <w:spacing w:after="100"/>
              <w:rPr>
                <w:rFonts w:eastAsia="Times New Roman"/>
                <w:sz w:val="20"/>
                <w:szCs w:val="20"/>
              </w:rPr>
            </w:pPr>
          </w:p>
        </w:tc>
        <w:tc>
          <w:tcPr>
            <w:tcW w:w="0" w:type="auto"/>
            <w:gridSpan w:val="3"/>
            <w:vAlign w:val="center"/>
            <w:hideMark/>
          </w:tcPr>
          <w:p w14:paraId="327FC5D1" w14:textId="77777777" w:rsidR="00000000" w:rsidRDefault="00C1661D">
            <w:pPr>
              <w:spacing w:after="100"/>
              <w:rPr>
                <w:rFonts w:eastAsia="Times New Roman"/>
                <w:sz w:val="20"/>
                <w:szCs w:val="20"/>
              </w:rPr>
            </w:pPr>
          </w:p>
        </w:tc>
        <w:tc>
          <w:tcPr>
            <w:tcW w:w="0" w:type="auto"/>
            <w:gridSpan w:val="3"/>
            <w:vAlign w:val="center"/>
            <w:hideMark/>
          </w:tcPr>
          <w:p w14:paraId="6AD4BA24" w14:textId="77777777" w:rsidR="00000000" w:rsidRDefault="00C1661D">
            <w:pPr>
              <w:spacing w:after="100"/>
              <w:rPr>
                <w:rFonts w:eastAsia="Times New Roman"/>
                <w:sz w:val="20"/>
                <w:szCs w:val="20"/>
              </w:rPr>
            </w:pPr>
          </w:p>
        </w:tc>
        <w:tc>
          <w:tcPr>
            <w:tcW w:w="0" w:type="auto"/>
            <w:gridSpan w:val="3"/>
            <w:vAlign w:val="center"/>
            <w:hideMark/>
          </w:tcPr>
          <w:p w14:paraId="7DF5E166" w14:textId="77777777" w:rsidR="00000000" w:rsidRDefault="00C1661D">
            <w:pPr>
              <w:spacing w:after="100"/>
              <w:rPr>
                <w:rFonts w:eastAsia="Times New Roman"/>
                <w:sz w:val="20"/>
                <w:szCs w:val="20"/>
              </w:rPr>
            </w:pPr>
          </w:p>
        </w:tc>
        <w:tc>
          <w:tcPr>
            <w:tcW w:w="0" w:type="auto"/>
            <w:gridSpan w:val="3"/>
            <w:vAlign w:val="center"/>
            <w:hideMark/>
          </w:tcPr>
          <w:p w14:paraId="5CD4FCAA" w14:textId="77777777" w:rsidR="00000000" w:rsidRDefault="00C1661D">
            <w:pPr>
              <w:spacing w:after="100"/>
              <w:rPr>
                <w:rFonts w:eastAsia="Times New Roman"/>
                <w:sz w:val="20"/>
                <w:szCs w:val="20"/>
              </w:rPr>
            </w:pPr>
          </w:p>
        </w:tc>
        <w:tc>
          <w:tcPr>
            <w:tcW w:w="0" w:type="auto"/>
            <w:gridSpan w:val="3"/>
            <w:vAlign w:val="center"/>
            <w:hideMark/>
          </w:tcPr>
          <w:p w14:paraId="71EDF446" w14:textId="77777777" w:rsidR="00000000" w:rsidRDefault="00C1661D">
            <w:pPr>
              <w:spacing w:after="100"/>
              <w:rPr>
                <w:rFonts w:eastAsia="Times New Roman"/>
                <w:sz w:val="20"/>
                <w:szCs w:val="20"/>
              </w:rPr>
            </w:pPr>
          </w:p>
        </w:tc>
      </w:tr>
      <w:tr w:rsidR="00000000" w14:paraId="5AE2B1C0" w14:textId="77777777">
        <w:tc>
          <w:tcPr>
            <w:tcW w:w="0" w:type="auto"/>
            <w:gridSpan w:val="3"/>
            <w:vAlign w:val="center"/>
            <w:hideMark/>
          </w:tcPr>
          <w:p w14:paraId="1BBE3AFA" w14:textId="77777777" w:rsidR="00000000" w:rsidRDefault="00C1661D">
            <w:pPr>
              <w:spacing w:after="100"/>
              <w:rPr>
                <w:rFonts w:eastAsia="Times New Roman"/>
                <w:sz w:val="20"/>
                <w:szCs w:val="20"/>
              </w:rPr>
            </w:pPr>
          </w:p>
        </w:tc>
        <w:tc>
          <w:tcPr>
            <w:tcW w:w="0" w:type="auto"/>
            <w:gridSpan w:val="3"/>
            <w:vAlign w:val="center"/>
            <w:hideMark/>
          </w:tcPr>
          <w:p w14:paraId="6BE9594A" w14:textId="77777777" w:rsidR="00000000" w:rsidRDefault="00C1661D">
            <w:pPr>
              <w:spacing w:after="100"/>
              <w:rPr>
                <w:rFonts w:eastAsia="Times New Roman"/>
                <w:sz w:val="20"/>
                <w:szCs w:val="20"/>
              </w:rPr>
            </w:pPr>
          </w:p>
        </w:tc>
        <w:tc>
          <w:tcPr>
            <w:tcW w:w="0" w:type="auto"/>
            <w:gridSpan w:val="3"/>
            <w:vAlign w:val="center"/>
            <w:hideMark/>
          </w:tcPr>
          <w:p w14:paraId="72136F3B" w14:textId="77777777" w:rsidR="00000000" w:rsidRDefault="00C1661D">
            <w:pPr>
              <w:spacing w:after="100"/>
              <w:rPr>
                <w:rFonts w:eastAsia="Times New Roman"/>
                <w:sz w:val="20"/>
                <w:szCs w:val="20"/>
              </w:rPr>
            </w:pPr>
          </w:p>
        </w:tc>
        <w:tc>
          <w:tcPr>
            <w:tcW w:w="0" w:type="auto"/>
            <w:gridSpan w:val="3"/>
            <w:vAlign w:val="center"/>
            <w:hideMark/>
          </w:tcPr>
          <w:p w14:paraId="6E9F144E" w14:textId="77777777" w:rsidR="00000000" w:rsidRDefault="00C1661D">
            <w:pPr>
              <w:spacing w:after="100"/>
              <w:rPr>
                <w:rFonts w:eastAsia="Times New Roman"/>
                <w:sz w:val="20"/>
                <w:szCs w:val="20"/>
              </w:rPr>
            </w:pPr>
          </w:p>
        </w:tc>
        <w:tc>
          <w:tcPr>
            <w:tcW w:w="0" w:type="auto"/>
            <w:gridSpan w:val="3"/>
            <w:vAlign w:val="center"/>
            <w:hideMark/>
          </w:tcPr>
          <w:p w14:paraId="67DAE780" w14:textId="77777777" w:rsidR="00000000" w:rsidRDefault="00C1661D">
            <w:pPr>
              <w:spacing w:after="100"/>
              <w:rPr>
                <w:rFonts w:eastAsia="Times New Roman"/>
                <w:sz w:val="20"/>
                <w:szCs w:val="20"/>
              </w:rPr>
            </w:pPr>
          </w:p>
        </w:tc>
        <w:tc>
          <w:tcPr>
            <w:tcW w:w="0" w:type="auto"/>
            <w:gridSpan w:val="3"/>
            <w:vAlign w:val="center"/>
            <w:hideMark/>
          </w:tcPr>
          <w:p w14:paraId="53EFFA62" w14:textId="77777777" w:rsidR="00000000" w:rsidRDefault="00C1661D">
            <w:pPr>
              <w:spacing w:after="100"/>
              <w:rPr>
                <w:rFonts w:eastAsia="Times New Roman"/>
                <w:sz w:val="20"/>
                <w:szCs w:val="20"/>
              </w:rPr>
            </w:pPr>
          </w:p>
        </w:tc>
        <w:tc>
          <w:tcPr>
            <w:tcW w:w="0" w:type="auto"/>
            <w:gridSpan w:val="3"/>
            <w:vAlign w:val="center"/>
            <w:hideMark/>
          </w:tcPr>
          <w:p w14:paraId="3865561F" w14:textId="77777777" w:rsidR="00000000" w:rsidRDefault="00C1661D">
            <w:pPr>
              <w:spacing w:after="100"/>
              <w:rPr>
                <w:rFonts w:eastAsia="Times New Roman"/>
                <w:sz w:val="20"/>
                <w:szCs w:val="20"/>
              </w:rPr>
            </w:pPr>
          </w:p>
        </w:tc>
        <w:tc>
          <w:tcPr>
            <w:tcW w:w="0" w:type="auto"/>
            <w:gridSpan w:val="3"/>
            <w:vAlign w:val="center"/>
            <w:hideMark/>
          </w:tcPr>
          <w:p w14:paraId="22A5B8E8" w14:textId="77777777" w:rsidR="00000000" w:rsidRDefault="00C1661D">
            <w:pPr>
              <w:spacing w:after="100"/>
              <w:rPr>
                <w:rFonts w:eastAsia="Times New Roman"/>
                <w:sz w:val="20"/>
                <w:szCs w:val="20"/>
              </w:rPr>
            </w:pPr>
          </w:p>
        </w:tc>
        <w:tc>
          <w:tcPr>
            <w:tcW w:w="0" w:type="auto"/>
            <w:gridSpan w:val="3"/>
            <w:vAlign w:val="center"/>
            <w:hideMark/>
          </w:tcPr>
          <w:p w14:paraId="4AB3675C" w14:textId="77777777" w:rsidR="00000000" w:rsidRDefault="00C1661D">
            <w:pPr>
              <w:spacing w:after="100"/>
              <w:rPr>
                <w:rFonts w:eastAsia="Times New Roman"/>
                <w:sz w:val="20"/>
                <w:szCs w:val="20"/>
              </w:rPr>
            </w:pPr>
          </w:p>
        </w:tc>
        <w:tc>
          <w:tcPr>
            <w:tcW w:w="0" w:type="auto"/>
            <w:gridSpan w:val="3"/>
            <w:vAlign w:val="center"/>
            <w:hideMark/>
          </w:tcPr>
          <w:p w14:paraId="5F910E69" w14:textId="77777777" w:rsidR="00000000" w:rsidRDefault="00C1661D">
            <w:pPr>
              <w:spacing w:after="100"/>
              <w:rPr>
                <w:rFonts w:eastAsia="Times New Roman"/>
                <w:sz w:val="20"/>
                <w:szCs w:val="20"/>
              </w:rPr>
            </w:pPr>
          </w:p>
        </w:tc>
      </w:tr>
      <w:tr w:rsidR="00000000" w14:paraId="012E10A2" w14:textId="77777777">
        <w:tc>
          <w:tcPr>
            <w:tcW w:w="0" w:type="auto"/>
            <w:gridSpan w:val="3"/>
            <w:vAlign w:val="center"/>
            <w:hideMark/>
          </w:tcPr>
          <w:p w14:paraId="45CA0A43" w14:textId="77777777" w:rsidR="00000000" w:rsidRDefault="00C1661D">
            <w:pPr>
              <w:spacing w:after="100"/>
              <w:rPr>
                <w:rFonts w:eastAsia="Times New Roman"/>
                <w:sz w:val="20"/>
                <w:szCs w:val="20"/>
              </w:rPr>
            </w:pPr>
          </w:p>
        </w:tc>
        <w:tc>
          <w:tcPr>
            <w:tcW w:w="0" w:type="auto"/>
            <w:gridSpan w:val="3"/>
            <w:vAlign w:val="center"/>
            <w:hideMark/>
          </w:tcPr>
          <w:p w14:paraId="72F87B50" w14:textId="77777777" w:rsidR="00000000" w:rsidRDefault="00C1661D">
            <w:pPr>
              <w:spacing w:after="100"/>
              <w:rPr>
                <w:rFonts w:eastAsia="Times New Roman"/>
                <w:sz w:val="20"/>
                <w:szCs w:val="20"/>
              </w:rPr>
            </w:pPr>
          </w:p>
        </w:tc>
        <w:tc>
          <w:tcPr>
            <w:tcW w:w="0" w:type="auto"/>
            <w:gridSpan w:val="3"/>
            <w:vAlign w:val="center"/>
            <w:hideMark/>
          </w:tcPr>
          <w:p w14:paraId="419F9723" w14:textId="77777777" w:rsidR="00000000" w:rsidRDefault="00C1661D">
            <w:pPr>
              <w:spacing w:after="100"/>
              <w:rPr>
                <w:rFonts w:eastAsia="Times New Roman"/>
                <w:sz w:val="20"/>
                <w:szCs w:val="20"/>
              </w:rPr>
            </w:pPr>
          </w:p>
        </w:tc>
        <w:tc>
          <w:tcPr>
            <w:tcW w:w="0" w:type="auto"/>
            <w:gridSpan w:val="3"/>
            <w:vAlign w:val="center"/>
            <w:hideMark/>
          </w:tcPr>
          <w:p w14:paraId="2275E2EC" w14:textId="77777777" w:rsidR="00000000" w:rsidRDefault="00C1661D">
            <w:pPr>
              <w:spacing w:after="100"/>
              <w:rPr>
                <w:rFonts w:eastAsia="Times New Roman"/>
                <w:sz w:val="20"/>
                <w:szCs w:val="20"/>
              </w:rPr>
            </w:pPr>
          </w:p>
        </w:tc>
        <w:tc>
          <w:tcPr>
            <w:tcW w:w="0" w:type="auto"/>
            <w:gridSpan w:val="3"/>
            <w:vAlign w:val="center"/>
            <w:hideMark/>
          </w:tcPr>
          <w:p w14:paraId="1F8F3CF8" w14:textId="77777777" w:rsidR="00000000" w:rsidRDefault="00C1661D">
            <w:pPr>
              <w:spacing w:after="100"/>
              <w:rPr>
                <w:rFonts w:eastAsia="Times New Roman"/>
                <w:sz w:val="20"/>
                <w:szCs w:val="20"/>
              </w:rPr>
            </w:pPr>
          </w:p>
        </w:tc>
        <w:tc>
          <w:tcPr>
            <w:tcW w:w="0" w:type="auto"/>
            <w:gridSpan w:val="3"/>
            <w:vAlign w:val="center"/>
            <w:hideMark/>
          </w:tcPr>
          <w:p w14:paraId="5522C9A3" w14:textId="77777777" w:rsidR="00000000" w:rsidRDefault="00C1661D">
            <w:pPr>
              <w:spacing w:after="100"/>
              <w:rPr>
                <w:rFonts w:eastAsia="Times New Roman"/>
                <w:sz w:val="20"/>
                <w:szCs w:val="20"/>
              </w:rPr>
            </w:pPr>
          </w:p>
        </w:tc>
        <w:tc>
          <w:tcPr>
            <w:tcW w:w="0" w:type="auto"/>
            <w:gridSpan w:val="3"/>
            <w:vAlign w:val="center"/>
            <w:hideMark/>
          </w:tcPr>
          <w:p w14:paraId="329E605C" w14:textId="77777777" w:rsidR="00000000" w:rsidRDefault="00C1661D">
            <w:pPr>
              <w:spacing w:after="100"/>
              <w:rPr>
                <w:rFonts w:eastAsia="Times New Roman"/>
                <w:sz w:val="20"/>
                <w:szCs w:val="20"/>
              </w:rPr>
            </w:pPr>
          </w:p>
        </w:tc>
        <w:tc>
          <w:tcPr>
            <w:tcW w:w="0" w:type="auto"/>
            <w:gridSpan w:val="3"/>
            <w:vAlign w:val="center"/>
            <w:hideMark/>
          </w:tcPr>
          <w:p w14:paraId="00E383B7" w14:textId="77777777" w:rsidR="00000000" w:rsidRDefault="00C1661D">
            <w:pPr>
              <w:spacing w:after="100"/>
              <w:rPr>
                <w:rFonts w:eastAsia="Times New Roman"/>
                <w:sz w:val="20"/>
                <w:szCs w:val="20"/>
              </w:rPr>
            </w:pPr>
          </w:p>
        </w:tc>
        <w:tc>
          <w:tcPr>
            <w:tcW w:w="0" w:type="auto"/>
            <w:gridSpan w:val="3"/>
            <w:vAlign w:val="center"/>
            <w:hideMark/>
          </w:tcPr>
          <w:p w14:paraId="3340B23D" w14:textId="77777777" w:rsidR="00000000" w:rsidRDefault="00C1661D">
            <w:pPr>
              <w:spacing w:after="100"/>
              <w:rPr>
                <w:rFonts w:eastAsia="Times New Roman"/>
                <w:sz w:val="20"/>
                <w:szCs w:val="20"/>
              </w:rPr>
            </w:pPr>
          </w:p>
        </w:tc>
        <w:tc>
          <w:tcPr>
            <w:tcW w:w="0" w:type="auto"/>
            <w:gridSpan w:val="3"/>
            <w:vAlign w:val="center"/>
            <w:hideMark/>
          </w:tcPr>
          <w:p w14:paraId="54028ED3" w14:textId="77777777" w:rsidR="00000000" w:rsidRDefault="00C1661D">
            <w:pPr>
              <w:spacing w:after="100"/>
              <w:rPr>
                <w:rFonts w:eastAsia="Times New Roman"/>
                <w:sz w:val="20"/>
                <w:szCs w:val="20"/>
              </w:rPr>
            </w:pPr>
          </w:p>
        </w:tc>
      </w:tr>
      <w:tr w:rsidR="00000000" w14:paraId="57E70093" w14:textId="77777777">
        <w:tc>
          <w:tcPr>
            <w:tcW w:w="0" w:type="auto"/>
            <w:gridSpan w:val="3"/>
            <w:vAlign w:val="center"/>
            <w:hideMark/>
          </w:tcPr>
          <w:p w14:paraId="5F40B5B8" w14:textId="77777777" w:rsidR="00000000" w:rsidRDefault="00C1661D">
            <w:pPr>
              <w:spacing w:after="100"/>
              <w:rPr>
                <w:rFonts w:eastAsia="Times New Roman"/>
                <w:sz w:val="20"/>
                <w:szCs w:val="20"/>
              </w:rPr>
            </w:pPr>
          </w:p>
        </w:tc>
        <w:tc>
          <w:tcPr>
            <w:tcW w:w="0" w:type="auto"/>
            <w:gridSpan w:val="3"/>
            <w:vAlign w:val="center"/>
            <w:hideMark/>
          </w:tcPr>
          <w:p w14:paraId="50884DC1" w14:textId="77777777" w:rsidR="00000000" w:rsidRDefault="00C1661D">
            <w:pPr>
              <w:spacing w:after="100"/>
              <w:rPr>
                <w:rFonts w:eastAsia="Times New Roman"/>
                <w:sz w:val="20"/>
                <w:szCs w:val="20"/>
              </w:rPr>
            </w:pPr>
          </w:p>
        </w:tc>
        <w:tc>
          <w:tcPr>
            <w:tcW w:w="0" w:type="auto"/>
            <w:gridSpan w:val="3"/>
            <w:vAlign w:val="center"/>
            <w:hideMark/>
          </w:tcPr>
          <w:p w14:paraId="181BB85D" w14:textId="77777777" w:rsidR="00000000" w:rsidRDefault="00C1661D">
            <w:pPr>
              <w:spacing w:after="100"/>
              <w:rPr>
                <w:rFonts w:eastAsia="Times New Roman"/>
                <w:sz w:val="20"/>
                <w:szCs w:val="20"/>
              </w:rPr>
            </w:pPr>
          </w:p>
        </w:tc>
        <w:tc>
          <w:tcPr>
            <w:tcW w:w="0" w:type="auto"/>
            <w:gridSpan w:val="3"/>
            <w:vAlign w:val="center"/>
            <w:hideMark/>
          </w:tcPr>
          <w:p w14:paraId="7A7C73B1" w14:textId="77777777" w:rsidR="00000000" w:rsidRDefault="00C1661D">
            <w:pPr>
              <w:spacing w:after="100"/>
              <w:rPr>
                <w:rFonts w:eastAsia="Times New Roman"/>
                <w:sz w:val="20"/>
                <w:szCs w:val="20"/>
              </w:rPr>
            </w:pPr>
          </w:p>
        </w:tc>
        <w:tc>
          <w:tcPr>
            <w:tcW w:w="0" w:type="auto"/>
            <w:gridSpan w:val="3"/>
            <w:vAlign w:val="center"/>
            <w:hideMark/>
          </w:tcPr>
          <w:p w14:paraId="136F3814" w14:textId="77777777" w:rsidR="00000000" w:rsidRDefault="00C1661D">
            <w:pPr>
              <w:spacing w:after="100"/>
              <w:rPr>
                <w:rFonts w:eastAsia="Times New Roman"/>
                <w:sz w:val="20"/>
                <w:szCs w:val="20"/>
              </w:rPr>
            </w:pPr>
          </w:p>
        </w:tc>
        <w:tc>
          <w:tcPr>
            <w:tcW w:w="0" w:type="auto"/>
            <w:gridSpan w:val="3"/>
            <w:vAlign w:val="center"/>
            <w:hideMark/>
          </w:tcPr>
          <w:p w14:paraId="2CC70499" w14:textId="77777777" w:rsidR="00000000" w:rsidRDefault="00C1661D">
            <w:pPr>
              <w:spacing w:after="100"/>
              <w:rPr>
                <w:rFonts w:eastAsia="Times New Roman"/>
                <w:sz w:val="20"/>
                <w:szCs w:val="20"/>
              </w:rPr>
            </w:pPr>
          </w:p>
        </w:tc>
        <w:tc>
          <w:tcPr>
            <w:tcW w:w="0" w:type="auto"/>
            <w:gridSpan w:val="3"/>
            <w:vAlign w:val="center"/>
            <w:hideMark/>
          </w:tcPr>
          <w:p w14:paraId="6A08374C" w14:textId="77777777" w:rsidR="00000000" w:rsidRDefault="00C1661D">
            <w:pPr>
              <w:spacing w:after="100"/>
              <w:rPr>
                <w:rFonts w:eastAsia="Times New Roman"/>
                <w:sz w:val="20"/>
                <w:szCs w:val="20"/>
              </w:rPr>
            </w:pPr>
          </w:p>
        </w:tc>
        <w:tc>
          <w:tcPr>
            <w:tcW w:w="0" w:type="auto"/>
            <w:gridSpan w:val="3"/>
            <w:vAlign w:val="center"/>
            <w:hideMark/>
          </w:tcPr>
          <w:p w14:paraId="583E5705" w14:textId="77777777" w:rsidR="00000000" w:rsidRDefault="00C1661D">
            <w:pPr>
              <w:spacing w:after="100"/>
              <w:rPr>
                <w:rFonts w:eastAsia="Times New Roman"/>
                <w:sz w:val="20"/>
                <w:szCs w:val="20"/>
              </w:rPr>
            </w:pPr>
          </w:p>
        </w:tc>
        <w:tc>
          <w:tcPr>
            <w:tcW w:w="0" w:type="auto"/>
            <w:gridSpan w:val="3"/>
            <w:vAlign w:val="center"/>
            <w:hideMark/>
          </w:tcPr>
          <w:p w14:paraId="6A9D30AF" w14:textId="77777777" w:rsidR="00000000" w:rsidRDefault="00C1661D">
            <w:pPr>
              <w:spacing w:after="100"/>
              <w:rPr>
                <w:rFonts w:eastAsia="Times New Roman"/>
                <w:sz w:val="20"/>
                <w:szCs w:val="20"/>
              </w:rPr>
            </w:pPr>
          </w:p>
        </w:tc>
        <w:tc>
          <w:tcPr>
            <w:tcW w:w="0" w:type="auto"/>
            <w:gridSpan w:val="3"/>
            <w:vAlign w:val="center"/>
            <w:hideMark/>
          </w:tcPr>
          <w:p w14:paraId="2B61898F" w14:textId="77777777" w:rsidR="00000000" w:rsidRDefault="00C1661D">
            <w:pPr>
              <w:spacing w:after="100"/>
              <w:rPr>
                <w:rFonts w:eastAsia="Times New Roman"/>
                <w:sz w:val="20"/>
                <w:szCs w:val="20"/>
              </w:rPr>
            </w:pPr>
          </w:p>
        </w:tc>
      </w:tr>
    </w:tbl>
    <w:p w14:paraId="540DE822" w14:textId="77777777" w:rsidR="00000000" w:rsidRDefault="00C1661D">
      <w:pPr>
        <w:divId w:val="204298239"/>
        <w:rPr>
          <w:rFonts w:eastAsia="Times New Roman"/>
        </w:rPr>
      </w:pPr>
      <w:r>
        <w:rPr>
          <w:rFonts w:eastAsia="Times New Roman"/>
          <w:color w:val="000000"/>
          <w:sz w:val="20"/>
          <w:szCs w:val="20"/>
        </w:rPr>
        <w:t xml:space="preserve">(a) </w:t>
      </w:r>
      <w:r>
        <w:rPr>
          <w:rFonts w:eastAsia="Times New Roman"/>
          <w:color w:val="000000"/>
          <w:sz w:val="20"/>
          <w:szCs w:val="20"/>
        </w:rPr>
        <w:t>Level 1 investments within the fair value hierarchy.</w:t>
      </w:r>
    </w:p>
    <w:p w14:paraId="348F4D4C" w14:textId="77777777" w:rsidR="00000000" w:rsidRDefault="00C1661D">
      <w:pPr>
        <w:divId w:val="1756366634"/>
        <w:rPr>
          <w:rFonts w:eastAsia="Times New Roman"/>
        </w:rPr>
      </w:pPr>
      <w:r>
        <w:rPr>
          <w:rFonts w:eastAsia="Times New Roman"/>
          <w:color w:val="000000"/>
          <w:sz w:val="20"/>
          <w:szCs w:val="20"/>
        </w:rPr>
        <w:t>(b) Assets measured at NAV and therefore excluded from the fair value hierarchy.</w:t>
      </w:r>
    </w:p>
    <w:p w14:paraId="78953A7E" w14:textId="77777777" w:rsidR="00000000" w:rsidRDefault="00C1661D">
      <w:pPr>
        <w:ind w:hanging="360"/>
        <w:divId w:val="1395661732"/>
        <w:rPr>
          <w:rFonts w:eastAsia="Times New Roman"/>
        </w:rPr>
      </w:pPr>
    </w:p>
    <w:p w14:paraId="0FF1E478" w14:textId="77777777" w:rsidR="00000000" w:rsidRDefault="00C1661D">
      <w:pPr>
        <w:jc w:val="both"/>
        <w:rPr>
          <w:rFonts w:eastAsia="Times New Roman"/>
        </w:rPr>
      </w:pPr>
      <w:r>
        <w:rPr>
          <w:rFonts w:eastAsia="Times New Roman"/>
          <w:color w:val="000000"/>
          <w:sz w:val="20"/>
          <w:szCs w:val="20"/>
        </w:rPr>
        <w:t xml:space="preserve">The expected long-term rates of return on U.S. Pension Plans’ trust assets have been developed using a best estimate of </w:t>
      </w:r>
      <w:r>
        <w:rPr>
          <w:rFonts w:eastAsia="Times New Roman"/>
          <w:color w:val="000000"/>
          <w:sz w:val="20"/>
          <w:szCs w:val="20"/>
        </w:rPr>
        <w:t>expected returns, volatilities and correlations for each asset class. The estimates are based on historical capital market performance data and future expectations provided by independent consultants. Future expectations are determined by using simulations</w:t>
      </w:r>
      <w:r>
        <w:rPr>
          <w:rFonts w:eastAsia="Times New Roman"/>
          <w:color w:val="000000"/>
          <w:sz w:val="20"/>
          <w:szCs w:val="20"/>
        </w:rPr>
        <w:t xml:space="preserve"> that provide a wide range of scenarios of future market performance. The market conditions in these simulations consider the long-term relationships between equities and fixed income as well as current market conditions at the start of the simulation. The</w:t>
      </w:r>
      <w:r>
        <w:rPr>
          <w:rFonts w:eastAsia="Times New Roman"/>
          <w:color w:val="000000"/>
          <w:sz w:val="20"/>
          <w:szCs w:val="20"/>
        </w:rPr>
        <w:t xml:space="preserve"> expected rate begins with a risk-free rate of return with other factors being added such as inflation, duration, credit spreads and equity risk premiums. The rates of return derived from this process are applied to our target asset allocation to develop a</w:t>
      </w:r>
      <w:r>
        <w:rPr>
          <w:rFonts w:eastAsia="Times New Roman"/>
          <w:color w:val="000000"/>
          <w:sz w:val="20"/>
          <w:szCs w:val="20"/>
        </w:rPr>
        <w:t xml:space="preserve"> reasonable return assumption.</w:t>
      </w:r>
    </w:p>
    <w:p w14:paraId="4DD68A43" w14:textId="77777777" w:rsidR="00000000" w:rsidRDefault="00C1661D">
      <w:pPr>
        <w:jc w:val="both"/>
        <w:divId w:val="2079478606"/>
        <w:rPr>
          <w:rFonts w:eastAsia="Times New Roman"/>
        </w:rPr>
      </w:pPr>
      <w:r>
        <w:rPr>
          <w:rFonts w:eastAsia="Times New Roman"/>
          <w:b/>
          <w:bCs/>
          <w:color w:val="000000"/>
          <w:sz w:val="20"/>
          <w:szCs w:val="20"/>
        </w:rPr>
        <w:t>Defined Contribution Plans</w:t>
      </w:r>
    </w:p>
    <w:p w14:paraId="3A830ECC" w14:textId="77777777" w:rsidR="00000000" w:rsidRDefault="00C1661D">
      <w:pPr>
        <w:jc w:val="both"/>
        <w:divId w:val="2013756577"/>
        <w:rPr>
          <w:rFonts w:eastAsia="Times New Roman"/>
        </w:rPr>
      </w:pPr>
      <w:r>
        <w:rPr>
          <w:rFonts w:eastAsia="Times New Roman"/>
          <w:color w:val="000000"/>
          <w:sz w:val="20"/>
          <w:szCs w:val="20"/>
        </w:rPr>
        <w:t>We sponsor 401(k) savings plans for eligible employees of UGI and certain of UGI’s domestic subsidiaries. Generally, participants in these plans may contribute a portion of their compensation on eit</w:t>
      </w:r>
      <w:r>
        <w:rPr>
          <w:rFonts w:eastAsia="Times New Roman"/>
          <w:color w:val="000000"/>
          <w:sz w:val="20"/>
          <w:szCs w:val="20"/>
        </w:rPr>
        <w:t>her a before-tax basis, or on both a before-tax and after-tax basis. These plans also provide for employer matching contributions at various rates. The cost of benefits under the savings plans totaled $21 in Fiscal 2022, $21 in Fiscal 2021 and $21 in Fisca</w:t>
      </w:r>
      <w:r>
        <w:rPr>
          <w:rFonts w:eastAsia="Times New Roman"/>
          <w:color w:val="000000"/>
          <w:sz w:val="20"/>
          <w:szCs w:val="20"/>
        </w:rPr>
        <w:t>l 2020. The Company also sponsors certain nonqualified supplemental defined contribution executive retirement plans. These plans generally provide supplemental benefits to certain executives that would otherwise be provided under retirement plans but are p</w:t>
      </w:r>
      <w:r>
        <w:rPr>
          <w:rFonts w:eastAsia="Times New Roman"/>
          <w:color w:val="000000"/>
          <w:sz w:val="20"/>
          <w:szCs w:val="20"/>
        </w:rPr>
        <w:t>rohibited due to limitations imposed by the IRC. The Company makes payments to self-directed grantor trusts with respect to these supplemental defined contribution plans. Such payments during Fiscal 2022, Fiscal 2021 and Fiscal 2020 were not material. At S</w:t>
      </w:r>
      <w:r>
        <w:rPr>
          <w:rFonts w:eastAsia="Times New Roman"/>
          <w:color w:val="000000"/>
          <w:sz w:val="20"/>
          <w:szCs w:val="20"/>
        </w:rPr>
        <w:t>eptember 30, 2022 and 2021, the total fair values of these grantor trust investment assets, which amounts are included in “Other assets” on the Consolidated Balance Sheets, were $7 and $9, respectively.</w:t>
      </w:r>
    </w:p>
    <w:p w14:paraId="50DB7582" w14:textId="77777777" w:rsidR="00000000" w:rsidRDefault="00C1661D">
      <w:pPr>
        <w:jc w:val="both"/>
        <w:rPr>
          <w:rFonts w:eastAsia="Times New Roman"/>
        </w:rPr>
      </w:pPr>
    </w:p>
    <w:p w14:paraId="0E37EE6C" w14:textId="77777777" w:rsidR="00000000" w:rsidRDefault="00C1661D">
      <w:pPr>
        <w:jc w:val="center"/>
        <w:divId w:val="1219244109"/>
        <w:rPr>
          <w:rFonts w:eastAsia="Times New Roman"/>
        </w:rPr>
      </w:pPr>
      <w:r>
        <w:rPr>
          <w:rFonts w:eastAsia="Times New Roman"/>
          <w:color w:val="000000"/>
          <w:sz w:val="20"/>
          <w:szCs w:val="20"/>
        </w:rPr>
        <w:t>F-38</w:t>
      </w:r>
    </w:p>
    <w:p w14:paraId="12C251D2" w14:textId="77777777" w:rsidR="00000000" w:rsidRDefault="00C1661D">
      <w:pPr>
        <w:rPr>
          <w:rFonts w:eastAsia="Times New Roman"/>
        </w:rPr>
      </w:pPr>
      <w:r>
        <w:rPr>
          <w:rFonts w:eastAsia="Times New Roman"/>
        </w:rPr>
        <w:pict w14:anchorId="298323A6">
          <v:rect id="_x0000_i1151" style="width:0;height:1.5pt" o:hralign="center" o:hrstd="t" o:hr="t" fillcolor="#a0a0a0" stroked="f"/>
        </w:pict>
      </w:r>
    </w:p>
    <w:p w14:paraId="43C99BB0" w14:textId="77777777" w:rsidR="00000000" w:rsidRDefault="00C1661D">
      <w:pPr>
        <w:divId w:val="1279950171"/>
        <w:rPr>
          <w:rFonts w:eastAsia="Times New Roman"/>
        </w:rPr>
      </w:pPr>
      <w:hyperlink w:anchor="i3850c3c6c0104e42b9951aac2f16098a_7" w:history="1">
        <w:r>
          <w:rPr>
            <w:rStyle w:val="a3"/>
            <w:rFonts w:eastAsia="Times New Roman"/>
            <w:sz w:val="20"/>
            <w:szCs w:val="20"/>
          </w:rPr>
          <w:t>Table of Contents</w:t>
        </w:r>
      </w:hyperlink>
    </w:p>
    <w:p w14:paraId="286683D5" w14:textId="77777777" w:rsidR="00000000" w:rsidRDefault="00C1661D">
      <w:pPr>
        <w:divId w:val="872108165"/>
        <w:rPr>
          <w:rFonts w:eastAsia="Times New Roman"/>
        </w:rPr>
      </w:pPr>
      <w:r>
        <w:rPr>
          <w:rFonts w:eastAsia="Times New Roman"/>
          <w:b/>
          <w:bCs/>
          <w:color w:val="000000"/>
          <w:sz w:val="20"/>
          <w:szCs w:val="20"/>
        </w:rPr>
        <w:t>UGI Corporation and Subsidiaries</w:t>
      </w:r>
    </w:p>
    <w:p w14:paraId="7FDC547F" w14:textId="77777777" w:rsidR="00000000" w:rsidRDefault="00C1661D">
      <w:pPr>
        <w:divId w:val="622618291"/>
        <w:rPr>
          <w:rFonts w:eastAsia="Times New Roman"/>
        </w:rPr>
      </w:pPr>
      <w:r>
        <w:rPr>
          <w:rFonts w:eastAsia="Times New Roman"/>
          <w:b/>
          <w:bCs/>
          <w:color w:val="000000"/>
          <w:sz w:val="20"/>
          <w:szCs w:val="20"/>
        </w:rPr>
        <w:t>Notes to Consolidated Financial Statements</w:t>
      </w:r>
    </w:p>
    <w:p w14:paraId="42A28F56" w14:textId="77777777" w:rsidR="00000000" w:rsidRDefault="00C1661D">
      <w:pPr>
        <w:divId w:val="304093992"/>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14:paraId="7161B22D" w14:textId="77777777" w:rsidR="00000000" w:rsidRDefault="00C1661D">
      <w:pPr>
        <w:jc w:val="both"/>
        <w:rPr>
          <w:rFonts w:eastAsia="Times New Roman"/>
        </w:rPr>
      </w:pPr>
      <w:r>
        <w:rPr>
          <w:rFonts w:eastAsia="Times New Roman"/>
          <w:b/>
          <w:bCs/>
          <w:color w:val="000000"/>
          <w:sz w:val="20"/>
          <w:szCs w:val="20"/>
          <w:u w:val="single"/>
        </w:rPr>
        <w:t xml:space="preserve">Note 9 — Utility Regulatory Assets and Liabilities and Regulatory Matters </w:t>
      </w:r>
    </w:p>
    <w:p w14:paraId="4BFD63AE" w14:textId="77777777" w:rsidR="00000000" w:rsidRDefault="00C1661D">
      <w:pPr>
        <w:jc w:val="both"/>
        <w:divId w:val="1784957675"/>
        <w:rPr>
          <w:rFonts w:eastAsia="Times New Roman"/>
        </w:rPr>
      </w:pPr>
      <w:r>
        <w:rPr>
          <w:rFonts w:eastAsia="Times New Roman"/>
          <w:color w:val="000000"/>
          <w:sz w:val="20"/>
          <w:szCs w:val="20"/>
        </w:rPr>
        <w:t>The following regulatory assets and liabilities associated with our Utilities reportable segment are included in our Consolidated Balance Sheets at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9"/>
        <w:gridCol w:w="120"/>
        <w:gridCol w:w="921"/>
        <w:gridCol w:w="36"/>
        <w:gridCol w:w="36"/>
        <w:gridCol w:w="36"/>
        <w:gridCol w:w="36"/>
        <w:gridCol w:w="120"/>
        <w:gridCol w:w="885"/>
        <w:gridCol w:w="36"/>
      </w:tblGrid>
      <w:tr w:rsidR="00000000" w14:paraId="48765459" w14:textId="77777777">
        <w:trPr>
          <w:divId w:val="951325968"/>
        </w:trPr>
        <w:tc>
          <w:tcPr>
            <w:tcW w:w="50" w:type="pct"/>
            <w:vAlign w:val="center"/>
            <w:hideMark/>
          </w:tcPr>
          <w:p w14:paraId="52E5E373" w14:textId="77777777" w:rsidR="00000000" w:rsidRDefault="00C1661D">
            <w:pPr>
              <w:jc w:val="both"/>
              <w:rPr>
                <w:rFonts w:eastAsia="Times New Roman"/>
              </w:rPr>
            </w:pPr>
          </w:p>
        </w:tc>
        <w:tc>
          <w:tcPr>
            <w:tcW w:w="3634" w:type="pct"/>
            <w:vAlign w:val="center"/>
            <w:hideMark/>
          </w:tcPr>
          <w:p w14:paraId="5853996E" w14:textId="77777777" w:rsidR="00000000" w:rsidRDefault="00C1661D">
            <w:pPr>
              <w:spacing w:after="100"/>
              <w:rPr>
                <w:rFonts w:eastAsia="Times New Roman"/>
                <w:sz w:val="20"/>
                <w:szCs w:val="20"/>
              </w:rPr>
            </w:pPr>
          </w:p>
        </w:tc>
        <w:tc>
          <w:tcPr>
            <w:tcW w:w="5" w:type="pct"/>
            <w:vAlign w:val="center"/>
            <w:hideMark/>
          </w:tcPr>
          <w:p w14:paraId="1A31E4F5" w14:textId="77777777" w:rsidR="00000000" w:rsidRDefault="00C1661D">
            <w:pPr>
              <w:spacing w:after="100"/>
              <w:rPr>
                <w:rFonts w:eastAsia="Times New Roman"/>
                <w:sz w:val="20"/>
                <w:szCs w:val="20"/>
              </w:rPr>
            </w:pPr>
          </w:p>
        </w:tc>
        <w:tc>
          <w:tcPr>
            <w:tcW w:w="50" w:type="pct"/>
            <w:vAlign w:val="center"/>
            <w:hideMark/>
          </w:tcPr>
          <w:p w14:paraId="0729563C" w14:textId="77777777" w:rsidR="00000000" w:rsidRDefault="00C1661D">
            <w:pPr>
              <w:spacing w:after="100"/>
              <w:rPr>
                <w:rFonts w:eastAsia="Times New Roman"/>
                <w:sz w:val="20"/>
                <w:szCs w:val="20"/>
              </w:rPr>
            </w:pPr>
          </w:p>
        </w:tc>
        <w:tc>
          <w:tcPr>
            <w:tcW w:w="581" w:type="pct"/>
            <w:vAlign w:val="center"/>
            <w:hideMark/>
          </w:tcPr>
          <w:p w14:paraId="57DDFD5C" w14:textId="77777777" w:rsidR="00000000" w:rsidRDefault="00C1661D">
            <w:pPr>
              <w:spacing w:after="100"/>
              <w:rPr>
                <w:rFonts w:eastAsia="Times New Roman"/>
                <w:sz w:val="20"/>
                <w:szCs w:val="20"/>
              </w:rPr>
            </w:pPr>
          </w:p>
        </w:tc>
        <w:tc>
          <w:tcPr>
            <w:tcW w:w="5" w:type="pct"/>
            <w:vAlign w:val="center"/>
            <w:hideMark/>
          </w:tcPr>
          <w:p w14:paraId="7A4D89C9" w14:textId="77777777" w:rsidR="00000000" w:rsidRDefault="00C1661D">
            <w:pPr>
              <w:spacing w:after="100"/>
              <w:rPr>
                <w:rFonts w:eastAsia="Times New Roman"/>
                <w:sz w:val="20"/>
                <w:szCs w:val="20"/>
              </w:rPr>
            </w:pPr>
          </w:p>
        </w:tc>
        <w:tc>
          <w:tcPr>
            <w:tcW w:w="5" w:type="pct"/>
            <w:vAlign w:val="center"/>
            <w:hideMark/>
          </w:tcPr>
          <w:p w14:paraId="0BABDC48" w14:textId="77777777" w:rsidR="00000000" w:rsidRDefault="00C1661D">
            <w:pPr>
              <w:spacing w:after="100"/>
              <w:rPr>
                <w:rFonts w:eastAsia="Times New Roman"/>
                <w:sz w:val="20"/>
                <w:szCs w:val="20"/>
              </w:rPr>
            </w:pPr>
          </w:p>
        </w:tc>
        <w:tc>
          <w:tcPr>
            <w:tcW w:w="26" w:type="pct"/>
            <w:vAlign w:val="center"/>
            <w:hideMark/>
          </w:tcPr>
          <w:p w14:paraId="5B2E7E29" w14:textId="77777777" w:rsidR="00000000" w:rsidRDefault="00C1661D">
            <w:pPr>
              <w:spacing w:after="100"/>
              <w:rPr>
                <w:rFonts w:eastAsia="Times New Roman"/>
                <w:sz w:val="20"/>
                <w:szCs w:val="20"/>
              </w:rPr>
            </w:pPr>
          </w:p>
        </w:tc>
        <w:tc>
          <w:tcPr>
            <w:tcW w:w="5" w:type="pct"/>
            <w:vAlign w:val="center"/>
            <w:hideMark/>
          </w:tcPr>
          <w:p w14:paraId="21AADA17" w14:textId="77777777" w:rsidR="00000000" w:rsidRDefault="00C1661D">
            <w:pPr>
              <w:spacing w:after="100"/>
              <w:rPr>
                <w:rFonts w:eastAsia="Times New Roman"/>
                <w:sz w:val="20"/>
                <w:szCs w:val="20"/>
              </w:rPr>
            </w:pPr>
          </w:p>
        </w:tc>
        <w:tc>
          <w:tcPr>
            <w:tcW w:w="50" w:type="pct"/>
            <w:vAlign w:val="center"/>
            <w:hideMark/>
          </w:tcPr>
          <w:p w14:paraId="327D6D1D" w14:textId="77777777" w:rsidR="00000000" w:rsidRDefault="00C1661D">
            <w:pPr>
              <w:spacing w:after="100"/>
              <w:rPr>
                <w:rFonts w:eastAsia="Times New Roman"/>
                <w:sz w:val="20"/>
                <w:szCs w:val="20"/>
              </w:rPr>
            </w:pPr>
          </w:p>
        </w:tc>
        <w:tc>
          <w:tcPr>
            <w:tcW w:w="581" w:type="pct"/>
            <w:vAlign w:val="center"/>
            <w:hideMark/>
          </w:tcPr>
          <w:p w14:paraId="10CFB353" w14:textId="77777777" w:rsidR="00000000" w:rsidRDefault="00C1661D">
            <w:pPr>
              <w:spacing w:after="100"/>
              <w:rPr>
                <w:rFonts w:eastAsia="Times New Roman"/>
                <w:sz w:val="20"/>
                <w:szCs w:val="20"/>
              </w:rPr>
            </w:pPr>
          </w:p>
        </w:tc>
        <w:tc>
          <w:tcPr>
            <w:tcW w:w="5" w:type="pct"/>
            <w:vAlign w:val="center"/>
            <w:hideMark/>
          </w:tcPr>
          <w:p w14:paraId="0B1F3D10" w14:textId="77777777" w:rsidR="00000000" w:rsidRDefault="00C1661D">
            <w:pPr>
              <w:spacing w:after="100"/>
              <w:rPr>
                <w:rFonts w:eastAsia="Times New Roman"/>
                <w:sz w:val="20"/>
                <w:szCs w:val="20"/>
              </w:rPr>
            </w:pPr>
          </w:p>
        </w:tc>
      </w:tr>
      <w:tr w:rsidR="00000000" w14:paraId="28A37BBF" w14:textId="77777777">
        <w:trPr>
          <w:divId w:val="951325968"/>
        </w:trPr>
        <w:tc>
          <w:tcPr>
            <w:tcW w:w="0" w:type="auto"/>
            <w:gridSpan w:val="3"/>
            <w:tcMar>
              <w:top w:w="0" w:type="dxa"/>
              <w:left w:w="20" w:type="dxa"/>
              <w:bottom w:w="0" w:type="dxa"/>
              <w:right w:w="20" w:type="dxa"/>
            </w:tcMar>
            <w:vAlign w:val="center"/>
            <w:hideMark/>
          </w:tcPr>
          <w:p w14:paraId="7E8EA362"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11EEAA0"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5A1BD810"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93CB2C7" w14:textId="77777777" w:rsidR="00000000" w:rsidRDefault="00C1661D">
            <w:pPr>
              <w:spacing w:after="100"/>
              <w:jc w:val="center"/>
              <w:rPr>
                <w:rFonts w:eastAsia="Times New Roman"/>
              </w:rPr>
            </w:pPr>
            <w:r>
              <w:rPr>
                <w:rFonts w:eastAsia="Times New Roman"/>
                <w:color w:val="000000"/>
                <w:sz w:val="20"/>
                <w:szCs w:val="20"/>
              </w:rPr>
              <w:t>2021</w:t>
            </w:r>
          </w:p>
        </w:tc>
      </w:tr>
      <w:tr w:rsidR="00000000" w14:paraId="1C17C346" w14:textId="77777777">
        <w:trPr>
          <w:divId w:val="951325968"/>
        </w:trPr>
        <w:tc>
          <w:tcPr>
            <w:tcW w:w="0" w:type="auto"/>
            <w:gridSpan w:val="3"/>
            <w:shd w:val="clear" w:color="auto" w:fill="CCEEFF"/>
            <w:tcMar>
              <w:top w:w="30" w:type="dxa"/>
              <w:left w:w="20" w:type="dxa"/>
              <w:bottom w:w="30" w:type="dxa"/>
              <w:right w:w="20" w:type="dxa"/>
            </w:tcMar>
            <w:vAlign w:val="bottom"/>
            <w:hideMark/>
          </w:tcPr>
          <w:p w14:paraId="22CF272E" w14:textId="77777777" w:rsidR="00000000" w:rsidRDefault="00C1661D">
            <w:pPr>
              <w:spacing w:after="100"/>
              <w:rPr>
                <w:rFonts w:eastAsia="Times New Roman"/>
              </w:rPr>
            </w:pPr>
            <w:r>
              <w:rPr>
                <w:rFonts w:eastAsia="Times New Roman"/>
                <w:b/>
                <w:bCs/>
                <w:color w:val="000000"/>
                <w:sz w:val="20"/>
                <w:szCs w:val="20"/>
              </w:rPr>
              <w:t>Regulatory assets (a):</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01ECC8F"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89A29F2"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D47F1E6" w14:textId="77777777" w:rsidR="00000000" w:rsidRDefault="00C1661D">
            <w:pPr>
              <w:spacing w:after="100"/>
              <w:rPr>
                <w:rFonts w:eastAsia="Times New Roman"/>
              </w:rPr>
            </w:pPr>
            <w:r>
              <w:rPr>
                <w:rFonts w:eastAsia="Times New Roman"/>
                <w:color w:val="000000"/>
                <w:sz w:val="20"/>
                <w:szCs w:val="20"/>
              </w:rPr>
              <w:t> </w:t>
            </w:r>
          </w:p>
        </w:tc>
      </w:tr>
      <w:tr w:rsidR="00000000" w14:paraId="44E645B5" w14:textId="77777777">
        <w:trPr>
          <w:divId w:val="951325968"/>
        </w:trPr>
        <w:tc>
          <w:tcPr>
            <w:tcW w:w="0" w:type="auto"/>
            <w:gridSpan w:val="3"/>
            <w:shd w:val="clear" w:color="auto" w:fill="FFFFFF"/>
            <w:tcMar>
              <w:top w:w="30" w:type="dxa"/>
              <w:left w:w="155" w:type="dxa"/>
              <w:bottom w:w="30" w:type="dxa"/>
              <w:right w:w="20" w:type="dxa"/>
            </w:tcMar>
            <w:vAlign w:val="bottom"/>
            <w:hideMark/>
          </w:tcPr>
          <w:p w14:paraId="56AB092E" w14:textId="77777777" w:rsidR="00000000" w:rsidRDefault="00C1661D">
            <w:pPr>
              <w:spacing w:after="100"/>
              <w:rPr>
                <w:rFonts w:eastAsia="Times New Roman"/>
              </w:rPr>
            </w:pPr>
            <w:r>
              <w:rPr>
                <w:rFonts w:eastAsia="Times New Roman"/>
                <w:color w:val="000000"/>
                <w:sz w:val="20"/>
                <w:szCs w:val="20"/>
              </w:rPr>
              <w:t>Income taxes recoverable</w:t>
            </w:r>
          </w:p>
        </w:tc>
        <w:tc>
          <w:tcPr>
            <w:tcW w:w="0" w:type="auto"/>
            <w:shd w:val="clear" w:color="auto" w:fill="FFFFFF"/>
            <w:tcMar>
              <w:top w:w="30" w:type="dxa"/>
              <w:left w:w="20" w:type="dxa"/>
              <w:bottom w:w="30" w:type="dxa"/>
              <w:right w:w="0" w:type="dxa"/>
            </w:tcMar>
            <w:vAlign w:val="bottom"/>
            <w:hideMark/>
          </w:tcPr>
          <w:p w14:paraId="7A8BFEC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7B9122B" w14:textId="77777777" w:rsidR="00000000" w:rsidRDefault="00C1661D">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14:paraId="41FAF6B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D8281E"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87EBF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74B0EF" w14:textId="77777777" w:rsidR="00000000" w:rsidRDefault="00C1661D">
            <w:pPr>
              <w:spacing w:after="100"/>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14:paraId="62B495DE" w14:textId="77777777" w:rsidR="00000000" w:rsidRDefault="00C1661D">
            <w:pPr>
              <w:spacing w:after="100"/>
              <w:jc w:val="right"/>
              <w:rPr>
                <w:rFonts w:eastAsia="Times New Roman"/>
              </w:rPr>
            </w:pPr>
          </w:p>
        </w:tc>
      </w:tr>
      <w:tr w:rsidR="00000000" w14:paraId="2B4C567B" w14:textId="77777777">
        <w:trPr>
          <w:divId w:val="951325968"/>
        </w:trPr>
        <w:tc>
          <w:tcPr>
            <w:tcW w:w="0" w:type="auto"/>
            <w:gridSpan w:val="3"/>
            <w:shd w:val="clear" w:color="auto" w:fill="CCEEFF"/>
            <w:tcMar>
              <w:top w:w="30" w:type="dxa"/>
              <w:left w:w="155" w:type="dxa"/>
              <w:bottom w:w="30" w:type="dxa"/>
              <w:right w:w="20" w:type="dxa"/>
            </w:tcMar>
            <w:vAlign w:val="bottom"/>
            <w:hideMark/>
          </w:tcPr>
          <w:p w14:paraId="510D0559" w14:textId="77777777" w:rsidR="00000000" w:rsidRDefault="00C1661D">
            <w:pPr>
              <w:spacing w:after="100"/>
              <w:rPr>
                <w:rFonts w:eastAsia="Times New Roman"/>
              </w:rPr>
            </w:pPr>
            <w:r>
              <w:rPr>
                <w:rFonts w:eastAsia="Times New Roman"/>
                <w:color w:val="000000"/>
                <w:sz w:val="20"/>
                <w:szCs w:val="20"/>
              </w:rPr>
              <w:t>Underfunded pension plans</w:t>
            </w:r>
          </w:p>
        </w:tc>
        <w:tc>
          <w:tcPr>
            <w:tcW w:w="0" w:type="auto"/>
            <w:gridSpan w:val="2"/>
            <w:shd w:val="clear" w:color="auto" w:fill="CCEEFF"/>
            <w:tcMar>
              <w:top w:w="30" w:type="dxa"/>
              <w:left w:w="20" w:type="dxa"/>
              <w:bottom w:w="30" w:type="dxa"/>
              <w:right w:w="0" w:type="dxa"/>
            </w:tcMar>
            <w:vAlign w:val="bottom"/>
            <w:hideMark/>
          </w:tcPr>
          <w:p w14:paraId="7B9303F1" w14:textId="77777777" w:rsidR="00000000" w:rsidRDefault="00C1661D">
            <w:pPr>
              <w:spacing w:after="100"/>
              <w:jc w:val="right"/>
              <w:rPr>
                <w:rFonts w:eastAsia="Times New Roman"/>
              </w:rPr>
            </w:pPr>
            <w:r>
              <w:rPr>
                <w:rFonts w:eastAsia="Times New Roman"/>
                <w:color w:val="000000"/>
                <w:sz w:val="20"/>
                <w:szCs w:val="20"/>
              </w:rPr>
              <w:t>114 </w:t>
            </w:r>
          </w:p>
        </w:tc>
        <w:tc>
          <w:tcPr>
            <w:tcW w:w="0" w:type="auto"/>
            <w:shd w:val="clear" w:color="auto" w:fill="CCEEFF"/>
            <w:tcMar>
              <w:top w:w="30" w:type="dxa"/>
              <w:left w:w="0" w:type="dxa"/>
              <w:bottom w:w="30" w:type="dxa"/>
              <w:right w:w="20" w:type="dxa"/>
            </w:tcMar>
            <w:vAlign w:val="bottom"/>
            <w:hideMark/>
          </w:tcPr>
          <w:p w14:paraId="520B21D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1F427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4518D6" w14:textId="77777777" w:rsidR="00000000" w:rsidRDefault="00C1661D">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14:paraId="67D68229" w14:textId="77777777" w:rsidR="00000000" w:rsidRDefault="00C1661D">
            <w:pPr>
              <w:spacing w:after="100"/>
              <w:jc w:val="right"/>
              <w:rPr>
                <w:rFonts w:eastAsia="Times New Roman"/>
              </w:rPr>
            </w:pPr>
          </w:p>
        </w:tc>
      </w:tr>
      <w:tr w:rsidR="00000000" w14:paraId="4E020ED7" w14:textId="77777777">
        <w:trPr>
          <w:divId w:val="951325968"/>
        </w:trPr>
        <w:tc>
          <w:tcPr>
            <w:tcW w:w="0" w:type="auto"/>
            <w:gridSpan w:val="3"/>
            <w:shd w:val="clear" w:color="auto" w:fill="FFFFFF"/>
            <w:tcMar>
              <w:top w:w="30" w:type="dxa"/>
              <w:left w:w="155" w:type="dxa"/>
              <w:bottom w:w="30" w:type="dxa"/>
              <w:right w:w="20" w:type="dxa"/>
            </w:tcMar>
            <w:vAlign w:val="bottom"/>
            <w:hideMark/>
          </w:tcPr>
          <w:p w14:paraId="2A9E82A1" w14:textId="77777777" w:rsidR="00000000" w:rsidRDefault="00C1661D">
            <w:pPr>
              <w:spacing w:after="100"/>
              <w:rPr>
                <w:rFonts w:eastAsia="Times New Roman"/>
              </w:rPr>
            </w:pPr>
            <w:r>
              <w:rPr>
                <w:rFonts w:eastAsia="Times New Roman"/>
                <w:color w:val="000000"/>
                <w:sz w:val="20"/>
                <w:szCs w:val="20"/>
              </w:rPr>
              <w:t>Environmental costs</w:t>
            </w:r>
          </w:p>
        </w:tc>
        <w:tc>
          <w:tcPr>
            <w:tcW w:w="0" w:type="auto"/>
            <w:gridSpan w:val="2"/>
            <w:shd w:val="clear" w:color="auto" w:fill="FFFFFF"/>
            <w:tcMar>
              <w:top w:w="30" w:type="dxa"/>
              <w:left w:w="20" w:type="dxa"/>
              <w:bottom w:w="30" w:type="dxa"/>
              <w:right w:w="0" w:type="dxa"/>
            </w:tcMar>
            <w:vAlign w:val="bottom"/>
            <w:hideMark/>
          </w:tcPr>
          <w:p w14:paraId="1E061B14" w14:textId="77777777" w:rsidR="00000000" w:rsidRDefault="00C1661D">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6B4997C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5041A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F44CE8" w14:textId="77777777" w:rsidR="00000000" w:rsidRDefault="00C1661D">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14:paraId="7D374FEC" w14:textId="77777777" w:rsidR="00000000" w:rsidRDefault="00C1661D">
            <w:pPr>
              <w:spacing w:after="100"/>
              <w:jc w:val="right"/>
              <w:rPr>
                <w:rFonts w:eastAsia="Times New Roman"/>
              </w:rPr>
            </w:pPr>
          </w:p>
        </w:tc>
      </w:tr>
      <w:tr w:rsidR="00000000" w14:paraId="10B37767" w14:textId="77777777">
        <w:trPr>
          <w:divId w:val="951325968"/>
        </w:trPr>
        <w:tc>
          <w:tcPr>
            <w:tcW w:w="0" w:type="auto"/>
            <w:gridSpan w:val="3"/>
            <w:shd w:val="clear" w:color="auto" w:fill="CCEEFF"/>
            <w:tcMar>
              <w:top w:w="30" w:type="dxa"/>
              <w:left w:w="155" w:type="dxa"/>
              <w:bottom w:w="30" w:type="dxa"/>
              <w:right w:w="20" w:type="dxa"/>
            </w:tcMar>
            <w:vAlign w:val="bottom"/>
            <w:hideMark/>
          </w:tcPr>
          <w:p w14:paraId="40001C8E" w14:textId="77777777" w:rsidR="00000000" w:rsidRDefault="00C1661D">
            <w:pPr>
              <w:spacing w:after="100"/>
              <w:rPr>
                <w:rFonts w:eastAsia="Times New Roman"/>
              </w:rPr>
            </w:pPr>
            <w:r>
              <w:rPr>
                <w:rFonts w:eastAsia="Times New Roman"/>
                <w:color w:val="000000"/>
                <w:sz w:val="20"/>
                <w:szCs w:val="20"/>
              </w:rPr>
              <w:t>Deferred fuel and power costs</w:t>
            </w:r>
          </w:p>
        </w:tc>
        <w:tc>
          <w:tcPr>
            <w:tcW w:w="0" w:type="auto"/>
            <w:gridSpan w:val="2"/>
            <w:shd w:val="clear" w:color="auto" w:fill="CCEEFF"/>
            <w:tcMar>
              <w:top w:w="30" w:type="dxa"/>
              <w:left w:w="20" w:type="dxa"/>
              <w:bottom w:w="30" w:type="dxa"/>
              <w:right w:w="0" w:type="dxa"/>
            </w:tcMar>
            <w:vAlign w:val="bottom"/>
            <w:hideMark/>
          </w:tcPr>
          <w:p w14:paraId="5F54543E" w14:textId="77777777" w:rsidR="00000000" w:rsidRDefault="00C1661D">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14:paraId="4130B48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89748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47692F" w14:textId="77777777" w:rsidR="00000000" w:rsidRDefault="00C1661D">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569AEE43" w14:textId="77777777" w:rsidR="00000000" w:rsidRDefault="00C1661D">
            <w:pPr>
              <w:spacing w:after="100"/>
              <w:jc w:val="right"/>
              <w:rPr>
                <w:rFonts w:eastAsia="Times New Roman"/>
              </w:rPr>
            </w:pPr>
          </w:p>
        </w:tc>
      </w:tr>
      <w:tr w:rsidR="00000000" w14:paraId="605C3530" w14:textId="77777777">
        <w:trPr>
          <w:divId w:val="951325968"/>
        </w:trPr>
        <w:tc>
          <w:tcPr>
            <w:tcW w:w="0" w:type="auto"/>
            <w:gridSpan w:val="3"/>
            <w:shd w:val="clear" w:color="auto" w:fill="FFFFFF"/>
            <w:tcMar>
              <w:top w:w="30" w:type="dxa"/>
              <w:left w:w="155" w:type="dxa"/>
              <w:bottom w:w="30" w:type="dxa"/>
              <w:right w:w="20" w:type="dxa"/>
            </w:tcMar>
            <w:vAlign w:val="bottom"/>
            <w:hideMark/>
          </w:tcPr>
          <w:p w14:paraId="4FF875F2" w14:textId="77777777" w:rsidR="00000000" w:rsidRDefault="00C1661D">
            <w:pPr>
              <w:spacing w:after="100"/>
              <w:rPr>
                <w:rFonts w:eastAsia="Times New Roman"/>
              </w:rPr>
            </w:pPr>
            <w:r>
              <w:rPr>
                <w:rFonts w:eastAsia="Times New Roman"/>
                <w:color w:val="000000"/>
                <w:sz w:val="20"/>
                <w:szCs w:val="20"/>
              </w:rPr>
              <w:t>Removal costs, net</w:t>
            </w:r>
          </w:p>
        </w:tc>
        <w:tc>
          <w:tcPr>
            <w:tcW w:w="0" w:type="auto"/>
            <w:gridSpan w:val="2"/>
            <w:shd w:val="clear" w:color="auto" w:fill="FFFFFF"/>
            <w:tcMar>
              <w:top w:w="30" w:type="dxa"/>
              <w:left w:w="20" w:type="dxa"/>
              <w:bottom w:w="30" w:type="dxa"/>
              <w:right w:w="0" w:type="dxa"/>
            </w:tcMar>
            <w:vAlign w:val="bottom"/>
            <w:hideMark/>
          </w:tcPr>
          <w:p w14:paraId="09D1A25A" w14:textId="77777777" w:rsidR="00000000" w:rsidRDefault="00C1661D">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14:paraId="4A4E1D9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D18A2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AE271A" w14:textId="77777777" w:rsidR="00000000" w:rsidRDefault="00C1661D">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0A1EF2FB" w14:textId="77777777" w:rsidR="00000000" w:rsidRDefault="00C1661D">
            <w:pPr>
              <w:spacing w:after="100"/>
              <w:jc w:val="right"/>
              <w:rPr>
                <w:rFonts w:eastAsia="Times New Roman"/>
              </w:rPr>
            </w:pPr>
          </w:p>
        </w:tc>
      </w:tr>
      <w:tr w:rsidR="00000000" w14:paraId="35A2D4E2" w14:textId="77777777">
        <w:trPr>
          <w:divId w:val="951325968"/>
        </w:trPr>
        <w:tc>
          <w:tcPr>
            <w:tcW w:w="0" w:type="auto"/>
            <w:gridSpan w:val="3"/>
            <w:shd w:val="clear" w:color="auto" w:fill="CCEEFF"/>
            <w:tcMar>
              <w:top w:w="30" w:type="dxa"/>
              <w:left w:w="155" w:type="dxa"/>
              <w:bottom w:w="30" w:type="dxa"/>
              <w:right w:w="20" w:type="dxa"/>
            </w:tcMar>
            <w:vAlign w:val="bottom"/>
            <w:hideMark/>
          </w:tcPr>
          <w:p w14:paraId="4C716082" w14:textId="77777777" w:rsidR="00000000" w:rsidRDefault="00C1661D">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34902E8C" w14:textId="77777777" w:rsidR="00000000" w:rsidRDefault="00C1661D">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14:paraId="1A568A1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FCC7B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874B4A" w14:textId="77777777" w:rsidR="00000000" w:rsidRDefault="00C1661D">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14:paraId="1160477A" w14:textId="77777777" w:rsidR="00000000" w:rsidRDefault="00C1661D">
            <w:pPr>
              <w:spacing w:after="100"/>
              <w:jc w:val="right"/>
              <w:rPr>
                <w:rFonts w:eastAsia="Times New Roman"/>
              </w:rPr>
            </w:pPr>
          </w:p>
        </w:tc>
      </w:tr>
      <w:tr w:rsidR="00000000" w14:paraId="69D0AFA9" w14:textId="77777777">
        <w:trPr>
          <w:divId w:val="951325968"/>
        </w:trPr>
        <w:tc>
          <w:tcPr>
            <w:tcW w:w="0" w:type="auto"/>
            <w:gridSpan w:val="3"/>
            <w:shd w:val="clear" w:color="auto" w:fill="FFFFFF"/>
            <w:tcMar>
              <w:top w:w="30" w:type="dxa"/>
              <w:left w:w="20" w:type="dxa"/>
              <w:bottom w:w="30" w:type="dxa"/>
              <w:right w:w="20" w:type="dxa"/>
            </w:tcMar>
            <w:vAlign w:val="bottom"/>
            <w:hideMark/>
          </w:tcPr>
          <w:p w14:paraId="42CDB978" w14:textId="77777777" w:rsidR="00000000" w:rsidRDefault="00C1661D">
            <w:pPr>
              <w:spacing w:after="100"/>
              <w:rPr>
                <w:rFonts w:eastAsia="Times New Roman"/>
              </w:rPr>
            </w:pPr>
            <w:r>
              <w:rPr>
                <w:rFonts w:eastAsia="Times New Roman"/>
                <w:color w:val="000000"/>
                <w:sz w:val="20"/>
                <w:szCs w:val="20"/>
              </w:rPr>
              <w:t>Total regulatory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951027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3D963B4" w14:textId="77777777" w:rsidR="00000000" w:rsidRDefault="00C1661D">
            <w:pPr>
              <w:spacing w:after="100"/>
              <w:jc w:val="right"/>
              <w:rPr>
                <w:rFonts w:eastAsia="Times New Roman"/>
              </w:rPr>
            </w:pPr>
            <w:r>
              <w:rPr>
                <w:rFonts w:eastAsia="Times New Roman"/>
                <w:color w:val="000000"/>
                <w:sz w:val="20"/>
                <w:szCs w:val="20"/>
              </w:rPr>
              <w:t>340 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D2D89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CCF247"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5774F3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D266DAF" w14:textId="77777777" w:rsidR="00000000" w:rsidRDefault="00C1661D">
            <w:pPr>
              <w:spacing w:after="100"/>
              <w:jc w:val="right"/>
              <w:rPr>
                <w:rFonts w:eastAsia="Times New Roman"/>
              </w:rPr>
            </w:pPr>
            <w:r>
              <w:rPr>
                <w:rFonts w:eastAsia="Times New Roman"/>
                <w:color w:val="000000"/>
                <w:sz w:val="20"/>
                <w:szCs w:val="20"/>
              </w:rPr>
              <w:t>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4AACB7" w14:textId="77777777" w:rsidR="00000000" w:rsidRDefault="00C1661D">
            <w:pPr>
              <w:spacing w:after="100"/>
              <w:jc w:val="right"/>
              <w:rPr>
                <w:rFonts w:eastAsia="Times New Roman"/>
              </w:rPr>
            </w:pPr>
          </w:p>
        </w:tc>
      </w:tr>
      <w:tr w:rsidR="00000000" w14:paraId="1C98FF38" w14:textId="77777777">
        <w:trPr>
          <w:divId w:val="951325968"/>
        </w:trPr>
        <w:tc>
          <w:tcPr>
            <w:tcW w:w="0" w:type="auto"/>
            <w:gridSpan w:val="3"/>
            <w:shd w:val="clear" w:color="auto" w:fill="CCEEFF"/>
            <w:tcMar>
              <w:top w:w="30" w:type="dxa"/>
              <w:left w:w="20" w:type="dxa"/>
              <w:bottom w:w="30" w:type="dxa"/>
              <w:right w:w="20" w:type="dxa"/>
            </w:tcMar>
            <w:vAlign w:val="bottom"/>
            <w:hideMark/>
          </w:tcPr>
          <w:p w14:paraId="05EFD5AB" w14:textId="77777777" w:rsidR="00000000" w:rsidRDefault="00C1661D">
            <w:pPr>
              <w:spacing w:after="100"/>
              <w:rPr>
                <w:rFonts w:eastAsia="Times New Roman"/>
              </w:rPr>
            </w:pPr>
            <w:r>
              <w:rPr>
                <w:rFonts w:eastAsia="Times New Roman"/>
                <w:b/>
                <w:bCs/>
                <w:color w:val="000000"/>
                <w:sz w:val="20"/>
                <w:szCs w:val="20"/>
              </w:rPr>
              <w:t>Regulatory liabilities (a):</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CE4AA7B"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B6D14B6" w14:textId="77777777" w:rsidR="00000000" w:rsidRDefault="00C1661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2C076C4" w14:textId="77777777" w:rsidR="00000000" w:rsidRDefault="00C1661D">
            <w:pPr>
              <w:spacing w:after="100"/>
              <w:rPr>
                <w:rFonts w:eastAsia="Times New Roman"/>
              </w:rPr>
            </w:pPr>
            <w:r>
              <w:rPr>
                <w:rFonts w:eastAsia="Times New Roman"/>
                <w:color w:val="000000"/>
                <w:sz w:val="20"/>
                <w:szCs w:val="20"/>
              </w:rPr>
              <w:t> </w:t>
            </w:r>
          </w:p>
        </w:tc>
      </w:tr>
      <w:tr w:rsidR="00000000" w14:paraId="383E1DF1" w14:textId="77777777">
        <w:trPr>
          <w:divId w:val="951325968"/>
        </w:trPr>
        <w:tc>
          <w:tcPr>
            <w:tcW w:w="0" w:type="auto"/>
            <w:gridSpan w:val="3"/>
            <w:shd w:val="clear" w:color="auto" w:fill="FFFFFF"/>
            <w:tcMar>
              <w:top w:w="30" w:type="dxa"/>
              <w:left w:w="155" w:type="dxa"/>
              <w:bottom w:w="30" w:type="dxa"/>
              <w:right w:w="20" w:type="dxa"/>
            </w:tcMar>
            <w:vAlign w:val="bottom"/>
            <w:hideMark/>
          </w:tcPr>
          <w:p w14:paraId="3483BBCB" w14:textId="77777777" w:rsidR="00000000" w:rsidRDefault="00C1661D">
            <w:pPr>
              <w:spacing w:after="100"/>
              <w:rPr>
                <w:rFonts w:eastAsia="Times New Roman"/>
              </w:rPr>
            </w:pPr>
            <w:r>
              <w:rPr>
                <w:rFonts w:eastAsia="Times New Roman"/>
                <w:color w:val="000000"/>
                <w:sz w:val="20"/>
                <w:szCs w:val="20"/>
              </w:rPr>
              <w:t>Postretirement benefits</w:t>
            </w:r>
          </w:p>
        </w:tc>
        <w:tc>
          <w:tcPr>
            <w:tcW w:w="0" w:type="auto"/>
            <w:shd w:val="clear" w:color="auto" w:fill="FFFFFF"/>
            <w:tcMar>
              <w:top w:w="30" w:type="dxa"/>
              <w:left w:w="20" w:type="dxa"/>
              <w:bottom w:w="30" w:type="dxa"/>
              <w:right w:w="0" w:type="dxa"/>
            </w:tcMar>
            <w:vAlign w:val="bottom"/>
            <w:hideMark/>
          </w:tcPr>
          <w:p w14:paraId="3CC83A4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870A655" w14:textId="77777777" w:rsidR="00000000" w:rsidRDefault="00C1661D">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44AA045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541F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6F873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BA2A8C2" w14:textId="77777777" w:rsidR="00000000" w:rsidRDefault="00C1661D">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2A3116A2" w14:textId="77777777" w:rsidR="00000000" w:rsidRDefault="00C1661D">
            <w:pPr>
              <w:spacing w:after="100"/>
              <w:jc w:val="right"/>
              <w:rPr>
                <w:rFonts w:eastAsia="Times New Roman"/>
              </w:rPr>
            </w:pPr>
          </w:p>
        </w:tc>
      </w:tr>
      <w:tr w:rsidR="00000000" w14:paraId="06B7BDE2" w14:textId="77777777">
        <w:trPr>
          <w:divId w:val="951325968"/>
        </w:trPr>
        <w:tc>
          <w:tcPr>
            <w:tcW w:w="0" w:type="auto"/>
            <w:gridSpan w:val="3"/>
            <w:vAlign w:val="center"/>
            <w:hideMark/>
          </w:tcPr>
          <w:p w14:paraId="420F7F44" w14:textId="77777777" w:rsidR="00000000" w:rsidRDefault="00C1661D">
            <w:pPr>
              <w:spacing w:after="100"/>
              <w:jc w:val="right"/>
              <w:rPr>
                <w:rFonts w:eastAsia="Times New Roman"/>
                <w:sz w:val="20"/>
                <w:szCs w:val="20"/>
              </w:rPr>
            </w:pPr>
          </w:p>
        </w:tc>
        <w:tc>
          <w:tcPr>
            <w:tcW w:w="0" w:type="auto"/>
            <w:gridSpan w:val="3"/>
            <w:vAlign w:val="center"/>
            <w:hideMark/>
          </w:tcPr>
          <w:p w14:paraId="67922FF0" w14:textId="77777777" w:rsidR="00000000" w:rsidRDefault="00C1661D">
            <w:pPr>
              <w:spacing w:after="100"/>
              <w:rPr>
                <w:rFonts w:eastAsia="Times New Roman"/>
                <w:sz w:val="20"/>
                <w:szCs w:val="20"/>
              </w:rPr>
            </w:pPr>
          </w:p>
        </w:tc>
        <w:tc>
          <w:tcPr>
            <w:tcW w:w="0" w:type="auto"/>
            <w:gridSpan w:val="3"/>
            <w:vAlign w:val="center"/>
            <w:hideMark/>
          </w:tcPr>
          <w:p w14:paraId="6E45FB07" w14:textId="77777777" w:rsidR="00000000" w:rsidRDefault="00C1661D">
            <w:pPr>
              <w:spacing w:after="100"/>
              <w:rPr>
                <w:rFonts w:eastAsia="Times New Roman"/>
                <w:sz w:val="20"/>
                <w:szCs w:val="20"/>
              </w:rPr>
            </w:pPr>
          </w:p>
        </w:tc>
        <w:tc>
          <w:tcPr>
            <w:tcW w:w="0" w:type="auto"/>
            <w:gridSpan w:val="3"/>
            <w:vAlign w:val="center"/>
            <w:hideMark/>
          </w:tcPr>
          <w:p w14:paraId="0DBC2A84" w14:textId="77777777" w:rsidR="00000000" w:rsidRDefault="00C1661D">
            <w:pPr>
              <w:spacing w:after="100"/>
              <w:rPr>
                <w:rFonts w:eastAsia="Times New Roman"/>
                <w:sz w:val="20"/>
                <w:szCs w:val="20"/>
              </w:rPr>
            </w:pPr>
          </w:p>
        </w:tc>
      </w:tr>
      <w:tr w:rsidR="00000000" w14:paraId="31D5B6F8" w14:textId="77777777">
        <w:trPr>
          <w:divId w:val="951325968"/>
        </w:trPr>
        <w:tc>
          <w:tcPr>
            <w:tcW w:w="0" w:type="auto"/>
            <w:gridSpan w:val="3"/>
            <w:shd w:val="clear" w:color="auto" w:fill="CCEEFF"/>
            <w:tcMar>
              <w:top w:w="30" w:type="dxa"/>
              <w:left w:w="155" w:type="dxa"/>
              <w:bottom w:w="30" w:type="dxa"/>
              <w:right w:w="20" w:type="dxa"/>
            </w:tcMar>
            <w:vAlign w:val="bottom"/>
            <w:hideMark/>
          </w:tcPr>
          <w:p w14:paraId="51FC35DB" w14:textId="77777777" w:rsidR="00000000" w:rsidRDefault="00C1661D">
            <w:pPr>
              <w:spacing w:after="100"/>
              <w:rPr>
                <w:rFonts w:eastAsia="Times New Roman"/>
              </w:rPr>
            </w:pPr>
            <w:r>
              <w:rPr>
                <w:rFonts w:eastAsia="Times New Roman"/>
                <w:color w:val="000000"/>
                <w:sz w:val="20"/>
                <w:szCs w:val="20"/>
              </w:rPr>
              <w:t>Deferred fuel and power refunds</w:t>
            </w:r>
          </w:p>
        </w:tc>
        <w:tc>
          <w:tcPr>
            <w:tcW w:w="0" w:type="auto"/>
            <w:gridSpan w:val="2"/>
            <w:shd w:val="clear" w:color="auto" w:fill="CCEEFF"/>
            <w:tcMar>
              <w:top w:w="30" w:type="dxa"/>
              <w:left w:w="20" w:type="dxa"/>
              <w:bottom w:w="30" w:type="dxa"/>
              <w:right w:w="0" w:type="dxa"/>
            </w:tcMar>
            <w:vAlign w:val="bottom"/>
            <w:hideMark/>
          </w:tcPr>
          <w:p w14:paraId="53AAF996"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6135BFF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243B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BCAD47" w14:textId="77777777" w:rsidR="00000000" w:rsidRDefault="00C1661D">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14:paraId="125068EB" w14:textId="77777777" w:rsidR="00000000" w:rsidRDefault="00C1661D">
            <w:pPr>
              <w:spacing w:after="100"/>
              <w:jc w:val="right"/>
              <w:rPr>
                <w:rFonts w:eastAsia="Times New Roman"/>
              </w:rPr>
            </w:pPr>
          </w:p>
        </w:tc>
      </w:tr>
      <w:tr w:rsidR="00000000" w14:paraId="3086F6FB" w14:textId="77777777">
        <w:trPr>
          <w:divId w:val="951325968"/>
        </w:trPr>
        <w:tc>
          <w:tcPr>
            <w:tcW w:w="0" w:type="auto"/>
            <w:gridSpan w:val="3"/>
            <w:shd w:val="clear" w:color="auto" w:fill="FFFFFF"/>
            <w:tcMar>
              <w:top w:w="30" w:type="dxa"/>
              <w:left w:w="155" w:type="dxa"/>
              <w:bottom w:w="30" w:type="dxa"/>
              <w:right w:w="20" w:type="dxa"/>
            </w:tcMar>
            <w:vAlign w:val="bottom"/>
            <w:hideMark/>
          </w:tcPr>
          <w:p w14:paraId="6ED91963" w14:textId="77777777" w:rsidR="00000000" w:rsidRDefault="00C1661D">
            <w:pPr>
              <w:spacing w:after="100"/>
              <w:rPr>
                <w:rFonts w:eastAsia="Times New Roman"/>
              </w:rPr>
            </w:pPr>
            <w:r>
              <w:rPr>
                <w:rFonts w:eastAsia="Times New Roman"/>
                <w:color w:val="000000"/>
                <w:sz w:val="20"/>
                <w:szCs w:val="20"/>
              </w:rPr>
              <w:t>State income tax benefits — distribution system repairs</w:t>
            </w:r>
          </w:p>
        </w:tc>
        <w:tc>
          <w:tcPr>
            <w:tcW w:w="0" w:type="auto"/>
            <w:gridSpan w:val="2"/>
            <w:shd w:val="clear" w:color="auto" w:fill="FFFFFF"/>
            <w:tcMar>
              <w:top w:w="30" w:type="dxa"/>
              <w:left w:w="20" w:type="dxa"/>
              <w:bottom w:w="30" w:type="dxa"/>
              <w:right w:w="0" w:type="dxa"/>
            </w:tcMar>
            <w:vAlign w:val="bottom"/>
            <w:hideMark/>
          </w:tcPr>
          <w:p w14:paraId="19AFEE3E" w14:textId="77777777" w:rsidR="00000000" w:rsidRDefault="00C1661D">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14:paraId="0D537CF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EEE62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0043C1" w14:textId="77777777" w:rsidR="00000000" w:rsidRDefault="00C1661D">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14:paraId="733417EE" w14:textId="77777777" w:rsidR="00000000" w:rsidRDefault="00C1661D">
            <w:pPr>
              <w:spacing w:after="100"/>
              <w:jc w:val="right"/>
              <w:rPr>
                <w:rFonts w:eastAsia="Times New Roman"/>
              </w:rPr>
            </w:pPr>
          </w:p>
        </w:tc>
      </w:tr>
      <w:tr w:rsidR="00000000" w14:paraId="0E66A919" w14:textId="77777777">
        <w:trPr>
          <w:divId w:val="951325968"/>
        </w:trPr>
        <w:tc>
          <w:tcPr>
            <w:tcW w:w="0" w:type="auto"/>
            <w:gridSpan w:val="3"/>
            <w:vAlign w:val="center"/>
            <w:hideMark/>
          </w:tcPr>
          <w:p w14:paraId="44BDB5DA" w14:textId="77777777" w:rsidR="00000000" w:rsidRDefault="00C1661D">
            <w:pPr>
              <w:spacing w:after="100"/>
              <w:jc w:val="right"/>
              <w:rPr>
                <w:rFonts w:eastAsia="Times New Roman"/>
                <w:sz w:val="20"/>
                <w:szCs w:val="20"/>
              </w:rPr>
            </w:pPr>
          </w:p>
        </w:tc>
        <w:tc>
          <w:tcPr>
            <w:tcW w:w="0" w:type="auto"/>
            <w:gridSpan w:val="3"/>
            <w:vAlign w:val="center"/>
            <w:hideMark/>
          </w:tcPr>
          <w:p w14:paraId="3CF64EA7" w14:textId="77777777" w:rsidR="00000000" w:rsidRDefault="00C1661D">
            <w:pPr>
              <w:spacing w:after="100"/>
              <w:rPr>
                <w:rFonts w:eastAsia="Times New Roman"/>
                <w:sz w:val="20"/>
                <w:szCs w:val="20"/>
              </w:rPr>
            </w:pPr>
          </w:p>
        </w:tc>
        <w:tc>
          <w:tcPr>
            <w:tcW w:w="0" w:type="auto"/>
            <w:gridSpan w:val="3"/>
            <w:vAlign w:val="center"/>
            <w:hideMark/>
          </w:tcPr>
          <w:p w14:paraId="50342A11" w14:textId="77777777" w:rsidR="00000000" w:rsidRDefault="00C1661D">
            <w:pPr>
              <w:spacing w:after="100"/>
              <w:rPr>
                <w:rFonts w:eastAsia="Times New Roman"/>
                <w:sz w:val="20"/>
                <w:szCs w:val="20"/>
              </w:rPr>
            </w:pPr>
          </w:p>
        </w:tc>
        <w:tc>
          <w:tcPr>
            <w:tcW w:w="0" w:type="auto"/>
            <w:gridSpan w:val="3"/>
            <w:vAlign w:val="center"/>
            <w:hideMark/>
          </w:tcPr>
          <w:p w14:paraId="7C3EC05D" w14:textId="77777777" w:rsidR="00000000" w:rsidRDefault="00C1661D">
            <w:pPr>
              <w:spacing w:after="100"/>
              <w:rPr>
                <w:rFonts w:eastAsia="Times New Roman"/>
                <w:sz w:val="20"/>
                <w:szCs w:val="20"/>
              </w:rPr>
            </w:pPr>
          </w:p>
        </w:tc>
      </w:tr>
      <w:tr w:rsidR="00000000" w14:paraId="3FAA2BE0" w14:textId="77777777">
        <w:trPr>
          <w:divId w:val="951325968"/>
        </w:trPr>
        <w:tc>
          <w:tcPr>
            <w:tcW w:w="0" w:type="auto"/>
            <w:gridSpan w:val="3"/>
            <w:shd w:val="clear" w:color="auto" w:fill="CCEEFF"/>
            <w:tcMar>
              <w:top w:w="30" w:type="dxa"/>
              <w:left w:w="155" w:type="dxa"/>
              <w:bottom w:w="30" w:type="dxa"/>
              <w:right w:w="20" w:type="dxa"/>
            </w:tcMar>
            <w:vAlign w:val="bottom"/>
            <w:hideMark/>
          </w:tcPr>
          <w:p w14:paraId="1371DA8F" w14:textId="77777777" w:rsidR="00000000" w:rsidRDefault="00C1661D">
            <w:pPr>
              <w:spacing w:after="100"/>
              <w:rPr>
                <w:rFonts w:eastAsia="Times New Roman"/>
              </w:rPr>
            </w:pPr>
            <w:r>
              <w:rPr>
                <w:rFonts w:eastAsia="Times New Roman"/>
                <w:color w:val="000000"/>
                <w:sz w:val="20"/>
                <w:szCs w:val="20"/>
              </w:rPr>
              <w:t>Excess federal deferred income taxes</w:t>
            </w:r>
          </w:p>
        </w:tc>
        <w:tc>
          <w:tcPr>
            <w:tcW w:w="0" w:type="auto"/>
            <w:gridSpan w:val="2"/>
            <w:shd w:val="clear" w:color="auto" w:fill="CCEEFF"/>
            <w:tcMar>
              <w:top w:w="30" w:type="dxa"/>
              <w:left w:w="20" w:type="dxa"/>
              <w:bottom w:w="30" w:type="dxa"/>
              <w:right w:w="0" w:type="dxa"/>
            </w:tcMar>
            <w:vAlign w:val="bottom"/>
            <w:hideMark/>
          </w:tcPr>
          <w:p w14:paraId="11DA5573" w14:textId="77777777" w:rsidR="00000000" w:rsidRDefault="00C1661D">
            <w:pPr>
              <w:spacing w:after="100"/>
              <w:jc w:val="right"/>
              <w:rPr>
                <w:rFonts w:eastAsia="Times New Roman"/>
              </w:rPr>
            </w:pPr>
            <w:r>
              <w:rPr>
                <w:rFonts w:eastAsia="Times New Roman"/>
                <w:color w:val="000000"/>
                <w:sz w:val="20"/>
                <w:szCs w:val="20"/>
              </w:rPr>
              <w:t>279 </w:t>
            </w:r>
          </w:p>
        </w:tc>
        <w:tc>
          <w:tcPr>
            <w:tcW w:w="0" w:type="auto"/>
            <w:shd w:val="clear" w:color="auto" w:fill="CCEEFF"/>
            <w:tcMar>
              <w:top w:w="30" w:type="dxa"/>
              <w:left w:w="0" w:type="dxa"/>
              <w:bottom w:w="30" w:type="dxa"/>
              <w:right w:w="20" w:type="dxa"/>
            </w:tcMar>
            <w:vAlign w:val="bottom"/>
            <w:hideMark/>
          </w:tcPr>
          <w:p w14:paraId="000CEAC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97B18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817A34" w14:textId="77777777" w:rsidR="00000000" w:rsidRDefault="00C1661D">
            <w:pPr>
              <w:spacing w:after="100"/>
              <w:jc w:val="right"/>
              <w:rPr>
                <w:rFonts w:eastAsia="Times New Roman"/>
              </w:rPr>
            </w:pPr>
            <w:r>
              <w:rPr>
                <w:rFonts w:eastAsia="Times New Roman"/>
                <w:color w:val="000000"/>
                <w:sz w:val="20"/>
                <w:szCs w:val="20"/>
              </w:rPr>
              <w:t>287 </w:t>
            </w:r>
          </w:p>
        </w:tc>
        <w:tc>
          <w:tcPr>
            <w:tcW w:w="0" w:type="auto"/>
            <w:shd w:val="clear" w:color="auto" w:fill="CCEEFF"/>
            <w:tcMar>
              <w:top w:w="30" w:type="dxa"/>
              <w:left w:w="0" w:type="dxa"/>
              <w:bottom w:w="30" w:type="dxa"/>
              <w:right w:w="20" w:type="dxa"/>
            </w:tcMar>
            <w:vAlign w:val="bottom"/>
            <w:hideMark/>
          </w:tcPr>
          <w:p w14:paraId="1A3A0A4F" w14:textId="77777777" w:rsidR="00000000" w:rsidRDefault="00C1661D">
            <w:pPr>
              <w:spacing w:after="100"/>
              <w:jc w:val="right"/>
              <w:rPr>
                <w:rFonts w:eastAsia="Times New Roman"/>
              </w:rPr>
            </w:pPr>
          </w:p>
        </w:tc>
      </w:tr>
      <w:tr w:rsidR="00000000" w14:paraId="3C69D3C6" w14:textId="77777777">
        <w:trPr>
          <w:divId w:val="951325968"/>
        </w:trPr>
        <w:tc>
          <w:tcPr>
            <w:tcW w:w="0" w:type="auto"/>
            <w:gridSpan w:val="3"/>
            <w:shd w:val="clear" w:color="auto" w:fill="FFFFFF"/>
            <w:tcMar>
              <w:top w:w="30" w:type="dxa"/>
              <w:left w:w="155" w:type="dxa"/>
              <w:bottom w:w="30" w:type="dxa"/>
              <w:right w:w="20" w:type="dxa"/>
            </w:tcMar>
            <w:vAlign w:val="bottom"/>
            <w:hideMark/>
          </w:tcPr>
          <w:p w14:paraId="7E620C89" w14:textId="77777777" w:rsidR="00000000" w:rsidRDefault="00C1661D">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1287CDA5" w14:textId="77777777" w:rsidR="00000000" w:rsidRDefault="00C1661D">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7EE8FFB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A7FCD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9B44EF" w14:textId="77777777" w:rsidR="00000000" w:rsidRDefault="00C1661D">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0DB0383A" w14:textId="77777777" w:rsidR="00000000" w:rsidRDefault="00C1661D">
            <w:pPr>
              <w:spacing w:after="100"/>
              <w:jc w:val="right"/>
              <w:rPr>
                <w:rFonts w:eastAsia="Times New Roman"/>
              </w:rPr>
            </w:pPr>
          </w:p>
        </w:tc>
      </w:tr>
      <w:tr w:rsidR="00000000" w14:paraId="10E0206A" w14:textId="77777777">
        <w:trPr>
          <w:divId w:val="951325968"/>
        </w:trPr>
        <w:tc>
          <w:tcPr>
            <w:tcW w:w="0" w:type="auto"/>
            <w:gridSpan w:val="3"/>
            <w:shd w:val="clear" w:color="auto" w:fill="CCEEFF"/>
            <w:tcMar>
              <w:top w:w="30" w:type="dxa"/>
              <w:left w:w="20" w:type="dxa"/>
              <w:bottom w:w="30" w:type="dxa"/>
              <w:right w:w="20" w:type="dxa"/>
            </w:tcMar>
            <w:vAlign w:val="bottom"/>
            <w:hideMark/>
          </w:tcPr>
          <w:p w14:paraId="42EE3071" w14:textId="77777777" w:rsidR="00000000" w:rsidRDefault="00C1661D">
            <w:pPr>
              <w:spacing w:after="100"/>
              <w:rPr>
                <w:rFonts w:eastAsia="Times New Roman"/>
              </w:rPr>
            </w:pPr>
            <w:r>
              <w:rPr>
                <w:rFonts w:eastAsia="Times New Roman"/>
                <w:color w:val="000000"/>
                <w:sz w:val="20"/>
                <w:szCs w:val="20"/>
              </w:rPr>
              <w:t>Total regulatory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C52CE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586932" w14:textId="77777777" w:rsidR="00000000" w:rsidRDefault="00C1661D">
            <w:pPr>
              <w:spacing w:after="100"/>
              <w:jc w:val="right"/>
              <w:rPr>
                <w:rFonts w:eastAsia="Times New Roman"/>
              </w:rPr>
            </w:pPr>
            <w:r>
              <w:rPr>
                <w:rFonts w:eastAsia="Times New Roman"/>
                <w:color w:val="000000"/>
                <w:sz w:val="20"/>
                <w:szCs w:val="20"/>
              </w:rPr>
              <w:t>335 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BC85D6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3579C"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34E1C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C73F0E" w14:textId="77777777" w:rsidR="00000000" w:rsidRDefault="00C1661D">
            <w:pPr>
              <w:spacing w:after="100"/>
              <w:jc w:val="right"/>
              <w:rPr>
                <w:rFonts w:eastAsia="Times New Roman"/>
              </w:rPr>
            </w:pPr>
            <w:r>
              <w:rPr>
                <w:rFonts w:eastAsia="Times New Roman"/>
                <w:color w:val="000000"/>
                <w:sz w:val="20"/>
                <w:szCs w:val="20"/>
              </w:rPr>
              <w:t>388 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CABDCD" w14:textId="77777777" w:rsidR="00000000" w:rsidRDefault="00C1661D">
            <w:pPr>
              <w:spacing w:after="100"/>
              <w:jc w:val="right"/>
              <w:rPr>
                <w:rFonts w:eastAsia="Times New Roman"/>
              </w:rPr>
            </w:pPr>
          </w:p>
        </w:tc>
      </w:tr>
    </w:tbl>
    <w:p w14:paraId="01484C2B" w14:textId="77777777" w:rsidR="00000000" w:rsidRDefault="00C1661D">
      <w:pPr>
        <w:ind w:hanging="360"/>
        <w:jc w:val="both"/>
        <w:rPr>
          <w:rFonts w:eastAsia="Times New Roman"/>
        </w:rPr>
      </w:pPr>
      <w:r>
        <w:rPr>
          <w:rFonts w:eastAsia="Times New Roman"/>
          <w:color w:val="000000"/>
          <w:sz w:val="20"/>
          <w:szCs w:val="20"/>
        </w:rPr>
        <w:t xml:space="preserve">(a)    Current regulatory assets are recorded in “Other current assets” </w:t>
      </w:r>
      <w:r>
        <w:rPr>
          <w:rFonts w:eastAsia="Times New Roman"/>
          <w:color w:val="000000"/>
          <w:sz w:val="20"/>
          <w:szCs w:val="20"/>
        </w:rPr>
        <w:t>on the Consolidated Balance Sheets. Regulatory liabilities are recorded in “Other current liabilities” and “Other noncurrent liabilities” on the Consolidated Balance Sheets.</w:t>
      </w:r>
    </w:p>
    <w:p w14:paraId="4D9EAFF0" w14:textId="77777777" w:rsidR="00000000" w:rsidRDefault="00C1661D">
      <w:pPr>
        <w:jc w:val="both"/>
        <w:rPr>
          <w:rFonts w:eastAsia="Times New Roman"/>
        </w:rPr>
      </w:pPr>
    </w:p>
    <w:p w14:paraId="5BD06B5F" w14:textId="77777777" w:rsidR="00000000" w:rsidRDefault="00C1661D">
      <w:pPr>
        <w:jc w:val="both"/>
        <w:rPr>
          <w:rFonts w:eastAsia="Times New Roman"/>
        </w:rPr>
      </w:pPr>
      <w:r>
        <w:rPr>
          <w:rFonts w:eastAsia="Times New Roman"/>
          <w:color w:val="000000"/>
          <w:sz w:val="20"/>
          <w:szCs w:val="20"/>
        </w:rPr>
        <w:t>Other than removal costs, Utilities currently does not recover a rate of return on the regulatory assets included in the table above.</w:t>
      </w:r>
    </w:p>
    <w:p w14:paraId="65B3F101" w14:textId="77777777" w:rsidR="00000000" w:rsidRDefault="00C1661D">
      <w:pPr>
        <w:jc w:val="both"/>
        <w:rPr>
          <w:rFonts w:eastAsia="Times New Roman"/>
        </w:rPr>
      </w:pPr>
    </w:p>
    <w:p w14:paraId="433196DE" w14:textId="77777777" w:rsidR="00000000" w:rsidRDefault="00C1661D">
      <w:pPr>
        <w:jc w:val="both"/>
        <w:rPr>
          <w:rFonts w:eastAsia="Times New Roman"/>
        </w:rPr>
      </w:pPr>
      <w:r>
        <w:rPr>
          <w:rFonts w:eastAsia="Times New Roman"/>
          <w:b/>
          <w:bCs/>
          <w:i/>
          <w:iCs/>
          <w:color w:val="000000"/>
          <w:sz w:val="20"/>
          <w:szCs w:val="20"/>
        </w:rPr>
        <w:t>Income taxes recoverable</w:t>
      </w:r>
      <w:r>
        <w:rPr>
          <w:rFonts w:eastAsia="Times New Roman"/>
          <w:color w:val="000000"/>
          <w:sz w:val="20"/>
          <w:szCs w:val="20"/>
        </w:rPr>
        <w:t>. This regulatory asset is the result of recording deferred tax liabilities pertaining to tempor</w:t>
      </w:r>
      <w:r>
        <w:rPr>
          <w:rFonts w:eastAsia="Times New Roman"/>
          <w:color w:val="000000"/>
          <w:sz w:val="20"/>
          <w:szCs w:val="20"/>
        </w:rPr>
        <w:t>ary tax differences principally as a result of the pass through to ratepayers of the tax benefit on accelerated tax depreciation for state income tax purposes, and the flow through of accelerated tax depreciation for federal income tax purposes for certain</w:t>
      </w:r>
      <w:r>
        <w:rPr>
          <w:rFonts w:eastAsia="Times New Roman"/>
          <w:color w:val="000000"/>
          <w:sz w:val="20"/>
          <w:szCs w:val="20"/>
        </w:rPr>
        <w:t xml:space="preserve"> years prior to 1981. These deferred taxes have been reduced by deferred tax assets pertaining to utility deferred investment tax credits. Utilities has recorded regulatory income tax assets related to these deferred tax liabilities representing future rev</w:t>
      </w:r>
      <w:r>
        <w:rPr>
          <w:rFonts w:eastAsia="Times New Roman"/>
          <w:color w:val="000000"/>
          <w:sz w:val="20"/>
          <w:szCs w:val="20"/>
        </w:rPr>
        <w:t>enues recoverable through the ratemaking process over the average remaining depreciable lives of the associated property ranging from 1 to approximately 65 years. The decrease in income taxes recoverable at September 30, 2022 reflects the impact on deferre</w:t>
      </w:r>
      <w:r>
        <w:rPr>
          <w:rFonts w:eastAsia="Times New Roman"/>
          <w:color w:val="000000"/>
          <w:sz w:val="20"/>
          <w:szCs w:val="20"/>
        </w:rPr>
        <w:t>d Pennsylvania corporate income taxes resulting from changes in Pennsylvania corporate income tax rates for future years signed into law on July 8, 2022 (See Note 7).</w:t>
      </w:r>
    </w:p>
    <w:p w14:paraId="6075A4E1" w14:textId="77777777" w:rsidR="00000000" w:rsidRDefault="00C1661D">
      <w:pPr>
        <w:jc w:val="both"/>
        <w:divId w:val="134026696"/>
        <w:rPr>
          <w:rFonts w:eastAsia="Times New Roman"/>
        </w:rPr>
      </w:pPr>
      <w:r>
        <w:rPr>
          <w:rFonts w:eastAsia="Times New Roman"/>
          <w:b/>
          <w:bCs/>
          <w:i/>
          <w:iCs/>
          <w:color w:val="000000"/>
          <w:sz w:val="20"/>
          <w:szCs w:val="20"/>
        </w:rPr>
        <w:t>Underfunded pension plans</w:t>
      </w:r>
      <w:r>
        <w:rPr>
          <w:rFonts w:eastAsia="Times New Roman"/>
          <w:b/>
          <w:bCs/>
          <w:color w:val="000000"/>
          <w:sz w:val="20"/>
          <w:szCs w:val="20"/>
        </w:rPr>
        <w:t>.</w:t>
      </w:r>
      <w:r>
        <w:rPr>
          <w:rFonts w:eastAsia="Times New Roman"/>
          <w:color w:val="000000"/>
          <w:sz w:val="20"/>
          <w:szCs w:val="20"/>
        </w:rPr>
        <w:t xml:space="preserve"> This regulatory asset represents the portion of net actuarial </w:t>
      </w:r>
      <w:r>
        <w:rPr>
          <w:rFonts w:eastAsia="Times New Roman"/>
          <w:color w:val="000000"/>
          <w:sz w:val="20"/>
          <w:szCs w:val="20"/>
        </w:rPr>
        <w:t>losses and prior service costs (credits) associated with Gas Utility and Electric Utility pension benefits which are probable of being recovered through future rates based upon established regulatory practices. These regulatory assets are adjusted annually</w:t>
      </w:r>
      <w:r>
        <w:rPr>
          <w:rFonts w:eastAsia="Times New Roman"/>
          <w:color w:val="000000"/>
          <w:sz w:val="20"/>
          <w:szCs w:val="20"/>
        </w:rPr>
        <w:t xml:space="preserve"> or more frequently under certain circumstances when the funded status of the plans is remeasured in accordance with GAAP. These costs are amortized over the average remaining future service lives of plan participants.</w:t>
      </w:r>
    </w:p>
    <w:p w14:paraId="1C432A9A" w14:textId="77777777" w:rsidR="00000000" w:rsidRDefault="00C1661D">
      <w:pPr>
        <w:jc w:val="both"/>
        <w:divId w:val="864289849"/>
        <w:rPr>
          <w:rFonts w:eastAsia="Times New Roman"/>
        </w:rPr>
      </w:pPr>
      <w:r>
        <w:rPr>
          <w:rFonts w:eastAsia="Times New Roman"/>
          <w:b/>
          <w:bCs/>
          <w:i/>
          <w:iCs/>
          <w:color w:val="000000"/>
          <w:sz w:val="20"/>
          <w:szCs w:val="20"/>
        </w:rPr>
        <w:t>Environmental costs</w:t>
      </w:r>
      <w:r>
        <w:rPr>
          <w:rFonts w:eastAsia="Times New Roman"/>
          <w:b/>
          <w:bCs/>
          <w:color w:val="000000"/>
          <w:sz w:val="20"/>
          <w:szCs w:val="20"/>
        </w:rPr>
        <w:t>.</w:t>
      </w:r>
      <w:r>
        <w:rPr>
          <w:rFonts w:eastAsia="Times New Roman"/>
          <w:color w:val="000000"/>
          <w:sz w:val="20"/>
          <w:szCs w:val="20"/>
        </w:rPr>
        <w:t xml:space="preserve"> Environmental co</w:t>
      </w:r>
      <w:r>
        <w:rPr>
          <w:rFonts w:eastAsia="Times New Roman"/>
          <w:color w:val="000000"/>
          <w:sz w:val="20"/>
          <w:szCs w:val="20"/>
        </w:rPr>
        <w:t xml:space="preserve">sts principally represent estimated probable future environmental remediation and investigation costs that PA Gas Utility expects to incur, primarily at MGP sites in Pennsylvania, in conjunction with a remediation COA with the PADEP. Pursuant to base rate </w:t>
      </w:r>
      <w:r>
        <w:rPr>
          <w:rFonts w:eastAsia="Times New Roman"/>
          <w:color w:val="000000"/>
          <w:sz w:val="20"/>
          <w:szCs w:val="20"/>
        </w:rPr>
        <w:t xml:space="preserve">orders, PA Gas Utility receives ratemaking recognition of its estimated environmental investigation and remediation costs associated with its environmental sites. This ratemaking recognition balances the accumulated difference between historical costs and </w:t>
      </w:r>
      <w:r>
        <w:rPr>
          <w:rFonts w:eastAsia="Times New Roman"/>
          <w:color w:val="000000"/>
          <w:sz w:val="20"/>
          <w:szCs w:val="20"/>
        </w:rPr>
        <w:t>rate recoveries with an estimate of future costs associated with the sites. The period over which PA Gas Utility expects to recover these costs will depend upon future remediation activity. For additional information on environmental costs, see Note 17.</w:t>
      </w:r>
    </w:p>
    <w:p w14:paraId="57C607C6" w14:textId="77777777" w:rsidR="00000000" w:rsidRDefault="00C1661D">
      <w:pPr>
        <w:jc w:val="both"/>
        <w:divId w:val="2088456491"/>
        <w:rPr>
          <w:rFonts w:eastAsia="Times New Roman"/>
        </w:rPr>
      </w:pPr>
      <w:r>
        <w:rPr>
          <w:rFonts w:eastAsia="Times New Roman"/>
          <w:b/>
          <w:bCs/>
          <w:i/>
          <w:iCs/>
          <w:color w:val="000000"/>
          <w:sz w:val="20"/>
          <w:szCs w:val="20"/>
        </w:rPr>
        <w:t>Re</w:t>
      </w:r>
      <w:r>
        <w:rPr>
          <w:rFonts w:eastAsia="Times New Roman"/>
          <w:b/>
          <w:bCs/>
          <w:i/>
          <w:iCs/>
          <w:color w:val="000000"/>
          <w:sz w:val="20"/>
          <w:szCs w:val="20"/>
        </w:rPr>
        <w:t>moval costs, net</w:t>
      </w:r>
      <w:r>
        <w:rPr>
          <w:rFonts w:eastAsia="Times New Roman"/>
          <w:b/>
          <w:bCs/>
          <w:color w:val="000000"/>
          <w:sz w:val="20"/>
          <w:szCs w:val="20"/>
        </w:rPr>
        <w:t>.</w:t>
      </w:r>
      <w:r>
        <w:rPr>
          <w:rFonts w:eastAsia="Times New Roman"/>
          <w:color w:val="000000"/>
          <w:sz w:val="20"/>
          <w:szCs w:val="20"/>
        </w:rPr>
        <w:t xml:space="preserve"> This regulatory asset represents costs incurred, net of salvage, associated with the retirement of depreciable utility plant of UGI Utilities. As required by PAPUC ratemaking, removal costs include actual costs incurred associated with </w:t>
      </w:r>
    </w:p>
    <w:p w14:paraId="632508C0" w14:textId="77777777" w:rsidR="00000000" w:rsidRDefault="00C1661D">
      <w:pPr>
        <w:jc w:val="center"/>
        <w:divId w:val="150483747"/>
        <w:rPr>
          <w:rFonts w:eastAsia="Times New Roman"/>
        </w:rPr>
      </w:pPr>
      <w:r>
        <w:rPr>
          <w:rFonts w:eastAsia="Times New Roman"/>
          <w:color w:val="000000"/>
          <w:sz w:val="20"/>
          <w:szCs w:val="20"/>
        </w:rPr>
        <w:t>F</w:t>
      </w:r>
      <w:r>
        <w:rPr>
          <w:rFonts w:eastAsia="Times New Roman"/>
          <w:color w:val="000000"/>
          <w:sz w:val="20"/>
          <w:szCs w:val="20"/>
        </w:rPr>
        <w:t>-39</w:t>
      </w:r>
    </w:p>
    <w:p w14:paraId="1ECD9514" w14:textId="77777777" w:rsidR="00000000" w:rsidRDefault="00C1661D">
      <w:pPr>
        <w:rPr>
          <w:rFonts w:eastAsia="Times New Roman"/>
        </w:rPr>
      </w:pPr>
      <w:r>
        <w:rPr>
          <w:rFonts w:eastAsia="Times New Roman"/>
        </w:rPr>
        <w:pict w14:anchorId="26FB7232">
          <v:rect id="_x0000_i1152" style="width:0;height:1.5pt" o:hralign="center" o:hrstd="t" o:hr="t" fillcolor="#a0a0a0" stroked="f"/>
        </w:pict>
      </w:r>
    </w:p>
    <w:p w14:paraId="4FDCE63F" w14:textId="77777777" w:rsidR="00000000" w:rsidRDefault="00C1661D">
      <w:pPr>
        <w:divId w:val="363598301"/>
        <w:rPr>
          <w:rFonts w:eastAsia="Times New Roman"/>
        </w:rPr>
      </w:pPr>
      <w:hyperlink w:anchor="i3850c3c6c0104e42b9951aac2f16098a_7" w:history="1">
        <w:r>
          <w:rPr>
            <w:rStyle w:val="a3"/>
            <w:rFonts w:eastAsia="Times New Roman"/>
            <w:sz w:val="20"/>
            <w:szCs w:val="20"/>
          </w:rPr>
          <w:t>Table of Contents</w:t>
        </w:r>
      </w:hyperlink>
    </w:p>
    <w:p w14:paraId="6879F1C0" w14:textId="77777777" w:rsidR="00000000" w:rsidRDefault="00C1661D">
      <w:pPr>
        <w:divId w:val="1762026014"/>
        <w:rPr>
          <w:rFonts w:eastAsia="Times New Roman"/>
        </w:rPr>
      </w:pPr>
      <w:r>
        <w:rPr>
          <w:rFonts w:eastAsia="Times New Roman"/>
          <w:b/>
          <w:bCs/>
          <w:color w:val="000000"/>
          <w:sz w:val="20"/>
          <w:szCs w:val="20"/>
        </w:rPr>
        <w:t>UGI Corporation and Subsidiaries</w:t>
      </w:r>
    </w:p>
    <w:p w14:paraId="293C3E0D" w14:textId="77777777" w:rsidR="00000000" w:rsidRDefault="00C1661D">
      <w:pPr>
        <w:divId w:val="1150636885"/>
        <w:rPr>
          <w:rFonts w:eastAsia="Times New Roman"/>
        </w:rPr>
      </w:pPr>
      <w:r>
        <w:rPr>
          <w:rFonts w:eastAsia="Times New Roman"/>
          <w:b/>
          <w:bCs/>
          <w:color w:val="000000"/>
          <w:sz w:val="20"/>
          <w:szCs w:val="20"/>
        </w:rPr>
        <w:t>Notes to Consolidated Financial Statements</w:t>
      </w:r>
    </w:p>
    <w:p w14:paraId="07253066" w14:textId="77777777" w:rsidR="00000000" w:rsidRDefault="00C1661D">
      <w:pPr>
        <w:divId w:val="2070498128"/>
        <w:rPr>
          <w:rFonts w:eastAsia="Times New Roman"/>
        </w:rPr>
      </w:pPr>
      <w:r>
        <w:rPr>
          <w:rFonts w:eastAsia="Times New Roman"/>
          <w:color w:val="000000"/>
          <w:sz w:val="20"/>
          <w:szCs w:val="20"/>
        </w:rPr>
        <w:t>(Currency in millions, except per share amounts and where indica</w:t>
      </w:r>
      <w:r>
        <w:rPr>
          <w:rFonts w:eastAsia="Times New Roman"/>
          <w:color w:val="000000"/>
          <w:sz w:val="20"/>
          <w:szCs w:val="20"/>
        </w:rPr>
        <w:t>ted otherwise)</w:t>
      </w:r>
    </w:p>
    <w:p w14:paraId="38BE6AF5" w14:textId="77777777" w:rsidR="00000000" w:rsidRDefault="00C1661D">
      <w:pPr>
        <w:jc w:val="both"/>
        <w:divId w:val="673993742"/>
        <w:rPr>
          <w:rFonts w:eastAsia="Times New Roman"/>
        </w:rPr>
      </w:pPr>
      <w:r>
        <w:rPr>
          <w:rFonts w:eastAsia="Times New Roman"/>
          <w:color w:val="000000"/>
          <w:sz w:val="20"/>
          <w:szCs w:val="20"/>
        </w:rPr>
        <w:t>asset retirement obligations. Consistent with prior ratemaking treatment, UGI Utilities expects to recover these costs over five years.</w:t>
      </w:r>
    </w:p>
    <w:p w14:paraId="7C1A11CA" w14:textId="77777777" w:rsidR="00000000" w:rsidRDefault="00C1661D">
      <w:pPr>
        <w:jc w:val="both"/>
        <w:divId w:val="1169758736"/>
        <w:rPr>
          <w:rFonts w:eastAsia="Times New Roman"/>
        </w:rPr>
      </w:pPr>
      <w:r>
        <w:rPr>
          <w:rFonts w:eastAsia="Times New Roman"/>
          <w:b/>
          <w:bCs/>
          <w:i/>
          <w:iCs/>
          <w:color w:val="000000"/>
          <w:sz w:val="20"/>
          <w:szCs w:val="20"/>
        </w:rPr>
        <w:t>Postretirement benefits</w:t>
      </w:r>
      <w:r>
        <w:rPr>
          <w:rFonts w:eastAsia="Times New Roman"/>
          <w:b/>
          <w:bCs/>
          <w:color w:val="000000"/>
          <w:sz w:val="20"/>
          <w:szCs w:val="20"/>
        </w:rPr>
        <w:t>.</w:t>
      </w:r>
      <w:r>
        <w:rPr>
          <w:rFonts w:eastAsia="Times New Roman"/>
          <w:color w:val="000000"/>
          <w:sz w:val="20"/>
          <w:szCs w:val="20"/>
        </w:rPr>
        <w:t xml:space="preserve"> This regulatory liability represents the difference between amounts recovered through rates by </w:t>
      </w:r>
      <w:r>
        <w:rPr>
          <w:rFonts w:eastAsia="Times New Roman"/>
          <w:color w:val="000000"/>
          <w:sz w:val="20"/>
          <w:szCs w:val="20"/>
        </w:rPr>
        <w:t>PA Gas Utility and Electric Utility and actual costs incurred in accordance with accounting for postretirement benefits. A portion of this liability will be refunded to customers over the average remaining future service lives of plan participants. Another</w:t>
      </w:r>
      <w:r>
        <w:rPr>
          <w:rFonts w:eastAsia="Times New Roman"/>
          <w:color w:val="000000"/>
          <w:sz w:val="20"/>
          <w:szCs w:val="20"/>
        </w:rPr>
        <w:t xml:space="preserve"> portion of this liability represents overcollections for which refund periods have been established within ratemaking proceedings. With respect to Gas Utility, postretirement benefit overcollections are generally being refunded to customers over a ten-yea</w:t>
      </w:r>
      <w:r>
        <w:rPr>
          <w:rFonts w:eastAsia="Times New Roman"/>
          <w:color w:val="000000"/>
          <w:sz w:val="20"/>
          <w:szCs w:val="20"/>
        </w:rPr>
        <w:t>r period beginning October 19, 2016. With respect to Electric Utility, the overcollections are being refunded to ratepayers over a 20-year period effective October 27, 2018.</w:t>
      </w:r>
    </w:p>
    <w:p w14:paraId="0F297BF4" w14:textId="77777777" w:rsidR="00000000" w:rsidRDefault="00C1661D">
      <w:pPr>
        <w:jc w:val="both"/>
        <w:divId w:val="1750345695"/>
        <w:rPr>
          <w:rFonts w:eastAsia="Times New Roman"/>
        </w:rPr>
      </w:pPr>
      <w:r>
        <w:rPr>
          <w:rFonts w:eastAsia="Times New Roman"/>
          <w:b/>
          <w:bCs/>
          <w:i/>
          <w:iCs/>
          <w:color w:val="000000"/>
          <w:sz w:val="20"/>
          <w:szCs w:val="20"/>
        </w:rPr>
        <w:t>Deferred fuel and power - costs and refunds.</w:t>
      </w:r>
      <w:r>
        <w:rPr>
          <w:rFonts w:eastAsia="Times New Roman"/>
          <w:color w:val="000000"/>
          <w:sz w:val="20"/>
          <w:szCs w:val="20"/>
        </w:rPr>
        <w:t xml:space="preserve"> Utilities’ tariffs contain clauses th</w:t>
      </w:r>
      <w:r>
        <w:rPr>
          <w:rFonts w:eastAsia="Times New Roman"/>
          <w:color w:val="000000"/>
          <w:sz w:val="20"/>
          <w:szCs w:val="20"/>
        </w:rPr>
        <w:t>at permit recovery of all prudently incurred purchased gas and power costs through the application of PGC rates, PGA rates and DS tariffs. These clauses provide for periodic adjustments to PGC, PGA and DS rates for differences between the total amount of p</w:t>
      </w:r>
      <w:r>
        <w:rPr>
          <w:rFonts w:eastAsia="Times New Roman"/>
          <w:color w:val="000000"/>
          <w:sz w:val="20"/>
          <w:szCs w:val="20"/>
        </w:rPr>
        <w:t>urchased gas and electric generation supply costs collected from customers and recoverable costs incurred. Net undercollected costs are classified as a regulatory asset and net overcollections are classified as a regulatory liability.</w:t>
      </w:r>
    </w:p>
    <w:p w14:paraId="45850600" w14:textId="77777777" w:rsidR="00000000" w:rsidRDefault="00C1661D">
      <w:pPr>
        <w:jc w:val="both"/>
        <w:divId w:val="687294834"/>
        <w:rPr>
          <w:rFonts w:eastAsia="Times New Roman"/>
        </w:rPr>
      </w:pPr>
      <w:r>
        <w:rPr>
          <w:rFonts w:eastAsia="Times New Roman"/>
          <w:color w:val="000000"/>
          <w:sz w:val="20"/>
          <w:szCs w:val="20"/>
        </w:rPr>
        <w:t>PA Gas Utility uses d</w:t>
      </w:r>
      <w:r>
        <w:rPr>
          <w:rFonts w:eastAsia="Times New Roman"/>
          <w:color w:val="000000"/>
          <w:sz w:val="20"/>
          <w:szCs w:val="20"/>
        </w:rPr>
        <w:t>erivative instruments to reduce volatility in the cost of gas it purchases for retail core-market customers. Realized and unrealized gains or losses on natural gas derivative instruments are included in deferred fuel and power costs or refunds. Net unreali</w:t>
      </w:r>
      <w:r>
        <w:rPr>
          <w:rFonts w:eastAsia="Times New Roman"/>
          <w:color w:val="000000"/>
          <w:sz w:val="20"/>
          <w:szCs w:val="20"/>
        </w:rPr>
        <w:t>zed gains on such contracts at September 30, 2022 and 2021 were $5 and $35, respectively.</w:t>
      </w:r>
    </w:p>
    <w:p w14:paraId="1B43F6FC" w14:textId="77777777" w:rsidR="00000000" w:rsidRDefault="00C1661D">
      <w:pPr>
        <w:jc w:val="both"/>
        <w:divId w:val="923758522"/>
        <w:rPr>
          <w:rFonts w:eastAsia="Times New Roman"/>
        </w:rPr>
      </w:pPr>
      <w:r>
        <w:rPr>
          <w:rFonts w:eastAsia="Times New Roman"/>
          <w:b/>
          <w:bCs/>
          <w:i/>
          <w:iCs/>
          <w:color w:val="000000"/>
          <w:sz w:val="20"/>
          <w:szCs w:val="20"/>
        </w:rPr>
        <w:t>State income tax benefits — distribution system repairs.</w:t>
      </w:r>
      <w:r>
        <w:rPr>
          <w:rFonts w:eastAsia="Times New Roman"/>
          <w:color w:val="000000"/>
          <w:sz w:val="20"/>
          <w:szCs w:val="20"/>
        </w:rPr>
        <w:t xml:space="preserve"> This regulatory liability represents Pennsylvania state income tax benefits, net of federal benefit, resultin</w:t>
      </w:r>
      <w:r>
        <w:rPr>
          <w:rFonts w:eastAsia="Times New Roman"/>
          <w:color w:val="000000"/>
          <w:sz w:val="20"/>
          <w:szCs w:val="20"/>
        </w:rPr>
        <w:t>g from the deduction for income tax purposes of repair and maintenance costs associated with UGI Utilities’ assets that are capitalized for regulatory and GAAP reporting. The tax benefits associated with these repair and maintenance deductions will be refl</w:t>
      </w:r>
      <w:r>
        <w:rPr>
          <w:rFonts w:eastAsia="Times New Roman"/>
          <w:color w:val="000000"/>
          <w:sz w:val="20"/>
          <w:szCs w:val="20"/>
        </w:rPr>
        <w:t>ected as a reduction to income tax expense over the remaining tax lives of the related book assets.</w:t>
      </w:r>
    </w:p>
    <w:p w14:paraId="1966D1E1" w14:textId="77777777" w:rsidR="00000000" w:rsidRDefault="00C1661D">
      <w:pPr>
        <w:divId w:val="1287346088"/>
        <w:rPr>
          <w:rFonts w:eastAsia="Times New Roman"/>
        </w:rPr>
      </w:pPr>
    </w:p>
    <w:p w14:paraId="188E5E49" w14:textId="77777777" w:rsidR="00000000" w:rsidRDefault="00C1661D">
      <w:pPr>
        <w:jc w:val="both"/>
        <w:divId w:val="1945459833"/>
        <w:rPr>
          <w:rFonts w:eastAsia="Times New Roman"/>
        </w:rPr>
      </w:pPr>
      <w:r>
        <w:rPr>
          <w:rFonts w:eastAsia="Times New Roman"/>
          <w:b/>
          <w:bCs/>
          <w:i/>
          <w:iCs/>
          <w:color w:val="000000"/>
          <w:sz w:val="20"/>
          <w:szCs w:val="20"/>
        </w:rPr>
        <w:t>Excess federal deferred income taxes.</w:t>
      </w:r>
      <w:r>
        <w:rPr>
          <w:rFonts w:eastAsia="Times New Roman"/>
          <w:color w:val="000000"/>
          <w:sz w:val="20"/>
          <w:szCs w:val="20"/>
        </w:rPr>
        <w:t xml:space="preserve"> This regulatory liability is the result of remeasuring Utilities’ federal deferred income tax liabilities on utility</w:t>
      </w:r>
      <w:r>
        <w:rPr>
          <w:rFonts w:eastAsia="Times New Roman"/>
          <w:color w:val="000000"/>
          <w:sz w:val="20"/>
          <w:szCs w:val="20"/>
        </w:rPr>
        <w:t xml:space="preserve"> plant due to the enactment of the TCJA on December 22, 2017. In order for our utility assets to continue to be eligible for accelerated tax depreciation, current law requires that excess federal deferred income taxes resulting from the remeasurement be am</w:t>
      </w:r>
      <w:r>
        <w:rPr>
          <w:rFonts w:eastAsia="Times New Roman"/>
          <w:color w:val="000000"/>
          <w:sz w:val="20"/>
          <w:szCs w:val="20"/>
        </w:rPr>
        <w:t>ortized no more rapidly than over the remaining lives of the assets that gave rise to the excess federal deferred income taxes, ranging from 1 year to approximately 65 years. This regulatory liability has been increased to reflect the tax benefit generated</w:t>
      </w:r>
      <w:r>
        <w:rPr>
          <w:rFonts w:eastAsia="Times New Roman"/>
          <w:color w:val="000000"/>
          <w:sz w:val="20"/>
          <w:szCs w:val="20"/>
        </w:rPr>
        <w:t xml:space="preserve"> by the amortization of the excess deferred federal income taxes and is being amortized and credited to tax expense.</w:t>
      </w:r>
    </w:p>
    <w:p w14:paraId="28C3DD2E" w14:textId="77777777" w:rsidR="00000000" w:rsidRDefault="00C1661D">
      <w:pPr>
        <w:jc w:val="both"/>
        <w:divId w:val="626813823"/>
        <w:rPr>
          <w:rFonts w:eastAsia="Times New Roman"/>
        </w:rPr>
      </w:pPr>
      <w:r>
        <w:rPr>
          <w:rFonts w:eastAsia="Times New Roman"/>
          <w:b/>
          <w:bCs/>
          <w:i/>
          <w:iCs/>
          <w:color w:val="000000"/>
          <w:sz w:val="20"/>
          <w:szCs w:val="20"/>
        </w:rPr>
        <w:t>Other</w:t>
      </w:r>
      <w:r>
        <w:rPr>
          <w:rFonts w:eastAsia="Times New Roman"/>
          <w:b/>
          <w:bCs/>
          <w:color w:val="000000"/>
          <w:sz w:val="20"/>
          <w:szCs w:val="20"/>
        </w:rPr>
        <w:t>.</w:t>
      </w:r>
      <w:r>
        <w:rPr>
          <w:rFonts w:eastAsia="Times New Roman"/>
          <w:color w:val="000000"/>
          <w:sz w:val="20"/>
          <w:szCs w:val="20"/>
        </w:rPr>
        <w:t xml:space="preserve"> Other regulatory assets and liabilities comprise a number of deferred items including, among others, certain fair value adjustments </w:t>
      </w:r>
      <w:r>
        <w:rPr>
          <w:rFonts w:eastAsia="Times New Roman"/>
          <w:color w:val="000000"/>
          <w:sz w:val="20"/>
          <w:szCs w:val="20"/>
        </w:rPr>
        <w:t>related to the Mountaineer Acquisition, incremental expenses attributable to the COVID-19 pandemic, certain information technology costs, energy efficiency conservation costs and rate case expenses.</w:t>
      </w:r>
    </w:p>
    <w:p w14:paraId="7D08EC33" w14:textId="77777777" w:rsidR="00000000" w:rsidRDefault="00C1661D">
      <w:pPr>
        <w:jc w:val="both"/>
        <w:divId w:val="5597093"/>
        <w:rPr>
          <w:rFonts w:eastAsia="Times New Roman"/>
        </w:rPr>
      </w:pPr>
      <w:r>
        <w:rPr>
          <w:rFonts w:eastAsia="Times New Roman"/>
          <w:b/>
          <w:bCs/>
          <w:color w:val="000000"/>
          <w:sz w:val="20"/>
          <w:szCs w:val="20"/>
        </w:rPr>
        <w:t>Other Regulatory Matters</w:t>
      </w:r>
    </w:p>
    <w:p w14:paraId="5A5A4D19" w14:textId="77777777" w:rsidR="00000000" w:rsidRDefault="00C1661D">
      <w:pPr>
        <w:jc w:val="both"/>
        <w:divId w:val="1558738633"/>
        <w:rPr>
          <w:rFonts w:eastAsia="Times New Roman"/>
        </w:rPr>
      </w:pPr>
      <w:r>
        <w:rPr>
          <w:rFonts w:eastAsia="Times New Roman"/>
          <w:b/>
          <w:bCs/>
          <w:i/>
          <w:iCs/>
          <w:color w:val="000000"/>
          <w:sz w:val="20"/>
          <w:szCs w:val="20"/>
        </w:rPr>
        <w:t>Base Rate Filings. </w:t>
      </w:r>
      <w:r>
        <w:rPr>
          <w:rFonts w:eastAsia="Times New Roman"/>
          <w:color w:val="000000"/>
          <w:sz w:val="20"/>
          <w:szCs w:val="20"/>
        </w:rPr>
        <w:t>On January 28</w:t>
      </w:r>
      <w:r>
        <w:rPr>
          <w:rFonts w:eastAsia="Times New Roman"/>
          <w:color w:val="000000"/>
          <w:sz w:val="20"/>
          <w:szCs w:val="20"/>
        </w:rPr>
        <w:t>, 2022, PA Gas Utility filed a request with the PAPUC to increase its base operating revenues for residential, commercial and industrial customers by $83 annually. On September 15, 2022, the PAPUC issued a final order approving a settlement providing for a</w:t>
      </w:r>
      <w:r>
        <w:rPr>
          <w:rFonts w:eastAsia="Times New Roman"/>
          <w:color w:val="000000"/>
          <w:sz w:val="20"/>
          <w:szCs w:val="20"/>
        </w:rPr>
        <w:t xml:space="preserve"> $49 annual base distribution rate increase for PA Gas Utility, through a phased approach, with $38 beginning October 29, 2022 and an additional $11 beginning October 1, 2023. In accordance with the terms of the final order, PA Gas Utility will not be perm</w:t>
      </w:r>
      <w:r>
        <w:rPr>
          <w:rFonts w:eastAsia="Times New Roman"/>
          <w:color w:val="000000"/>
          <w:sz w:val="20"/>
          <w:szCs w:val="20"/>
        </w:rPr>
        <w:t>itted to file a rate case prior to January 1, 2024. Also in accordance with the terms of the final order, PA Gas Utility is authorized to implement a weather normalization adjustment rider as a 5-year pilot program beginning on the effective date of the ne</w:t>
      </w:r>
      <w:r>
        <w:rPr>
          <w:rFonts w:eastAsia="Times New Roman"/>
          <w:color w:val="000000"/>
          <w:sz w:val="20"/>
          <w:szCs w:val="20"/>
        </w:rPr>
        <w:t>w rates. Under this rider, customer billings for distribution services will be adjusted monthly to reflect normal weather conditions if weather deviates more than 3% from normal. Additionally, under the terms of the final order, PA Gas Utility will be auth</w:t>
      </w:r>
      <w:r>
        <w:rPr>
          <w:rFonts w:eastAsia="Times New Roman"/>
          <w:color w:val="000000"/>
          <w:sz w:val="20"/>
          <w:szCs w:val="20"/>
        </w:rPr>
        <w:t>orized to implement a DSIC once its total property, plant and equipment less accumulated depreciation reaches $3,368 (which threshold was achieved in September 2022).</w:t>
      </w:r>
    </w:p>
    <w:p w14:paraId="554C9990" w14:textId="77777777" w:rsidR="00000000" w:rsidRDefault="00C1661D">
      <w:pPr>
        <w:jc w:val="both"/>
        <w:divId w:val="417796534"/>
        <w:rPr>
          <w:rFonts w:eastAsia="Times New Roman"/>
        </w:rPr>
      </w:pPr>
      <w:r>
        <w:rPr>
          <w:rFonts w:eastAsia="Times New Roman"/>
          <w:color w:val="000000"/>
          <w:sz w:val="20"/>
          <w:szCs w:val="20"/>
        </w:rPr>
        <w:t>On February 8, 2021, Electric Utility filed a rate request with the PAPUC to increase its</w:t>
      </w:r>
      <w:r>
        <w:rPr>
          <w:rFonts w:eastAsia="Times New Roman"/>
          <w:color w:val="000000"/>
          <w:sz w:val="20"/>
          <w:szCs w:val="20"/>
        </w:rPr>
        <w:t xml:space="preserve"> annual base distribution revenues by $9. On October 28, 2021, the PAPUC issued a final Order approving a settlement that permitted Electric Utility, effective November 9, 2021, to increase its base distribution revenues by $6.</w:t>
      </w:r>
    </w:p>
    <w:p w14:paraId="76AC0F36" w14:textId="77777777" w:rsidR="00000000" w:rsidRDefault="00C1661D">
      <w:pPr>
        <w:jc w:val="center"/>
        <w:divId w:val="1984696867"/>
        <w:rPr>
          <w:rFonts w:eastAsia="Times New Roman"/>
        </w:rPr>
      </w:pPr>
      <w:r>
        <w:rPr>
          <w:rFonts w:eastAsia="Times New Roman"/>
          <w:color w:val="000000"/>
          <w:sz w:val="20"/>
          <w:szCs w:val="20"/>
        </w:rPr>
        <w:t>F-40</w:t>
      </w:r>
    </w:p>
    <w:p w14:paraId="41D08C05" w14:textId="77777777" w:rsidR="00000000" w:rsidRDefault="00C1661D">
      <w:pPr>
        <w:rPr>
          <w:rFonts w:eastAsia="Times New Roman"/>
        </w:rPr>
      </w:pPr>
      <w:r>
        <w:rPr>
          <w:rFonts w:eastAsia="Times New Roman"/>
        </w:rPr>
        <w:pict w14:anchorId="1758A84E">
          <v:rect id="_x0000_i1153" style="width:0;height:1.5pt" o:hralign="center" o:hrstd="t" o:hr="t" fillcolor="#a0a0a0" stroked="f"/>
        </w:pict>
      </w:r>
    </w:p>
    <w:p w14:paraId="789869F7" w14:textId="77777777" w:rsidR="00000000" w:rsidRDefault="00C1661D">
      <w:pPr>
        <w:divId w:val="2051565857"/>
        <w:rPr>
          <w:rFonts w:eastAsia="Times New Roman"/>
        </w:rPr>
      </w:pPr>
      <w:hyperlink w:anchor="i3850c3c6c0104e42b9951aac2f16098a_7" w:history="1">
        <w:r>
          <w:rPr>
            <w:rStyle w:val="a3"/>
            <w:rFonts w:eastAsia="Times New Roman"/>
            <w:sz w:val="20"/>
            <w:szCs w:val="20"/>
          </w:rPr>
          <w:t>Table of Contents</w:t>
        </w:r>
      </w:hyperlink>
    </w:p>
    <w:p w14:paraId="0A2613E2" w14:textId="77777777" w:rsidR="00000000" w:rsidRDefault="00C1661D">
      <w:pPr>
        <w:divId w:val="825364155"/>
        <w:rPr>
          <w:rFonts w:eastAsia="Times New Roman"/>
        </w:rPr>
      </w:pPr>
      <w:r>
        <w:rPr>
          <w:rFonts w:eastAsia="Times New Roman"/>
          <w:b/>
          <w:bCs/>
          <w:color w:val="000000"/>
          <w:sz w:val="20"/>
          <w:szCs w:val="20"/>
        </w:rPr>
        <w:t>UGI Corporation and Subsidiaries</w:t>
      </w:r>
    </w:p>
    <w:p w14:paraId="71D56EFC" w14:textId="77777777" w:rsidR="00000000" w:rsidRDefault="00C1661D">
      <w:pPr>
        <w:divId w:val="990056857"/>
        <w:rPr>
          <w:rFonts w:eastAsia="Times New Roman"/>
        </w:rPr>
      </w:pPr>
      <w:r>
        <w:rPr>
          <w:rFonts w:eastAsia="Times New Roman"/>
          <w:b/>
          <w:bCs/>
          <w:color w:val="000000"/>
          <w:sz w:val="20"/>
          <w:szCs w:val="20"/>
        </w:rPr>
        <w:t>Notes to Consolidated Financial Statements</w:t>
      </w:r>
    </w:p>
    <w:p w14:paraId="240FA7FE" w14:textId="77777777" w:rsidR="00000000" w:rsidRDefault="00C1661D">
      <w:pPr>
        <w:divId w:val="540284376"/>
        <w:rPr>
          <w:rFonts w:eastAsia="Times New Roman"/>
        </w:rPr>
      </w:pPr>
      <w:r>
        <w:rPr>
          <w:rFonts w:eastAsia="Times New Roman"/>
          <w:color w:val="000000"/>
          <w:sz w:val="20"/>
          <w:szCs w:val="20"/>
        </w:rPr>
        <w:t>(Currency in millions, except per share amounts and where indicated otherwise)</w:t>
      </w:r>
    </w:p>
    <w:p w14:paraId="07AC8B3A" w14:textId="77777777" w:rsidR="00000000" w:rsidRDefault="00C1661D">
      <w:pPr>
        <w:jc w:val="both"/>
        <w:divId w:val="397820906"/>
        <w:rPr>
          <w:rFonts w:eastAsia="Times New Roman"/>
        </w:rPr>
      </w:pPr>
      <w:r>
        <w:rPr>
          <w:rFonts w:eastAsia="Times New Roman"/>
          <w:color w:val="000000"/>
          <w:sz w:val="20"/>
          <w:szCs w:val="20"/>
        </w:rPr>
        <w:t>On January 28, 2020, PA Gas Utility filed a request with the PAPUC to increase its annual base distribution operating revenues by $75 annually. On October 8, 2020, the PAPUC iss</w:t>
      </w:r>
      <w:r>
        <w:rPr>
          <w:rFonts w:eastAsia="Times New Roman"/>
          <w:color w:val="000000"/>
          <w:sz w:val="20"/>
          <w:szCs w:val="20"/>
        </w:rPr>
        <w:t>ued a final Order approving a settlement that permits PA Gas Utility to increase its annual base distribution rates by $20, through a phased approach, with $10 beginning January 1, 2021 and an additional $10 beginning July 1, 2021. Additionally, PA Gas Uti</w:t>
      </w:r>
      <w:r>
        <w:rPr>
          <w:rFonts w:eastAsia="Times New Roman"/>
          <w:color w:val="000000"/>
          <w:sz w:val="20"/>
          <w:szCs w:val="20"/>
        </w:rPr>
        <w:t>lity was authorized to implement a DSIC once PA Gas Utility total property, plant and equipment less accumulated depreciation reaches $2,875. This threshold was achieved in December 2020 and PA Gas Utility implemented a DSIC effective April 1, 2021. The PA</w:t>
      </w:r>
      <w:r>
        <w:rPr>
          <w:rFonts w:eastAsia="Times New Roman"/>
          <w:color w:val="000000"/>
          <w:sz w:val="20"/>
          <w:szCs w:val="20"/>
        </w:rPr>
        <w:t>PUC’s final Order also includes enhanced COVID-19 customer assistance measures, including the establishment of an Emergency Relief Program for a defined set of payment troubled customers (“ERP”). Additionally, the PAPUC’s final order permits PA Gas Utility</w:t>
      </w:r>
      <w:r>
        <w:rPr>
          <w:rFonts w:eastAsia="Times New Roman"/>
          <w:color w:val="000000"/>
          <w:sz w:val="20"/>
          <w:szCs w:val="20"/>
        </w:rPr>
        <w:t xml:space="preserve"> to establish a regulatory asset for certain incremental expenses attributable to the ongoing COVID-19 pandemic, most notably expenses related to the ERP and uncollectible accounts expense, through the effective date of rates in the next PA Gas Utility bas</w:t>
      </w:r>
      <w:r>
        <w:rPr>
          <w:rFonts w:eastAsia="Times New Roman"/>
          <w:color w:val="000000"/>
          <w:sz w:val="20"/>
          <w:szCs w:val="20"/>
        </w:rPr>
        <w:t>e rate case, to be recovered and amortized over a 10-year period. In accordance with the terms of the final order, PA Gas Utility was not permitted to file a rate case prior to January 1, 2022.</w:t>
      </w:r>
    </w:p>
    <w:p w14:paraId="0165DC48" w14:textId="77777777" w:rsidR="00000000" w:rsidRDefault="00C1661D">
      <w:pPr>
        <w:jc w:val="both"/>
        <w:rPr>
          <w:rFonts w:eastAsia="Times New Roman"/>
        </w:rPr>
      </w:pPr>
    </w:p>
    <w:p w14:paraId="3BC07014" w14:textId="77777777" w:rsidR="00000000" w:rsidRDefault="00C1661D">
      <w:pPr>
        <w:jc w:val="both"/>
        <w:rPr>
          <w:rFonts w:eastAsia="Times New Roman"/>
        </w:rPr>
      </w:pPr>
      <w:r>
        <w:rPr>
          <w:rFonts w:eastAsia="Times New Roman"/>
          <w:b/>
          <w:bCs/>
          <w:color w:val="000000"/>
          <w:sz w:val="20"/>
          <w:szCs w:val="20"/>
          <w:u w:val="single"/>
        </w:rPr>
        <w:t xml:space="preserve">Note 10 — Inventories </w:t>
      </w:r>
    </w:p>
    <w:p w14:paraId="60987267" w14:textId="77777777" w:rsidR="00000000" w:rsidRDefault="00C1661D">
      <w:pPr>
        <w:jc w:val="both"/>
        <w:divId w:val="338460284"/>
        <w:rPr>
          <w:rFonts w:eastAsia="Times New Roman"/>
        </w:rPr>
      </w:pPr>
      <w:r>
        <w:rPr>
          <w:rFonts w:eastAsia="Times New Roman"/>
          <w:color w:val="000000"/>
          <w:sz w:val="20"/>
          <w:szCs w:val="20"/>
        </w:rPr>
        <w:t>Inventories comprise the following at</w:t>
      </w:r>
      <w:r>
        <w:rPr>
          <w:rFonts w:eastAsia="Times New Roman"/>
          <w:color w:val="000000"/>
          <w:sz w:val="20"/>
          <w:szCs w:val="20"/>
        </w:rPr>
        <w:t xml:space="preserve">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7"/>
        <w:gridCol w:w="120"/>
        <w:gridCol w:w="921"/>
        <w:gridCol w:w="36"/>
        <w:gridCol w:w="36"/>
        <w:gridCol w:w="36"/>
        <w:gridCol w:w="36"/>
        <w:gridCol w:w="120"/>
        <w:gridCol w:w="887"/>
        <w:gridCol w:w="36"/>
      </w:tblGrid>
      <w:tr w:rsidR="00000000" w14:paraId="0813F5AB" w14:textId="77777777">
        <w:trPr>
          <w:divId w:val="983243361"/>
        </w:trPr>
        <w:tc>
          <w:tcPr>
            <w:tcW w:w="50" w:type="pct"/>
            <w:vAlign w:val="center"/>
            <w:hideMark/>
          </w:tcPr>
          <w:p w14:paraId="5369B521" w14:textId="77777777" w:rsidR="00000000" w:rsidRDefault="00C1661D">
            <w:pPr>
              <w:jc w:val="both"/>
              <w:rPr>
                <w:rFonts w:eastAsia="Times New Roman"/>
              </w:rPr>
            </w:pPr>
          </w:p>
        </w:tc>
        <w:tc>
          <w:tcPr>
            <w:tcW w:w="3634" w:type="pct"/>
            <w:vAlign w:val="center"/>
            <w:hideMark/>
          </w:tcPr>
          <w:p w14:paraId="1956996B" w14:textId="77777777" w:rsidR="00000000" w:rsidRDefault="00C1661D">
            <w:pPr>
              <w:spacing w:after="100"/>
              <w:rPr>
                <w:rFonts w:eastAsia="Times New Roman"/>
                <w:sz w:val="20"/>
                <w:szCs w:val="20"/>
              </w:rPr>
            </w:pPr>
          </w:p>
        </w:tc>
        <w:tc>
          <w:tcPr>
            <w:tcW w:w="5" w:type="pct"/>
            <w:vAlign w:val="center"/>
            <w:hideMark/>
          </w:tcPr>
          <w:p w14:paraId="2A485CF6" w14:textId="77777777" w:rsidR="00000000" w:rsidRDefault="00C1661D">
            <w:pPr>
              <w:spacing w:after="100"/>
              <w:rPr>
                <w:rFonts w:eastAsia="Times New Roman"/>
                <w:sz w:val="20"/>
                <w:szCs w:val="20"/>
              </w:rPr>
            </w:pPr>
          </w:p>
        </w:tc>
        <w:tc>
          <w:tcPr>
            <w:tcW w:w="50" w:type="pct"/>
            <w:vAlign w:val="center"/>
            <w:hideMark/>
          </w:tcPr>
          <w:p w14:paraId="352320F6" w14:textId="77777777" w:rsidR="00000000" w:rsidRDefault="00C1661D">
            <w:pPr>
              <w:spacing w:after="100"/>
              <w:rPr>
                <w:rFonts w:eastAsia="Times New Roman"/>
                <w:sz w:val="20"/>
                <w:szCs w:val="20"/>
              </w:rPr>
            </w:pPr>
          </w:p>
        </w:tc>
        <w:tc>
          <w:tcPr>
            <w:tcW w:w="581" w:type="pct"/>
            <w:vAlign w:val="center"/>
            <w:hideMark/>
          </w:tcPr>
          <w:p w14:paraId="1FB43DCF" w14:textId="77777777" w:rsidR="00000000" w:rsidRDefault="00C1661D">
            <w:pPr>
              <w:spacing w:after="100"/>
              <w:rPr>
                <w:rFonts w:eastAsia="Times New Roman"/>
                <w:sz w:val="20"/>
                <w:szCs w:val="20"/>
              </w:rPr>
            </w:pPr>
          </w:p>
        </w:tc>
        <w:tc>
          <w:tcPr>
            <w:tcW w:w="5" w:type="pct"/>
            <w:vAlign w:val="center"/>
            <w:hideMark/>
          </w:tcPr>
          <w:p w14:paraId="60B3E9C4" w14:textId="77777777" w:rsidR="00000000" w:rsidRDefault="00C1661D">
            <w:pPr>
              <w:spacing w:after="100"/>
              <w:rPr>
                <w:rFonts w:eastAsia="Times New Roman"/>
                <w:sz w:val="20"/>
                <w:szCs w:val="20"/>
              </w:rPr>
            </w:pPr>
          </w:p>
        </w:tc>
        <w:tc>
          <w:tcPr>
            <w:tcW w:w="5" w:type="pct"/>
            <w:vAlign w:val="center"/>
            <w:hideMark/>
          </w:tcPr>
          <w:p w14:paraId="711BED8D" w14:textId="77777777" w:rsidR="00000000" w:rsidRDefault="00C1661D">
            <w:pPr>
              <w:spacing w:after="100"/>
              <w:rPr>
                <w:rFonts w:eastAsia="Times New Roman"/>
                <w:sz w:val="20"/>
                <w:szCs w:val="20"/>
              </w:rPr>
            </w:pPr>
          </w:p>
        </w:tc>
        <w:tc>
          <w:tcPr>
            <w:tcW w:w="26" w:type="pct"/>
            <w:vAlign w:val="center"/>
            <w:hideMark/>
          </w:tcPr>
          <w:p w14:paraId="577522E5" w14:textId="77777777" w:rsidR="00000000" w:rsidRDefault="00C1661D">
            <w:pPr>
              <w:spacing w:after="100"/>
              <w:rPr>
                <w:rFonts w:eastAsia="Times New Roman"/>
                <w:sz w:val="20"/>
                <w:szCs w:val="20"/>
              </w:rPr>
            </w:pPr>
          </w:p>
        </w:tc>
        <w:tc>
          <w:tcPr>
            <w:tcW w:w="5" w:type="pct"/>
            <w:vAlign w:val="center"/>
            <w:hideMark/>
          </w:tcPr>
          <w:p w14:paraId="43C8A1F4" w14:textId="77777777" w:rsidR="00000000" w:rsidRDefault="00C1661D">
            <w:pPr>
              <w:spacing w:after="100"/>
              <w:rPr>
                <w:rFonts w:eastAsia="Times New Roman"/>
                <w:sz w:val="20"/>
                <w:szCs w:val="20"/>
              </w:rPr>
            </w:pPr>
          </w:p>
        </w:tc>
        <w:tc>
          <w:tcPr>
            <w:tcW w:w="50" w:type="pct"/>
            <w:vAlign w:val="center"/>
            <w:hideMark/>
          </w:tcPr>
          <w:p w14:paraId="02F9E3AA" w14:textId="77777777" w:rsidR="00000000" w:rsidRDefault="00C1661D">
            <w:pPr>
              <w:spacing w:after="100"/>
              <w:rPr>
                <w:rFonts w:eastAsia="Times New Roman"/>
                <w:sz w:val="20"/>
                <w:szCs w:val="20"/>
              </w:rPr>
            </w:pPr>
          </w:p>
        </w:tc>
        <w:tc>
          <w:tcPr>
            <w:tcW w:w="581" w:type="pct"/>
            <w:vAlign w:val="center"/>
            <w:hideMark/>
          </w:tcPr>
          <w:p w14:paraId="479F91F3" w14:textId="77777777" w:rsidR="00000000" w:rsidRDefault="00C1661D">
            <w:pPr>
              <w:spacing w:after="100"/>
              <w:rPr>
                <w:rFonts w:eastAsia="Times New Roman"/>
                <w:sz w:val="20"/>
                <w:szCs w:val="20"/>
              </w:rPr>
            </w:pPr>
          </w:p>
        </w:tc>
        <w:tc>
          <w:tcPr>
            <w:tcW w:w="5" w:type="pct"/>
            <w:vAlign w:val="center"/>
            <w:hideMark/>
          </w:tcPr>
          <w:p w14:paraId="4FAF0307" w14:textId="77777777" w:rsidR="00000000" w:rsidRDefault="00C1661D">
            <w:pPr>
              <w:spacing w:after="100"/>
              <w:rPr>
                <w:rFonts w:eastAsia="Times New Roman"/>
                <w:sz w:val="20"/>
                <w:szCs w:val="20"/>
              </w:rPr>
            </w:pPr>
          </w:p>
        </w:tc>
      </w:tr>
      <w:tr w:rsidR="00000000" w14:paraId="0121D17C" w14:textId="77777777">
        <w:trPr>
          <w:divId w:val="983243361"/>
        </w:trPr>
        <w:tc>
          <w:tcPr>
            <w:tcW w:w="0" w:type="auto"/>
            <w:gridSpan w:val="3"/>
            <w:tcMar>
              <w:top w:w="0" w:type="dxa"/>
              <w:left w:w="20" w:type="dxa"/>
              <w:bottom w:w="0" w:type="dxa"/>
              <w:right w:w="20" w:type="dxa"/>
            </w:tcMar>
            <w:vAlign w:val="center"/>
            <w:hideMark/>
          </w:tcPr>
          <w:p w14:paraId="00C45799"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7613E16"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389779A2"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621FE34" w14:textId="77777777" w:rsidR="00000000" w:rsidRDefault="00C1661D">
            <w:pPr>
              <w:spacing w:after="100"/>
              <w:jc w:val="center"/>
              <w:rPr>
                <w:rFonts w:eastAsia="Times New Roman"/>
              </w:rPr>
            </w:pPr>
            <w:r>
              <w:rPr>
                <w:rFonts w:eastAsia="Times New Roman"/>
                <w:color w:val="000000"/>
                <w:sz w:val="20"/>
                <w:szCs w:val="20"/>
              </w:rPr>
              <w:t>2021</w:t>
            </w:r>
          </w:p>
        </w:tc>
      </w:tr>
      <w:tr w:rsidR="00000000" w14:paraId="612226EF" w14:textId="77777777">
        <w:trPr>
          <w:divId w:val="983243361"/>
        </w:trPr>
        <w:tc>
          <w:tcPr>
            <w:tcW w:w="0" w:type="auto"/>
            <w:gridSpan w:val="3"/>
            <w:shd w:val="clear" w:color="auto" w:fill="CCEEFF"/>
            <w:tcMar>
              <w:top w:w="30" w:type="dxa"/>
              <w:left w:w="20" w:type="dxa"/>
              <w:bottom w:w="30" w:type="dxa"/>
              <w:right w:w="20" w:type="dxa"/>
            </w:tcMar>
            <w:vAlign w:val="bottom"/>
            <w:hideMark/>
          </w:tcPr>
          <w:p w14:paraId="096E2531" w14:textId="77777777" w:rsidR="00000000" w:rsidRDefault="00C1661D">
            <w:pPr>
              <w:spacing w:after="100"/>
              <w:rPr>
                <w:rFonts w:eastAsia="Times New Roman"/>
              </w:rPr>
            </w:pPr>
            <w:r>
              <w:rPr>
                <w:rFonts w:eastAsia="Times New Roman"/>
                <w:color w:val="000000"/>
                <w:sz w:val="20"/>
                <w:szCs w:val="20"/>
              </w:rPr>
              <w:t>Non-utility LPG and natural gas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95838B"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E4606C" w14:textId="77777777" w:rsidR="00000000" w:rsidRDefault="00C1661D">
            <w:pPr>
              <w:spacing w:after="100"/>
              <w:jc w:val="right"/>
              <w:rPr>
                <w:rFonts w:eastAsia="Times New Roman"/>
              </w:rPr>
            </w:pPr>
            <w:r>
              <w:rPr>
                <w:rFonts w:eastAsia="Times New Roman"/>
                <w:color w:val="000000"/>
                <w:sz w:val="20"/>
                <w:szCs w:val="20"/>
              </w:rPr>
              <w:t>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53E73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D972CF"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163C8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1CCBE7" w14:textId="77777777" w:rsidR="00000000" w:rsidRDefault="00C1661D">
            <w:pPr>
              <w:spacing w:after="100"/>
              <w:jc w:val="right"/>
              <w:rPr>
                <w:rFonts w:eastAsia="Times New Roman"/>
              </w:rPr>
            </w:pPr>
            <w:r>
              <w:rPr>
                <w:rFonts w:eastAsia="Times New Roman"/>
                <w:color w:val="000000"/>
                <w:sz w:val="20"/>
                <w:szCs w:val="20"/>
              </w:rPr>
              <w:t>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C733FC" w14:textId="77777777" w:rsidR="00000000" w:rsidRDefault="00C1661D">
            <w:pPr>
              <w:spacing w:after="100"/>
              <w:jc w:val="right"/>
              <w:rPr>
                <w:rFonts w:eastAsia="Times New Roman"/>
              </w:rPr>
            </w:pPr>
          </w:p>
        </w:tc>
      </w:tr>
      <w:tr w:rsidR="00000000" w14:paraId="42BA5910" w14:textId="77777777">
        <w:trPr>
          <w:divId w:val="983243361"/>
        </w:trPr>
        <w:tc>
          <w:tcPr>
            <w:tcW w:w="0" w:type="auto"/>
            <w:gridSpan w:val="3"/>
            <w:shd w:val="clear" w:color="auto" w:fill="FFFFFF"/>
            <w:tcMar>
              <w:top w:w="30" w:type="dxa"/>
              <w:left w:w="20" w:type="dxa"/>
              <w:bottom w:w="30" w:type="dxa"/>
              <w:right w:w="20" w:type="dxa"/>
            </w:tcMar>
            <w:vAlign w:val="bottom"/>
            <w:hideMark/>
          </w:tcPr>
          <w:p w14:paraId="763C773D" w14:textId="77777777" w:rsidR="00000000" w:rsidRDefault="00C1661D">
            <w:pPr>
              <w:spacing w:after="100"/>
              <w:rPr>
                <w:rFonts w:eastAsia="Times New Roman"/>
              </w:rPr>
            </w:pPr>
            <w:r>
              <w:rPr>
                <w:rFonts w:eastAsia="Times New Roman"/>
                <w:color w:val="000000"/>
                <w:sz w:val="20"/>
                <w:szCs w:val="20"/>
              </w:rPr>
              <w:t>Gas Utility natural gas</w:t>
            </w:r>
          </w:p>
        </w:tc>
        <w:tc>
          <w:tcPr>
            <w:tcW w:w="0" w:type="auto"/>
            <w:gridSpan w:val="2"/>
            <w:shd w:val="clear" w:color="auto" w:fill="FFFFFF"/>
            <w:tcMar>
              <w:top w:w="30" w:type="dxa"/>
              <w:left w:w="20" w:type="dxa"/>
              <w:bottom w:w="30" w:type="dxa"/>
              <w:right w:w="0" w:type="dxa"/>
            </w:tcMar>
            <w:vAlign w:val="bottom"/>
            <w:hideMark/>
          </w:tcPr>
          <w:p w14:paraId="08B745E4" w14:textId="77777777" w:rsidR="00000000" w:rsidRDefault="00C1661D">
            <w:pPr>
              <w:spacing w:after="100"/>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14:paraId="7A00F08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752F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D5A584" w14:textId="77777777" w:rsidR="00000000" w:rsidRDefault="00C1661D">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14:paraId="0D3B9B1D" w14:textId="77777777" w:rsidR="00000000" w:rsidRDefault="00C1661D">
            <w:pPr>
              <w:spacing w:after="100"/>
              <w:jc w:val="right"/>
              <w:rPr>
                <w:rFonts w:eastAsia="Times New Roman"/>
              </w:rPr>
            </w:pPr>
          </w:p>
        </w:tc>
      </w:tr>
      <w:tr w:rsidR="00000000" w14:paraId="26BC2FE7" w14:textId="77777777">
        <w:trPr>
          <w:divId w:val="983243361"/>
        </w:trPr>
        <w:tc>
          <w:tcPr>
            <w:tcW w:w="0" w:type="auto"/>
            <w:gridSpan w:val="3"/>
            <w:shd w:val="clear" w:color="auto" w:fill="CCEEFF"/>
            <w:tcMar>
              <w:top w:w="30" w:type="dxa"/>
              <w:left w:w="20" w:type="dxa"/>
              <w:bottom w:w="30" w:type="dxa"/>
              <w:right w:w="20" w:type="dxa"/>
            </w:tcMar>
            <w:vAlign w:val="bottom"/>
            <w:hideMark/>
          </w:tcPr>
          <w:p w14:paraId="01F79721" w14:textId="77777777" w:rsidR="00000000" w:rsidRDefault="00C1661D">
            <w:pPr>
              <w:spacing w:after="100"/>
              <w:rPr>
                <w:rFonts w:eastAsia="Times New Roman"/>
              </w:rPr>
            </w:pPr>
            <w:r>
              <w:rPr>
                <w:rFonts w:eastAsia="Times New Roman"/>
                <w:color w:val="000000"/>
                <w:sz w:val="20"/>
                <w:szCs w:val="20"/>
              </w:rPr>
              <w:t>Energy certificates</w:t>
            </w:r>
          </w:p>
        </w:tc>
        <w:tc>
          <w:tcPr>
            <w:tcW w:w="0" w:type="auto"/>
            <w:gridSpan w:val="2"/>
            <w:shd w:val="clear" w:color="auto" w:fill="CCEEFF"/>
            <w:tcMar>
              <w:top w:w="30" w:type="dxa"/>
              <w:left w:w="20" w:type="dxa"/>
              <w:bottom w:w="30" w:type="dxa"/>
              <w:right w:w="0" w:type="dxa"/>
            </w:tcMar>
            <w:vAlign w:val="bottom"/>
            <w:hideMark/>
          </w:tcPr>
          <w:p w14:paraId="126D7813" w14:textId="77777777" w:rsidR="00000000" w:rsidRDefault="00C1661D">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14:paraId="0CA4356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A1088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D21783" w14:textId="77777777" w:rsidR="00000000" w:rsidRDefault="00C1661D">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14:paraId="04DCD3F6" w14:textId="77777777" w:rsidR="00000000" w:rsidRDefault="00C1661D">
            <w:pPr>
              <w:spacing w:after="100"/>
              <w:jc w:val="right"/>
              <w:rPr>
                <w:rFonts w:eastAsia="Times New Roman"/>
              </w:rPr>
            </w:pPr>
          </w:p>
        </w:tc>
      </w:tr>
      <w:tr w:rsidR="00000000" w14:paraId="00FDDA93" w14:textId="77777777">
        <w:trPr>
          <w:divId w:val="983243361"/>
        </w:trPr>
        <w:tc>
          <w:tcPr>
            <w:tcW w:w="0" w:type="auto"/>
            <w:gridSpan w:val="3"/>
            <w:shd w:val="clear" w:color="auto" w:fill="FFFFFF"/>
            <w:tcMar>
              <w:top w:w="30" w:type="dxa"/>
              <w:left w:w="20" w:type="dxa"/>
              <w:bottom w:w="30" w:type="dxa"/>
              <w:right w:w="20" w:type="dxa"/>
            </w:tcMar>
            <w:vAlign w:val="bottom"/>
            <w:hideMark/>
          </w:tcPr>
          <w:p w14:paraId="1C8678DA" w14:textId="77777777" w:rsidR="00000000" w:rsidRDefault="00C1661D">
            <w:pPr>
              <w:spacing w:after="100"/>
              <w:rPr>
                <w:rFonts w:eastAsia="Times New Roman"/>
              </w:rPr>
            </w:pPr>
            <w:r>
              <w:rPr>
                <w:rFonts w:eastAsia="Times New Roman"/>
                <w:color w:val="000000"/>
                <w:sz w:val="20"/>
                <w:szCs w:val="20"/>
              </w:rPr>
              <w:t>Materials, supplies and other</w:t>
            </w:r>
          </w:p>
        </w:tc>
        <w:tc>
          <w:tcPr>
            <w:tcW w:w="0" w:type="auto"/>
            <w:gridSpan w:val="2"/>
            <w:shd w:val="clear" w:color="auto" w:fill="FFFFFF"/>
            <w:tcMar>
              <w:top w:w="30" w:type="dxa"/>
              <w:left w:w="20" w:type="dxa"/>
              <w:bottom w:w="30" w:type="dxa"/>
              <w:right w:w="0" w:type="dxa"/>
            </w:tcMar>
            <w:vAlign w:val="bottom"/>
            <w:hideMark/>
          </w:tcPr>
          <w:p w14:paraId="6DD7050E" w14:textId="77777777" w:rsidR="00000000" w:rsidRDefault="00C1661D">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14:paraId="6CE9DD5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DCA11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1C53B5" w14:textId="77777777" w:rsidR="00000000" w:rsidRDefault="00C1661D">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14:paraId="6AC41F9E" w14:textId="77777777" w:rsidR="00000000" w:rsidRDefault="00C1661D">
            <w:pPr>
              <w:spacing w:after="100"/>
              <w:jc w:val="right"/>
              <w:rPr>
                <w:rFonts w:eastAsia="Times New Roman"/>
              </w:rPr>
            </w:pPr>
          </w:p>
        </w:tc>
      </w:tr>
      <w:tr w:rsidR="00000000" w14:paraId="2890EDF8" w14:textId="77777777">
        <w:trPr>
          <w:divId w:val="983243361"/>
        </w:trPr>
        <w:tc>
          <w:tcPr>
            <w:tcW w:w="0" w:type="auto"/>
            <w:gridSpan w:val="3"/>
            <w:shd w:val="clear" w:color="auto" w:fill="CCEEFF"/>
            <w:tcMar>
              <w:top w:w="30" w:type="dxa"/>
              <w:left w:w="20" w:type="dxa"/>
              <w:bottom w:w="30" w:type="dxa"/>
              <w:right w:w="20" w:type="dxa"/>
            </w:tcMar>
            <w:vAlign w:val="bottom"/>
            <w:hideMark/>
          </w:tcPr>
          <w:p w14:paraId="25B6FBB7" w14:textId="77777777" w:rsidR="00000000" w:rsidRDefault="00C1661D">
            <w:pPr>
              <w:spacing w:after="100"/>
              <w:rPr>
                <w:rFonts w:eastAsia="Times New Roman"/>
              </w:rPr>
            </w:pPr>
            <w:r>
              <w:rPr>
                <w:rFonts w:eastAsia="Times New Roman"/>
                <w:color w:val="000000"/>
                <w:sz w:val="20"/>
                <w:szCs w:val="20"/>
              </w:rPr>
              <w:t>Total inventories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7E36BC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AB9862" w14:textId="77777777" w:rsidR="00000000" w:rsidRDefault="00C1661D">
            <w:pPr>
              <w:spacing w:after="100"/>
              <w:jc w:val="right"/>
              <w:rPr>
                <w:rFonts w:eastAsia="Times New Roman"/>
              </w:rPr>
            </w:pPr>
            <w:r>
              <w:rPr>
                <w:rFonts w:eastAsia="Times New Roman"/>
                <w:color w:val="000000"/>
                <w:sz w:val="20"/>
                <w:szCs w:val="20"/>
              </w:rPr>
              <w:t>665 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401E86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D9A79"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E5BF2BE"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87C343F" w14:textId="77777777" w:rsidR="00000000" w:rsidRDefault="00C1661D">
            <w:pPr>
              <w:spacing w:after="100"/>
              <w:jc w:val="right"/>
              <w:rPr>
                <w:rFonts w:eastAsia="Times New Roman"/>
              </w:rPr>
            </w:pPr>
            <w:r>
              <w:rPr>
                <w:rFonts w:eastAsia="Times New Roman"/>
                <w:color w:val="000000"/>
                <w:sz w:val="20"/>
                <w:szCs w:val="20"/>
              </w:rPr>
              <w:t>469 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ED2AD4" w14:textId="77777777" w:rsidR="00000000" w:rsidRDefault="00C1661D">
            <w:pPr>
              <w:spacing w:after="100"/>
              <w:jc w:val="right"/>
              <w:rPr>
                <w:rFonts w:eastAsia="Times New Roman"/>
              </w:rPr>
            </w:pPr>
          </w:p>
        </w:tc>
      </w:tr>
    </w:tbl>
    <w:p w14:paraId="5B060C99" w14:textId="77777777" w:rsidR="00000000" w:rsidRDefault="00C1661D">
      <w:pPr>
        <w:ind w:firstLine="495"/>
        <w:jc w:val="both"/>
        <w:rPr>
          <w:rFonts w:eastAsia="Times New Roman"/>
        </w:rPr>
      </w:pPr>
    </w:p>
    <w:p w14:paraId="121E2AB1" w14:textId="77777777" w:rsidR="00000000" w:rsidRDefault="00C1661D">
      <w:pPr>
        <w:jc w:val="both"/>
        <w:rPr>
          <w:rFonts w:eastAsia="Times New Roman"/>
        </w:rPr>
      </w:pPr>
      <w:r>
        <w:rPr>
          <w:rFonts w:eastAsia="Times New Roman"/>
          <w:b/>
          <w:bCs/>
          <w:color w:val="000000"/>
          <w:sz w:val="20"/>
          <w:szCs w:val="20"/>
          <w:u w:val="single"/>
        </w:rPr>
        <w:t xml:space="preserve">Note 11 — Property, Plant and Equipment </w:t>
      </w:r>
    </w:p>
    <w:p w14:paraId="2A588B5D" w14:textId="77777777" w:rsidR="00000000" w:rsidRDefault="00C1661D">
      <w:pPr>
        <w:jc w:val="both"/>
        <w:divId w:val="24598975"/>
        <w:rPr>
          <w:rFonts w:eastAsia="Times New Roman"/>
        </w:rPr>
      </w:pPr>
      <w:r>
        <w:rPr>
          <w:rFonts w:eastAsia="Times New Roman"/>
          <w:color w:val="000000"/>
          <w:sz w:val="20"/>
          <w:szCs w:val="20"/>
        </w:rPr>
        <w:t>Property, plant and equipment comprise the following at September 30:</w:t>
      </w:r>
    </w:p>
    <w:tbl>
      <w:tblPr>
        <w:tblW w:w="4970" w:type="pct"/>
        <w:tblCellMar>
          <w:top w:w="15" w:type="dxa"/>
          <w:left w:w="15" w:type="dxa"/>
          <w:bottom w:w="15" w:type="dxa"/>
          <w:right w:w="15" w:type="dxa"/>
        </w:tblCellMar>
        <w:tblLook w:val="04A0" w:firstRow="1" w:lastRow="0" w:firstColumn="1" w:lastColumn="0" w:noHBand="0" w:noVBand="1"/>
      </w:tblPr>
      <w:tblGrid>
        <w:gridCol w:w="46"/>
        <w:gridCol w:w="4330"/>
        <w:gridCol w:w="37"/>
        <w:gridCol w:w="120"/>
        <w:gridCol w:w="927"/>
        <w:gridCol w:w="36"/>
        <w:gridCol w:w="36"/>
        <w:gridCol w:w="36"/>
        <w:gridCol w:w="36"/>
        <w:gridCol w:w="120"/>
        <w:gridCol w:w="897"/>
        <w:gridCol w:w="36"/>
        <w:gridCol w:w="36"/>
        <w:gridCol w:w="36"/>
        <w:gridCol w:w="36"/>
        <w:gridCol w:w="45"/>
        <w:gridCol w:w="1410"/>
        <w:gridCol w:w="36"/>
      </w:tblGrid>
      <w:tr w:rsidR="00000000" w14:paraId="542A69A3" w14:textId="77777777">
        <w:trPr>
          <w:divId w:val="1526555158"/>
        </w:trPr>
        <w:tc>
          <w:tcPr>
            <w:tcW w:w="50" w:type="pct"/>
            <w:vAlign w:val="center"/>
            <w:hideMark/>
          </w:tcPr>
          <w:p w14:paraId="21E73811" w14:textId="77777777" w:rsidR="00000000" w:rsidRDefault="00C1661D">
            <w:pPr>
              <w:jc w:val="both"/>
              <w:rPr>
                <w:rFonts w:eastAsia="Times New Roman"/>
              </w:rPr>
            </w:pPr>
          </w:p>
        </w:tc>
        <w:tc>
          <w:tcPr>
            <w:tcW w:w="2643" w:type="pct"/>
            <w:vAlign w:val="center"/>
            <w:hideMark/>
          </w:tcPr>
          <w:p w14:paraId="3E5EB061" w14:textId="77777777" w:rsidR="00000000" w:rsidRDefault="00C1661D">
            <w:pPr>
              <w:spacing w:after="100"/>
              <w:rPr>
                <w:rFonts w:eastAsia="Times New Roman"/>
                <w:sz w:val="20"/>
                <w:szCs w:val="20"/>
              </w:rPr>
            </w:pPr>
          </w:p>
        </w:tc>
        <w:tc>
          <w:tcPr>
            <w:tcW w:w="5" w:type="pct"/>
            <w:vAlign w:val="center"/>
            <w:hideMark/>
          </w:tcPr>
          <w:p w14:paraId="51A148A9" w14:textId="77777777" w:rsidR="00000000" w:rsidRDefault="00C1661D">
            <w:pPr>
              <w:spacing w:after="100"/>
              <w:rPr>
                <w:rFonts w:eastAsia="Times New Roman"/>
                <w:sz w:val="20"/>
                <w:szCs w:val="20"/>
              </w:rPr>
            </w:pPr>
          </w:p>
        </w:tc>
        <w:tc>
          <w:tcPr>
            <w:tcW w:w="50" w:type="pct"/>
            <w:vAlign w:val="center"/>
            <w:hideMark/>
          </w:tcPr>
          <w:p w14:paraId="336D69EA" w14:textId="77777777" w:rsidR="00000000" w:rsidRDefault="00C1661D">
            <w:pPr>
              <w:spacing w:after="100"/>
              <w:rPr>
                <w:rFonts w:eastAsia="Times New Roman"/>
                <w:sz w:val="20"/>
                <w:szCs w:val="20"/>
              </w:rPr>
            </w:pPr>
          </w:p>
        </w:tc>
        <w:tc>
          <w:tcPr>
            <w:tcW w:w="584" w:type="pct"/>
            <w:vAlign w:val="center"/>
            <w:hideMark/>
          </w:tcPr>
          <w:p w14:paraId="07850CC7" w14:textId="77777777" w:rsidR="00000000" w:rsidRDefault="00C1661D">
            <w:pPr>
              <w:spacing w:after="100"/>
              <w:rPr>
                <w:rFonts w:eastAsia="Times New Roman"/>
                <w:sz w:val="20"/>
                <w:szCs w:val="20"/>
              </w:rPr>
            </w:pPr>
          </w:p>
        </w:tc>
        <w:tc>
          <w:tcPr>
            <w:tcW w:w="5" w:type="pct"/>
            <w:vAlign w:val="center"/>
            <w:hideMark/>
          </w:tcPr>
          <w:p w14:paraId="1647EECF" w14:textId="77777777" w:rsidR="00000000" w:rsidRDefault="00C1661D">
            <w:pPr>
              <w:spacing w:after="100"/>
              <w:rPr>
                <w:rFonts w:eastAsia="Times New Roman"/>
                <w:sz w:val="20"/>
                <w:szCs w:val="20"/>
              </w:rPr>
            </w:pPr>
          </w:p>
        </w:tc>
        <w:tc>
          <w:tcPr>
            <w:tcW w:w="5" w:type="pct"/>
            <w:vAlign w:val="center"/>
            <w:hideMark/>
          </w:tcPr>
          <w:p w14:paraId="60A13DBC" w14:textId="77777777" w:rsidR="00000000" w:rsidRDefault="00C1661D">
            <w:pPr>
              <w:spacing w:after="100"/>
              <w:rPr>
                <w:rFonts w:eastAsia="Times New Roman"/>
                <w:sz w:val="20"/>
                <w:szCs w:val="20"/>
              </w:rPr>
            </w:pPr>
          </w:p>
        </w:tc>
        <w:tc>
          <w:tcPr>
            <w:tcW w:w="26" w:type="pct"/>
            <w:vAlign w:val="center"/>
            <w:hideMark/>
          </w:tcPr>
          <w:p w14:paraId="24CA3A87" w14:textId="77777777" w:rsidR="00000000" w:rsidRDefault="00C1661D">
            <w:pPr>
              <w:spacing w:after="100"/>
              <w:rPr>
                <w:rFonts w:eastAsia="Times New Roman"/>
                <w:sz w:val="20"/>
                <w:szCs w:val="20"/>
              </w:rPr>
            </w:pPr>
          </w:p>
        </w:tc>
        <w:tc>
          <w:tcPr>
            <w:tcW w:w="5" w:type="pct"/>
            <w:vAlign w:val="center"/>
            <w:hideMark/>
          </w:tcPr>
          <w:p w14:paraId="7D340FBA" w14:textId="77777777" w:rsidR="00000000" w:rsidRDefault="00C1661D">
            <w:pPr>
              <w:spacing w:after="100"/>
              <w:rPr>
                <w:rFonts w:eastAsia="Times New Roman"/>
                <w:sz w:val="20"/>
                <w:szCs w:val="20"/>
              </w:rPr>
            </w:pPr>
          </w:p>
        </w:tc>
        <w:tc>
          <w:tcPr>
            <w:tcW w:w="50" w:type="pct"/>
            <w:vAlign w:val="center"/>
            <w:hideMark/>
          </w:tcPr>
          <w:p w14:paraId="514C45BC" w14:textId="77777777" w:rsidR="00000000" w:rsidRDefault="00C1661D">
            <w:pPr>
              <w:spacing w:after="100"/>
              <w:rPr>
                <w:rFonts w:eastAsia="Times New Roman"/>
                <w:sz w:val="20"/>
                <w:szCs w:val="20"/>
              </w:rPr>
            </w:pPr>
          </w:p>
        </w:tc>
        <w:tc>
          <w:tcPr>
            <w:tcW w:w="584" w:type="pct"/>
            <w:vAlign w:val="center"/>
            <w:hideMark/>
          </w:tcPr>
          <w:p w14:paraId="761C1E2D" w14:textId="77777777" w:rsidR="00000000" w:rsidRDefault="00C1661D">
            <w:pPr>
              <w:spacing w:after="100"/>
              <w:rPr>
                <w:rFonts w:eastAsia="Times New Roman"/>
                <w:sz w:val="20"/>
                <w:szCs w:val="20"/>
              </w:rPr>
            </w:pPr>
          </w:p>
        </w:tc>
        <w:tc>
          <w:tcPr>
            <w:tcW w:w="5" w:type="pct"/>
            <w:vAlign w:val="center"/>
            <w:hideMark/>
          </w:tcPr>
          <w:p w14:paraId="2FBE9F3B" w14:textId="77777777" w:rsidR="00000000" w:rsidRDefault="00C1661D">
            <w:pPr>
              <w:spacing w:after="100"/>
              <w:rPr>
                <w:rFonts w:eastAsia="Times New Roman"/>
                <w:sz w:val="20"/>
                <w:szCs w:val="20"/>
              </w:rPr>
            </w:pPr>
          </w:p>
        </w:tc>
        <w:tc>
          <w:tcPr>
            <w:tcW w:w="5" w:type="pct"/>
            <w:vAlign w:val="center"/>
            <w:hideMark/>
          </w:tcPr>
          <w:p w14:paraId="3EEF7014" w14:textId="77777777" w:rsidR="00000000" w:rsidRDefault="00C1661D">
            <w:pPr>
              <w:spacing w:after="100"/>
              <w:rPr>
                <w:rFonts w:eastAsia="Times New Roman"/>
                <w:sz w:val="20"/>
                <w:szCs w:val="20"/>
              </w:rPr>
            </w:pPr>
          </w:p>
        </w:tc>
        <w:tc>
          <w:tcPr>
            <w:tcW w:w="26" w:type="pct"/>
            <w:vAlign w:val="center"/>
            <w:hideMark/>
          </w:tcPr>
          <w:p w14:paraId="02AB7A59" w14:textId="77777777" w:rsidR="00000000" w:rsidRDefault="00C1661D">
            <w:pPr>
              <w:spacing w:after="100"/>
              <w:rPr>
                <w:rFonts w:eastAsia="Times New Roman"/>
                <w:sz w:val="20"/>
                <w:szCs w:val="20"/>
              </w:rPr>
            </w:pPr>
          </w:p>
        </w:tc>
        <w:tc>
          <w:tcPr>
            <w:tcW w:w="5" w:type="pct"/>
            <w:vAlign w:val="center"/>
            <w:hideMark/>
          </w:tcPr>
          <w:p w14:paraId="07815BF6" w14:textId="77777777" w:rsidR="00000000" w:rsidRDefault="00C1661D">
            <w:pPr>
              <w:spacing w:after="100"/>
              <w:rPr>
                <w:rFonts w:eastAsia="Times New Roman"/>
                <w:sz w:val="20"/>
                <w:szCs w:val="20"/>
              </w:rPr>
            </w:pPr>
          </w:p>
        </w:tc>
        <w:tc>
          <w:tcPr>
            <w:tcW w:w="50" w:type="pct"/>
            <w:vAlign w:val="center"/>
            <w:hideMark/>
          </w:tcPr>
          <w:p w14:paraId="08B1A59E" w14:textId="77777777" w:rsidR="00000000" w:rsidRDefault="00C1661D">
            <w:pPr>
              <w:spacing w:after="100"/>
              <w:rPr>
                <w:rFonts w:eastAsia="Times New Roman"/>
                <w:sz w:val="20"/>
                <w:szCs w:val="20"/>
              </w:rPr>
            </w:pPr>
          </w:p>
        </w:tc>
        <w:tc>
          <w:tcPr>
            <w:tcW w:w="893" w:type="pct"/>
            <w:vAlign w:val="center"/>
            <w:hideMark/>
          </w:tcPr>
          <w:p w14:paraId="222B602E" w14:textId="77777777" w:rsidR="00000000" w:rsidRDefault="00C1661D">
            <w:pPr>
              <w:spacing w:after="100"/>
              <w:rPr>
                <w:rFonts w:eastAsia="Times New Roman"/>
                <w:sz w:val="20"/>
                <w:szCs w:val="20"/>
              </w:rPr>
            </w:pPr>
          </w:p>
        </w:tc>
        <w:tc>
          <w:tcPr>
            <w:tcW w:w="5" w:type="pct"/>
            <w:vAlign w:val="center"/>
            <w:hideMark/>
          </w:tcPr>
          <w:p w14:paraId="75157B5C" w14:textId="77777777" w:rsidR="00000000" w:rsidRDefault="00C1661D">
            <w:pPr>
              <w:spacing w:after="100"/>
              <w:rPr>
                <w:rFonts w:eastAsia="Times New Roman"/>
                <w:sz w:val="20"/>
                <w:szCs w:val="20"/>
              </w:rPr>
            </w:pPr>
          </w:p>
        </w:tc>
      </w:tr>
      <w:tr w:rsidR="00000000" w14:paraId="0D499C96" w14:textId="77777777">
        <w:trPr>
          <w:divId w:val="1526555158"/>
        </w:trPr>
        <w:tc>
          <w:tcPr>
            <w:tcW w:w="0" w:type="auto"/>
            <w:gridSpan w:val="3"/>
            <w:tcMar>
              <w:top w:w="0" w:type="dxa"/>
              <w:left w:w="20" w:type="dxa"/>
              <w:bottom w:w="0" w:type="dxa"/>
              <w:right w:w="20" w:type="dxa"/>
            </w:tcMar>
            <w:vAlign w:val="center"/>
            <w:hideMark/>
          </w:tcPr>
          <w:p w14:paraId="7A237DBC"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E9B883D"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6FC65836"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32F778"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694C8724"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7E95409" w14:textId="77777777" w:rsidR="00000000" w:rsidRDefault="00C1661D">
            <w:pPr>
              <w:spacing w:after="100"/>
              <w:rPr>
                <w:rFonts w:eastAsia="Times New Roman"/>
              </w:rPr>
            </w:pPr>
            <w:r>
              <w:rPr>
                <w:rFonts w:eastAsia="Times New Roman"/>
                <w:color w:val="000000"/>
                <w:sz w:val="20"/>
                <w:szCs w:val="20"/>
              </w:rPr>
              <w:t>Estimated Useful Life</w:t>
            </w:r>
          </w:p>
        </w:tc>
      </w:tr>
      <w:tr w:rsidR="00000000" w14:paraId="6ED0B7EC" w14:textId="77777777">
        <w:trPr>
          <w:divId w:val="1526555158"/>
        </w:trPr>
        <w:tc>
          <w:tcPr>
            <w:tcW w:w="0" w:type="auto"/>
            <w:gridSpan w:val="3"/>
            <w:shd w:val="clear" w:color="auto" w:fill="CCEEFF"/>
            <w:tcMar>
              <w:top w:w="30" w:type="dxa"/>
              <w:left w:w="20" w:type="dxa"/>
              <w:bottom w:w="30" w:type="dxa"/>
              <w:right w:w="20" w:type="dxa"/>
            </w:tcMar>
            <w:vAlign w:val="bottom"/>
            <w:hideMark/>
          </w:tcPr>
          <w:p w14:paraId="5C08ECA0" w14:textId="77777777" w:rsidR="00000000" w:rsidRDefault="00C1661D">
            <w:pPr>
              <w:spacing w:after="100"/>
              <w:rPr>
                <w:rFonts w:eastAsia="Times New Roman"/>
              </w:rPr>
            </w:pPr>
            <w:r>
              <w:rPr>
                <w:rFonts w:eastAsia="Times New Roman"/>
                <w:color w:val="000000"/>
                <w:sz w:val="20"/>
                <w:szCs w:val="20"/>
              </w:rPr>
              <w:t>Utility: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D6A9090"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C38C75E"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9453FF0"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0B2850C"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A6F34E" w14:textId="77777777" w:rsidR="00000000" w:rsidRDefault="00C1661D">
            <w:pPr>
              <w:spacing w:after="100"/>
              <w:rPr>
                <w:rFonts w:eastAsia="Times New Roman"/>
                <w:sz w:val="20"/>
                <w:szCs w:val="20"/>
              </w:rPr>
            </w:pPr>
          </w:p>
        </w:tc>
      </w:tr>
      <w:tr w:rsidR="00000000" w14:paraId="39961669" w14:textId="77777777">
        <w:trPr>
          <w:divId w:val="1526555158"/>
        </w:trPr>
        <w:tc>
          <w:tcPr>
            <w:tcW w:w="0" w:type="auto"/>
            <w:gridSpan w:val="3"/>
            <w:shd w:val="clear" w:color="auto" w:fill="FFFFFF"/>
            <w:tcMar>
              <w:top w:w="30" w:type="dxa"/>
              <w:left w:w="155" w:type="dxa"/>
              <w:bottom w:w="30" w:type="dxa"/>
              <w:right w:w="20" w:type="dxa"/>
            </w:tcMar>
            <w:vAlign w:val="bottom"/>
            <w:hideMark/>
          </w:tcPr>
          <w:p w14:paraId="582CC89A" w14:textId="77777777" w:rsidR="00000000" w:rsidRDefault="00C1661D">
            <w:pPr>
              <w:spacing w:after="100"/>
              <w:rPr>
                <w:rFonts w:eastAsia="Times New Roman"/>
              </w:rPr>
            </w:pPr>
            <w:r>
              <w:rPr>
                <w:rFonts w:eastAsia="Times New Roman"/>
                <w:color w:val="000000"/>
                <w:sz w:val="20"/>
                <w:szCs w:val="20"/>
              </w:rPr>
              <w:t>Distribution</w:t>
            </w:r>
          </w:p>
        </w:tc>
        <w:tc>
          <w:tcPr>
            <w:tcW w:w="0" w:type="auto"/>
            <w:shd w:val="clear" w:color="auto" w:fill="FFFFFF"/>
            <w:tcMar>
              <w:top w:w="30" w:type="dxa"/>
              <w:left w:w="20" w:type="dxa"/>
              <w:bottom w:w="30" w:type="dxa"/>
              <w:right w:w="0" w:type="dxa"/>
            </w:tcMar>
            <w:vAlign w:val="bottom"/>
            <w:hideMark/>
          </w:tcPr>
          <w:p w14:paraId="49189D2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050C504" w14:textId="77777777" w:rsidR="00000000" w:rsidRDefault="00C1661D">
            <w:pPr>
              <w:spacing w:after="100"/>
              <w:jc w:val="right"/>
              <w:rPr>
                <w:rFonts w:eastAsia="Times New Roman"/>
              </w:rPr>
            </w:pPr>
            <w:r>
              <w:rPr>
                <w:rFonts w:eastAsia="Times New Roman"/>
                <w:color w:val="000000"/>
                <w:sz w:val="20"/>
                <w:szCs w:val="20"/>
              </w:rPr>
              <w:t>4,746 </w:t>
            </w:r>
          </w:p>
        </w:tc>
        <w:tc>
          <w:tcPr>
            <w:tcW w:w="0" w:type="auto"/>
            <w:shd w:val="clear" w:color="auto" w:fill="FFFFFF"/>
            <w:tcMar>
              <w:top w:w="30" w:type="dxa"/>
              <w:left w:w="0" w:type="dxa"/>
              <w:bottom w:w="30" w:type="dxa"/>
              <w:right w:w="20" w:type="dxa"/>
            </w:tcMar>
            <w:vAlign w:val="bottom"/>
            <w:hideMark/>
          </w:tcPr>
          <w:p w14:paraId="45A315F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8EE466"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0DCE8F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5E1D8EB" w14:textId="77777777" w:rsidR="00000000" w:rsidRDefault="00C1661D">
            <w:pPr>
              <w:spacing w:after="100"/>
              <w:jc w:val="right"/>
              <w:rPr>
                <w:rFonts w:eastAsia="Times New Roman"/>
              </w:rPr>
            </w:pPr>
            <w:r>
              <w:rPr>
                <w:rFonts w:eastAsia="Times New Roman"/>
                <w:color w:val="000000"/>
                <w:sz w:val="20"/>
                <w:szCs w:val="20"/>
              </w:rPr>
              <w:t>4,306 </w:t>
            </w:r>
          </w:p>
        </w:tc>
        <w:tc>
          <w:tcPr>
            <w:tcW w:w="0" w:type="auto"/>
            <w:shd w:val="clear" w:color="auto" w:fill="FFFFFF"/>
            <w:tcMar>
              <w:top w:w="30" w:type="dxa"/>
              <w:left w:w="0" w:type="dxa"/>
              <w:bottom w:w="30" w:type="dxa"/>
              <w:right w:w="20" w:type="dxa"/>
            </w:tcMar>
            <w:vAlign w:val="bottom"/>
            <w:hideMark/>
          </w:tcPr>
          <w:p w14:paraId="644B880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ADB05C" w14:textId="77777777" w:rsidR="00000000" w:rsidRDefault="00C1661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538805" w14:textId="77777777" w:rsidR="00000000" w:rsidRDefault="00C1661D">
            <w:pPr>
              <w:spacing w:after="100"/>
              <w:rPr>
                <w:rFonts w:eastAsia="Times New Roman"/>
                <w:sz w:val="20"/>
                <w:szCs w:val="20"/>
              </w:rPr>
            </w:pPr>
          </w:p>
        </w:tc>
      </w:tr>
      <w:tr w:rsidR="00000000" w14:paraId="53F7DD7D" w14:textId="77777777">
        <w:trPr>
          <w:divId w:val="1526555158"/>
        </w:trPr>
        <w:tc>
          <w:tcPr>
            <w:tcW w:w="0" w:type="auto"/>
            <w:gridSpan w:val="3"/>
            <w:shd w:val="clear" w:color="auto" w:fill="CCEEFF"/>
            <w:tcMar>
              <w:top w:w="30" w:type="dxa"/>
              <w:left w:w="155" w:type="dxa"/>
              <w:bottom w:w="30" w:type="dxa"/>
              <w:right w:w="20" w:type="dxa"/>
            </w:tcMar>
            <w:vAlign w:val="bottom"/>
            <w:hideMark/>
          </w:tcPr>
          <w:p w14:paraId="4DE697E1" w14:textId="77777777" w:rsidR="00000000" w:rsidRDefault="00C1661D">
            <w:pPr>
              <w:spacing w:after="100"/>
              <w:rPr>
                <w:rFonts w:eastAsia="Times New Roman"/>
              </w:rPr>
            </w:pPr>
            <w:r>
              <w:rPr>
                <w:rFonts w:eastAsia="Times New Roman"/>
                <w:color w:val="000000"/>
                <w:sz w:val="20"/>
                <w:szCs w:val="20"/>
              </w:rPr>
              <w:t>Transmission</w:t>
            </w:r>
          </w:p>
        </w:tc>
        <w:tc>
          <w:tcPr>
            <w:tcW w:w="0" w:type="auto"/>
            <w:gridSpan w:val="2"/>
            <w:shd w:val="clear" w:color="auto" w:fill="CCEEFF"/>
            <w:tcMar>
              <w:top w:w="30" w:type="dxa"/>
              <w:left w:w="20" w:type="dxa"/>
              <w:bottom w:w="30" w:type="dxa"/>
              <w:right w:w="0" w:type="dxa"/>
            </w:tcMar>
            <w:vAlign w:val="bottom"/>
            <w:hideMark/>
          </w:tcPr>
          <w:p w14:paraId="225D757F" w14:textId="77777777" w:rsidR="00000000" w:rsidRDefault="00C1661D">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14:paraId="76714C0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7F4A1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49429E" w14:textId="77777777" w:rsidR="00000000" w:rsidRDefault="00C1661D">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14:paraId="168D9C8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A23D5" w14:textId="77777777" w:rsidR="00000000" w:rsidRDefault="00C1661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FD7ED7" w14:textId="77777777" w:rsidR="00000000" w:rsidRDefault="00C1661D">
            <w:pPr>
              <w:spacing w:after="100"/>
              <w:rPr>
                <w:rFonts w:eastAsia="Times New Roman"/>
                <w:sz w:val="20"/>
                <w:szCs w:val="20"/>
              </w:rPr>
            </w:pPr>
          </w:p>
        </w:tc>
      </w:tr>
      <w:tr w:rsidR="00000000" w14:paraId="3A255A21" w14:textId="77777777">
        <w:trPr>
          <w:divId w:val="1526555158"/>
        </w:trPr>
        <w:tc>
          <w:tcPr>
            <w:tcW w:w="0" w:type="auto"/>
            <w:gridSpan w:val="3"/>
            <w:shd w:val="clear" w:color="auto" w:fill="FFFFFF"/>
            <w:tcMar>
              <w:top w:w="30" w:type="dxa"/>
              <w:left w:w="155" w:type="dxa"/>
              <w:bottom w:w="30" w:type="dxa"/>
              <w:right w:w="20" w:type="dxa"/>
            </w:tcMar>
            <w:vAlign w:val="bottom"/>
            <w:hideMark/>
          </w:tcPr>
          <w:p w14:paraId="66F8E717" w14:textId="77777777" w:rsidR="00000000" w:rsidRDefault="00C1661D">
            <w:pPr>
              <w:spacing w:after="100"/>
              <w:rPr>
                <w:rFonts w:eastAsia="Times New Roman"/>
              </w:rPr>
            </w:pPr>
            <w:r>
              <w:rPr>
                <w:rFonts w:eastAsia="Times New Roman"/>
                <w:color w:val="000000"/>
                <w:sz w:val="20"/>
                <w:szCs w:val="20"/>
              </w:rPr>
              <w:t>General and other</w:t>
            </w:r>
          </w:p>
        </w:tc>
        <w:tc>
          <w:tcPr>
            <w:tcW w:w="0" w:type="auto"/>
            <w:gridSpan w:val="2"/>
            <w:shd w:val="clear" w:color="auto" w:fill="FFFFFF"/>
            <w:tcMar>
              <w:top w:w="30" w:type="dxa"/>
              <w:left w:w="20" w:type="dxa"/>
              <w:bottom w:w="30" w:type="dxa"/>
              <w:right w:w="0" w:type="dxa"/>
            </w:tcMar>
            <w:vAlign w:val="bottom"/>
            <w:hideMark/>
          </w:tcPr>
          <w:p w14:paraId="75C63FA9" w14:textId="77777777" w:rsidR="00000000" w:rsidRDefault="00C1661D">
            <w:pPr>
              <w:spacing w:after="100"/>
              <w:jc w:val="right"/>
              <w:rPr>
                <w:rFonts w:eastAsia="Times New Roman"/>
              </w:rPr>
            </w:pPr>
            <w:r>
              <w:rPr>
                <w:rFonts w:eastAsia="Times New Roman"/>
                <w:color w:val="000000"/>
                <w:sz w:val="20"/>
                <w:szCs w:val="20"/>
              </w:rPr>
              <w:t>557 </w:t>
            </w:r>
          </w:p>
        </w:tc>
        <w:tc>
          <w:tcPr>
            <w:tcW w:w="0" w:type="auto"/>
            <w:shd w:val="clear" w:color="auto" w:fill="FFFFFF"/>
            <w:tcMar>
              <w:top w:w="30" w:type="dxa"/>
              <w:left w:w="0" w:type="dxa"/>
              <w:bottom w:w="30" w:type="dxa"/>
              <w:right w:w="20" w:type="dxa"/>
            </w:tcMar>
            <w:vAlign w:val="bottom"/>
            <w:hideMark/>
          </w:tcPr>
          <w:p w14:paraId="51851C3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88AD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13A65C" w14:textId="77777777" w:rsidR="00000000" w:rsidRDefault="00C1661D">
            <w:pPr>
              <w:spacing w:after="100"/>
              <w:jc w:val="right"/>
              <w:rPr>
                <w:rFonts w:eastAsia="Times New Roman"/>
              </w:rPr>
            </w:pPr>
            <w:r>
              <w:rPr>
                <w:rFonts w:eastAsia="Times New Roman"/>
                <w:color w:val="000000"/>
                <w:sz w:val="20"/>
                <w:szCs w:val="20"/>
              </w:rPr>
              <w:t>507 </w:t>
            </w:r>
          </w:p>
        </w:tc>
        <w:tc>
          <w:tcPr>
            <w:tcW w:w="0" w:type="auto"/>
            <w:shd w:val="clear" w:color="auto" w:fill="FFFFFF"/>
            <w:tcMar>
              <w:top w:w="30" w:type="dxa"/>
              <w:left w:w="0" w:type="dxa"/>
              <w:bottom w:w="30" w:type="dxa"/>
              <w:right w:w="20" w:type="dxa"/>
            </w:tcMar>
            <w:vAlign w:val="bottom"/>
            <w:hideMark/>
          </w:tcPr>
          <w:p w14:paraId="11E1F74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D75EAB" w14:textId="77777777" w:rsidR="00000000" w:rsidRDefault="00C1661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5788BB" w14:textId="77777777" w:rsidR="00000000" w:rsidRDefault="00C1661D">
            <w:pPr>
              <w:spacing w:after="100"/>
              <w:rPr>
                <w:rFonts w:eastAsia="Times New Roman"/>
                <w:sz w:val="20"/>
                <w:szCs w:val="20"/>
              </w:rPr>
            </w:pPr>
          </w:p>
        </w:tc>
      </w:tr>
      <w:tr w:rsidR="00000000" w14:paraId="3CFC2D80" w14:textId="77777777">
        <w:trPr>
          <w:divId w:val="1526555158"/>
        </w:trPr>
        <w:tc>
          <w:tcPr>
            <w:tcW w:w="0" w:type="auto"/>
            <w:gridSpan w:val="3"/>
            <w:shd w:val="clear" w:color="auto" w:fill="CCEEFF"/>
            <w:tcMar>
              <w:top w:w="30" w:type="dxa"/>
              <w:left w:w="155" w:type="dxa"/>
              <w:bottom w:w="30" w:type="dxa"/>
              <w:right w:w="20" w:type="dxa"/>
            </w:tcMar>
            <w:vAlign w:val="bottom"/>
            <w:hideMark/>
          </w:tcPr>
          <w:p w14:paraId="45FF88EB" w14:textId="77777777" w:rsidR="00000000" w:rsidRDefault="00C1661D">
            <w:pPr>
              <w:spacing w:after="100"/>
              <w:rPr>
                <w:rFonts w:eastAsia="Times New Roman"/>
              </w:rPr>
            </w:pPr>
            <w:r>
              <w:rPr>
                <w:rFonts w:eastAsia="Times New Roman"/>
                <w:color w:val="000000"/>
                <w:sz w:val="20"/>
                <w:szCs w:val="20"/>
              </w:rPr>
              <w:t>Work in process</w:t>
            </w:r>
          </w:p>
        </w:tc>
        <w:tc>
          <w:tcPr>
            <w:tcW w:w="0" w:type="auto"/>
            <w:gridSpan w:val="2"/>
            <w:shd w:val="clear" w:color="auto" w:fill="CCEEFF"/>
            <w:tcMar>
              <w:top w:w="30" w:type="dxa"/>
              <w:left w:w="20" w:type="dxa"/>
              <w:bottom w:w="30" w:type="dxa"/>
              <w:right w:w="0" w:type="dxa"/>
            </w:tcMar>
            <w:vAlign w:val="bottom"/>
            <w:hideMark/>
          </w:tcPr>
          <w:p w14:paraId="77346C8B" w14:textId="77777777" w:rsidR="00000000" w:rsidRDefault="00C1661D">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14:paraId="3135142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2AED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09B741" w14:textId="77777777" w:rsidR="00000000" w:rsidRDefault="00C1661D">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14:paraId="6EC83A5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71F917" w14:textId="77777777" w:rsidR="00000000" w:rsidRDefault="00C1661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6D9BBB" w14:textId="77777777" w:rsidR="00000000" w:rsidRDefault="00C1661D">
            <w:pPr>
              <w:spacing w:after="100"/>
              <w:rPr>
                <w:rFonts w:eastAsia="Times New Roman"/>
                <w:sz w:val="20"/>
                <w:szCs w:val="20"/>
              </w:rPr>
            </w:pPr>
          </w:p>
        </w:tc>
      </w:tr>
      <w:tr w:rsidR="00000000" w14:paraId="7C730724" w14:textId="77777777">
        <w:trPr>
          <w:divId w:val="1526555158"/>
        </w:trPr>
        <w:tc>
          <w:tcPr>
            <w:tcW w:w="0" w:type="auto"/>
            <w:gridSpan w:val="3"/>
            <w:shd w:val="clear" w:color="auto" w:fill="FFFFFF"/>
            <w:tcMar>
              <w:top w:w="30" w:type="dxa"/>
              <w:left w:w="20" w:type="dxa"/>
              <w:bottom w:w="30" w:type="dxa"/>
              <w:right w:w="20" w:type="dxa"/>
            </w:tcMar>
            <w:vAlign w:val="bottom"/>
            <w:hideMark/>
          </w:tcPr>
          <w:p w14:paraId="316A55CD" w14:textId="77777777" w:rsidR="00000000" w:rsidRDefault="00C1661D">
            <w:pPr>
              <w:spacing w:after="100"/>
              <w:rPr>
                <w:rFonts w:eastAsia="Times New Roman"/>
              </w:rPr>
            </w:pPr>
            <w:r>
              <w:rPr>
                <w:rFonts w:eastAsia="Times New Roman"/>
                <w:color w:val="000000"/>
                <w:sz w:val="20"/>
                <w:szCs w:val="20"/>
              </w:rPr>
              <w:t>Total Utility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6A6C31" w14:textId="77777777" w:rsidR="00000000" w:rsidRDefault="00C1661D">
            <w:pPr>
              <w:spacing w:after="100"/>
              <w:jc w:val="right"/>
              <w:rPr>
                <w:rFonts w:eastAsia="Times New Roman"/>
              </w:rPr>
            </w:pPr>
            <w:r>
              <w:rPr>
                <w:rFonts w:eastAsia="Times New Roman"/>
                <w:color w:val="000000"/>
                <w:sz w:val="20"/>
                <w:szCs w:val="20"/>
              </w:rPr>
              <w:t>5,550 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C5820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19DB13"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F638E6" w14:textId="77777777" w:rsidR="00000000" w:rsidRDefault="00C1661D">
            <w:pPr>
              <w:spacing w:after="100"/>
              <w:jc w:val="right"/>
              <w:rPr>
                <w:rFonts w:eastAsia="Times New Roman"/>
              </w:rPr>
            </w:pPr>
            <w:r>
              <w:rPr>
                <w:rFonts w:eastAsia="Times New Roman"/>
                <w:color w:val="000000"/>
                <w:sz w:val="20"/>
                <w:szCs w:val="20"/>
              </w:rPr>
              <w:t>5,022 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F1B6F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04A1F4" w14:textId="77777777" w:rsidR="00000000" w:rsidRDefault="00C1661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C5FC76" w14:textId="77777777" w:rsidR="00000000" w:rsidRDefault="00C1661D">
            <w:pPr>
              <w:spacing w:after="100"/>
              <w:rPr>
                <w:rFonts w:eastAsia="Times New Roman"/>
                <w:sz w:val="20"/>
                <w:szCs w:val="20"/>
              </w:rPr>
            </w:pPr>
          </w:p>
        </w:tc>
      </w:tr>
      <w:tr w:rsidR="00000000" w14:paraId="2095BB28" w14:textId="77777777">
        <w:trPr>
          <w:divId w:val="1526555158"/>
          <w:trHeight w:val="300"/>
        </w:trPr>
        <w:tc>
          <w:tcPr>
            <w:tcW w:w="0" w:type="auto"/>
            <w:gridSpan w:val="3"/>
            <w:shd w:val="clear" w:color="auto" w:fill="CCEEFF"/>
            <w:tcMar>
              <w:top w:w="0" w:type="dxa"/>
              <w:left w:w="20" w:type="dxa"/>
              <w:bottom w:w="0" w:type="dxa"/>
              <w:right w:w="20" w:type="dxa"/>
            </w:tcMar>
            <w:vAlign w:val="center"/>
            <w:hideMark/>
          </w:tcPr>
          <w:p w14:paraId="63E5ECD5"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BB91DB"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D7364E"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4B2D9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200EB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E11955" w14:textId="77777777" w:rsidR="00000000" w:rsidRDefault="00C1661D">
            <w:pPr>
              <w:spacing w:after="100"/>
              <w:rPr>
                <w:rFonts w:eastAsia="Times New Roman"/>
                <w:sz w:val="20"/>
                <w:szCs w:val="20"/>
              </w:rPr>
            </w:pPr>
          </w:p>
        </w:tc>
      </w:tr>
      <w:tr w:rsidR="00000000" w14:paraId="70D231A8" w14:textId="77777777">
        <w:trPr>
          <w:divId w:val="1526555158"/>
        </w:trPr>
        <w:tc>
          <w:tcPr>
            <w:tcW w:w="0" w:type="auto"/>
            <w:gridSpan w:val="3"/>
            <w:shd w:val="clear" w:color="auto" w:fill="FFFFFF"/>
            <w:tcMar>
              <w:top w:w="30" w:type="dxa"/>
              <w:left w:w="20" w:type="dxa"/>
              <w:bottom w:w="30" w:type="dxa"/>
              <w:right w:w="20" w:type="dxa"/>
            </w:tcMar>
            <w:vAlign w:val="bottom"/>
            <w:hideMark/>
          </w:tcPr>
          <w:p w14:paraId="2B39A8E0" w14:textId="77777777" w:rsidR="00000000" w:rsidRDefault="00C1661D">
            <w:pPr>
              <w:spacing w:after="100"/>
              <w:rPr>
                <w:rFonts w:eastAsia="Times New Roman"/>
              </w:rPr>
            </w:pPr>
            <w:r>
              <w:rPr>
                <w:rFonts w:eastAsia="Times New Roman"/>
                <w:color w:val="000000"/>
                <w:sz w:val="20"/>
                <w:szCs w:val="20"/>
              </w:rPr>
              <w:t>Non-utility:</w:t>
            </w:r>
          </w:p>
        </w:tc>
        <w:tc>
          <w:tcPr>
            <w:tcW w:w="0" w:type="auto"/>
            <w:gridSpan w:val="3"/>
            <w:shd w:val="clear" w:color="auto" w:fill="FFFFFF"/>
            <w:tcMar>
              <w:top w:w="30" w:type="dxa"/>
              <w:left w:w="20" w:type="dxa"/>
              <w:bottom w:w="30" w:type="dxa"/>
              <w:right w:w="20" w:type="dxa"/>
            </w:tcMar>
            <w:vAlign w:val="bottom"/>
            <w:hideMark/>
          </w:tcPr>
          <w:p w14:paraId="5E106DD1"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751DFF7"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B09D5EE"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360E514"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0ED08" w14:textId="77777777" w:rsidR="00000000" w:rsidRDefault="00C1661D">
            <w:pPr>
              <w:spacing w:after="100"/>
              <w:rPr>
                <w:rFonts w:eastAsia="Times New Roman"/>
                <w:sz w:val="20"/>
                <w:szCs w:val="20"/>
              </w:rPr>
            </w:pPr>
          </w:p>
        </w:tc>
      </w:tr>
      <w:tr w:rsidR="00000000" w14:paraId="112CD774" w14:textId="77777777">
        <w:trPr>
          <w:divId w:val="1526555158"/>
        </w:trPr>
        <w:tc>
          <w:tcPr>
            <w:tcW w:w="0" w:type="auto"/>
            <w:gridSpan w:val="3"/>
            <w:shd w:val="clear" w:color="auto" w:fill="CCEEFF"/>
            <w:tcMar>
              <w:top w:w="30" w:type="dxa"/>
              <w:left w:w="155" w:type="dxa"/>
              <w:bottom w:w="30" w:type="dxa"/>
              <w:right w:w="20" w:type="dxa"/>
            </w:tcMar>
            <w:vAlign w:val="bottom"/>
            <w:hideMark/>
          </w:tcPr>
          <w:p w14:paraId="4AC7ED7F" w14:textId="77777777" w:rsidR="00000000" w:rsidRDefault="00C1661D">
            <w:pPr>
              <w:spacing w:after="100"/>
              <w:rPr>
                <w:rFonts w:eastAsia="Times New Roman"/>
              </w:rPr>
            </w:pPr>
            <w:r>
              <w:rPr>
                <w:rFonts w:eastAsia="Times New Roman"/>
                <w:color w:val="000000"/>
                <w:sz w:val="20"/>
                <w:szCs w:val="20"/>
              </w:rPr>
              <w:t>Land</w:t>
            </w:r>
          </w:p>
        </w:tc>
        <w:tc>
          <w:tcPr>
            <w:tcW w:w="0" w:type="auto"/>
            <w:gridSpan w:val="2"/>
            <w:shd w:val="clear" w:color="auto" w:fill="CCEEFF"/>
            <w:tcMar>
              <w:top w:w="30" w:type="dxa"/>
              <w:left w:w="20" w:type="dxa"/>
              <w:bottom w:w="30" w:type="dxa"/>
              <w:right w:w="0" w:type="dxa"/>
            </w:tcMar>
            <w:vAlign w:val="bottom"/>
            <w:hideMark/>
          </w:tcPr>
          <w:p w14:paraId="72EEF787" w14:textId="77777777" w:rsidR="00000000" w:rsidRDefault="00C1661D">
            <w:pPr>
              <w:spacing w:after="100"/>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bottom"/>
            <w:hideMark/>
          </w:tcPr>
          <w:p w14:paraId="549AE07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A1263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430928" w14:textId="77777777" w:rsidR="00000000" w:rsidRDefault="00C1661D">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14:paraId="37C317D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75E0C1" w14:textId="77777777" w:rsidR="00000000" w:rsidRDefault="00C1661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3C238F" w14:textId="77777777" w:rsidR="00000000" w:rsidRDefault="00C1661D">
            <w:pPr>
              <w:spacing w:after="100"/>
              <w:rPr>
                <w:rFonts w:eastAsia="Times New Roman"/>
                <w:sz w:val="20"/>
                <w:szCs w:val="20"/>
              </w:rPr>
            </w:pPr>
          </w:p>
        </w:tc>
      </w:tr>
      <w:tr w:rsidR="00000000" w14:paraId="57E2C8BC" w14:textId="77777777">
        <w:trPr>
          <w:divId w:val="1526555158"/>
        </w:trPr>
        <w:tc>
          <w:tcPr>
            <w:tcW w:w="0" w:type="auto"/>
            <w:gridSpan w:val="3"/>
            <w:shd w:val="clear" w:color="auto" w:fill="FFFFFF"/>
            <w:tcMar>
              <w:top w:w="30" w:type="dxa"/>
              <w:left w:w="155" w:type="dxa"/>
              <w:bottom w:w="30" w:type="dxa"/>
              <w:right w:w="20" w:type="dxa"/>
            </w:tcMar>
            <w:vAlign w:val="bottom"/>
            <w:hideMark/>
          </w:tcPr>
          <w:p w14:paraId="005240F4" w14:textId="77777777" w:rsidR="00000000" w:rsidRDefault="00C1661D">
            <w:pPr>
              <w:spacing w:after="100"/>
              <w:rPr>
                <w:rFonts w:eastAsia="Times New Roman"/>
              </w:rPr>
            </w:pPr>
            <w:r>
              <w:rPr>
                <w:rFonts w:eastAsia="Times New Roman"/>
                <w:color w:val="000000"/>
                <w:sz w:val="20"/>
                <w:szCs w:val="20"/>
              </w:rPr>
              <w:t>Buildings and improvements</w:t>
            </w:r>
          </w:p>
        </w:tc>
        <w:tc>
          <w:tcPr>
            <w:tcW w:w="0" w:type="auto"/>
            <w:gridSpan w:val="2"/>
            <w:shd w:val="clear" w:color="auto" w:fill="FFFFFF"/>
            <w:tcMar>
              <w:top w:w="30" w:type="dxa"/>
              <w:left w:w="20" w:type="dxa"/>
              <w:bottom w:w="30" w:type="dxa"/>
              <w:right w:w="0" w:type="dxa"/>
            </w:tcMar>
            <w:vAlign w:val="bottom"/>
            <w:hideMark/>
          </w:tcPr>
          <w:p w14:paraId="6E9292E0" w14:textId="77777777" w:rsidR="00000000" w:rsidRDefault="00C1661D">
            <w:pPr>
              <w:spacing w:after="100"/>
              <w:jc w:val="right"/>
              <w:rPr>
                <w:rFonts w:eastAsia="Times New Roman"/>
              </w:rPr>
            </w:pPr>
            <w:r>
              <w:rPr>
                <w:rFonts w:eastAsia="Times New Roman"/>
                <w:color w:val="000000"/>
                <w:sz w:val="20"/>
                <w:szCs w:val="20"/>
              </w:rPr>
              <w:t>426 </w:t>
            </w:r>
          </w:p>
        </w:tc>
        <w:tc>
          <w:tcPr>
            <w:tcW w:w="0" w:type="auto"/>
            <w:shd w:val="clear" w:color="auto" w:fill="FFFFFF"/>
            <w:tcMar>
              <w:top w:w="30" w:type="dxa"/>
              <w:left w:w="0" w:type="dxa"/>
              <w:bottom w:w="30" w:type="dxa"/>
              <w:right w:w="20" w:type="dxa"/>
            </w:tcMar>
            <w:vAlign w:val="bottom"/>
            <w:hideMark/>
          </w:tcPr>
          <w:p w14:paraId="08198B1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F9F95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DFBF2C" w14:textId="77777777" w:rsidR="00000000" w:rsidRDefault="00C1661D">
            <w:pPr>
              <w:spacing w:after="100"/>
              <w:jc w:val="right"/>
              <w:rPr>
                <w:rFonts w:eastAsia="Times New Roman"/>
              </w:rPr>
            </w:pPr>
            <w:r>
              <w:rPr>
                <w:rFonts w:eastAsia="Times New Roman"/>
                <w:color w:val="000000"/>
                <w:sz w:val="20"/>
                <w:szCs w:val="20"/>
              </w:rPr>
              <w:t>436 </w:t>
            </w:r>
          </w:p>
        </w:tc>
        <w:tc>
          <w:tcPr>
            <w:tcW w:w="0" w:type="auto"/>
            <w:shd w:val="clear" w:color="auto" w:fill="FFFFFF"/>
            <w:tcMar>
              <w:top w:w="30" w:type="dxa"/>
              <w:left w:w="0" w:type="dxa"/>
              <w:bottom w:w="30" w:type="dxa"/>
              <w:right w:w="20" w:type="dxa"/>
            </w:tcMar>
            <w:vAlign w:val="bottom"/>
            <w:hideMark/>
          </w:tcPr>
          <w:p w14:paraId="78B5CDC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4407A" w14:textId="77777777" w:rsidR="00000000" w:rsidRDefault="00C1661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54A8BD2" w14:textId="77777777" w:rsidR="00000000" w:rsidRDefault="00C1661D">
            <w:pPr>
              <w:spacing w:after="100"/>
              <w:jc w:val="center"/>
              <w:rPr>
                <w:rFonts w:eastAsia="Times New Roman"/>
              </w:rPr>
            </w:pPr>
            <w:r>
              <w:rPr>
                <w:rFonts w:eastAsia="Times New Roman"/>
                <w:color w:val="000000"/>
                <w:sz w:val="20"/>
                <w:szCs w:val="20"/>
              </w:rPr>
              <w:t>10 - 40 years</w:t>
            </w:r>
          </w:p>
        </w:tc>
      </w:tr>
      <w:tr w:rsidR="00000000" w14:paraId="420B948B" w14:textId="77777777">
        <w:trPr>
          <w:divId w:val="1526555158"/>
        </w:trPr>
        <w:tc>
          <w:tcPr>
            <w:tcW w:w="0" w:type="auto"/>
            <w:gridSpan w:val="3"/>
            <w:shd w:val="clear" w:color="auto" w:fill="CCEEFF"/>
            <w:tcMar>
              <w:top w:w="30" w:type="dxa"/>
              <w:left w:w="155" w:type="dxa"/>
              <w:bottom w:w="30" w:type="dxa"/>
              <w:right w:w="20" w:type="dxa"/>
            </w:tcMar>
            <w:vAlign w:val="bottom"/>
            <w:hideMark/>
          </w:tcPr>
          <w:p w14:paraId="323BBF25" w14:textId="77777777" w:rsidR="00000000" w:rsidRDefault="00C1661D">
            <w:pPr>
              <w:spacing w:after="100"/>
              <w:rPr>
                <w:rFonts w:eastAsia="Times New Roman"/>
              </w:rPr>
            </w:pPr>
            <w:r>
              <w:rPr>
                <w:rFonts w:eastAsia="Times New Roman"/>
                <w:color w:val="000000"/>
                <w:sz w:val="20"/>
                <w:szCs w:val="20"/>
              </w:rPr>
              <w:t>Transportation equipment</w:t>
            </w:r>
          </w:p>
        </w:tc>
        <w:tc>
          <w:tcPr>
            <w:tcW w:w="0" w:type="auto"/>
            <w:gridSpan w:val="2"/>
            <w:shd w:val="clear" w:color="auto" w:fill="CCEEFF"/>
            <w:tcMar>
              <w:top w:w="30" w:type="dxa"/>
              <w:left w:w="20" w:type="dxa"/>
              <w:bottom w:w="30" w:type="dxa"/>
              <w:right w:w="0" w:type="dxa"/>
            </w:tcMar>
            <w:vAlign w:val="bottom"/>
            <w:hideMark/>
          </w:tcPr>
          <w:p w14:paraId="3920C908" w14:textId="77777777" w:rsidR="00000000" w:rsidRDefault="00C1661D">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14:paraId="39CD028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E7185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9C8709" w14:textId="77777777" w:rsidR="00000000" w:rsidRDefault="00C1661D">
            <w:pPr>
              <w:spacing w:after="100"/>
              <w:jc w:val="right"/>
              <w:rPr>
                <w:rFonts w:eastAsia="Times New Roman"/>
              </w:rPr>
            </w:pPr>
            <w:r>
              <w:rPr>
                <w:rFonts w:eastAsia="Times New Roman"/>
                <w:color w:val="000000"/>
                <w:sz w:val="20"/>
                <w:szCs w:val="20"/>
              </w:rPr>
              <w:t>232 </w:t>
            </w:r>
          </w:p>
        </w:tc>
        <w:tc>
          <w:tcPr>
            <w:tcW w:w="0" w:type="auto"/>
            <w:shd w:val="clear" w:color="auto" w:fill="CCEEFF"/>
            <w:tcMar>
              <w:top w:w="30" w:type="dxa"/>
              <w:left w:w="0" w:type="dxa"/>
              <w:bottom w:w="30" w:type="dxa"/>
              <w:right w:w="20" w:type="dxa"/>
            </w:tcMar>
            <w:vAlign w:val="bottom"/>
            <w:hideMark/>
          </w:tcPr>
          <w:p w14:paraId="23F5332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B8DCBA" w14:textId="77777777" w:rsidR="00000000" w:rsidRDefault="00C1661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EF898D3" w14:textId="77777777" w:rsidR="00000000" w:rsidRDefault="00C1661D">
            <w:pPr>
              <w:spacing w:after="100"/>
              <w:jc w:val="center"/>
              <w:rPr>
                <w:rFonts w:eastAsia="Times New Roman"/>
              </w:rPr>
            </w:pPr>
            <w:r>
              <w:rPr>
                <w:rFonts w:eastAsia="Times New Roman"/>
                <w:color w:val="000000"/>
                <w:sz w:val="20"/>
                <w:szCs w:val="20"/>
              </w:rPr>
              <w:t>3 - 10 years</w:t>
            </w:r>
          </w:p>
        </w:tc>
      </w:tr>
      <w:tr w:rsidR="00000000" w14:paraId="21476506" w14:textId="77777777">
        <w:trPr>
          <w:divId w:val="1526555158"/>
        </w:trPr>
        <w:tc>
          <w:tcPr>
            <w:tcW w:w="0" w:type="auto"/>
            <w:gridSpan w:val="3"/>
            <w:shd w:val="clear" w:color="auto" w:fill="FFFFFF"/>
            <w:tcMar>
              <w:top w:w="30" w:type="dxa"/>
              <w:left w:w="155" w:type="dxa"/>
              <w:bottom w:w="30" w:type="dxa"/>
              <w:right w:w="20" w:type="dxa"/>
            </w:tcMar>
            <w:vAlign w:val="bottom"/>
            <w:hideMark/>
          </w:tcPr>
          <w:p w14:paraId="514E73AF" w14:textId="77777777" w:rsidR="00000000" w:rsidRDefault="00C1661D">
            <w:pPr>
              <w:spacing w:after="100"/>
              <w:rPr>
                <w:rFonts w:eastAsia="Times New Roman"/>
              </w:rPr>
            </w:pPr>
            <w:r>
              <w:rPr>
                <w:rFonts w:eastAsia="Times New Roman"/>
                <w:color w:val="000000"/>
                <w:sz w:val="20"/>
                <w:szCs w:val="20"/>
              </w:rPr>
              <w:t>Equipment, primarily cylinders and tanks</w:t>
            </w:r>
          </w:p>
        </w:tc>
        <w:tc>
          <w:tcPr>
            <w:tcW w:w="0" w:type="auto"/>
            <w:gridSpan w:val="2"/>
            <w:shd w:val="clear" w:color="auto" w:fill="FFFFFF"/>
            <w:tcMar>
              <w:top w:w="30" w:type="dxa"/>
              <w:left w:w="20" w:type="dxa"/>
              <w:bottom w:w="30" w:type="dxa"/>
              <w:right w:w="0" w:type="dxa"/>
            </w:tcMar>
            <w:vAlign w:val="bottom"/>
            <w:hideMark/>
          </w:tcPr>
          <w:p w14:paraId="49B8DC96" w14:textId="77777777" w:rsidR="00000000" w:rsidRDefault="00C1661D">
            <w:pPr>
              <w:spacing w:after="100"/>
              <w:jc w:val="right"/>
              <w:rPr>
                <w:rFonts w:eastAsia="Times New Roman"/>
              </w:rPr>
            </w:pPr>
            <w:r>
              <w:rPr>
                <w:rFonts w:eastAsia="Times New Roman"/>
                <w:color w:val="000000"/>
                <w:sz w:val="20"/>
                <w:szCs w:val="20"/>
              </w:rPr>
              <w:t>3,645 </w:t>
            </w:r>
          </w:p>
        </w:tc>
        <w:tc>
          <w:tcPr>
            <w:tcW w:w="0" w:type="auto"/>
            <w:shd w:val="clear" w:color="auto" w:fill="FFFFFF"/>
            <w:tcMar>
              <w:top w:w="30" w:type="dxa"/>
              <w:left w:w="0" w:type="dxa"/>
              <w:bottom w:w="30" w:type="dxa"/>
              <w:right w:w="20" w:type="dxa"/>
            </w:tcMar>
            <w:vAlign w:val="bottom"/>
            <w:hideMark/>
          </w:tcPr>
          <w:p w14:paraId="53F3426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484AE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6F658E" w14:textId="77777777" w:rsidR="00000000" w:rsidRDefault="00C1661D">
            <w:pPr>
              <w:spacing w:after="100"/>
              <w:jc w:val="right"/>
              <w:rPr>
                <w:rFonts w:eastAsia="Times New Roman"/>
              </w:rPr>
            </w:pPr>
            <w:r>
              <w:rPr>
                <w:rFonts w:eastAsia="Times New Roman"/>
                <w:color w:val="000000"/>
                <w:sz w:val="20"/>
                <w:szCs w:val="20"/>
              </w:rPr>
              <w:t>3,785 </w:t>
            </w:r>
          </w:p>
        </w:tc>
        <w:tc>
          <w:tcPr>
            <w:tcW w:w="0" w:type="auto"/>
            <w:shd w:val="clear" w:color="auto" w:fill="FFFFFF"/>
            <w:tcMar>
              <w:top w:w="30" w:type="dxa"/>
              <w:left w:w="0" w:type="dxa"/>
              <w:bottom w:w="30" w:type="dxa"/>
              <w:right w:w="20" w:type="dxa"/>
            </w:tcMar>
            <w:vAlign w:val="bottom"/>
            <w:hideMark/>
          </w:tcPr>
          <w:p w14:paraId="6297AAF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85956C" w14:textId="77777777" w:rsidR="00000000" w:rsidRDefault="00C1661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2C24113" w14:textId="77777777" w:rsidR="00000000" w:rsidRDefault="00C1661D">
            <w:pPr>
              <w:spacing w:after="100"/>
              <w:jc w:val="center"/>
              <w:rPr>
                <w:rFonts w:eastAsia="Times New Roman"/>
              </w:rPr>
            </w:pPr>
            <w:r>
              <w:rPr>
                <w:rFonts w:eastAsia="Times New Roman"/>
                <w:color w:val="000000"/>
                <w:sz w:val="20"/>
                <w:szCs w:val="20"/>
              </w:rPr>
              <w:t>5 - 30 years</w:t>
            </w:r>
          </w:p>
        </w:tc>
      </w:tr>
      <w:tr w:rsidR="00000000" w14:paraId="173C1A8A" w14:textId="77777777">
        <w:trPr>
          <w:divId w:val="1526555158"/>
        </w:trPr>
        <w:tc>
          <w:tcPr>
            <w:tcW w:w="0" w:type="auto"/>
            <w:gridSpan w:val="3"/>
            <w:shd w:val="clear" w:color="auto" w:fill="CCEEFF"/>
            <w:tcMar>
              <w:top w:w="30" w:type="dxa"/>
              <w:left w:w="155" w:type="dxa"/>
              <w:bottom w:w="30" w:type="dxa"/>
              <w:right w:w="20" w:type="dxa"/>
            </w:tcMar>
            <w:vAlign w:val="bottom"/>
            <w:hideMark/>
          </w:tcPr>
          <w:p w14:paraId="4AFB590B" w14:textId="77777777" w:rsidR="00000000" w:rsidRDefault="00C1661D">
            <w:pPr>
              <w:spacing w:after="100"/>
              <w:rPr>
                <w:rFonts w:eastAsia="Times New Roman"/>
              </w:rPr>
            </w:pPr>
            <w:r>
              <w:rPr>
                <w:rFonts w:eastAsia="Times New Roman"/>
                <w:color w:val="000000"/>
                <w:sz w:val="20"/>
                <w:szCs w:val="20"/>
              </w:rPr>
              <w:t>Electric generation</w:t>
            </w:r>
          </w:p>
        </w:tc>
        <w:tc>
          <w:tcPr>
            <w:tcW w:w="0" w:type="auto"/>
            <w:gridSpan w:val="2"/>
            <w:shd w:val="clear" w:color="auto" w:fill="CCEEFF"/>
            <w:tcMar>
              <w:top w:w="30" w:type="dxa"/>
              <w:left w:w="20" w:type="dxa"/>
              <w:bottom w:w="30" w:type="dxa"/>
              <w:right w:w="0" w:type="dxa"/>
            </w:tcMar>
            <w:vAlign w:val="bottom"/>
            <w:hideMark/>
          </w:tcPr>
          <w:p w14:paraId="2793C7E0" w14:textId="77777777" w:rsidR="00000000" w:rsidRDefault="00C1661D">
            <w:pPr>
              <w:spacing w:after="100"/>
              <w:jc w:val="right"/>
              <w:rPr>
                <w:rFonts w:eastAsia="Times New Roman"/>
              </w:rPr>
            </w:pPr>
            <w:r>
              <w:rPr>
                <w:rFonts w:eastAsia="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14:paraId="6B679DC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1D17D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2760B3" w14:textId="77777777" w:rsidR="00000000" w:rsidRDefault="00C1661D">
            <w:pPr>
              <w:spacing w:after="100"/>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bottom"/>
            <w:hideMark/>
          </w:tcPr>
          <w:p w14:paraId="05B5A09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DDFBC6" w14:textId="77777777" w:rsidR="00000000" w:rsidRDefault="00C1661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610A2A4" w14:textId="77777777" w:rsidR="00000000" w:rsidRDefault="00C1661D">
            <w:pPr>
              <w:spacing w:after="100"/>
              <w:jc w:val="center"/>
              <w:rPr>
                <w:rFonts w:eastAsia="Times New Roman"/>
              </w:rPr>
            </w:pPr>
            <w:r>
              <w:rPr>
                <w:rFonts w:eastAsia="Times New Roman"/>
                <w:color w:val="000000"/>
                <w:sz w:val="20"/>
                <w:szCs w:val="20"/>
              </w:rPr>
              <w:t>25 - 40 years</w:t>
            </w:r>
          </w:p>
        </w:tc>
      </w:tr>
      <w:tr w:rsidR="00000000" w14:paraId="5B830ACC" w14:textId="77777777">
        <w:trPr>
          <w:divId w:val="1526555158"/>
        </w:trPr>
        <w:tc>
          <w:tcPr>
            <w:tcW w:w="0" w:type="auto"/>
            <w:gridSpan w:val="3"/>
            <w:shd w:val="clear" w:color="auto" w:fill="FFFFFF"/>
            <w:tcMar>
              <w:top w:w="30" w:type="dxa"/>
              <w:left w:w="155" w:type="dxa"/>
              <w:bottom w:w="30" w:type="dxa"/>
              <w:right w:w="20" w:type="dxa"/>
            </w:tcMar>
            <w:vAlign w:val="bottom"/>
            <w:hideMark/>
          </w:tcPr>
          <w:p w14:paraId="77D2D302" w14:textId="77777777" w:rsidR="00000000" w:rsidRDefault="00C1661D">
            <w:pPr>
              <w:spacing w:after="100"/>
              <w:rPr>
                <w:rFonts w:eastAsia="Times New Roman"/>
              </w:rPr>
            </w:pPr>
            <w:r>
              <w:rPr>
                <w:rFonts w:eastAsia="Times New Roman"/>
                <w:color w:val="000000"/>
                <w:sz w:val="20"/>
                <w:szCs w:val="20"/>
              </w:rPr>
              <w:t>Pipeline and related assets</w:t>
            </w:r>
          </w:p>
        </w:tc>
        <w:tc>
          <w:tcPr>
            <w:tcW w:w="0" w:type="auto"/>
            <w:gridSpan w:val="2"/>
            <w:shd w:val="clear" w:color="auto" w:fill="FFFFFF"/>
            <w:tcMar>
              <w:top w:w="30" w:type="dxa"/>
              <w:left w:w="20" w:type="dxa"/>
              <w:bottom w:w="30" w:type="dxa"/>
              <w:right w:w="0" w:type="dxa"/>
            </w:tcMar>
            <w:vAlign w:val="bottom"/>
            <w:hideMark/>
          </w:tcPr>
          <w:p w14:paraId="6DF5DA60" w14:textId="77777777" w:rsidR="00000000" w:rsidRDefault="00C1661D">
            <w:pPr>
              <w:spacing w:after="100"/>
              <w:jc w:val="right"/>
              <w:rPr>
                <w:rFonts w:eastAsia="Times New Roman"/>
              </w:rPr>
            </w:pPr>
            <w:r>
              <w:rPr>
                <w:rFonts w:eastAsia="Times New Roman"/>
                <w:color w:val="000000"/>
                <w:sz w:val="20"/>
                <w:szCs w:val="20"/>
              </w:rPr>
              <w:t>1,523 </w:t>
            </w:r>
          </w:p>
        </w:tc>
        <w:tc>
          <w:tcPr>
            <w:tcW w:w="0" w:type="auto"/>
            <w:shd w:val="clear" w:color="auto" w:fill="FFFFFF"/>
            <w:tcMar>
              <w:top w:w="30" w:type="dxa"/>
              <w:left w:w="0" w:type="dxa"/>
              <w:bottom w:w="30" w:type="dxa"/>
              <w:right w:w="20" w:type="dxa"/>
            </w:tcMar>
            <w:vAlign w:val="bottom"/>
            <w:hideMark/>
          </w:tcPr>
          <w:p w14:paraId="0BC78F6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D47BD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9FCDC2" w14:textId="77777777" w:rsidR="00000000" w:rsidRDefault="00C1661D">
            <w:pPr>
              <w:spacing w:after="100"/>
              <w:jc w:val="right"/>
              <w:rPr>
                <w:rFonts w:eastAsia="Times New Roman"/>
              </w:rPr>
            </w:pPr>
            <w:r>
              <w:rPr>
                <w:rFonts w:eastAsia="Times New Roman"/>
                <w:color w:val="000000"/>
                <w:sz w:val="20"/>
                <w:szCs w:val="20"/>
              </w:rPr>
              <w:t>1,218 </w:t>
            </w:r>
          </w:p>
        </w:tc>
        <w:tc>
          <w:tcPr>
            <w:tcW w:w="0" w:type="auto"/>
            <w:shd w:val="clear" w:color="auto" w:fill="FFFFFF"/>
            <w:tcMar>
              <w:top w:w="30" w:type="dxa"/>
              <w:left w:w="0" w:type="dxa"/>
              <w:bottom w:w="30" w:type="dxa"/>
              <w:right w:w="20" w:type="dxa"/>
            </w:tcMar>
            <w:vAlign w:val="bottom"/>
            <w:hideMark/>
          </w:tcPr>
          <w:p w14:paraId="40A55F7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4C8731" w14:textId="77777777" w:rsidR="00000000" w:rsidRDefault="00C1661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9EB1B4C" w14:textId="77777777" w:rsidR="00000000" w:rsidRDefault="00C1661D">
            <w:pPr>
              <w:spacing w:after="100"/>
              <w:jc w:val="center"/>
              <w:rPr>
                <w:rFonts w:eastAsia="Times New Roman"/>
              </w:rPr>
            </w:pPr>
            <w:r>
              <w:rPr>
                <w:rFonts w:eastAsia="Times New Roman"/>
                <w:color w:val="000000"/>
                <w:sz w:val="20"/>
                <w:szCs w:val="20"/>
              </w:rPr>
              <w:t>25 - 40 years</w:t>
            </w:r>
          </w:p>
        </w:tc>
      </w:tr>
      <w:tr w:rsidR="00000000" w14:paraId="2299A42F" w14:textId="77777777">
        <w:trPr>
          <w:divId w:val="1526555158"/>
        </w:trPr>
        <w:tc>
          <w:tcPr>
            <w:tcW w:w="0" w:type="auto"/>
            <w:gridSpan w:val="3"/>
            <w:shd w:val="clear" w:color="auto" w:fill="CCEEFF"/>
            <w:tcMar>
              <w:top w:w="30" w:type="dxa"/>
              <w:left w:w="155" w:type="dxa"/>
              <w:bottom w:w="30" w:type="dxa"/>
              <w:right w:w="20" w:type="dxa"/>
            </w:tcMar>
            <w:vAlign w:val="bottom"/>
            <w:hideMark/>
          </w:tcPr>
          <w:p w14:paraId="4D422C4B" w14:textId="77777777" w:rsidR="00000000" w:rsidRDefault="00C1661D">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7EAA2092" w14:textId="77777777" w:rsidR="00000000" w:rsidRDefault="00C1661D">
            <w:pPr>
              <w:spacing w:after="100"/>
              <w:jc w:val="right"/>
              <w:rPr>
                <w:rFonts w:eastAsia="Times New Roman"/>
              </w:rPr>
            </w:pPr>
            <w:r>
              <w:rPr>
                <w:rFonts w:eastAsia="Times New Roman"/>
                <w:color w:val="000000"/>
                <w:sz w:val="20"/>
                <w:szCs w:val="20"/>
              </w:rPr>
              <w:t>380 </w:t>
            </w:r>
          </w:p>
        </w:tc>
        <w:tc>
          <w:tcPr>
            <w:tcW w:w="0" w:type="auto"/>
            <w:shd w:val="clear" w:color="auto" w:fill="CCEEFF"/>
            <w:tcMar>
              <w:top w:w="30" w:type="dxa"/>
              <w:left w:w="0" w:type="dxa"/>
              <w:bottom w:w="30" w:type="dxa"/>
              <w:right w:w="20" w:type="dxa"/>
            </w:tcMar>
            <w:vAlign w:val="bottom"/>
            <w:hideMark/>
          </w:tcPr>
          <w:p w14:paraId="5FB06D6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613B9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38EF45" w14:textId="77777777" w:rsidR="00000000" w:rsidRDefault="00C1661D">
            <w:pPr>
              <w:spacing w:after="100"/>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bottom"/>
            <w:hideMark/>
          </w:tcPr>
          <w:p w14:paraId="7A3FFFD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4773F1" w14:textId="77777777" w:rsidR="00000000" w:rsidRDefault="00C1661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4378FEF" w14:textId="77777777" w:rsidR="00000000" w:rsidRDefault="00C1661D">
            <w:pPr>
              <w:spacing w:after="100"/>
              <w:jc w:val="center"/>
              <w:rPr>
                <w:rFonts w:eastAsia="Times New Roman"/>
              </w:rPr>
            </w:pPr>
            <w:r>
              <w:rPr>
                <w:rFonts w:eastAsia="Times New Roman"/>
                <w:color w:val="000000"/>
                <w:sz w:val="20"/>
                <w:szCs w:val="20"/>
              </w:rPr>
              <w:t>1 - 12 years</w:t>
            </w:r>
          </w:p>
        </w:tc>
      </w:tr>
      <w:tr w:rsidR="00000000" w14:paraId="583DBE0B" w14:textId="77777777">
        <w:trPr>
          <w:divId w:val="1526555158"/>
        </w:trPr>
        <w:tc>
          <w:tcPr>
            <w:tcW w:w="0" w:type="auto"/>
            <w:gridSpan w:val="3"/>
            <w:shd w:val="clear" w:color="auto" w:fill="FFFFFF"/>
            <w:tcMar>
              <w:top w:w="30" w:type="dxa"/>
              <w:left w:w="155" w:type="dxa"/>
              <w:bottom w:w="30" w:type="dxa"/>
              <w:right w:w="20" w:type="dxa"/>
            </w:tcMar>
            <w:vAlign w:val="bottom"/>
            <w:hideMark/>
          </w:tcPr>
          <w:p w14:paraId="7B3C692D" w14:textId="77777777" w:rsidR="00000000" w:rsidRDefault="00C1661D">
            <w:pPr>
              <w:spacing w:after="100"/>
              <w:rPr>
                <w:rFonts w:eastAsia="Times New Roman"/>
              </w:rPr>
            </w:pPr>
            <w:r>
              <w:rPr>
                <w:rFonts w:eastAsia="Times New Roman"/>
                <w:color w:val="000000"/>
                <w:sz w:val="20"/>
                <w:szCs w:val="20"/>
              </w:rPr>
              <w:t>Work in process</w:t>
            </w:r>
          </w:p>
        </w:tc>
        <w:tc>
          <w:tcPr>
            <w:tcW w:w="0" w:type="auto"/>
            <w:gridSpan w:val="2"/>
            <w:shd w:val="clear" w:color="auto" w:fill="FFFFFF"/>
            <w:tcMar>
              <w:top w:w="30" w:type="dxa"/>
              <w:left w:w="20" w:type="dxa"/>
              <w:bottom w:w="30" w:type="dxa"/>
              <w:right w:w="0" w:type="dxa"/>
            </w:tcMar>
            <w:vAlign w:val="bottom"/>
            <w:hideMark/>
          </w:tcPr>
          <w:p w14:paraId="579BD5D6" w14:textId="77777777" w:rsidR="00000000" w:rsidRDefault="00C1661D">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14:paraId="1067619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169D9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A88040" w14:textId="77777777" w:rsidR="00000000" w:rsidRDefault="00C1661D">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14:paraId="124CDB4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8556AA" w14:textId="77777777" w:rsidR="00000000" w:rsidRDefault="00C1661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5A74BF" w14:textId="77777777" w:rsidR="00000000" w:rsidRDefault="00C1661D">
            <w:pPr>
              <w:spacing w:after="100"/>
              <w:rPr>
                <w:rFonts w:eastAsia="Times New Roman"/>
                <w:sz w:val="20"/>
                <w:szCs w:val="20"/>
              </w:rPr>
            </w:pPr>
          </w:p>
        </w:tc>
      </w:tr>
      <w:tr w:rsidR="00000000" w14:paraId="62F94806" w14:textId="77777777">
        <w:trPr>
          <w:divId w:val="1526555158"/>
        </w:trPr>
        <w:tc>
          <w:tcPr>
            <w:tcW w:w="0" w:type="auto"/>
            <w:gridSpan w:val="3"/>
            <w:shd w:val="clear" w:color="auto" w:fill="CCEEFF"/>
            <w:tcMar>
              <w:top w:w="30" w:type="dxa"/>
              <w:left w:w="20" w:type="dxa"/>
              <w:bottom w:w="30" w:type="dxa"/>
              <w:right w:w="20" w:type="dxa"/>
            </w:tcMar>
            <w:vAlign w:val="bottom"/>
            <w:hideMark/>
          </w:tcPr>
          <w:p w14:paraId="53B0932C" w14:textId="77777777" w:rsidR="00000000" w:rsidRDefault="00C1661D">
            <w:pPr>
              <w:spacing w:after="100"/>
              <w:rPr>
                <w:rFonts w:eastAsia="Times New Roman"/>
              </w:rPr>
            </w:pPr>
            <w:r>
              <w:rPr>
                <w:rFonts w:eastAsia="Times New Roman"/>
                <w:color w:val="000000"/>
                <w:sz w:val="20"/>
                <w:szCs w:val="20"/>
              </w:rPr>
              <w:t>Total non-utility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0ADD65" w14:textId="77777777" w:rsidR="00000000" w:rsidRDefault="00C1661D">
            <w:pPr>
              <w:spacing w:after="100"/>
              <w:jc w:val="right"/>
              <w:rPr>
                <w:rFonts w:eastAsia="Times New Roman"/>
              </w:rPr>
            </w:pPr>
            <w:r>
              <w:rPr>
                <w:rFonts w:eastAsia="Times New Roman"/>
                <w:color w:val="000000"/>
                <w:sz w:val="20"/>
                <w:szCs w:val="20"/>
              </w:rPr>
              <w:t>6,656 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DC407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A0CCE0"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E06C17" w14:textId="77777777" w:rsidR="00000000" w:rsidRDefault="00C1661D">
            <w:pPr>
              <w:spacing w:after="100"/>
              <w:jc w:val="right"/>
              <w:rPr>
                <w:rFonts w:eastAsia="Times New Roman"/>
              </w:rPr>
            </w:pPr>
            <w:r>
              <w:rPr>
                <w:rFonts w:eastAsia="Times New Roman"/>
                <w:color w:val="000000"/>
                <w:sz w:val="20"/>
                <w:szCs w:val="20"/>
              </w:rPr>
              <w:t>6,486 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9F897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6995A3" w14:textId="77777777" w:rsidR="00000000" w:rsidRDefault="00C1661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9E6E47" w14:textId="77777777" w:rsidR="00000000" w:rsidRDefault="00C1661D">
            <w:pPr>
              <w:spacing w:after="100"/>
              <w:rPr>
                <w:rFonts w:eastAsia="Times New Roman"/>
                <w:sz w:val="20"/>
                <w:szCs w:val="20"/>
              </w:rPr>
            </w:pPr>
          </w:p>
        </w:tc>
      </w:tr>
      <w:tr w:rsidR="00000000" w14:paraId="22EE6B0A" w14:textId="77777777">
        <w:trPr>
          <w:divId w:val="1526555158"/>
        </w:trPr>
        <w:tc>
          <w:tcPr>
            <w:tcW w:w="0" w:type="auto"/>
            <w:gridSpan w:val="3"/>
            <w:shd w:val="clear" w:color="auto" w:fill="FFFFFF"/>
            <w:tcMar>
              <w:top w:w="30" w:type="dxa"/>
              <w:left w:w="20" w:type="dxa"/>
              <w:bottom w:w="30" w:type="dxa"/>
              <w:right w:w="20" w:type="dxa"/>
            </w:tcMar>
            <w:vAlign w:val="bottom"/>
            <w:hideMark/>
          </w:tcPr>
          <w:p w14:paraId="104CEACB" w14:textId="77777777" w:rsidR="00000000" w:rsidRDefault="00C1661D">
            <w:pPr>
              <w:spacing w:after="100"/>
              <w:rPr>
                <w:rFonts w:eastAsia="Times New Roman"/>
              </w:rPr>
            </w:pPr>
            <w:r>
              <w:rPr>
                <w:rFonts w:eastAsia="Times New Roman"/>
                <w:color w:val="000000"/>
                <w:sz w:val="20"/>
                <w:szCs w:val="20"/>
              </w:rPr>
              <w:t>Total property, plant and equipment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D834B3"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6AB7C2" w14:textId="77777777" w:rsidR="00000000" w:rsidRDefault="00C1661D">
            <w:pPr>
              <w:spacing w:after="100"/>
              <w:jc w:val="right"/>
              <w:rPr>
                <w:rFonts w:eastAsia="Times New Roman"/>
              </w:rPr>
            </w:pPr>
            <w:r>
              <w:rPr>
                <w:rFonts w:eastAsia="Times New Roman"/>
                <w:color w:val="000000"/>
                <w:sz w:val="20"/>
                <w:szCs w:val="20"/>
              </w:rPr>
              <w:t>12,206 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18435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DC9E2C"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ACECF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70B26DB" w14:textId="77777777" w:rsidR="00000000" w:rsidRDefault="00C1661D">
            <w:pPr>
              <w:spacing w:after="100"/>
              <w:jc w:val="right"/>
              <w:rPr>
                <w:rFonts w:eastAsia="Times New Roman"/>
              </w:rPr>
            </w:pPr>
            <w:r>
              <w:rPr>
                <w:rFonts w:eastAsia="Times New Roman"/>
                <w:color w:val="000000"/>
                <w:sz w:val="20"/>
                <w:szCs w:val="20"/>
              </w:rPr>
              <w:t>11,508 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DE6DB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23A3E6" w14:textId="77777777" w:rsidR="00000000" w:rsidRDefault="00C1661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53A505" w14:textId="77777777" w:rsidR="00000000" w:rsidRDefault="00C1661D">
            <w:pPr>
              <w:spacing w:after="100"/>
              <w:rPr>
                <w:rFonts w:eastAsia="Times New Roman"/>
                <w:sz w:val="20"/>
                <w:szCs w:val="20"/>
              </w:rPr>
            </w:pPr>
          </w:p>
        </w:tc>
      </w:tr>
    </w:tbl>
    <w:p w14:paraId="2F8D1748" w14:textId="77777777" w:rsidR="00000000" w:rsidRDefault="00C1661D">
      <w:pPr>
        <w:divId w:val="2019842832"/>
        <w:rPr>
          <w:rFonts w:eastAsia="Times New Roman"/>
        </w:rPr>
      </w:pPr>
    </w:p>
    <w:p w14:paraId="52C2E4EB" w14:textId="77777777" w:rsidR="00000000" w:rsidRDefault="00C1661D">
      <w:pPr>
        <w:jc w:val="center"/>
        <w:divId w:val="251400265"/>
        <w:rPr>
          <w:rFonts w:eastAsia="Times New Roman"/>
        </w:rPr>
      </w:pPr>
      <w:r>
        <w:rPr>
          <w:rFonts w:eastAsia="Times New Roman"/>
          <w:color w:val="000000"/>
          <w:sz w:val="20"/>
          <w:szCs w:val="20"/>
        </w:rPr>
        <w:t>F-41</w:t>
      </w:r>
    </w:p>
    <w:p w14:paraId="19D4FB51" w14:textId="77777777" w:rsidR="00000000" w:rsidRDefault="00C1661D">
      <w:pPr>
        <w:rPr>
          <w:rFonts w:eastAsia="Times New Roman"/>
        </w:rPr>
      </w:pPr>
      <w:r>
        <w:rPr>
          <w:rFonts w:eastAsia="Times New Roman"/>
        </w:rPr>
        <w:pict w14:anchorId="3F3D7E65">
          <v:rect id="_x0000_i1154" style="width:0;height:1.5pt" o:hralign="center" o:hrstd="t" o:hr="t" fillcolor="#a0a0a0" stroked="f"/>
        </w:pict>
      </w:r>
    </w:p>
    <w:p w14:paraId="1ABA1424" w14:textId="77777777" w:rsidR="00000000" w:rsidRDefault="00C1661D">
      <w:pPr>
        <w:divId w:val="1630012072"/>
        <w:rPr>
          <w:rFonts w:eastAsia="Times New Roman"/>
        </w:rPr>
      </w:pPr>
      <w:hyperlink w:anchor="i3850c3c6c0104e42b9951aac2f16098a_7" w:history="1">
        <w:r>
          <w:rPr>
            <w:rStyle w:val="a3"/>
            <w:rFonts w:eastAsia="Times New Roman"/>
            <w:sz w:val="20"/>
            <w:szCs w:val="20"/>
          </w:rPr>
          <w:t>Table of Contents</w:t>
        </w:r>
      </w:hyperlink>
    </w:p>
    <w:p w14:paraId="6FA36804" w14:textId="77777777" w:rsidR="00000000" w:rsidRDefault="00C1661D">
      <w:pPr>
        <w:divId w:val="1943486335"/>
        <w:rPr>
          <w:rFonts w:eastAsia="Times New Roman"/>
        </w:rPr>
      </w:pPr>
      <w:r>
        <w:rPr>
          <w:rFonts w:eastAsia="Times New Roman"/>
          <w:b/>
          <w:bCs/>
          <w:color w:val="000000"/>
          <w:sz w:val="20"/>
          <w:szCs w:val="20"/>
        </w:rPr>
        <w:t>UGI Corporation and Subsidiaries</w:t>
      </w:r>
    </w:p>
    <w:p w14:paraId="6ADA5178" w14:textId="77777777" w:rsidR="00000000" w:rsidRDefault="00C1661D">
      <w:pPr>
        <w:divId w:val="207957322"/>
        <w:rPr>
          <w:rFonts w:eastAsia="Times New Roman"/>
        </w:rPr>
      </w:pPr>
      <w:r>
        <w:rPr>
          <w:rFonts w:eastAsia="Times New Roman"/>
          <w:b/>
          <w:bCs/>
          <w:color w:val="000000"/>
          <w:sz w:val="20"/>
          <w:szCs w:val="20"/>
        </w:rPr>
        <w:t>Notes to Consolidated Financial Statements</w:t>
      </w:r>
    </w:p>
    <w:p w14:paraId="547457B6" w14:textId="77777777" w:rsidR="00000000" w:rsidRDefault="00C1661D">
      <w:pPr>
        <w:divId w:val="2090733066"/>
        <w:rPr>
          <w:rFonts w:eastAsia="Times New Roman"/>
        </w:rPr>
      </w:pPr>
      <w:r>
        <w:rPr>
          <w:rFonts w:eastAsia="Times New Roman"/>
          <w:color w:val="000000"/>
          <w:sz w:val="20"/>
          <w:szCs w:val="20"/>
        </w:rPr>
        <w:t>(Currency in millions, except per share amounts and where indicated otherwise)</w:t>
      </w:r>
    </w:p>
    <w:p w14:paraId="0E55C959" w14:textId="77777777" w:rsidR="00000000" w:rsidRDefault="00C1661D">
      <w:pPr>
        <w:jc w:val="both"/>
        <w:rPr>
          <w:rFonts w:eastAsia="Times New Roman"/>
        </w:rPr>
      </w:pPr>
      <w:r>
        <w:rPr>
          <w:rFonts w:eastAsia="Times New Roman"/>
          <w:color w:val="000000"/>
          <w:sz w:val="20"/>
          <w:szCs w:val="20"/>
        </w:rPr>
        <w:t>The average composite depreciation rates at our Gas Utility and Electric Utility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163"/>
        <w:gridCol w:w="36"/>
        <w:gridCol w:w="37"/>
        <w:gridCol w:w="1466"/>
        <w:gridCol w:w="187"/>
        <w:gridCol w:w="37"/>
        <w:gridCol w:w="1466"/>
        <w:gridCol w:w="187"/>
        <w:gridCol w:w="37"/>
        <w:gridCol w:w="1466"/>
        <w:gridCol w:w="187"/>
      </w:tblGrid>
      <w:tr w:rsidR="00000000" w14:paraId="0353C127" w14:textId="77777777">
        <w:tc>
          <w:tcPr>
            <w:tcW w:w="50" w:type="pct"/>
            <w:vAlign w:val="center"/>
            <w:hideMark/>
          </w:tcPr>
          <w:p w14:paraId="0C1A01D9" w14:textId="77777777" w:rsidR="00000000" w:rsidRDefault="00C1661D">
            <w:pPr>
              <w:jc w:val="both"/>
              <w:rPr>
                <w:rFonts w:eastAsia="Times New Roman"/>
              </w:rPr>
            </w:pPr>
          </w:p>
        </w:tc>
        <w:tc>
          <w:tcPr>
            <w:tcW w:w="1962" w:type="pct"/>
            <w:vAlign w:val="center"/>
            <w:hideMark/>
          </w:tcPr>
          <w:p w14:paraId="5CC5A33E" w14:textId="77777777" w:rsidR="00000000" w:rsidRDefault="00C1661D">
            <w:pPr>
              <w:spacing w:after="100"/>
              <w:rPr>
                <w:rFonts w:eastAsia="Times New Roman"/>
                <w:sz w:val="20"/>
                <w:szCs w:val="20"/>
              </w:rPr>
            </w:pPr>
          </w:p>
        </w:tc>
        <w:tc>
          <w:tcPr>
            <w:tcW w:w="5" w:type="pct"/>
            <w:vAlign w:val="center"/>
            <w:hideMark/>
          </w:tcPr>
          <w:p w14:paraId="25147152" w14:textId="77777777" w:rsidR="00000000" w:rsidRDefault="00C1661D">
            <w:pPr>
              <w:spacing w:after="100"/>
              <w:rPr>
                <w:rFonts w:eastAsia="Times New Roman"/>
                <w:sz w:val="20"/>
                <w:szCs w:val="20"/>
              </w:rPr>
            </w:pPr>
          </w:p>
        </w:tc>
        <w:tc>
          <w:tcPr>
            <w:tcW w:w="50" w:type="pct"/>
            <w:vAlign w:val="center"/>
            <w:hideMark/>
          </w:tcPr>
          <w:p w14:paraId="1C4C0A91" w14:textId="77777777" w:rsidR="00000000" w:rsidRDefault="00C1661D">
            <w:pPr>
              <w:spacing w:after="100"/>
              <w:rPr>
                <w:rFonts w:eastAsia="Times New Roman"/>
                <w:sz w:val="20"/>
                <w:szCs w:val="20"/>
              </w:rPr>
            </w:pPr>
          </w:p>
        </w:tc>
        <w:tc>
          <w:tcPr>
            <w:tcW w:w="939" w:type="pct"/>
            <w:vAlign w:val="center"/>
            <w:hideMark/>
          </w:tcPr>
          <w:p w14:paraId="2C3E23DC" w14:textId="77777777" w:rsidR="00000000" w:rsidRDefault="00C1661D">
            <w:pPr>
              <w:spacing w:after="100"/>
              <w:rPr>
                <w:rFonts w:eastAsia="Times New Roman"/>
                <w:sz w:val="20"/>
                <w:szCs w:val="20"/>
              </w:rPr>
            </w:pPr>
          </w:p>
        </w:tc>
        <w:tc>
          <w:tcPr>
            <w:tcW w:w="5" w:type="pct"/>
            <w:vAlign w:val="center"/>
            <w:hideMark/>
          </w:tcPr>
          <w:p w14:paraId="66F277D3" w14:textId="77777777" w:rsidR="00000000" w:rsidRDefault="00C1661D">
            <w:pPr>
              <w:spacing w:after="100"/>
              <w:rPr>
                <w:rFonts w:eastAsia="Times New Roman"/>
                <w:sz w:val="20"/>
                <w:szCs w:val="20"/>
              </w:rPr>
            </w:pPr>
          </w:p>
        </w:tc>
        <w:tc>
          <w:tcPr>
            <w:tcW w:w="50" w:type="pct"/>
            <w:vAlign w:val="center"/>
            <w:hideMark/>
          </w:tcPr>
          <w:p w14:paraId="7EEBCFBC" w14:textId="77777777" w:rsidR="00000000" w:rsidRDefault="00C1661D">
            <w:pPr>
              <w:spacing w:after="100"/>
              <w:rPr>
                <w:rFonts w:eastAsia="Times New Roman"/>
                <w:sz w:val="20"/>
                <w:szCs w:val="20"/>
              </w:rPr>
            </w:pPr>
          </w:p>
        </w:tc>
        <w:tc>
          <w:tcPr>
            <w:tcW w:w="939" w:type="pct"/>
            <w:vAlign w:val="center"/>
            <w:hideMark/>
          </w:tcPr>
          <w:p w14:paraId="378D69B1" w14:textId="77777777" w:rsidR="00000000" w:rsidRDefault="00C1661D">
            <w:pPr>
              <w:spacing w:after="100"/>
              <w:rPr>
                <w:rFonts w:eastAsia="Times New Roman"/>
                <w:sz w:val="20"/>
                <w:szCs w:val="20"/>
              </w:rPr>
            </w:pPr>
          </w:p>
        </w:tc>
        <w:tc>
          <w:tcPr>
            <w:tcW w:w="5" w:type="pct"/>
            <w:vAlign w:val="center"/>
            <w:hideMark/>
          </w:tcPr>
          <w:p w14:paraId="471C71A9" w14:textId="77777777" w:rsidR="00000000" w:rsidRDefault="00C1661D">
            <w:pPr>
              <w:spacing w:after="100"/>
              <w:rPr>
                <w:rFonts w:eastAsia="Times New Roman"/>
                <w:sz w:val="20"/>
                <w:szCs w:val="20"/>
              </w:rPr>
            </w:pPr>
          </w:p>
        </w:tc>
        <w:tc>
          <w:tcPr>
            <w:tcW w:w="50" w:type="pct"/>
            <w:vAlign w:val="center"/>
            <w:hideMark/>
          </w:tcPr>
          <w:p w14:paraId="29412960" w14:textId="77777777" w:rsidR="00000000" w:rsidRDefault="00C1661D">
            <w:pPr>
              <w:spacing w:after="100"/>
              <w:rPr>
                <w:rFonts w:eastAsia="Times New Roman"/>
                <w:sz w:val="20"/>
                <w:szCs w:val="20"/>
              </w:rPr>
            </w:pPr>
          </w:p>
        </w:tc>
        <w:tc>
          <w:tcPr>
            <w:tcW w:w="939" w:type="pct"/>
            <w:vAlign w:val="center"/>
            <w:hideMark/>
          </w:tcPr>
          <w:p w14:paraId="43DD1E91" w14:textId="77777777" w:rsidR="00000000" w:rsidRDefault="00C1661D">
            <w:pPr>
              <w:spacing w:after="100"/>
              <w:rPr>
                <w:rFonts w:eastAsia="Times New Roman"/>
                <w:sz w:val="20"/>
                <w:szCs w:val="20"/>
              </w:rPr>
            </w:pPr>
          </w:p>
        </w:tc>
        <w:tc>
          <w:tcPr>
            <w:tcW w:w="5" w:type="pct"/>
            <w:vAlign w:val="center"/>
            <w:hideMark/>
          </w:tcPr>
          <w:p w14:paraId="14EA8096" w14:textId="77777777" w:rsidR="00000000" w:rsidRDefault="00C1661D">
            <w:pPr>
              <w:spacing w:after="100"/>
              <w:rPr>
                <w:rFonts w:eastAsia="Times New Roman"/>
                <w:sz w:val="20"/>
                <w:szCs w:val="20"/>
              </w:rPr>
            </w:pPr>
          </w:p>
        </w:tc>
      </w:tr>
      <w:tr w:rsidR="00000000" w14:paraId="40DA0815" w14:textId="77777777">
        <w:tc>
          <w:tcPr>
            <w:tcW w:w="0" w:type="auto"/>
            <w:gridSpan w:val="3"/>
            <w:tcMar>
              <w:top w:w="0" w:type="dxa"/>
              <w:left w:w="20" w:type="dxa"/>
              <w:bottom w:w="0" w:type="dxa"/>
              <w:right w:w="20" w:type="dxa"/>
            </w:tcMar>
            <w:vAlign w:val="center"/>
            <w:hideMark/>
          </w:tcPr>
          <w:p w14:paraId="3F25B3A9"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46A209B"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30" w:type="dxa"/>
              <w:left w:w="20" w:type="dxa"/>
              <w:bottom w:w="30" w:type="dxa"/>
              <w:right w:w="20" w:type="dxa"/>
            </w:tcMar>
            <w:vAlign w:val="bottom"/>
            <w:hideMark/>
          </w:tcPr>
          <w:p w14:paraId="1671AC5C"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30" w:type="dxa"/>
              <w:left w:w="20" w:type="dxa"/>
              <w:bottom w:w="30" w:type="dxa"/>
              <w:right w:w="20" w:type="dxa"/>
            </w:tcMar>
            <w:vAlign w:val="bottom"/>
            <w:hideMark/>
          </w:tcPr>
          <w:p w14:paraId="21EDF4EE" w14:textId="77777777" w:rsidR="00000000" w:rsidRDefault="00C1661D">
            <w:pPr>
              <w:spacing w:after="100"/>
              <w:jc w:val="center"/>
              <w:rPr>
                <w:rFonts w:eastAsia="Times New Roman"/>
              </w:rPr>
            </w:pPr>
            <w:r>
              <w:rPr>
                <w:rFonts w:eastAsia="Times New Roman"/>
                <w:color w:val="000000"/>
                <w:sz w:val="20"/>
                <w:szCs w:val="20"/>
              </w:rPr>
              <w:t>2020</w:t>
            </w:r>
          </w:p>
        </w:tc>
      </w:tr>
      <w:tr w:rsidR="00000000" w14:paraId="32FCF7A8" w14:textId="77777777">
        <w:tc>
          <w:tcPr>
            <w:tcW w:w="0" w:type="auto"/>
            <w:gridSpan w:val="3"/>
            <w:shd w:val="clear" w:color="auto" w:fill="CCEEFF"/>
            <w:tcMar>
              <w:top w:w="30" w:type="dxa"/>
              <w:left w:w="20" w:type="dxa"/>
              <w:bottom w:w="30" w:type="dxa"/>
              <w:right w:w="20" w:type="dxa"/>
            </w:tcMar>
            <w:vAlign w:val="bottom"/>
            <w:hideMark/>
          </w:tcPr>
          <w:p w14:paraId="0774DB42" w14:textId="77777777" w:rsidR="00000000" w:rsidRDefault="00C1661D">
            <w:pPr>
              <w:spacing w:after="100"/>
              <w:rPr>
                <w:rFonts w:eastAsia="Times New Roman"/>
              </w:rPr>
            </w:pPr>
            <w:r>
              <w:rPr>
                <w:rFonts w:eastAsia="Times New Roman"/>
                <w:color w:val="000000"/>
                <w:sz w:val="20"/>
                <w:szCs w:val="20"/>
              </w:rPr>
              <w:t>Regulated natural gas utilities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0C2D59" w14:textId="77777777" w:rsidR="00000000" w:rsidRDefault="00C1661D">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3475EA"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9C6FE5" w14:textId="77777777" w:rsidR="00000000" w:rsidRDefault="00C1661D">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7D6E84"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05C559" w14:textId="77777777" w:rsidR="00000000" w:rsidRDefault="00C1661D">
            <w:pPr>
              <w:spacing w:after="100"/>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70C9DC" w14:textId="77777777" w:rsidR="00000000" w:rsidRDefault="00C1661D">
            <w:pPr>
              <w:spacing w:after="100"/>
              <w:jc w:val="right"/>
              <w:rPr>
                <w:rFonts w:eastAsia="Times New Roman"/>
              </w:rPr>
            </w:pPr>
            <w:r>
              <w:rPr>
                <w:rFonts w:eastAsia="Times New Roman"/>
                <w:color w:val="000000"/>
                <w:sz w:val="20"/>
                <w:szCs w:val="20"/>
              </w:rPr>
              <w:t>%</w:t>
            </w:r>
          </w:p>
        </w:tc>
      </w:tr>
      <w:tr w:rsidR="00000000" w14:paraId="625B6E4E" w14:textId="77777777">
        <w:tc>
          <w:tcPr>
            <w:tcW w:w="0" w:type="auto"/>
            <w:gridSpan w:val="3"/>
            <w:shd w:val="clear" w:color="auto" w:fill="FFFFFF"/>
            <w:tcMar>
              <w:top w:w="30" w:type="dxa"/>
              <w:left w:w="20" w:type="dxa"/>
              <w:bottom w:w="30" w:type="dxa"/>
              <w:right w:w="20" w:type="dxa"/>
            </w:tcMar>
            <w:vAlign w:val="bottom"/>
            <w:hideMark/>
          </w:tcPr>
          <w:p w14:paraId="2DB5AFBD" w14:textId="77777777" w:rsidR="00000000" w:rsidRDefault="00C1661D">
            <w:pPr>
              <w:spacing w:after="100"/>
              <w:rPr>
                <w:rFonts w:eastAsia="Times New Roman"/>
              </w:rPr>
            </w:pPr>
            <w:r>
              <w:rPr>
                <w:rFonts w:eastAsia="Times New Roman"/>
                <w:color w:val="000000"/>
                <w:sz w:val="20"/>
                <w:szCs w:val="20"/>
              </w:rPr>
              <w:t>Electric Utility</w:t>
            </w:r>
          </w:p>
        </w:tc>
        <w:tc>
          <w:tcPr>
            <w:tcW w:w="0" w:type="auto"/>
            <w:gridSpan w:val="2"/>
            <w:shd w:val="clear" w:color="auto" w:fill="FFFFFF"/>
            <w:tcMar>
              <w:top w:w="30" w:type="dxa"/>
              <w:left w:w="20" w:type="dxa"/>
              <w:bottom w:w="30" w:type="dxa"/>
              <w:right w:w="0" w:type="dxa"/>
            </w:tcMar>
            <w:vAlign w:val="bottom"/>
            <w:hideMark/>
          </w:tcPr>
          <w:p w14:paraId="2E23B8FB" w14:textId="77777777" w:rsidR="00000000" w:rsidRDefault="00C1661D">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2B7C4E6D"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14:paraId="5AD96BE3" w14:textId="77777777" w:rsidR="00000000" w:rsidRDefault="00C1661D">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14:paraId="620CB775" w14:textId="77777777" w:rsidR="00000000" w:rsidRDefault="00C1661D">
            <w:pPr>
              <w:spacing w:after="100"/>
              <w:jc w:val="right"/>
              <w:rPr>
                <w:rFonts w:eastAsia="Times New Roman"/>
              </w:rPr>
            </w:pP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14:paraId="1CE6F519" w14:textId="77777777" w:rsidR="00000000" w:rsidRDefault="00C1661D">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14:paraId="635581A4" w14:textId="77777777" w:rsidR="00000000" w:rsidRDefault="00C1661D">
            <w:pPr>
              <w:spacing w:after="100"/>
              <w:jc w:val="right"/>
              <w:rPr>
                <w:rFonts w:eastAsia="Times New Roman"/>
              </w:rPr>
            </w:pPr>
            <w:r>
              <w:rPr>
                <w:rFonts w:eastAsia="Times New Roman"/>
                <w:color w:val="000000"/>
                <w:sz w:val="20"/>
                <w:szCs w:val="20"/>
              </w:rPr>
              <w:t>%</w:t>
            </w:r>
          </w:p>
        </w:tc>
      </w:tr>
    </w:tbl>
    <w:p w14:paraId="68A39E98" w14:textId="77777777" w:rsidR="00000000" w:rsidRDefault="00C1661D">
      <w:pPr>
        <w:jc w:val="both"/>
        <w:rPr>
          <w:rFonts w:eastAsia="Times New Roman"/>
        </w:rPr>
      </w:pPr>
    </w:p>
    <w:p w14:paraId="68081B83" w14:textId="77777777" w:rsidR="00000000" w:rsidRDefault="00C1661D">
      <w:pPr>
        <w:divId w:val="1988776205"/>
        <w:rPr>
          <w:rFonts w:eastAsia="Times New Roman"/>
        </w:rPr>
      </w:pPr>
      <w:r>
        <w:rPr>
          <w:rFonts w:eastAsia="Times New Roman"/>
          <w:color w:val="000000"/>
          <w:sz w:val="20"/>
          <w:szCs w:val="20"/>
        </w:rPr>
        <w:t xml:space="preserve">Depreciation expense totaled $460, $437 and $416 </w:t>
      </w:r>
      <w:r>
        <w:rPr>
          <w:rFonts w:eastAsia="Times New Roman"/>
          <w:color w:val="000000"/>
          <w:sz w:val="20"/>
          <w:szCs w:val="20"/>
        </w:rPr>
        <w:t>for Fiscal 2022, Fiscal 2021 and Fiscal 2020, respectively.</w:t>
      </w:r>
    </w:p>
    <w:p w14:paraId="1A1458D1" w14:textId="77777777" w:rsidR="00000000" w:rsidRDefault="00C1661D">
      <w:pPr>
        <w:divId w:val="217480635"/>
        <w:rPr>
          <w:rFonts w:eastAsia="Times New Roman"/>
        </w:rPr>
      </w:pPr>
    </w:p>
    <w:p w14:paraId="19A016CE" w14:textId="77777777" w:rsidR="00000000" w:rsidRDefault="00C1661D">
      <w:pPr>
        <w:jc w:val="both"/>
        <w:rPr>
          <w:rFonts w:eastAsia="Times New Roman"/>
        </w:rPr>
      </w:pPr>
      <w:r>
        <w:rPr>
          <w:rFonts w:eastAsia="Times New Roman"/>
          <w:b/>
          <w:bCs/>
          <w:color w:val="000000"/>
          <w:sz w:val="20"/>
          <w:szCs w:val="20"/>
          <w:u w:val="single"/>
        </w:rPr>
        <w:t xml:space="preserve">Note 12 — Goodwill and Intangible Assets </w:t>
      </w:r>
    </w:p>
    <w:p w14:paraId="2D979E40" w14:textId="77777777" w:rsidR="00000000" w:rsidRDefault="00C1661D">
      <w:pPr>
        <w:jc w:val="both"/>
        <w:divId w:val="502093497"/>
        <w:rPr>
          <w:rFonts w:eastAsia="Times New Roman"/>
        </w:rPr>
      </w:pPr>
      <w:r>
        <w:rPr>
          <w:rFonts w:eastAsia="Times New Roman"/>
          <w:color w:val="000000"/>
          <w:sz w:val="20"/>
          <w:szCs w:val="20"/>
        </w:rPr>
        <w:t>Changes in the carrying amount of goodwill by reportable segment are as follows:</w:t>
      </w:r>
    </w:p>
    <w:tbl>
      <w:tblPr>
        <w:tblW w:w="4992" w:type="pct"/>
        <w:tblCellMar>
          <w:top w:w="15" w:type="dxa"/>
          <w:left w:w="15" w:type="dxa"/>
          <w:bottom w:w="15" w:type="dxa"/>
          <w:right w:w="15" w:type="dxa"/>
        </w:tblCellMar>
        <w:tblLook w:val="04A0" w:firstRow="1" w:lastRow="0" w:firstColumn="1" w:lastColumn="0" w:noHBand="0" w:noVBand="1"/>
      </w:tblPr>
      <w:tblGrid>
        <w:gridCol w:w="38"/>
        <w:gridCol w:w="2607"/>
        <w:gridCol w:w="37"/>
        <w:gridCol w:w="121"/>
        <w:gridCol w:w="906"/>
        <w:gridCol w:w="36"/>
        <w:gridCol w:w="36"/>
        <w:gridCol w:w="36"/>
        <w:gridCol w:w="36"/>
        <w:gridCol w:w="121"/>
        <w:gridCol w:w="970"/>
        <w:gridCol w:w="36"/>
        <w:gridCol w:w="36"/>
        <w:gridCol w:w="36"/>
        <w:gridCol w:w="36"/>
        <w:gridCol w:w="121"/>
        <w:gridCol w:w="828"/>
        <w:gridCol w:w="36"/>
        <w:gridCol w:w="36"/>
        <w:gridCol w:w="36"/>
        <w:gridCol w:w="36"/>
        <w:gridCol w:w="121"/>
        <w:gridCol w:w="833"/>
        <w:gridCol w:w="36"/>
        <w:gridCol w:w="36"/>
        <w:gridCol w:w="36"/>
        <w:gridCol w:w="36"/>
        <w:gridCol w:w="120"/>
        <w:gridCol w:w="858"/>
        <w:gridCol w:w="36"/>
      </w:tblGrid>
      <w:tr w:rsidR="00000000" w14:paraId="6F24DAC6" w14:textId="77777777">
        <w:trPr>
          <w:divId w:val="2143114249"/>
        </w:trPr>
        <w:tc>
          <w:tcPr>
            <w:tcW w:w="50" w:type="pct"/>
            <w:vAlign w:val="center"/>
            <w:hideMark/>
          </w:tcPr>
          <w:p w14:paraId="2C9EC6AE" w14:textId="77777777" w:rsidR="00000000" w:rsidRDefault="00C1661D">
            <w:pPr>
              <w:jc w:val="both"/>
              <w:rPr>
                <w:rFonts w:eastAsia="Times New Roman"/>
              </w:rPr>
            </w:pPr>
          </w:p>
        </w:tc>
        <w:tc>
          <w:tcPr>
            <w:tcW w:w="1614" w:type="pct"/>
            <w:vAlign w:val="center"/>
            <w:hideMark/>
          </w:tcPr>
          <w:p w14:paraId="6238DB59" w14:textId="77777777" w:rsidR="00000000" w:rsidRDefault="00C1661D">
            <w:pPr>
              <w:spacing w:after="100"/>
              <w:rPr>
                <w:rFonts w:eastAsia="Times New Roman"/>
                <w:sz w:val="20"/>
                <w:szCs w:val="20"/>
              </w:rPr>
            </w:pPr>
          </w:p>
        </w:tc>
        <w:tc>
          <w:tcPr>
            <w:tcW w:w="5" w:type="pct"/>
            <w:vAlign w:val="center"/>
            <w:hideMark/>
          </w:tcPr>
          <w:p w14:paraId="3A43D2E1" w14:textId="77777777" w:rsidR="00000000" w:rsidRDefault="00C1661D">
            <w:pPr>
              <w:spacing w:after="100"/>
              <w:rPr>
                <w:rFonts w:eastAsia="Times New Roman"/>
                <w:sz w:val="20"/>
                <w:szCs w:val="20"/>
              </w:rPr>
            </w:pPr>
          </w:p>
        </w:tc>
        <w:tc>
          <w:tcPr>
            <w:tcW w:w="50" w:type="pct"/>
            <w:vAlign w:val="center"/>
            <w:hideMark/>
          </w:tcPr>
          <w:p w14:paraId="56FDCAA4" w14:textId="77777777" w:rsidR="00000000" w:rsidRDefault="00C1661D">
            <w:pPr>
              <w:spacing w:after="100"/>
              <w:rPr>
                <w:rFonts w:eastAsia="Times New Roman"/>
                <w:sz w:val="20"/>
                <w:szCs w:val="20"/>
              </w:rPr>
            </w:pPr>
          </w:p>
        </w:tc>
        <w:tc>
          <w:tcPr>
            <w:tcW w:w="581" w:type="pct"/>
            <w:vAlign w:val="center"/>
            <w:hideMark/>
          </w:tcPr>
          <w:p w14:paraId="6153EBAA" w14:textId="77777777" w:rsidR="00000000" w:rsidRDefault="00C1661D">
            <w:pPr>
              <w:spacing w:after="100"/>
              <w:rPr>
                <w:rFonts w:eastAsia="Times New Roman"/>
                <w:sz w:val="20"/>
                <w:szCs w:val="20"/>
              </w:rPr>
            </w:pPr>
          </w:p>
        </w:tc>
        <w:tc>
          <w:tcPr>
            <w:tcW w:w="5" w:type="pct"/>
            <w:vAlign w:val="center"/>
            <w:hideMark/>
          </w:tcPr>
          <w:p w14:paraId="6B84BCC9" w14:textId="77777777" w:rsidR="00000000" w:rsidRDefault="00C1661D">
            <w:pPr>
              <w:spacing w:after="100"/>
              <w:rPr>
                <w:rFonts w:eastAsia="Times New Roman"/>
                <w:sz w:val="20"/>
                <w:szCs w:val="20"/>
              </w:rPr>
            </w:pPr>
          </w:p>
        </w:tc>
        <w:tc>
          <w:tcPr>
            <w:tcW w:w="5" w:type="pct"/>
            <w:vAlign w:val="center"/>
            <w:hideMark/>
          </w:tcPr>
          <w:p w14:paraId="5E4B57AA" w14:textId="77777777" w:rsidR="00000000" w:rsidRDefault="00C1661D">
            <w:pPr>
              <w:spacing w:after="100"/>
              <w:rPr>
                <w:rFonts w:eastAsia="Times New Roman"/>
                <w:sz w:val="20"/>
                <w:szCs w:val="20"/>
              </w:rPr>
            </w:pPr>
          </w:p>
        </w:tc>
        <w:tc>
          <w:tcPr>
            <w:tcW w:w="26" w:type="pct"/>
            <w:vAlign w:val="center"/>
            <w:hideMark/>
          </w:tcPr>
          <w:p w14:paraId="0B6EFD49" w14:textId="77777777" w:rsidR="00000000" w:rsidRDefault="00C1661D">
            <w:pPr>
              <w:spacing w:after="100"/>
              <w:rPr>
                <w:rFonts w:eastAsia="Times New Roman"/>
                <w:sz w:val="20"/>
                <w:szCs w:val="20"/>
              </w:rPr>
            </w:pPr>
          </w:p>
        </w:tc>
        <w:tc>
          <w:tcPr>
            <w:tcW w:w="5" w:type="pct"/>
            <w:vAlign w:val="center"/>
            <w:hideMark/>
          </w:tcPr>
          <w:p w14:paraId="3BF79BE8" w14:textId="77777777" w:rsidR="00000000" w:rsidRDefault="00C1661D">
            <w:pPr>
              <w:spacing w:after="100"/>
              <w:rPr>
                <w:rFonts w:eastAsia="Times New Roman"/>
                <w:sz w:val="20"/>
                <w:szCs w:val="20"/>
              </w:rPr>
            </w:pPr>
          </w:p>
        </w:tc>
        <w:tc>
          <w:tcPr>
            <w:tcW w:w="50" w:type="pct"/>
            <w:vAlign w:val="center"/>
            <w:hideMark/>
          </w:tcPr>
          <w:p w14:paraId="2524EA93" w14:textId="77777777" w:rsidR="00000000" w:rsidRDefault="00C1661D">
            <w:pPr>
              <w:spacing w:after="100"/>
              <w:rPr>
                <w:rFonts w:eastAsia="Times New Roman"/>
                <w:sz w:val="20"/>
                <w:szCs w:val="20"/>
              </w:rPr>
            </w:pPr>
          </w:p>
        </w:tc>
        <w:tc>
          <w:tcPr>
            <w:tcW w:w="581" w:type="pct"/>
            <w:vAlign w:val="center"/>
            <w:hideMark/>
          </w:tcPr>
          <w:p w14:paraId="1447D455" w14:textId="77777777" w:rsidR="00000000" w:rsidRDefault="00C1661D">
            <w:pPr>
              <w:spacing w:after="100"/>
              <w:rPr>
                <w:rFonts w:eastAsia="Times New Roman"/>
                <w:sz w:val="20"/>
                <w:szCs w:val="20"/>
              </w:rPr>
            </w:pPr>
          </w:p>
        </w:tc>
        <w:tc>
          <w:tcPr>
            <w:tcW w:w="5" w:type="pct"/>
            <w:vAlign w:val="center"/>
            <w:hideMark/>
          </w:tcPr>
          <w:p w14:paraId="22A98CEF" w14:textId="77777777" w:rsidR="00000000" w:rsidRDefault="00C1661D">
            <w:pPr>
              <w:spacing w:after="100"/>
              <w:rPr>
                <w:rFonts w:eastAsia="Times New Roman"/>
                <w:sz w:val="20"/>
                <w:szCs w:val="20"/>
              </w:rPr>
            </w:pPr>
          </w:p>
        </w:tc>
        <w:tc>
          <w:tcPr>
            <w:tcW w:w="5" w:type="pct"/>
            <w:vAlign w:val="center"/>
            <w:hideMark/>
          </w:tcPr>
          <w:p w14:paraId="5D906E4F" w14:textId="77777777" w:rsidR="00000000" w:rsidRDefault="00C1661D">
            <w:pPr>
              <w:spacing w:after="100"/>
              <w:rPr>
                <w:rFonts w:eastAsia="Times New Roman"/>
                <w:sz w:val="20"/>
                <w:szCs w:val="20"/>
              </w:rPr>
            </w:pPr>
          </w:p>
        </w:tc>
        <w:tc>
          <w:tcPr>
            <w:tcW w:w="26" w:type="pct"/>
            <w:vAlign w:val="center"/>
            <w:hideMark/>
          </w:tcPr>
          <w:p w14:paraId="08E4C377" w14:textId="77777777" w:rsidR="00000000" w:rsidRDefault="00C1661D">
            <w:pPr>
              <w:spacing w:after="100"/>
              <w:rPr>
                <w:rFonts w:eastAsia="Times New Roman"/>
                <w:sz w:val="20"/>
                <w:szCs w:val="20"/>
              </w:rPr>
            </w:pPr>
          </w:p>
        </w:tc>
        <w:tc>
          <w:tcPr>
            <w:tcW w:w="5" w:type="pct"/>
            <w:vAlign w:val="center"/>
            <w:hideMark/>
          </w:tcPr>
          <w:p w14:paraId="4B2B5BE2" w14:textId="77777777" w:rsidR="00000000" w:rsidRDefault="00C1661D">
            <w:pPr>
              <w:spacing w:after="100"/>
              <w:rPr>
                <w:rFonts w:eastAsia="Times New Roman"/>
                <w:sz w:val="20"/>
                <w:szCs w:val="20"/>
              </w:rPr>
            </w:pPr>
          </w:p>
        </w:tc>
        <w:tc>
          <w:tcPr>
            <w:tcW w:w="50" w:type="pct"/>
            <w:vAlign w:val="center"/>
            <w:hideMark/>
          </w:tcPr>
          <w:p w14:paraId="5970DB05" w14:textId="77777777" w:rsidR="00000000" w:rsidRDefault="00C1661D">
            <w:pPr>
              <w:spacing w:after="100"/>
              <w:rPr>
                <w:rFonts w:eastAsia="Times New Roman"/>
                <w:sz w:val="20"/>
                <w:szCs w:val="20"/>
              </w:rPr>
            </w:pPr>
          </w:p>
        </w:tc>
        <w:tc>
          <w:tcPr>
            <w:tcW w:w="581" w:type="pct"/>
            <w:vAlign w:val="center"/>
            <w:hideMark/>
          </w:tcPr>
          <w:p w14:paraId="598F3A90" w14:textId="77777777" w:rsidR="00000000" w:rsidRDefault="00C1661D">
            <w:pPr>
              <w:spacing w:after="100"/>
              <w:rPr>
                <w:rFonts w:eastAsia="Times New Roman"/>
                <w:sz w:val="20"/>
                <w:szCs w:val="20"/>
              </w:rPr>
            </w:pPr>
          </w:p>
        </w:tc>
        <w:tc>
          <w:tcPr>
            <w:tcW w:w="5" w:type="pct"/>
            <w:vAlign w:val="center"/>
            <w:hideMark/>
          </w:tcPr>
          <w:p w14:paraId="66C687CB" w14:textId="77777777" w:rsidR="00000000" w:rsidRDefault="00C1661D">
            <w:pPr>
              <w:spacing w:after="100"/>
              <w:rPr>
                <w:rFonts w:eastAsia="Times New Roman"/>
                <w:sz w:val="20"/>
                <w:szCs w:val="20"/>
              </w:rPr>
            </w:pPr>
          </w:p>
        </w:tc>
        <w:tc>
          <w:tcPr>
            <w:tcW w:w="5" w:type="pct"/>
            <w:vAlign w:val="center"/>
            <w:hideMark/>
          </w:tcPr>
          <w:p w14:paraId="69545CA5" w14:textId="77777777" w:rsidR="00000000" w:rsidRDefault="00C1661D">
            <w:pPr>
              <w:spacing w:after="100"/>
              <w:rPr>
                <w:rFonts w:eastAsia="Times New Roman"/>
                <w:sz w:val="20"/>
                <w:szCs w:val="20"/>
              </w:rPr>
            </w:pPr>
          </w:p>
        </w:tc>
        <w:tc>
          <w:tcPr>
            <w:tcW w:w="26" w:type="pct"/>
            <w:vAlign w:val="center"/>
            <w:hideMark/>
          </w:tcPr>
          <w:p w14:paraId="64732757" w14:textId="77777777" w:rsidR="00000000" w:rsidRDefault="00C1661D">
            <w:pPr>
              <w:spacing w:after="100"/>
              <w:rPr>
                <w:rFonts w:eastAsia="Times New Roman"/>
                <w:sz w:val="20"/>
                <w:szCs w:val="20"/>
              </w:rPr>
            </w:pPr>
          </w:p>
        </w:tc>
        <w:tc>
          <w:tcPr>
            <w:tcW w:w="5" w:type="pct"/>
            <w:vAlign w:val="center"/>
            <w:hideMark/>
          </w:tcPr>
          <w:p w14:paraId="30B9290C" w14:textId="77777777" w:rsidR="00000000" w:rsidRDefault="00C1661D">
            <w:pPr>
              <w:spacing w:after="100"/>
              <w:rPr>
                <w:rFonts w:eastAsia="Times New Roman"/>
                <w:sz w:val="20"/>
                <w:szCs w:val="20"/>
              </w:rPr>
            </w:pPr>
          </w:p>
        </w:tc>
        <w:tc>
          <w:tcPr>
            <w:tcW w:w="50" w:type="pct"/>
            <w:vAlign w:val="center"/>
            <w:hideMark/>
          </w:tcPr>
          <w:p w14:paraId="4A686F2D" w14:textId="77777777" w:rsidR="00000000" w:rsidRDefault="00C1661D">
            <w:pPr>
              <w:spacing w:after="100"/>
              <w:rPr>
                <w:rFonts w:eastAsia="Times New Roman"/>
                <w:sz w:val="20"/>
                <w:szCs w:val="20"/>
              </w:rPr>
            </w:pPr>
          </w:p>
        </w:tc>
        <w:tc>
          <w:tcPr>
            <w:tcW w:w="581" w:type="pct"/>
            <w:vAlign w:val="center"/>
            <w:hideMark/>
          </w:tcPr>
          <w:p w14:paraId="237DE592" w14:textId="77777777" w:rsidR="00000000" w:rsidRDefault="00C1661D">
            <w:pPr>
              <w:spacing w:after="100"/>
              <w:rPr>
                <w:rFonts w:eastAsia="Times New Roman"/>
                <w:sz w:val="20"/>
                <w:szCs w:val="20"/>
              </w:rPr>
            </w:pPr>
          </w:p>
        </w:tc>
        <w:tc>
          <w:tcPr>
            <w:tcW w:w="5" w:type="pct"/>
            <w:vAlign w:val="center"/>
            <w:hideMark/>
          </w:tcPr>
          <w:p w14:paraId="2FDCCBCF" w14:textId="77777777" w:rsidR="00000000" w:rsidRDefault="00C1661D">
            <w:pPr>
              <w:spacing w:after="100"/>
              <w:rPr>
                <w:rFonts w:eastAsia="Times New Roman"/>
                <w:sz w:val="20"/>
                <w:szCs w:val="20"/>
              </w:rPr>
            </w:pPr>
          </w:p>
        </w:tc>
        <w:tc>
          <w:tcPr>
            <w:tcW w:w="5" w:type="pct"/>
            <w:vAlign w:val="center"/>
            <w:hideMark/>
          </w:tcPr>
          <w:p w14:paraId="44839FC3" w14:textId="77777777" w:rsidR="00000000" w:rsidRDefault="00C1661D">
            <w:pPr>
              <w:spacing w:after="100"/>
              <w:rPr>
                <w:rFonts w:eastAsia="Times New Roman"/>
                <w:sz w:val="20"/>
                <w:szCs w:val="20"/>
              </w:rPr>
            </w:pPr>
          </w:p>
        </w:tc>
        <w:tc>
          <w:tcPr>
            <w:tcW w:w="26" w:type="pct"/>
            <w:vAlign w:val="center"/>
            <w:hideMark/>
          </w:tcPr>
          <w:p w14:paraId="0894D455" w14:textId="77777777" w:rsidR="00000000" w:rsidRDefault="00C1661D">
            <w:pPr>
              <w:spacing w:after="100"/>
              <w:rPr>
                <w:rFonts w:eastAsia="Times New Roman"/>
                <w:sz w:val="20"/>
                <w:szCs w:val="20"/>
              </w:rPr>
            </w:pPr>
          </w:p>
        </w:tc>
        <w:tc>
          <w:tcPr>
            <w:tcW w:w="5" w:type="pct"/>
            <w:vAlign w:val="center"/>
            <w:hideMark/>
          </w:tcPr>
          <w:p w14:paraId="50A28836" w14:textId="77777777" w:rsidR="00000000" w:rsidRDefault="00C1661D">
            <w:pPr>
              <w:spacing w:after="100"/>
              <w:rPr>
                <w:rFonts w:eastAsia="Times New Roman"/>
                <w:sz w:val="20"/>
                <w:szCs w:val="20"/>
              </w:rPr>
            </w:pPr>
          </w:p>
        </w:tc>
        <w:tc>
          <w:tcPr>
            <w:tcW w:w="50" w:type="pct"/>
            <w:vAlign w:val="center"/>
            <w:hideMark/>
          </w:tcPr>
          <w:p w14:paraId="06505677" w14:textId="77777777" w:rsidR="00000000" w:rsidRDefault="00C1661D">
            <w:pPr>
              <w:spacing w:after="100"/>
              <w:rPr>
                <w:rFonts w:eastAsia="Times New Roman"/>
                <w:sz w:val="20"/>
                <w:szCs w:val="20"/>
              </w:rPr>
            </w:pPr>
          </w:p>
        </w:tc>
        <w:tc>
          <w:tcPr>
            <w:tcW w:w="582" w:type="pct"/>
            <w:vAlign w:val="center"/>
            <w:hideMark/>
          </w:tcPr>
          <w:p w14:paraId="5311B459" w14:textId="77777777" w:rsidR="00000000" w:rsidRDefault="00C1661D">
            <w:pPr>
              <w:spacing w:after="100"/>
              <w:rPr>
                <w:rFonts w:eastAsia="Times New Roman"/>
                <w:sz w:val="20"/>
                <w:szCs w:val="20"/>
              </w:rPr>
            </w:pPr>
          </w:p>
        </w:tc>
        <w:tc>
          <w:tcPr>
            <w:tcW w:w="5" w:type="pct"/>
            <w:vAlign w:val="center"/>
            <w:hideMark/>
          </w:tcPr>
          <w:p w14:paraId="69409F1C" w14:textId="77777777" w:rsidR="00000000" w:rsidRDefault="00C1661D">
            <w:pPr>
              <w:spacing w:after="100"/>
              <w:rPr>
                <w:rFonts w:eastAsia="Times New Roman"/>
                <w:sz w:val="20"/>
                <w:szCs w:val="20"/>
              </w:rPr>
            </w:pPr>
          </w:p>
        </w:tc>
      </w:tr>
      <w:tr w:rsidR="00000000" w14:paraId="506D78BD" w14:textId="77777777">
        <w:trPr>
          <w:divId w:val="2143114249"/>
        </w:trPr>
        <w:tc>
          <w:tcPr>
            <w:tcW w:w="0" w:type="auto"/>
            <w:gridSpan w:val="3"/>
            <w:tcMar>
              <w:top w:w="30" w:type="dxa"/>
              <w:left w:w="20" w:type="dxa"/>
              <w:bottom w:w="30" w:type="dxa"/>
              <w:right w:w="20" w:type="dxa"/>
            </w:tcMar>
            <w:vAlign w:val="bottom"/>
            <w:hideMark/>
          </w:tcPr>
          <w:p w14:paraId="73E9C374"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9FC3E23" w14:textId="77777777" w:rsidR="00000000" w:rsidRDefault="00C1661D">
            <w:pPr>
              <w:spacing w:after="100"/>
              <w:jc w:val="center"/>
              <w:rPr>
                <w:rFonts w:eastAsia="Times New Roman"/>
              </w:rPr>
            </w:pPr>
            <w:r>
              <w:rPr>
                <w:rFonts w:eastAsia="Times New Roman"/>
                <w:color w:val="000000"/>
                <w:sz w:val="20"/>
                <w:szCs w:val="20"/>
              </w:rPr>
              <w:t>AmeriGas</w:t>
            </w:r>
            <w:r>
              <w:rPr>
                <w:rFonts w:eastAsia="Times New Roman"/>
                <w:color w:val="000000"/>
                <w:sz w:val="20"/>
                <w:szCs w:val="20"/>
              </w:rPr>
              <w:br/>
              <w:t>Propane</w:t>
            </w:r>
          </w:p>
        </w:tc>
        <w:tc>
          <w:tcPr>
            <w:tcW w:w="0" w:type="auto"/>
            <w:gridSpan w:val="3"/>
            <w:tcMar>
              <w:top w:w="0" w:type="dxa"/>
              <w:left w:w="20" w:type="dxa"/>
              <w:bottom w:w="0" w:type="dxa"/>
              <w:right w:w="20" w:type="dxa"/>
            </w:tcMar>
            <w:vAlign w:val="center"/>
            <w:hideMark/>
          </w:tcPr>
          <w:p w14:paraId="0CE8AE71"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78E3D7" w14:textId="77777777" w:rsidR="00000000" w:rsidRDefault="00C1661D">
            <w:pPr>
              <w:spacing w:after="100"/>
              <w:jc w:val="center"/>
              <w:rPr>
                <w:rFonts w:eastAsia="Times New Roman"/>
              </w:rPr>
            </w:pPr>
            <w:r>
              <w:rPr>
                <w:rFonts w:eastAsia="Times New Roman"/>
                <w:color w:val="000000"/>
                <w:sz w:val="20"/>
                <w:szCs w:val="20"/>
              </w:rPr>
              <w:t>UGI International</w:t>
            </w:r>
          </w:p>
        </w:tc>
        <w:tc>
          <w:tcPr>
            <w:tcW w:w="0" w:type="auto"/>
            <w:gridSpan w:val="3"/>
            <w:tcMar>
              <w:top w:w="0" w:type="dxa"/>
              <w:left w:w="20" w:type="dxa"/>
              <w:bottom w:w="0" w:type="dxa"/>
              <w:right w:w="20" w:type="dxa"/>
            </w:tcMar>
            <w:vAlign w:val="center"/>
            <w:hideMark/>
          </w:tcPr>
          <w:p w14:paraId="19C99130"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4D3AF5C" w14:textId="77777777" w:rsidR="00000000" w:rsidRDefault="00C1661D">
            <w:pPr>
              <w:spacing w:after="100"/>
              <w:jc w:val="center"/>
              <w:rPr>
                <w:rFonts w:eastAsia="Times New Roman"/>
              </w:rPr>
            </w:pPr>
            <w:r>
              <w:rPr>
                <w:rFonts w:eastAsia="Times New Roman"/>
                <w:color w:val="000000"/>
                <w:sz w:val="20"/>
                <w:szCs w:val="20"/>
              </w:rPr>
              <w:t>Midstream &amp; Marketing</w:t>
            </w:r>
          </w:p>
        </w:tc>
        <w:tc>
          <w:tcPr>
            <w:tcW w:w="0" w:type="auto"/>
            <w:gridSpan w:val="3"/>
            <w:tcMar>
              <w:top w:w="0" w:type="dxa"/>
              <w:left w:w="20" w:type="dxa"/>
              <w:bottom w:w="0" w:type="dxa"/>
              <w:right w:w="20" w:type="dxa"/>
            </w:tcMar>
            <w:vAlign w:val="center"/>
            <w:hideMark/>
          </w:tcPr>
          <w:p w14:paraId="27FB3CDB"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C5A6EA1" w14:textId="77777777" w:rsidR="00000000" w:rsidRDefault="00C1661D">
            <w:pPr>
              <w:spacing w:after="100"/>
              <w:jc w:val="center"/>
              <w:rPr>
                <w:rFonts w:eastAsia="Times New Roman"/>
              </w:rPr>
            </w:pPr>
            <w:r>
              <w:rPr>
                <w:rFonts w:eastAsia="Times New Roman"/>
                <w:color w:val="000000"/>
                <w:sz w:val="20"/>
                <w:szCs w:val="20"/>
              </w:rPr>
              <w:t>Utilities</w:t>
            </w:r>
          </w:p>
        </w:tc>
        <w:tc>
          <w:tcPr>
            <w:tcW w:w="0" w:type="auto"/>
            <w:gridSpan w:val="3"/>
            <w:tcMar>
              <w:top w:w="0" w:type="dxa"/>
              <w:left w:w="20" w:type="dxa"/>
              <w:bottom w:w="0" w:type="dxa"/>
              <w:right w:w="20" w:type="dxa"/>
            </w:tcMar>
            <w:vAlign w:val="center"/>
            <w:hideMark/>
          </w:tcPr>
          <w:p w14:paraId="645304DB"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FEE34D3" w14:textId="77777777" w:rsidR="00000000" w:rsidRDefault="00C1661D">
            <w:pPr>
              <w:spacing w:after="100"/>
              <w:jc w:val="center"/>
              <w:rPr>
                <w:rFonts w:eastAsia="Times New Roman"/>
              </w:rPr>
            </w:pPr>
            <w:r>
              <w:rPr>
                <w:rFonts w:eastAsia="Times New Roman"/>
                <w:color w:val="000000"/>
                <w:sz w:val="20"/>
                <w:szCs w:val="20"/>
              </w:rPr>
              <w:t>Total</w:t>
            </w:r>
          </w:p>
        </w:tc>
      </w:tr>
      <w:tr w:rsidR="00000000" w14:paraId="5575C741" w14:textId="77777777">
        <w:trPr>
          <w:divId w:val="2143114249"/>
        </w:trPr>
        <w:tc>
          <w:tcPr>
            <w:tcW w:w="0" w:type="auto"/>
            <w:gridSpan w:val="3"/>
            <w:shd w:val="clear" w:color="auto" w:fill="CCEEFF"/>
            <w:tcMar>
              <w:top w:w="30" w:type="dxa"/>
              <w:left w:w="20" w:type="dxa"/>
              <w:bottom w:w="30" w:type="dxa"/>
              <w:right w:w="20" w:type="dxa"/>
            </w:tcMar>
            <w:vAlign w:val="bottom"/>
            <w:hideMark/>
          </w:tcPr>
          <w:p w14:paraId="12BDCEB1" w14:textId="77777777" w:rsidR="00000000" w:rsidRDefault="00C1661D">
            <w:pPr>
              <w:spacing w:after="100"/>
              <w:rPr>
                <w:rFonts w:eastAsia="Times New Roman"/>
              </w:rPr>
            </w:pPr>
            <w:r>
              <w:rPr>
                <w:rFonts w:eastAsia="Times New Roman"/>
                <w:color w:val="000000"/>
                <w:sz w:val="20"/>
                <w:szCs w:val="20"/>
              </w:rPr>
              <w:t>Balance September 30,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AF229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CE9681" w14:textId="77777777" w:rsidR="00000000" w:rsidRDefault="00C1661D">
            <w:pPr>
              <w:spacing w:after="100"/>
              <w:jc w:val="right"/>
              <w:rPr>
                <w:rFonts w:eastAsia="Times New Roman"/>
              </w:rPr>
            </w:pPr>
            <w:r>
              <w:rPr>
                <w:rFonts w:eastAsia="Times New Roman"/>
                <w:color w:val="000000"/>
                <w:sz w:val="20"/>
                <w:szCs w:val="20"/>
              </w:rPr>
              <w:t>2,004 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70ADA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C3A562"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AC6AC9"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894DC1" w14:textId="77777777" w:rsidR="00000000" w:rsidRDefault="00C1661D">
            <w:pPr>
              <w:spacing w:after="100"/>
              <w:jc w:val="right"/>
              <w:rPr>
                <w:rFonts w:eastAsia="Times New Roman"/>
              </w:rPr>
            </w:pPr>
            <w:r>
              <w:rPr>
                <w:rFonts w:eastAsia="Times New Roman"/>
                <w:color w:val="000000"/>
                <w:sz w:val="20"/>
                <w:szCs w:val="20"/>
              </w:rPr>
              <w:t>997 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78A97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96D6F"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B7E7D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45AC2C" w14:textId="77777777" w:rsidR="00000000" w:rsidRDefault="00C1661D">
            <w:pPr>
              <w:spacing w:after="100"/>
              <w:jc w:val="right"/>
              <w:rPr>
                <w:rFonts w:eastAsia="Times New Roman"/>
              </w:rPr>
            </w:pPr>
            <w:r>
              <w:rPr>
                <w:rFonts w:eastAsia="Times New Roman"/>
                <w:color w:val="000000"/>
                <w:sz w:val="20"/>
                <w:szCs w:val="20"/>
              </w:rPr>
              <w:t>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EAECF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2EAC0"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4481BE"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32467E" w14:textId="77777777" w:rsidR="00000000" w:rsidRDefault="00C1661D">
            <w:pPr>
              <w:spacing w:after="100"/>
              <w:jc w:val="right"/>
              <w:rPr>
                <w:rFonts w:eastAsia="Times New Roman"/>
              </w:rPr>
            </w:pPr>
            <w:r>
              <w:rPr>
                <w:rFonts w:eastAsia="Times New Roman"/>
                <w:color w:val="000000"/>
                <w:sz w:val="20"/>
                <w:szCs w:val="20"/>
              </w:rPr>
              <w:t>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C71BE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86355F"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BA702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6D5EB6" w14:textId="77777777" w:rsidR="00000000" w:rsidRDefault="00C1661D">
            <w:pPr>
              <w:spacing w:after="100"/>
              <w:jc w:val="right"/>
              <w:rPr>
                <w:rFonts w:eastAsia="Times New Roman"/>
              </w:rPr>
            </w:pPr>
            <w:r>
              <w:rPr>
                <w:rFonts w:eastAsia="Times New Roman"/>
                <w:color w:val="000000"/>
                <w:sz w:val="20"/>
                <w:szCs w:val="20"/>
              </w:rPr>
              <w:t>3,518 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D73E17" w14:textId="77777777" w:rsidR="00000000" w:rsidRDefault="00C1661D">
            <w:pPr>
              <w:spacing w:after="100"/>
              <w:jc w:val="right"/>
              <w:rPr>
                <w:rFonts w:eastAsia="Times New Roman"/>
              </w:rPr>
            </w:pPr>
          </w:p>
        </w:tc>
      </w:tr>
      <w:tr w:rsidR="00000000" w14:paraId="17482F33" w14:textId="77777777">
        <w:trPr>
          <w:divId w:val="2143114249"/>
        </w:trPr>
        <w:tc>
          <w:tcPr>
            <w:tcW w:w="0" w:type="auto"/>
            <w:gridSpan w:val="3"/>
            <w:shd w:val="clear" w:color="auto" w:fill="FFFFFF"/>
            <w:tcMar>
              <w:top w:w="30" w:type="dxa"/>
              <w:left w:w="155" w:type="dxa"/>
              <w:bottom w:w="30" w:type="dxa"/>
              <w:right w:w="20" w:type="dxa"/>
            </w:tcMar>
            <w:vAlign w:val="bottom"/>
            <w:hideMark/>
          </w:tcPr>
          <w:p w14:paraId="2269ECB8" w14:textId="77777777" w:rsidR="00000000" w:rsidRDefault="00C1661D">
            <w:pPr>
              <w:spacing w:after="100"/>
              <w:rPr>
                <w:rFonts w:eastAsia="Times New Roman"/>
              </w:rPr>
            </w:pPr>
            <w:r>
              <w:rPr>
                <w:rFonts w:eastAsia="Times New Roman"/>
                <w:color w:val="000000"/>
                <w:sz w:val="20"/>
                <w:szCs w:val="20"/>
              </w:rPr>
              <w:t>Acquisitions</w:t>
            </w:r>
          </w:p>
        </w:tc>
        <w:tc>
          <w:tcPr>
            <w:tcW w:w="0" w:type="auto"/>
            <w:gridSpan w:val="2"/>
            <w:shd w:val="clear" w:color="auto" w:fill="FFFFFF"/>
            <w:tcMar>
              <w:top w:w="30" w:type="dxa"/>
              <w:left w:w="20" w:type="dxa"/>
              <w:bottom w:w="30" w:type="dxa"/>
              <w:right w:w="0" w:type="dxa"/>
            </w:tcMar>
            <w:vAlign w:val="bottom"/>
            <w:hideMark/>
          </w:tcPr>
          <w:p w14:paraId="54AB1C18"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61A8F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9C33A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761CF4" w14:textId="77777777" w:rsidR="00000000" w:rsidRDefault="00C1661D">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1941989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73AB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E51763"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BF09A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E3347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5FEA41" w14:textId="77777777" w:rsidR="00000000" w:rsidRDefault="00C1661D">
            <w:pPr>
              <w:spacing w:after="100"/>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14:paraId="15AAAEB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E241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BB25E6" w14:textId="77777777" w:rsidR="00000000" w:rsidRDefault="00C1661D">
            <w:pPr>
              <w:spacing w:after="100"/>
              <w:jc w:val="right"/>
              <w:rPr>
                <w:rFonts w:eastAsia="Times New Roman"/>
              </w:rPr>
            </w:pPr>
            <w:r>
              <w:rPr>
                <w:rFonts w:eastAsia="Times New Roman"/>
                <w:color w:val="000000"/>
                <w:sz w:val="20"/>
                <w:szCs w:val="20"/>
              </w:rPr>
              <w:t>261 </w:t>
            </w:r>
          </w:p>
        </w:tc>
        <w:tc>
          <w:tcPr>
            <w:tcW w:w="0" w:type="auto"/>
            <w:shd w:val="clear" w:color="auto" w:fill="FFFFFF"/>
            <w:tcMar>
              <w:top w:w="30" w:type="dxa"/>
              <w:left w:w="0" w:type="dxa"/>
              <w:bottom w:w="30" w:type="dxa"/>
              <w:right w:w="20" w:type="dxa"/>
            </w:tcMar>
            <w:vAlign w:val="bottom"/>
            <w:hideMark/>
          </w:tcPr>
          <w:p w14:paraId="1DA9D474" w14:textId="77777777" w:rsidR="00000000" w:rsidRDefault="00C1661D">
            <w:pPr>
              <w:spacing w:after="100"/>
              <w:jc w:val="right"/>
              <w:rPr>
                <w:rFonts w:eastAsia="Times New Roman"/>
              </w:rPr>
            </w:pPr>
          </w:p>
        </w:tc>
      </w:tr>
      <w:tr w:rsidR="00000000" w14:paraId="031F6260" w14:textId="77777777">
        <w:trPr>
          <w:divId w:val="2143114249"/>
        </w:trPr>
        <w:tc>
          <w:tcPr>
            <w:tcW w:w="0" w:type="auto"/>
            <w:gridSpan w:val="3"/>
            <w:vAlign w:val="center"/>
            <w:hideMark/>
          </w:tcPr>
          <w:p w14:paraId="47476ED3" w14:textId="77777777" w:rsidR="00000000" w:rsidRDefault="00C1661D">
            <w:pPr>
              <w:spacing w:after="100"/>
              <w:jc w:val="right"/>
              <w:rPr>
                <w:rFonts w:eastAsia="Times New Roman"/>
                <w:sz w:val="20"/>
                <w:szCs w:val="20"/>
              </w:rPr>
            </w:pPr>
          </w:p>
        </w:tc>
        <w:tc>
          <w:tcPr>
            <w:tcW w:w="0" w:type="auto"/>
            <w:gridSpan w:val="3"/>
            <w:vAlign w:val="center"/>
            <w:hideMark/>
          </w:tcPr>
          <w:p w14:paraId="1A737071" w14:textId="77777777" w:rsidR="00000000" w:rsidRDefault="00C1661D">
            <w:pPr>
              <w:spacing w:after="100"/>
              <w:rPr>
                <w:rFonts w:eastAsia="Times New Roman"/>
                <w:sz w:val="20"/>
                <w:szCs w:val="20"/>
              </w:rPr>
            </w:pPr>
          </w:p>
        </w:tc>
        <w:tc>
          <w:tcPr>
            <w:tcW w:w="0" w:type="auto"/>
            <w:gridSpan w:val="3"/>
            <w:vAlign w:val="center"/>
            <w:hideMark/>
          </w:tcPr>
          <w:p w14:paraId="59AD6615" w14:textId="77777777" w:rsidR="00000000" w:rsidRDefault="00C1661D">
            <w:pPr>
              <w:spacing w:after="100"/>
              <w:rPr>
                <w:rFonts w:eastAsia="Times New Roman"/>
                <w:sz w:val="20"/>
                <w:szCs w:val="20"/>
              </w:rPr>
            </w:pPr>
          </w:p>
        </w:tc>
        <w:tc>
          <w:tcPr>
            <w:tcW w:w="0" w:type="auto"/>
            <w:gridSpan w:val="3"/>
            <w:vAlign w:val="center"/>
            <w:hideMark/>
          </w:tcPr>
          <w:p w14:paraId="6C3214F5" w14:textId="77777777" w:rsidR="00000000" w:rsidRDefault="00C1661D">
            <w:pPr>
              <w:spacing w:after="100"/>
              <w:rPr>
                <w:rFonts w:eastAsia="Times New Roman"/>
                <w:sz w:val="20"/>
                <w:szCs w:val="20"/>
              </w:rPr>
            </w:pPr>
          </w:p>
        </w:tc>
        <w:tc>
          <w:tcPr>
            <w:tcW w:w="0" w:type="auto"/>
            <w:gridSpan w:val="3"/>
            <w:vAlign w:val="center"/>
            <w:hideMark/>
          </w:tcPr>
          <w:p w14:paraId="585AF955" w14:textId="77777777" w:rsidR="00000000" w:rsidRDefault="00C1661D">
            <w:pPr>
              <w:spacing w:after="100"/>
              <w:rPr>
                <w:rFonts w:eastAsia="Times New Roman"/>
                <w:sz w:val="20"/>
                <w:szCs w:val="20"/>
              </w:rPr>
            </w:pPr>
          </w:p>
        </w:tc>
        <w:tc>
          <w:tcPr>
            <w:tcW w:w="0" w:type="auto"/>
            <w:gridSpan w:val="3"/>
            <w:vAlign w:val="center"/>
            <w:hideMark/>
          </w:tcPr>
          <w:p w14:paraId="351C154F" w14:textId="77777777" w:rsidR="00000000" w:rsidRDefault="00C1661D">
            <w:pPr>
              <w:spacing w:after="100"/>
              <w:rPr>
                <w:rFonts w:eastAsia="Times New Roman"/>
                <w:sz w:val="20"/>
                <w:szCs w:val="20"/>
              </w:rPr>
            </w:pPr>
          </w:p>
        </w:tc>
        <w:tc>
          <w:tcPr>
            <w:tcW w:w="0" w:type="auto"/>
            <w:gridSpan w:val="3"/>
            <w:vAlign w:val="center"/>
            <w:hideMark/>
          </w:tcPr>
          <w:p w14:paraId="116A52F7" w14:textId="77777777" w:rsidR="00000000" w:rsidRDefault="00C1661D">
            <w:pPr>
              <w:spacing w:after="100"/>
              <w:rPr>
                <w:rFonts w:eastAsia="Times New Roman"/>
                <w:sz w:val="20"/>
                <w:szCs w:val="20"/>
              </w:rPr>
            </w:pPr>
          </w:p>
        </w:tc>
        <w:tc>
          <w:tcPr>
            <w:tcW w:w="0" w:type="auto"/>
            <w:gridSpan w:val="3"/>
            <w:vAlign w:val="center"/>
            <w:hideMark/>
          </w:tcPr>
          <w:p w14:paraId="36FD8A59" w14:textId="77777777" w:rsidR="00000000" w:rsidRDefault="00C1661D">
            <w:pPr>
              <w:spacing w:after="100"/>
              <w:rPr>
                <w:rFonts w:eastAsia="Times New Roman"/>
                <w:sz w:val="20"/>
                <w:szCs w:val="20"/>
              </w:rPr>
            </w:pPr>
          </w:p>
        </w:tc>
        <w:tc>
          <w:tcPr>
            <w:tcW w:w="0" w:type="auto"/>
            <w:gridSpan w:val="3"/>
            <w:vAlign w:val="center"/>
            <w:hideMark/>
          </w:tcPr>
          <w:p w14:paraId="37B15026" w14:textId="77777777" w:rsidR="00000000" w:rsidRDefault="00C1661D">
            <w:pPr>
              <w:spacing w:after="100"/>
              <w:rPr>
                <w:rFonts w:eastAsia="Times New Roman"/>
                <w:sz w:val="20"/>
                <w:szCs w:val="20"/>
              </w:rPr>
            </w:pPr>
          </w:p>
        </w:tc>
        <w:tc>
          <w:tcPr>
            <w:tcW w:w="0" w:type="auto"/>
            <w:gridSpan w:val="3"/>
            <w:vAlign w:val="center"/>
            <w:hideMark/>
          </w:tcPr>
          <w:p w14:paraId="285C9726" w14:textId="77777777" w:rsidR="00000000" w:rsidRDefault="00C1661D">
            <w:pPr>
              <w:spacing w:after="100"/>
              <w:rPr>
                <w:rFonts w:eastAsia="Times New Roman"/>
                <w:sz w:val="20"/>
                <w:szCs w:val="20"/>
              </w:rPr>
            </w:pPr>
          </w:p>
        </w:tc>
      </w:tr>
      <w:tr w:rsidR="00000000" w14:paraId="540AFBBC" w14:textId="77777777">
        <w:trPr>
          <w:divId w:val="2143114249"/>
        </w:trPr>
        <w:tc>
          <w:tcPr>
            <w:tcW w:w="0" w:type="auto"/>
            <w:gridSpan w:val="3"/>
            <w:shd w:val="clear" w:color="auto" w:fill="CCEEFF"/>
            <w:tcMar>
              <w:top w:w="30" w:type="dxa"/>
              <w:left w:w="155" w:type="dxa"/>
              <w:bottom w:w="30" w:type="dxa"/>
              <w:right w:w="20" w:type="dxa"/>
            </w:tcMar>
            <w:vAlign w:val="bottom"/>
            <w:hideMark/>
          </w:tcPr>
          <w:p w14:paraId="660DC0FC" w14:textId="77777777" w:rsidR="00000000" w:rsidRDefault="00C1661D">
            <w:pPr>
              <w:spacing w:after="100"/>
              <w:rPr>
                <w:rFonts w:eastAsia="Times New Roman"/>
              </w:rPr>
            </w:pPr>
            <w:r>
              <w:rPr>
                <w:rFonts w:eastAsia="Times New Roman"/>
                <w:color w:val="000000"/>
                <w:sz w:val="20"/>
                <w:szCs w:val="20"/>
              </w:rPr>
              <w:t>Purchase accounting adjustments</w:t>
            </w:r>
          </w:p>
        </w:tc>
        <w:tc>
          <w:tcPr>
            <w:tcW w:w="0" w:type="auto"/>
            <w:gridSpan w:val="2"/>
            <w:shd w:val="clear" w:color="auto" w:fill="CCEEFF"/>
            <w:tcMar>
              <w:top w:w="30" w:type="dxa"/>
              <w:left w:w="20" w:type="dxa"/>
              <w:bottom w:w="30" w:type="dxa"/>
              <w:right w:w="0" w:type="dxa"/>
            </w:tcMar>
            <w:vAlign w:val="bottom"/>
            <w:hideMark/>
          </w:tcPr>
          <w:p w14:paraId="38B161A9"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FC604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0602A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A13E87"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E883C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5499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B59BFE" w14:textId="77777777" w:rsidR="00000000" w:rsidRDefault="00C1661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192E539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48918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04D10B"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D498B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F493B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D342C6" w14:textId="77777777" w:rsidR="00000000" w:rsidRDefault="00C1661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1DB56C5D" w14:textId="77777777" w:rsidR="00000000" w:rsidRDefault="00C1661D">
            <w:pPr>
              <w:spacing w:after="100"/>
              <w:jc w:val="right"/>
              <w:rPr>
                <w:rFonts w:eastAsia="Times New Roman"/>
              </w:rPr>
            </w:pPr>
          </w:p>
        </w:tc>
      </w:tr>
      <w:tr w:rsidR="00000000" w14:paraId="7BF5B6F9" w14:textId="77777777">
        <w:trPr>
          <w:divId w:val="2143114249"/>
        </w:trPr>
        <w:tc>
          <w:tcPr>
            <w:tcW w:w="0" w:type="auto"/>
            <w:gridSpan w:val="3"/>
            <w:shd w:val="clear" w:color="auto" w:fill="FFFFFF"/>
            <w:tcMar>
              <w:top w:w="30" w:type="dxa"/>
              <w:left w:w="155" w:type="dxa"/>
              <w:bottom w:w="30" w:type="dxa"/>
              <w:right w:w="20" w:type="dxa"/>
            </w:tcMar>
            <w:vAlign w:val="bottom"/>
            <w:hideMark/>
          </w:tcPr>
          <w:p w14:paraId="44682DDE" w14:textId="77777777" w:rsidR="00000000" w:rsidRDefault="00C1661D">
            <w:pPr>
              <w:spacing w:after="100"/>
              <w:rPr>
                <w:rFonts w:eastAsia="Times New Roman"/>
              </w:rPr>
            </w:pPr>
            <w:r>
              <w:rPr>
                <w:rFonts w:eastAsia="Times New Roman"/>
                <w:color w:val="000000"/>
                <w:sz w:val="20"/>
                <w:szCs w:val="20"/>
              </w:rPr>
              <w:t>Foreign currency translation</w:t>
            </w:r>
          </w:p>
        </w:tc>
        <w:tc>
          <w:tcPr>
            <w:tcW w:w="0" w:type="auto"/>
            <w:gridSpan w:val="2"/>
            <w:shd w:val="clear" w:color="auto" w:fill="FFFFFF"/>
            <w:tcMar>
              <w:top w:w="30" w:type="dxa"/>
              <w:left w:w="20" w:type="dxa"/>
              <w:bottom w:w="30" w:type="dxa"/>
              <w:right w:w="0" w:type="dxa"/>
            </w:tcMar>
            <w:vAlign w:val="bottom"/>
            <w:hideMark/>
          </w:tcPr>
          <w:p w14:paraId="6BB47DEE"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4FFCF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A8399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B72A7A" w14:textId="77777777" w:rsidR="00000000" w:rsidRDefault="00C1661D">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4AE5807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7ED9A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71D0B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61A50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0594A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24959A"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8BDAA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4F60B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3DA9CA" w14:textId="77777777" w:rsidR="00000000" w:rsidRDefault="00C1661D">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73A78066" w14:textId="77777777" w:rsidR="00000000" w:rsidRDefault="00C1661D">
            <w:pPr>
              <w:spacing w:after="100"/>
              <w:jc w:val="right"/>
              <w:rPr>
                <w:rFonts w:eastAsia="Times New Roman"/>
              </w:rPr>
            </w:pPr>
          </w:p>
        </w:tc>
      </w:tr>
      <w:tr w:rsidR="00000000" w14:paraId="71A2A33E" w14:textId="77777777">
        <w:trPr>
          <w:divId w:val="2143114249"/>
        </w:trPr>
        <w:tc>
          <w:tcPr>
            <w:tcW w:w="0" w:type="auto"/>
            <w:gridSpan w:val="3"/>
            <w:shd w:val="clear" w:color="auto" w:fill="CCEEFF"/>
            <w:tcMar>
              <w:top w:w="30" w:type="dxa"/>
              <w:left w:w="20" w:type="dxa"/>
              <w:bottom w:w="30" w:type="dxa"/>
              <w:right w:w="20" w:type="dxa"/>
            </w:tcMar>
            <w:vAlign w:val="bottom"/>
            <w:hideMark/>
          </w:tcPr>
          <w:p w14:paraId="1C795A48" w14:textId="77777777" w:rsidR="00000000" w:rsidRDefault="00C1661D">
            <w:pPr>
              <w:spacing w:after="100"/>
              <w:rPr>
                <w:rFonts w:eastAsia="Times New Roman"/>
              </w:rPr>
            </w:pPr>
            <w:r>
              <w:rPr>
                <w:rFonts w:eastAsia="Times New Roman"/>
                <w:color w:val="000000"/>
                <w:sz w:val="20"/>
                <w:szCs w:val="20"/>
              </w:rPr>
              <w:t>Balance September 30,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893E51" w14:textId="77777777" w:rsidR="00000000" w:rsidRDefault="00C1661D">
            <w:pPr>
              <w:spacing w:after="100"/>
              <w:jc w:val="right"/>
              <w:rPr>
                <w:rFonts w:eastAsia="Times New Roman"/>
              </w:rPr>
            </w:pPr>
            <w:r>
              <w:rPr>
                <w:rFonts w:eastAsia="Times New Roman"/>
                <w:color w:val="000000"/>
                <w:sz w:val="20"/>
                <w:szCs w:val="20"/>
              </w:rPr>
              <w:t>2,004 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28922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7C9FCA"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0AE140" w14:textId="77777777" w:rsidR="00000000" w:rsidRDefault="00C1661D">
            <w:pPr>
              <w:spacing w:after="100"/>
              <w:jc w:val="right"/>
              <w:rPr>
                <w:rFonts w:eastAsia="Times New Roman"/>
              </w:rPr>
            </w:pPr>
            <w:r>
              <w:rPr>
                <w:rFonts w:eastAsia="Times New Roman"/>
                <w:color w:val="000000"/>
                <w:sz w:val="20"/>
                <w:szCs w:val="20"/>
              </w:rPr>
              <w:t>993 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70180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7E00C"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3B1C14" w14:textId="77777777" w:rsidR="00000000" w:rsidRDefault="00C1661D">
            <w:pPr>
              <w:spacing w:after="100"/>
              <w:jc w:val="right"/>
              <w:rPr>
                <w:rFonts w:eastAsia="Times New Roman"/>
              </w:rPr>
            </w:pPr>
            <w:r>
              <w:rPr>
                <w:rFonts w:eastAsia="Times New Roman"/>
                <w:color w:val="000000"/>
                <w:sz w:val="20"/>
                <w:szCs w:val="20"/>
              </w:rPr>
              <w:t>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B0FE7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1DD9FF"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40ADCD" w14:textId="77777777" w:rsidR="00000000" w:rsidRDefault="00C1661D">
            <w:pPr>
              <w:spacing w:after="100"/>
              <w:jc w:val="right"/>
              <w:rPr>
                <w:rFonts w:eastAsia="Times New Roman"/>
              </w:rPr>
            </w:pPr>
            <w:r>
              <w:rPr>
                <w:rFonts w:eastAsia="Times New Roman"/>
                <w:color w:val="000000"/>
                <w:sz w:val="20"/>
                <w:szCs w:val="20"/>
              </w:rPr>
              <w:t>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588B1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C76E6"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CA407A" w14:textId="77777777" w:rsidR="00000000" w:rsidRDefault="00C1661D">
            <w:pPr>
              <w:spacing w:after="100"/>
              <w:jc w:val="right"/>
              <w:rPr>
                <w:rFonts w:eastAsia="Times New Roman"/>
              </w:rPr>
            </w:pPr>
            <w:r>
              <w:rPr>
                <w:rFonts w:eastAsia="Times New Roman"/>
                <w:color w:val="000000"/>
                <w:sz w:val="20"/>
                <w:szCs w:val="20"/>
              </w:rPr>
              <w:t>3,770 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1869E1" w14:textId="77777777" w:rsidR="00000000" w:rsidRDefault="00C1661D">
            <w:pPr>
              <w:spacing w:after="100"/>
              <w:jc w:val="right"/>
              <w:rPr>
                <w:rFonts w:eastAsia="Times New Roman"/>
              </w:rPr>
            </w:pPr>
          </w:p>
        </w:tc>
      </w:tr>
      <w:tr w:rsidR="00000000" w14:paraId="27BE7EE3" w14:textId="77777777">
        <w:trPr>
          <w:divId w:val="2143114249"/>
        </w:trPr>
        <w:tc>
          <w:tcPr>
            <w:tcW w:w="0" w:type="auto"/>
            <w:gridSpan w:val="3"/>
            <w:vAlign w:val="center"/>
            <w:hideMark/>
          </w:tcPr>
          <w:p w14:paraId="075D7ECF" w14:textId="77777777" w:rsidR="00000000" w:rsidRDefault="00C1661D">
            <w:pPr>
              <w:spacing w:after="100"/>
              <w:jc w:val="right"/>
              <w:rPr>
                <w:rFonts w:eastAsia="Times New Roman"/>
                <w:sz w:val="20"/>
                <w:szCs w:val="20"/>
              </w:rPr>
            </w:pPr>
          </w:p>
        </w:tc>
        <w:tc>
          <w:tcPr>
            <w:tcW w:w="0" w:type="auto"/>
            <w:gridSpan w:val="3"/>
            <w:vAlign w:val="center"/>
            <w:hideMark/>
          </w:tcPr>
          <w:p w14:paraId="28D6734A" w14:textId="77777777" w:rsidR="00000000" w:rsidRDefault="00C1661D">
            <w:pPr>
              <w:spacing w:after="100"/>
              <w:rPr>
                <w:rFonts w:eastAsia="Times New Roman"/>
                <w:sz w:val="20"/>
                <w:szCs w:val="20"/>
              </w:rPr>
            </w:pPr>
          </w:p>
        </w:tc>
        <w:tc>
          <w:tcPr>
            <w:tcW w:w="0" w:type="auto"/>
            <w:gridSpan w:val="3"/>
            <w:vAlign w:val="center"/>
            <w:hideMark/>
          </w:tcPr>
          <w:p w14:paraId="4611982D" w14:textId="77777777" w:rsidR="00000000" w:rsidRDefault="00C1661D">
            <w:pPr>
              <w:spacing w:after="100"/>
              <w:rPr>
                <w:rFonts w:eastAsia="Times New Roman"/>
                <w:sz w:val="20"/>
                <w:szCs w:val="20"/>
              </w:rPr>
            </w:pPr>
          </w:p>
        </w:tc>
        <w:tc>
          <w:tcPr>
            <w:tcW w:w="0" w:type="auto"/>
            <w:gridSpan w:val="3"/>
            <w:vAlign w:val="center"/>
            <w:hideMark/>
          </w:tcPr>
          <w:p w14:paraId="2C07DC54" w14:textId="77777777" w:rsidR="00000000" w:rsidRDefault="00C1661D">
            <w:pPr>
              <w:spacing w:after="100"/>
              <w:rPr>
                <w:rFonts w:eastAsia="Times New Roman"/>
                <w:sz w:val="20"/>
                <w:szCs w:val="20"/>
              </w:rPr>
            </w:pPr>
          </w:p>
        </w:tc>
        <w:tc>
          <w:tcPr>
            <w:tcW w:w="0" w:type="auto"/>
            <w:gridSpan w:val="3"/>
            <w:vAlign w:val="center"/>
            <w:hideMark/>
          </w:tcPr>
          <w:p w14:paraId="449C3E29" w14:textId="77777777" w:rsidR="00000000" w:rsidRDefault="00C1661D">
            <w:pPr>
              <w:spacing w:after="100"/>
              <w:rPr>
                <w:rFonts w:eastAsia="Times New Roman"/>
                <w:sz w:val="20"/>
                <w:szCs w:val="20"/>
              </w:rPr>
            </w:pPr>
          </w:p>
        </w:tc>
        <w:tc>
          <w:tcPr>
            <w:tcW w:w="0" w:type="auto"/>
            <w:gridSpan w:val="3"/>
            <w:vAlign w:val="center"/>
            <w:hideMark/>
          </w:tcPr>
          <w:p w14:paraId="390974D9" w14:textId="77777777" w:rsidR="00000000" w:rsidRDefault="00C1661D">
            <w:pPr>
              <w:spacing w:after="100"/>
              <w:rPr>
                <w:rFonts w:eastAsia="Times New Roman"/>
                <w:sz w:val="20"/>
                <w:szCs w:val="20"/>
              </w:rPr>
            </w:pPr>
          </w:p>
        </w:tc>
        <w:tc>
          <w:tcPr>
            <w:tcW w:w="0" w:type="auto"/>
            <w:gridSpan w:val="3"/>
            <w:vAlign w:val="center"/>
            <w:hideMark/>
          </w:tcPr>
          <w:p w14:paraId="3AD48D63" w14:textId="77777777" w:rsidR="00000000" w:rsidRDefault="00C1661D">
            <w:pPr>
              <w:spacing w:after="100"/>
              <w:rPr>
                <w:rFonts w:eastAsia="Times New Roman"/>
                <w:sz w:val="20"/>
                <w:szCs w:val="20"/>
              </w:rPr>
            </w:pPr>
          </w:p>
        </w:tc>
        <w:tc>
          <w:tcPr>
            <w:tcW w:w="0" w:type="auto"/>
            <w:gridSpan w:val="3"/>
            <w:vAlign w:val="center"/>
            <w:hideMark/>
          </w:tcPr>
          <w:p w14:paraId="0740DFAB" w14:textId="77777777" w:rsidR="00000000" w:rsidRDefault="00C1661D">
            <w:pPr>
              <w:spacing w:after="100"/>
              <w:rPr>
                <w:rFonts w:eastAsia="Times New Roman"/>
                <w:sz w:val="20"/>
                <w:szCs w:val="20"/>
              </w:rPr>
            </w:pPr>
          </w:p>
        </w:tc>
        <w:tc>
          <w:tcPr>
            <w:tcW w:w="0" w:type="auto"/>
            <w:gridSpan w:val="3"/>
            <w:vAlign w:val="center"/>
            <w:hideMark/>
          </w:tcPr>
          <w:p w14:paraId="5ED14849" w14:textId="77777777" w:rsidR="00000000" w:rsidRDefault="00C1661D">
            <w:pPr>
              <w:spacing w:after="100"/>
              <w:rPr>
                <w:rFonts w:eastAsia="Times New Roman"/>
                <w:sz w:val="20"/>
                <w:szCs w:val="20"/>
              </w:rPr>
            </w:pPr>
          </w:p>
        </w:tc>
        <w:tc>
          <w:tcPr>
            <w:tcW w:w="0" w:type="auto"/>
            <w:gridSpan w:val="3"/>
            <w:vAlign w:val="center"/>
            <w:hideMark/>
          </w:tcPr>
          <w:p w14:paraId="1DCEF5F5" w14:textId="77777777" w:rsidR="00000000" w:rsidRDefault="00C1661D">
            <w:pPr>
              <w:spacing w:after="100"/>
              <w:rPr>
                <w:rFonts w:eastAsia="Times New Roman"/>
                <w:sz w:val="20"/>
                <w:szCs w:val="20"/>
              </w:rPr>
            </w:pPr>
          </w:p>
        </w:tc>
      </w:tr>
      <w:tr w:rsidR="00000000" w14:paraId="2AF2E0AE" w14:textId="77777777">
        <w:trPr>
          <w:divId w:val="2143114249"/>
        </w:trPr>
        <w:tc>
          <w:tcPr>
            <w:tcW w:w="0" w:type="auto"/>
            <w:gridSpan w:val="3"/>
            <w:vAlign w:val="center"/>
            <w:hideMark/>
          </w:tcPr>
          <w:p w14:paraId="52169DDC" w14:textId="77777777" w:rsidR="00000000" w:rsidRDefault="00C1661D">
            <w:pPr>
              <w:spacing w:after="100"/>
              <w:rPr>
                <w:rFonts w:eastAsia="Times New Roman"/>
                <w:sz w:val="20"/>
                <w:szCs w:val="20"/>
              </w:rPr>
            </w:pPr>
          </w:p>
        </w:tc>
        <w:tc>
          <w:tcPr>
            <w:tcW w:w="0" w:type="auto"/>
            <w:gridSpan w:val="3"/>
            <w:vAlign w:val="center"/>
            <w:hideMark/>
          </w:tcPr>
          <w:p w14:paraId="48B2E121" w14:textId="77777777" w:rsidR="00000000" w:rsidRDefault="00C1661D">
            <w:pPr>
              <w:spacing w:after="100"/>
              <w:rPr>
                <w:rFonts w:eastAsia="Times New Roman"/>
                <w:sz w:val="20"/>
                <w:szCs w:val="20"/>
              </w:rPr>
            </w:pPr>
          </w:p>
        </w:tc>
        <w:tc>
          <w:tcPr>
            <w:tcW w:w="0" w:type="auto"/>
            <w:gridSpan w:val="3"/>
            <w:vAlign w:val="center"/>
            <w:hideMark/>
          </w:tcPr>
          <w:p w14:paraId="11739186" w14:textId="77777777" w:rsidR="00000000" w:rsidRDefault="00C1661D">
            <w:pPr>
              <w:spacing w:after="100"/>
              <w:rPr>
                <w:rFonts w:eastAsia="Times New Roman"/>
                <w:sz w:val="20"/>
                <w:szCs w:val="20"/>
              </w:rPr>
            </w:pPr>
          </w:p>
        </w:tc>
        <w:tc>
          <w:tcPr>
            <w:tcW w:w="0" w:type="auto"/>
            <w:gridSpan w:val="3"/>
            <w:vAlign w:val="center"/>
            <w:hideMark/>
          </w:tcPr>
          <w:p w14:paraId="19A26FB0" w14:textId="77777777" w:rsidR="00000000" w:rsidRDefault="00C1661D">
            <w:pPr>
              <w:spacing w:after="100"/>
              <w:rPr>
                <w:rFonts w:eastAsia="Times New Roman"/>
                <w:sz w:val="20"/>
                <w:szCs w:val="20"/>
              </w:rPr>
            </w:pPr>
          </w:p>
        </w:tc>
        <w:tc>
          <w:tcPr>
            <w:tcW w:w="0" w:type="auto"/>
            <w:gridSpan w:val="3"/>
            <w:vAlign w:val="center"/>
            <w:hideMark/>
          </w:tcPr>
          <w:p w14:paraId="07A37AA6" w14:textId="77777777" w:rsidR="00000000" w:rsidRDefault="00C1661D">
            <w:pPr>
              <w:spacing w:after="100"/>
              <w:rPr>
                <w:rFonts w:eastAsia="Times New Roman"/>
                <w:sz w:val="20"/>
                <w:szCs w:val="20"/>
              </w:rPr>
            </w:pPr>
          </w:p>
        </w:tc>
        <w:tc>
          <w:tcPr>
            <w:tcW w:w="0" w:type="auto"/>
            <w:gridSpan w:val="3"/>
            <w:vAlign w:val="center"/>
            <w:hideMark/>
          </w:tcPr>
          <w:p w14:paraId="25A4DF43" w14:textId="77777777" w:rsidR="00000000" w:rsidRDefault="00C1661D">
            <w:pPr>
              <w:spacing w:after="100"/>
              <w:rPr>
                <w:rFonts w:eastAsia="Times New Roman"/>
                <w:sz w:val="20"/>
                <w:szCs w:val="20"/>
              </w:rPr>
            </w:pPr>
          </w:p>
        </w:tc>
        <w:tc>
          <w:tcPr>
            <w:tcW w:w="0" w:type="auto"/>
            <w:gridSpan w:val="3"/>
            <w:vAlign w:val="center"/>
            <w:hideMark/>
          </w:tcPr>
          <w:p w14:paraId="4115E694" w14:textId="77777777" w:rsidR="00000000" w:rsidRDefault="00C1661D">
            <w:pPr>
              <w:spacing w:after="100"/>
              <w:rPr>
                <w:rFonts w:eastAsia="Times New Roman"/>
                <w:sz w:val="20"/>
                <w:szCs w:val="20"/>
              </w:rPr>
            </w:pPr>
          </w:p>
        </w:tc>
        <w:tc>
          <w:tcPr>
            <w:tcW w:w="0" w:type="auto"/>
            <w:gridSpan w:val="3"/>
            <w:vAlign w:val="center"/>
            <w:hideMark/>
          </w:tcPr>
          <w:p w14:paraId="003BA26C" w14:textId="77777777" w:rsidR="00000000" w:rsidRDefault="00C1661D">
            <w:pPr>
              <w:spacing w:after="100"/>
              <w:rPr>
                <w:rFonts w:eastAsia="Times New Roman"/>
                <w:sz w:val="20"/>
                <w:szCs w:val="20"/>
              </w:rPr>
            </w:pPr>
          </w:p>
        </w:tc>
        <w:tc>
          <w:tcPr>
            <w:tcW w:w="0" w:type="auto"/>
            <w:gridSpan w:val="3"/>
            <w:vAlign w:val="center"/>
            <w:hideMark/>
          </w:tcPr>
          <w:p w14:paraId="0AD2B6DF" w14:textId="77777777" w:rsidR="00000000" w:rsidRDefault="00C1661D">
            <w:pPr>
              <w:spacing w:after="100"/>
              <w:rPr>
                <w:rFonts w:eastAsia="Times New Roman"/>
                <w:sz w:val="20"/>
                <w:szCs w:val="20"/>
              </w:rPr>
            </w:pPr>
          </w:p>
        </w:tc>
        <w:tc>
          <w:tcPr>
            <w:tcW w:w="0" w:type="auto"/>
            <w:gridSpan w:val="3"/>
            <w:vAlign w:val="center"/>
            <w:hideMark/>
          </w:tcPr>
          <w:p w14:paraId="50BE2DE1" w14:textId="77777777" w:rsidR="00000000" w:rsidRDefault="00C1661D">
            <w:pPr>
              <w:spacing w:after="100"/>
              <w:rPr>
                <w:rFonts w:eastAsia="Times New Roman"/>
                <w:sz w:val="20"/>
                <w:szCs w:val="20"/>
              </w:rPr>
            </w:pPr>
          </w:p>
        </w:tc>
      </w:tr>
      <w:tr w:rsidR="00000000" w14:paraId="7770A0DB" w14:textId="77777777">
        <w:trPr>
          <w:divId w:val="2143114249"/>
        </w:trPr>
        <w:tc>
          <w:tcPr>
            <w:tcW w:w="0" w:type="auto"/>
            <w:gridSpan w:val="3"/>
            <w:shd w:val="clear" w:color="auto" w:fill="FFFFFF"/>
            <w:tcMar>
              <w:top w:w="30" w:type="dxa"/>
              <w:left w:w="155" w:type="dxa"/>
              <w:bottom w:w="30" w:type="dxa"/>
              <w:right w:w="20" w:type="dxa"/>
            </w:tcMar>
            <w:vAlign w:val="bottom"/>
            <w:hideMark/>
          </w:tcPr>
          <w:p w14:paraId="42A2367F" w14:textId="77777777" w:rsidR="00000000" w:rsidRDefault="00C1661D">
            <w:pPr>
              <w:spacing w:after="100"/>
              <w:rPr>
                <w:rFonts w:eastAsia="Times New Roman"/>
              </w:rPr>
            </w:pPr>
            <w:r>
              <w:rPr>
                <w:rFonts w:eastAsia="Times New Roman"/>
                <w:color w:val="000000"/>
                <w:sz w:val="20"/>
                <w:szCs w:val="20"/>
              </w:rPr>
              <w:t>Purchase accounting adjustments</w:t>
            </w:r>
          </w:p>
        </w:tc>
        <w:tc>
          <w:tcPr>
            <w:tcW w:w="0" w:type="auto"/>
            <w:gridSpan w:val="2"/>
            <w:shd w:val="clear" w:color="auto" w:fill="FFFFFF"/>
            <w:tcMar>
              <w:top w:w="30" w:type="dxa"/>
              <w:left w:w="20" w:type="dxa"/>
              <w:bottom w:w="30" w:type="dxa"/>
              <w:right w:w="0" w:type="dxa"/>
            </w:tcMar>
            <w:vAlign w:val="bottom"/>
            <w:hideMark/>
          </w:tcPr>
          <w:p w14:paraId="64118452"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0E23F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8797D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D8373E"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9CC2B3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A2300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19309E"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6B007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FD40E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B09565" w14:textId="77777777" w:rsidR="00000000" w:rsidRDefault="00C1661D">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1860209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CF96C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D81A2C" w14:textId="77777777" w:rsidR="00000000" w:rsidRDefault="00C1661D">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2570E792" w14:textId="77777777" w:rsidR="00000000" w:rsidRDefault="00C1661D">
            <w:pPr>
              <w:spacing w:after="100"/>
              <w:jc w:val="right"/>
              <w:rPr>
                <w:rFonts w:eastAsia="Times New Roman"/>
              </w:rPr>
            </w:pPr>
          </w:p>
        </w:tc>
      </w:tr>
      <w:tr w:rsidR="00000000" w14:paraId="67053429" w14:textId="77777777">
        <w:trPr>
          <w:divId w:val="2143114249"/>
        </w:trPr>
        <w:tc>
          <w:tcPr>
            <w:tcW w:w="0" w:type="auto"/>
            <w:gridSpan w:val="3"/>
            <w:vAlign w:val="center"/>
            <w:hideMark/>
          </w:tcPr>
          <w:p w14:paraId="36D7E313" w14:textId="77777777" w:rsidR="00000000" w:rsidRDefault="00C1661D">
            <w:pPr>
              <w:spacing w:after="100"/>
              <w:jc w:val="right"/>
              <w:rPr>
                <w:rFonts w:eastAsia="Times New Roman"/>
                <w:sz w:val="20"/>
                <w:szCs w:val="20"/>
              </w:rPr>
            </w:pPr>
          </w:p>
        </w:tc>
        <w:tc>
          <w:tcPr>
            <w:tcW w:w="0" w:type="auto"/>
            <w:gridSpan w:val="3"/>
            <w:vAlign w:val="center"/>
            <w:hideMark/>
          </w:tcPr>
          <w:p w14:paraId="132F30F0" w14:textId="77777777" w:rsidR="00000000" w:rsidRDefault="00C1661D">
            <w:pPr>
              <w:spacing w:after="100"/>
              <w:rPr>
                <w:rFonts w:eastAsia="Times New Roman"/>
                <w:sz w:val="20"/>
                <w:szCs w:val="20"/>
              </w:rPr>
            </w:pPr>
          </w:p>
        </w:tc>
        <w:tc>
          <w:tcPr>
            <w:tcW w:w="0" w:type="auto"/>
            <w:gridSpan w:val="3"/>
            <w:vAlign w:val="center"/>
            <w:hideMark/>
          </w:tcPr>
          <w:p w14:paraId="14752348" w14:textId="77777777" w:rsidR="00000000" w:rsidRDefault="00C1661D">
            <w:pPr>
              <w:spacing w:after="100"/>
              <w:rPr>
                <w:rFonts w:eastAsia="Times New Roman"/>
                <w:sz w:val="20"/>
                <w:szCs w:val="20"/>
              </w:rPr>
            </w:pPr>
          </w:p>
        </w:tc>
        <w:tc>
          <w:tcPr>
            <w:tcW w:w="0" w:type="auto"/>
            <w:gridSpan w:val="3"/>
            <w:vAlign w:val="center"/>
            <w:hideMark/>
          </w:tcPr>
          <w:p w14:paraId="6CD74E8E" w14:textId="77777777" w:rsidR="00000000" w:rsidRDefault="00C1661D">
            <w:pPr>
              <w:spacing w:after="100"/>
              <w:rPr>
                <w:rFonts w:eastAsia="Times New Roman"/>
                <w:sz w:val="20"/>
                <w:szCs w:val="20"/>
              </w:rPr>
            </w:pPr>
          </w:p>
        </w:tc>
        <w:tc>
          <w:tcPr>
            <w:tcW w:w="0" w:type="auto"/>
            <w:gridSpan w:val="3"/>
            <w:vAlign w:val="center"/>
            <w:hideMark/>
          </w:tcPr>
          <w:p w14:paraId="1AED8FC7" w14:textId="77777777" w:rsidR="00000000" w:rsidRDefault="00C1661D">
            <w:pPr>
              <w:spacing w:after="100"/>
              <w:rPr>
                <w:rFonts w:eastAsia="Times New Roman"/>
                <w:sz w:val="20"/>
                <w:szCs w:val="20"/>
              </w:rPr>
            </w:pPr>
          </w:p>
        </w:tc>
        <w:tc>
          <w:tcPr>
            <w:tcW w:w="0" w:type="auto"/>
            <w:gridSpan w:val="3"/>
            <w:vAlign w:val="center"/>
            <w:hideMark/>
          </w:tcPr>
          <w:p w14:paraId="26B1983E" w14:textId="77777777" w:rsidR="00000000" w:rsidRDefault="00C1661D">
            <w:pPr>
              <w:spacing w:after="100"/>
              <w:rPr>
                <w:rFonts w:eastAsia="Times New Roman"/>
                <w:sz w:val="20"/>
                <w:szCs w:val="20"/>
              </w:rPr>
            </w:pPr>
          </w:p>
        </w:tc>
        <w:tc>
          <w:tcPr>
            <w:tcW w:w="0" w:type="auto"/>
            <w:gridSpan w:val="3"/>
            <w:vAlign w:val="center"/>
            <w:hideMark/>
          </w:tcPr>
          <w:p w14:paraId="062A38ED" w14:textId="77777777" w:rsidR="00000000" w:rsidRDefault="00C1661D">
            <w:pPr>
              <w:spacing w:after="100"/>
              <w:rPr>
                <w:rFonts w:eastAsia="Times New Roman"/>
                <w:sz w:val="20"/>
                <w:szCs w:val="20"/>
              </w:rPr>
            </w:pPr>
          </w:p>
        </w:tc>
        <w:tc>
          <w:tcPr>
            <w:tcW w:w="0" w:type="auto"/>
            <w:gridSpan w:val="3"/>
            <w:vAlign w:val="center"/>
            <w:hideMark/>
          </w:tcPr>
          <w:p w14:paraId="1CD68AA1" w14:textId="77777777" w:rsidR="00000000" w:rsidRDefault="00C1661D">
            <w:pPr>
              <w:spacing w:after="100"/>
              <w:rPr>
                <w:rFonts w:eastAsia="Times New Roman"/>
                <w:sz w:val="20"/>
                <w:szCs w:val="20"/>
              </w:rPr>
            </w:pPr>
          </w:p>
        </w:tc>
        <w:tc>
          <w:tcPr>
            <w:tcW w:w="0" w:type="auto"/>
            <w:gridSpan w:val="3"/>
            <w:vAlign w:val="center"/>
            <w:hideMark/>
          </w:tcPr>
          <w:p w14:paraId="6D91149B" w14:textId="77777777" w:rsidR="00000000" w:rsidRDefault="00C1661D">
            <w:pPr>
              <w:spacing w:after="100"/>
              <w:rPr>
                <w:rFonts w:eastAsia="Times New Roman"/>
                <w:sz w:val="20"/>
                <w:szCs w:val="20"/>
              </w:rPr>
            </w:pPr>
          </w:p>
        </w:tc>
        <w:tc>
          <w:tcPr>
            <w:tcW w:w="0" w:type="auto"/>
            <w:gridSpan w:val="3"/>
            <w:vAlign w:val="center"/>
            <w:hideMark/>
          </w:tcPr>
          <w:p w14:paraId="71D08181" w14:textId="77777777" w:rsidR="00000000" w:rsidRDefault="00C1661D">
            <w:pPr>
              <w:spacing w:after="100"/>
              <w:rPr>
                <w:rFonts w:eastAsia="Times New Roman"/>
                <w:sz w:val="20"/>
                <w:szCs w:val="20"/>
              </w:rPr>
            </w:pPr>
          </w:p>
        </w:tc>
      </w:tr>
      <w:tr w:rsidR="00000000" w14:paraId="18B00C27" w14:textId="77777777">
        <w:trPr>
          <w:divId w:val="2143114249"/>
        </w:trPr>
        <w:tc>
          <w:tcPr>
            <w:tcW w:w="0" w:type="auto"/>
            <w:gridSpan w:val="3"/>
            <w:shd w:val="clear" w:color="auto" w:fill="CCEEFF"/>
            <w:tcMar>
              <w:top w:w="30" w:type="dxa"/>
              <w:left w:w="155" w:type="dxa"/>
              <w:bottom w:w="30" w:type="dxa"/>
              <w:right w:w="20" w:type="dxa"/>
            </w:tcMar>
            <w:vAlign w:val="bottom"/>
            <w:hideMark/>
          </w:tcPr>
          <w:p w14:paraId="4DAF044D" w14:textId="77777777" w:rsidR="00000000" w:rsidRDefault="00C1661D">
            <w:pPr>
              <w:spacing w:after="100"/>
              <w:rPr>
                <w:rFonts w:eastAsia="Times New Roman"/>
              </w:rPr>
            </w:pPr>
            <w:r>
              <w:rPr>
                <w:rFonts w:eastAsia="Times New Roman"/>
                <w:color w:val="000000"/>
                <w:sz w:val="20"/>
                <w:szCs w:val="20"/>
              </w:rPr>
              <w:t>Foreign currency translation</w:t>
            </w:r>
          </w:p>
        </w:tc>
        <w:tc>
          <w:tcPr>
            <w:tcW w:w="0" w:type="auto"/>
            <w:gridSpan w:val="2"/>
            <w:shd w:val="clear" w:color="auto" w:fill="CCEEFF"/>
            <w:tcMar>
              <w:top w:w="30" w:type="dxa"/>
              <w:left w:w="20" w:type="dxa"/>
              <w:bottom w:w="30" w:type="dxa"/>
              <w:right w:w="0" w:type="dxa"/>
            </w:tcMar>
            <w:vAlign w:val="bottom"/>
            <w:hideMark/>
          </w:tcPr>
          <w:p w14:paraId="4E44DE08"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306AD8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3AE41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4DF37E" w14:textId="77777777" w:rsidR="00000000" w:rsidRDefault="00C1661D">
            <w:pPr>
              <w:spacing w:after="100"/>
              <w:jc w:val="right"/>
              <w:rPr>
                <w:rFonts w:eastAsia="Times New Roman"/>
              </w:rPr>
            </w:pPr>
            <w:r>
              <w:rPr>
                <w:rFonts w:eastAsia="Times New Roman"/>
                <w:color w:val="000000"/>
                <w:sz w:val="20"/>
                <w:szCs w:val="20"/>
              </w:rPr>
              <w:t>(153)</w:t>
            </w:r>
          </w:p>
        </w:tc>
        <w:tc>
          <w:tcPr>
            <w:tcW w:w="0" w:type="auto"/>
            <w:shd w:val="clear" w:color="auto" w:fill="CCEEFF"/>
            <w:tcMar>
              <w:top w:w="30" w:type="dxa"/>
              <w:left w:w="0" w:type="dxa"/>
              <w:bottom w:w="30" w:type="dxa"/>
              <w:right w:w="20" w:type="dxa"/>
            </w:tcMar>
            <w:vAlign w:val="bottom"/>
            <w:hideMark/>
          </w:tcPr>
          <w:p w14:paraId="4183033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1F11A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F5D244"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90724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7D56D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78C39B"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3F4DAD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7B3EA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200F8B" w14:textId="77777777" w:rsidR="00000000" w:rsidRDefault="00C1661D">
            <w:pPr>
              <w:spacing w:after="100"/>
              <w:jc w:val="right"/>
              <w:rPr>
                <w:rFonts w:eastAsia="Times New Roman"/>
              </w:rPr>
            </w:pPr>
            <w:r>
              <w:rPr>
                <w:rFonts w:eastAsia="Times New Roman"/>
                <w:color w:val="000000"/>
                <w:sz w:val="20"/>
                <w:szCs w:val="20"/>
              </w:rPr>
              <w:t>(153)</w:t>
            </w:r>
          </w:p>
        </w:tc>
        <w:tc>
          <w:tcPr>
            <w:tcW w:w="0" w:type="auto"/>
            <w:shd w:val="clear" w:color="auto" w:fill="CCEEFF"/>
            <w:tcMar>
              <w:top w:w="30" w:type="dxa"/>
              <w:left w:w="0" w:type="dxa"/>
              <w:bottom w:w="30" w:type="dxa"/>
              <w:right w:w="20" w:type="dxa"/>
            </w:tcMar>
            <w:vAlign w:val="bottom"/>
            <w:hideMark/>
          </w:tcPr>
          <w:p w14:paraId="1B013737" w14:textId="77777777" w:rsidR="00000000" w:rsidRDefault="00C1661D">
            <w:pPr>
              <w:spacing w:after="100"/>
              <w:jc w:val="right"/>
              <w:rPr>
                <w:rFonts w:eastAsia="Times New Roman"/>
              </w:rPr>
            </w:pPr>
          </w:p>
        </w:tc>
      </w:tr>
      <w:tr w:rsidR="00000000" w14:paraId="16DBD02E" w14:textId="77777777">
        <w:trPr>
          <w:divId w:val="2143114249"/>
        </w:trPr>
        <w:tc>
          <w:tcPr>
            <w:tcW w:w="0" w:type="auto"/>
            <w:gridSpan w:val="3"/>
            <w:shd w:val="clear" w:color="auto" w:fill="FFFFFF"/>
            <w:tcMar>
              <w:top w:w="30" w:type="dxa"/>
              <w:left w:w="20" w:type="dxa"/>
              <w:bottom w:w="30" w:type="dxa"/>
              <w:right w:w="20" w:type="dxa"/>
            </w:tcMar>
            <w:vAlign w:val="bottom"/>
            <w:hideMark/>
          </w:tcPr>
          <w:p w14:paraId="34CEFF79" w14:textId="77777777" w:rsidR="00000000" w:rsidRDefault="00C1661D">
            <w:pPr>
              <w:spacing w:after="100"/>
              <w:rPr>
                <w:rFonts w:eastAsia="Times New Roman"/>
              </w:rPr>
            </w:pPr>
            <w:r>
              <w:rPr>
                <w:rFonts w:eastAsia="Times New Roman"/>
                <w:color w:val="000000"/>
                <w:sz w:val="20"/>
                <w:szCs w:val="20"/>
              </w:rPr>
              <w:t>Balance September 30, 2022</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2B8D7E"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DFC7A9" w14:textId="77777777" w:rsidR="00000000" w:rsidRDefault="00C1661D">
            <w:pPr>
              <w:spacing w:after="100"/>
              <w:jc w:val="right"/>
              <w:rPr>
                <w:rFonts w:eastAsia="Times New Roman"/>
              </w:rPr>
            </w:pPr>
            <w:r>
              <w:rPr>
                <w:rFonts w:eastAsia="Times New Roman"/>
                <w:color w:val="000000"/>
                <w:sz w:val="20"/>
                <w:szCs w:val="20"/>
              </w:rPr>
              <w:t>2,004 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FB4A4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5E56BE"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32B10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BD687A" w14:textId="77777777" w:rsidR="00000000" w:rsidRDefault="00C1661D">
            <w:pPr>
              <w:spacing w:after="100"/>
              <w:jc w:val="right"/>
              <w:rPr>
                <w:rFonts w:eastAsia="Times New Roman"/>
              </w:rPr>
            </w:pPr>
            <w:r>
              <w:rPr>
                <w:rFonts w:eastAsia="Times New Roman"/>
                <w:color w:val="000000"/>
                <w:sz w:val="20"/>
                <w:szCs w:val="20"/>
              </w:rPr>
              <w:t>840 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5DE69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62FEC5"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6D4D15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6ECCBF" w14:textId="77777777" w:rsidR="00000000" w:rsidRDefault="00C1661D">
            <w:pPr>
              <w:spacing w:after="100"/>
              <w:jc w:val="right"/>
              <w:rPr>
                <w:rFonts w:eastAsia="Times New Roman"/>
              </w:rPr>
            </w:pPr>
            <w:r>
              <w:rPr>
                <w:rFonts w:eastAsia="Times New Roman"/>
                <w:color w:val="000000"/>
                <w:sz w:val="20"/>
                <w:szCs w:val="20"/>
              </w:rPr>
              <w:t>336 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B1775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3BB758"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F57F0A"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F1774D4" w14:textId="77777777" w:rsidR="00000000" w:rsidRDefault="00C1661D">
            <w:pPr>
              <w:spacing w:after="100"/>
              <w:jc w:val="right"/>
              <w:rPr>
                <w:rFonts w:eastAsia="Times New Roman"/>
              </w:rPr>
            </w:pPr>
            <w:r>
              <w:rPr>
                <w:rFonts w:eastAsia="Times New Roman"/>
                <w:color w:val="000000"/>
                <w:sz w:val="20"/>
                <w:szCs w:val="20"/>
              </w:rPr>
              <w:t>432 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E9CCD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36C08"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343D4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1FCCD9" w14:textId="77777777" w:rsidR="00000000" w:rsidRDefault="00C1661D">
            <w:pPr>
              <w:spacing w:after="100"/>
              <w:jc w:val="right"/>
              <w:rPr>
                <w:rFonts w:eastAsia="Times New Roman"/>
              </w:rPr>
            </w:pPr>
            <w:r>
              <w:rPr>
                <w:rFonts w:eastAsia="Times New Roman"/>
                <w:color w:val="000000"/>
                <w:sz w:val="20"/>
                <w:szCs w:val="20"/>
              </w:rPr>
              <w:t>3,612 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0264A5" w14:textId="77777777" w:rsidR="00000000" w:rsidRDefault="00C1661D">
            <w:pPr>
              <w:spacing w:after="100"/>
              <w:jc w:val="right"/>
              <w:rPr>
                <w:rFonts w:eastAsia="Times New Roman"/>
              </w:rPr>
            </w:pPr>
          </w:p>
        </w:tc>
      </w:tr>
    </w:tbl>
    <w:p w14:paraId="09CE3E12" w14:textId="77777777" w:rsidR="00000000" w:rsidRDefault="00C1661D">
      <w:pPr>
        <w:divId w:val="195436376"/>
        <w:rPr>
          <w:rFonts w:eastAsia="Times New Roman"/>
        </w:rPr>
      </w:pPr>
    </w:p>
    <w:p w14:paraId="482FE559" w14:textId="77777777" w:rsidR="00000000" w:rsidRDefault="00C1661D">
      <w:pPr>
        <w:divId w:val="218371856"/>
        <w:rPr>
          <w:rFonts w:eastAsia="Times New Roman"/>
        </w:rPr>
      </w:pPr>
      <w:r>
        <w:rPr>
          <w:rFonts w:eastAsia="Times New Roman"/>
          <w:color w:val="000000"/>
          <w:sz w:val="20"/>
          <w:szCs w:val="20"/>
        </w:rPr>
        <w:t>Intangible assets comprise the following at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6"/>
        <w:gridCol w:w="120"/>
        <w:gridCol w:w="922"/>
        <w:gridCol w:w="36"/>
        <w:gridCol w:w="36"/>
        <w:gridCol w:w="36"/>
        <w:gridCol w:w="36"/>
        <w:gridCol w:w="120"/>
        <w:gridCol w:w="887"/>
        <w:gridCol w:w="36"/>
      </w:tblGrid>
      <w:tr w:rsidR="00000000" w14:paraId="407D6AE6" w14:textId="77777777">
        <w:trPr>
          <w:divId w:val="1302879069"/>
        </w:trPr>
        <w:tc>
          <w:tcPr>
            <w:tcW w:w="50" w:type="pct"/>
            <w:vAlign w:val="center"/>
            <w:hideMark/>
          </w:tcPr>
          <w:p w14:paraId="707E52A2" w14:textId="77777777" w:rsidR="00000000" w:rsidRDefault="00C1661D">
            <w:pPr>
              <w:rPr>
                <w:rFonts w:eastAsia="Times New Roman"/>
              </w:rPr>
            </w:pPr>
          </w:p>
        </w:tc>
        <w:tc>
          <w:tcPr>
            <w:tcW w:w="3634" w:type="pct"/>
            <w:vAlign w:val="center"/>
            <w:hideMark/>
          </w:tcPr>
          <w:p w14:paraId="3934FFBF" w14:textId="77777777" w:rsidR="00000000" w:rsidRDefault="00C1661D">
            <w:pPr>
              <w:spacing w:after="100"/>
              <w:rPr>
                <w:rFonts w:eastAsia="Times New Roman"/>
                <w:sz w:val="20"/>
                <w:szCs w:val="20"/>
              </w:rPr>
            </w:pPr>
          </w:p>
        </w:tc>
        <w:tc>
          <w:tcPr>
            <w:tcW w:w="5" w:type="pct"/>
            <w:vAlign w:val="center"/>
            <w:hideMark/>
          </w:tcPr>
          <w:p w14:paraId="414415A2" w14:textId="77777777" w:rsidR="00000000" w:rsidRDefault="00C1661D">
            <w:pPr>
              <w:spacing w:after="100"/>
              <w:rPr>
                <w:rFonts w:eastAsia="Times New Roman"/>
                <w:sz w:val="20"/>
                <w:szCs w:val="20"/>
              </w:rPr>
            </w:pPr>
          </w:p>
        </w:tc>
        <w:tc>
          <w:tcPr>
            <w:tcW w:w="50" w:type="pct"/>
            <w:vAlign w:val="center"/>
            <w:hideMark/>
          </w:tcPr>
          <w:p w14:paraId="6BFEBA1F" w14:textId="77777777" w:rsidR="00000000" w:rsidRDefault="00C1661D">
            <w:pPr>
              <w:spacing w:after="100"/>
              <w:rPr>
                <w:rFonts w:eastAsia="Times New Roman"/>
                <w:sz w:val="20"/>
                <w:szCs w:val="20"/>
              </w:rPr>
            </w:pPr>
          </w:p>
        </w:tc>
        <w:tc>
          <w:tcPr>
            <w:tcW w:w="581" w:type="pct"/>
            <w:vAlign w:val="center"/>
            <w:hideMark/>
          </w:tcPr>
          <w:p w14:paraId="26372209" w14:textId="77777777" w:rsidR="00000000" w:rsidRDefault="00C1661D">
            <w:pPr>
              <w:spacing w:after="100"/>
              <w:rPr>
                <w:rFonts w:eastAsia="Times New Roman"/>
                <w:sz w:val="20"/>
                <w:szCs w:val="20"/>
              </w:rPr>
            </w:pPr>
          </w:p>
        </w:tc>
        <w:tc>
          <w:tcPr>
            <w:tcW w:w="5" w:type="pct"/>
            <w:vAlign w:val="center"/>
            <w:hideMark/>
          </w:tcPr>
          <w:p w14:paraId="2C2186F7" w14:textId="77777777" w:rsidR="00000000" w:rsidRDefault="00C1661D">
            <w:pPr>
              <w:spacing w:after="100"/>
              <w:rPr>
                <w:rFonts w:eastAsia="Times New Roman"/>
                <w:sz w:val="20"/>
                <w:szCs w:val="20"/>
              </w:rPr>
            </w:pPr>
          </w:p>
        </w:tc>
        <w:tc>
          <w:tcPr>
            <w:tcW w:w="5" w:type="pct"/>
            <w:vAlign w:val="center"/>
            <w:hideMark/>
          </w:tcPr>
          <w:p w14:paraId="1D438773" w14:textId="77777777" w:rsidR="00000000" w:rsidRDefault="00C1661D">
            <w:pPr>
              <w:spacing w:after="100"/>
              <w:rPr>
                <w:rFonts w:eastAsia="Times New Roman"/>
                <w:sz w:val="20"/>
                <w:szCs w:val="20"/>
              </w:rPr>
            </w:pPr>
          </w:p>
        </w:tc>
        <w:tc>
          <w:tcPr>
            <w:tcW w:w="26" w:type="pct"/>
            <w:vAlign w:val="center"/>
            <w:hideMark/>
          </w:tcPr>
          <w:p w14:paraId="42B018D3" w14:textId="77777777" w:rsidR="00000000" w:rsidRDefault="00C1661D">
            <w:pPr>
              <w:spacing w:after="100"/>
              <w:rPr>
                <w:rFonts w:eastAsia="Times New Roman"/>
                <w:sz w:val="20"/>
                <w:szCs w:val="20"/>
              </w:rPr>
            </w:pPr>
          </w:p>
        </w:tc>
        <w:tc>
          <w:tcPr>
            <w:tcW w:w="5" w:type="pct"/>
            <w:vAlign w:val="center"/>
            <w:hideMark/>
          </w:tcPr>
          <w:p w14:paraId="78B52C84" w14:textId="77777777" w:rsidR="00000000" w:rsidRDefault="00C1661D">
            <w:pPr>
              <w:spacing w:after="100"/>
              <w:rPr>
                <w:rFonts w:eastAsia="Times New Roman"/>
                <w:sz w:val="20"/>
                <w:szCs w:val="20"/>
              </w:rPr>
            </w:pPr>
          </w:p>
        </w:tc>
        <w:tc>
          <w:tcPr>
            <w:tcW w:w="50" w:type="pct"/>
            <w:vAlign w:val="center"/>
            <w:hideMark/>
          </w:tcPr>
          <w:p w14:paraId="5979CA4C" w14:textId="77777777" w:rsidR="00000000" w:rsidRDefault="00C1661D">
            <w:pPr>
              <w:spacing w:after="100"/>
              <w:rPr>
                <w:rFonts w:eastAsia="Times New Roman"/>
                <w:sz w:val="20"/>
                <w:szCs w:val="20"/>
              </w:rPr>
            </w:pPr>
          </w:p>
        </w:tc>
        <w:tc>
          <w:tcPr>
            <w:tcW w:w="581" w:type="pct"/>
            <w:vAlign w:val="center"/>
            <w:hideMark/>
          </w:tcPr>
          <w:p w14:paraId="3052B9AD" w14:textId="77777777" w:rsidR="00000000" w:rsidRDefault="00C1661D">
            <w:pPr>
              <w:spacing w:after="100"/>
              <w:rPr>
                <w:rFonts w:eastAsia="Times New Roman"/>
                <w:sz w:val="20"/>
                <w:szCs w:val="20"/>
              </w:rPr>
            </w:pPr>
          </w:p>
        </w:tc>
        <w:tc>
          <w:tcPr>
            <w:tcW w:w="5" w:type="pct"/>
            <w:vAlign w:val="center"/>
            <w:hideMark/>
          </w:tcPr>
          <w:p w14:paraId="70A9E32F" w14:textId="77777777" w:rsidR="00000000" w:rsidRDefault="00C1661D">
            <w:pPr>
              <w:spacing w:after="100"/>
              <w:rPr>
                <w:rFonts w:eastAsia="Times New Roman"/>
                <w:sz w:val="20"/>
                <w:szCs w:val="20"/>
              </w:rPr>
            </w:pPr>
          </w:p>
        </w:tc>
      </w:tr>
      <w:tr w:rsidR="00000000" w14:paraId="1A7B014C" w14:textId="77777777">
        <w:trPr>
          <w:divId w:val="1302879069"/>
        </w:trPr>
        <w:tc>
          <w:tcPr>
            <w:tcW w:w="0" w:type="auto"/>
            <w:gridSpan w:val="3"/>
            <w:tcMar>
              <w:top w:w="0" w:type="dxa"/>
              <w:left w:w="20" w:type="dxa"/>
              <w:bottom w:w="0" w:type="dxa"/>
              <w:right w:w="20" w:type="dxa"/>
            </w:tcMar>
            <w:vAlign w:val="center"/>
            <w:hideMark/>
          </w:tcPr>
          <w:p w14:paraId="267AD7E4"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1B9139A"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4431E99D"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9DC10BD" w14:textId="77777777" w:rsidR="00000000" w:rsidRDefault="00C1661D">
            <w:pPr>
              <w:spacing w:after="100"/>
              <w:jc w:val="center"/>
              <w:rPr>
                <w:rFonts w:eastAsia="Times New Roman"/>
              </w:rPr>
            </w:pPr>
            <w:r>
              <w:rPr>
                <w:rFonts w:eastAsia="Times New Roman"/>
                <w:color w:val="000000"/>
                <w:sz w:val="20"/>
                <w:szCs w:val="20"/>
              </w:rPr>
              <w:t>2021</w:t>
            </w:r>
          </w:p>
        </w:tc>
      </w:tr>
      <w:tr w:rsidR="00000000" w14:paraId="4D9F7DC2" w14:textId="77777777">
        <w:trPr>
          <w:divId w:val="1302879069"/>
        </w:trPr>
        <w:tc>
          <w:tcPr>
            <w:tcW w:w="0" w:type="auto"/>
            <w:gridSpan w:val="3"/>
            <w:shd w:val="clear" w:color="auto" w:fill="CCEEFF"/>
            <w:tcMar>
              <w:top w:w="30" w:type="dxa"/>
              <w:left w:w="155" w:type="dxa"/>
              <w:bottom w:w="30" w:type="dxa"/>
              <w:right w:w="20" w:type="dxa"/>
            </w:tcMar>
            <w:vAlign w:val="bottom"/>
            <w:hideMark/>
          </w:tcPr>
          <w:p w14:paraId="7BED83E4" w14:textId="77777777" w:rsidR="00000000" w:rsidRDefault="00C1661D">
            <w:pPr>
              <w:spacing w:after="100"/>
              <w:rPr>
                <w:rFonts w:eastAsia="Times New Roman"/>
              </w:rPr>
            </w:pPr>
            <w:r>
              <w:rPr>
                <w:rFonts w:eastAsia="Times New Roman"/>
                <w:color w:val="000000"/>
                <w:sz w:val="20"/>
                <w:szCs w:val="20"/>
              </w:rPr>
              <w:t>Customer relationships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E9C66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6C3727" w14:textId="77777777" w:rsidR="00000000" w:rsidRDefault="00C1661D">
            <w:pPr>
              <w:spacing w:after="100"/>
              <w:jc w:val="right"/>
              <w:rPr>
                <w:rFonts w:eastAsia="Times New Roman"/>
              </w:rPr>
            </w:pPr>
            <w:r>
              <w:rPr>
                <w:rFonts w:eastAsia="Times New Roman"/>
                <w:color w:val="000000"/>
                <w:sz w:val="20"/>
                <w:szCs w:val="20"/>
              </w:rPr>
              <w:t>1,006 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8CAAA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7CDB68"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FA0AD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7E765B" w14:textId="77777777" w:rsidR="00000000" w:rsidRDefault="00C1661D">
            <w:pPr>
              <w:spacing w:after="100"/>
              <w:jc w:val="right"/>
              <w:rPr>
                <w:rFonts w:eastAsia="Times New Roman"/>
              </w:rPr>
            </w:pPr>
            <w:r>
              <w:rPr>
                <w:rFonts w:eastAsia="Times New Roman"/>
                <w:color w:val="000000"/>
                <w:sz w:val="20"/>
                <w:szCs w:val="20"/>
              </w:rPr>
              <w:t>1,054 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8F46E5" w14:textId="77777777" w:rsidR="00000000" w:rsidRDefault="00C1661D">
            <w:pPr>
              <w:spacing w:after="100"/>
              <w:jc w:val="right"/>
              <w:rPr>
                <w:rFonts w:eastAsia="Times New Roman"/>
              </w:rPr>
            </w:pPr>
          </w:p>
        </w:tc>
      </w:tr>
      <w:tr w:rsidR="00000000" w14:paraId="5C9C6F46" w14:textId="77777777">
        <w:trPr>
          <w:divId w:val="1302879069"/>
        </w:trPr>
        <w:tc>
          <w:tcPr>
            <w:tcW w:w="0" w:type="auto"/>
            <w:gridSpan w:val="3"/>
            <w:shd w:val="clear" w:color="auto" w:fill="FFFFFF"/>
            <w:tcMar>
              <w:top w:w="30" w:type="dxa"/>
              <w:left w:w="155" w:type="dxa"/>
              <w:bottom w:w="30" w:type="dxa"/>
              <w:right w:w="20" w:type="dxa"/>
            </w:tcMar>
            <w:vAlign w:val="bottom"/>
            <w:hideMark/>
          </w:tcPr>
          <w:p w14:paraId="7AA848A7" w14:textId="77777777" w:rsidR="00000000" w:rsidRDefault="00C1661D">
            <w:pPr>
              <w:spacing w:after="100"/>
              <w:rPr>
                <w:rFonts w:eastAsia="Times New Roman"/>
              </w:rPr>
            </w:pPr>
            <w:r>
              <w:rPr>
                <w:rFonts w:eastAsia="Times New Roman"/>
                <w:color w:val="000000"/>
                <w:sz w:val="20"/>
                <w:szCs w:val="20"/>
              </w:rPr>
              <w:t>Trademarks and tradenames</w:t>
            </w:r>
          </w:p>
        </w:tc>
        <w:tc>
          <w:tcPr>
            <w:tcW w:w="0" w:type="auto"/>
            <w:gridSpan w:val="2"/>
            <w:shd w:val="clear" w:color="auto" w:fill="FFFFFF"/>
            <w:tcMar>
              <w:top w:w="30" w:type="dxa"/>
              <w:left w:w="20" w:type="dxa"/>
              <w:bottom w:w="30" w:type="dxa"/>
              <w:right w:w="0" w:type="dxa"/>
            </w:tcMar>
            <w:vAlign w:val="bottom"/>
            <w:hideMark/>
          </w:tcPr>
          <w:p w14:paraId="24F822F5" w14:textId="77777777" w:rsidR="00000000" w:rsidRDefault="00C1661D">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5E61E73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F1385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0B8DB6" w14:textId="77777777" w:rsidR="00000000" w:rsidRDefault="00C1661D">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3F488829" w14:textId="77777777" w:rsidR="00000000" w:rsidRDefault="00C1661D">
            <w:pPr>
              <w:spacing w:after="100"/>
              <w:jc w:val="right"/>
              <w:rPr>
                <w:rFonts w:eastAsia="Times New Roman"/>
              </w:rPr>
            </w:pPr>
          </w:p>
        </w:tc>
      </w:tr>
      <w:tr w:rsidR="00000000" w14:paraId="27668760" w14:textId="77777777">
        <w:trPr>
          <w:divId w:val="1302879069"/>
        </w:trPr>
        <w:tc>
          <w:tcPr>
            <w:tcW w:w="0" w:type="auto"/>
            <w:gridSpan w:val="3"/>
            <w:shd w:val="clear" w:color="auto" w:fill="CCEEFF"/>
            <w:tcMar>
              <w:top w:w="30" w:type="dxa"/>
              <w:left w:w="155" w:type="dxa"/>
              <w:bottom w:w="30" w:type="dxa"/>
              <w:right w:w="20" w:type="dxa"/>
            </w:tcMar>
            <w:vAlign w:val="bottom"/>
            <w:hideMark/>
          </w:tcPr>
          <w:p w14:paraId="7865BD39" w14:textId="77777777" w:rsidR="00000000" w:rsidRDefault="00C1661D">
            <w:pPr>
              <w:spacing w:after="100"/>
              <w:rPr>
                <w:rFonts w:eastAsia="Times New Roman"/>
              </w:rPr>
            </w:pPr>
            <w:r>
              <w:rPr>
                <w:rFonts w:eastAsia="Times New Roman"/>
                <w:color w:val="000000"/>
                <w:sz w:val="20"/>
                <w:szCs w:val="20"/>
              </w:rPr>
              <w:t>Noncompete agreements and other</w:t>
            </w:r>
          </w:p>
        </w:tc>
        <w:tc>
          <w:tcPr>
            <w:tcW w:w="0" w:type="auto"/>
            <w:gridSpan w:val="2"/>
            <w:shd w:val="clear" w:color="auto" w:fill="CCEEFF"/>
            <w:tcMar>
              <w:top w:w="30" w:type="dxa"/>
              <w:left w:w="20" w:type="dxa"/>
              <w:bottom w:w="30" w:type="dxa"/>
              <w:right w:w="0" w:type="dxa"/>
            </w:tcMar>
            <w:vAlign w:val="bottom"/>
            <w:hideMark/>
          </w:tcPr>
          <w:p w14:paraId="72192A04" w14:textId="77777777" w:rsidR="00000000" w:rsidRDefault="00C1661D">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14:paraId="4A6DD47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7C9A3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343626" w14:textId="77777777" w:rsidR="00000000" w:rsidRDefault="00C1661D">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3B0E1C75" w14:textId="77777777" w:rsidR="00000000" w:rsidRDefault="00C1661D">
            <w:pPr>
              <w:spacing w:after="100"/>
              <w:jc w:val="right"/>
              <w:rPr>
                <w:rFonts w:eastAsia="Times New Roman"/>
              </w:rPr>
            </w:pPr>
          </w:p>
        </w:tc>
      </w:tr>
      <w:tr w:rsidR="00000000" w14:paraId="172204B6" w14:textId="77777777">
        <w:trPr>
          <w:divId w:val="1302879069"/>
        </w:trPr>
        <w:tc>
          <w:tcPr>
            <w:tcW w:w="0" w:type="auto"/>
            <w:gridSpan w:val="3"/>
            <w:shd w:val="clear" w:color="auto" w:fill="FFFFFF"/>
            <w:tcMar>
              <w:top w:w="30" w:type="dxa"/>
              <w:left w:w="155" w:type="dxa"/>
              <w:bottom w:w="30" w:type="dxa"/>
              <w:right w:w="20" w:type="dxa"/>
            </w:tcMar>
            <w:vAlign w:val="bottom"/>
            <w:hideMark/>
          </w:tcPr>
          <w:p w14:paraId="236443AC" w14:textId="77777777" w:rsidR="00000000" w:rsidRDefault="00C1661D">
            <w:pPr>
              <w:spacing w:after="100"/>
              <w:rPr>
                <w:rFonts w:eastAsia="Times New Roman"/>
              </w:rPr>
            </w:pPr>
            <w:r>
              <w:rPr>
                <w:rFonts w:eastAsia="Times New Roman"/>
                <w:color w:val="000000"/>
                <w:sz w:val="20"/>
                <w:szCs w:val="20"/>
              </w:rPr>
              <w:t>Accumulated amortization</w:t>
            </w:r>
          </w:p>
        </w:tc>
        <w:tc>
          <w:tcPr>
            <w:tcW w:w="0" w:type="auto"/>
            <w:gridSpan w:val="2"/>
            <w:shd w:val="clear" w:color="auto" w:fill="FFFFFF"/>
            <w:tcMar>
              <w:top w:w="30" w:type="dxa"/>
              <w:left w:w="20" w:type="dxa"/>
              <w:bottom w:w="30" w:type="dxa"/>
              <w:right w:w="0" w:type="dxa"/>
            </w:tcMar>
            <w:vAlign w:val="bottom"/>
            <w:hideMark/>
          </w:tcPr>
          <w:p w14:paraId="5884D022" w14:textId="77777777" w:rsidR="00000000" w:rsidRDefault="00C1661D">
            <w:pPr>
              <w:spacing w:after="100"/>
              <w:jc w:val="right"/>
              <w:rPr>
                <w:rFonts w:eastAsia="Times New Roman"/>
              </w:rPr>
            </w:pPr>
            <w:r>
              <w:rPr>
                <w:rFonts w:eastAsia="Times New Roman"/>
                <w:color w:val="000000"/>
                <w:sz w:val="20"/>
                <w:szCs w:val="20"/>
              </w:rPr>
              <w:t>(629)</w:t>
            </w:r>
          </w:p>
        </w:tc>
        <w:tc>
          <w:tcPr>
            <w:tcW w:w="0" w:type="auto"/>
            <w:shd w:val="clear" w:color="auto" w:fill="FFFFFF"/>
            <w:tcMar>
              <w:top w:w="30" w:type="dxa"/>
              <w:left w:w="0" w:type="dxa"/>
              <w:bottom w:w="30" w:type="dxa"/>
              <w:right w:w="20" w:type="dxa"/>
            </w:tcMar>
            <w:vAlign w:val="bottom"/>
            <w:hideMark/>
          </w:tcPr>
          <w:p w14:paraId="7A31A07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5AF3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800E52" w14:textId="77777777" w:rsidR="00000000" w:rsidRDefault="00C1661D">
            <w:pPr>
              <w:spacing w:after="100"/>
              <w:jc w:val="right"/>
              <w:rPr>
                <w:rFonts w:eastAsia="Times New Roman"/>
              </w:rPr>
            </w:pPr>
            <w:r>
              <w:rPr>
                <w:rFonts w:eastAsia="Times New Roman"/>
                <w:color w:val="000000"/>
                <w:sz w:val="20"/>
                <w:szCs w:val="20"/>
              </w:rPr>
              <w:t>(607)</w:t>
            </w:r>
          </w:p>
        </w:tc>
        <w:tc>
          <w:tcPr>
            <w:tcW w:w="0" w:type="auto"/>
            <w:shd w:val="clear" w:color="auto" w:fill="FFFFFF"/>
            <w:tcMar>
              <w:top w:w="30" w:type="dxa"/>
              <w:left w:w="0" w:type="dxa"/>
              <w:bottom w:w="30" w:type="dxa"/>
              <w:right w:w="20" w:type="dxa"/>
            </w:tcMar>
            <w:vAlign w:val="bottom"/>
            <w:hideMark/>
          </w:tcPr>
          <w:p w14:paraId="35B26038" w14:textId="77777777" w:rsidR="00000000" w:rsidRDefault="00C1661D">
            <w:pPr>
              <w:spacing w:after="100"/>
              <w:jc w:val="right"/>
              <w:rPr>
                <w:rFonts w:eastAsia="Times New Roman"/>
              </w:rPr>
            </w:pPr>
          </w:p>
        </w:tc>
      </w:tr>
      <w:tr w:rsidR="00000000" w14:paraId="34BB7E68" w14:textId="77777777">
        <w:trPr>
          <w:divId w:val="1302879069"/>
        </w:trPr>
        <w:tc>
          <w:tcPr>
            <w:tcW w:w="0" w:type="auto"/>
            <w:gridSpan w:val="3"/>
            <w:shd w:val="clear" w:color="auto" w:fill="CCEEFF"/>
            <w:tcMar>
              <w:top w:w="30" w:type="dxa"/>
              <w:left w:w="245" w:type="dxa"/>
              <w:bottom w:w="30" w:type="dxa"/>
              <w:right w:w="20" w:type="dxa"/>
            </w:tcMar>
            <w:vAlign w:val="bottom"/>
            <w:hideMark/>
          </w:tcPr>
          <w:p w14:paraId="0F1B6EB8" w14:textId="77777777" w:rsidR="00000000" w:rsidRDefault="00C1661D">
            <w:pPr>
              <w:spacing w:after="100"/>
              <w:rPr>
                <w:rFonts w:eastAsia="Times New Roman"/>
              </w:rPr>
            </w:pPr>
            <w:r>
              <w:rPr>
                <w:rFonts w:eastAsia="Times New Roman"/>
                <w:color w:val="000000"/>
                <w:sz w:val="20"/>
                <w:szCs w:val="20"/>
              </w:rPr>
              <w:t>Intangible assets, net (definite-lived)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734FF4" w14:textId="77777777" w:rsidR="00000000" w:rsidRDefault="00C1661D">
            <w:pPr>
              <w:spacing w:after="100"/>
              <w:jc w:val="right"/>
              <w:rPr>
                <w:rFonts w:eastAsia="Times New Roman"/>
              </w:rPr>
            </w:pPr>
            <w:r>
              <w:rPr>
                <w:rFonts w:eastAsia="Times New Roman"/>
                <w:color w:val="000000"/>
                <w:sz w:val="20"/>
                <w:szCs w:val="20"/>
              </w:rPr>
              <w:t>459 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CF059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15D29D"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3D8E54" w14:textId="77777777" w:rsidR="00000000" w:rsidRDefault="00C1661D">
            <w:pPr>
              <w:spacing w:after="100"/>
              <w:jc w:val="right"/>
              <w:rPr>
                <w:rFonts w:eastAsia="Times New Roman"/>
              </w:rPr>
            </w:pPr>
            <w:r>
              <w:rPr>
                <w:rFonts w:eastAsia="Times New Roman"/>
                <w:color w:val="000000"/>
                <w:sz w:val="20"/>
                <w:szCs w:val="20"/>
              </w:rPr>
              <w:t>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89F652" w14:textId="77777777" w:rsidR="00000000" w:rsidRDefault="00C1661D">
            <w:pPr>
              <w:spacing w:after="100"/>
              <w:jc w:val="right"/>
              <w:rPr>
                <w:rFonts w:eastAsia="Times New Roman"/>
              </w:rPr>
            </w:pPr>
          </w:p>
        </w:tc>
      </w:tr>
      <w:tr w:rsidR="00000000" w14:paraId="2710B2A0" w14:textId="77777777">
        <w:trPr>
          <w:divId w:val="1302879069"/>
        </w:trPr>
        <w:tc>
          <w:tcPr>
            <w:tcW w:w="0" w:type="auto"/>
            <w:gridSpan w:val="3"/>
            <w:shd w:val="clear" w:color="auto" w:fill="FFFFFF"/>
            <w:tcMar>
              <w:top w:w="30" w:type="dxa"/>
              <w:left w:w="155" w:type="dxa"/>
              <w:bottom w:w="30" w:type="dxa"/>
              <w:right w:w="20" w:type="dxa"/>
            </w:tcMar>
            <w:vAlign w:val="bottom"/>
            <w:hideMark/>
          </w:tcPr>
          <w:p w14:paraId="17ED34B9" w14:textId="77777777" w:rsidR="00000000" w:rsidRDefault="00C1661D">
            <w:pPr>
              <w:spacing w:after="100"/>
              <w:rPr>
                <w:rFonts w:eastAsia="Times New Roman"/>
              </w:rPr>
            </w:pPr>
            <w:r>
              <w:rPr>
                <w:rFonts w:eastAsia="Times New Roman"/>
                <w:color w:val="000000"/>
                <w:sz w:val="20"/>
                <w:szCs w:val="20"/>
              </w:rPr>
              <w:t>Trademarks and tradenames (indefinite-lived)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0C67FD" w14:textId="77777777" w:rsidR="00000000" w:rsidRDefault="00C1661D">
            <w:pPr>
              <w:spacing w:after="100"/>
              <w:jc w:val="right"/>
              <w:rPr>
                <w:rFonts w:eastAsia="Times New Roman"/>
              </w:rPr>
            </w:pPr>
            <w:r>
              <w:rPr>
                <w:rFonts w:eastAsia="Times New Roman"/>
                <w:color w:val="000000"/>
                <w:sz w:val="20"/>
                <w:szCs w:val="20"/>
              </w:rPr>
              <w:t>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FE130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2CBD47" w14:textId="77777777" w:rsidR="00000000" w:rsidRDefault="00C1661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5660D15" w14:textId="77777777" w:rsidR="00000000" w:rsidRDefault="00C1661D">
            <w:pPr>
              <w:spacing w:after="100"/>
              <w:jc w:val="right"/>
              <w:rPr>
                <w:rFonts w:eastAsia="Times New Roman"/>
              </w:rPr>
            </w:pPr>
            <w:r>
              <w:rPr>
                <w:rFonts w:eastAsia="Times New Roman"/>
                <w:color w:val="000000"/>
                <w:sz w:val="20"/>
                <w:szCs w:val="20"/>
              </w:rPr>
              <w:t>49</w:t>
            </w:r>
          </w:p>
        </w:tc>
      </w:tr>
      <w:tr w:rsidR="00000000" w14:paraId="40FF5A30" w14:textId="77777777">
        <w:trPr>
          <w:divId w:val="1302879069"/>
        </w:trPr>
        <w:tc>
          <w:tcPr>
            <w:tcW w:w="0" w:type="auto"/>
            <w:gridSpan w:val="3"/>
            <w:shd w:val="clear" w:color="auto" w:fill="CCEEFF"/>
            <w:tcMar>
              <w:top w:w="30" w:type="dxa"/>
              <w:left w:w="20" w:type="dxa"/>
              <w:bottom w:w="30" w:type="dxa"/>
              <w:right w:w="20" w:type="dxa"/>
            </w:tcMar>
            <w:vAlign w:val="bottom"/>
            <w:hideMark/>
          </w:tcPr>
          <w:p w14:paraId="46A16F5A" w14:textId="77777777" w:rsidR="00000000" w:rsidRDefault="00C1661D">
            <w:pPr>
              <w:spacing w:after="100"/>
              <w:rPr>
                <w:rFonts w:eastAsia="Times New Roman"/>
              </w:rPr>
            </w:pPr>
            <w:r>
              <w:rPr>
                <w:rFonts w:eastAsia="Times New Roman"/>
                <w:color w:val="000000"/>
                <w:sz w:val="20"/>
                <w:szCs w:val="20"/>
              </w:rPr>
              <w:t>Total intangible assets,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39B79F"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462621" w14:textId="77777777" w:rsidR="00000000" w:rsidRDefault="00C1661D">
            <w:pPr>
              <w:spacing w:after="100"/>
              <w:jc w:val="right"/>
              <w:rPr>
                <w:rFonts w:eastAsia="Times New Roman"/>
              </w:rPr>
            </w:pPr>
            <w:r>
              <w:rPr>
                <w:rFonts w:eastAsia="Times New Roman"/>
                <w:color w:val="000000"/>
                <w:sz w:val="20"/>
                <w:szCs w:val="20"/>
              </w:rPr>
              <w:t>500 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3191E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B67966"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5BFFEC"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C75A73F" w14:textId="77777777" w:rsidR="00000000" w:rsidRDefault="00C1661D">
            <w:pPr>
              <w:spacing w:after="100"/>
              <w:jc w:val="right"/>
              <w:rPr>
                <w:rFonts w:eastAsia="Times New Roman"/>
              </w:rPr>
            </w:pPr>
            <w:r>
              <w:rPr>
                <w:rFonts w:eastAsia="Times New Roman"/>
                <w:color w:val="000000"/>
                <w:sz w:val="20"/>
                <w:szCs w:val="20"/>
              </w:rPr>
              <w:t>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9E03A9" w14:textId="77777777" w:rsidR="00000000" w:rsidRDefault="00C1661D">
            <w:pPr>
              <w:spacing w:after="100"/>
              <w:jc w:val="right"/>
              <w:rPr>
                <w:rFonts w:eastAsia="Times New Roman"/>
              </w:rPr>
            </w:pPr>
          </w:p>
        </w:tc>
      </w:tr>
    </w:tbl>
    <w:p w14:paraId="1F33BD94" w14:textId="77777777" w:rsidR="00000000" w:rsidRDefault="00C1661D">
      <w:pPr>
        <w:divId w:val="253823129"/>
        <w:rPr>
          <w:rFonts w:eastAsia="Times New Roman"/>
        </w:rPr>
      </w:pPr>
    </w:p>
    <w:p w14:paraId="1EFC9DF3" w14:textId="77777777" w:rsidR="00000000" w:rsidRDefault="00C1661D">
      <w:pPr>
        <w:jc w:val="both"/>
        <w:rPr>
          <w:rFonts w:eastAsia="Times New Roman"/>
        </w:rPr>
      </w:pPr>
      <w:r>
        <w:rPr>
          <w:rFonts w:eastAsia="Times New Roman"/>
          <w:color w:val="000000"/>
          <w:sz w:val="20"/>
          <w:szCs w:val="20"/>
        </w:rPr>
        <w:t xml:space="preserve">Changes in amounts above include the effects of currency translation. During the fourth quarter of Fiscal 2021, the Company recognized a $20 non-cash, pre-tax impairment charge related to a customer relationship intangible at DVEP resulting from a decline </w:t>
      </w:r>
      <w:r>
        <w:rPr>
          <w:rFonts w:eastAsia="Times New Roman"/>
          <w:color w:val="000000"/>
          <w:sz w:val="20"/>
          <w:szCs w:val="20"/>
        </w:rPr>
        <w:t xml:space="preserve">in anticipated volumes attributable to a historical customer. The charge is reflected in “Operating and administrative expenses” on the Consolidated Statements of Income. </w:t>
      </w:r>
    </w:p>
    <w:p w14:paraId="5C443C2E" w14:textId="77777777" w:rsidR="00000000" w:rsidRDefault="00C1661D">
      <w:pPr>
        <w:jc w:val="both"/>
        <w:rPr>
          <w:rFonts w:eastAsia="Times New Roman"/>
        </w:rPr>
      </w:pPr>
    </w:p>
    <w:p w14:paraId="40C5A6CC" w14:textId="77777777" w:rsidR="00000000" w:rsidRDefault="00C1661D">
      <w:pPr>
        <w:jc w:val="both"/>
        <w:rPr>
          <w:rFonts w:eastAsia="Times New Roman"/>
        </w:rPr>
      </w:pPr>
      <w:r>
        <w:rPr>
          <w:rFonts w:eastAsia="Times New Roman"/>
          <w:color w:val="000000"/>
          <w:sz w:val="20"/>
          <w:szCs w:val="20"/>
        </w:rPr>
        <w:t>Amortization expense of intangible assets was $61, $76 and $83 for Fiscal 2022, Fiscal 2021 and Fiscal 2020, respectively. Estimated amortization expense of intangible assets during the next five fiscal years is as follows: Fiscal 2023 — $54; Fiscal 2024 —</w:t>
      </w:r>
      <w:r>
        <w:rPr>
          <w:rFonts w:eastAsia="Times New Roman"/>
          <w:color w:val="000000"/>
          <w:sz w:val="20"/>
          <w:szCs w:val="20"/>
        </w:rPr>
        <w:t xml:space="preserve"> $53; Fiscal 2025 — $52; Fiscal 2026 — $51; Fiscal 2027 — $29.</w:t>
      </w:r>
    </w:p>
    <w:p w14:paraId="799CC423" w14:textId="77777777" w:rsidR="00000000" w:rsidRDefault="00C1661D">
      <w:pPr>
        <w:jc w:val="both"/>
        <w:rPr>
          <w:rFonts w:eastAsia="Times New Roman"/>
        </w:rPr>
      </w:pPr>
    </w:p>
    <w:p w14:paraId="0E1D5F5D" w14:textId="77777777" w:rsidR="00000000" w:rsidRDefault="00C1661D">
      <w:pPr>
        <w:jc w:val="both"/>
        <w:rPr>
          <w:rFonts w:eastAsia="Times New Roman"/>
        </w:rPr>
      </w:pPr>
      <w:r>
        <w:rPr>
          <w:rFonts w:eastAsia="Times New Roman"/>
          <w:b/>
          <w:bCs/>
          <w:color w:val="000000"/>
          <w:sz w:val="20"/>
          <w:szCs w:val="20"/>
          <w:u w:val="single"/>
        </w:rPr>
        <w:t>Note 13 — Equity</w:t>
      </w:r>
    </w:p>
    <w:p w14:paraId="17E034F3" w14:textId="77777777" w:rsidR="00000000" w:rsidRDefault="00C1661D">
      <w:pPr>
        <w:jc w:val="both"/>
        <w:divId w:val="1845168361"/>
        <w:rPr>
          <w:rFonts w:eastAsia="Times New Roman"/>
        </w:rPr>
      </w:pPr>
      <w:r>
        <w:rPr>
          <w:rFonts w:eastAsia="Times New Roman"/>
          <w:color w:val="000000"/>
          <w:sz w:val="20"/>
          <w:szCs w:val="20"/>
        </w:rPr>
        <w:t>On February 2, 2022, UGI’</w:t>
      </w:r>
      <w:r>
        <w:rPr>
          <w:rFonts w:eastAsia="Times New Roman"/>
          <w:color w:val="000000"/>
          <w:sz w:val="20"/>
          <w:szCs w:val="20"/>
        </w:rPr>
        <w:t>s Board of Directors authorized an extension of an existing share repurchase program for up to 8,000,000 shares of UGI Corporation Common Stock for an additional four-year period, expiring February 2026. Pursuant to the Board authorization, during Fiscal 2</w:t>
      </w:r>
      <w:r>
        <w:rPr>
          <w:rFonts w:eastAsia="Times New Roman"/>
          <w:color w:val="000000"/>
          <w:sz w:val="20"/>
          <w:szCs w:val="20"/>
        </w:rPr>
        <w:t>022 and Fiscal 2020 the Company purchased and placed in treasury stock 900,000 shares and 950,000 shares at a total cost of $38 and $38, respectively. There were no such repurchases during Fiscal 2021.</w:t>
      </w:r>
    </w:p>
    <w:p w14:paraId="0F5C10AB" w14:textId="77777777" w:rsidR="00000000" w:rsidRDefault="00C1661D">
      <w:pPr>
        <w:jc w:val="center"/>
        <w:divId w:val="1556426421"/>
        <w:rPr>
          <w:rFonts w:eastAsia="Times New Roman"/>
        </w:rPr>
      </w:pPr>
      <w:r>
        <w:rPr>
          <w:rFonts w:eastAsia="Times New Roman"/>
          <w:color w:val="000000"/>
          <w:sz w:val="20"/>
          <w:szCs w:val="20"/>
        </w:rPr>
        <w:t>F-42</w:t>
      </w:r>
    </w:p>
    <w:p w14:paraId="59F8210C" w14:textId="77777777" w:rsidR="00000000" w:rsidRDefault="00C1661D">
      <w:pPr>
        <w:rPr>
          <w:rFonts w:eastAsia="Times New Roman"/>
        </w:rPr>
      </w:pPr>
      <w:r>
        <w:rPr>
          <w:rFonts w:eastAsia="Times New Roman"/>
        </w:rPr>
        <w:pict w14:anchorId="3526BC2A">
          <v:rect id="_x0000_i1155" style="width:0;height:1.5pt" o:hralign="center" o:hrstd="t" o:hr="t" fillcolor="#a0a0a0" stroked="f"/>
        </w:pict>
      </w:r>
    </w:p>
    <w:p w14:paraId="1F18BAA7" w14:textId="77777777" w:rsidR="00000000" w:rsidRDefault="00C1661D">
      <w:pPr>
        <w:divId w:val="534074457"/>
        <w:rPr>
          <w:rFonts w:eastAsia="Times New Roman"/>
        </w:rPr>
      </w:pPr>
      <w:hyperlink w:anchor="i3850c3c6c0104e42b9951aac2f16098a_7" w:history="1">
        <w:r>
          <w:rPr>
            <w:rStyle w:val="a3"/>
            <w:rFonts w:eastAsia="Times New Roman"/>
            <w:sz w:val="20"/>
            <w:szCs w:val="20"/>
          </w:rPr>
          <w:t>Table of Contents</w:t>
        </w:r>
      </w:hyperlink>
    </w:p>
    <w:p w14:paraId="12BD64B9" w14:textId="77777777" w:rsidR="00000000" w:rsidRDefault="00C1661D">
      <w:pPr>
        <w:divId w:val="4938689"/>
        <w:rPr>
          <w:rFonts w:eastAsia="Times New Roman"/>
        </w:rPr>
      </w:pPr>
      <w:r>
        <w:rPr>
          <w:rFonts w:eastAsia="Times New Roman"/>
          <w:b/>
          <w:bCs/>
          <w:color w:val="000000"/>
          <w:sz w:val="20"/>
          <w:szCs w:val="20"/>
        </w:rPr>
        <w:t>UGI Corporation and Subsidiaries</w:t>
      </w:r>
    </w:p>
    <w:p w14:paraId="06CDCEB3" w14:textId="77777777" w:rsidR="00000000" w:rsidRDefault="00C1661D">
      <w:pPr>
        <w:divId w:val="373390381"/>
        <w:rPr>
          <w:rFonts w:eastAsia="Times New Roman"/>
        </w:rPr>
      </w:pPr>
      <w:r>
        <w:rPr>
          <w:rFonts w:eastAsia="Times New Roman"/>
          <w:b/>
          <w:bCs/>
          <w:color w:val="000000"/>
          <w:sz w:val="20"/>
          <w:szCs w:val="20"/>
        </w:rPr>
        <w:t>Notes to Consolidated Financial Statements</w:t>
      </w:r>
    </w:p>
    <w:p w14:paraId="207F5310" w14:textId="77777777" w:rsidR="00000000" w:rsidRDefault="00C1661D">
      <w:pPr>
        <w:divId w:val="1883588884"/>
        <w:rPr>
          <w:rFonts w:eastAsia="Times New Roman"/>
        </w:rPr>
      </w:pPr>
      <w:r>
        <w:rPr>
          <w:rFonts w:eastAsia="Times New Roman"/>
          <w:color w:val="000000"/>
          <w:sz w:val="20"/>
          <w:szCs w:val="20"/>
        </w:rPr>
        <w:t>(Currency in millions, except per share amounts and where indicated otherwise)</w:t>
      </w:r>
    </w:p>
    <w:p w14:paraId="4FA262D4" w14:textId="77777777" w:rsidR="00000000" w:rsidRDefault="00C1661D">
      <w:pPr>
        <w:jc w:val="both"/>
        <w:divId w:val="798032151"/>
        <w:rPr>
          <w:rFonts w:eastAsia="Times New Roman"/>
        </w:rPr>
      </w:pPr>
      <w:r>
        <w:rPr>
          <w:rFonts w:eastAsia="Times New Roman"/>
          <w:color w:val="000000"/>
          <w:sz w:val="20"/>
          <w:szCs w:val="20"/>
        </w:rPr>
        <w:t xml:space="preserve">UGI Preferred Stock and Common Stock </w:t>
      </w:r>
      <w:r>
        <w:rPr>
          <w:rFonts w:eastAsia="Times New Roman"/>
          <w:color w:val="000000"/>
          <w:sz w:val="20"/>
          <w:szCs w:val="20"/>
        </w:rPr>
        <w:t>share activity for Fiscal 2022, Fiscal 2021 and Fiscal 2020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087"/>
        <w:gridCol w:w="38"/>
        <w:gridCol w:w="125"/>
        <w:gridCol w:w="1448"/>
        <w:gridCol w:w="36"/>
        <w:gridCol w:w="36"/>
        <w:gridCol w:w="36"/>
        <w:gridCol w:w="36"/>
        <w:gridCol w:w="85"/>
        <w:gridCol w:w="985"/>
        <w:gridCol w:w="37"/>
        <w:gridCol w:w="37"/>
        <w:gridCol w:w="37"/>
        <w:gridCol w:w="37"/>
        <w:gridCol w:w="76"/>
        <w:gridCol w:w="878"/>
        <w:gridCol w:w="37"/>
        <w:gridCol w:w="37"/>
        <w:gridCol w:w="37"/>
        <w:gridCol w:w="36"/>
        <w:gridCol w:w="85"/>
        <w:gridCol w:w="985"/>
        <w:gridCol w:w="36"/>
      </w:tblGrid>
      <w:tr w:rsidR="00000000" w14:paraId="40F557D4" w14:textId="77777777">
        <w:trPr>
          <w:divId w:val="1529834714"/>
        </w:trPr>
        <w:tc>
          <w:tcPr>
            <w:tcW w:w="50" w:type="pct"/>
            <w:vAlign w:val="center"/>
            <w:hideMark/>
          </w:tcPr>
          <w:p w14:paraId="23B64CF0" w14:textId="77777777" w:rsidR="00000000" w:rsidRDefault="00C1661D">
            <w:pPr>
              <w:jc w:val="both"/>
              <w:rPr>
                <w:rFonts w:eastAsia="Times New Roman"/>
              </w:rPr>
            </w:pPr>
          </w:p>
        </w:tc>
        <w:tc>
          <w:tcPr>
            <w:tcW w:w="2298" w:type="pct"/>
            <w:vAlign w:val="center"/>
            <w:hideMark/>
          </w:tcPr>
          <w:p w14:paraId="23B25893" w14:textId="77777777" w:rsidR="00000000" w:rsidRDefault="00C1661D">
            <w:pPr>
              <w:spacing w:after="100"/>
              <w:rPr>
                <w:rFonts w:eastAsia="Times New Roman"/>
                <w:sz w:val="20"/>
                <w:szCs w:val="20"/>
              </w:rPr>
            </w:pPr>
          </w:p>
        </w:tc>
        <w:tc>
          <w:tcPr>
            <w:tcW w:w="5" w:type="pct"/>
            <w:vAlign w:val="center"/>
            <w:hideMark/>
          </w:tcPr>
          <w:p w14:paraId="0BFCBA86" w14:textId="77777777" w:rsidR="00000000" w:rsidRDefault="00C1661D">
            <w:pPr>
              <w:spacing w:after="100"/>
              <w:rPr>
                <w:rFonts w:eastAsia="Times New Roman"/>
                <w:sz w:val="20"/>
                <w:szCs w:val="20"/>
              </w:rPr>
            </w:pPr>
          </w:p>
        </w:tc>
        <w:tc>
          <w:tcPr>
            <w:tcW w:w="50" w:type="pct"/>
            <w:vAlign w:val="center"/>
            <w:hideMark/>
          </w:tcPr>
          <w:p w14:paraId="798C6637" w14:textId="77777777" w:rsidR="00000000" w:rsidRDefault="00C1661D">
            <w:pPr>
              <w:spacing w:after="100"/>
              <w:rPr>
                <w:rFonts w:eastAsia="Times New Roman"/>
                <w:sz w:val="20"/>
                <w:szCs w:val="20"/>
              </w:rPr>
            </w:pPr>
          </w:p>
        </w:tc>
        <w:tc>
          <w:tcPr>
            <w:tcW w:w="580" w:type="pct"/>
            <w:vAlign w:val="center"/>
            <w:hideMark/>
          </w:tcPr>
          <w:p w14:paraId="1A3A4D62" w14:textId="77777777" w:rsidR="00000000" w:rsidRDefault="00C1661D">
            <w:pPr>
              <w:spacing w:after="100"/>
              <w:rPr>
                <w:rFonts w:eastAsia="Times New Roman"/>
                <w:sz w:val="20"/>
                <w:szCs w:val="20"/>
              </w:rPr>
            </w:pPr>
          </w:p>
        </w:tc>
        <w:tc>
          <w:tcPr>
            <w:tcW w:w="5" w:type="pct"/>
            <w:vAlign w:val="center"/>
            <w:hideMark/>
          </w:tcPr>
          <w:p w14:paraId="49B776C0" w14:textId="77777777" w:rsidR="00000000" w:rsidRDefault="00C1661D">
            <w:pPr>
              <w:spacing w:after="100"/>
              <w:rPr>
                <w:rFonts w:eastAsia="Times New Roman"/>
                <w:sz w:val="20"/>
                <w:szCs w:val="20"/>
              </w:rPr>
            </w:pPr>
          </w:p>
        </w:tc>
        <w:tc>
          <w:tcPr>
            <w:tcW w:w="5" w:type="pct"/>
            <w:vAlign w:val="center"/>
            <w:hideMark/>
          </w:tcPr>
          <w:p w14:paraId="1E538EE6" w14:textId="77777777" w:rsidR="00000000" w:rsidRDefault="00C1661D">
            <w:pPr>
              <w:spacing w:after="100"/>
              <w:rPr>
                <w:rFonts w:eastAsia="Times New Roman"/>
                <w:sz w:val="20"/>
                <w:szCs w:val="20"/>
              </w:rPr>
            </w:pPr>
          </w:p>
        </w:tc>
        <w:tc>
          <w:tcPr>
            <w:tcW w:w="19" w:type="pct"/>
            <w:vAlign w:val="center"/>
            <w:hideMark/>
          </w:tcPr>
          <w:p w14:paraId="069DDDA8" w14:textId="77777777" w:rsidR="00000000" w:rsidRDefault="00C1661D">
            <w:pPr>
              <w:spacing w:after="100"/>
              <w:rPr>
                <w:rFonts w:eastAsia="Times New Roman"/>
                <w:sz w:val="20"/>
                <w:szCs w:val="20"/>
              </w:rPr>
            </w:pPr>
          </w:p>
        </w:tc>
        <w:tc>
          <w:tcPr>
            <w:tcW w:w="5" w:type="pct"/>
            <w:vAlign w:val="center"/>
            <w:hideMark/>
          </w:tcPr>
          <w:p w14:paraId="714D302C" w14:textId="77777777" w:rsidR="00000000" w:rsidRDefault="00C1661D">
            <w:pPr>
              <w:spacing w:after="100"/>
              <w:rPr>
                <w:rFonts w:eastAsia="Times New Roman"/>
                <w:sz w:val="20"/>
                <w:szCs w:val="20"/>
              </w:rPr>
            </w:pPr>
          </w:p>
        </w:tc>
        <w:tc>
          <w:tcPr>
            <w:tcW w:w="50" w:type="pct"/>
            <w:vAlign w:val="center"/>
            <w:hideMark/>
          </w:tcPr>
          <w:p w14:paraId="393E0664" w14:textId="77777777" w:rsidR="00000000" w:rsidRDefault="00C1661D">
            <w:pPr>
              <w:spacing w:after="100"/>
              <w:rPr>
                <w:rFonts w:eastAsia="Times New Roman"/>
                <w:sz w:val="20"/>
                <w:szCs w:val="20"/>
              </w:rPr>
            </w:pPr>
          </w:p>
        </w:tc>
        <w:tc>
          <w:tcPr>
            <w:tcW w:w="580" w:type="pct"/>
            <w:vAlign w:val="center"/>
            <w:hideMark/>
          </w:tcPr>
          <w:p w14:paraId="1B87EE4A" w14:textId="77777777" w:rsidR="00000000" w:rsidRDefault="00C1661D">
            <w:pPr>
              <w:spacing w:after="100"/>
              <w:rPr>
                <w:rFonts w:eastAsia="Times New Roman"/>
                <w:sz w:val="20"/>
                <w:szCs w:val="20"/>
              </w:rPr>
            </w:pPr>
          </w:p>
        </w:tc>
        <w:tc>
          <w:tcPr>
            <w:tcW w:w="5" w:type="pct"/>
            <w:vAlign w:val="center"/>
            <w:hideMark/>
          </w:tcPr>
          <w:p w14:paraId="48CD5D0E" w14:textId="77777777" w:rsidR="00000000" w:rsidRDefault="00C1661D">
            <w:pPr>
              <w:spacing w:after="100"/>
              <w:rPr>
                <w:rFonts w:eastAsia="Times New Roman"/>
                <w:sz w:val="20"/>
                <w:szCs w:val="20"/>
              </w:rPr>
            </w:pPr>
          </w:p>
        </w:tc>
        <w:tc>
          <w:tcPr>
            <w:tcW w:w="5" w:type="pct"/>
            <w:vAlign w:val="center"/>
            <w:hideMark/>
          </w:tcPr>
          <w:p w14:paraId="0977C991" w14:textId="77777777" w:rsidR="00000000" w:rsidRDefault="00C1661D">
            <w:pPr>
              <w:spacing w:after="100"/>
              <w:rPr>
                <w:rFonts w:eastAsia="Times New Roman"/>
                <w:sz w:val="20"/>
                <w:szCs w:val="20"/>
              </w:rPr>
            </w:pPr>
          </w:p>
        </w:tc>
        <w:tc>
          <w:tcPr>
            <w:tcW w:w="26" w:type="pct"/>
            <w:vAlign w:val="center"/>
            <w:hideMark/>
          </w:tcPr>
          <w:p w14:paraId="537C6D3B" w14:textId="77777777" w:rsidR="00000000" w:rsidRDefault="00C1661D">
            <w:pPr>
              <w:spacing w:after="100"/>
              <w:rPr>
                <w:rFonts w:eastAsia="Times New Roman"/>
                <w:sz w:val="20"/>
                <w:szCs w:val="20"/>
              </w:rPr>
            </w:pPr>
          </w:p>
        </w:tc>
        <w:tc>
          <w:tcPr>
            <w:tcW w:w="5" w:type="pct"/>
            <w:vAlign w:val="center"/>
            <w:hideMark/>
          </w:tcPr>
          <w:p w14:paraId="67775B0E" w14:textId="77777777" w:rsidR="00000000" w:rsidRDefault="00C1661D">
            <w:pPr>
              <w:spacing w:after="100"/>
              <w:rPr>
                <w:rFonts w:eastAsia="Times New Roman"/>
                <w:sz w:val="20"/>
                <w:szCs w:val="20"/>
              </w:rPr>
            </w:pPr>
          </w:p>
        </w:tc>
        <w:tc>
          <w:tcPr>
            <w:tcW w:w="50" w:type="pct"/>
            <w:vAlign w:val="center"/>
            <w:hideMark/>
          </w:tcPr>
          <w:p w14:paraId="68ED1421" w14:textId="77777777" w:rsidR="00000000" w:rsidRDefault="00C1661D">
            <w:pPr>
              <w:spacing w:after="100"/>
              <w:rPr>
                <w:rFonts w:eastAsia="Times New Roman"/>
                <w:sz w:val="20"/>
                <w:szCs w:val="20"/>
              </w:rPr>
            </w:pPr>
          </w:p>
        </w:tc>
        <w:tc>
          <w:tcPr>
            <w:tcW w:w="580" w:type="pct"/>
            <w:vAlign w:val="center"/>
            <w:hideMark/>
          </w:tcPr>
          <w:p w14:paraId="6A2A3357" w14:textId="77777777" w:rsidR="00000000" w:rsidRDefault="00C1661D">
            <w:pPr>
              <w:spacing w:after="100"/>
              <w:rPr>
                <w:rFonts w:eastAsia="Times New Roman"/>
                <w:sz w:val="20"/>
                <w:szCs w:val="20"/>
              </w:rPr>
            </w:pPr>
          </w:p>
        </w:tc>
        <w:tc>
          <w:tcPr>
            <w:tcW w:w="5" w:type="pct"/>
            <w:vAlign w:val="center"/>
            <w:hideMark/>
          </w:tcPr>
          <w:p w14:paraId="70008C62" w14:textId="77777777" w:rsidR="00000000" w:rsidRDefault="00C1661D">
            <w:pPr>
              <w:spacing w:after="100"/>
              <w:rPr>
                <w:rFonts w:eastAsia="Times New Roman"/>
                <w:sz w:val="20"/>
                <w:szCs w:val="20"/>
              </w:rPr>
            </w:pPr>
          </w:p>
        </w:tc>
        <w:tc>
          <w:tcPr>
            <w:tcW w:w="5" w:type="pct"/>
            <w:vAlign w:val="center"/>
            <w:hideMark/>
          </w:tcPr>
          <w:p w14:paraId="60168E80" w14:textId="77777777" w:rsidR="00000000" w:rsidRDefault="00C1661D">
            <w:pPr>
              <w:spacing w:after="100"/>
              <w:rPr>
                <w:rFonts w:eastAsia="Times New Roman"/>
                <w:sz w:val="20"/>
                <w:szCs w:val="20"/>
              </w:rPr>
            </w:pPr>
          </w:p>
        </w:tc>
        <w:tc>
          <w:tcPr>
            <w:tcW w:w="26" w:type="pct"/>
            <w:vAlign w:val="center"/>
            <w:hideMark/>
          </w:tcPr>
          <w:p w14:paraId="5C65AAED" w14:textId="77777777" w:rsidR="00000000" w:rsidRDefault="00C1661D">
            <w:pPr>
              <w:spacing w:after="100"/>
              <w:rPr>
                <w:rFonts w:eastAsia="Times New Roman"/>
                <w:sz w:val="20"/>
                <w:szCs w:val="20"/>
              </w:rPr>
            </w:pPr>
          </w:p>
        </w:tc>
        <w:tc>
          <w:tcPr>
            <w:tcW w:w="5" w:type="pct"/>
            <w:vAlign w:val="center"/>
            <w:hideMark/>
          </w:tcPr>
          <w:p w14:paraId="435B2B8D" w14:textId="77777777" w:rsidR="00000000" w:rsidRDefault="00C1661D">
            <w:pPr>
              <w:spacing w:after="100"/>
              <w:rPr>
                <w:rFonts w:eastAsia="Times New Roman"/>
                <w:sz w:val="20"/>
                <w:szCs w:val="20"/>
              </w:rPr>
            </w:pPr>
          </w:p>
        </w:tc>
        <w:tc>
          <w:tcPr>
            <w:tcW w:w="50" w:type="pct"/>
            <w:vAlign w:val="center"/>
            <w:hideMark/>
          </w:tcPr>
          <w:p w14:paraId="1BA297D1" w14:textId="77777777" w:rsidR="00000000" w:rsidRDefault="00C1661D">
            <w:pPr>
              <w:spacing w:after="100"/>
              <w:rPr>
                <w:rFonts w:eastAsia="Times New Roman"/>
                <w:sz w:val="20"/>
                <w:szCs w:val="20"/>
              </w:rPr>
            </w:pPr>
          </w:p>
        </w:tc>
        <w:tc>
          <w:tcPr>
            <w:tcW w:w="581" w:type="pct"/>
            <w:vAlign w:val="center"/>
            <w:hideMark/>
          </w:tcPr>
          <w:p w14:paraId="47A6ED5D" w14:textId="77777777" w:rsidR="00000000" w:rsidRDefault="00C1661D">
            <w:pPr>
              <w:spacing w:after="100"/>
              <w:rPr>
                <w:rFonts w:eastAsia="Times New Roman"/>
                <w:sz w:val="20"/>
                <w:szCs w:val="20"/>
              </w:rPr>
            </w:pPr>
          </w:p>
        </w:tc>
        <w:tc>
          <w:tcPr>
            <w:tcW w:w="5" w:type="pct"/>
            <w:vAlign w:val="center"/>
            <w:hideMark/>
          </w:tcPr>
          <w:p w14:paraId="69ECEAB7" w14:textId="77777777" w:rsidR="00000000" w:rsidRDefault="00C1661D">
            <w:pPr>
              <w:spacing w:after="100"/>
              <w:rPr>
                <w:rFonts w:eastAsia="Times New Roman"/>
                <w:sz w:val="20"/>
                <w:szCs w:val="20"/>
              </w:rPr>
            </w:pPr>
          </w:p>
        </w:tc>
      </w:tr>
      <w:tr w:rsidR="00000000" w14:paraId="25F83A8E" w14:textId="77777777">
        <w:trPr>
          <w:divId w:val="1529834714"/>
        </w:trPr>
        <w:tc>
          <w:tcPr>
            <w:tcW w:w="0" w:type="auto"/>
            <w:gridSpan w:val="3"/>
            <w:tcMar>
              <w:top w:w="0" w:type="dxa"/>
              <w:left w:w="20" w:type="dxa"/>
              <w:bottom w:w="0" w:type="dxa"/>
              <w:right w:w="20" w:type="dxa"/>
            </w:tcMar>
            <w:vAlign w:val="center"/>
            <w:hideMark/>
          </w:tcPr>
          <w:p w14:paraId="1F3748B1"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6EC7EA0" w14:textId="77777777" w:rsidR="00000000" w:rsidRDefault="00C1661D">
            <w:pPr>
              <w:spacing w:after="100"/>
              <w:jc w:val="center"/>
              <w:rPr>
                <w:rFonts w:eastAsia="Times New Roman"/>
              </w:rPr>
            </w:pPr>
            <w:r>
              <w:rPr>
                <w:rFonts w:eastAsia="Times New Roman"/>
                <w:color w:val="000000"/>
                <w:sz w:val="20"/>
                <w:szCs w:val="20"/>
              </w:rPr>
              <w:t>Preferred Stock</w:t>
            </w:r>
          </w:p>
        </w:tc>
        <w:tc>
          <w:tcPr>
            <w:tcW w:w="0" w:type="auto"/>
            <w:gridSpan w:val="3"/>
            <w:tcMar>
              <w:top w:w="0" w:type="dxa"/>
              <w:left w:w="20" w:type="dxa"/>
              <w:bottom w:w="0" w:type="dxa"/>
              <w:right w:w="20" w:type="dxa"/>
            </w:tcMar>
            <w:vAlign w:val="center"/>
            <w:hideMark/>
          </w:tcPr>
          <w:p w14:paraId="59C28F2C" w14:textId="77777777" w:rsidR="00000000" w:rsidRDefault="00C1661D">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17FB7D07" w14:textId="77777777" w:rsidR="00000000" w:rsidRDefault="00C1661D">
            <w:pPr>
              <w:spacing w:after="100"/>
              <w:jc w:val="center"/>
              <w:rPr>
                <w:rFonts w:eastAsia="Times New Roman"/>
              </w:rPr>
            </w:pPr>
            <w:r>
              <w:rPr>
                <w:rFonts w:eastAsia="Times New Roman"/>
                <w:color w:val="000000"/>
                <w:sz w:val="20"/>
                <w:szCs w:val="20"/>
              </w:rPr>
              <w:t>Common Stock</w:t>
            </w:r>
          </w:p>
        </w:tc>
      </w:tr>
      <w:tr w:rsidR="00000000" w14:paraId="7009699C" w14:textId="77777777">
        <w:trPr>
          <w:divId w:val="1529834714"/>
        </w:trPr>
        <w:tc>
          <w:tcPr>
            <w:tcW w:w="0" w:type="auto"/>
            <w:gridSpan w:val="3"/>
            <w:tcMar>
              <w:top w:w="0" w:type="dxa"/>
              <w:left w:w="20" w:type="dxa"/>
              <w:bottom w:w="0" w:type="dxa"/>
              <w:right w:w="20" w:type="dxa"/>
            </w:tcMar>
            <w:vAlign w:val="center"/>
            <w:hideMark/>
          </w:tcPr>
          <w:p w14:paraId="3EEB183A"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0D3D37" w14:textId="77777777" w:rsidR="00000000" w:rsidRDefault="00C1661D">
            <w:pPr>
              <w:spacing w:after="100"/>
              <w:jc w:val="center"/>
              <w:rPr>
                <w:rFonts w:eastAsia="Times New Roman"/>
              </w:rPr>
            </w:pPr>
            <w:r>
              <w:rPr>
                <w:rFonts w:eastAsia="Times New Roman"/>
                <w:color w:val="000000"/>
                <w:sz w:val="20"/>
                <w:szCs w:val="20"/>
              </w:rPr>
              <w:t>Issued/Outstanding</w:t>
            </w:r>
          </w:p>
        </w:tc>
        <w:tc>
          <w:tcPr>
            <w:tcW w:w="0" w:type="auto"/>
            <w:gridSpan w:val="3"/>
            <w:tcMar>
              <w:top w:w="0" w:type="dxa"/>
              <w:left w:w="20" w:type="dxa"/>
              <w:bottom w:w="0" w:type="dxa"/>
              <w:right w:w="20" w:type="dxa"/>
            </w:tcMar>
            <w:vAlign w:val="center"/>
            <w:hideMark/>
          </w:tcPr>
          <w:p w14:paraId="02F24026"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93AB21" w14:textId="77777777" w:rsidR="00000000" w:rsidRDefault="00C1661D">
            <w:pPr>
              <w:spacing w:after="100"/>
              <w:jc w:val="center"/>
              <w:rPr>
                <w:rFonts w:eastAsia="Times New Roman"/>
              </w:rPr>
            </w:pPr>
            <w:r>
              <w:rPr>
                <w:rFonts w:eastAsia="Times New Roman"/>
                <w:color w:val="000000"/>
                <w:sz w:val="20"/>
                <w:szCs w:val="20"/>
              </w:rPr>
              <w:t>Issued</w:t>
            </w:r>
          </w:p>
        </w:tc>
        <w:tc>
          <w:tcPr>
            <w:tcW w:w="0" w:type="auto"/>
            <w:gridSpan w:val="3"/>
            <w:tcBorders>
              <w:top w:val="single" w:sz="8" w:space="0" w:color="000000"/>
            </w:tcBorders>
            <w:tcMar>
              <w:top w:w="0" w:type="dxa"/>
              <w:left w:w="20" w:type="dxa"/>
              <w:bottom w:w="0" w:type="dxa"/>
              <w:right w:w="20" w:type="dxa"/>
            </w:tcMar>
            <w:vAlign w:val="center"/>
            <w:hideMark/>
          </w:tcPr>
          <w:p w14:paraId="1618C2BF"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F3D4E1" w14:textId="77777777" w:rsidR="00000000" w:rsidRDefault="00C1661D">
            <w:pPr>
              <w:spacing w:after="100"/>
              <w:jc w:val="center"/>
              <w:rPr>
                <w:rFonts w:eastAsia="Times New Roman"/>
              </w:rPr>
            </w:pPr>
            <w:r>
              <w:rPr>
                <w:rFonts w:eastAsia="Times New Roman"/>
                <w:color w:val="000000"/>
                <w:sz w:val="20"/>
                <w:szCs w:val="20"/>
              </w:rPr>
              <w:t>Treasury</w:t>
            </w:r>
          </w:p>
        </w:tc>
        <w:tc>
          <w:tcPr>
            <w:tcW w:w="0" w:type="auto"/>
            <w:gridSpan w:val="3"/>
            <w:tcBorders>
              <w:top w:val="single" w:sz="8" w:space="0" w:color="000000"/>
            </w:tcBorders>
            <w:tcMar>
              <w:top w:w="0" w:type="dxa"/>
              <w:left w:w="20" w:type="dxa"/>
              <w:bottom w:w="0" w:type="dxa"/>
              <w:right w:w="20" w:type="dxa"/>
            </w:tcMar>
            <w:vAlign w:val="center"/>
            <w:hideMark/>
          </w:tcPr>
          <w:p w14:paraId="7B3A9E1E"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D0D1B3" w14:textId="77777777" w:rsidR="00000000" w:rsidRDefault="00C1661D">
            <w:pPr>
              <w:spacing w:after="100"/>
              <w:jc w:val="center"/>
              <w:rPr>
                <w:rFonts w:eastAsia="Times New Roman"/>
              </w:rPr>
            </w:pPr>
            <w:r>
              <w:rPr>
                <w:rFonts w:eastAsia="Times New Roman"/>
                <w:color w:val="000000"/>
                <w:sz w:val="20"/>
                <w:szCs w:val="20"/>
              </w:rPr>
              <w:t>Outstanding</w:t>
            </w:r>
          </w:p>
        </w:tc>
      </w:tr>
      <w:tr w:rsidR="00000000" w14:paraId="7D29A68F" w14:textId="77777777">
        <w:trPr>
          <w:divId w:val="1529834714"/>
        </w:trPr>
        <w:tc>
          <w:tcPr>
            <w:tcW w:w="0" w:type="auto"/>
            <w:gridSpan w:val="3"/>
            <w:shd w:val="clear" w:color="auto" w:fill="CCEEFF"/>
            <w:tcMar>
              <w:top w:w="30" w:type="dxa"/>
              <w:left w:w="20" w:type="dxa"/>
              <w:bottom w:w="30" w:type="dxa"/>
              <w:right w:w="20" w:type="dxa"/>
            </w:tcMar>
            <w:vAlign w:val="bottom"/>
            <w:hideMark/>
          </w:tcPr>
          <w:p w14:paraId="34257E9B" w14:textId="77777777" w:rsidR="00000000" w:rsidRDefault="00C1661D">
            <w:pPr>
              <w:spacing w:after="100"/>
              <w:rPr>
                <w:rFonts w:eastAsia="Times New Roman"/>
              </w:rPr>
            </w:pPr>
            <w:r>
              <w:rPr>
                <w:rFonts w:eastAsia="Times New Roman"/>
                <w:color w:val="000000"/>
                <w:sz w:val="20"/>
                <w:szCs w:val="20"/>
              </w:rPr>
              <w:t>Balance at September 30,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76E0BE" w14:textId="77777777" w:rsidR="00000000" w:rsidRDefault="00C1661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98AA1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C24917"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7AC042" w14:textId="77777777" w:rsidR="00000000" w:rsidRDefault="00C1661D">
            <w:pPr>
              <w:spacing w:after="100"/>
              <w:jc w:val="right"/>
              <w:rPr>
                <w:rFonts w:eastAsia="Times New Roman"/>
              </w:rPr>
            </w:pPr>
            <w:r>
              <w:rPr>
                <w:rFonts w:eastAsia="Times New Roman"/>
                <w:color w:val="000000"/>
                <w:sz w:val="20"/>
                <w:szCs w:val="20"/>
              </w:rPr>
              <w:t>209,304,129 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2E9A1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93BD8"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D993C1" w14:textId="77777777" w:rsidR="00000000" w:rsidRDefault="00C1661D">
            <w:pPr>
              <w:spacing w:after="100"/>
              <w:jc w:val="right"/>
              <w:rPr>
                <w:rFonts w:eastAsia="Times New Roman"/>
              </w:rPr>
            </w:pPr>
            <w:r>
              <w:rPr>
                <w:rFonts w:eastAsia="Times New Roman"/>
                <w:color w:val="000000"/>
                <w:sz w:val="20"/>
                <w:szCs w:val="20"/>
              </w:rPr>
              <w:t>(299,340)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06151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654770"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727338" w14:textId="77777777" w:rsidR="00000000" w:rsidRDefault="00C1661D">
            <w:pPr>
              <w:spacing w:after="100"/>
              <w:jc w:val="right"/>
              <w:rPr>
                <w:rFonts w:eastAsia="Times New Roman"/>
              </w:rPr>
            </w:pPr>
            <w:r>
              <w:rPr>
                <w:rFonts w:eastAsia="Times New Roman"/>
                <w:color w:val="000000"/>
                <w:sz w:val="20"/>
                <w:szCs w:val="20"/>
              </w:rPr>
              <w:t>209,004,789 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BB1BE3" w14:textId="77777777" w:rsidR="00000000" w:rsidRDefault="00C1661D">
            <w:pPr>
              <w:spacing w:after="100"/>
              <w:jc w:val="right"/>
              <w:rPr>
                <w:rFonts w:eastAsia="Times New Roman"/>
              </w:rPr>
            </w:pPr>
          </w:p>
        </w:tc>
      </w:tr>
      <w:tr w:rsidR="00000000" w14:paraId="390550AE" w14:textId="77777777">
        <w:trPr>
          <w:divId w:val="1529834714"/>
        </w:trPr>
        <w:tc>
          <w:tcPr>
            <w:tcW w:w="0" w:type="auto"/>
            <w:gridSpan w:val="3"/>
            <w:shd w:val="clear" w:color="auto" w:fill="FFFFFF"/>
            <w:tcMar>
              <w:top w:w="30" w:type="dxa"/>
              <w:left w:w="20" w:type="dxa"/>
              <w:bottom w:w="30" w:type="dxa"/>
              <w:right w:w="20" w:type="dxa"/>
            </w:tcMar>
            <w:vAlign w:val="bottom"/>
            <w:hideMark/>
          </w:tcPr>
          <w:p w14:paraId="41E7A6A6" w14:textId="77777777" w:rsidR="00000000" w:rsidRDefault="00C1661D">
            <w:pPr>
              <w:spacing w:after="100"/>
              <w:rPr>
                <w:rFonts w:eastAsia="Times New Roman"/>
              </w:rPr>
            </w:pPr>
            <w:r>
              <w:rPr>
                <w:rFonts w:eastAsia="Times New Roman"/>
                <w:color w:val="000000"/>
                <w:sz w:val="20"/>
                <w:szCs w:val="20"/>
              </w:rPr>
              <w:t>Issued: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F0FAF4"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D85BE0"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049765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4CE860"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7B9ABF"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EC4C35"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E345748" w14:textId="77777777" w:rsidR="00000000" w:rsidRDefault="00C1661D">
            <w:pPr>
              <w:spacing w:after="100"/>
              <w:rPr>
                <w:rFonts w:eastAsia="Times New Roman"/>
              </w:rPr>
            </w:pPr>
            <w:r>
              <w:rPr>
                <w:rFonts w:eastAsia="Times New Roman"/>
                <w:color w:val="000000"/>
                <w:sz w:val="20"/>
                <w:szCs w:val="20"/>
              </w:rPr>
              <w:t> </w:t>
            </w:r>
          </w:p>
        </w:tc>
      </w:tr>
      <w:tr w:rsidR="00000000" w14:paraId="1525C479" w14:textId="77777777">
        <w:trPr>
          <w:divId w:val="1529834714"/>
        </w:trPr>
        <w:tc>
          <w:tcPr>
            <w:tcW w:w="0" w:type="auto"/>
            <w:gridSpan w:val="3"/>
            <w:shd w:val="clear" w:color="auto" w:fill="CCEEFF"/>
            <w:tcMar>
              <w:top w:w="30" w:type="dxa"/>
              <w:left w:w="155" w:type="dxa"/>
              <w:bottom w:w="30" w:type="dxa"/>
              <w:right w:w="20" w:type="dxa"/>
            </w:tcMar>
            <w:vAlign w:val="bottom"/>
            <w:hideMark/>
          </w:tcPr>
          <w:p w14:paraId="1BF4EFDD" w14:textId="77777777" w:rsidR="00000000" w:rsidRDefault="00C1661D">
            <w:pPr>
              <w:spacing w:after="100"/>
              <w:rPr>
                <w:rFonts w:eastAsia="Times New Roman"/>
              </w:rPr>
            </w:pPr>
            <w:r>
              <w:rPr>
                <w:rFonts w:eastAsia="Times New Roman"/>
                <w:color w:val="000000"/>
                <w:sz w:val="20"/>
                <w:szCs w:val="20"/>
              </w:rPr>
              <w:t>Employee and director plans</w:t>
            </w:r>
          </w:p>
        </w:tc>
        <w:tc>
          <w:tcPr>
            <w:tcW w:w="0" w:type="auto"/>
            <w:gridSpan w:val="2"/>
            <w:shd w:val="clear" w:color="auto" w:fill="CCEEFF"/>
            <w:tcMar>
              <w:top w:w="30" w:type="dxa"/>
              <w:left w:w="20" w:type="dxa"/>
              <w:bottom w:w="30" w:type="dxa"/>
              <w:right w:w="0" w:type="dxa"/>
            </w:tcMar>
            <w:vAlign w:val="bottom"/>
            <w:hideMark/>
          </w:tcPr>
          <w:p w14:paraId="1EA2C429"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54C085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8312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B3105E" w14:textId="77777777" w:rsidR="00000000" w:rsidRDefault="00C1661D">
            <w:pPr>
              <w:spacing w:after="100"/>
              <w:jc w:val="right"/>
              <w:rPr>
                <w:rFonts w:eastAsia="Times New Roman"/>
              </w:rPr>
            </w:pPr>
            <w:r>
              <w:rPr>
                <w:rFonts w:eastAsia="Times New Roman"/>
                <w:color w:val="000000"/>
                <w:sz w:val="20"/>
                <w:szCs w:val="20"/>
              </w:rPr>
              <w:t>209,915 </w:t>
            </w:r>
          </w:p>
        </w:tc>
        <w:tc>
          <w:tcPr>
            <w:tcW w:w="0" w:type="auto"/>
            <w:shd w:val="clear" w:color="auto" w:fill="CCEEFF"/>
            <w:tcMar>
              <w:top w:w="30" w:type="dxa"/>
              <w:left w:w="0" w:type="dxa"/>
              <w:bottom w:w="30" w:type="dxa"/>
              <w:right w:w="20" w:type="dxa"/>
            </w:tcMar>
            <w:vAlign w:val="bottom"/>
            <w:hideMark/>
          </w:tcPr>
          <w:p w14:paraId="2E87C68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7335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D91002" w14:textId="77777777" w:rsidR="00000000" w:rsidRDefault="00C1661D">
            <w:pPr>
              <w:spacing w:after="100"/>
              <w:jc w:val="right"/>
              <w:rPr>
                <w:rFonts w:eastAsia="Times New Roman"/>
              </w:rPr>
            </w:pPr>
            <w:r>
              <w:rPr>
                <w:rFonts w:eastAsia="Times New Roman"/>
                <w:color w:val="000000"/>
                <w:sz w:val="20"/>
                <w:szCs w:val="20"/>
              </w:rPr>
              <w:t>180,050 </w:t>
            </w:r>
          </w:p>
        </w:tc>
        <w:tc>
          <w:tcPr>
            <w:tcW w:w="0" w:type="auto"/>
            <w:shd w:val="clear" w:color="auto" w:fill="CCEEFF"/>
            <w:tcMar>
              <w:top w:w="30" w:type="dxa"/>
              <w:left w:w="0" w:type="dxa"/>
              <w:bottom w:w="30" w:type="dxa"/>
              <w:right w:w="20" w:type="dxa"/>
            </w:tcMar>
            <w:vAlign w:val="bottom"/>
            <w:hideMark/>
          </w:tcPr>
          <w:p w14:paraId="0547E53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0085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BD3B16" w14:textId="77777777" w:rsidR="00000000" w:rsidRDefault="00C1661D">
            <w:pPr>
              <w:spacing w:after="100"/>
              <w:jc w:val="right"/>
              <w:rPr>
                <w:rFonts w:eastAsia="Times New Roman"/>
              </w:rPr>
            </w:pPr>
            <w:r>
              <w:rPr>
                <w:rFonts w:eastAsia="Times New Roman"/>
                <w:color w:val="000000"/>
                <w:sz w:val="20"/>
                <w:szCs w:val="20"/>
              </w:rPr>
              <w:t>389,965 </w:t>
            </w:r>
          </w:p>
        </w:tc>
        <w:tc>
          <w:tcPr>
            <w:tcW w:w="0" w:type="auto"/>
            <w:shd w:val="clear" w:color="auto" w:fill="CCEEFF"/>
            <w:tcMar>
              <w:top w:w="30" w:type="dxa"/>
              <w:left w:w="0" w:type="dxa"/>
              <w:bottom w:w="30" w:type="dxa"/>
              <w:right w:w="20" w:type="dxa"/>
            </w:tcMar>
            <w:vAlign w:val="bottom"/>
            <w:hideMark/>
          </w:tcPr>
          <w:p w14:paraId="3190A564" w14:textId="77777777" w:rsidR="00000000" w:rsidRDefault="00C1661D">
            <w:pPr>
              <w:spacing w:after="100"/>
              <w:jc w:val="right"/>
              <w:rPr>
                <w:rFonts w:eastAsia="Times New Roman"/>
              </w:rPr>
            </w:pPr>
          </w:p>
        </w:tc>
      </w:tr>
      <w:tr w:rsidR="00000000" w14:paraId="6DA332EC" w14:textId="77777777">
        <w:trPr>
          <w:divId w:val="1529834714"/>
        </w:trPr>
        <w:tc>
          <w:tcPr>
            <w:tcW w:w="0" w:type="auto"/>
            <w:gridSpan w:val="3"/>
            <w:vAlign w:val="center"/>
            <w:hideMark/>
          </w:tcPr>
          <w:p w14:paraId="64EF12F2" w14:textId="77777777" w:rsidR="00000000" w:rsidRDefault="00C1661D">
            <w:pPr>
              <w:spacing w:after="100"/>
              <w:jc w:val="right"/>
              <w:rPr>
                <w:rFonts w:eastAsia="Times New Roman"/>
                <w:sz w:val="20"/>
                <w:szCs w:val="20"/>
              </w:rPr>
            </w:pPr>
          </w:p>
        </w:tc>
        <w:tc>
          <w:tcPr>
            <w:tcW w:w="0" w:type="auto"/>
            <w:gridSpan w:val="3"/>
            <w:vAlign w:val="center"/>
            <w:hideMark/>
          </w:tcPr>
          <w:p w14:paraId="42B6C892" w14:textId="77777777" w:rsidR="00000000" w:rsidRDefault="00C1661D">
            <w:pPr>
              <w:spacing w:after="100"/>
              <w:rPr>
                <w:rFonts w:eastAsia="Times New Roman"/>
                <w:sz w:val="20"/>
                <w:szCs w:val="20"/>
              </w:rPr>
            </w:pPr>
          </w:p>
        </w:tc>
        <w:tc>
          <w:tcPr>
            <w:tcW w:w="0" w:type="auto"/>
            <w:gridSpan w:val="3"/>
            <w:vAlign w:val="center"/>
            <w:hideMark/>
          </w:tcPr>
          <w:p w14:paraId="79397023" w14:textId="77777777" w:rsidR="00000000" w:rsidRDefault="00C1661D">
            <w:pPr>
              <w:spacing w:after="100"/>
              <w:rPr>
                <w:rFonts w:eastAsia="Times New Roman"/>
                <w:sz w:val="20"/>
                <w:szCs w:val="20"/>
              </w:rPr>
            </w:pPr>
          </w:p>
        </w:tc>
        <w:tc>
          <w:tcPr>
            <w:tcW w:w="0" w:type="auto"/>
            <w:gridSpan w:val="3"/>
            <w:vAlign w:val="center"/>
            <w:hideMark/>
          </w:tcPr>
          <w:p w14:paraId="2B8FEC85" w14:textId="77777777" w:rsidR="00000000" w:rsidRDefault="00C1661D">
            <w:pPr>
              <w:spacing w:after="100"/>
              <w:rPr>
                <w:rFonts w:eastAsia="Times New Roman"/>
                <w:sz w:val="20"/>
                <w:szCs w:val="20"/>
              </w:rPr>
            </w:pPr>
          </w:p>
        </w:tc>
        <w:tc>
          <w:tcPr>
            <w:tcW w:w="0" w:type="auto"/>
            <w:gridSpan w:val="3"/>
            <w:vAlign w:val="center"/>
            <w:hideMark/>
          </w:tcPr>
          <w:p w14:paraId="4B718342" w14:textId="77777777" w:rsidR="00000000" w:rsidRDefault="00C1661D">
            <w:pPr>
              <w:spacing w:after="100"/>
              <w:rPr>
                <w:rFonts w:eastAsia="Times New Roman"/>
                <w:sz w:val="20"/>
                <w:szCs w:val="20"/>
              </w:rPr>
            </w:pPr>
          </w:p>
        </w:tc>
        <w:tc>
          <w:tcPr>
            <w:tcW w:w="0" w:type="auto"/>
            <w:gridSpan w:val="3"/>
            <w:vAlign w:val="center"/>
            <w:hideMark/>
          </w:tcPr>
          <w:p w14:paraId="5CC545C1" w14:textId="77777777" w:rsidR="00000000" w:rsidRDefault="00C1661D">
            <w:pPr>
              <w:spacing w:after="100"/>
              <w:rPr>
                <w:rFonts w:eastAsia="Times New Roman"/>
                <w:sz w:val="20"/>
                <w:szCs w:val="20"/>
              </w:rPr>
            </w:pPr>
          </w:p>
        </w:tc>
        <w:tc>
          <w:tcPr>
            <w:tcW w:w="0" w:type="auto"/>
            <w:gridSpan w:val="3"/>
            <w:vAlign w:val="center"/>
            <w:hideMark/>
          </w:tcPr>
          <w:p w14:paraId="1711E198" w14:textId="77777777" w:rsidR="00000000" w:rsidRDefault="00C1661D">
            <w:pPr>
              <w:spacing w:after="100"/>
              <w:rPr>
                <w:rFonts w:eastAsia="Times New Roman"/>
                <w:sz w:val="20"/>
                <w:szCs w:val="20"/>
              </w:rPr>
            </w:pPr>
          </w:p>
        </w:tc>
        <w:tc>
          <w:tcPr>
            <w:tcW w:w="0" w:type="auto"/>
            <w:gridSpan w:val="3"/>
            <w:vAlign w:val="center"/>
            <w:hideMark/>
          </w:tcPr>
          <w:p w14:paraId="24084DF3" w14:textId="77777777" w:rsidR="00000000" w:rsidRDefault="00C1661D">
            <w:pPr>
              <w:spacing w:after="100"/>
              <w:rPr>
                <w:rFonts w:eastAsia="Times New Roman"/>
                <w:sz w:val="20"/>
                <w:szCs w:val="20"/>
              </w:rPr>
            </w:pPr>
          </w:p>
        </w:tc>
      </w:tr>
      <w:tr w:rsidR="00000000" w14:paraId="3F881F68" w14:textId="77777777">
        <w:trPr>
          <w:divId w:val="1529834714"/>
        </w:trPr>
        <w:tc>
          <w:tcPr>
            <w:tcW w:w="0" w:type="auto"/>
            <w:gridSpan w:val="3"/>
            <w:vAlign w:val="center"/>
            <w:hideMark/>
          </w:tcPr>
          <w:p w14:paraId="28E58B29" w14:textId="77777777" w:rsidR="00000000" w:rsidRDefault="00C1661D">
            <w:pPr>
              <w:spacing w:after="100"/>
              <w:rPr>
                <w:rFonts w:eastAsia="Times New Roman"/>
                <w:sz w:val="20"/>
                <w:szCs w:val="20"/>
              </w:rPr>
            </w:pPr>
          </w:p>
        </w:tc>
        <w:tc>
          <w:tcPr>
            <w:tcW w:w="0" w:type="auto"/>
            <w:gridSpan w:val="3"/>
            <w:vAlign w:val="center"/>
            <w:hideMark/>
          </w:tcPr>
          <w:p w14:paraId="09186E74" w14:textId="77777777" w:rsidR="00000000" w:rsidRDefault="00C1661D">
            <w:pPr>
              <w:spacing w:after="100"/>
              <w:rPr>
                <w:rFonts w:eastAsia="Times New Roman"/>
                <w:sz w:val="20"/>
                <w:szCs w:val="20"/>
              </w:rPr>
            </w:pPr>
          </w:p>
        </w:tc>
        <w:tc>
          <w:tcPr>
            <w:tcW w:w="0" w:type="auto"/>
            <w:gridSpan w:val="3"/>
            <w:vAlign w:val="center"/>
            <w:hideMark/>
          </w:tcPr>
          <w:p w14:paraId="0952015B" w14:textId="77777777" w:rsidR="00000000" w:rsidRDefault="00C1661D">
            <w:pPr>
              <w:spacing w:after="100"/>
              <w:rPr>
                <w:rFonts w:eastAsia="Times New Roman"/>
                <w:sz w:val="20"/>
                <w:szCs w:val="20"/>
              </w:rPr>
            </w:pPr>
          </w:p>
        </w:tc>
        <w:tc>
          <w:tcPr>
            <w:tcW w:w="0" w:type="auto"/>
            <w:gridSpan w:val="3"/>
            <w:vAlign w:val="center"/>
            <w:hideMark/>
          </w:tcPr>
          <w:p w14:paraId="2A0AAFCA" w14:textId="77777777" w:rsidR="00000000" w:rsidRDefault="00C1661D">
            <w:pPr>
              <w:spacing w:after="100"/>
              <w:rPr>
                <w:rFonts w:eastAsia="Times New Roman"/>
                <w:sz w:val="20"/>
                <w:szCs w:val="20"/>
              </w:rPr>
            </w:pPr>
          </w:p>
        </w:tc>
        <w:tc>
          <w:tcPr>
            <w:tcW w:w="0" w:type="auto"/>
            <w:gridSpan w:val="3"/>
            <w:vAlign w:val="center"/>
            <w:hideMark/>
          </w:tcPr>
          <w:p w14:paraId="7706A6E8" w14:textId="77777777" w:rsidR="00000000" w:rsidRDefault="00C1661D">
            <w:pPr>
              <w:spacing w:after="100"/>
              <w:rPr>
                <w:rFonts w:eastAsia="Times New Roman"/>
                <w:sz w:val="20"/>
                <w:szCs w:val="20"/>
              </w:rPr>
            </w:pPr>
          </w:p>
        </w:tc>
        <w:tc>
          <w:tcPr>
            <w:tcW w:w="0" w:type="auto"/>
            <w:gridSpan w:val="3"/>
            <w:vAlign w:val="center"/>
            <w:hideMark/>
          </w:tcPr>
          <w:p w14:paraId="553DF9E8" w14:textId="77777777" w:rsidR="00000000" w:rsidRDefault="00C1661D">
            <w:pPr>
              <w:spacing w:after="100"/>
              <w:rPr>
                <w:rFonts w:eastAsia="Times New Roman"/>
                <w:sz w:val="20"/>
                <w:szCs w:val="20"/>
              </w:rPr>
            </w:pPr>
          </w:p>
        </w:tc>
        <w:tc>
          <w:tcPr>
            <w:tcW w:w="0" w:type="auto"/>
            <w:gridSpan w:val="3"/>
            <w:vAlign w:val="center"/>
            <w:hideMark/>
          </w:tcPr>
          <w:p w14:paraId="45A91B36" w14:textId="77777777" w:rsidR="00000000" w:rsidRDefault="00C1661D">
            <w:pPr>
              <w:spacing w:after="100"/>
              <w:rPr>
                <w:rFonts w:eastAsia="Times New Roman"/>
                <w:sz w:val="20"/>
                <w:szCs w:val="20"/>
              </w:rPr>
            </w:pPr>
          </w:p>
        </w:tc>
        <w:tc>
          <w:tcPr>
            <w:tcW w:w="0" w:type="auto"/>
            <w:gridSpan w:val="3"/>
            <w:vAlign w:val="center"/>
            <w:hideMark/>
          </w:tcPr>
          <w:p w14:paraId="0385CFF8" w14:textId="77777777" w:rsidR="00000000" w:rsidRDefault="00C1661D">
            <w:pPr>
              <w:spacing w:after="100"/>
              <w:rPr>
                <w:rFonts w:eastAsia="Times New Roman"/>
                <w:sz w:val="20"/>
                <w:szCs w:val="20"/>
              </w:rPr>
            </w:pPr>
          </w:p>
        </w:tc>
      </w:tr>
      <w:tr w:rsidR="00000000" w14:paraId="516607A8" w14:textId="77777777">
        <w:trPr>
          <w:divId w:val="1529834714"/>
        </w:trPr>
        <w:tc>
          <w:tcPr>
            <w:tcW w:w="0" w:type="auto"/>
            <w:gridSpan w:val="3"/>
            <w:shd w:val="clear" w:color="auto" w:fill="FFFFFF"/>
            <w:tcMar>
              <w:top w:w="30" w:type="dxa"/>
              <w:left w:w="20" w:type="dxa"/>
              <w:bottom w:w="30" w:type="dxa"/>
              <w:right w:w="20" w:type="dxa"/>
            </w:tcMar>
            <w:vAlign w:val="bottom"/>
            <w:hideMark/>
          </w:tcPr>
          <w:p w14:paraId="6429A91A" w14:textId="77777777" w:rsidR="00000000" w:rsidRDefault="00C1661D">
            <w:pPr>
              <w:spacing w:after="100"/>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14:paraId="2D493FD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23A69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BB26F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D243B7"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37CC4F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9CC00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806C6A" w14:textId="77777777" w:rsidR="00000000" w:rsidRDefault="00C1661D">
            <w:pPr>
              <w:spacing w:after="100"/>
              <w:jc w:val="right"/>
              <w:rPr>
                <w:rFonts w:eastAsia="Times New Roman"/>
              </w:rPr>
            </w:pPr>
            <w:r>
              <w:rPr>
                <w:rFonts w:eastAsia="Times New Roman"/>
                <w:color w:val="000000"/>
                <w:sz w:val="20"/>
                <w:szCs w:val="20"/>
              </w:rPr>
              <w:t>(950,000)</w:t>
            </w:r>
          </w:p>
        </w:tc>
        <w:tc>
          <w:tcPr>
            <w:tcW w:w="0" w:type="auto"/>
            <w:shd w:val="clear" w:color="auto" w:fill="FFFFFF"/>
            <w:tcMar>
              <w:top w:w="30" w:type="dxa"/>
              <w:left w:w="0" w:type="dxa"/>
              <w:bottom w:w="30" w:type="dxa"/>
              <w:right w:w="20" w:type="dxa"/>
            </w:tcMar>
            <w:vAlign w:val="bottom"/>
            <w:hideMark/>
          </w:tcPr>
          <w:p w14:paraId="65CC197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F9C6E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50F34C" w14:textId="77777777" w:rsidR="00000000" w:rsidRDefault="00C1661D">
            <w:pPr>
              <w:spacing w:after="100"/>
              <w:jc w:val="right"/>
              <w:rPr>
                <w:rFonts w:eastAsia="Times New Roman"/>
              </w:rPr>
            </w:pPr>
            <w:r>
              <w:rPr>
                <w:rFonts w:eastAsia="Times New Roman"/>
                <w:color w:val="000000"/>
                <w:sz w:val="20"/>
                <w:szCs w:val="20"/>
              </w:rPr>
              <w:t>(950,000)</w:t>
            </w:r>
          </w:p>
        </w:tc>
        <w:tc>
          <w:tcPr>
            <w:tcW w:w="0" w:type="auto"/>
            <w:shd w:val="clear" w:color="auto" w:fill="FFFFFF"/>
            <w:tcMar>
              <w:top w:w="30" w:type="dxa"/>
              <w:left w:w="0" w:type="dxa"/>
              <w:bottom w:w="30" w:type="dxa"/>
              <w:right w:w="20" w:type="dxa"/>
            </w:tcMar>
            <w:vAlign w:val="bottom"/>
            <w:hideMark/>
          </w:tcPr>
          <w:p w14:paraId="2A9280DA" w14:textId="77777777" w:rsidR="00000000" w:rsidRDefault="00C1661D">
            <w:pPr>
              <w:spacing w:after="100"/>
              <w:jc w:val="right"/>
              <w:rPr>
                <w:rFonts w:eastAsia="Times New Roman"/>
              </w:rPr>
            </w:pPr>
          </w:p>
        </w:tc>
      </w:tr>
      <w:tr w:rsidR="00000000" w14:paraId="5A0D2855" w14:textId="77777777">
        <w:trPr>
          <w:divId w:val="1529834714"/>
        </w:trPr>
        <w:tc>
          <w:tcPr>
            <w:tcW w:w="0" w:type="auto"/>
            <w:gridSpan w:val="3"/>
            <w:shd w:val="clear" w:color="auto" w:fill="CCEEFF"/>
            <w:tcMar>
              <w:top w:w="30" w:type="dxa"/>
              <w:left w:w="20" w:type="dxa"/>
              <w:bottom w:w="30" w:type="dxa"/>
              <w:right w:w="20" w:type="dxa"/>
            </w:tcMar>
            <w:vAlign w:val="bottom"/>
            <w:hideMark/>
          </w:tcPr>
          <w:p w14:paraId="5240976A" w14:textId="77777777" w:rsidR="00000000" w:rsidRDefault="00C1661D">
            <w:pPr>
              <w:spacing w:after="100"/>
              <w:rPr>
                <w:rFonts w:eastAsia="Times New Roman"/>
              </w:rPr>
            </w:pPr>
            <w:r>
              <w:rPr>
                <w:rFonts w:eastAsia="Times New Roman"/>
                <w:color w:val="000000"/>
                <w:sz w:val="20"/>
                <w:szCs w:val="20"/>
              </w:rPr>
              <w:t>Reacquired common stock – employee and director plans</w:t>
            </w:r>
          </w:p>
        </w:tc>
        <w:tc>
          <w:tcPr>
            <w:tcW w:w="0" w:type="auto"/>
            <w:gridSpan w:val="2"/>
            <w:shd w:val="clear" w:color="auto" w:fill="CCEEFF"/>
            <w:tcMar>
              <w:top w:w="30" w:type="dxa"/>
              <w:left w:w="20" w:type="dxa"/>
              <w:bottom w:w="30" w:type="dxa"/>
              <w:right w:w="0" w:type="dxa"/>
            </w:tcMar>
            <w:vAlign w:val="bottom"/>
            <w:hideMark/>
          </w:tcPr>
          <w:p w14:paraId="12FDA01E"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6F453E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427BF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9A601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641B8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1027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47F202" w14:textId="77777777" w:rsidR="00000000" w:rsidRDefault="00C1661D">
            <w:pPr>
              <w:spacing w:after="100"/>
              <w:jc w:val="right"/>
              <w:rPr>
                <w:rFonts w:eastAsia="Times New Roman"/>
              </w:rPr>
            </w:pPr>
            <w:r>
              <w:rPr>
                <w:rFonts w:eastAsia="Times New Roman"/>
                <w:color w:val="000000"/>
                <w:sz w:val="20"/>
                <w:szCs w:val="20"/>
              </w:rPr>
              <w:t>(90,316)</w:t>
            </w:r>
          </w:p>
        </w:tc>
        <w:tc>
          <w:tcPr>
            <w:tcW w:w="0" w:type="auto"/>
            <w:shd w:val="clear" w:color="auto" w:fill="CCEEFF"/>
            <w:tcMar>
              <w:top w:w="30" w:type="dxa"/>
              <w:left w:w="0" w:type="dxa"/>
              <w:bottom w:w="30" w:type="dxa"/>
              <w:right w:w="20" w:type="dxa"/>
            </w:tcMar>
            <w:vAlign w:val="bottom"/>
            <w:hideMark/>
          </w:tcPr>
          <w:p w14:paraId="661C16B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A011B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D586C2" w14:textId="77777777" w:rsidR="00000000" w:rsidRDefault="00C1661D">
            <w:pPr>
              <w:spacing w:after="100"/>
              <w:jc w:val="right"/>
              <w:rPr>
                <w:rFonts w:eastAsia="Times New Roman"/>
              </w:rPr>
            </w:pPr>
            <w:r>
              <w:rPr>
                <w:rFonts w:eastAsia="Times New Roman"/>
                <w:color w:val="000000"/>
                <w:sz w:val="20"/>
                <w:szCs w:val="20"/>
              </w:rPr>
              <w:t>(90,316)</w:t>
            </w:r>
          </w:p>
        </w:tc>
        <w:tc>
          <w:tcPr>
            <w:tcW w:w="0" w:type="auto"/>
            <w:shd w:val="clear" w:color="auto" w:fill="CCEEFF"/>
            <w:tcMar>
              <w:top w:w="30" w:type="dxa"/>
              <w:left w:w="0" w:type="dxa"/>
              <w:bottom w:w="30" w:type="dxa"/>
              <w:right w:w="20" w:type="dxa"/>
            </w:tcMar>
            <w:vAlign w:val="bottom"/>
            <w:hideMark/>
          </w:tcPr>
          <w:p w14:paraId="439F870F" w14:textId="77777777" w:rsidR="00000000" w:rsidRDefault="00C1661D">
            <w:pPr>
              <w:spacing w:after="100"/>
              <w:jc w:val="right"/>
              <w:rPr>
                <w:rFonts w:eastAsia="Times New Roman"/>
              </w:rPr>
            </w:pPr>
          </w:p>
        </w:tc>
      </w:tr>
      <w:tr w:rsidR="00000000" w14:paraId="5F87EF0C" w14:textId="77777777">
        <w:trPr>
          <w:divId w:val="1529834714"/>
        </w:trPr>
        <w:tc>
          <w:tcPr>
            <w:tcW w:w="0" w:type="auto"/>
            <w:gridSpan w:val="3"/>
            <w:shd w:val="clear" w:color="auto" w:fill="FFFFFF"/>
            <w:tcMar>
              <w:top w:w="30" w:type="dxa"/>
              <w:left w:w="20" w:type="dxa"/>
              <w:bottom w:w="30" w:type="dxa"/>
              <w:right w:w="20" w:type="dxa"/>
            </w:tcMar>
            <w:vAlign w:val="bottom"/>
            <w:hideMark/>
          </w:tcPr>
          <w:p w14:paraId="45D13592" w14:textId="77777777" w:rsidR="00000000" w:rsidRDefault="00C1661D">
            <w:pPr>
              <w:spacing w:after="100"/>
              <w:rPr>
                <w:rFonts w:eastAsia="Times New Roman"/>
              </w:rPr>
            </w:pPr>
            <w:r>
              <w:rPr>
                <w:rFonts w:eastAsia="Times New Roman"/>
                <w:color w:val="000000"/>
                <w:sz w:val="20"/>
                <w:szCs w:val="20"/>
              </w:rPr>
              <w:t>Balance at September 30,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010313" w14:textId="77777777" w:rsidR="00000000" w:rsidRDefault="00C1661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DFABF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D62309"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0B028A" w14:textId="77777777" w:rsidR="00000000" w:rsidRDefault="00C1661D">
            <w:pPr>
              <w:spacing w:after="100"/>
              <w:jc w:val="right"/>
              <w:rPr>
                <w:rFonts w:eastAsia="Times New Roman"/>
              </w:rPr>
            </w:pPr>
            <w:r>
              <w:rPr>
                <w:rFonts w:eastAsia="Times New Roman"/>
                <w:color w:val="000000"/>
                <w:sz w:val="20"/>
                <w:szCs w:val="20"/>
              </w:rPr>
              <w:t>209,514,044 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6D1BC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CEC117"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D23A24" w14:textId="77777777" w:rsidR="00000000" w:rsidRDefault="00C1661D">
            <w:pPr>
              <w:spacing w:after="100"/>
              <w:jc w:val="right"/>
              <w:rPr>
                <w:rFonts w:eastAsia="Times New Roman"/>
              </w:rPr>
            </w:pPr>
            <w:r>
              <w:rPr>
                <w:rFonts w:eastAsia="Times New Roman"/>
                <w:color w:val="000000"/>
                <w:sz w:val="20"/>
                <w:szCs w:val="20"/>
              </w:rPr>
              <w:t>(1,159,606)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0D460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54BCB"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799A3D" w14:textId="77777777" w:rsidR="00000000" w:rsidRDefault="00C1661D">
            <w:pPr>
              <w:spacing w:after="100"/>
              <w:jc w:val="right"/>
              <w:rPr>
                <w:rFonts w:eastAsia="Times New Roman"/>
              </w:rPr>
            </w:pPr>
            <w:r>
              <w:rPr>
                <w:rFonts w:eastAsia="Times New Roman"/>
                <w:color w:val="000000"/>
                <w:sz w:val="20"/>
                <w:szCs w:val="20"/>
              </w:rPr>
              <w:t>208,354,438 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1EFACB" w14:textId="77777777" w:rsidR="00000000" w:rsidRDefault="00C1661D">
            <w:pPr>
              <w:spacing w:after="100"/>
              <w:jc w:val="right"/>
              <w:rPr>
                <w:rFonts w:eastAsia="Times New Roman"/>
              </w:rPr>
            </w:pPr>
          </w:p>
        </w:tc>
      </w:tr>
      <w:tr w:rsidR="00000000" w14:paraId="7405CBB8" w14:textId="77777777">
        <w:trPr>
          <w:divId w:val="1529834714"/>
        </w:trPr>
        <w:tc>
          <w:tcPr>
            <w:tcW w:w="0" w:type="auto"/>
            <w:gridSpan w:val="3"/>
            <w:shd w:val="clear" w:color="auto" w:fill="CCEEFF"/>
            <w:tcMar>
              <w:top w:w="30" w:type="dxa"/>
              <w:left w:w="20" w:type="dxa"/>
              <w:bottom w:w="30" w:type="dxa"/>
              <w:right w:w="20" w:type="dxa"/>
            </w:tcMar>
            <w:vAlign w:val="bottom"/>
            <w:hideMark/>
          </w:tcPr>
          <w:p w14:paraId="7CEA8D20" w14:textId="77777777" w:rsidR="00000000" w:rsidRDefault="00C1661D">
            <w:pPr>
              <w:spacing w:after="100"/>
              <w:rPr>
                <w:rFonts w:eastAsia="Times New Roman"/>
              </w:rPr>
            </w:pPr>
            <w:r>
              <w:rPr>
                <w:rFonts w:eastAsia="Times New Roman"/>
                <w:color w:val="000000"/>
                <w:sz w:val="20"/>
                <w:szCs w:val="20"/>
              </w:rPr>
              <w:t>Issued: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3508CC"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9F63D6"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BC5C789"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D848E7C"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15B2255"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040F74F"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75C8923" w14:textId="77777777" w:rsidR="00000000" w:rsidRDefault="00C1661D">
            <w:pPr>
              <w:spacing w:after="100"/>
              <w:rPr>
                <w:rFonts w:eastAsia="Times New Roman"/>
              </w:rPr>
            </w:pPr>
            <w:r>
              <w:rPr>
                <w:rFonts w:eastAsia="Times New Roman"/>
                <w:color w:val="000000"/>
                <w:sz w:val="20"/>
                <w:szCs w:val="20"/>
              </w:rPr>
              <w:t> </w:t>
            </w:r>
          </w:p>
        </w:tc>
      </w:tr>
      <w:tr w:rsidR="00000000" w14:paraId="243884D2" w14:textId="77777777">
        <w:trPr>
          <w:divId w:val="1529834714"/>
        </w:trPr>
        <w:tc>
          <w:tcPr>
            <w:tcW w:w="0" w:type="auto"/>
            <w:gridSpan w:val="3"/>
            <w:shd w:val="clear" w:color="auto" w:fill="FFFFFF"/>
            <w:tcMar>
              <w:top w:w="30" w:type="dxa"/>
              <w:left w:w="155" w:type="dxa"/>
              <w:bottom w:w="30" w:type="dxa"/>
              <w:right w:w="20" w:type="dxa"/>
            </w:tcMar>
            <w:vAlign w:val="bottom"/>
            <w:hideMark/>
          </w:tcPr>
          <w:p w14:paraId="1D65410A" w14:textId="77777777" w:rsidR="00000000" w:rsidRDefault="00C1661D">
            <w:pPr>
              <w:spacing w:after="100"/>
              <w:rPr>
                <w:rFonts w:eastAsia="Times New Roman"/>
              </w:rPr>
            </w:pPr>
            <w:r>
              <w:rPr>
                <w:rFonts w:eastAsia="Times New Roman"/>
                <w:color w:val="000000"/>
                <w:sz w:val="20"/>
                <w:szCs w:val="20"/>
              </w:rPr>
              <w:t>Equity Unit Offering</w:t>
            </w:r>
          </w:p>
        </w:tc>
        <w:tc>
          <w:tcPr>
            <w:tcW w:w="0" w:type="auto"/>
            <w:gridSpan w:val="2"/>
            <w:shd w:val="clear" w:color="auto" w:fill="FFFFFF"/>
            <w:tcMar>
              <w:top w:w="30" w:type="dxa"/>
              <w:left w:w="20" w:type="dxa"/>
              <w:bottom w:w="30" w:type="dxa"/>
              <w:right w:w="0" w:type="dxa"/>
            </w:tcMar>
            <w:vAlign w:val="bottom"/>
            <w:hideMark/>
          </w:tcPr>
          <w:p w14:paraId="507CE563" w14:textId="77777777" w:rsidR="00000000" w:rsidRDefault="00C1661D">
            <w:pPr>
              <w:spacing w:after="100"/>
              <w:jc w:val="right"/>
              <w:rPr>
                <w:rFonts w:eastAsia="Times New Roman"/>
              </w:rPr>
            </w:pPr>
            <w:r>
              <w:rPr>
                <w:rFonts w:eastAsia="Times New Roman"/>
                <w:color w:val="000000"/>
                <w:sz w:val="20"/>
                <w:szCs w:val="20"/>
              </w:rPr>
              <w:t>220,000 </w:t>
            </w:r>
          </w:p>
        </w:tc>
        <w:tc>
          <w:tcPr>
            <w:tcW w:w="0" w:type="auto"/>
            <w:shd w:val="clear" w:color="auto" w:fill="FFFFFF"/>
            <w:tcMar>
              <w:top w:w="30" w:type="dxa"/>
              <w:left w:w="0" w:type="dxa"/>
              <w:bottom w:w="30" w:type="dxa"/>
              <w:right w:w="20" w:type="dxa"/>
            </w:tcMar>
            <w:vAlign w:val="bottom"/>
            <w:hideMark/>
          </w:tcPr>
          <w:p w14:paraId="6278EF1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7A17CE" w14:textId="77777777" w:rsidR="00000000" w:rsidRDefault="00C1661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F025BB"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E4665B"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37686E"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AE26B7"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1023C1" w14:textId="77777777" w:rsidR="00000000" w:rsidRDefault="00C1661D">
            <w:pPr>
              <w:spacing w:after="100"/>
              <w:rPr>
                <w:rFonts w:eastAsia="Times New Roman"/>
                <w:sz w:val="20"/>
                <w:szCs w:val="20"/>
              </w:rPr>
            </w:pPr>
          </w:p>
        </w:tc>
      </w:tr>
      <w:tr w:rsidR="00000000" w14:paraId="68938E59" w14:textId="77777777">
        <w:trPr>
          <w:divId w:val="1529834714"/>
        </w:trPr>
        <w:tc>
          <w:tcPr>
            <w:tcW w:w="0" w:type="auto"/>
            <w:gridSpan w:val="3"/>
            <w:shd w:val="clear" w:color="auto" w:fill="CCEEFF"/>
            <w:tcMar>
              <w:top w:w="30" w:type="dxa"/>
              <w:left w:w="155" w:type="dxa"/>
              <w:bottom w:w="30" w:type="dxa"/>
              <w:right w:w="20" w:type="dxa"/>
            </w:tcMar>
            <w:vAlign w:val="bottom"/>
            <w:hideMark/>
          </w:tcPr>
          <w:p w14:paraId="274C40BC" w14:textId="77777777" w:rsidR="00000000" w:rsidRDefault="00C1661D">
            <w:pPr>
              <w:spacing w:after="100"/>
              <w:rPr>
                <w:rFonts w:eastAsia="Times New Roman"/>
              </w:rPr>
            </w:pPr>
            <w:r>
              <w:rPr>
                <w:rFonts w:eastAsia="Times New Roman"/>
                <w:color w:val="000000"/>
                <w:sz w:val="20"/>
                <w:szCs w:val="20"/>
              </w:rPr>
              <w:t>Employee and director plans</w:t>
            </w:r>
          </w:p>
        </w:tc>
        <w:tc>
          <w:tcPr>
            <w:tcW w:w="0" w:type="auto"/>
            <w:gridSpan w:val="2"/>
            <w:shd w:val="clear" w:color="auto" w:fill="CCEEFF"/>
            <w:tcMar>
              <w:top w:w="30" w:type="dxa"/>
              <w:left w:w="20" w:type="dxa"/>
              <w:bottom w:w="30" w:type="dxa"/>
              <w:right w:w="0" w:type="dxa"/>
            </w:tcMar>
            <w:vAlign w:val="bottom"/>
            <w:hideMark/>
          </w:tcPr>
          <w:p w14:paraId="335C3AF9"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4F31A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30D3A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344412" w14:textId="77777777" w:rsidR="00000000" w:rsidRDefault="00C1661D">
            <w:pPr>
              <w:spacing w:after="100"/>
              <w:jc w:val="right"/>
              <w:rPr>
                <w:rFonts w:eastAsia="Times New Roman"/>
              </w:rPr>
            </w:pPr>
            <w:r>
              <w:rPr>
                <w:rFonts w:eastAsia="Times New Roman"/>
                <w:color w:val="000000"/>
                <w:sz w:val="20"/>
                <w:szCs w:val="20"/>
              </w:rPr>
              <w:t>329,252 </w:t>
            </w:r>
          </w:p>
        </w:tc>
        <w:tc>
          <w:tcPr>
            <w:tcW w:w="0" w:type="auto"/>
            <w:shd w:val="clear" w:color="auto" w:fill="CCEEFF"/>
            <w:tcMar>
              <w:top w:w="30" w:type="dxa"/>
              <w:left w:w="0" w:type="dxa"/>
              <w:bottom w:w="30" w:type="dxa"/>
              <w:right w:w="20" w:type="dxa"/>
            </w:tcMar>
            <w:vAlign w:val="bottom"/>
            <w:hideMark/>
          </w:tcPr>
          <w:p w14:paraId="71244C4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8FA68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F33A77" w14:textId="77777777" w:rsidR="00000000" w:rsidRDefault="00C1661D">
            <w:pPr>
              <w:spacing w:after="100"/>
              <w:jc w:val="right"/>
              <w:rPr>
                <w:rFonts w:eastAsia="Times New Roman"/>
              </w:rPr>
            </w:pPr>
            <w:r>
              <w:rPr>
                <w:rFonts w:eastAsia="Times New Roman"/>
                <w:color w:val="000000"/>
                <w:sz w:val="20"/>
                <w:szCs w:val="20"/>
              </w:rPr>
              <w:t>554,315 </w:t>
            </w:r>
          </w:p>
        </w:tc>
        <w:tc>
          <w:tcPr>
            <w:tcW w:w="0" w:type="auto"/>
            <w:shd w:val="clear" w:color="auto" w:fill="CCEEFF"/>
            <w:tcMar>
              <w:top w:w="30" w:type="dxa"/>
              <w:left w:w="0" w:type="dxa"/>
              <w:bottom w:w="30" w:type="dxa"/>
              <w:right w:w="20" w:type="dxa"/>
            </w:tcMar>
            <w:vAlign w:val="bottom"/>
            <w:hideMark/>
          </w:tcPr>
          <w:p w14:paraId="6316C96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8B2D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3257DF" w14:textId="77777777" w:rsidR="00000000" w:rsidRDefault="00C1661D">
            <w:pPr>
              <w:spacing w:after="100"/>
              <w:jc w:val="right"/>
              <w:rPr>
                <w:rFonts w:eastAsia="Times New Roman"/>
              </w:rPr>
            </w:pPr>
            <w:r>
              <w:rPr>
                <w:rFonts w:eastAsia="Times New Roman"/>
                <w:color w:val="000000"/>
                <w:sz w:val="20"/>
                <w:szCs w:val="20"/>
              </w:rPr>
              <w:t>883,567 </w:t>
            </w:r>
          </w:p>
        </w:tc>
        <w:tc>
          <w:tcPr>
            <w:tcW w:w="0" w:type="auto"/>
            <w:shd w:val="clear" w:color="auto" w:fill="CCEEFF"/>
            <w:tcMar>
              <w:top w:w="30" w:type="dxa"/>
              <w:left w:w="0" w:type="dxa"/>
              <w:bottom w:w="30" w:type="dxa"/>
              <w:right w:w="20" w:type="dxa"/>
            </w:tcMar>
            <w:vAlign w:val="bottom"/>
            <w:hideMark/>
          </w:tcPr>
          <w:p w14:paraId="7461D775" w14:textId="77777777" w:rsidR="00000000" w:rsidRDefault="00C1661D">
            <w:pPr>
              <w:spacing w:after="100"/>
              <w:jc w:val="right"/>
              <w:rPr>
                <w:rFonts w:eastAsia="Times New Roman"/>
              </w:rPr>
            </w:pPr>
          </w:p>
        </w:tc>
      </w:tr>
      <w:tr w:rsidR="00000000" w14:paraId="40206478" w14:textId="77777777">
        <w:trPr>
          <w:divId w:val="1529834714"/>
        </w:trPr>
        <w:tc>
          <w:tcPr>
            <w:tcW w:w="0" w:type="auto"/>
            <w:gridSpan w:val="3"/>
            <w:vAlign w:val="center"/>
            <w:hideMark/>
          </w:tcPr>
          <w:p w14:paraId="7FC8ED6E" w14:textId="77777777" w:rsidR="00000000" w:rsidRDefault="00C1661D">
            <w:pPr>
              <w:spacing w:after="100"/>
              <w:jc w:val="right"/>
              <w:rPr>
                <w:rFonts w:eastAsia="Times New Roman"/>
                <w:sz w:val="20"/>
                <w:szCs w:val="20"/>
              </w:rPr>
            </w:pPr>
          </w:p>
        </w:tc>
        <w:tc>
          <w:tcPr>
            <w:tcW w:w="0" w:type="auto"/>
            <w:gridSpan w:val="3"/>
            <w:vAlign w:val="center"/>
            <w:hideMark/>
          </w:tcPr>
          <w:p w14:paraId="5A4993E3" w14:textId="77777777" w:rsidR="00000000" w:rsidRDefault="00C1661D">
            <w:pPr>
              <w:spacing w:after="100"/>
              <w:rPr>
                <w:rFonts w:eastAsia="Times New Roman"/>
                <w:sz w:val="20"/>
                <w:szCs w:val="20"/>
              </w:rPr>
            </w:pPr>
          </w:p>
        </w:tc>
        <w:tc>
          <w:tcPr>
            <w:tcW w:w="0" w:type="auto"/>
            <w:gridSpan w:val="3"/>
            <w:vAlign w:val="center"/>
            <w:hideMark/>
          </w:tcPr>
          <w:p w14:paraId="53BB6047" w14:textId="77777777" w:rsidR="00000000" w:rsidRDefault="00C1661D">
            <w:pPr>
              <w:spacing w:after="100"/>
              <w:rPr>
                <w:rFonts w:eastAsia="Times New Roman"/>
                <w:sz w:val="20"/>
                <w:szCs w:val="20"/>
              </w:rPr>
            </w:pPr>
          </w:p>
        </w:tc>
        <w:tc>
          <w:tcPr>
            <w:tcW w:w="0" w:type="auto"/>
            <w:gridSpan w:val="3"/>
            <w:vAlign w:val="center"/>
            <w:hideMark/>
          </w:tcPr>
          <w:p w14:paraId="56696473" w14:textId="77777777" w:rsidR="00000000" w:rsidRDefault="00C1661D">
            <w:pPr>
              <w:spacing w:after="100"/>
              <w:rPr>
                <w:rFonts w:eastAsia="Times New Roman"/>
                <w:sz w:val="20"/>
                <w:szCs w:val="20"/>
              </w:rPr>
            </w:pPr>
          </w:p>
        </w:tc>
        <w:tc>
          <w:tcPr>
            <w:tcW w:w="0" w:type="auto"/>
            <w:gridSpan w:val="3"/>
            <w:vAlign w:val="center"/>
            <w:hideMark/>
          </w:tcPr>
          <w:p w14:paraId="243F75C2" w14:textId="77777777" w:rsidR="00000000" w:rsidRDefault="00C1661D">
            <w:pPr>
              <w:spacing w:after="100"/>
              <w:rPr>
                <w:rFonts w:eastAsia="Times New Roman"/>
                <w:sz w:val="20"/>
                <w:szCs w:val="20"/>
              </w:rPr>
            </w:pPr>
          </w:p>
        </w:tc>
        <w:tc>
          <w:tcPr>
            <w:tcW w:w="0" w:type="auto"/>
            <w:gridSpan w:val="3"/>
            <w:vAlign w:val="center"/>
            <w:hideMark/>
          </w:tcPr>
          <w:p w14:paraId="31954F1F" w14:textId="77777777" w:rsidR="00000000" w:rsidRDefault="00C1661D">
            <w:pPr>
              <w:spacing w:after="100"/>
              <w:rPr>
                <w:rFonts w:eastAsia="Times New Roman"/>
                <w:sz w:val="20"/>
                <w:szCs w:val="20"/>
              </w:rPr>
            </w:pPr>
          </w:p>
        </w:tc>
        <w:tc>
          <w:tcPr>
            <w:tcW w:w="0" w:type="auto"/>
            <w:gridSpan w:val="3"/>
            <w:vAlign w:val="center"/>
            <w:hideMark/>
          </w:tcPr>
          <w:p w14:paraId="48092237" w14:textId="77777777" w:rsidR="00000000" w:rsidRDefault="00C1661D">
            <w:pPr>
              <w:spacing w:after="100"/>
              <w:rPr>
                <w:rFonts w:eastAsia="Times New Roman"/>
                <w:sz w:val="20"/>
                <w:szCs w:val="20"/>
              </w:rPr>
            </w:pPr>
          </w:p>
        </w:tc>
        <w:tc>
          <w:tcPr>
            <w:tcW w:w="0" w:type="auto"/>
            <w:gridSpan w:val="3"/>
            <w:vAlign w:val="center"/>
            <w:hideMark/>
          </w:tcPr>
          <w:p w14:paraId="21727C89" w14:textId="77777777" w:rsidR="00000000" w:rsidRDefault="00C1661D">
            <w:pPr>
              <w:spacing w:after="100"/>
              <w:rPr>
                <w:rFonts w:eastAsia="Times New Roman"/>
                <w:sz w:val="20"/>
                <w:szCs w:val="20"/>
              </w:rPr>
            </w:pPr>
          </w:p>
        </w:tc>
      </w:tr>
      <w:tr w:rsidR="00000000" w14:paraId="4AE54713" w14:textId="77777777">
        <w:trPr>
          <w:divId w:val="1529834714"/>
        </w:trPr>
        <w:tc>
          <w:tcPr>
            <w:tcW w:w="0" w:type="auto"/>
            <w:gridSpan w:val="3"/>
            <w:vAlign w:val="center"/>
            <w:hideMark/>
          </w:tcPr>
          <w:p w14:paraId="35BB1B1F" w14:textId="77777777" w:rsidR="00000000" w:rsidRDefault="00C1661D">
            <w:pPr>
              <w:spacing w:after="100"/>
              <w:rPr>
                <w:rFonts w:eastAsia="Times New Roman"/>
                <w:sz w:val="20"/>
                <w:szCs w:val="20"/>
              </w:rPr>
            </w:pPr>
          </w:p>
        </w:tc>
        <w:tc>
          <w:tcPr>
            <w:tcW w:w="0" w:type="auto"/>
            <w:gridSpan w:val="3"/>
            <w:vAlign w:val="center"/>
            <w:hideMark/>
          </w:tcPr>
          <w:p w14:paraId="660C51B2" w14:textId="77777777" w:rsidR="00000000" w:rsidRDefault="00C1661D">
            <w:pPr>
              <w:spacing w:after="100"/>
              <w:rPr>
                <w:rFonts w:eastAsia="Times New Roman"/>
                <w:sz w:val="20"/>
                <w:szCs w:val="20"/>
              </w:rPr>
            </w:pPr>
          </w:p>
        </w:tc>
        <w:tc>
          <w:tcPr>
            <w:tcW w:w="0" w:type="auto"/>
            <w:gridSpan w:val="3"/>
            <w:vAlign w:val="center"/>
            <w:hideMark/>
          </w:tcPr>
          <w:p w14:paraId="01A706EA" w14:textId="77777777" w:rsidR="00000000" w:rsidRDefault="00C1661D">
            <w:pPr>
              <w:spacing w:after="100"/>
              <w:rPr>
                <w:rFonts w:eastAsia="Times New Roman"/>
                <w:sz w:val="20"/>
                <w:szCs w:val="20"/>
              </w:rPr>
            </w:pPr>
          </w:p>
        </w:tc>
        <w:tc>
          <w:tcPr>
            <w:tcW w:w="0" w:type="auto"/>
            <w:gridSpan w:val="3"/>
            <w:vAlign w:val="center"/>
            <w:hideMark/>
          </w:tcPr>
          <w:p w14:paraId="7FC0EC09" w14:textId="77777777" w:rsidR="00000000" w:rsidRDefault="00C1661D">
            <w:pPr>
              <w:spacing w:after="100"/>
              <w:rPr>
                <w:rFonts w:eastAsia="Times New Roman"/>
                <w:sz w:val="20"/>
                <w:szCs w:val="20"/>
              </w:rPr>
            </w:pPr>
          </w:p>
        </w:tc>
        <w:tc>
          <w:tcPr>
            <w:tcW w:w="0" w:type="auto"/>
            <w:gridSpan w:val="3"/>
            <w:vAlign w:val="center"/>
            <w:hideMark/>
          </w:tcPr>
          <w:p w14:paraId="272C1BD8" w14:textId="77777777" w:rsidR="00000000" w:rsidRDefault="00C1661D">
            <w:pPr>
              <w:spacing w:after="100"/>
              <w:rPr>
                <w:rFonts w:eastAsia="Times New Roman"/>
                <w:sz w:val="20"/>
                <w:szCs w:val="20"/>
              </w:rPr>
            </w:pPr>
          </w:p>
        </w:tc>
        <w:tc>
          <w:tcPr>
            <w:tcW w:w="0" w:type="auto"/>
            <w:gridSpan w:val="3"/>
            <w:vAlign w:val="center"/>
            <w:hideMark/>
          </w:tcPr>
          <w:p w14:paraId="6234F52C" w14:textId="77777777" w:rsidR="00000000" w:rsidRDefault="00C1661D">
            <w:pPr>
              <w:spacing w:after="100"/>
              <w:rPr>
                <w:rFonts w:eastAsia="Times New Roman"/>
                <w:sz w:val="20"/>
                <w:szCs w:val="20"/>
              </w:rPr>
            </w:pPr>
          </w:p>
        </w:tc>
        <w:tc>
          <w:tcPr>
            <w:tcW w:w="0" w:type="auto"/>
            <w:gridSpan w:val="3"/>
            <w:vAlign w:val="center"/>
            <w:hideMark/>
          </w:tcPr>
          <w:p w14:paraId="24AE92AB" w14:textId="77777777" w:rsidR="00000000" w:rsidRDefault="00C1661D">
            <w:pPr>
              <w:spacing w:after="100"/>
              <w:rPr>
                <w:rFonts w:eastAsia="Times New Roman"/>
                <w:sz w:val="20"/>
                <w:szCs w:val="20"/>
              </w:rPr>
            </w:pPr>
          </w:p>
        </w:tc>
        <w:tc>
          <w:tcPr>
            <w:tcW w:w="0" w:type="auto"/>
            <w:gridSpan w:val="3"/>
            <w:vAlign w:val="center"/>
            <w:hideMark/>
          </w:tcPr>
          <w:p w14:paraId="583D835C" w14:textId="77777777" w:rsidR="00000000" w:rsidRDefault="00C1661D">
            <w:pPr>
              <w:spacing w:after="100"/>
              <w:rPr>
                <w:rFonts w:eastAsia="Times New Roman"/>
                <w:sz w:val="20"/>
                <w:szCs w:val="20"/>
              </w:rPr>
            </w:pPr>
          </w:p>
        </w:tc>
      </w:tr>
      <w:tr w:rsidR="00000000" w14:paraId="70089CFB" w14:textId="77777777">
        <w:trPr>
          <w:divId w:val="1529834714"/>
        </w:trPr>
        <w:tc>
          <w:tcPr>
            <w:tcW w:w="0" w:type="auto"/>
            <w:gridSpan w:val="3"/>
            <w:vAlign w:val="center"/>
            <w:hideMark/>
          </w:tcPr>
          <w:p w14:paraId="58E477E5" w14:textId="77777777" w:rsidR="00000000" w:rsidRDefault="00C1661D">
            <w:pPr>
              <w:spacing w:after="100"/>
              <w:rPr>
                <w:rFonts w:eastAsia="Times New Roman"/>
                <w:sz w:val="20"/>
                <w:szCs w:val="20"/>
              </w:rPr>
            </w:pPr>
          </w:p>
        </w:tc>
        <w:tc>
          <w:tcPr>
            <w:tcW w:w="0" w:type="auto"/>
            <w:gridSpan w:val="3"/>
            <w:vAlign w:val="center"/>
            <w:hideMark/>
          </w:tcPr>
          <w:p w14:paraId="4FD87DC8" w14:textId="77777777" w:rsidR="00000000" w:rsidRDefault="00C1661D">
            <w:pPr>
              <w:spacing w:after="100"/>
              <w:rPr>
                <w:rFonts w:eastAsia="Times New Roman"/>
                <w:sz w:val="20"/>
                <w:szCs w:val="20"/>
              </w:rPr>
            </w:pPr>
          </w:p>
        </w:tc>
        <w:tc>
          <w:tcPr>
            <w:tcW w:w="0" w:type="auto"/>
            <w:gridSpan w:val="3"/>
            <w:vAlign w:val="center"/>
            <w:hideMark/>
          </w:tcPr>
          <w:p w14:paraId="3F5E4995" w14:textId="77777777" w:rsidR="00000000" w:rsidRDefault="00C1661D">
            <w:pPr>
              <w:spacing w:after="100"/>
              <w:rPr>
                <w:rFonts w:eastAsia="Times New Roman"/>
                <w:sz w:val="20"/>
                <w:szCs w:val="20"/>
              </w:rPr>
            </w:pPr>
          </w:p>
        </w:tc>
        <w:tc>
          <w:tcPr>
            <w:tcW w:w="0" w:type="auto"/>
            <w:gridSpan w:val="3"/>
            <w:vAlign w:val="center"/>
            <w:hideMark/>
          </w:tcPr>
          <w:p w14:paraId="1F39B07F" w14:textId="77777777" w:rsidR="00000000" w:rsidRDefault="00C1661D">
            <w:pPr>
              <w:spacing w:after="100"/>
              <w:rPr>
                <w:rFonts w:eastAsia="Times New Roman"/>
                <w:sz w:val="20"/>
                <w:szCs w:val="20"/>
              </w:rPr>
            </w:pPr>
          </w:p>
        </w:tc>
        <w:tc>
          <w:tcPr>
            <w:tcW w:w="0" w:type="auto"/>
            <w:gridSpan w:val="3"/>
            <w:vAlign w:val="center"/>
            <w:hideMark/>
          </w:tcPr>
          <w:p w14:paraId="0334CA0A" w14:textId="77777777" w:rsidR="00000000" w:rsidRDefault="00C1661D">
            <w:pPr>
              <w:spacing w:after="100"/>
              <w:rPr>
                <w:rFonts w:eastAsia="Times New Roman"/>
                <w:sz w:val="20"/>
                <w:szCs w:val="20"/>
              </w:rPr>
            </w:pPr>
          </w:p>
        </w:tc>
        <w:tc>
          <w:tcPr>
            <w:tcW w:w="0" w:type="auto"/>
            <w:gridSpan w:val="3"/>
            <w:vAlign w:val="center"/>
            <w:hideMark/>
          </w:tcPr>
          <w:p w14:paraId="1B378334" w14:textId="77777777" w:rsidR="00000000" w:rsidRDefault="00C1661D">
            <w:pPr>
              <w:spacing w:after="100"/>
              <w:rPr>
                <w:rFonts w:eastAsia="Times New Roman"/>
                <w:sz w:val="20"/>
                <w:szCs w:val="20"/>
              </w:rPr>
            </w:pPr>
          </w:p>
        </w:tc>
        <w:tc>
          <w:tcPr>
            <w:tcW w:w="0" w:type="auto"/>
            <w:gridSpan w:val="3"/>
            <w:vAlign w:val="center"/>
            <w:hideMark/>
          </w:tcPr>
          <w:p w14:paraId="3BB123C1" w14:textId="77777777" w:rsidR="00000000" w:rsidRDefault="00C1661D">
            <w:pPr>
              <w:spacing w:after="100"/>
              <w:rPr>
                <w:rFonts w:eastAsia="Times New Roman"/>
                <w:sz w:val="20"/>
                <w:szCs w:val="20"/>
              </w:rPr>
            </w:pPr>
          </w:p>
        </w:tc>
        <w:tc>
          <w:tcPr>
            <w:tcW w:w="0" w:type="auto"/>
            <w:gridSpan w:val="3"/>
            <w:vAlign w:val="center"/>
            <w:hideMark/>
          </w:tcPr>
          <w:p w14:paraId="15B586FF" w14:textId="77777777" w:rsidR="00000000" w:rsidRDefault="00C1661D">
            <w:pPr>
              <w:spacing w:after="100"/>
              <w:rPr>
                <w:rFonts w:eastAsia="Times New Roman"/>
                <w:sz w:val="20"/>
                <w:szCs w:val="20"/>
              </w:rPr>
            </w:pPr>
          </w:p>
        </w:tc>
      </w:tr>
      <w:tr w:rsidR="00000000" w14:paraId="5579713F" w14:textId="77777777">
        <w:trPr>
          <w:divId w:val="1529834714"/>
        </w:trPr>
        <w:tc>
          <w:tcPr>
            <w:tcW w:w="0" w:type="auto"/>
            <w:gridSpan w:val="3"/>
            <w:shd w:val="clear" w:color="auto" w:fill="FFFFFF"/>
            <w:tcMar>
              <w:top w:w="30" w:type="dxa"/>
              <w:left w:w="20" w:type="dxa"/>
              <w:bottom w:w="30" w:type="dxa"/>
              <w:right w:w="20" w:type="dxa"/>
            </w:tcMar>
            <w:vAlign w:val="bottom"/>
            <w:hideMark/>
          </w:tcPr>
          <w:p w14:paraId="157B39CE" w14:textId="77777777" w:rsidR="00000000" w:rsidRDefault="00C1661D">
            <w:pPr>
              <w:spacing w:after="100"/>
              <w:rPr>
                <w:rFonts w:eastAsia="Times New Roman"/>
              </w:rPr>
            </w:pPr>
            <w:r>
              <w:rPr>
                <w:rFonts w:eastAsia="Times New Roman"/>
                <w:color w:val="000000"/>
                <w:sz w:val="20"/>
                <w:szCs w:val="20"/>
              </w:rPr>
              <w:t>Reacquired common stock – employee and director plans</w:t>
            </w:r>
          </w:p>
        </w:tc>
        <w:tc>
          <w:tcPr>
            <w:tcW w:w="0" w:type="auto"/>
            <w:gridSpan w:val="2"/>
            <w:shd w:val="clear" w:color="auto" w:fill="FFFFFF"/>
            <w:tcMar>
              <w:top w:w="30" w:type="dxa"/>
              <w:left w:w="20" w:type="dxa"/>
              <w:bottom w:w="30" w:type="dxa"/>
              <w:right w:w="0" w:type="dxa"/>
            </w:tcMar>
            <w:vAlign w:val="bottom"/>
            <w:hideMark/>
          </w:tcPr>
          <w:p w14:paraId="3365479D"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79193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C9423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FF60FA"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38147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6C5B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8AFFAE" w14:textId="77777777" w:rsidR="00000000" w:rsidRDefault="00C1661D">
            <w:pPr>
              <w:spacing w:after="100"/>
              <w:jc w:val="right"/>
              <w:rPr>
                <w:rFonts w:eastAsia="Times New Roman"/>
              </w:rPr>
            </w:pPr>
            <w:r>
              <w:rPr>
                <w:rFonts w:eastAsia="Times New Roman"/>
                <w:color w:val="000000"/>
                <w:sz w:val="20"/>
                <w:szCs w:val="20"/>
              </w:rPr>
              <w:t>(21,870)</w:t>
            </w:r>
          </w:p>
        </w:tc>
        <w:tc>
          <w:tcPr>
            <w:tcW w:w="0" w:type="auto"/>
            <w:shd w:val="clear" w:color="auto" w:fill="FFFFFF"/>
            <w:tcMar>
              <w:top w:w="30" w:type="dxa"/>
              <w:left w:w="0" w:type="dxa"/>
              <w:bottom w:w="30" w:type="dxa"/>
              <w:right w:w="20" w:type="dxa"/>
            </w:tcMar>
            <w:vAlign w:val="bottom"/>
            <w:hideMark/>
          </w:tcPr>
          <w:p w14:paraId="767F81A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9E2D3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39D53A" w14:textId="77777777" w:rsidR="00000000" w:rsidRDefault="00C1661D">
            <w:pPr>
              <w:spacing w:after="100"/>
              <w:jc w:val="right"/>
              <w:rPr>
                <w:rFonts w:eastAsia="Times New Roman"/>
              </w:rPr>
            </w:pPr>
            <w:r>
              <w:rPr>
                <w:rFonts w:eastAsia="Times New Roman"/>
                <w:color w:val="000000"/>
                <w:sz w:val="20"/>
                <w:szCs w:val="20"/>
              </w:rPr>
              <w:t>(21,870)</w:t>
            </w:r>
          </w:p>
        </w:tc>
        <w:tc>
          <w:tcPr>
            <w:tcW w:w="0" w:type="auto"/>
            <w:shd w:val="clear" w:color="auto" w:fill="FFFFFF"/>
            <w:tcMar>
              <w:top w:w="30" w:type="dxa"/>
              <w:left w:w="0" w:type="dxa"/>
              <w:bottom w:w="30" w:type="dxa"/>
              <w:right w:w="20" w:type="dxa"/>
            </w:tcMar>
            <w:vAlign w:val="bottom"/>
            <w:hideMark/>
          </w:tcPr>
          <w:p w14:paraId="2CB5CCAA" w14:textId="77777777" w:rsidR="00000000" w:rsidRDefault="00C1661D">
            <w:pPr>
              <w:spacing w:after="100"/>
              <w:jc w:val="right"/>
              <w:rPr>
                <w:rFonts w:eastAsia="Times New Roman"/>
              </w:rPr>
            </w:pPr>
          </w:p>
        </w:tc>
      </w:tr>
      <w:tr w:rsidR="00000000" w14:paraId="6BE456DB" w14:textId="77777777">
        <w:trPr>
          <w:divId w:val="1529834714"/>
        </w:trPr>
        <w:tc>
          <w:tcPr>
            <w:tcW w:w="0" w:type="auto"/>
            <w:gridSpan w:val="3"/>
            <w:shd w:val="clear" w:color="auto" w:fill="CCEEFF"/>
            <w:tcMar>
              <w:top w:w="30" w:type="dxa"/>
              <w:left w:w="20" w:type="dxa"/>
              <w:bottom w:w="30" w:type="dxa"/>
              <w:right w:w="20" w:type="dxa"/>
            </w:tcMar>
            <w:vAlign w:val="bottom"/>
            <w:hideMark/>
          </w:tcPr>
          <w:p w14:paraId="2EFA4F69" w14:textId="77777777" w:rsidR="00000000" w:rsidRDefault="00C1661D">
            <w:pPr>
              <w:spacing w:after="100"/>
              <w:rPr>
                <w:rFonts w:eastAsia="Times New Roman"/>
              </w:rPr>
            </w:pPr>
            <w:r>
              <w:rPr>
                <w:rFonts w:eastAsia="Times New Roman"/>
                <w:color w:val="000000"/>
                <w:sz w:val="20"/>
                <w:szCs w:val="20"/>
              </w:rPr>
              <w:t>Balance at Balance at September 30,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C53A99" w14:textId="77777777" w:rsidR="00000000" w:rsidRDefault="00C1661D">
            <w:pPr>
              <w:spacing w:after="100"/>
              <w:jc w:val="right"/>
              <w:rPr>
                <w:rFonts w:eastAsia="Times New Roman"/>
              </w:rPr>
            </w:pPr>
            <w:r>
              <w:rPr>
                <w:rFonts w:eastAsia="Times New Roman"/>
                <w:color w:val="000000"/>
                <w:sz w:val="20"/>
                <w:szCs w:val="20"/>
              </w:rPr>
              <w:t>220,000 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65D60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D17BB9"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846198" w14:textId="77777777" w:rsidR="00000000" w:rsidRDefault="00C1661D">
            <w:pPr>
              <w:spacing w:after="100"/>
              <w:jc w:val="right"/>
              <w:rPr>
                <w:rFonts w:eastAsia="Times New Roman"/>
              </w:rPr>
            </w:pPr>
            <w:r>
              <w:rPr>
                <w:rFonts w:eastAsia="Times New Roman"/>
                <w:color w:val="000000"/>
                <w:sz w:val="20"/>
                <w:szCs w:val="20"/>
              </w:rPr>
              <w:t>209,843,296 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A0C19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2F6845"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BFCB34" w14:textId="77777777" w:rsidR="00000000" w:rsidRDefault="00C1661D">
            <w:pPr>
              <w:spacing w:after="100"/>
              <w:jc w:val="right"/>
              <w:rPr>
                <w:rFonts w:eastAsia="Times New Roman"/>
              </w:rPr>
            </w:pPr>
            <w:r>
              <w:rPr>
                <w:rFonts w:eastAsia="Times New Roman"/>
                <w:color w:val="000000"/>
                <w:sz w:val="20"/>
                <w:szCs w:val="20"/>
              </w:rPr>
              <w:t>(627,161)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E33CD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A1F1BA"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C33C71" w14:textId="77777777" w:rsidR="00000000" w:rsidRDefault="00C1661D">
            <w:pPr>
              <w:spacing w:after="100"/>
              <w:jc w:val="right"/>
              <w:rPr>
                <w:rFonts w:eastAsia="Times New Roman"/>
              </w:rPr>
            </w:pPr>
            <w:r>
              <w:rPr>
                <w:rFonts w:eastAsia="Times New Roman"/>
                <w:color w:val="000000"/>
                <w:sz w:val="20"/>
                <w:szCs w:val="20"/>
              </w:rPr>
              <w:t>209,216,135 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F2AD05" w14:textId="77777777" w:rsidR="00000000" w:rsidRDefault="00C1661D">
            <w:pPr>
              <w:spacing w:after="100"/>
              <w:jc w:val="right"/>
              <w:rPr>
                <w:rFonts w:eastAsia="Times New Roman"/>
              </w:rPr>
            </w:pPr>
          </w:p>
        </w:tc>
      </w:tr>
      <w:tr w:rsidR="00000000" w14:paraId="27822912" w14:textId="77777777">
        <w:trPr>
          <w:divId w:val="1529834714"/>
        </w:trPr>
        <w:tc>
          <w:tcPr>
            <w:tcW w:w="0" w:type="auto"/>
            <w:gridSpan w:val="3"/>
            <w:shd w:val="clear" w:color="auto" w:fill="FFFFFF"/>
            <w:tcMar>
              <w:top w:w="30" w:type="dxa"/>
              <w:left w:w="20" w:type="dxa"/>
              <w:bottom w:w="30" w:type="dxa"/>
              <w:right w:w="20" w:type="dxa"/>
            </w:tcMar>
            <w:vAlign w:val="bottom"/>
            <w:hideMark/>
          </w:tcPr>
          <w:p w14:paraId="31E4F8AF" w14:textId="77777777" w:rsidR="00000000" w:rsidRDefault="00C1661D">
            <w:pPr>
              <w:spacing w:after="100"/>
              <w:rPr>
                <w:rFonts w:eastAsia="Times New Roman"/>
              </w:rPr>
            </w:pPr>
            <w:r>
              <w:rPr>
                <w:rFonts w:eastAsia="Times New Roman"/>
                <w:color w:val="000000"/>
                <w:sz w:val="20"/>
                <w:szCs w:val="20"/>
              </w:rPr>
              <w:t>Issued: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25256B"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195D88"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C25CDD9"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156D473"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B2118B7"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6FBE159F"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A505963" w14:textId="77777777" w:rsidR="00000000" w:rsidRDefault="00C1661D">
            <w:pPr>
              <w:spacing w:after="100"/>
              <w:rPr>
                <w:rFonts w:eastAsia="Times New Roman"/>
              </w:rPr>
            </w:pPr>
            <w:r>
              <w:rPr>
                <w:rFonts w:eastAsia="Times New Roman"/>
                <w:color w:val="000000"/>
                <w:sz w:val="20"/>
                <w:szCs w:val="20"/>
              </w:rPr>
              <w:t> </w:t>
            </w:r>
          </w:p>
        </w:tc>
      </w:tr>
      <w:tr w:rsidR="00000000" w14:paraId="245D935D" w14:textId="77777777">
        <w:trPr>
          <w:divId w:val="1529834714"/>
        </w:trPr>
        <w:tc>
          <w:tcPr>
            <w:tcW w:w="0" w:type="auto"/>
            <w:gridSpan w:val="3"/>
            <w:vAlign w:val="center"/>
            <w:hideMark/>
          </w:tcPr>
          <w:p w14:paraId="476E65EA" w14:textId="77777777" w:rsidR="00000000" w:rsidRDefault="00C1661D">
            <w:pPr>
              <w:spacing w:after="100"/>
              <w:rPr>
                <w:rFonts w:eastAsia="Times New Roman"/>
              </w:rPr>
            </w:pPr>
          </w:p>
        </w:tc>
        <w:tc>
          <w:tcPr>
            <w:tcW w:w="0" w:type="auto"/>
            <w:gridSpan w:val="3"/>
            <w:vAlign w:val="center"/>
            <w:hideMark/>
          </w:tcPr>
          <w:p w14:paraId="71489BB2" w14:textId="77777777" w:rsidR="00000000" w:rsidRDefault="00C1661D">
            <w:pPr>
              <w:spacing w:after="100"/>
              <w:rPr>
                <w:rFonts w:eastAsia="Times New Roman"/>
                <w:sz w:val="20"/>
                <w:szCs w:val="20"/>
              </w:rPr>
            </w:pPr>
          </w:p>
        </w:tc>
        <w:tc>
          <w:tcPr>
            <w:tcW w:w="0" w:type="auto"/>
            <w:gridSpan w:val="3"/>
            <w:vAlign w:val="center"/>
            <w:hideMark/>
          </w:tcPr>
          <w:p w14:paraId="0989E5C4" w14:textId="77777777" w:rsidR="00000000" w:rsidRDefault="00C1661D">
            <w:pPr>
              <w:spacing w:after="100"/>
              <w:rPr>
                <w:rFonts w:eastAsia="Times New Roman"/>
                <w:sz w:val="20"/>
                <w:szCs w:val="20"/>
              </w:rPr>
            </w:pPr>
          </w:p>
        </w:tc>
        <w:tc>
          <w:tcPr>
            <w:tcW w:w="0" w:type="auto"/>
            <w:gridSpan w:val="3"/>
            <w:vAlign w:val="center"/>
            <w:hideMark/>
          </w:tcPr>
          <w:p w14:paraId="0A404B7A" w14:textId="77777777" w:rsidR="00000000" w:rsidRDefault="00C1661D">
            <w:pPr>
              <w:spacing w:after="100"/>
              <w:rPr>
                <w:rFonts w:eastAsia="Times New Roman"/>
                <w:sz w:val="20"/>
                <w:szCs w:val="20"/>
              </w:rPr>
            </w:pPr>
          </w:p>
        </w:tc>
        <w:tc>
          <w:tcPr>
            <w:tcW w:w="0" w:type="auto"/>
            <w:gridSpan w:val="3"/>
            <w:vAlign w:val="center"/>
            <w:hideMark/>
          </w:tcPr>
          <w:p w14:paraId="5F9C2E6E" w14:textId="77777777" w:rsidR="00000000" w:rsidRDefault="00C1661D">
            <w:pPr>
              <w:spacing w:after="100"/>
              <w:rPr>
                <w:rFonts w:eastAsia="Times New Roman"/>
                <w:sz w:val="20"/>
                <w:szCs w:val="20"/>
              </w:rPr>
            </w:pPr>
          </w:p>
        </w:tc>
        <w:tc>
          <w:tcPr>
            <w:tcW w:w="0" w:type="auto"/>
            <w:gridSpan w:val="3"/>
            <w:vAlign w:val="center"/>
            <w:hideMark/>
          </w:tcPr>
          <w:p w14:paraId="05AE2B20" w14:textId="77777777" w:rsidR="00000000" w:rsidRDefault="00C1661D">
            <w:pPr>
              <w:spacing w:after="100"/>
              <w:rPr>
                <w:rFonts w:eastAsia="Times New Roman"/>
                <w:sz w:val="20"/>
                <w:szCs w:val="20"/>
              </w:rPr>
            </w:pPr>
          </w:p>
        </w:tc>
        <w:tc>
          <w:tcPr>
            <w:tcW w:w="0" w:type="auto"/>
            <w:gridSpan w:val="3"/>
            <w:vAlign w:val="center"/>
            <w:hideMark/>
          </w:tcPr>
          <w:p w14:paraId="05B91317" w14:textId="77777777" w:rsidR="00000000" w:rsidRDefault="00C1661D">
            <w:pPr>
              <w:spacing w:after="100"/>
              <w:rPr>
                <w:rFonts w:eastAsia="Times New Roman"/>
                <w:sz w:val="20"/>
                <w:szCs w:val="20"/>
              </w:rPr>
            </w:pPr>
          </w:p>
        </w:tc>
        <w:tc>
          <w:tcPr>
            <w:tcW w:w="0" w:type="auto"/>
            <w:gridSpan w:val="3"/>
            <w:vAlign w:val="center"/>
            <w:hideMark/>
          </w:tcPr>
          <w:p w14:paraId="281E1021" w14:textId="77777777" w:rsidR="00000000" w:rsidRDefault="00C1661D">
            <w:pPr>
              <w:spacing w:after="100"/>
              <w:rPr>
                <w:rFonts w:eastAsia="Times New Roman"/>
                <w:sz w:val="20"/>
                <w:szCs w:val="20"/>
              </w:rPr>
            </w:pPr>
          </w:p>
        </w:tc>
      </w:tr>
      <w:tr w:rsidR="00000000" w14:paraId="3E48EC8E" w14:textId="77777777">
        <w:trPr>
          <w:divId w:val="1529834714"/>
        </w:trPr>
        <w:tc>
          <w:tcPr>
            <w:tcW w:w="0" w:type="auto"/>
            <w:gridSpan w:val="3"/>
            <w:shd w:val="clear" w:color="auto" w:fill="CCEEFF"/>
            <w:tcMar>
              <w:top w:w="30" w:type="dxa"/>
              <w:left w:w="155" w:type="dxa"/>
              <w:bottom w:w="30" w:type="dxa"/>
              <w:right w:w="20" w:type="dxa"/>
            </w:tcMar>
            <w:vAlign w:val="bottom"/>
            <w:hideMark/>
          </w:tcPr>
          <w:p w14:paraId="34EB144D" w14:textId="77777777" w:rsidR="00000000" w:rsidRDefault="00C1661D">
            <w:pPr>
              <w:spacing w:after="100"/>
              <w:rPr>
                <w:rFonts w:eastAsia="Times New Roman"/>
              </w:rPr>
            </w:pPr>
            <w:r>
              <w:rPr>
                <w:rFonts w:eastAsia="Times New Roman"/>
                <w:color w:val="000000"/>
                <w:sz w:val="20"/>
                <w:szCs w:val="20"/>
              </w:rPr>
              <w:t>Employee and director plans</w:t>
            </w:r>
          </w:p>
        </w:tc>
        <w:tc>
          <w:tcPr>
            <w:tcW w:w="0" w:type="auto"/>
            <w:gridSpan w:val="2"/>
            <w:shd w:val="clear" w:color="auto" w:fill="CCEEFF"/>
            <w:tcMar>
              <w:top w:w="30" w:type="dxa"/>
              <w:left w:w="20" w:type="dxa"/>
              <w:bottom w:w="30" w:type="dxa"/>
              <w:right w:w="0" w:type="dxa"/>
            </w:tcMar>
            <w:vAlign w:val="bottom"/>
            <w:hideMark/>
          </w:tcPr>
          <w:p w14:paraId="3976ACAF"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CB7FD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F3C21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695FD9" w14:textId="77777777" w:rsidR="00000000" w:rsidRDefault="00C1661D">
            <w:pPr>
              <w:spacing w:after="100"/>
              <w:jc w:val="right"/>
              <w:rPr>
                <w:rFonts w:eastAsia="Times New Roman"/>
              </w:rPr>
            </w:pPr>
            <w:r>
              <w:rPr>
                <w:rFonts w:eastAsia="Times New Roman"/>
                <w:color w:val="000000"/>
                <w:sz w:val="20"/>
                <w:szCs w:val="20"/>
              </w:rPr>
              <w:t>717,198 </w:t>
            </w:r>
          </w:p>
        </w:tc>
        <w:tc>
          <w:tcPr>
            <w:tcW w:w="0" w:type="auto"/>
            <w:shd w:val="clear" w:color="auto" w:fill="CCEEFF"/>
            <w:tcMar>
              <w:top w:w="30" w:type="dxa"/>
              <w:left w:w="0" w:type="dxa"/>
              <w:bottom w:w="30" w:type="dxa"/>
              <w:right w:w="20" w:type="dxa"/>
            </w:tcMar>
            <w:vAlign w:val="bottom"/>
            <w:hideMark/>
          </w:tcPr>
          <w:p w14:paraId="588EAE7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C90D7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173599" w14:textId="77777777" w:rsidR="00000000" w:rsidRDefault="00C1661D">
            <w:pPr>
              <w:spacing w:after="100"/>
              <w:jc w:val="right"/>
              <w:rPr>
                <w:rFonts w:eastAsia="Times New Roman"/>
              </w:rPr>
            </w:pPr>
            <w:r>
              <w:rPr>
                <w:rFonts w:eastAsia="Times New Roman"/>
                <w:color w:val="000000"/>
                <w:sz w:val="20"/>
                <w:szCs w:val="20"/>
              </w:rPr>
              <w:t>799,152 </w:t>
            </w:r>
          </w:p>
        </w:tc>
        <w:tc>
          <w:tcPr>
            <w:tcW w:w="0" w:type="auto"/>
            <w:shd w:val="clear" w:color="auto" w:fill="CCEEFF"/>
            <w:tcMar>
              <w:top w:w="30" w:type="dxa"/>
              <w:left w:w="0" w:type="dxa"/>
              <w:bottom w:w="30" w:type="dxa"/>
              <w:right w:w="20" w:type="dxa"/>
            </w:tcMar>
            <w:vAlign w:val="bottom"/>
            <w:hideMark/>
          </w:tcPr>
          <w:p w14:paraId="7570099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2DE6D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FD8413" w14:textId="77777777" w:rsidR="00000000" w:rsidRDefault="00C1661D">
            <w:pPr>
              <w:spacing w:after="100"/>
              <w:jc w:val="right"/>
              <w:rPr>
                <w:rFonts w:eastAsia="Times New Roman"/>
              </w:rPr>
            </w:pPr>
            <w:r>
              <w:rPr>
                <w:rFonts w:eastAsia="Times New Roman"/>
                <w:color w:val="000000"/>
                <w:sz w:val="20"/>
                <w:szCs w:val="20"/>
              </w:rPr>
              <w:t>1,516,350 </w:t>
            </w:r>
          </w:p>
        </w:tc>
        <w:tc>
          <w:tcPr>
            <w:tcW w:w="0" w:type="auto"/>
            <w:shd w:val="clear" w:color="auto" w:fill="CCEEFF"/>
            <w:tcMar>
              <w:top w:w="30" w:type="dxa"/>
              <w:left w:w="0" w:type="dxa"/>
              <w:bottom w:w="30" w:type="dxa"/>
              <w:right w:w="20" w:type="dxa"/>
            </w:tcMar>
            <w:vAlign w:val="bottom"/>
            <w:hideMark/>
          </w:tcPr>
          <w:p w14:paraId="5DC088B2" w14:textId="77777777" w:rsidR="00000000" w:rsidRDefault="00C1661D">
            <w:pPr>
              <w:spacing w:after="100"/>
              <w:jc w:val="right"/>
              <w:rPr>
                <w:rFonts w:eastAsia="Times New Roman"/>
              </w:rPr>
            </w:pPr>
          </w:p>
        </w:tc>
      </w:tr>
      <w:tr w:rsidR="00000000" w14:paraId="1A4F9D4E" w14:textId="77777777">
        <w:trPr>
          <w:divId w:val="1529834714"/>
        </w:trPr>
        <w:tc>
          <w:tcPr>
            <w:tcW w:w="0" w:type="auto"/>
            <w:gridSpan w:val="3"/>
            <w:vAlign w:val="center"/>
            <w:hideMark/>
          </w:tcPr>
          <w:p w14:paraId="0EA7DFE7" w14:textId="77777777" w:rsidR="00000000" w:rsidRDefault="00C1661D">
            <w:pPr>
              <w:spacing w:after="100"/>
              <w:jc w:val="right"/>
              <w:rPr>
                <w:rFonts w:eastAsia="Times New Roman"/>
                <w:sz w:val="20"/>
                <w:szCs w:val="20"/>
              </w:rPr>
            </w:pPr>
          </w:p>
        </w:tc>
        <w:tc>
          <w:tcPr>
            <w:tcW w:w="0" w:type="auto"/>
            <w:gridSpan w:val="3"/>
            <w:vAlign w:val="center"/>
            <w:hideMark/>
          </w:tcPr>
          <w:p w14:paraId="59454C00" w14:textId="77777777" w:rsidR="00000000" w:rsidRDefault="00C1661D">
            <w:pPr>
              <w:spacing w:after="100"/>
              <w:rPr>
                <w:rFonts w:eastAsia="Times New Roman"/>
                <w:sz w:val="20"/>
                <w:szCs w:val="20"/>
              </w:rPr>
            </w:pPr>
          </w:p>
        </w:tc>
        <w:tc>
          <w:tcPr>
            <w:tcW w:w="0" w:type="auto"/>
            <w:gridSpan w:val="3"/>
            <w:vAlign w:val="center"/>
            <w:hideMark/>
          </w:tcPr>
          <w:p w14:paraId="528186D9" w14:textId="77777777" w:rsidR="00000000" w:rsidRDefault="00C1661D">
            <w:pPr>
              <w:spacing w:after="100"/>
              <w:rPr>
                <w:rFonts w:eastAsia="Times New Roman"/>
                <w:sz w:val="20"/>
                <w:szCs w:val="20"/>
              </w:rPr>
            </w:pPr>
          </w:p>
        </w:tc>
        <w:tc>
          <w:tcPr>
            <w:tcW w:w="0" w:type="auto"/>
            <w:gridSpan w:val="3"/>
            <w:vAlign w:val="center"/>
            <w:hideMark/>
          </w:tcPr>
          <w:p w14:paraId="4E1F0D6B" w14:textId="77777777" w:rsidR="00000000" w:rsidRDefault="00C1661D">
            <w:pPr>
              <w:spacing w:after="100"/>
              <w:rPr>
                <w:rFonts w:eastAsia="Times New Roman"/>
                <w:sz w:val="20"/>
                <w:szCs w:val="20"/>
              </w:rPr>
            </w:pPr>
          </w:p>
        </w:tc>
        <w:tc>
          <w:tcPr>
            <w:tcW w:w="0" w:type="auto"/>
            <w:gridSpan w:val="3"/>
            <w:vAlign w:val="center"/>
            <w:hideMark/>
          </w:tcPr>
          <w:p w14:paraId="1852B2DE" w14:textId="77777777" w:rsidR="00000000" w:rsidRDefault="00C1661D">
            <w:pPr>
              <w:spacing w:after="100"/>
              <w:rPr>
                <w:rFonts w:eastAsia="Times New Roman"/>
                <w:sz w:val="20"/>
                <w:szCs w:val="20"/>
              </w:rPr>
            </w:pPr>
          </w:p>
        </w:tc>
        <w:tc>
          <w:tcPr>
            <w:tcW w:w="0" w:type="auto"/>
            <w:gridSpan w:val="3"/>
            <w:vAlign w:val="center"/>
            <w:hideMark/>
          </w:tcPr>
          <w:p w14:paraId="37A49ED4" w14:textId="77777777" w:rsidR="00000000" w:rsidRDefault="00C1661D">
            <w:pPr>
              <w:spacing w:after="100"/>
              <w:rPr>
                <w:rFonts w:eastAsia="Times New Roman"/>
                <w:sz w:val="20"/>
                <w:szCs w:val="20"/>
              </w:rPr>
            </w:pPr>
          </w:p>
        </w:tc>
        <w:tc>
          <w:tcPr>
            <w:tcW w:w="0" w:type="auto"/>
            <w:gridSpan w:val="3"/>
            <w:vAlign w:val="center"/>
            <w:hideMark/>
          </w:tcPr>
          <w:p w14:paraId="416DFCFD" w14:textId="77777777" w:rsidR="00000000" w:rsidRDefault="00C1661D">
            <w:pPr>
              <w:spacing w:after="100"/>
              <w:rPr>
                <w:rFonts w:eastAsia="Times New Roman"/>
                <w:sz w:val="20"/>
                <w:szCs w:val="20"/>
              </w:rPr>
            </w:pPr>
          </w:p>
        </w:tc>
        <w:tc>
          <w:tcPr>
            <w:tcW w:w="0" w:type="auto"/>
            <w:gridSpan w:val="3"/>
            <w:vAlign w:val="center"/>
            <w:hideMark/>
          </w:tcPr>
          <w:p w14:paraId="338F44D0" w14:textId="77777777" w:rsidR="00000000" w:rsidRDefault="00C1661D">
            <w:pPr>
              <w:spacing w:after="100"/>
              <w:rPr>
                <w:rFonts w:eastAsia="Times New Roman"/>
                <w:sz w:val="20"/>
                <w:szCs w:val="20"/>
              </w:rPr>
            </w:pPr>
          </w:p>
        </w:tc>
      </w:tr>
      <w:tr w:rsidR="00000000" w14:paraId="5036FCC3" w14:textId="77777777">
        <w:trPr>
          <w:divId w:val="1529834714"/>
        </w:trPr>
        <w:tc>
          <w:tcPr>
            <w:tcW w:w="0" w:type="auto"/>
            <w:gridSpan w:val="3"/>
            <w:shd w:val="clear" w:color="auto" w:fill="FFFFFF"/>
            <w:tcMar>
              <w:top w:w="30" w:type="dxa"/>
              <w:left w:w="20" w:type="dxa"/>
              <w:bottom w:w="30" w:type="dxa"/>
              <w:right w:w="20" w:type="dxa"/>
            </w:tcMar>
            <w:vAlign w:val="bottom"/>
            <w:hideMark/>
          </w:tcPr>
          <w:p w14:paraId="7B528695" w14:textId="77777777" w:rsidR="00000000" w:rsidRDefault="00C1661D">
            <w:pPr>
              <w:spacing w:after="100"/>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14:paraId="28020CBF"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1AFD6B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CD612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150F6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FBB98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9773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2F4689" w14:textId="77777777" w:rsidR="00000000" w:rsidRDefault="00C1661D">
            <w:pPr>
              <w:spacing w:after="100"/>
              <w:jc w:val="right"/>
              <w:rPr>
                <w:rFonts w:eastAsia="Times New Roman"/>
              </w:rPr>
            </w:pPr>
            <w:r>
              <w:rPr>
                <w:rFonts w:eastAsia="Times New Roman"/>
                <w:color w:val="000000"/>
                <w:sz w:val="20"/>
                <w:szCs w:val="20"/>
              </w:rPr>
              <w:t>(900,000)</w:t>
            </w:r>
          </w:p>
        </w:tc>
        <w:tc>
          <w:tcPr>
            <w:tcW w:w="0" w:type="auto"/>
            <w:shd w:val="clear" w:color="auto" w:fill="FFFFFF"/>
            <w:tcMar>
              <w:top w:w="30" w:type="dxa"/>
              <w:left w:w="0" w:type="dxa"/>
              <w:bottom w:w="30" w:type="dxa"/>
              <w:right w:w="20" w:type="dxa"/>
            </w:tcMar>
            <w:vAlign w:val="bottom"/>
            <w:hideMark/>
          </w:tcPr>
          <w:p w14:paraId="0BB1A92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B3C7B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008873" w14:textId="77777777" w:rsidR="00000000" w:rsidRDefault="00C1661D">
            <w:pPr>
              <w:spacing w:after="100"/>
              <w:jc w:val="right"/>
              <w:rPr>
                <w:rFonts w:eastAsia="Times New Roman"/>
              </w:rPr>
            </w:pPr>
            <w:r>
              <w:rPr>
                <w:rFonts w:eastAsia="Times New Roman"/>
                <w:color w:val="000000"/>
                <w:sz w:val="20"/>
                <w:szCs w:val="20"/>
              </w:rPr>
              <w:t>(900,000)</w:t>
            </w:r>
          </w:p>
        </w:tc>
        <w:tc>
          <w:tcPr>
            <w:tcW w:w="0" w:type="auto"/>
            <w:shd w:val="clear" w:color="auto" w:fill="FFFFFF"/>
            <w:tcMar>
              <w:top w:w="30" w:type="dxa"/>
              <w:left w:w="0" w:type="dxa"/>
              <w:bottom w:w="30" w:type="dxa"/>
              <w:right w:w="20" w:type="dxa"/>
            </w:tcMar>
            <w:vAlign w:val="bottom"/>
            <w:hideMark/>
          </w:tcPr>
          <w:p w14:paraId="4C7F71A1" w14:textId="77777777" w:rsidR="00000000" w:rsidRDefault="00C1661D">
            <w:pPr>
              <w:spacing w:after="100"/>
              <w:jc w:val="right"/>
              <w:rPr>
                <w:rFonts w:eastAsia="Times New Roman"/>
              </w:rPr>
            </w:pPr>
          </w:p>
        </w:tc>
      </w:tr>
      <w:tr w:rsidR="00000000" w14:paraId="18C45BFE" w14:textId="77777777">
        <w:trPr>
          <w:divId w:val="1529834714"/>
        </w:trPr>
        <w:tc>
          <w:tcPr>
            <w:tcW w:w="0" w:type="auto"/>
            <w:gridSpan w:val="3"/>
            <w:shd w:val="clear" w:color="auto" w:fill="CCEEFF"/>
            <w:tcMar>
              <w:top w:w="30" w:type="dxa"/>
              <w:left w:w="20" w:type="dxa"/>
              <w:bottom w:w="30" w:type="dxa"/>
              <w:right w:w="20" w:type="dxa"/>
            </w:tcMar>
            <w:vAlign w:val="bottom"/>
            <w:hideMark/>
          </w:tcPr>
          <w:p w14:paraId="688BA56C" w14:textId="77777777" w:rsidR="00000000" w:rsidRDefault="00C1661D">
            <w:pPr>
              <w:spacing w:after="100"/>
              <w:rPr>
                <w:rFonts w:eastAsia="Times New Roman"/>
              </w:rPr>
            </w:pPr>
            <w:r>
              <w:rPr>
                <w:rFonts w:eastAsia="Times New Roman"/>
                <w:color w:val="000000"/>
                <w:sz w:val="20"/>
                <w:szCs w:val="20"/>
              </w:rPr>
              <w:t xml:space="preserve">Reacquired common stock – </w:t>
            </w:r>
            <w:r>
              <w:rPr>
                <w:rFonts w:eastAsia="Times New Roman"/>
                <w:color w:val="000000"/>
                <w:sz w:val="20"/>
                <w:szCs w:val="20"/>
              </w:rPr>
              <w:t>employee and director plans</w:t>
            </w:r>
          </w:p>
        </w:tc>
        <w:tc>
          <w:tcPr>
            <w:tcW w:w="0" w:type="auto"/>
            <w:gridSpan w:val="2"/>
            <w:shd w:val="clear" w:color="auto" w:fill="CCEEFF"/>
            <w:tcMar>
              <w:top w:w="30" w:type="dxa"/>
              <w:left w:w="20" w:type="dxa"/>
              <w:bottom w:w="30" w:type="dxa"/>
              <w:right w:w="0" w:type="dxa"/>
            </w:tcMar>
            <w:vAlign w:val="bottom"/>
            <w:hideMark/>
          </w:tcPr>
          <w:p w14:paraId="5055FF3E"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E2DD3A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1D774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7493F6"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5D29A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4752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DEAEC3" w14:textId="77777777" w:rsidR="00000000" w:rsidRDefault="00C1661D">
            <w:pPr>
              <w:spacing w:after="100"/>
              <w:jc w:val="right"/>
              <w:rPr>
                <w:rFonts w:eastAsia="Times New Roman"/>
              </w:rPr>
            </w:pPr>
            <w:r>
              <w:rPr>
                <w:rFonts w:eastAsia="Times New Roman"/>
                <w:color w:val="000000"/>
                <w:sz w:val="20"/>
                <w:szCs w:val="20"/>
              </w:rPr>
              <w:t>(250,273)</w:t>
            </w:r>
          </w:p>
        </w:tc>
        <w:tc>
          <w:tcPr>
            <w:tcW w:w="0" w:type="auto"/>
            <w:shd w:val="clear" w:color="auto" w:fill="CCEEFF"/>
            <w:tcMar>
              <w:top w:w="30" w:type="dxa"/>
              <w:left w:w="0" w:type="dxa"/>
              <w:bottom w:w="30" w:type="dxa"/>
              <w:right w:w="20" w:type="dxa"/>
            </w:tcMar>
            <w:vAlign w:val="bottom"/>
            <w:hideMark/>
          </w:tcPr>
          <w:p w14:paraId="48E329A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C2026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E3D4C2" w14:textId="77777777" w:rsidR="00000000" w:rsidRDefault="00C1661D">
            <w:pPr>
              <w:spacing w:after="100"/>
              <w:jc w:val="right"/>
              <w:rPr>
                <w:rFonts w:eastAsia="Times New Roman"/>
              </w:rPr>
            </w:pPr>
            <w:r>
              <w:rPr>
                <w:rFonts w:eastAsia="Times New Roman"/>
                <w:color w:val="000000"/>
                <w:sz w:val="20"/>
                <w:szCs w:val="20"/>
              </w:rPr>
              <w:t>(250,273)</w:t>
            </w:r>
          </w:p>
        </w:tc>
        <w:tc>
          <w:tcPr>
            <w:tcW w:w="0" w:type="auto"/>
            <w:shd w:val="clear" w:color="auto" w:fill="CCEEFF"/>
            <w:tcMar>
              <w:top w:w="30" w:type="dxa"/>
              <w:left w:w="0" w:type="dxa"/>
              <w:bottom w:w="30" w:type="dxa"/>
              <w:right w:w="20" w:type="dxa"/>
            </w:tcMar>
            <w:vAlign w:val="bottom"/>
            <w:hideMark/>
          </w:tcPr>
          <w:p w14:paraId="0D65E30F" w14:textId="77777777" w:rsidR="00000000" w:rsidRDefault="00C1661D">
            <w:pPr>
              <w:spacing w:after="100"/>
              <w:jc w:val="right"/>
              <w:rPr>
                <w:rFonts w:eastAsia="Times New Roman"/>
              </w:rPr>
            </w:pPr>
          </w:p>
        </w:tc>
      </w:tr>
      <w:tr w:rsidR="00000000" w14:paraId="7F4E548F" w14:textId="77777777">
        <w:trPr>
          <w:divId w:val="1529834714"/>
        </w:trPr>
        <w:tc>
          <w:tcPr>
            <w:tcW w:w="0" w:type="auto"/>
            <w:gridSpan w:val="3"/>
            <w:shd w:val="clear" w:color="auto" w:fill="FFFFFF"/>
            <w:tcMar>
              <w:top w:w="30" w:type="dxa"/>
              <w:left w:w="20" w:type="dxa"/>
              <w:bottom w:w="30" w:type="dxa"/>
              <w:right w:w="20" w:type="dxa"/>
            </w:tcMar>
            <w:vAlign w:val="bottom"/>
            <w:hideMark/>
          </w:tcPr>
          <w:p w14:paraId="4009D2D3" w14:textId="77777777" w:rsidR="00000000" w:rsidRDefault="00C1661D">
            <w:pPr>
              <w:spacing w:after="100"/>
              <w:rPr>
                <w:rFonts w:eastAsia="Times New Roman"/>
              </w:rPr>
            </w:pPr>
            <w:r>
              <w:rPr>
                <w:rFonts w:eastAsia="Times New Roman"/>
                <w:color w:val="000000"/>
                <w:sz w:val="20"/>
                <w:szCs w:val="20"/>
              </w:rPr>
              <w:t>Balance at September 30, 2022</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53E9C14B" w14:textId="77777777" w:rsidR="00000000" w:rsidRDefault="00C1661D">
            <w:pPr>
              <w:spacing w:after="100"/>
              <w:jc w:val="right"/>
              <w:rPr>
                <w:rFonts w:eastAsia="Times New Roman"/>
              </w:rPr>
            </w:pPr>
            <w:r>
              <w:rPr>
                <w:rFonts w:eastAsia="Times New Roman"/>
                <w:color w:val="000000"/>
                <w:sz w:val="20"/>
                <w:szCs w:val="20"/>
              </w:rPr>
              <w:t>220,000 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49A92F8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0A98D" w14:textId="77777777" w:rsidR="00000000" w:rsidRDefault="00C1661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1AC574D2" w14:textId="77777777" w:rsidR="00000000" w:rsidRDefault="00C1661D">
            <w:pPr>
              <w:spacing w:after="100"/>
              <w:jc w:val="right"/>
              <w:rPr>
                <w:rFonts w:eastAsia="Times New Roman"/>
              </w:rPr>
            </w:pPr>
            <w:r>
              <w:rPr>
                <w:rFonts w:eastAsia="Times New Roman"/>
                <w:color w:val="000000"/>
                <w:sz w:val="20"/>
                <w:szCs w:val="20"/>
              </w:rPr>
              <w:t>210,560,494 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241F53A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95D26" w14:textId="77777777" w:rsidR="00000000" w:rsidRDefault="00C1661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0DD76415" w14:textId="77777777" w:rsidR="00000000" w:rsidRDefault="00C1661D">
            <w:pPr>
              <w:spacing w:after="100"/>
              <w:jc w:val="right"/>
              <w:rPr>
                <w:rFonts w:eastAsia="Times New Roman"/>
              </w:rPr>
            </w:pPr>
            <w:r>
              <w:rPr>
                <w:rFonts w:eastAsia="Times New Roman"/>
                <w:color w:val="000000"/>
                <w:sz w:val="20"/>
                <w:szCs w:val="20"/>
              </w:rPr>
              <w:t>(978,282)</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1B2734F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2808E7" w14:textId="77777777" w:rsidR="00000000" w:rsidRDefault="00C1661D">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7CEA5497" w14:textId="77777777" w:rsidR="00000000" w:rsidRDefault="00C1661D">
            <w:pPr>
              <w:spacing w:after="100"/>
              <w:jc w:val="right"/>
              <w:rPr>
                <w:rFonts w:eastAsia="Times New Roman"/>
              </w:rPr>
            </w:pPr>
            <w:r>
              <w:rPr>
                <w:rFonts w:eastAsia="Times New Roman"/>
                <w:color w:val="000000"/>
                <w:sz w:val="20"/>
                <w:szCs w:val="20"/>
              </w:rPr>
              <w:t>209,582,212 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44BC1A6B" w14:textId="77777777" w:rsidR="00000000" w:rsidRDefault="00C1661D">
            <w:pPr>
              <w:spacing w:after="100"/>
              <w:jc w:val="right"/>
              <w:rPr>
                <w:rFonts w:eastAsia="Times New Roman"/>
              </w:rPr>
            </w:pPr>
          </w:p>
        </w:tc>
      </w:tr>
    </w:tbl>
    <w:p w14:paraId="7B0EDC0B" w14:textId="77777777" w:rsidR="00000000" w:rsidRDefault="00C1661D">
      <w:pPr>
        <w:jc w:val="both"/>
        <w:divId w:val="428165672"/>
        <w:rPr>
          <w:rFonts w:eastAsia="Times New Roman"/>
        </w:rPr>
      </w:pPr>
      <w:r>
        <w:rPr>
          <w:rFonts w:eastAsia="Times New Roman"/>
          <w:color w:val="000000"/>
          <w:sz w:val="20"/>
          <w:szCs w:val="20"/>
        </w:rPr>
        <w:t>UGI also has 5,000,000 shares of UGI Series </w:t>
      </w:r>
      <w:r>
        <w:rPr>
          <w:rFonts w:eastAsia="Times New Roman"/>
          <w:color w:val="000000"/>
          <w:sz w:val="20"/>
          <w:szCs w:val="20"/>
        </w:rPr>
        <w:t>Preference Stock authorized for issuance. UGI had no shares of UGI Series Preference Stock outstanding at September 30, 2022 or 2021.</w:t>
      </w:r>
    </w:p>
    <w:p w14:paraId="041C99FF" w14:textId="77777777" w:rsidR="00000000" w:rsidRDefault="00C1661D">
      <w:pPr>
        <w:jc w:val="both"/>
        <w:rPr>
          <w:rFonts w:eastAsia="Times New Roman"/>
        </w:rPr>
      </w:pPr>
    </w:p>
    <w:p w14:paraId="584C72D3" w14:textId="77777777" w:rsidR="00000000" w:rsidRDefault="00C1661D">
      <w:pPr>
        <w:jc w:val="both"/>
        <w:rPr>
          <w:rFonts w:eastAsia="Times New Roman"/>
        </w:rPr>
      </w:pPr>
      <w:r>
        <w:rPr>
          <w:rFonts w:eastAsia="Times New Roman"/>
          <w:b/>
          <w:bCs/>
          <w:color w:val="000000"/>
          <w:sz w:val="20"/>
          <w:szCs w:val="20"/>
        </w:rPr>
        <w:t>Issuance of Equity Units</w:t>
      </w:r>
    </w:p>
    <w:p w14:paraId="07DDE26C" w14:textId="77777777" w:rsidR="00000000" w:rsidRDefault="00C1661D">
      <w:pPr>
        <w:jc w:val="both"/>
        <w:divId w:val="2017268943"/>
        <w:rPr>
          <w:rFonts w:eastAsia="Times New Roman"/>
        </w:rPr>
      </w:pPr>
      <w:r>
        <w:rPr>
          <w:rFonts w:eastAsia="Times New Roman"/>
          <w:color w:val="000000"/>
          <w:sz w:val="20"/>
          <w:szCs w:val="20"/>
        </w:rPr>
        <w:t>On May 25, 2021, the Company issued 2.2 million Equity Units with a total notional value of $22</w:t>
      </w:r>
      <w:r>
        <w:rPr>
          <w:rFonts w:eastAsia="Times New Roman"/>
          <w:color w:val="000000"/>
          <w:sz w:val="20"/>
          <w:szCs w:val="20"/>
        </w:rPr>
        <w:t>0. Each Equity Unit has a stated amount of $100 and consists of (i) a 10% undivided beneficial ownership interest in one share of Convertible Preferred Stock with a liquidation preference of $1,000 per share and (ii) a 2024 Purchase Contract. The Company r</w:t>
      </w:r>
      <w:r>
        <w:rPr>
          <w:rFonts w:eastAsia="Times New Roman"/>
          <w:color w:val="000000"/>
          <w:sz w:val="20"/>
          <w:szCs w:val="20"/>
        </w:rPr>
        <w:t>eceived approximately $213 of proceeds from the issuance of the Equity Units, net of offering expenses and underwriting costs and commissions, and issued 220,000 shares of Convertible Preferred Stock which was recorded in “Preferred stock” on the accompany</w:t>
      </w:r>
      <w:r>
        <w:rPr>
          <w:rFonts w:eastAsia="Times New Roman"/>
          <w:color w:val="000000"/>
          <w:sz w:val="20"/>
          <w:szCs w:val="20"/>
        </w:rPr>
        <w:t>ing Consolidated Balance Sheet. The proceeds were used to pay a portion of the purchase price for the Mountaineer Acquisition and related fees and expenses, and for general corporate purposes. During the second quarter of Fiscal 2022, the Company reclassif</w:t>
      </w:r>
      <w:r>
        <w:rPr>
          <w:rFonts w:eastAsia="Times New Roman"/>
          <w:color w:val="000000"/>
          <w:sz w:val="20"/>
          <w:szCs w:val="20"/>
        </w:rPr>
        <w:t xml:space="preserve">ied certain amounts on the Consolidated Balance Sheet and Consolidated Statement of Changes in Equity related to the accounting for the Equity Units. </w:t>
      </w:r>
    </w:p>
    <w:p w14:paraId="6643ED93" w14:textId="77777777" w:rsidR="00000000" w:rsidRDefault="00C1661D">
      <w:pPr>
        <w:jc w:val="both"/>
        <w:rPr>
          <w:rFonts w:eastAsia="Times New Roman"/>
        </w:rPr>
      </w:pPr>
    </w:p>
    <w:p w14:paraId="56FDFDE9" w14:textId="77777777" w:rsidR="00000000" w:rsidRDefault="00C1661D">
      <w:pPr>
        <w:jc w:val="both"/>
        <w:rPr>
          <w:rFonts w:eastAsia="Times New Roman"/>
        </w:rPr>
      </w:pPr>
      <w:r>
        <w:rPr>
          <w:rFonts w:eastAsia="Times New Roman"/>
          <w:b/>
          <w:bCs/>
          <w:i/>
          <w:iCs/>
          <w:color w:val="000000"/>
          <w:sz w:val="20"/>
          <w:szCs w:val="20"/>
        </w:rPr>
        <w:t>Convertible Preferred Stock.</w:t>
      </w:r>
      <w:r>
        <w:rPr>
          <w:rFonts w:eastAsia="Times New Roman"/>
          <w:color w:val="000000"/>
          <w:sz w:val="20"/>
          <w:szCs w:val="20"/>
        </w:rPr>
        <w:t xml:space="preserve"> Holders of the Convertible Preferred Stock will generally have no voting r</w:t>
      </w:r>
      <w:r>
        <w:rPr>
          <w:rFonts w:eastAsia="Times New Roman"/>
          <w:color w:val="000000"/>
          <w:sz w:val="20"/>
          <w:szCs w:val="20"/>
        </w:rPr>
        <w:t>ights, except under the limited circumstances as described in the Equity Unit Agreements, and will be entitled to receive cumulative dividends at an initial annual rate of 0.125% when, as, and if declared by the UGI Board of Directors, payable quarterly in</w:t>
      </w:r>
      <w:r>
        <w:rPr>
          <w:rFonts w:eastAsia="Times New Roman"/>
          <w:color w:val="000000"/>
          <w:sz w:val="20"/>
          <w:szCs w:val="20"/>
        </w:rPr>
        <w:t xml:space="preserve"> arrears on March 1, June 1, September 1 and December 1, commencing September 1, 2021. The Company may elect to pay such dividends in cash, shares of UGI’s common stock or a combination of cash and shares of UGI’s common stock. Unless all accumulated and u</w:t>
      </w:r>
      <w:r>
        <w:rPr>
          <w:rFonts w:eastAsia="Times New Roman"/>
          <w:color w:val="000000"/>
          <w:sz w:val="20"/>
          <w:szCs w:val="20"/>
        </w:rPr>
        <w:t>npaid dividends on the Convertible Preferred Stock for prior completed dividend periods have been declared and paid, the Company may not make any distributions on, or repurchase, any of its capital stock ranking equal or junior to the Convertible Preferred</w:t>
      </w:r>
      <w:r>
        <w:rPr>
          <w:rFonts w:eastAsia="Times New Roman"/>
          <w:color w:val="000000"/>
          <w:sz w:val="20"/>
          <w:szCs w:val="20"/>
        </w:rPr>
        <w:t xml:space="preserve"> Stock as to dividends or upon liquidation, subject to certain exceptions.</w:t>
      </w:r>
    </w:p>
    <w:p w14:paraId="6902C7DB" w14:textId="77777777" w:rsidR="00000000" w:rsidRDefault="00C1661D">
      <w:pPr>
        <w:jc w:val="both"/>
        <w:rPr>
          <w:rFonts w:eastAsia="Times New Roman"/>
        </w:rPr>
      </w:pPr>
    </w:p>
    <w:p w14:paraId="2ABA1233" w14:textId="77777777" w:rsidR="00000000" w:rsidRDefault="00C1661D">
      <w:pPr>
        <w:jc w:val="both"/>
        <w:rPr>
          <w:rFonts w:eastAsia="Times New Roman"/>
        </w:rPr>
      </w:pPr>
      <w:r>
        <w:rPr>
          <w:rFonts w:eastAsia="Times New Roman"/>
          <w:color w:val="000000"/>
          <w:sz w:val="20"/>
          <w:szCs w:val="20"/>
        </w:rPr>
        <w:t>The Convertible Preferred Stock has no maturity date and will remain outstanding unless converted by holders or redeemed by the Company. The Company has the option to redeem all o</w:t>
      </w:r>
      <w:r>
        <w:rPr>
          <w:rFonts w:eastAsia="Times New Roman"/>
          <w:color w:val="000000"/>
          <w:sz w:val="20"/>
          <w:szCs w:val="20"/>
        </w:rPr>
        <w:t xml:space="preserve">r a portion of the Convertible Preferred Stock at any time, and from time to time, on or after September 3, 2024, for cash at a redemption price equal to the liquidation preference of the Convertible Preferred Stock being redeemed plus any accumulated and </w:t>
      </w:r>
      <w:r>
        <w:rPr>
          <w:rFonts w:eastAsia="Times New Roman"/>
          <w:color w:val="000000"/>
          <w:sz w:val="20"/>
          <w:szCs w:val="20"/>
        </w:rPr>
        <w:t>unpaid dividends. Each share of Convertible Preferred Stock may be converted at the option of the holders on and after June 1, 2024, only after it has been separated from the Equity Units and, prior to June 1, 2024, only under limited circumstances in conn</w:t>
      </w:r>
      <w:r>
        <w:rPr>
          <w:rFonts w:eastAsia="Times New Roman"/>
          <w:color w:val="000000"/>
          <w:sz w:val="20"/>
          <w:szCs w:val="20"/>
        </w:rPr>
        <w:t xml:space="preserve">ection with a fundamental change, as defined in the Equity Unit </w:t>
      </w:r>
    </w:p>
    <w:p w14:paraId="3F58E8BF" w14:textId="77777777" w:rsidR="00000000" w:rsidRDefault="00C1661D">
      <w:pPr>
        <w:jc w:val="center"/>
        <w:divId w:val="1146819039"/>
        <w:rPr>
          <w:rFonts w:eastAsia="Times New Roman"/>
        </w:rPr>
      </w:pPr>
      <w:r>
        <w:rPr>
          <w:rFonts w:eastAsia="Times New Roman"/>
          <w:color w:val="000000"/>
          <w:sz w:val="20"/>
          <w:szCs w:val="20"/>
        </w:rPr>
        <w:t>F-43</w:t>
      </w:r>
    </w:p>
    <w:p w14:paraId="50E5C665" w14:textId="77777777" w:rsidR="00000000" w:rsidRDefault="00C1661D">
      <w:pPr>
        <w:rPr>
          <w:rFonts w:eastAsia="Times New Roman"/>
        </w:rPr>
      </w:pPr>
      <w:r>
        <w:rPr>
          <w:rFonts w:eastAsia="Times New Roman"/>
        </w:rPr>
        <w:pict w14:anchorId="2A0D5813">
          <v:rect id="_x0000_i1156" style="width:0;height:1.5pt" o:hralign="center" o:hrstd="t" o:hr="t" fillcolor="#a0a0a0" stroked="f"/>
        </w:pict>
      </w:r>
    </w:p>
    <w:p w14:paraId="19F8F6D2" w14:textId="77777777" w:rsidR="00000000" w:rsidRDefault="00C1661D">
      <w:pPr>
        <w:divId w:val="1247836320"/>
        <w:rPr>
          <w:rFonts w:eastAsia="Times New Roman"/>
        </w:rPr>
      </w:pPr>
      <w:hyperlink w:anchor="i3850c3c6c0104e42b9951aac2f16098a_7" w:history="1">
        <w:r>
          <w:rPr>
            <w:rStyle w:val="a3"/>
            <w:rFonts w:eastAsia="Times New Roman"/>
            <w:sz w:val="20"/>
            <w:szCs w:val="20"/>
          </w:rPr>
          <w:t>Table of Contents</w:t>
        </w:r>
      </w:hyperlink>
    </w:p>
    <w:p w14:paraId="7F219FDD" w14:textId="77777777" w:rsidR="00000000" w:rsidRDefault="00C1661D">
      <w:pPr>
        <w:divId w:val="789858189"/>
        <w:rPr>
          <w:rFonts w:eastAsia="Times New Roman"/>
        </w:rPr>
      </w:pPr>
      <w:r>
        <w:rPr>
          <w:rFonts w:eastAsia="Times New Roman"/>
          <w:b/>
          <w:bCs/>
          <w:color w:val="000000"/>
          <w:sz w:val="20"/>
          <w:szCs w:val="20"/>
        </w:rPr>
        <w:t>UGI Corporation and Subsidiaries</w:t>
      </w:r>
    </w:p>
    <w:p w14:paraId="47FEEFB9" w14:textId="77777777" w:rsidR="00000000" w:rsidRDefault="00C1661D">
      <w:pPr>
        <w:divId w:val="2026905838"/>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1A3F7196" w14:textId="77777777" w:rsidR="00000000" w:rsidRDefault="00C1661D">
      <w:pPr>
        <w:divId w:val="1792432882"/>
        <w:rPr>
          <w:rFonts w:eastAsia="Times New Roman"/>
        </w:rPr>
      </w:pPr>
      <w:r>
        <w:rPr>
          <w:rFonts w:eastAsia="Times New Roman"/>
          <w:color w:val="000000"/>
          <w:sz w:val="20"/>
          <w:szCs w:val="20"/>
        </w:rPr>
        <w:t>(Currency in millions, except per share amounts and where indicated otherwise)</w:t>
      </w:r>
    </w:p>
    <w:p w14:paraId="0EF5581E" w14:textId="77777777" w:rsidR="00000000" w:rsidRDefault="00C1661D">
      <w:pPr>
        <w:jc w:val="both"/>
        <w:rPr>
          <w:rFonts w:eastAsia="Times New Roman"/>
        </w:rPr>
      </w:pPr>
      <w:r>
        <w:rPr>
          <w:rFonts w:eastAsia="Times New Roman"/>
          <w:color w:val="000000"/>
          <w:sz w:val="20"/>
          <w:szCs w:val="20"/>
        </w:rPr>
        <w:t>Agreements. The Company will settle conversions by paying or delivering (i) one share of UGI’s 0.125</w:t>
      </w:r>
      <w:r>
        <w:rPr>
          <w:rFonts w:eastAsia="Times New Roman"/>
          <w:color w:val="000000"/>
          <w:sz w:val="20"/>
          <w:szCs w:val="20"/>
        </w:rPr>
        <w:t>% Series B preferred stock (or, for conversions in connection with a redemption of the Convertible Preferred Stock, up to $1,000 per share in cash plus all accumulated but unpaid dividends to, but excluding, the payment date immediately preceding the relev</w:t>
      </w:r>
      <w:r>
        <w:rPr>
          <w:rFonts w:eastAsia="Times New Roman"/>
          <w:color w:val="000000"/>
          <w:sz w:val="20"/>
          <w:szCs w:val="20"/>
        </w:rPr>
        <w:t>ant conversion date) per share of Convertible Preferred Stock being converted; and (ii) to the extent the conversion value exceeds the liquidation preference of the Convertible Preferred Stock, shares of UGI’s common stock. The conversion rate is initially</w:t>
      </w:r>
      <w:r>
        <w:rPr>
          <w:rFonts w:eastAsia="Times New Roman"/>
          <w:color w:val="000000"/>
          <w:sz w:val="20"/>
          <w:szCs w:val="20"/>
        </w:rPr>
        <w:t xml:space="preserve"> 19.0215 shares of UGI’s common stock per one share of Convertible Preferred Stock, which is equivalent to an initial conversion price of approximately $52.57 per share of UGI’s common stock. At September 30, 2022 and 2021, there were 220,000 shares of Ser</w:t>
      </w:r>
      <w:r>
        <w:rPr>
          <w:rFonts w:eastAsia="Times New Roman"/>
          <w:color w:val="000000"/>
          <w:sz w:val="20"/>
          <w:szCs w:val="20"/>
        </w:rPr>
        <w:t>ies B preferred stock authorized for issuance pursuant to the settlement terms discussed above.</w:t>
      </w:r>
    </w:p>
    <w:p w14:paraId="75423B74" w14:textId="77777777" w:rsidR="00000000" w:rsidRDefault="00C1661D">
      <w:pPr>
        <w:jc w:val="both"/>
        <w:rPr>
          <w:rFonts w:eastAsia="Times New Roman"/>
        </w:rPr>
      </w:pPr>
    </w:p>
    <w:p w14:paraId="08EFD910" w14:textId="77777777" w:rsidR="00000000" w:rsidRDefault="00C1661D">
      <w:pPr>
        <w:jc w:val="both"/>
        <w:rPr>
          <w:rFonts w:eastAsia="Times New Roman"/>
        </w:rPr>
      </w:pPr>
      <w:r>
        <w:rPr>
          <w:rFonts w:eastAsia="Times New Roman"/>
          <w:color w:val="000000"/>
          <w:sz w:val="20"/>
          <w:szCs w:val="20"/>
        </w:rPr>
        <w:t>The Convertible Preferred Stock can be remarketed during either (i) an optional remarketing period beginning on, and including, March 1, 2024 and ending on, a</w:t>
      </w:r>
      <w:r>
        <w:rPr>
          <w:rFonts w:eastAsia="Times New Roman"/>
          <w:color w:val="000000"/>
          <w:sz w:val="20"/>
          <w:szCs w:val="20"/>
        </w:rPr>
        <w:t>nd including, May 13, 2024 or (ii) a final remarketing period beginning on, and including, May 23, 2024 and ending on, and including, May 30, 2024. In connection with a successful remarketing, the conversion rate and dividend rate of the Convertible Prefer</w:t>
      </w:r>
      <w:r>
        <w:rPr>
          <w:rFonts w:eastAsia="Times New Roman"/>
          <w:color w:val="000000"/>
          <w:sz w:val="20"/>
          <w:szCs w:val="20"/>
        </w:rPr>
        <w:t>red Stock may be increased, and the earliest redemption date for the Convertible Preferred Stock may be changed to a later date that is on or before August 29, 2025.</w:t>
      </w:r>
    </w:p>
    <w:p w14:paraId="74670178" w14:textId="77777777" w:rsidR="00000000" w:rsidRDefault="00C1661D">
      <w:pPr>
        <w:jc w:val="both"/>
        <w:rPr>
          <w:rFonts w:eastAsia="Times New Roman"/>
        </w:rPr>
      </w:pPr>
    </w:p>
    <w:p w14:paraId="2EB03D73" w14:textId="77777777" w:rsidR="00000000" w:rsidRDefault="00C1661D">
      <w:pPr>
        <w:jc w:val="both"/>
        <w:rPr>
          <w:rFonts w:eastAsia="Times New Roman"/>
        </w:rPr>
      </w:pPr>
      <w:r>
        <w:rPr>
          <w:rFonts w:eastAsia="Times New Roman"/>
          <w:b/>
          <w:bCs/>
          <w:i/>
          <w:iCs/>
          <w:color w:val="000000"/>
          <w:sz w:val="20"/>
          <w:szCs w:val="20"/>
        </w:rPr>
        <w:t>2024 Purchase Contracts.</w:t>
      </w:r>
      <w:r>
        <w:rPr>
          <w:rFonts w:eastAsia="Times New Roman"/>
          <w:color w:val="000000"/>
          <w:sz w:val="20"/>
          <w:szCs w:val="20"/>
        </w:rPr>
        <w:t xml:space="preserve"> The 2024 Purchase Contracts obligate the holders to pay $100 to</w:t>
      </w:r>
      <w:r>
        <w:rPr>
          <w:rFonts w:eastAsia="Times New Roman"/>
          <w:color w:val="000000"/>
          <w:sz w:val="20"/>
          <w:szCs w:val="20"/>
        </w:rPr>
        <w:t xml:space="preserve"> UGI to purchase a variable number of shares of UGI common stock on the purchase contract settlement date, which is scheduled to occur on June 1, 2024. The number of shares of UGI common stock to be issued upon settlement of each 2024 Purchase Contract on </w:t>
      </w:r>
      <w:r>
        <w:rPr>
          <w:rFonts w:eastAsia="Times New Roman"/>
          <w:color w:val="000000"/>
          <w:sz w:val="20"/>
          <w:szCs w:val="20"/>
        </w:rPr>
        <w:t>the purchase contract settlement date will be equal to $100 divided by the market value per share of UGI common stock, which will be determined over a market value averaging period preceding the settlement date, subject to a maximum settlement rate of 2.28</w:t>
      </w:r>
      <w:r>
        <w:rPr>
          <w:rFonts w:eastAsia="Times New Roman"/>
          <w:color w:val="000000"/>
          <w:sz w:val="20"/>
          <w:szCs w:val="20"/>
        </w:rPr>
        <w:t>26 shares of UGI common stock per 2024 Purchase Contract, subject to adjustment. The initial maximum settlement rate of the 2024 Purchase Contracts is approximately equal to $100 divided by the last reported sale price of $43.81 per share of UGI common sto</w:t>
      </w:r>
      <w:r>
        <w:rPr>
          <w:rFonts w:eastAsia="Times New Roman"/>
          <w:color w:val="000000"/>
          <w:sz w:val="20"/>
          <w:szCs w:val="20"/>
        </w:rPr>
        <w:t>ck on May 17, 2021. Absent any fundamental changes, as defined in the Equity Unit Agreements, the holders can settle the 2024 Purchase Contracts early, subject to certain exceptions and conditions. Upon early settlement of any 2024 Purchase Contracts, othe</w:t>
      </w:r>
      <w:r>
        <w:rPr>
          <w:rFonts w:eastAsia="Times New Roman"/>
          <w:color w:val="000000"/>
          <w:sz w:val="20"/>
          <w:szCs w:val="20"/>
        </w:rPr>
        <w:t>r than in connection with a fundamental change, the Company will deliver the number of shares of UGI common stock equal to 85% of the number of shares of UGI common stock that would have otherwise been deliverable.</w:t>
      </w:r>
    </w:p>
    <w:p w14:paraId="3A322B23" w14:textId="77777777" w:rsidR="00000000" w:rsidRDefault="00C1661D">
      <w:pPr>
        <w:jc w:val="both"/>
        <w:rPr>
          <w:rFonts w:eastAsia="Times New Roman"/>
        </w:rPr>
      </w:pPr>
    </w:p>
    <w:p w14:paraId="31ADA6B2" w14:textId="77777777" w:rsidR="00000000" w:rsidRDefault="00C1661D">
      <w:pPr>
        <w:jc w:val="both"/>
        <w:rPr>
          <w:rFonts w:eastAsia="Times New Roman"/>
        </w:rPr>
      </w:pPr>
      <w:r>
        <w:rPr>
          <w:rFonts w:eastAsia="Times New Roman"/>
          <w:color w:val="000000"/>
          <w:sz w:val="20"/>
          <w:szCs w:val="20"/>
        </w:rPr>
        <w:t>The Company will pay holders of the 202</w:t>
      </w:r>
      <w:r>
        <w:rPr>
          <w:rFonts w:eastAsia="Times New Roman"/>
          <w:color w:val="000000"/>
          <w:sz w:val="20"/>
          <w:szCs w:val="20"/>
        </w:rPr>
        <w:t>4 Purchase Contracts quarterly contract adjustment payments at an annual rate of 7.125%, payable quarterly in arrears on March 1, June 1, September 1 and December 1, commencing September 1, 2021. The Company may elect to pay such contract adjustment paymen</w:t>
      </w:r>
      <w:r>
        <w:rPr>
          <w:rFonts w:eastAsia="Times New Roman"/>
          <w:color w:val="000000"/>
          <w:sz w:val="20"/>
          <w:szCs w:val="20"/>
        </w:rPr>
        <w:t>ts in cash, shares of UGI common stock or a combination of cash and shares of UGI common stock. The Company may defer the contract adjustment payments for one or more consecutive periods but generally not beyond the purchase contract settlement date. If co</w:t>
      </w:r>
      <w:r>
        <w:rPr>
          <w:rFonts w:eastAsia="Times New Roman"/>
          <w:color w:val="000000"/>
          <w:sz w:val="20"/>
          <w:szCs w:val="20"/>
        </w:rPr>
        <w:t>ntract adjustment payments are deferred, the Company will be subject to certain dividend, distribution, and other restrictions related to its capital stock as defined in the Equity Unit Agreements.</w:t>
      </w:r>
    </w:p>
    <w:p w14:paraId="6DE0D15B" w14:textId="77777777" w:rsidR="00000000" w:rsidRDefault="00C1661D">
      <w:pPr>
        <w:jc w:val="both"/>
        <w:rPr>
          <w:rFonts w:eastAsia="Times New Roman"/>
        </w:rPr>
      </w:pPr>
    </w:p>
    <w:p w14:paraId="64CC6FF7" w14:textId="77777777" w:rsidR="00000000" w:rsidRDefault="00C1661D">
      <w:pPr>
        <w:jc w:val="both"/>
        <w:rPr>
          <w:rFonts w:eastAsia="Times New Roman"/>
        </w:rPr>
      </w:pPr>
      <w:r>
        <w:rPr>
          <w:rFonts w:eastAsia="Times New Roman"/>
          <w:color w:val="000000"/>
          <w:sz w:val="20"/>
          <w:szCs w:val="20"/>
        </w:rPr>
        <w:t>The present value of the quarterly contract adjustment p</w:t>
      </w:r>
      <w:r>
        <w:rPr>
          <w:rFonts w:eastAsia="Times New Roman"/>
          <w:color w:val="000000"/>
          <w:sz w:val="20"/>
          <w:szCs w:val="20"/>
        </w:rPr>
        <w:t>ayments liability was $45 upon issuance of the Equity Units and is recorded in “Other current liabilities” and “Other noncurrent liabilities” (with a corresponding reduction to “UGI Preferred Stock”) on the Consolidated Balance Sheet. As each quarterly con</w:t>
      </w:r>
      <w:r>
        <w:rPr>
          <w:rFonts w:eastAsia="Times New Roman"/>
          <w:color w:val="000000"/>
          <w:sz w:val="20"/>
          <w:szCs w:val="20"/>
        </w:rPr>
        <w:t xml:space="preserve">tract adjustment payment is made, the related liability is reduced and the difference between the cash payment and the present value will accrete to “Interest expense” on the Consolidated Statements of Income. This accretion was not material during Fiscal </w:t>
      </w:r>
      <w:r>
        <w:rPr>
          <w:rFonts w:eastAsia="Times New Roman"/>
          <w:color w:val="000000"/>
          <w:sz w:val="20"/>
          <w:szCs w:val="20"/>
        </w:rPr>
        <w:t>2022 and Fiscal 2021.</w:t>
      </w:r>
    </w:p>
    <w:p w14:paraId="11F043C1" w14:textId="77777777" w:rsidR="00000000" w:rsidRDefault="00C1661D">
      <w:pPr>
        <w:jc w:val="both"/>
        <w:rPr>
          <w:rFonts w:eastAsia="Times New Roman"/>
        </w:rPr>
      </w:pPr>
    </w:p>
    <w:p w14:paraId="4964019A" w14:textId="77777777" w:rsidR="00000000" w:rsidRDefault="00C1661D">
      <w:pPr>
        <w:jc w:val="both"/>
        <w:rPr>
          <w:rFonts w:eastAsia="Times New Roman"/>
        </w:rPr>
      </w:pPr>
      <w:r>
        <w:rPr>
          <w:rFonts w:eastAsia="Times New Roman"/>
          <w:b/>
          <w:bCs/>
          <w:color w:val="000000"/>
          <w:sz w:val="20"/>
          <w:szCs w:val="20"/>
          <w:u w:val="single"/>
        </w:rPr>
        <w:t>Note 14 — Equity-Based Compensation</w:t>
      </w:r>
    </w:p>
    <w:p w14:paraId="1C9E5D85" w14:textId="77777777" w:rsidR="00000000" w:rsidRDefault="00C1661D">
      <w:pPr>
        <w:jc w:val="both"/>
        <w:divId w:val="728308714"/>
        <w:rPr>
          <w:rFonts w:eastAsia="Times New Roman"/>
        </w:rPr>
      </w:pPr>
      <w:r>
        <w:rPr>
          <w:rFonts w:eastAsia="Times New Roman"/>
          <w:color w:val="000000"/>
          <w:sz w:val="20"/>
          <w:szCs w:val="20"/>
        </w:rPr>
        <w:t>The Company grants equity-based awards to employees and non-employee directors comprising UGI stock options and, UGI Common Stock-based equity instruments. We recognized total pre-tax equity-based</w:t>
      </w:r>
      <w:r>
        <w:rPr>
          <w:rFonts w:eastAsia="Times New Roman"/>
          <w:color w:val="000000"/>
          <w:sz w:val="20"/>
          <w:szCs w:val="20"/>
        </w:rPr>
        <w:t xml:space="preserve"> compensation expense of $15 ($11 after-tax), $21 ($15 after-tax) and $15 ($11 after-tax) in Fiscal 2022, Fiscal 2021 and Fiscal 2020, respectively.</w:t>
      </w:r>
    </w:p>
    <w:p w14:paraId="0276725D" w14:textId="77777777" w:rsidR="00000000" w:rsidRDefault="00C1661D">
      <w:pPr>
        <w:divId w:val="1965572755"/>
        <w:rPr>
          <w:rFonts w:eastAsia="Times New Roman"/>
        </w:rPr>
      </w:pPr>
    </w:p>
    <w:p w14:paraId="150E125C" w14:textId="77777777" w:rsidR="00000000" w:rsidRDefault="00C1661D">
      <w:pPr>
        <w:jc w:val="both"/>
        <w:rPr>
          <w:rFonts w:eastAsia="Times New Roman"/>
        </w:rPr>
      </w:pPr>
      <w:r>
        <w:rPr>
          <w:rFonts w:eastAsia="Times New Roman"/>
          <w:b/>
          <w:bCs/>
          <w:i/>
          <w:iCs/>
          <w:color w:val="000000"/>
          <w:sz w:val="20"/>
          <w:szCs w:val="20"/>
        </w:rPr>
        <w:t>UGI Equity-Based Compensation Plans and Awards.</w:t>
      </w:r>
      <w:r>
        <w:rPr>
          <w:rFonts w:eastAsia="Times New Roman"/>
          <w:color w:val="000000"/>
          <w:sz w:val="20"/>
          <w:szCs w:val="20"/>
        </w:rPr>
        <w:t xml:space="preserve"> On January 29, 2021, the Company’s shareholders approved </w:t>
      </w:r>
      <w:r>
        <w:rPr>
          <w:rFonts w:eastAsia="Times New Roman"/>
          <w:color w:val="000000"/>
          <w:sz w:val="20"/>
          <w:szCs w:val="20"/>
        </w:rPr>
        <w:t>the 2021 IAP. Under the 2021 IAP, awards representing up to 20,500,000 shares of UGI Common Stock may be granted. UGI Unit Awards granted to employees and non-employee directors, including dividend equivalents, are settled in shares of UGI Common Stock and</w:t>
      </w:r>
      <w:r>
        <w:rPr>
          <w:rFonts w:eastAsia="Times New Roman"/>
          <w:color w:val="000000"/>
          <w:sz w:val="20"/>
          <w:szCs w:val="20"/>
        </w:rPr>
        <w:t xml:space="preserve"> cash.</w:t>
      </w:r>
      <w:r>
        <w:rPr>
          <w:rFonts w:eastAsia="Times New Roman"/>
          <w:color w:val="000000"/>
        </w:rPr>
        <w:t xml:space="preserve"> </w:t>
      </w:r>
      <w:r>
        <w:rPr>
          <w:rFonts w:eastAsia="Times New Roman"/>
          <w:color w:val="000000"/>
          <w:sz w:val="20"/>
          <w:szCs w:val="20"/>
        </w:rPr>
        <w:t xml:space="preserve">The 2021 IAP supersedes and replaces the 2013 OICP for awards granted on or after February 1, 2021. The terms and conditions of the 2013 OICP will continue to </w:t>
      </w:r>
      <w:r>
        <w:rPr>
          <w:rFonts w:eastAsia="Times New Roman"/>
          <w:color w:val="000000"/>
          <w:sz w:val="20"/>
          <w:szCs w:val="20"/>
        </w:rPr>
        <w:t>govern any outstanding awards granted thereunder. Similar to the 2013 OICP, under the 2021 IAP, we may grant options to acquire shares of UGI Common Stock, SARs, UGI Units (comprising “Stock Units” and “UGI Performance Units”), other equity-based awards an</w:t>
      </w:r>
      <w:r>
        <w:rPr>
          <w:rFonts w:eastAsia="Times New Roman"/>
          <w:color w:val="000000"/>
          <w:sz w:val="20"/>
          <w:szCs w:val="20"/>
        </w:rPr>
        <w:t>d cash to key employees and non-employee directors. The exercise price for options may not be less than the fair market value on the grant date. Awards granted under the 2021 IAP may vest immediately or ratably over a period of years, and stock options can</w:t>
      </w:r>
      <w:r>
        <w:rPr>
          <w:rFonts w:eastAsia="Times New Roman"/>
          <w:color w:val="000000"/>
          <w:sz w:val="20"/>
          <w:szCs w:val="20"/>
        </w:rPr>
        <w:t xml:space="preserve"> be exercised no later than ten years from the grant date. Except in the event of retirement, death or disability, each grant, unless paid, will terminate when the </w:t>
      </w:r>
    </w:p>
    <w:p w14:paraId="57E30C38" w14:textId="77777777" w:rsidR="00000000" w:rsidRDefault="00C1661D">
      <w:pPr>
        <w:jc w:val="center"/>
        <w:divId w:val="665591673"/>
        <w:rPr>
          <w:rFonts w:eastAsia="Times New Roman"/>
        </w:rPr>
      </w:pPr>
      <w:r>
        <w:rPr>
          <w:rFonts w:eastAsia="Times New Roman"/>
          <w:color w:val="000000"/>
          <w:sz w:val="20"/>
          <w:szCs w:val="20"/>
        </w:rPr>
        <w:t>F-44</w:t>
      </w:r>
    </w:p>
    <w:p w14:paraId="3C58A50C" w14:textId="77777777" w:rsidR="00000000" w:rsidRDefault="00C1661D">
      <w:pPr>
        <w:rPr>
          <w:rFonts w:eastAsia="Times New Roman"/>
        </w:rPr>
      </w:pPr>
      <w:r>
        <w:rPr>
          <w:rFonts w:eastAsia="Times New Roman"/>
        </w:rPr>
        <w:pict w14:anchorId="5CF888F3">
          <v:rect id="_x0000_i1157" style="width:0;height:1.5pt" o:hralign="center" o:hrstd="t" o:hr="t" fillcolor="#a0a0a0" stroked="f"/>
        </w:pict>
      </w:r>
    </w:p>
    <w:p w14:paraId="2FC09BFF" w14:textId="77777777" w:rsidR="00000000" w:rsidRDefault="00C1661D">
      <w:pPr>
        <w:divId w:val="1033312514"/>
        <w:rPr>
          <w:rFonts w:eastAsia="Times New Roman"/>
        </w:rPr>
      </w:pPr>
      <w:hyperlink w:anchor="i3850c3c6c0104e42b9951aac2f16098a_7" w:history="1">
        <w:r>
          <w:rPr>
            <w:rStyle w:val="a3"/>
            <w:rFonts w:eastAsia="Times New Roman"/>
            <w:sz w:val="20"/>
            <w:szCs w:val="20"/>
          </w:rPr>
          <w:t>Table of Contents</w:t>
        </w:r>
      </w:hyperlink>
    </w:p>
    <w:p w14:paraId="0B2D48ED" w14:textId="77777777" w:rsidR="00000000" w:rsidRDefault="00C1661D">
      <w:pPr>
        <w:divId w:val="1629555090"/>
        <w:rPr>
          <w:rFonts w:eastAsia="Times New Roman"/>
        </w:rPr>
      </w:pPr>
      <w:r>
        <w:rPr>
          <w:rFonts w:eastAsia="Times New Roman"/>
          <w:b/>
          <w:bCs/>
          <w:color w:val="000000"/>
          <w:sz w:val="20"/>
          <w:szCs w:val="20"/>
        </w:rPr>
        <w:t>UGI Corporation and Subsidiaries</w:t>
      </w:r>
    </w:p>
    <w:p w14:paraId="635363EB" w14:textId="77777777" w:rsidR="00000000" w:rsidRDefault="00C1661D">
      <w:pPr>
        <w:divId w:val="834222066"/>
        <w:rPr>
          <w:rFonts w:eastAsia="Times New Roman"/>
        </w:rPr>
      </w:pPr>
      <w:r>
        <w:rPr>
          <w:rFonts w:eastAsia="Times New Roman"/>
          <w:b/>
          <w:bCs/>
          <w:color w:val="000000"/>
          <w:sz w:val="20"/>
          <w:szCs w:val="20"/>
        </w:rPr>
        <w:t>Notes to Consolidated Financial Statements</w:t>
      </w:r>
    </w:p>
    <w:p w14:paraId="112D1494" w14:textId="77777777" w:rsidR="00000000" w:rsidRDefault="00C1661D">
      <w:pPr>
        <w:divId w:val="1289048652"/>
        <w:rPr>
          <w:rFonts w:eastAsia="Times New Roman"/>
        </w:rPr>
      </w:pPr>
      <w:r>
        <w:rPr>
          <w:rFonts w:eastAsia="Times New Roman"/>
          <w:color w:val="000000"/>
          <w:sz w:val="20"/>
          <w:szCs w:val="20"/>
        </w:rPr>
        <w:t>(Currency in millions, except per share amounts and where indicated otherwise)</w:t>
      </w:r>
    </w:p>
    <w:p w14:paraId="097B1BF4" w14:textId="77777777" w:rsidR="00000000" w:rsidRDefault="00C1661D">
      <w:pPr>
        <w:jc w:val="both"/>
        <w:rPr>
          <w:rFonts w:eastAsia="Times New Roman"/>
        </w:rPr>
      </w:pPr>
      <w:r>
        <w:rPr>
          <w:rFonts w:eastAsia="Times New Roman"/>
          <w:color w:val="000000"/>
          <w:sz w:val="20"/>
          <w:szCs w:val="20"/>
        </w:rPr>
        <w:t xml:space="preserve">participant ceases to be employed. There are certain change of control and </w:t>
      </w:r>
      <w:r>
        <w:rPr>
          <w:rFonts w:eastAsia="Times New Roman"/>
          <w:color w:val="000000"/>
          <w:sz w:val="20"/>
          <w:szCs w:val="20"/>
        </w:rPr>
        <w:t>retirement eligibility conditions that, if met, generally result in accelerated vesting or elimination of further service requirements.</w:t>
      </w:r>
    </w:p>
    <w:p w14:paraId="52EC1D3B" w14:textId="77777777" w:rsidR="00000000" w:rsidRDefault="00C1661D">
      <w:pPr>
        <w:jc w:val="both"/>
        <w:rPr>
          <w:rFonts w:eastAsia="Times New Roman"/>
        </w:rPr>
      </w:pPr>
    </w:p>
    <w:p w14:paraId="472A461C" w14:textId="77777777" w:rsidR="00000000" w:rsidRDefault="00C1661D">
      <w:pPr>
        <w:jc w:val="both"/>
        <w:rPr>
          <w:rFonts w:eastAsia="Times New Roman"/>
        </w:rPr>
      </w:pPr>
      <w:r>
        <w:rPr>
          <w:rFonts w:eastAsia="Times New Roman"/>
          <w:color w:val="000000"/>
          <w:sz w:val="20"/>
          <w:szCs w:val="20"/>
        </w:rPr>
        <w:t>There were 18,015,916 shares of Common Stock available for future grants under the 2021 IAP at September 30, 2022</w:t>
      </w:r>
      <w:r>
        <w:rPr>
          <w:rFonts w:eastAsia="Times New Roman"/>
          <w:color w:val="000000"/>
        </w:rPr>
        <w:t>.</w:t>
      </w:r>
    </w:p>
    <w:p w14:paraId="3BD08CAB" w14:textId="77777777" w:rsidR="00000000" w:rsidRDefault="00C1661D">
      <w:pPr>
        <w:jc w:val="both"/>
        <w:rPr>
          <w:rFonts w:eastAsia="Times New Roman"/>
        </w:rPr>
      </w:pPr>
    </w:p>
    <w:p w14:paraId="4AB1568F" w14:textId="77777777" w:rsidR="00000000" w:rsidRDefault="00C1661D">
      <w:pPr>
        <w:jc w:val="both"/>
        <w:rPr>
          <w:rFonts w:eastAsia="Times New Roman"/>
        </w:rPr>
      </w:pPr>
      <w:r>
        <w:rPr>
          <w:rFonts w:eastAsia="Times New Roman"/>
          <w:b/>
          <w:bCs/>
          <w:i/>
          <w:iCs/>
          <w:color w:val="000000"/>
          <w:sz w:val="20"/>
          <w:szCs w:val="20"/>
        </w:rPr>
        <w:t>U</w:t>
      </w:r>
      <w:r>
        <w:rPr>
          <w:rFonts w:eastAsia="Times New Roman"/>
          <w:b/>
          <w:bCs/>
          <w:i/>
          <w:iCs/>
          <w:color w:val="000000"/>
          <w:sz w:val="20"/>
          <w:szCs w:val="20"/>
        </w:rPr>
        <w:t>GI Stock Option Awards</w:t>
      </w:r>
      <w:r>
        <w:rPr>
          <w:rFonts w:eastAsia="Times New Roman"/>
          <w:b/>
          <w:bCs/>
          <w:color w:val="000000"/>
          <w:sz w:val="20"/>
          <w:szCs w:val="20"/>
        </w:rPr>
        <w:t>.</w:t>
      </w:r>
      <w:r>
        <w:rPr>
          <w:rFonts w:eastAsia="Times New Roman"/>
          <w:color w:val="000000"/>
          <w:sz w:val="20"/>
          <w:szCs w:val="20"/>
        </w:rPr>
        <w:t xml:space="preserve"> We measure the fair value of stock options using a Black-Scholes option pricing model that uses certain key assumptions for such options related to the expected life, volatility, dividend yield and the Company’s risk-free rate at th</w:t>
      </w:r>
      <w:r>
        <w:rPr>
          <w:rFonts w:eastAsia="Times New Roman"/>
          <w:color w:val="000000"/>
          <w:sz w:val="20"/>
          <w:szCs w:val="20"/>
        </w:rPr>
        <w:t>e valuation date.</w:t>
      </w:r>
      <w:r>
        <w:rPr>
          <w:rFonts w:eastAsia="Times New Roman"/>
          <w:color w:val="000000"/>
        </w:rPr>
        <w:t xml:space="preserve"> </w:t>
      </w:r>
      <w:r>
        <w:rPr>
          <w:rFonts w:eastAsia="Times New Roman"/>
          <w:color w:val="000000"/>
          <w:sz w:val="20"/>
          <w:szCs w:val="20"/>
        </w:rPr>
        <w:t>The per share weighted average fair value of stock options granted under our option plans was $8.47, $6.05 and $5.58 in Fiscal 2022, Fiscal 2021 and Fiscal 2020, respectively. As of September 30, 2022, there was $5 of unrecognized compens</w:t>
      </w:r>
      <w:r>
        <w:rPr>
          <w:rFonts w:eastAsia="Times New Roman"/>
          <w:color w:val="000000"/>
          <w:sz w:val="20"/>
          <w:szCs w:val="20"/>
        </w:rPr>
        <w:t>ation cost associated with unvested stock options that is expected to be recognized over a weighted-average period of 1.8 years. There were 9,004,896 stock options outstanding at September 30, 2022, of which, 7,179,583 stock options were exercisable with a</w:t>
      </w:r>
      <w:r>
        <w:rPr>
          <w:rFonts w:eastAsia="Times New Roman"/>
          <w:color w:val="000000"/>
          <w:sz w:val="20"/>
          <w:szCs w:val="20"/>
        </w:rPr>
        <w:t xml:space="preserve"> weighted-average option price of $42.23.</w:t>
      </w:r>
    </w:p>
    <w:p w14:paraId="10528F02" w14:textId="77777777" w:rsidR="00000000" w:rsidRDefault="00C1661D">
      <w:pPr>
        <w:jc w:val="both"/>
        <w:rPr>
          <w:rFonts w:eastAsia="Times New Roman"/>
        </w:rPr>
      </w:pPr>
    </w:p>
    <w:p w14:paraId="4A44F826" w14:textId="77777777" w:rsidR="00000000" w:rsidRDefault="00C1661D">
      <w:pPr>
        <w:jc w:val="both"/>
        <w:rPr>
          <w:rFonts w:eastAsia="Times New Roman"/>
        </w:rPr>
      </w:pPr>
      <w:r>
        <w:rPr>
          <w:rFonts w:eastAsia="Times New Roman"/>
          <w:b/>
          <w:bCs/>
          <w:i/>
          <w:iCs/>
          <w:color w:val="000000"/>
          <w:sz w:val="20"/>
          <w:szCs w:val="20"/>
        </w:rPr>
        <w:t>UGI Unit Awards</w:t>
      </w:r>
      <w:r>
        <w:rPr>
          <w:rFonts w:eastAsia="Times New Roman"/>
          <w:b/>
          <w:bCs/>
          <w:color w:val="000000"/>
          <w:sz w:val="20"/>
          <w:szCs w:val="20"/>
        </w:rPr>
        <w:t>.</w:t>
      </w:r>
      <w:r>
        <w:rPr>
          <w:rFonts w:eastAsia="Times New Roman"/>
          <w:color w:val="000000"/>
          <w:sz w:val="20"/>
          <w:szCs w:val="20"/>
        </w:rPr>
        <w:t xml:space="preserve"> UGI Stock Unit and UGI Performance Unit awards entitle the grantee to shares of UGI Common Stock or cash once the service condition is met and, with respect to UGI Performance Unit awards, subjec</w:t>
      </w:r>
      <w:r>
        <w:rPr>
          <w:rFonts w:eastAsia="Times New Roman"/>
          <w:color w:val="000000"/>
          <w:sz w:val="20"/>
          <w:szCs w:val="20"/>
        </w:rPr>
        <w:t>t to market performance conditions. UGI Performance Unit grant recipients are awarded a target number of UGI Performance Units. The number of UGI Performance Units ultimately paid at the end of the performance period (generally three years) may be higher o</w:t>
      </w:r>
      <w:r>
        <w:rPr>
          <w:rFonts w:eastAsia="Times New Roman"/>
          <w:color w:val="000000"/>
          <w:sz w:val="20"/>
          <w:szCs w:val="20"/>
        </w:rPr>
        <w:t>r lower than the target amount, or even zero, based on UGI’s TSR percentile rank relative to the UGI comparator group. Grantees may receive 0% to 200% of the target award granted.</w:t>
      </w:r>
    </w:p>
    <w:p w14:paraId="52F09B07" w14:textId="77777777" w:rsidR="00000000" w:rsidRDefault="00C1661D">
      <w:pPr>
        <w:jc w:val="both"/>
        <w:rPr>
          <w:rFonts w:eastAsia="Times New Roman"/>
        </w:rPr>
      </w:pPr>
    </w:p>
    <w:p w14:paraId="7378317C" w14:textId="77777777" w:rsidR="00000000" w:rsidRDefault="00C1661D">
      <w:pPr>
        <w:jc w:val="both"/>
        <w:rPr>
          <w:rFonts w:eastAsia="Times New Roman"/>
        </w:rPr>
      </w:pPr>
      <w:r>
        <w:rPr>
          <w:rFonts w:eastAsia="Times New Roman"/>
          <w:color w:val="000000"/>
          <w:sz w:val="20"/>
          <w:szCs w:val="20"/>
        </w:rPr>
        <w:t>The fair value of UGI Stock Units on the grant date is equal to the market price of UGI Stock on the grant date plus the fair value of dividend equivalents if applicable. The fair value of UGI Performance Units is estimated using a Monte Carlo valuation mo</w:t>
      </w:r>
      <w:r>
        <w:rPr>
          <w:rFonts w:eastAsia="Times New Roman"/>
          <w:color w:val="000000"/>
          <w:sz w:val="20"/>
          <w:szCs w:val="20"/>
        </w:rPr>
        <w:t>del. The fair value associated with the target award is accounted for as equity and the fair value of the award over the target, as well as all dividend equivalents, is accounted for as a liability.</w:t>
      </w:r>
    </w:p>
    <w:p w14:paraId="650F48FF" w14:textId="77777777" w:rsidR="00000000" w:rsidRDefault="00C1661D">
      <w:pPr>
        <w:jc w:val="both"/>
        <w:rPr>
          <w:rFonts w:eastAsia="Times New Roman"/>
        </w:rPr>
      </w:pPr>
    </w:p>
    <w:p w14:paraId="16704EA8" w14:textId="77777777" w:rsidR="00000000" w:rsidRDefault="00C1661D">
      <w:pPr>
        <w:jc w:val="both"/>
        <w:rPr>
          <w:rFonts w:eastAsia="Times New Roman"/>
        </w:rPr>
      </w:pPr>
      <w:r>
        <w:rPr>
          <w:rFonts w:eastAsia="Times New Roman"/>
          <w:color w:val="000000"/>
          <w:sz w:val="20"/>
          <w:szCs w:val="20"/>
        </w:rPr>
        <w:t>The weighted-average grant date fair value of UGI Stock</w:t>
      </w:r>
      <w:r>
        <w:rPr>
          <w:rFonts w:eastAsia="Times New Roman"/>
          <w:color w:val="000000"/>
          <w:sz w:val="20"/>
          <w:szCs w:val="20"/>
        </w:rPr>
        <w:t xml:space="preserve"> Units and UGI Performance Units granted to employees during Fiscal 2022, Fiscal 2021, and Fiscal 2020 was $51.24, $41.41 and $41.47, respectively. </w:t>
      </w:r>
    </w:p>
    <w:p w14:paraId="6D864BB6" w14:textId="77777777" w:rsidR="00000000" w:rsidRDefault="00C1661D">
      <w:pPr>
        <w:jc w:val="both"/>
        <w:divId w:val="1706365244"/>
        <w:rPr>
          <w:rFonts w:eastAsia="Times New Roman"/>
        </w:rPr>
      </w:pPr>
      <w:r>
        <w:rPr>
          <w:rFonts w:eastAsia="Times New Roman"/>
          <w:color w:val="000000"/>
          <w:sz w:val="20"/>
          <w:szCs w:val="20"/>
        </w:rPr>
        <w:t xml:space="preserve">As of September 30, 2022, there was a total of $24 unrecognized compensation cost associated with UGI Unit </w:t>
      </w:r>
      <w:r>
        <w:rPr>
          <w:rFonts w:eastAsia="Times New Roman"/>
          <w:color w:val="000000"/>
          <w:sz w:val="20"/>
          <w:szCs w:val="20"/>
        </w:rPr>
        <w:t>awards outstanding that is expected to be recognized over a weighted-average period of 2.0 years. As of September 30, 2022, there were 1,376,371 UGI Unit awards outstanding with a weighted-average grant-date fair value of $42.31 per share.</w:t>
      </w:r>
    </w:p>
    <w:tbl>
      <w:tblPr>
        <w:tblW w:w="4992" w:type="pct"/>
        <w:tblCellMar>
          <w:top w:w="15" w:type="dxa"/>
          <w:left w:w="15" w:type="dxa"/>
          <w:bottom w:w="15" w:type="dxa"/>
          <w:right w:w="15" w:type="dxa"/>
        </w:tblCellMar>
        <w:tblLook w:val="04A0" w:firstRow="1" w:lastRow="0" w:firstColumn="1" w:lastColumn="0" w:noHBand="0" w:noVBand="1"/>
      </w:tblPr>
      <w:tblGrid>
        <w:gridCol w:w="61"/>
        <w:gridCol w:w="4892"/>
        <w:gridCol w:w="36"/>
        <w:gridCol w:w="61"/>
        <w:gridCol w:w="942"/>
        <w:gridCol w:w="36"/>
        <w:gridCol w:w="36"/>
        <w:gridCol w:w="36"/>
        <w:gridCol w:w="36"/>
        <w:gridCol w:w="46"/>
        <w:gridCol w:w="942"/>
        <w:gridCol w:w="36"/>
        <w:gridCol w:w="36"/>
        <w:gridCol w:w="36"/>
        <w:gridCol w:w="36"/>
        <w:gridCol w:w="46"/>
        <w:gridCol w:w="943"/>
        <w:gridCol w:w="36"/>
      </w:tblGrid>
      <w:tr w:rsidR="00000000" w14:paraId="7F2A89C0" w14:textId="77777777">
        <w:tc>
          <w:tcPr>
            <w:tcW w:w="50" w:type="pct"/>
            <w:vAlign w:val="center"/>
            <w:hideMark/>
          </w:tcPr>
          <w:p w14:paraId="5413664C" w14:textId="77777777" w:rsidR="00000000" w:rsidRDefault="00C1661D">
            <w:pPr>
              <w:jc w:val="both"/>
              <w:rPr>
                <w:rFonts w:eastAsia="Times New Roman"/>
              </w:rPr>
            </w:pPr>
          </w:p>
        </w:tc>
        <w:tc>
          <w:tcPr>
            <w:tcW w:w="2961" w:type="pct"/>
            <w:vAlign w:val="center"/>
            <w:hideMark/>
          </w:tcPr>
          <w:p w14:paraId="07486215" w14:textId="77777777" w:rsidR="00000000" w:rsidRDefault="00C1661D">
            <w:pPr>
              <w:spacing w:after="100"/>
              <w:rPr>
                <w:rFonts w:eastAsia="Times New Roman"/>
                <w:sz w:val="20"/>
                <w:szCs w:val="20"/>
              </w:rPr>
            </w:pPr>
          </w:p>
        </w:tc>
        <w:tc>
          <w:tcPr>
            <w:tcW w:w="5" w:type="pct"/>
            <w:vAlign w:val="center"/>
            <w:hideMark/>
          </w:tcPr>
          <w:p w14:paraId="7EE76564" w14:textId="77777777" w:rsidR="00000000" w:rsidRDefault="00C1661D">
            <w:pPr>
              <w:spacing w:after="100"/>
              <w:rPr>
                <w:rFonts w:eastAsia="Times New Roman"/>
                <w:sz w:val="20"/>
                <w:szCs w:val="20"/>
              </w:rPr>
            </w:pPr>
          </w:p>
        </w:tc>
        <w:tc>
          <w:tcPr>
            <w:tcW w:w="50" w:type="pct"/>
            <w:vAlign w:val="center"/>
            <w:hideMark/>
          </w:tcPr>
          <w:p w14:paraId="0E299C27" w14:textId="77777777" w:rsidR="00000000" w:rsidRDefault="00C1661D">
            <w:pPr>
              <w:spacing w:after="100"/>
              <w:rPr>
                <w:rFonts w:eastAsia="Times New Roman"/>
                <w:sz w:val="20"/>
                <w:szCs w:val="20"/>
              </w:rPr>
            </w:pPr>
          </w:p>
        </w:tc>
        <w:tc>
          <w:tcPr>
            <w:tcW w:w="581" w:type="pct"/>
            <w:vAlign w:val="center"/>
            <w:hideMark/>
          </w:tcPr>
          <w:p w14:paraId="6D582A27" w14:textId="77777777" w:rsidR="00000000" w:rsidRDefault="00C1661D">
            <w:pPr>
              <w:spacing w:after="100"/>
              <w:rPr>
                <w:rFonts w:eastAsia="Times New Roman"/>
                <w:sz w:val="20"/>
                <w:szCs w:val="20"/>
              </w:rPr>
            </w:pPr>
          </w:p>
        </w:tc>
        <w:tc>
          <w:tcPr>
            <w:tcW w:w="5" w:type="pct"/>
            <w:vAlign w:val="center"/>
            <w:hideMark/>
          </w:tcPr>
          <w:p w14:paraId="6A561DE4" w14:textId="77777777" w:rsidR="00000000" w:rsidRDefault="00C1661D">
            <w:pPr>
              <w:spacing w:after="100"/>
              <w:rPr>
                <w:rFonts w:eastAsia="Times New Roman"/>
                <w:sz w:val="20"/>
                <w:szCs w:val="20"/>
              </w:rPr>
            </w:pPr>
          </w:p>
        </w:tc>
        <w:tc>
          <w:tcPr>
            <w:tcW w:w="5" w:type="pct"/>
            <w:vAlign w:val="center"/>
            <w:hideMark/>
          </w:tcPr>
          <w:p w14:paraId="04C59A42" w14:textId="77777777" w:rsidR="00000000" w:rsidRDefault="00C1661D">
            <w:pPr>
              <w:spacing w:after="100"/>
              <w:rPr>
                <w:rFonts w:eastAsia="Times New Roman"/>
                <w:sz w:val="20"/>
                <w:szCs w:val="20"/>
              </w:rPr>
            </w:pPr>
          </w:p>
        </w:tc>
        <w:tc>
          <w:tcPr>
            <w:tcW w:w="26" w:type="pct"/>
            <w:vAlign w:val="center"/>
            <w:hideMark/>
          </w:tcPr>
          <w:p w14:paraId="2BBB9511" w14:textId="77777777" w:rsidR="00000000" w:rsidRDefault="00C1661D">
            <w:pPr>
              <w:spacing w:after="100"/>
              <w:rPr>
                <w:rFonts w:eastAsia="Times New Roman"/>
                <w:sz w:val="20"/>
                <w:szCs w:val="20"/>
              </w:rPr>
            </w:pPr>
          </w:p>
        </w:tc>
        <w:tc>
          <w:tcPr>
            <w:tcW w:w="5" w:type="pct"/>
            <w:vAlign w:val="center"/>
            <w:hideMark/>
          </w:tcPr>
          <w:p w14:paraId="565284C4" w14:textId="77777777" w:rsidR="00000000" w:rsidRDefault="00C1661D">
            <w:pPr>
              <w:spacing w:after="100"/>
              <w:rPr>
                <w:rFonts w:eastAsia="Times New Roman"/>
                <w:sz w:val="20"/>
                <w:szCs w:val="20"/>
              </w:rPr>
            </w:pPr>
          </w:p>
        </w:tc>
        <w:tc>
          <w:tcPr>
            <w:tcW w:w="50" w:type="pct"/>
            <w:vAlign w:val="center"/>
            <w:hideMark/>
          </w:tcPr>
          <w:p w14:paraId="36BC3A01" w14:textId="77777777" w:rsidR="00000000" w:rsidRDefault="00C1661D">
            <w:pPr>
              <w:spacing w:after="100"/>
              <w:rPr>
                <w:rFonts w:eastAsia="Times New Roman"/>
                <w:sz w:val="20"/>
                <w:szCs w:val="20"/>
              </w:rPr>
            </w:pPr>
          </w:p>
        </w:tc>
        <w:tc>
          <w:tcPr>
            <w:tcW w:w="581" w:type="pct"/>
            <w:vAlign w:val="center"/>
            <w:hideMark/>
          </w:tcPr>
          <w:p w14:paraId="6E0A1A4B" w14:textId="77777777" w:rsidR="00000000" w:rsidRDefault="00C1661D">
            <w:pPr>
              <w:spacing w:after="100"/>
              <w:rPr>
                <w:rFonts w:eastAsia="Times New Roman"/>
                <w:sz w:val="20"/>
                <w:szCs w:val="20"/>
              </w:rPr>
            </w:pPr>
          </w:p>
        </w:tc>
        <w:tc>
          <w:tcPr>
            <w:tcW w:w="5" w:type="pct"/>
            <w:vAlign w:val="center"/>
            <w:hideMark/>
          </w:tcPr>
          <w:p w14:paraId="149F9899" w14:textId="77777777" w:rsidR="00000000" w:rsidRDefault="00C1661D">
            <w:pPr>
              <w:spacing w:after="100"/>
              <w:rPr>
                <w:rFonts w:eastAsia="Times New Roman"/>
                <w:sz w:val="20"/>
                <w:szCs w:val="20"/>
              </w:rPr>
            </w:pPr>
          </w:p>
        </w:tc>
        <w:tc>
          <w:tcPr>
            <w:tcW w:w="5" w:type="pct"/>
            <w:vAlign w:val="center"/>
            <w:hideMark/>
          </w:tcPr>
          <w:p w14:paraId="49ADE80B" w14:textId="77777777" w:rsidR="00000000" w:rsidRDefault="00C1661D">
            <w:pPr>
              <w:spacing w:after="100"/>
              <w:rPr>
                <w:rFonts w:eastAsia="Times New Roman"/>
                <w:sz w:val="20"/>
                <w:szCs w:val="20"/>
              </w:rPr>
            </w:pPr>
          </w:p>
        </w:tc>
        <w:tc>
          <w:tcPr>
            <w:tcW w:w="26" w:type="pct"/>
            <w:vAlign w:val="center"/>
            <w:hideMark/>
          </w:tcPr>
          <w:p w14:paraId="2FABCC42" w14:textId="77777777" w:rsidR="00000000" w:rsidRDefault="00C1661D">
            <w:pPr>
              <w:spacing w:after="100"/>
              <w:rPr>
                <w:rFonts w:eastAsia="Times New Roman"/>
                <w:sz w:val="20"/>
                <w:szCs w:val="20"/>
              </w:rPr>
            </w:pPr>
          </w:p>
        </w:tc>
        <w:tc>
          <w:tcPr>
            <w:tcW w:w="5" w:type="pct"/>
            <w:vAlign w:val="center"/>
            <w:hideMark/>
          </w:tcPr>
          <w:p w14:paraId="6CC7C6C8" w14:textId="77777777" w:rsidR="00000000" w:rsidRDefault="00C1661D">
            <w:pPr>
              <w:spacing w:after="100"/>
              <w:rPr>
                <w:rFonts w:eastAsia="Times New Roman"/>
                <w:sz w:val="20"/>
                <w:szCs w:val="20"/>
              </w:rPr>
            </w:pPr>
          </w:p>
        </w:tc>
        <w:tc>
          <w:tcPr>
            <w:tcW w:w="50" w:type="pct"/>
            <w:vAlign w:val="center"/>
            <w:hideMark/>
          </w:tcPr>
          <w:p w14:paraId="4721D972" w14:textId="77777777" w:rsidR="00000000" w:rsidRDefault="00C1661D">
            <w:pPr>
              <w:spacing w:after="100"/>
              <w:rPr>
                <w:rFonts w:eastAsia="Times New Roman"/>
                <w:sz w:val="20"/>
                <w:szCs w:val="20"/>
              </w:rPr>
            </w:pPr>
          </w:p>
        </w:tc>
        <w:tc>
          <w:tcPr>
            <w:tcW w:w="582" w:type="pct"/>
            <w:vAlign w:val="center"/>
            <w:hideMark/>
          </w:tcPr>
          <w:p w14:paraId="789FCEBD" w14:textId="77777777" w:rsidR="00000000" w:rsidRDefault="00C1661D">
            <w:pPr>
              <w:spacing w:after="100"/>
              <w:rPr>
                <w:rFonts w:eastAsia="Times New Roman"/>
                <w:sz w:val="20"/>
                <w:szCs w:val="20"/>
              </w:rPr>
            </w:pPr>
          </w:p>
        </w:tc>
        <w:tc>
          <w:tcPr>
            <w:tcW w:w="5" w:type="pct"/>
            <w:vAlign w:val="center"/>
            <w:hideMark/>
          </w:tcPr>
          <w:p w14:paraId="25CB312E" w14:textId="77777777" w:rsidR="00000000" w:rsidRDefault="00C1661D">
            <w:pPr>
              <w:spacing w:after="100"/>
              <w:rPr>
                <w:rFonts w:eastAsia="Times New Roman"/>
                <w:sz w:val="20"/>
                <w:szCs w:val="20"/>
              </w:rPr>
            </w:pPr>
          </w:p>
        </w:tc>
      </w:tr>
      <w:tr w:rsidR="00000000" w14:paraId="4C5272A1" w14:textId="77777777">
        <w:trPr>
          <w:trHeight w:val="60"/>
        </w:trPr>
        <w:tc>
          <w:tcPr>
            <w:tcW w:w="0" w:type="auto"/>
            <w:gridSpan w:val="3"/>
            <w:tcMar>
              <w:top w:w="0" w:type="dxa"/>
              <w:left w:w="20" w:type="dxa"/>
              <w:bottom w:w="0" w:type="dxa"/>
              <w:right w:w="20" w:type="dxa"/>
            </w:tcMar>
            <w:vAlign w:val="center"/>
            <w:hideMark/>
          </w:tcPr>
          <w:p w14:paraId="1DF37500"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DC4A5B"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1D583A"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CE9ABD"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130D31"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EDE40D" w14:textId="77777777" w:rsidR="00000000" w:rsidRDefault="00C1661D">
            <w:pPr>
              <w:spacing w:after="100"/>
              <w:rPr>
                <w:rFonts w:eastAsia="Times New Roman"/>
                <w:sz w:val="20"/>
                <w:szCs w:val="20"/>
              </w:rPr>
            </w:pPr>
          </w:p>
        </w:tc>
      </w:tr>
      <w:tr w:rsidR="00000000" w14:paraId="02D0AD47" w14:textId="77777777">
        <w:tc>
          <w:tcPr>
            <w:tcW w:w="0" w:type="auto"/>
            <w:gridSpan w:val="3"/>
            <w:vAlign w:val="center"/>
            <w:hideMark/>
          </w:tcPr>
          <w:p w14:paraId="12047544" w14:textId="77777777" w:rsidR="00000000" w:rsidRDefault="00C1661D">
            <w:pPr>
              <w:spacing w:after="100"/>
              <w:rPr>
                <w:rFonts w:eastAsia="Times New Roman"/>
                <w:sz w:val="20"/>
                <w:szCs w:val="20"/>
              </w:rPr>
            </w:pPr>
          </w:p>
        </w:tc>
        <w:tc>
          <w:tcPr>
            <w:tcW w:w="0" w:type="auto"/>
            <w:gridSpan w:val="3"/>
            <w:vAlign w:val="center"/>
            <w:hideMark/>
          </w:tcPr>
          <w:p w14:paraId="50135EF6" w14:textId="77777777" w:rsidR="00000000" w:rsidRDefault="00C1661D">
            <w:pPr>
              <w:spacing w:after="100"/>
              <w:rPr>
                <w:rFonts w:eastAsia="Times New Roman"/>
                <w:sz w:val="20"/>
                <w:szCs w:val="20"/>
              </w:rPr>
            </w:pPr>
          </w:p>
        </w:tc>
        <w:tc>
          <w:tcPr>
            <w:tcW w:w="0" w:type="auto"/>
            <w:vAlign w:val="center"/>
            <w:hideMark/>
          </w:tcPr>
          <w:p w14:paraId="122ED21F" w14:textId="77777777" w:rsidR="00000000" w:rsidRDefault="00C1661D">
            <w:pPr>
              <w:spacing w:after="100"/>
              <w:rPr>
                <w:rFonts w:eastAsia="Times New Roman"/>
                <w:sz w:val="20"/>
                <w:szCs w:val="20"/>
              </w:rPr>
            </w:pPr>
          </w:p>
        </w:tc>
        <w:tc>
          <w:tcPr>
            <w:tcW w:w="0" w:type="auto"/>
            <w:vAlign w:val="center"/>
            <w:hideMark/>
          </w:tcPr>
          <w:p w14:paraId="293F9F11" w14:textId="77777777" w:rsidR="00000000" w:rsidRDefault="00C1661D">
            <w:pPr>
              <w:spacing w:after="100"/>
              <w:rPr>
                <w:rFonts w:eastAsia="Times New Roman"/>
                <w:sz w:val="20"/>
                <w:szCs w:val="20"/>
              </w:rPr>
            </w:pPr>
          </w:p>
        </w:tc>
        <w:tc>
          <w:tcPr>
            <w:tcW w:w="0" w:type="auto"/>
            <w:vAlign w:val="center"/>
            <w:hideMark/>
          </w:tcPr>
          <w:p w14:paraId="08C624AC" w14:textId="77777777" w:rsidR="00000000" w:rsidRDefault="00C1661D">
            <w:pPr>
              <w:spacing w:after="100"/>
              <w:rPr>
                <w:rFonts w:eastAsia="Times New Roman"/>
                <w:sz w:val="20"/>
                <w:szCs w:val="20"/>
              </w:rPr>
            </w:pPr>
          </w:p>
        </w:tc>
        <w:tc>
          <w:tcPr>
            <w:tcW w:w="0" w:type="auto"/>
            <w:vAlign w:val="center"/>
            <w:hideMark/>
          </w:tcPr>
          <w:p w14:paraId="347997A0" w14:textId="77777777" w:rsidR="00000000" w:rsidRDefault="00C1661D">
            <w:pPr>
              <w:spacing w:after="100"/>
              <w:rPr>
                <w:rFonts w:eastAsia="Times New Roman"/>
                <w:sz w:val="20"/>
                <w:szCs w:val="20"/>
              </w:rPr>
            </w:pPr>
          </w:p>
        </w:tc>
        <w:tc>
          <w:tcPr>
            <w:tcW w:w="0" w:type="auto"/>
            <w:vAlign w:val="center"/>
            <w:hideMark/>
          </w:tcPr>
          <w:p w14:paraId="37BAB75B" w14:textId="77777777" w:rsidR="00000000" w:rsidRDefault="00C1661D">
            <w:pPr>
              <w:spacing w:after="100"/>
              <w:rPr>
                <w:rFonts w:eastAsia="Times New Roman"/>
                <w:sz w:val="20"/>
                <w:szCs w:val="20"/>
              </w:rPr>
            </w:pPr>
          </w:p>
        </w:tc>
        <w:tc>
          <w:tcPr>
            <w:tcW w:w="0" w:type="auto"/>
            <w:vAlign w:val="center"/>
            <w:hideMark/>
          </w:tcPr>
          <w:p w14:paraId="1118FCEC" w14:textId="77777777" w:rsidR="00000000" w:rsidRDefault="00C1661D">
            <w:pPr>
              <w:spacing w:after="100"/>
              <w:rPr>
                <w:rFonts w:eastAsia="Times New Roman"/>
                <w:sz w:val="20"/>
                <w:szCs w:val="20"/>
              </w:rPr>
            </w:pPr>
          </w:p>
        </w:tc>
        <w:tc>
          <w:tcPr>
            <w:tcW w:w="0" w:type="auto"/>
            <w:vAlign w:val="center"/>
            <w:hideMark/>
          </w:tcPr>
          <w:p w14:paraId="06AB9B91" w14:textId="77777777" w:rsidR="00000000" w:rsidRDefault="00C1661D">
            <w:pPr>
              <w:spacing w:after="100"/>
              <w:rPr>
                <w:rFonts w:eastAsia="Times New Roman"/>
                <w:sz w:val="20"/>
                <w:szCs w:val="20"/>
              </w:rPr>
            </w:pPr>
          </w:p>
        </w:tc>
        <w:tc>
          <w:tcPr>
            <w:tcW w:w="0" w:type="auto"/>
            <w:vAlign w:val="center"/>
            <w:hideMark/>
          </w:tcPr>
          <w:p w14:paraId="007BB523" w14:textId="77777777" w:rsidR="00000000" w:rsidRDefault="00C1661D">
            <w:pPr>
              <w:spacing w:after="100"/>
              <w:rPr>
                <w:rFonts w:eastAsia="Times New Roman"/>
                <w:sz w:val="20"/>
                <w:szCs w:val="20"/>
              </w:rPr>
            </w:pPr>
          </w:p>
        </w:tc>
        <w:tc>
          <w:tcPr>
            <w:tcW w:w="0" w:type="auto"/>
            <w:vAlign w:val="center"/>
            <w:hideMark/>
          </w:tcPr>
          <w:p w14:paraId="24E0C0AE" w14:textId="77777777" w:rsidR="00000000" w:rsidRDefault="00C1661D">
            <w:pPr>
              <w:spacing w:after="100"/>
              <w:rPr>
                <w:rFonts w:eastAsia="Times New Roman"/>
                <w:sz w:val="20"/>
                <w:szCs w:val="20"/>
              </w:rPr>
            </w:pPr>
          </w:p>
        </w:tc>
        <w:tc>
          <w:tcPr>
            <w:tcW w:w="0" w:type="auto"/>
            <w:vAlign w:val="center"/>
            <w:hideMark/>
          </w:tcPr>
          <w:p w14:paraId="5D4C9932" w14:textId="77777777" w:rsidR="00000000" w:rsidRDefault="00C1661D">
            <w:pPr>
              <w:spacing w:after="100"/>
              <w:rPr>
                <w:rFonts w:eastAsia="Times New Roman"/>
                <w:sz w:val="20"/>
                <w:szCs w:val="20"/>
              </w:rPr>
            </w:pPr>
          </w:p>
        </w:tc>
        <w:tc>
          <w:tcPr>
            <w:tcW w:w="0" w:type="auto"/>
            <w:vAlign w:val="center"/>
            <w:hideMark/>
          </w:tcPr>
          <w:p w14:paraId="5E9DEB2A" w14:textId="77777777" w:rsidR="00000000" w:rsidRDefault="00C1661D">
            <w:pPr>
              <w:spacing w:after="100"/>
              <w:rPr>
                <w:rFonts w:eastAsia="Times New Roman"/>
                <w:sz w:val="20"/>
                <w:szCs w:val="20"/>
              </w:rPr>
            </w:pPr>
          </w:p>
        </w:tc>
        <w:tc>
          <w:tcPr>
            <w:tcW w:w="0" w:type="auto"/>
            <w:vAlign w:val="center"/>
            <w:hideMark/>
          </w:tcPr>
          <w:p w14:paraId="6B53A43D" w14:textId="77777777" w:rsidR="00000000" w:rsidRDefault="00C1661D">
            <w:pPr>
              <w:spacing w:after="100"/>
              <w:rPr>
                <w:rFonts w:eastAsia="Times New Roman"/>
                <w:sz w:val="20"/>
                <w:szCs w:val="20"/>
              </w:rPr>
            </w:pPr>
          </w:p>
        </w:tc>
      </w:tr>
      <w:tr w:rsidR="00000000" w14:paraId="1A5B0DDB" w14:textId="77777777">
        <w:tc>
          <w:tcPr>
            <w:tcW w:w="0" w:type="auto"/>
            <w:gridSpan w:val="3"/>
            <w:vAlign w:val="center"/>
            <w:hideMark/>
          </w:tcPr>
          <w:p w14:paraId="1A942CAD" w14:textId="77777777" w:rsidR="00000000" w:rsidRDefault="00C1661D">
            <w:pPr>
              <w:spacing w:after="100"/>
              <w:rPr>
                <w:rFonts w:eastAsia="Times New Roman"/>
                <w:sz w:val="20"/>
                <w:szCs w:val="20"/>
              </w:rPr>
            </w:pPr>
          </w:p>
        </w:tc>
        <w:tc>
          <w:tcPr>
            <w:tcW w:w="0" w:type="auto"/>
            <w:gridSpan w:val="3"/>
            <w:vAlign w:val="center"/>
            <w:hideMark/>
          </w:tcPr>
          <w:p w14:paraId="41829EF3" w14:textId="77777777" w:rsidR="00000000" w:rsidRDefault="00C1661D">
            <w:pPr>
              <w:spacing w:after="100"/>
              <w:rPr>
                <w:rFonts w:eastAsia="Times New Roman"/>
                <w:sz w:val="20"/>
                <w:szCs w:val="20"/>
              </w:rPr>
            </w:pPr>
          </w:p>
        </w:tc>
        <w:tc>
          <w:tcPr>
            <w:tcW w:w="0" w:type="auto"/>
            <w:gridSpan w:val="3"/>
            <w:vAlign w:val="center"/>
            <w:hideMark/>
          </w:tcPr>
          <w:p w14:paraId="4B18A04D" w14:textId="77777777" w:rsidR="00000000" w:rsidRDefault="00C1661D">
            <w:pPr>
              <w:spacing w:after="100"/>
              <w:rPr>
                <w:rFonts w:eastAsia="Times New Roman"/>
                <w:sz w:val="20"/>
                <w:szCs w:val="20"/>
              </w:rPr>
            </w:pPr>
          </w:p>
        </w:tc>
        <w:tc>
          <w:tcPr>
            <w:tcW w:w="0" w:type="auto"/>
            <w:gridSpan w:val="3"/>
            <w:vAlign w:val="center"/>
            <w:hideMark/>
          </w:tcPr>
          <w:p w14:paraId="0ACA8384" w14:textId="77777777" w:rsidR="00000000" w:rsidRDefault="00C1661D">
            <w:pPr>
              <w:spacing w:after="100"/>
              <w:rPr>
                <w:rFonts w:eastAsia="Times New Roman"/>
                <w:sz w:val="20"/>
                <w:szCs w:val="20"/>
              </w:rPr>
            </w:pPr>
          </w:p>
        </w:tc>
        <w:tc>
          <w:tcPr>
            <w:tcW w:w="0" w:type="auto"/>
            <w:gridSpan w:val="3"/>
            <w:vAlign w:val="center"/>
            <w:hideMark/>
          </w:tcPr>
          <w:p w14:paraId="162414C1" w14:textId="77777777" w:rsidR="00000000" w:rsidRDefault="00C1661D">
            <w:pPr>
              <w:spacing w:after="100"/>
              <w:rPr>
                <w:rFonts w:eastAsia="Times New Roman"/>
                <w:sz w:val="20"/>
                <w:szCs w:val="20"/>
              </w:rPr>
            </w:pPr>
          </w:p>
        </w:tc>
        <w:tc>
          <w:tcPr>
            <w:tcW w:w="0" w:type="auto"/>
            <w:gridSpan w:val="3"/>
            <w:vAlign w:val="center"/>
            <w:hideMark/>
          </w:tcPr>
          <w:p w14:paraId="013CF3A1" w14:textId="77777777" w:rsidR="00000000" w:rsidRDefault="00C1661D">
            <w:pPr>
              <w:spacing w:after="100"/>
              <w:rPr>
                <w:rFonts w:eastAsia="Times New Roman"/>
                <w:sz w:val="20"/>
                <w:szCs w:val="20"/>
              </w:rPr>
            </w:pPr>
          </w:p>
        </w:tc>
      </w:tr>
      <w:tr w:rsidR="00000000" w14:paraId="067BAD5E" w14:textId="77777777">
        <w:tc>
          <w:tcPr>
            <w:tcW w:w="0" w:type="auto"/>
            <w:gridSpan w:val="3"/>
            <w:vAlign w:val="center"/>
            <w:hideMark/>
          </w:tcPr>
          <w:p w14:paraId="322F3E09" w14:textId="77777777" w:rsidR="00000000" w:rsidRDefault="00C1661D">
            <w:pPr>
              <w:spacing w:after="100"/>
              <w:rPr>
                <w:rFonts w:eastAsia="Times New Roman"/>
                <w:sz w:val="20"/>
                <w:szCs w:val="20"/>
              </w:rPr>
            </w:pPr>
          </w:p>
        </w:tc>
        <w:tc>
          <w:tcPr>
            <w:tcW w:w="0" w:type="auto"/>
            <w:gridSpan w:val="3"/>
            <w:vAlign w:val="center"/>
            <w:hideMark/>
          </w:tcPr>
          <w:p w14:paraId="596BBC71" w14:textId="77777777" w:rsidR="00000000" w:rsidRDefault="00C1661D">
            <w:pPr>
              <w:spacing w:after="100"/>
              <w:rPr>
                <w:rFonts w:eastAsia="Times New Roman"/>
                <w:sz w:val="20"/>
                <w:szCs w:val="20"/>
              </w:rPr>
            </w:pPr>
          </w:p>
        </w:tc>
        <w:tc>
          <w:tcPr>
            <w:tcW w:w="0" w:type="auto"/>
            <w:gridSpan w:val="3"/>
            <w:vAlign w:val="center"/>
            <w:hideMark/>
          </w:tcPr>
          <w:p w14:paraId="15292317" w14:textId="77777777" w:rsidR="00000000" w:rsidRDefault="00C1661D">
            <w:pPr>
              <w:spacing w:after="100"/>
              <w:rPr>
                <w:rFonts w:eastAsia="Times New Roman"/>
                <w:sz w:val="20"/>
                <w:szCs w:val="20"/>
              </w:rPr>
            </w:pPr>
          </w:p>
        </w:tc>
        <w:tc>
          <w:tcPr>
            <w:tcW w:w="0" w:type="auto"/>
            <w:gridSpan w:val="3"/>
            <w:vAlign w:val="center"/>
            <w:hideMark/>
          </w:tcPr>
          <w:p w14:paraId="6633F807" w14:textId="77777777" w:rsidR="00000000" w:rsidRDefault="00C1661D">
            <w:pPr>
              <w:spacing w:after="100"/>
              <w:rPr>
                <w:rFonts w:eastAsia="Times New Roman"/>
                <w:sz w:val="20"/>
                <w:szCs w:val="20"/>
              </w:rPr>
            </w:pPr>
          </w:p>
        </w:tc>
        <w:tc>
          <w:tcPr>
            <w:tcW w:w="0" w:type="auto"/>
            <w:gridSpan w:val="3"/>
            <w:vAlign w:val="center"/>
            <w:hideMark/>
          </w:tcPr>
          <w:p w14:paraId="72BF1A1A" w14:textId="77777777" w:rsidR="00000000" w:rsidRDefault="00C1661D">
            <w:pPr>
              <w:spacing w:after="100"/>
              <w:rPr>
                <w:rFonts w:eastAsia="Times New Roman"/>
                <w:sz w:val="20"/>
                <w:szCs w:val="20"/>
              </w:rPr>
            </w:pPr>
          </w:p>
        </w:tc>
        <w:tc>
          <w:tcPr>
            <w:tcW w:w="0" w:type="auto"/>
            <w:gridSpan w:val="3"/>
            <w:vAlign w:val="center"/>
            <w:hideMark/>
          </w:tcPr>
          <w:p w14:paraId="2859576D" w14:textId="77777777" w:rsidR="00000000" w:rsidRDefault="00C1661D">
            <w:pPr>
              <w:spacing w:after="100"/>
              <w:rPr>
                <w:rFonts w:eastAsia="Times New Roman"/>
                <w:sz w:val="20"/>
                <w:szCs w:val="20"/>
              </w:rPr>
            </w:pPr>
          </w:p>
        </w:tc>
      </w:tr>
      <w:tr w:rsidR="00000000" w14:paraId="79CE426D" w14:textId="77777777">
        <w:tc>
          <w:tcPr>
            <w:tcW w:w="0" w:type="auto"/>
            <w:gridSpan w:val="3"/>
            <w:vAlign w:val="center"/>
            <w:hideMark/>
          </w:tcPr>
          <w:p w14:paraId="51B6AE89" w14:textId="77777777" w:rsidR="00000000" w:rsidRDefault="00C1661D">
            <w:pPr>
              <w:spacing w:after="100"/>
              <w:rPr>
                <w:rFonts w:eastAsia="Times New Roman"/>
                <w:sz w:val="20"/>
                <w:szCs w:val="20"/>
              </w:rPr>
            </w:pPr>
          </w:p>
        </w:tc>
        <w:tc>
          <w:tcPr>
            <w:tcW w:w="0" w:type="auto"/>
            <w:gridSpan w:val="3"/>
            <w:vAlign w:val="center"/>
            <w:hideMark/>
          </w:tcPr>
          <w:p w14:paraId="6852B13B" w14:textId="77777777" w:rsidR="00000000" w:rsidRDefault="00C1661D">
            <w:pPr>
              <w:spacing w:after="100"/>
              <w:rPr>
                <w:rFonts w:eastAsia="Times New Roman"/>
                <w:sz w:val="20"/>
                <w:szCs w:val="20"/>
              </w:rPr>
            </w:pPr>
          </w:p>
        </w:tc>
        <w:tc>
          <w:tcPr>
            <w:tcW w:w="0" w:type="auto"/>
            <w:gridSpan w:val="3"/>
            <w:vAlign w:val="center"/>
            <w:hideMark/>
          </w:tcPr>
          <w:p w14:paraId="4766211D" w14:textId="77777777" w:rsidR="00000000" w:rsidRDefault="00C1661D">
            <w:pPr>
              <w:spacing w:after="100"/>
              <w:rPr>
                <w:rFonts w:eastAsia="Times New Roman"/>
                <w:sz w:val="20"/>
                <w:szCs w:val="20"/>
              </w:rPr>
            </w:pPr>
          </w:p>
        </w:tc>
        <w:tc>
          <w:tcPr>
            <w:tcW w:w="0" w:type="auto"/>
            <w:gridSpan w:val="3"/>
            <w:vAlign w:val="center"/>
            <w:hideMark/>
          </w:tcPr>
          <w:p w14:paraId="341138F7" w14:textId="77777777" w:rsidR="00000000" w:rsidRDefault="00C1661D">
            <w:pPr>
              <w:spacing w:after="100"/>
              <w:rPr>
                <w:rFonts w:eastAsia="Times New Roman"/>
                <w:sz w:val="20"/>
                <w:szCs w:val="20"/>
              </w:rPr>
            </w:pPr>
          </w:p>
        </w:tc>
        <w:tc>
          <w:tcPr>
            <w:tcW w:w="0" w:type="auto"/>
            <w:gridSpan w:val="3"/>
            <w:vAlign w:val="center"/>
            <w:hideMark/>
          </w:tcPr>
          <w:p w14:paraId="13C336FF" w14:textId="77777777" w:rsidR="00000000" w:rsidRDefault="00C1661D">
            <w:pPr>
              <w:spacing w:after="100"/>
              <w:rPr>
                <w:rFonts w:eastAsia="Times New Roman"/>
                <w:sz w:val="20"/>
                <w:szCs w:val="20"/>
              </w:rPr>
            </w:pPr>
          </w:p>
        </w:tc>
        <w:tc>
          <w:tcPr>
            <w:tcW w:w="0" w:type="auto"/>
            <w:gridSpan w:val="3"/>
            <w:vAlign w:val="center"/>
            <w:hideMark/>
          </w:tcPr>
          <w:p w14:paraId="43219141" w14:textId="77777777" w:rsidR="00000000" w:rsidRDefault="00C1661D">
            <w:pPr>
              <w:spacing w:after="100"/>
              <w:rPr>
                <w:rFonts w:eastAsia="Times New Roman"/>
                <w:sz w:val="20"/>
                <w:szCs w:val="20"/>
              </w:rPr>
            </w:pPr>
          </w:p>
        </w:tc>
      </w:tr>
      <w:tr w:rsidR="00000000" w14:paraId="34AD8438" w14:textId="77777777">
        <w:tc>
          <w:tcPr>
            <w:tcW w:w="0" w:type="auto"/>
            <w:gridSpan w:val="3"/>
            <w:vAlign w:val="center"/>
            <w:hideMark/>
          </w:tcPr>
          <w:p w14:paraId="78D74B4D" w14:textId="77777777" w:rsidR="00000000" w:rsidRDefault="00C1661D">
            <w:pPr>
              <w:spacing w:after="100"/>
              <w:rPr>
                <w:rFonts w:eastAsia="Times New Roman"/>
                <w:sz w:val="20"/>
                <w:szCs w:val="20"/>
              </w:rPr>
            </w:pPr>
          </w:p>
        </w:tc>
        <w:tc>
          <w:tcPr>
            <w:tcW w:w="0" w:type="auto"/>
            <w:gridSpan w:val="3"/>
            <w:vAlign w:val="center"/>
            <w:hideMark/>
          </w:tcPr>
          <w:p w14:paraId="7670C4FA" w14:textId="77777777" w:rsidR="00000000" w:rsidRDefault="00C1661D">
            <w:pPr>
              <w:spacing w:after="100"/>
              <w:rPr>
                <w:rFonts w:eastAsia="Times New Roman"/>
                <w:sz w:val="20"/>
                <w:szCs w:val="20"/>
              </w:rPr>
            </w:pPr>
          </w:p>
        </w:tc>
        <w:tc>
          <w:tcPr>
            <w:tcW w:w="0" w:type="auto"/>
            <w:gridSpan w:val="3"/>
            <w:vAlign w:val="center"/>
            <w:hideMark/>
          </w:tcPr>
          <w:p w14:paraId="5F419C56" w14:textId="77777777" w:rsidR="00000000" w:rsidRDefault="00C1661D">
            <w:pPr>
              <w:spacing w:after="100"/>
              <w:rPr>
                <w:rFonts w:eastAsia="Times New Roman"/>
                <w:sz w:val="20"/>
                <w:szCs w:val="20"/>
              </w:rPr>
            </w:pPr>
          </w:p>
        </w:tc>
        <w:tc>
          <w:tcPr>
            <w:tcW w:w="0" w:type="auto"/>
            <w:gridSpan w:val="3"/>
            <w:vAlign w:val="center"/>
            <w:hideMark/>
          </w:tcPr>
          <w:p w14:paraId="73177046" w14:textId="77777777" w:rsidR="00000000" w:rsidRDefault="00C1661D">
            <w:pPr>
              <w:spacing w:after="100"/>
              <w:rPr>
                <w:rFonts w:eastAsia="Times New Roman"/>
                <w:sz w:val="20"/>
                <w:szCs w:val="20"/>
              </w:rPr>
            </w:pPr>
          </w:p>
        </w:tc>
        <w:tc>
          <w:tcPr>
            <w:tcW w:w="0" w:type="auto"/>
            <w:gridSpan w:val="3"/>
            <w:vAlign w:val="center"/>
            <w:hideMark/>
          </w:tcPr>
          <w:p w14:paraId="653B0FE2" w14:textId="77777777" w:rsidR="00000000" w:rsidRDefault="00C1661D">
            <w:pPr>
              <w:spacing w:after="100"/>
              <w:rPr>
                <w:rFonts w:eastAsia="Times New Roman"/>
                <w:sz w:val="20"/>
                <w:szCs w:val="20"/>
              </w:rPr>
            </w:pPr>
          </w:p>
        </w:tc>
        <w:tc>
          <w:tcPr>
            <w:tcW w:w="0" w:type="auto"/>
            <w:gridSpan w:val="3"/>
            <w:vAlign w:val="center"/>
            <w:hideMark/>
          </w:tcPr>
          <w:p w14:paraId="25DD4504" w14:textId="77777777" w:rsidR="00000000" w:rsidRDefault="00C1661D">
            <w:pPr>
              <w:spacing w:after="100"/>
              <w:rPr>
                <w:rFonts w:eastAsia="Times New Roman"/>
                <w:sz w:val="20"/>
                <w:szCs w:val="20"/>
              </w:rPr>
            </w:pPr>
          </w:p>
        </w:tc>
      </w:tr>
      <w:tr w:rsidR="00000000" w14:paraId="71FC536A" w14:textId="77777777">
        <w:tc>
          <w:tcPr>
            <w:tcW w:w="0" w:type="auto"/>
            <w:gridSpan w:val="3"/>
            <w:vAlign w:val="center"/>
            <w:hideMark/>
          </w:tcPr>
          <w:p w14:paraId="7FB6230B" w14:textId="77777777" w:rsidR="00000000" w:rsidRDefault="00C1661D">
            <w:pPr>
              <w:spacing w:after="100"/>
              <w:rPr>
                <w:rFonts w:eastAsia="Times New Roman"/>
                <w:sz w:val="20"/>
                <w:szCs w:val="20"/>
              </w:rPr>
            </w:pPr>
          </w:p>
        </w:tc>
        <w:tc>
          <w:tcPr>
            <w:tcW w:w="0" w:type="auto"/>
            <w:gridSpan w:val="3"/>
            <w:vAlign w:val="center"/>
            <w:hideMark/>
          </w:tcPr>
          <w:p w14:paraId="096B60E0" w14:textId="77777777" w:rsidR="00000000" w:rsidRDefault="00C1661D">
            <w:pPr>
              <w:spacing w:after="100"/>
              <w:rPr>
                <w:rFonts w:eastAsia="Times New Roman"/>
                <w:sz w:val="20"/>
                <w:szCs w:val="20"/>
              </w:rPr>
            </w:pPr>
          </w:p>
        </w:tc>
        <w:tc>
          <w:tcPr>
            <w:tcW w:w="0" w:type="auto"/>
            <w:gridSpan w:val="3"/>
            <w:vAlign w:val="center"/>
            <w:hideMark/>
          </w:tcPr>
          <w:p w14:paraId="777018DC" w14:textId="77777777" w:rsidR="00000000" w:rsidRDefault="00C1661D">
            <w:pPr>
              <w:spacing w:after="100"/>
              <w:rPr>
                <w:rFonts w:eastAsia="Times New Roman"/>
                <w:sz w:val="20"/>
                <w:szCs w:val="20"/>
              </w:rPr>
            </w:pPr>
          </w:p>
        </w:tc>
        <w:tc>
          <w:tcPr>
            <w:tcW w:w="0" w:type="auto"/>
            <w:gridSpan w:val="3"/>
            <w:vAlign w:val="center"/>
            <w:hideMark/>
          </w:tcPr>
          <w:p w14:paraId="2276A590" w14:textId="77777777" w:rsidR="00000000" w:rsidRDefault="00C1661D">
            <w:pPr>
              <w:spacing w:after="100"/>
              <w:rPr>
                <w:rFonts w:eastAsia="Times New Roman"/>
                <w:sz w:val="20"/>
                <w:szCs w:val="20"/>
              </w:rPr>
            </w:pPr>
          </w:p>
        </w:tc>
        <w:tc>
          <w:tcPr>
            <w:tcW w:w="0" w:type="auto"/>
            <w:gridSpan w:val="3"/>
            <w:vAlign w:val="center"/>
            <w:hideMark/>
          </w:tcPr>
          <w:p w14:paraId="3CBA3FAF" w14:textId="77777777" w:rsidR="00000000" w:rsidRDefault="00C1661D">
            <w:pPr>
              <w:spacing w:after="100"/>
              <w:rPr>
                <w:rFonts w:eastAsia="Times New Roman"/>
                <w:sz w:val="20"/>
                <w:szCs w:val="20"/>
              </w:rPr>
            </w:pPr>
          </w:p>
        </w:tc>
        <w:tc>
          <w:tcPr>
            <w:tcW w:w="0" w:type="auto"/>
            <w:gridSpan w:val="3"/>
            <w:vAlign w:val="center"/>
            <w:hideMark/>
          </w:tcPr>
          <w:p w14:paraId="5029E328" w14:textId="77777777" w:rsidR="00000000" w:rsidRDefault="00C1661D">
            <w:pPr>
              <w:spacing w:after="100"/>
              <w:rPr>
                <w:rFonts w:eastAsia="Times New Roman"/>
                <w:sz w:val="20"/>
                <w:szCs w:val="20"/>
              </w:rPr>
            </w:pPr>
          </w:p>
        </w:tc>
      </w:tr>
    </w:tbl>
    <w:p w14:paraId="7818FA32" w14:textId="77777777" w:rsidR="00000000" w:rsidRDefault="00C1661D">
      <w:pPr>
        <w:jc w:val="both"/>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3"/>
        <w:gridCol w:w="4807"/>
        <w:gridCol w:w="36"/>
        <w:gridCol w:w="63"/>
        <w:gridCol w:w="1528"/>
        <w:gridCol w:w="36"/>
        <w:gridCol w:w="36"/>
        <w:gridCol w:w="36"/>
        <w:gridCol w:w="36"/>
        <w:gridCol w:w="52"/>
        <w:gridCol w:w="1577"/>
        <w:gridCol w:w="36"/>
      </w:tblGrid>
      <w:tr w:rsidR="00000000" w14:paraId="6FC9376C" w14:textId="77777777">
        <w:tc>
          <w:tcPr>
            <w:tcW w:w="50" w:type="pct"/>
            <w:vAlign w:val="center"/>
            <w:hideMark/>
          </w:tcPr>
          <w:p w14:paraId="7143578F" w14:textId="77777777" w:rsidR="00000000" w:rsidRDefault="00C1661D">
            <w:pPr>
              <w:jc w:val="both"/>
              <w:rPr>
                <w:rFonts w:eastAsia="Times New Roman"/>
              </w:rPr>
            </w:pPr>
          </w:p>
        </w:tc>
        <w:tc>
          <w:tcPr>
            <w:tcW w:w="2905" w:type="pct"/>
            <w:vAlign w:val="center"/>
            <w:hideMark/>
          </w:tcPr>
          <w:p w14:paraId="3F82EB7B" w14:textId="77777777" w:rsidR="00000000" w:rsidRDefault="00C1661D">
            <w:pPr>
              <w:spacing w:after="100"/>
              <w:rPr>
                <w:rFonts w:eastAsia="Times New Roman"/>
                <w:sz w:val="20"/>
                <w:szCs w:val="20"/>
              </w:rPr>
            </w:pPr>
          </w:p>
        </w:tc>
        <w:tc>
          <w:tcPr>
            <w:tcW w:w="5" w:type="pct"/>
            <w:vAlign w:val="center"/>
            <w:hideMark/>
          </w:tcPr>
          <w:p w14:paraId="1C90A221" w14:textId="77777777" w:rsidR="00000000" w:rsidRDefault="00C1661D">
            <w:pPr>
              <w:spacing w:after="100"/>
              <w:rPr>
                <w:rFonts w:eastAsia="Times New Roman"/>
                <w:sz w:val="20"/>
                <w:szCs w:val="20"/>
              </w:rPr>
            </w:pPr>
          </w:p>
        </w:tc>
        <w:tc>
          <w:tcPr>
            <w:tcW w:w="50" w:type="pct"/>
            <w:vAlign w:val="center"/>
            <w:hideMark/>
          </w:tcPr>
          <w:p w14:paraId="73A89AA9" w14:textId="77777777" w:rsidR="00000000" w:rsidRDefault="00C1661D">
            <w:pPr>
              <w:spacing w:after="100"/>
              <w:rPr>
                <w:rFonts w:eastAsia="Times New Roman"/>
                <w:sz w:val="20"/>
                <w:szCs w:val="20"/>
              </w:rPr>
            </w:pPr>
          </w:p>
        </w:tc>
        <w:tc>
          <w:tcPr>
            <w:tcW w:w="931" w:type="pct"/>
            <w:vAlign w:val="center"/>
            <w:hideMark/>
          </w:tcPr>
          <w:p w14:paraId="26423AF5" w14:textId="77777777" w:rsidR="00000000" w:rsidRDefault="00C1661D">
            <w:pPr>
              <w:spacing w:after="100"/>
              <w:rPr>
                <w:rFonts w:eastAsia="Times New Roman"/>
                <w:sz w:val="20"/>
                <w:szCs w:val="20"/>
              </w:rPr>
            </w:pPr>
          </w:p>
        </w:tc>
        <w:tc>
          <w:tcPr>
            <w:tcW w:w="5" w:type="pct"/>
            <w:vAlign w:val="center"/>
            <w:hideMark/>
          </w:tcPr>
          <w:p w14:paraId="55DCA2B1" w14:textId="77777777" w:rsidR="00000000" w:rsidRDefault="00C1661D">
            <w:pPr>
              <w:spacing w:after="100"/>
              <w:rPr>
                <w:rFonts w:eastAsia="Times New Roman"/>
                <w:sz w:val="20"/>
                <w:szCs w:val="20"/>
              </w:rPr>
            </w:pPr>
          </w:p>
        </w:tc>
        <w:tc>
          <w:tcPr>
            <w:tcW w:w="5" w:type="pct"/>
            <w:vAlign w:val="center"/>
            <w:hideMark/>
          </w:tcPr>
          <w:p w14:paraId="0C5A4A67" w14:textId="77777777" w:rsidR="00000000" w:rsidRDefault="00C1661D">
            <w:pPr>
              <w:spacing w:after="100"/>
              <w:rPr>
                <w:rFonts w:eastAsia="Times New Roman"/>
                <w:sz w:val="20"/>
                <w:szCs w:val="20"/>
              </w:rPr>
            </w:pPr>
          </w:p>
        </w:tc>
        <w:tc>
          <w:tcPr>
            <w:tcW w:w="26" w:type="pct"/>
            <w:vAlign w:val="center"/>
            <w:hideMark/>
          </w:tcPr>
          <w:p w14:paraId="7EE50CAF" w14:textId="77777777" w:rsidR="00000000" w:rsidRDefault="00C1661D">
            <w:pPr>
              <w:spacing w:after="100"/>
              <w:rPr>
                <w:rFonts w:eastAsia="Times New Roman"/>
                <w:sz w:val="20"/>
                <w:szCs w:val="20"/>
              </w:rPr>
            </w:pPr>
          </w:p>
        </w:tc>
        <w:tc>
          <w:tcPr>
            <w:tcW w:w="5" w:type="pct"/>
            <w:vAlign w:val="center"/>
            <w:hideMark/>
          </w:tcPr>
          <w:p w14:paraId="3424896A" w14:textId="77777777" w:rsidR="00000000" w:rsidRDefault="00C1661D">
            <w:pPr>
              <w:spacing w:after="100"/>
              <w:rPr>
                <w:rFonts w:eastAsia="Times New Roman"/>
                <w:sz w:val="20"/>
                <w:szCs w:val="20"/>
              </w:rPr>
            </w:pPr>
          </w:p>
        </w:tc>
        <w:tc>
          <w:tcPr>
            <w:tcW w:w="50" w:type="pct"/>
            <w:vAlign w:val="center"/>
            <w:hideMark/>
          </w:tcPr>
          <w:p w14:paraId="78B87A73" w14:textId="77777777" w:rsidR="00000000" w:rsidRDefault="00C1661D">
            <w:pPr>
              <w:spacing w:after="100"/>
              <w:rPr>
                <w:rFonts w:eastAsia="Times New Roman"/>
                <w:sz w:val="20"/>
                <w:szCs w:val="20"/>
              </w:rPr>
            </w:pPr>
          </w:p>
        </w:tc>
        <w:tc>
          <w:tcPr>
            <w:tcW w:w="961" w:type="pct"/>
            <w:vAlign w:val="center"/>
            <w:hideMark/>
          </w:tcPr>
          <w:p w14:paraId="583E90E7" w14:textId="77777777" w:rsidR="00000000" w:rsidRDefault="00C1661D">
            <w:pPr>
              <w:spacing w:after="100"/>
              <w:rPr>
                <w:rFonts w:eastAsia="Times New Roman"/>
                <w:sz w:val="20"/>
                <w:szCs w:val="20"/>
              </w:rPr>
            </w:pPr>
          </w:p>
        </w:tc>
        <w:tc>
          <w:tcPr>
            <w:tcW w:w="5" w:type="pct"/>
            <w:vAlign w:val="center"/>
            <w:hideMark/>
          </w:tcPr>
          <w:p w14:paraId="7349C2F5" w14:textId="77777777" w:rsidR="00000000" w:rsidRDefault="00C1661D">
            <w:pPr>
              <w:spacing w:after="100"/>
              <w:rPr>
                <w:rFonts w:eastAsia="Times New Roman"/>
                <w:sz w:val="20"/>
                <w:szCs w:val="20"/>
              </w:rPr>
            </w:pPr>
          </w:p>
        </w:tc>
      </w:tr>
      <w:tr w:rsidR="00000000" w14:paraId="26A69789" w14:textId="77777777">
        <w:tc>
          <w:tcPr>
            <w:tcW w:w="0" w:type="auto"/>
            <w:gridSpan w:val="3"/>
            <w:vAlign w:val="center"/>
            <w:hideMark/>
          </w:tcPr>
          <w:p w14:paraId="15602558" w14:textId="77777777" w:rsidR="00000000" w:rsidRDefault="00C1661D">
            <w:pPr>
              <w:spacing w:after="100"/>
              <w:rPr>
                <w:rFonts w:eastAsia="Times New Roman"/>
                <w:sz w:val="20"/>
                <w:szCs w:val="20"/>
              </w:rPr>
            </w:pPr>
          </w:p>
        </w:tc>
        <w:tc>
          <w:tcPr>
            <w:tcW w:w="0" w:type="auto"/>
            <w:gridSpan w:val="3"/>
            <w:vAlign w:val="center"/>
            <w:hideMark/>
          </w:tcPr>
          <w:p w14:paraId="2485653B" w14:textId="77777777" w:rsidR="00000000" w:rsidRDefault="00C1661D">
            <w:pPr>
              <w:spacing w:after="100"/>
              <w:rPr>
                <w:rFonts w:eastAsia="Times New Roman"/>
                <w:sz w:val="20"/>
                <w:szCs w:val="20"/>
              </w:rPr>
            </w:pPr>
          </w:p>
        </w:tc>
        <w:tc>
          <w:tcPr>
            <w:tcW w:w="0" w:type="auto"/>
            <w:vAlign w:val="center"/>
            <w:hideMark/>
          </w:tcPr>
          <w:p w14:paraId="2C894E1E" w14:textId="77777777" w:rsidR="00000000" w:rsidRDefault="00C1661D">
            <w:pPr>
              <w:spacing w:after="100"/>
              <w:rPr>
                <w:rFonts w:eastAsia="Times New Roman"/>
                <w:sz w:val="20"/>
                <w:szCs w:val="20"/>
              </w:rPr>
            </w:pPr>
          </w:p>
        </w:tc>
        <w:tc>
          <w:tcPr>
            <w:tcW w:w="0" w:type="auto"/>
            <w:vAlign w:val="center"/>
            <w:hideMark/>
          </w:tcPr>
          <w:p w14:paraId="2A86ABE4" w14:textId="77777777" w:rsidR="00000000" w:rsidRDefault="00C1661D">
            <w:pPr>
              <w:spacing w:after="100"/>
              <w:rPr>
                <w:rFonts w:eastAsia="Times New Roman"/>
                <w:sz w:val="20"/>
                <w:szCs w:val="20"/>
              </w:rPr>
            </w:pPr>
          </w:p>
        </w:tc>
        <w:tc>
          <w:tcPr>
            <w:tcW w:w="0" w:type="auto"/>
            <w:vAlign w:val="center"/>
            <w:hideMark/>
          </w:tcPr>
          <w:p w14:paraId="0B7D1F40" w14:textId="77777777" w:rsidR="00000000" w:rsidRDefault="00C1661D">
            <w:pPr>
              <w:spacing w:after="100"/>
              <w:rPr>
                <w:rFonts w:eastAsia="Times New Roman"/>
                <w:sz w:val="20"/>
                <w:szCs w:val="20"/>
              </w:rPr>
            </w:pPr>
          </w:p>
        </w:tc>
        <w:tc>
          <w:tcPr>
            <w:tcW w:w="0" w:type="auto"/>
            <w:vAlign w:val="center"/>
            <w:hideMark/>
          </w:tcPr>
          <w:p w14:paraId="5A24906C" w14:textId="77777777" w:rsidR="00000000" w:rsidRDefault="00C1661D">
            <w:pPr>
              <w:spacing w:after="100"/>
              <w:rPr>
                <w:rFonts w:eastAsia="Times New Roman"/>
                <w:sz w:val="20"/>
                <w:szCs w:val="20"/>
              </w:rPr>
            </w:pPr>
          </w:p>
        </w:tc>
        <w:tc>
          <w:tcPr>
            <w:tcW w:w="0" w:type="auto"/>
            <w:vAlign w:val="center"/>
            <w:hideMark/>
          </w:tcPr>
          <w:p w14:paraId="47C56596" w14:textId="77777777" w:rsidR="00000000" w:rsidRDefault="00C1661D">
            <w:pPr>
              <w:spacing w:after="100"/>
              <w:rPr>
                <w:rFonts w:eastAsia="Times New Roman"/>
                <w:sz w:val="20"/>
                <w:szCs w:val="20"/>
              </w:rPr>
            </w:pPr>
          </w:p>
        </w:tc>
        <w:tc>
          <w:tcPr>
            <w:tcW w:w="0" w:type="auto"/>
            <w:vAlign w:val="center"/>
            <w:hideMark/>
          </w:tcPr>
          <w:p w14:paraId="7AD709F9" w14:textId="77777777" w:rsidR="00000000" w:rsidRDefault="00C1661D">
            <w:pPr>
              <w:spacing w:after="100"/>
              <w:rPr>
                <w:rFonts w:eastAsia="Times New Roman"/>
                <w:sz w:val="20"/>
                <w:szCs w:val="20"/>
              </w:rPr>
            </w:pPr>
          </w:p>
        </w:tc>
      </w:tr>
      <w:tr w:rsidR="00000000" w14:paraId="2F572720" w14:textId="77777777">
        <w:trPr>
          <w:trHeight w:val="60"/>
        </w:trPr>
        <w:tc>
          <w:tcPr>
            <w:tcW w:w="0" w:type="auto"/>
            <w:gridSpan w:val="3"/>
            <w:tcMar>
              <w:top w:w="0" w:type="dxa"/>
              <w:left w:w="20" w:type="dxa"/>
              <w:bottom w:w="0" w:type="dxa"/>
              <w:right w:w="20" w:type="dxa"/>
            </w:tcMar>
            <w:vAlign w:val="center"/>
            <w:hideMark/>
          </w:tcPr>
          <w:p w14:paraId="601022D5"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152AD4"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1904F8"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E084E5" w14:textId="77777777" w:rsidR="00000000" w:rsidRDefault="00C1661D">
            <w:pPr>
              <w:spacing w:after="100"/>
              <w:rPr>
                <w:rFonts w:eastAsia="Times New Roman"/>
                <w:sz w:val="20"/>
                <w:szCs w:val="20"/>
              </w:rPr>
            </w:pPr>
          </w:p>
        </w:tc>
      </w:tr>
      <w:tr w:rsidR="00000000" w14:paraId="5661C94E" w14:textId="77777777">
        <w:tc>
          <w:tcPr>
            <w:tcW w:w="0" w:type="auto"/>
            <w:gridSpan w:val="3"/>
            <w:vAlign w:val="center"/>
            <w:hideMark/>
          </w:tcPr>
          <w:p w14:paraId="3D84B99D" w14:textId="77777777" w:rsidR="00000000" w:rsidRDefault="00C1661D">
            <w:pPr>
              <w:spacing w:after="100"/>
              <w:rPr>
                <w:rFonts w:eastAsia="Times New Roman"/>
                <w:sz w:val="20"/>
                <w:szCs w:val="20"/>
              </w:rPr>
            </w:pPr>
          </w:p>
        </w:tc>
        <w:tc>
          <w:tcPr>
            <w:tcW w:w="0" w:type="auto"/>
            <w:gridSpan w:val="3"/>
            <w:vAlign w:val="center"/>
            <w:hideMark/>
          </w:tcPr>
          <w:p w14:paraId="27D17E59" w14:textId="77777777" w:rsidR="00000000" w:rsidRDefault="00C1661D">
            <w:pPr>
              <w:spacing w:after="100"/>
              <w:rPr>
                <w:rFonts w:eastAsia="Times New Roman"/>
                <w:sz w:val="20"/>
                <w:szCs w:val="20"/>
              </w:rPr>
            </w:pPr>
          </w:p>
        </w:tc>
        <w:tc>
          <w:tcPr>
            <w:tcW w:w="0" w:type="auto"/>
            <w:gridSpan w:val="3"/>
            <w:vAlign w:val="center"/>
            <w:hideMark/>
          </w:tcPr>
          <w:p w14:paraId="2AE8ECA8" w14:textId="77777777" w:rsidR="00000000" w:rsidRDefault="00C1661D">
            <w:pPr>
              <w:spacing w:after="100"/>
              <w:rPr>
                <w:rFonts w:eastAsia="Times New Roman"/>
                <w:sz w:val="20"/>
                <w:szCs w:val="20"/>
              </w:rPr>
            </w:pPr>
          </w:p>
        </w:tc>
        <w:tc>
          <w:tcPr>
            <w:tcW w:w="0" w:type="auto"/>
            <w:gridSpan w:val="3"/>
            <w:vAlign w:val="center"/>
            <w:hideMark/>
          </w:tcPr>
          <w:p w14:paraId="44CBB815" w14:textId="77777777" w:rsidR="00000000" w:rsidRDefault="00C1661D">
            <w:pPr>
              <w:spacing w:after="100"/>
              <w:rPr>
                <w:rFonts w:eastAsia="Times New Roman"/>
                <w:sz w:val="20"/>
                <w:szCs w:val="20"/>
              </w:rPr>
            </w:pPr>
          </w:p>
        </w:tc>
      </w:tr>
      <w:tr w:rsidR="00000000" w14:paraId="29F665E5" w14:textId="77777777">
        <w:tc>
          <w:tcPr>
            <w:tcW w:w="0" w:type="auto"/>
            <w:gridSpan w:val="3"/>
            <w:vAlign w:val="center"/>
            <w:hideMark/>
          </w:tcPr>
          <w:p w14:paraId="0074A0B6" w14:textId="77777777" w:rsidR="00000000" w:rsidRDefault="00C1661D">
            <w:pPr>
              <w:spacing w:after="100"/>
              <w:rPr>
                <w:rFonts w:eastAsia="Times New Roman"/>
                <w:sz w:val="20"/>
                <w:szCs w:val="20"/>
              </w:rPr>
            </w:pPr>
          </w:p>
        </w:tc>
        <w:tc>
          <w:tcPr>
            <w:tcW w:w="0" w:type="auto"/>
            <w:gridSpan w:val="3"/>
            <w:vAlign w:val="center"/>
            <w:hideMark/>
          </w:tcPr>
          <w:p w14:paraId="154624C3" w14:textId="77777777" w:rsidR="00000000" w:rsidRDefault="00C1661D">
            <w:pPr>
              <w:spacing w:after="100"/>
              <w:rPr>
                <w:rFonts w:eastAsia="Times New Roman"/>
                <w:sz w:val="20"/>
                <w:szCs w:val="20"/>
              </w:rPr>
            </w:pPr>
          </w:p>
        </w:tc>
        <w:tc>
          <w:tcPr>
            <w:tcW w:w="0" w:type="auto"/>
            <w:gridSpan w:val="3"/>
            <w:vAlign w:val="center"/>
            <w:hideMark/>
          </w:tcPr>
          <w:p w14:paraId="3EFCFA9F" w14:textId="77777777" w:rsidR="00000000" w:rsidRDefault="00C1661D">
            <w:pPr>
              <w:spacing w:after="100"/>
              <w:rPr>
                <w:rFonts w:eastAsia="Times New Roman"/>
                <w:sz w:val="20"/>
                <w:szCs w:val="20"/>
              </w:rPr>
            </w:pPr>
          </w:p>
        </w:tc>
        <w:tc>
          <w:tcPr>
            <w:tcW w:w="0" w:type="auto"/>
            <w:gridSpan w:val="3"/>
            <w:vAlign w:val="center"/>
            <w:hideMark/>
          </w:tcPr>
          <w:p w14:paraId="0A278A6E" w14:textId="77777777" w:rsidR="00000000" w:rsidRDefault="00C1661D">
            <w:pPr>
              <w:spacing w:after="100"/>
              <w:rPr>
                <w:rFonts w:eastAsia="Times New Roman"/>
                <w:sz w:val="20"/>
                <w:szCs w:val="20"/>
              </w:rPr>
            </w:pPr>
          </w:p>
        </w:tc>
      </w:tr>
      <w:tr w:rsidR="00000000" w14:paraId="75EDC714" w14:textId="77777777">
        <w:tc>
          <w:tcPr>
            <w:tcW w:w="0" w:type="auto"/>
            <w:gridSpan w:val="3"/>
            <w:vAlign w:val="center"/>
            <w:hideMark/>
          </w:tcPr>
          <w:p w14:paraId="6CAFC40D" w14:textId="77777777" w:rsidR="00000000" w:rsidRDefault="00C1661D">
            <w:pPr>
              <w:spacing w:after="100"/>
              <w:rPr>
                <w:rFonts w:eastAsia="Times New Roman"/>
                <w:sz w:val="20"/>
                <w:szCs w:val="20"/>
              </w:rPr>
            </w:pPr>
          </w:p>
        </w:tc>
        <w:tc>
          <w:tcPr>
            <w:tcW w:w="0" w:type="auto"/>
            <w:gridSpan w:val="3"/>
            <w:vAlign w:val="center"/>
            <w:hideMark/>
          </w:tcPr>
          <w:p w14:paraId="2E0119F7" w14:textId="77777777" w:rsidR="00000000" w:rsidRDefault="00C1661D">
            <w:pPr>
              <w:spacing w:after="100"/>
              <w:rPr>
                <w:rFonts w:eastAsia="Times New Roman"/>
                <w:sz w:val="20"/>
                <w:szCs w:val="20"/>
              </w:rPr>
            </w:pPr>
          </w:p>
        </w:tc>
        <w:tc>
          <w:tcPr>
            <w:tcW w:w="0" w:type="auto"/>
            <w:gridSpan w:val="3"/>
            <w:vAlign w:val="center"/>
            <w:hideMark/>
          </w:tcPr>
          <w:p w14:paraId="7B4DDA4A" w14:textId="77777777" w:rsidR="00000000" w:rsidRDefault="00C1661D">
            <w:pPr>
              <w:spacing w:after="100"/>
              <w:rPr>
                <w:rFonts w:eastAsia="Times New Roman"/>
                <w:sz w:val="20"/>
                <w:szCs w:val="20"/>
              </w:rPr>
            </w:pPr>
          </w:p>
        </w:tc>
        <w:tc>
          <w:tcPr>
            <w:tcW w:w="0" w:type="auto"/>
            <w:gridSpan w:val="3"/>
            <w:vAlign w:val="center"/>
            <w:hideMark/>
          </w:tcPr>
          <w:p w14:paraId="74BC469C" w14:textId="77777777" w:rsidR="00000000" w:rsidRDefault="00C1661D">
            <w:pPr>
              <w:spacing w:after="100"/>
              <w:rPr>
                <w:rFonts w:eastAsia="Times New Roman"/>
                <w:sz w:val="20"/>
                <w:szCs w:val="20"/>
              </w:rPr>
            </w:pPr>
          </w:p>
        </w:tc>
      </w:tr>
      <w:tr w:rsidR="00000000" w14:paraId="4B18B36C" w14:textId="77777777">
        <w:tc>
          <w:tcPr>
            <w:tcW w:w="0" w:type="auto"/>
            <w:gridSpan w:val="3"/>
            <w:vAlign w:val="center"/>
            <w:hideMark/>
          </w:tcPr>
          <w:p w14:paraId="3DFB4692" w14:textId="77777777" w:rsidR="00000000" w:rsidRDefault="00C1661D">
            <w:pPr>
              <w:spacing w:after="100"/>
              <w:rPr>
                <w:rFonts w:eastAsia="Times New Roman"/>
                <w:sz w:val="20"/>
                <w:szCs w:val="20"/>
              </w:rPr>
            </w:pPr>
          </w:p>
        </w:tc>
        <w:tc>
          <w:tcPr>
            <w:tcW w:w="0" w:type="auto"/>
            <w:gridSpan w:val="3"/>
            <w:vAlign w:val="center"/>
            <w:hideMark/>
          </w:tcPr>
          <w:p w14:paraId="6BCF3610" w14:textId="77777777" w:rsidR="00000000" w:rsidRDefault="00C1661D">
            <w:pPr>
              <w:spacing w:after="100"/>
              <w:rPr>
                <w:rFonts w:eastAsia="Times New Roman"/>
                <w:sz w:val="20"/>
                <w:szCs w:val="20"/>
              </w:rPr>
            </w:pPr>
          </w:p>
        </w:tc>
        <w:tc>
          <w:tcPr>
            <w:tcW w:w="0" w:type="auto"/>
            <w:gridSpan w:val="3"/>
            <w:vAlign w:val="center"/>
            <w:hideMark/>
          </w:tcPr>
          <w:p w14:paraId="0759FAA7" w14:textId="77777777" w:rsidR="00000000" w:rsidRDefault="00C1661D">
            <w:pPr>
              <w:spacing w:after="100"/>
              <w:rPr>
                <w:rFonts w:eastAsia="Times New Roman"/>
                <w:sz w:val="20"/>
                <w:szCs w:val="20"/>
              </w:rPr>
            </w:pPr>
          </w:p>
        </w:tc>
        <w:tc>
          <w:tcPr>
            <w:tcW w:w="0" w:type="auto"/>
            <w:gridSpan w:val="3"/>
            <w:vAlign w:val="center"/>
            <w:hideMark/>
          </w:tcPr>
          <w:p w14:paraId="21F18F71" w14:textId="77777777" w:rsidR="00000000" w:rsidRDefault="00C1661D">
            <w:pPr>
              <w:spacing w:after="100"/>
              <w:rPr>
                <w:rFonts w:eastAsia="Times New Roman"/>
                <w:sz w:val="20"/>
                <w:szCs w:val="20"/>
              </w:rPr>
            </w:pPr>
          </w:p>
        </w:tc>
      </w:tr>
      <w:tr w:rsidR="00000000" w14:paraId="3111CEA8" w14:textId="77777777">
        <w:tc>
          <w:tcPr>
            <w:tcW w:w="0" w:type="auto"/>
            <w:gridSpan w:val="3"/>
            <w:vAlign w:val="center"/>
            <w:hideMark/>
          </w:tcPr>
          <w:p w14:paraId="0DA81A1E" w14:textId="77777777" w:rsidR="00000000" w:rsidRDefault="00C1661D">
            <w:pPr>
              <w:spacing w:after="100"/>
              <w:rPr>
                <w:rFonts w:eastAsia="Times New Roman"/>
                <w:sz w:val="20"/>
                <w:szCs w:val="20"/>
              </w:rPr>
            </w:pPr>
          </w:p>
        </w:tc>
        <w:tc>
          <w:tcPr>
            <w:tcW w:w="0" w:type="auto"/>
            <w:gridSpan w:val="3"/>
            <w:vAlign w:val="center"/>
            <w:hideMark/>
          </w:tcPr>
          <w:p w14:paraId="04FEA940" w14:textId="77777777" w:rsidR="00000000" w:rsidRDefault="00C1661D">
            <w:pPr>
              <w:spacing w:after="100"/>
              <w:rPr>
                <w:rFonts w:eastAsia="Times New Roman"/>
                <w:sz w:val="20"/>
                <w:szCs w:val="20"/>
              </w:rPr>
            </w:pPr>
          </w:p>
        </w:tc>
        <w:tc>
          <w:tcPr>
            <w:tcW w:w="0" w:type="auto"/>
            <w:gridSpan w:val="3"/>
            <w:vAlign w:val="center"/>
            <w:hideMark/>
          </w:tcPr>
          <w:p w14:paraId="38AFA024" w14:textId="77777777" w:rsidR="00000000" w:rsidRDefault="00C1661D">
            <w:pPr>
              <w:spacing w:after="100"/>
              <w:rPr>
                <w:rFonts w:eastAsia="Times New Roman"/>
                <w:sz w:val="20"/>
                <w:szCs w:val="20"/>
              </w:rPr>
            </w:pPr>
          </w:p>
        </w:tc>
        <w:tc>
          <w:tcPr>
            <w:tcW w:w="0" w:type="auto"/>
            <w:gridSpan w:val="3"/>
            <w:vAlign w:val="center"/>
            <w:hideMark/>
          </w:tcPr>
          <w:p w14:paraId="449F5F24" w14:textId="77777777" w:rsidR="00000000" w:rsidRDefault="00C1661D">
            <w:pPr>
              <w:spacing w:after="100"/>
              <w:rPr>
                <w:rFonts w:eastAsia="Times New Roman"/>
                <w:sz w:val="20"/>
                <w:szCs w:val="20"/>
              </w:rPr>
            </w:pPr>
          </w:p>
        </w:tc>
      </w:tr>
      <w:tr w:rsidR="00000000" w14:paraId="61DD3D66" w14:textId="77777777">
        <w:tc>
          <w:tcPr>
            <w:tcW w:w="0" w:type="auto"/>
            <w:gridSpan w:val="3"/>
            <w:vAlign w:val="center"/>
            <w:hideMark/>
          </w:tcPr>
          <w:p w14:paraId="1331D010" w14:textId="77777777" w:rsidR="00000000" w:rsidRDefault="00C1661D">
            <w:pPr>
              <w:spacing w:after="100"/>
              <w:rPr>
                <w:rFonts w:eastAsia="Times New Roman"/>
                <w:sz w:val="20"/>
                <w:szCs w:val="20"/>
              </w:rPr>
            </w:pPr>
          </w:p>
        </w:tc>
        <w:tc>
          <w:tcPr>
            <w:tcW w:w="0" w:type="auto"/>
            <w:gridSpan w:val="3"/>
            <w:vAlign w:val="center"/>
            <w:hideMark/>
          </w:tcPr>
          <w:p w14:paraId="79079ECC" w14:textId="77777777" w:rsidR="00000000" w:rsidRDefault="00C1661D">
            <w:pPr>
              <w:spacing w:after="100"/>
              <w:rPr>
                <w:rFonts w:eastAsia="Times New Roman"/>
                <w:sz w:val="20"/>
                <w:szCs w:val="20"/>
              </w:rPr>
            </w:pPr>
          </w:p>
        </w:tc>
        <w:tc>
          <w:tcPr>
            <w:tcW w:w="0" w:type="auto"/>
            <w:gridSpan w:val="3"/>
            <w:vAlign w:val="center"/>
            <w:hideMark/>
          </w:tcPr>
          <w:p w14:paraId="3463DFA9" w14:textId="77777777" w:rsidR="00000000" w:rsidRDefault="00C1661D">
            <w:pPr>
              <w:spacing w:after="100"/>
              <w:rPr>
                <w:rFonts w:eastAsia="Times New Roman"/>
                <w:sz w:val="20"/>
                <w:szCs w:val="20"/>
              </w:rPr>
            </w:pPr>
          </w:p>
        </w:tc>
        <w:tc>
          <w:tcPr>
            <w:tcW w:w="0" w:type="auto"/>
            <w:gridSpan w:val="3"/>
            <w:vAlign w:val="center"/>
            <w:hideMark/>
          </w:tcPr>
          <w:p w14:paraId="7688316E" w14:textId="77777777" w:rsidR="00000000" w:rsidRDefault="00C1661D">
            <w:pPr>
              <w:spacing w:after="100"/>
              <w:rPr>
                <w:rFonts w:eastAsia="Times New Roman"/>
                <w:sz w:val="20"/>
                <w:szCs w:val="20"/>
              </w:rPr>
            </w:pPr>
          </w:p>
        </w:tc>
      </w:tr>
      <w:tr w:rsidR="00000000" w14:paraId="60970318" w14:textId="77777777">
        <w:tc>
          <w:tcPr>
            <w:tcW w:w="0" w:type="auto"/>
            <w:gridSpan w:val="3"/>
            <w:vAlign w:val="center"/>
            <w:hideMark/>
          </w:tcPr>
          <w:p w14:paraId="7F895661" w14:textId="77777777" w:rsidR="00000000" w:rsidRDefault="00C1661D">
            <w:pPr>
              <w:spacing w:after="100"/>
              <w:rPr>
                <w:rFonts w:eastAsia="Times New Roman"/>
                <w:sz w:val="20"/>
                <w:szCs w:val="20"/>
              </w:rPr>
            </w:pPr>
          </w:p>
        </w:tc>
        <w:tc>
          <w:tcPr>
            <w:tcW w:w="0" w:type="auto"/>
            <w:gridSpan w:val="3"/>
            <w:vAlign w:val="center"/>
            <w:hideMark/>
          </w:tcPr>
          <w:p w14:paraId="52C3CFC2" w14:textId="77777777" w:rsidR="00000000" w:rsidRDefault="00C1661D">
            <w:pPr>
              <w:spacing w:after="100"/>
              <w:rPr>
                <w:rFonts w:eastAsia="Times New Roman"/>
                <w:sz w:val="20"/>
                <w:szCs w:val="20"/>
              </w:rPr>
            </w:pPr>
          </w:p>
        </w:tc>
        <w:tc>
          <w:tcPr>
            <w:tcW w:w="0" w:type="auto"/>
            <w:gridSpan w:val="3"/>
            <w:vAlign w:val="center"/>
            <w:hideMark/>
          </w:tcPr>
          <w:p w14:paraId="3D061D85" w14:textId="77777777" w:rsidR="00000000" w:rsidRDefault="00C1661D">
            <w:pPr>
              <w:spacing w:after="100"/>
              <w:rPr>
                <w:rFonts w:eastAsia="Times New Roman"/>
                <w:sz w:val="20"/>
                <w:szCs w:val="20"/>
              </w:rPr>
            </w:pPr>
          </w:p>
        </w:tc>
        <w:tc>
          <w:tcPr>
            <w:tcW w:w="0" w:type="auto"/>
            <w:gridSpan w:val="3"/>
            <w:vAlign w:val="center"/>
            <w:hideMark/>
          </w:tcPr>
          <w:p w14:paraId="2EA73B34" w14:textId="77777777" w:rsidR="00000000" w:rsidRDefault="00C1661D">
            <w:pPr>
              <w:spacing w:after="100"/>
              <w:rPr>
                <w:rFonts w:eastAsia="Times New Roman"/>
                <w:sz w:val="20"/>
                <w:szCs w:val="20"/>
              </w:rPr>
            </w:pPr>
          </w:p>
        </w:tc>
      </w:tr>
      <w:tr w:rsidR="00000000" w14:paraId="572847B6" w14:textId="77777777">
        <w:tc>
          <w:tcPr>
            <w:tcW w:w="0" w:type="auto"/>
            <w:gridSpan w:val="3"/>
            <w:vAlign w:val="center"/>
            <w:hideMark/>
          </w:tcPr>
          <w:p w14:paraId="1C5E9B51" w14:textId="77777777" w:rsidR="00000000" w:rsidRDefault="00C1661D">
            <w:pPr>
              <w:spacing w:after="100"/>
              <w:rPr>
                <w:rFonts w:eastAsia="Times New Roman"/>
                <w:sz w:val="20"/>
                <w:szCs w:val="20"/>
              </w:rPr>
            </w:pPr>
          </w:p>
        </w:tc>
        <w:tc>
          <w:tcPr>
            <w:tcW w:w="0" w:type="auto"/>
            <w:gridSpan w:val="3"/>
            <w:vAlign w:val="center"/>
            <w:hideMark/>
          </w:tcPr>
          <w:p w14:paraId="747945F8" w14:textId="77777777" w:rsidR="00000000" w:rsidRDefault="00C1661D">
            <w:pPr>
              <w:spacing w:after="100"/>
              <w:rPr>
                <w:rFonts w:eastAsia="Times New Roman"/>
                <w:sz w:val="20"/>
                <w:szCs w:val="20"/>
              </w:rPr>
            </w:pPr>
          </w:p>
        </w:tc>
        <w:tc>
          <w:tcPr>
            <w:tcW w:w="0" w:type="auto"/>
            <w:gridSpan w:val="3"/>
            <w:vAlign w:val="center"/>
            <w:hideMark/>
          </w:tcPr>
          <w:p w14:paraId="6B7E293C" w14:textId="77777777" w:rsidR="00000000" w:rsidRDefault="00C1661D">
            <w:pPr>
              <w:spacing w:after="100"/>
              <w:rPr>
                <w:rFonts w:eastAsia="Times New Roman"/>
                <w:sz w:val="20"/>
                <w:szCs w:val="20"/>
              </w:rPr>
            </w:pPr>
          </w:p>
        </w:tc>
        <w:tc>
          <w:tcPr>
            <w:tcW w:w="0" w:type="auto"/>
            <w:gridSpan w:val="3"/>
            <w:vAlign w:val="center"/>
            <w:hideMark/>
          </w:tcPr>
          <w:p w14:paraId="6200E399" w14:textId="77777777" w:rsidR="00000000" w:rsidRDefault="00C1661D">
            <w:pPr>
              <w:spacing w:after="100"/>
              <w:rPr>
                <w:rFonts w:eastAsia="Times New Roman"/>
                <w:sz w:val="20"/>
                <w:szCs w:val="20"/>
              </w:rPr>
            </w:pPr>
          </w:p>
        </w:tc>
      </w:tr>
      <w:tr w:rsidR="00000000" w14:paraId="06657764" w14:textId="77777777">
        <w:tc>
          <w:tcPr>
            <w:tcW w:w="0" w:type="auto"/>
            <w:gridSpan w:val="3"/>
            <w:vAlign w:val="center"/>
            <w:hideMark/>
          </w:tcPr>
          <w:p w14:paraId="3F53F6DF" w14:textId="77777777" w:rsidR="00000000" w:rsidRDefault="00C1661D">
            <w:pPr>
              <w:spacing w:after="100"/>
              <w:rPr>
                <w:rFonts w:eastAsia="Times New Roman"/>
                <w:sz w:val="20"/>
                <w:szCs w:val="20"/>
              </w:rPr>
            </w:pPr>
          </w:p>
        </w:tc>
        <w:tc>
          <w:tcPr>
            <w:tcW w:w="0" w:type="auto"/>
            <w:gridSpan w:val="3"/>
            <w:vAlign w:val="center"/>
            <w:hideMark/>
          </w:tcPr>
          <w:p w14:paraId="1332961E" w14:textId="77777777" w:rsidR="00000000" w:rsidRDefault="00C1661D">
            <w:pPr>
              <w:spacing w:after="100"/>
              <w:rPr>
                <w:rFonts w:eastAsia="Times New Roman"/>
                <w:sz w:val="20"/>
                <w:szCs w:val="20"/>
              </w:rPr>
            </w:pPr>
          </w:p>
        </w:tc>
        <w:tc>
          <w:tcPr>
            <w:tcW w:w="0" w:type="auto"/>
            <w:gridSpan w:val="3"/>
            <w:vAlign w:val="center"/>
            <w:hideMark/>
          </w:tcPr>
          <w:p w14:paraId="16B5ACDB" w14:textId="77777777" w:rsidR="00000000" w:rsidRDefault="00C1661D">
            <w:pPr>
              <w:spacing w:after="100"/>
              <w:rPr>
                <w:rFonts w:eastAsia="Times New Roman"/>
                <w:sz w:val="20"/>
                <w:szCs w:val="20"/>
              </w:rPr>
            </w:pPr>
          </w:p>
        </w:tc>
        <w:tc>
          <w:tcPr>
            <w:tcW w:w="0" w:type="auto"/>
            <w:gridSpan w:val="3"/>
            <w:vAlign w:val="center"/>
            <w:hideMark/>
          </w:tcPr>
          <w:p w14:paraId="52B50AA0" w14:textId="77777777" w:rsidR="00000000" w:rsidRDefault="00C1661D">
            <w:pPr>
              <w:spacing w:after="100"/>
              <w:rPr>
                <w:rFonts w:eastAsia="Times New Roman"/>
                <w:sz w:val="20"/>
                <w:szCs w:val="20"/>
              </w:rPr>
            </w:pPr>
          </w:p>
        </w:tc>
      </w:tr>
      <w:tr w:rsidR="00000000" w14:paraId="106485E6" w14:textId="77777777">
        <w:tc>
          <w:tcPr>
            <w:tcW w:w="0" w:type="auto"/>
            <w:gridSpan w:val="3"/>
            <w:vAlign w:val="center"/>
            <w:hideMark/>
          </w:tcPr>
          <w:p w14:paraId="7DA1F3F1" w14:textId="77777777" w:rsidR="00000000" w:rsidRDefault="00C1661D">
            <w:pPr>
              <w:spacing w:after="100"/>
              <w:rPr>
                <w:rFonts w:eastAsia="Times New Roman"/>
                <w:sz w:val="20"/>
                <w:szCs w:val="20"/>
              </w:rPr>
            </w:pPr>
          </w:p>
        </w:tc>
        <w:tc>
          <w:tcPr>
            <w:tcW w:w="0" w:type="auto"/>
            <w:gridSpan w:val="3"/>
            <w:vAlign w:val="center"/>
            <w:hideMark/>
          </w:tcPr>
          <w:p w14:paraId="491862BB" w14:textId="77777777" w:rsidR="00000000" w:rsidRDefault="00C1661D">
            <w:pPr>
              <w:spacing w:after="100"/>
              <w:rPr>
                <w:rFonts w:eastAsia="Times New Roman"/>
                <w:sz w:val="20"/>
                <w:szCs w:val="20"/>
              </w:rPr>
            </w:pPr>
          </w:p>
        </w:tc>
        <w:tc>
          <w:tcPr>
            <w:tcW w:w="0" w:type="auto"/>
            <w:gridSpan w:val="3"/>
            <w:vAlign w:val="center"/>
            <w:hideMark/>
          </w:tcPr>
          <w:p w14:paraId="47907547" w14:textId="77777777" w:rsidR="00000000" w:rsidRDefault="00C1661D">
            <w:pPr>
              <w:spacing w:after="100"/>
              <w:rPr>
                <w:rFonts w:eastAsia="Times New Roman"/>
                <w:sz w:val="20"/>
                <w:szCs w:val="20"/>
              </w:rPr>
            </w:pPr>
          </w:p>
        </w:tc>
        <w:tc>
          <w:tcPr>
            <w:tcW w:w="0" w:type="auto"/>
            <w:gridSpan w:val="3"/>
            <w:vAlign w:val="center"/>
            <w:hideMark/>
          </w:tcPr>
          <w:p w14:paraId="0BEFFA5D" w14:textId="77777777" w:rsidR="00000000" w:rsidRDefault="00C1661D">
            <w:pPr>
              <w:spacing w:after="100"/>
              <w:rPr>
                <w:rFonts w:eastAsia="Times New Roman"/>
                <w:sz w:val="20"/>
                <w:szCs w:val="20"/>
              </w:rPr>
            </w:pPr>
          </w:p>
        </w:tc>
      </w:tr>
      <w:tr w:rsidR="00000000" w14:paraId="3DF82727" w14:textId="77777777">
        <w:tc>
          <w:tcPr>
            <w:tcW w:w="0" w:type="auto"/>
            <w:gridSpan w:val="3"/>
            <w:vAlign w:val="center"/>
            <w:hideMark/>
          </w:tcPr>
          <w:p w14:paraId="7B71804C" w14:textId="77777777" w:rsidR="00000000" w:rsidRDefault="00C1661D">
            <w:pPr>
              <w:spacing w:after="100"/>
              <w:rPr>
                <w:rFonts w:eastAsia="Times New Roman"/>
                <w:sz w:val="20"/>
                <w:szCs w:val="20"/>
              </w:rPr>
            </w:pPr>
          </w:p>
        </w:tc>
        <w:tc>
          <w:tcPr>
            <w:tcW w:w="0" w:type="auto"/>
            <w:gridSpan w:val="3"/>
            <w:vAlign w:val="center"/>
            <w:hideMark/>
          </w:tcPr>
          <w:p w14:paraId="4C53E935" w14:textId="77777777" w:rsidR="00000000" w:rsidRDefault="00C1661D">
            <w:pPr>
              <w:spacing w:after="100"/>
              <w:rPr>
                <w:rFonts w:eastAsia="Times New Roman"/>
                <w:sz w:val="20"/>
                <w:szCs w:val="20"/>
              </w:rPr>
            </w:pPr>
          </w:p>
        </w:tc>
        <w:tc>
          <w:tcPr>
            <w:tcW w:w="0" w:type="auto"/>
            <w:gridSpan w:val="3"/>
            <w:vAlign w:val="center"/>
            <w:hideMark/>
          </w:tcPr>
          <w:p w14:paraId="4A266AFF" w14:textId="77777777" w:rsidR="00000000" w:rsidRDefault="00C1661D">
            <w:pPr>
              <w:spacing w:after="100"/>
              <w:rPr>
                <w:rFonts w:eastAsia="Times New Roman"/>
                <w:sz w:val="20"/>
                <w:szCs w:val="20"/>
              </w:rPr>
            </w:pPr>
          </w:p>
        </w:tc>
        <w:tc>
          <w:tcPr>
            <w:tcW w:w="0" w:type="auto"/>
            <w:gridSpan w:val="3"/>
            <w:vAlign w:val="center"/>
            <w:hideMark/>
          </w:tcPr>
          <w:p w14:paraId="3EE3A32F" w14:textId="77777777" w:rsidR="00000000" w:rsidRDefault="00C1661D">
            <w:pPr>
              <w:spacing w:after="100"/>
              <w:rPr>
                <w:rFonts w:eastAsia="Times New Roman"/>
                <w:sz w:val="20"/>
                <w:szCs w:val="20"/>
              </w:rPr>
            </w:pPr>
          </w:p>
        </w:tc>
      </w:tr>
      <w:tr w:rsidR="00000000" w14:paraId="2DCB427F" w14:textId="77777777">
        <w:tc>
          <w:tcPr>
            <w:tcW w:w="0" w:type="auto"/>
            <w:gridSpan w:val="3"/>
            <w:vAlign w:val="center"/>
            <w:hideMark/>
          </w:tcPr>
          <w:p w14:paraId="7402DE47" w14:textId="77777777" w:rsidR="00000000" w:rsidRDefault="00C1661D">
            <w:pPr>
              <w:spacing w:after="100"/>
              <w:rPr>
                <w:rFonts w:eastAsia="Times New Roman"/>
                <w:sz w:val="20"/>
                <w:szCs w:val="20"/>
              </w:rPr>
            </w:pPr>
          </w:p>
        </w:tc>
        <w:tc>
          <w:tcPr>
            <w:tcW w:w="0" w:type="auto"/>
            <w:gridSpan w:val="3"/>
            <w:vAlign w:val="center"/>
            <w:hideMark/>
          </w:tcPr>
          <w:p w14:paraId="2D164534" w14:textId="77777777" w:rsidR="00000000" w:rsidRDefault="00C1661D">
            <w:pPr>
              <w:spacing w:after="100"/>
              <w:rPr>
                <w:rFonts w:eastAsia="Times New Roman"/>
                <w:sz w:val="20"/>
                <w:szCs w:val="20"/>
              </w:rPr>
            </w:pPr>
          </w:p>
        </w:tc>
        <w:tc>
          <w:tcPr>
            <w:tcW w:w="0" w:type="auto"/>
            <w:gridSpan w:val="3"/>
            <w:vAlign w:val="center"/>
            <w:hideMark/>
          </w:tcPr>
          <w:p w14:paraId="4A6995A9" w14:textId="77777777" w:rsidR="00000000" w:rsidRDefault="00C1661D">
            <w:pPr>
              <w:spacing w:after="100"/>
              <w:rPr>
                <w:rFonts w:eastAsia="Times New Roman"/>
                <w:sz w:val="20"/>
                <w:szCs w:val="20"/>
              </w:rPr>
            </w:pPr>
          </w:p>
        </w:tc>
        <w:tc>
          <w:tcPr>
            <w:tcW w:w="0" w:type="auto"/>
            <w:gridSpan w:val="3"/>
            <w:vAlign w:val="center"/>
            <w:hideMark/>
          </w:tcPr>
          <w:p w14:paraId="4F9F4FF5" w14:textId="77777777" w:rsidR="00000000" w:rsidRDefault="00C1661D">
            <w:pPr>
              <w:spacing w:after="100"/>
              <w:rPr>
                <w:rFonts w:eastAsia="Times New Roman"/>
                <w:sz w:val="20"/>
                <w:szCs w:val="20"/>
              </w:rPr>
            </w:pPr>
          </w:p>
        </w:tc>
      </w:tr>
      <w:tr w:rsidR="00000000" w14:paraId="66016F66" w14:textId="77777777">
        <w:tc>
          <w:tcPr>
            <w:tcW w:w="0" w:type="auto"/>
            <w:gridSpan w:val="3"/>
            <w:vAlign w:val="center"/>
            <w:hideMark/>
          </w:tcPr>
          <w:p w14:paraId="69C2C977" w14:textId="77777777" w:rsidR="00000000" w:rsidRDefault="00C1661D">
            <w:pPr>
              <w:spacing w:after="100"/>
              <w:rPr>
                <w:rFonts w:eastAsia="Times New Roman"/>
                <w:sz w:val="20"/>
                <w:szCs w:val="20"/>
              </w:rPr>
            </w:pPr>
          </w:p>
        </w:tc>
        <w:tc>
          <w:tcPr>
            <w:tcW w:w="0" w:type="auto"/>
            <w:gridSpan w:val="3"/>
            <w:vAlign w:val="center"/>
            <w:hideMark/>
          </w:tcPr>
          <w:p w14:paraId="70B7D76F" w14:textId="77777777" w:rsidR="00000000" w:rsidRDefault="00C1661D">
            <w:pPr>
              <w:spacing w:after="100"/>
              <w:rPr>
                <w:rFonts w:eastAsia="Times New Roman"/>
                <w:sz w:val="20"/>
                <w:szCs w:val="20"/>
              </w:rPr>
            </w:pPr>
          </w:p>
        </w:tc>
        <w:tc>
          <w:tcPr>
            <w:tcW w:w="0" w:type="auto"/>
            <w:gridSpan w:val="3"/>
            <w:vAlign w:val="center"/>
            <w:hideMark/>
          </w:tcPr>
          <w:p w14:paraId="57D0AB2B" w14:textId="77777777" w:rsidR="00000000" w:rsidRDefault="00C1661D">
            <w:pPr>
              <w:spacing w:after="100"/>
              <w:rPr>
                <w:rFonts w:eastAsia="Times New Roman"/>
                <w:sz w:val="20"/>
                <w:szCs w:val="20"/>
              </w:rPr>
            </w:pPr>
          </w:p>
        </w:tc>
        <w:tc>
          <w:tcPr>
            <w:tcW w:w="0" w:type="auto"/>
            <w:gridSpan w:val="3"/>
            <w:vAlign w:val="center"/>
            <w:hideMark/>
          </w:tcPr>
          <w:p w14:paraId="7B43758C" w14:textId="77777777" w:rsidR="00000000" w:rsidRDefault="00C1661D">
            <w:pPr>
              <w:spacing w:after="100"/>
              <w:rPr>
                <w:rFonts w:eastAsia="Times New Roman"/>
                <w:sz w:val="20"/>
                <w:szCs w:val="20"/>
              </w:rPr>
            </w:pPr>
          </w:p>
        </w:tc>
      </w:tr>
      <w:tr w:rsidR="00000000" w14:paraId="0877135F" w14:textId="77777777">
        <w:tc>
          <w:tcPr>
            <w:tcW w:w="0" w:type="auto"/>
            <w:gridSpan w:val="3"/>
            <w:vAlign w:val="center"/>
            <w:hideMark/>
          </w:tcPr>
          <w:p w14:paraId="601B797D" w14:textId="77777777" w:rsidR="00000000" w:rsidRDefault="00C1661D">
            <w:pPr>
              <w:spacing w:after="100"/>
              <w:rPr>
                <w:rFonts w:eastAsia="Times New Roman"/>
                <w:sz w:val="20"/>
                <w:szCs w:val="20"/>
              </w:rPr>
            </w:pPr>
          </w:p>
        </w:tc>
        <w:tc>
          <w:tcPr>
            <w:tcW w:w="0" w:type="auto"/>
            <w:gridSpan w:val="3"/>
            <w:vAlign w:val="center"/>
            <w:hideMark/>
          </w:tcPr>
          <w:p w14:paraId="19109DA9" w14:textId="77777777" w:rsidR="00000000" w:rsidRDefault="00C1661D">
            <w:pPr>
              <w:spacing w:after="100"/>
              <w:rPr>
                <w:rFonts w:eastAsia="Times New Roman"/>
                <w:sz w:val="20"/>
                <w:szCs w:val="20"/>
              </w:rPr>
            </w:pPr>
          </w:p>
        </w:tc>
        <w:tc>
          <w:tcPr>
            <w:tcW w:w="0" w:type="auto"/>
            <w:gridSpan w:val="3"/>
            <w:vAlign w:val="center"/>
            <w:hideMark/>
          </w:tcPr>
          <w:p w14:paraId="2D7D096E" w14:textId="77777777" w:rsidR="00000000" w:rsidRDefault="00C1661D">
            <w:pPr>
              <w:spacing w:after="100"/>
              <w:rPr>
                <w:rFonts w:eastAsia="Times New Roman"/>
                <w:sz w:val="20"/>
                <w:szCs w:val="20"/>
              </w:rPr>
            </w:pPr>
          </w:p>
        </w:tc>
        <w:tc>
          <w:tcPr>
            <w:tcW w:w="0" w:type="auto"/>
            <w:gridSpan w:val="3"/>
            <w:vAlign w:val="center"/>
            <w:hideMark/>
          </w:tcPr>
          <w:p w14:paraId="30DF7ACF" w14:textId="77777777" w:rsidR="00000000" w:rsidRDefault="00C1661D">
            <w:pPr>
              <w:spacing w:after="100"/>
              <w:rPr>
                <w:rFonts w:eastAsia="Times New Roman"/>
                <w:sz w:val="20"/>
                <w:szCs w:val="20"/>
              </w:rPr>
            </w:pPr>
          </w:p>
        </w:tc>
      </w:tr>
    </w:tbl>
    <w:p w14:paraId="5B2ED184" w14:textId="77777777" w:rsidR="00000000" w:rsidRDefault="00C1661D">
      <w:pPr>
        <w:jc w:val="both"/>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61"/>
        <w:gridCol w:w="4892"/>
        <w:gridCol w:w="36"/>
        <w:gridCol w:w="61"/>
        <w:gridCol w:w="942"/>
        <w:gridCol w:w="36"/>
        <w:gridCol w:w="36"/>
        <w:gridCol w:w="36"/>
        <w:gridCol w:w="36"/>
        <w:gridCol w:w="46"/>
        <w:gridCol w:w="942"/>
        <w:gridCol w:w="36"/>
        <w:gridCol w:w="36"/>
        <w:gridCol w:w="36"/>
        <w:gridCol w:w="36"/>
        <w:gridCol w:w="46"/>
        <w:gridCol w:w="943"/>
        <w:gridCol w:w="36"/>
      </w:tblGrid>
      <w:tr w:rsidR="00000000" w14:paraId="2F65EF8F" w14:textId="77777777">
        <w:tc>
          <w:tcPr>
            <w:tcW w:w="50" w:type="pct"/>
            <w:vAlign w:val="center"/>
            <w:hideMark/>
          </w:tcPr>
          <w:p w14:paraId="2E28A306" w14:textId="77777777" w:rsidR="00000000" w:rsidRDefault="00C1661D">
            <w:pPr>
              <w:jc w:val="both"/>
              <w:rPr>
                <w:rFonts w:eastAsia="Times New Roman"/>
              </w:rPr>
            </w:pPr>
          </w:p>
        </w:tc>
        <w:tc>
          <w:tcPr>
            <w:tcW w:w="2961" w:type="pct"/>
            <w:vAlign w:val="center"/>
            <w:hideMark/>
          </w:tcPr>
          <w:p w14:paraId="6802F07F" w14:textId="77777777" w:rsidR="00000000" w:rsidRDefault="00C1661D">
            <w:pPr>
              <w:spacing w:after="100"/>
              <w:rPr>
                <w:rFonts w:eastAsia="Times New Roman"/>
                <w:sz w:val="20"/>
                <w:szCs w:val="20"/>
              </w:rPr>
            </w:pPr>
          </w:p>
        </w:tc>
        <w:tc>
          <w:tcPr>
            <w:tcW w:w="5" w:type="pct"/>
            <w:vAlign w:val="center"/>
            <w:hideMark/>
          </w:tcPr>
          <w:p w14:paraId="53D137BD" w14:textId="77777777" w:rsidR="00000000" w:rsidRDefault="00C1661D">
            <w:pPr>
              <w:spacing w:after="100"/>
              <w:rPr>
                <w:rFonts w:eastAsia="Times New Roman"/>
                <w:sz w:val="20"/>
                <w:szCs w:val="20"/>
              </w:rPr>
            </w:pPr>
          </w:p>
        </w:tc>
        <w:tc>
          <w:tcPr>
            <w:tcW w:w="50" w:type="pct"/>
            <w:vAlign w:val="center"/>
            <w:hideMark/>
          </w:tcPr>
          <w:p w14:paraId="1C543450" w14:textId="77777777" w:rsidR="00000000" w:rsidRDefault="00C1661D">
            <w:pPr>
              <w:spacing w:after="100"/>
              <w:rPr>
                <w:rFonts w:eastAsia="Times New Roman"/>
                <w:sz w:val="20"/>
                <w:szCs w:val="20"/>
              </w:rPr>
            </w:pPr>
          </w:p>
        </w:tc>
        <w:tc>
          <w:tcPr>
            <w:tcW w:w="581" w:type="pct"/>
            <w:vAlign w:val="center"/>
            <w:hideMark/>
          </w:tcPr>
          <w:p w14:paraId="6567B50E" w14:textId="77777777" w:rsidR="00000000" w:rsidRDefault="00C1661D">
            <w:pPr>
              <w:spacing w:after="100"/>
              <w:rPr>
                <w:rFonts w:eastAsia="Times New Roman"/>
                <w:sz w:val="20"/>
                <w:szCs w:val="20"/>
              </w:rPr>
            </w:pPr>
          </w:p>
        </w:tc>
        <w:tc>
          <w:tcPr>
            <w:tcW w:w="5" w:type="pct"/>
            <w:vAlign w:val="center"/>
            <w:hideMark/>
          </w:tcPr>
          <w:p w14:paraId="5699CBAD" w14:textId="77777777" w:rsidR="00000000" w:rsidRDefault="00C1661D">
            <w:pPr>
              <w:spacing w:after="100"/>
              <w:rPr>
                <w:rFonts w:eastAsia="Times New Roman"/>
                <w:sz w:val="20"/>
                <w:szCs w:val="20"/>
              </w:rPr>
            </w:pPr>
          </w:p>
        </w:tc>
        <w:tc>
          <w:tcPr>
            <w:tcW w:w="5" w:type="pct"/>
            <w:vAlign w:val="center"/>
            <w:hideMark/>
          </w:tcPr>
          <w:p w14:paraId="652793C5" w14:textId="77777777" w:rsidR="00000000" w:rsidRDefault="00C1661D">
            <w:pPr>
              <w:spacing w:after="100"/>
              <w:rPr>
                <w:rFonts w:eastAsia="Times New Roman"/>
                <w:sz w:val="20"/>
                <w:szCs w:val="20"/>
              </w:rPr>
            </w:pPr>
          </w:p>
        </w:tc>
        <w:tc>
          <w:tcPr>
            <w:tcW w:w="26" w:type="pct"/>
            <w:vAlign w:val="center"/>
            <w:hideMark/>
          </w:tcPr>
          <w:p w14:paraId="3A5CEA4C" w14:textId="77777777" w:rsidR="00000000" w:rsidRDefault="00C1661D">
            <w:pPr>
              <w:spacing w:after="100"/>
              <w:rPr>
                <w:rFonts w:eastAsia="Times New Roman"/>
                <w:sz w:val="20"/>
                <w:szCs w:val="20"/>
              </w:rPr>
            </w:pPr>
          </w:p>
        </w:tc>
        <w:tc>
          <w:tcPr>
            <w:tcW w:w="5" w:type="pct"/>
            <w:vAlign w:val="center"/>
            <w:hideMark/>
          </w:tcPr>
          <w:p w14:paraId="19953782" w14:textId="77777777" w:rsidR="00000000" w:rsidRDefault="00C1661D">
            <w:pPr>
              <w:spacing w:after="100"/>
              <w:rPr>
                <w:rFonts w:eastAsia="Times New Roman"/>
                <w:sz w:val="20"/>
                <w:szCs w:val="20"/>
              </w:rPr>
            </w:pPr>
          </w:p>
        </w:tc>
        <w:tc>
          <w:tcPr>
            <w:tcW w:w="50" w:type="pct"/>
            <w:vAlign w:val="center"/>
            <w:hideMark/>
          </w:tcPr>
          <w:p w14:paraId="0C7F3E29" w14:textId="77777777" w:rsidR="00000000" w:rsidRDefault="00C1661D">
            <w:pPr>
              <w:spacing w:after="100"/>
              <w:rPr>
                <w:rFonts w:eastAsia="Times New Roman"/>
                <w:sz w:val="20"/>
                <w:szCs w:val="20"/>
              </w:rPr>
            </w:pPr>
          </w:p>
        </w:tc>
        <w:tc>
          <w:tcPr>
            <w:tcW w:w="581" w:type="pct"/>
            <w:vAlign w:val="center"/>
            <w:hideMark/>
          </w:tcPr>
          <w:p w14:paraId="08806CC3" w14:textId="77777777" w:rsidR="00000000" w:rsidRDefault="00C1661D">
            <w:pPr>
              <w:spacing w:after="100"/>
              <w:rPr>
                <w:rFonts w:eastAsia="Times New Roman"/>
                <w:sz w:val="20"/>
                <w:szCs w:val="20"/>
              </w:rPr>
            </w:pPr>
          </w:p>
        </w:tc>
        <w:tc>
          <w:tcPr>
            <w:tcW w:w="5" w:type="pct"/>
            <w:vAlign w:val="center"/>
            <w:hideMark/>
          </w:tcPr>
          <w:p w14:paraId="41D91B5A" w14:textId="77777777" w:rsidR="00000000" w:rsidRDefault="00C1661D">
            <w:pPr>
              <w:spacing w:after="100"/>
              <w:rPr>
                <w:rFonts w:eastAsia="Times New Roman"/>
                <w:sz w:val="20"/>
                <w:szCs w:val="20"/>
              </w:rPr>
            </w:pPr>
          </w:p>
        </w:tc>
        <w:tc>
          <w:tcPr>
            <w:tcW w:w="5" w:type="pct"/>
            <w:vAlign w:val="center"/>
            <w:hideMark/>
          </w:tcPr>
          <w:p w14:paraId="40FB3379" w14:textId="77777777" w:rsidR="00000000" w:rsidRDefault="00C1661D">
            <w:pPr>
              <w:spacing w:after="100"/>
              <w:rPr>
                <w:rFonts w:eastAsia="Times New Roman"/>
                <w:sz w:val="20"/>
                <w:szCs w:val="20"/>
              </w:rPr>
            </w:pPr>
          </w:p>
        </w:tc>
        <w:tc>
          <w:tcPr>
            <w:tcW w:w="26" w:type="pct"/>
            <w:vAlign w:val="center"/>
            <w:hideMark/>
          </w:tcPr>
          <w:p w14:paraId="7FF27262" w14:textId="77777777" w:rsidR="00000000" w:rsidRDefault="00C1661D">
            <w:pPr>
              <w:spacing w:after="100"/>
              <w:rPr>
                <w:rFonts w:eastAsia="Times New Roman"/>
                <w:sz w:val="20"/>
                <w:szCs w:val="20"/>
              </w:rPr>
            </w:pPr>
          </w:p>
        </w:tc>
        <w:tc>
          <w:tcPr>
            <w:tcW w:w="5" w:type="pct"/>
            <w:vAlign w:val="center"/>
            <w:hideMark/>
          </w:tcPr>
          <w:p w14:paraId="131B1A1B" w14:textId="77777777" w:rsidR="00000000" w:rsidRDefault="00C1661D">
            <w:pPr>
              <w:spacing w:after="100"/>
              <w:rPr>
                <w:rFonts w:eastAsia="Times New Roman"/>
                <w:sz w:val="20"/>
                <w:szCs w:val="20"/>
              </w:rPr>
            </w:pPr>
          </w:p>
        </w:tc>
        <w:tc>
          <w:tcPr>
            <w:tcW w:w="50" w:type="pct"/>
            <w:vAlign w:val="center"/>
            <w:hideMark/>
          </w:tcPr>
          <w:p w14:paraId="11C54512" w14:textId="77777777" w:rsidR="00000000" w:rsidRDefault="00C1661D">
            <w:pPr>
              <w:spacing w:after="100"/>
              <w:rPr>
                <w:rFonts w:eastAsia="Times New Roman"/>
                <w:sz w:val="20"/>
                <w:szCs w:val="20"/>
              </w:rPr>
            </w:pPr>
          </w:p>
        </w:tc>
        <w:tc>
          <w:tcPr>
            <w:tcW w:w="582" w:type="pct"/>
            <w:vAlign w:val="center"/>
            <w:hideMark/>
          </w:tcPr>
          <w:p w14:paraId="57F76D0C" w14:textId="77777777" w:rsidR="00000000" w:rsidRDefault="00C1661D">
            <w:pPr>
              <w:spacing w:after="100"/>
              <w:rPr>
                <w:rFonts w:eastAsia="Times New Roman"/>
                <w:sz w:val="20"/>
                <w:szCs w:val="20"/>
              </w:rPr>
            </w:pPr>
          </w:p>
        </w:tc>
        <w:tc>
          <w:tcPr>
            <w:tcW w:w="5" w:type="pct"/>
            <w:vAlign w:val="center"/>
            <w:hideMark/>
          </w:tcPr>
          <w:p w14:paraId="4A1F5753" w14:textId="77777777" w:rsidR="00000000" w:rsidRDefault="00C1661D">
            <w:pPr>
              <w:spacing w:after="100"/>
              <w:rPr>
                <w:rFonts w:eastAsia="Times New Roman"/>
                <w:sz w:val="20"/>
                <w:szCs w:val="20"/>
              </w:rPr>
            </w:pPr>
          </w:p>
        </w:tc>
      </w:tr>
      <w:tr w:rsidR="00000000" w14:paraId="40DA4523" w14:textId="77777777">
        <w:trPr>
          <w:trHeight w:val="60"/>
        </w:trPr>
        <w:tc>
          <w:tcPr>
            <w:tcW w:w="0" w:type="auto"/>
            <w:gridSpan w:val="3"/>
            <w:tcMar>
              <w:top w:w="0" w:type="dxa"/>
              <w:left w:w="20" w:type="dxa"/>
              <w:bottom w:w="0" w:type="dxa"/>
              <w:right w:w="20" w:type="dxa"/>
            </w:tcMar>
            <w:vAlign w:val="center"/>
            <w:hideMark/>
          </w:tcPr>
          <w:p w14:paraId="74A403B5"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2F30E3"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73514D"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02D2D5"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5F29BD"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D13B3C" w14:textId="77777777" w:rsidR="00000000" w:rsidRDefault="00C1661D">
            <w:pPr>
              <w:spacing w:after="100"/>
              <w:rPr>
                <w:rFonts w:eastAsia="Times New Roman"/>
                <w:sz w:val="20"/>
                <w:szCs w:val="20"/>
              </w:rPr>
            </w:pPr>
          </w:p>
        </w:tc>
      </w:tr>
      <w:tr w:rsidR="00000000" w14:paraId="16EAC365" w14:textId="77777777">
        <w:tc>
          <w:tcPr>
            <w:tcW w:w="0" w:type="auto"/>
            <w:gridSpan w:val="3"/>
            <w:vAlign w:val="center"/>
            <w:hideMark/>
          </w:tcPr>
          <w:p w14:paraId="109B2F7A" w14:textId="77777777" w:rsidR="00000000" w:rsidRDefault="00C1661D">
            <w:pPr>
              <w:spacing w:after="100"/>
              <w:rPr>
                <w:rFonts w:eastAsia="Times New Roman"/>
                <w:sz w:val="20"/>
                <w:szCs w:val="20"/>
              </w:rPr>
            </w:pPr>
          </w:p>
        </w:tc>
        <w:tc>
          <w:tcPr>
            <w:tcW w:w="0" w:type="auto"/>
            <w:gridSpan w:val="3"/>
            <w:vAlign w:val="center"/>
            <w:hideMark/>
          </w:tcPr>
          <w:p w14:paraId="2C79140B" w14:textId="77777777" w:rsidR="00000000" w:rsidRDefault="00C1661D">
            <w:pPr>
              <w:spacing w:after="100"/>
              <w:rPr>
                <w:rFonts w:eastAsia="Times New Roman"/>
                <w:sz w:val="20"/>
                <w:szCs w:val="20"/>
              </w:rPr>
            </w:pPr>
          </w:p>
        </w:tc>
        <w:tc>
          <w:tcPr>
            <w:tcW w:w="0" w:type="auto"/>
            <w:gridSpan w:val="3"/>
            <w:vAlign w:val="center"/>
            <w:hideMark/>
          </w:tcPr>
          <w:p w14:paraId="3C02B0BB" w14:textId="77777777" w:rsidR="00000000" w:rsidRDefault="00C1661D">
            <w:pPr>
              <w:spacing w:after="100"/>
              <w:rPr>
                <w:rFonts w:eastAsia="Times New Roman"/>
                <w:sz w:val="20"/>
                <w:szCs w:val="20"/>
              </w:rPr>
            </w:pPr>
          </w:p>
        </w:tc>
        <w:tc>
          <w:tcPr>
            <w:tcW w:w="0" w:type="auto"/>
            <w:gridSpan w:val="3"/>
            <w:vAlign w:val="center"/>
            <w:hideMark/>
          </w:tcPr>
          <w:p w14:paraId="4E42BB64" w14:textId="77777777" w:rsidR="00000000" w:rsidRDefault="00C1661D">
            <w:pPr>
              <w:spacing w:after="100"/>
              <w:rPr>
                <w:rFonts w:eastAsia="Times New Roman"/>
                <w:sz w:val="20"/>
                <w:szCs w:val="20"/>
              </w:rPr>
            </w:pPr>
          </w:p>
        </w:tc>
        <w:tc>
          <w:tcPr>
            <w:tcW w:w="0" w:type="auto"/>
            <w:gridSpan w:val="3"/>
            <w:vAlign w:val="center"/>
            <w:hideMark/>
          </w:tcPr>
          <w:p w14:paraId="711BD3C7" w14:textId="77777777" w:rsidR="00000000" w:rsidRDefault="00C1661D">
            <w:pPr>
              <w:spacing w:after="100"/>
              <w:rPr>
                <w:rFonts w:eastAsia="Times New Roman"/>
                <w:sz w:val="20"/>
                <w:szCs w:val="20"/>
              </w:rPr>
            </w:pPr>
          </w:p>
        </w:tc>
        <w:tc>
          <w:tcPr>
            <w:tcW w:w="0" w:type="auto"/>
            <w:gridSpan w:val="3"/>
            <w:vAlign w:val="center"/>
            <w:hideMark/>
          </w:tcPr>
          <w:p w14:paraId="53985B13" w14:textId="77777777" w:rsidR="00000000" w:rsidRDefault="00C1661D">
            <w:pPr>
              <w:spacing w:after="100"/>
              <w:rPr>
                <w:rFonts w:eastAsia="Times New Roman"/>
                <w:sz w:val="20"/>
                <w:szCs w:val="20"/>
              </w:rPr>
            </w:pPr>
          </w:p>
        </w:tc>
      </w:tr>
      <w:tr w:rsidR="00000000" w14:paraId="6D54904C" w14:textId="77777777">
        <w:tc>
          <w:tcPr>
            <w:tcW w:w="0" w:type="auto"/>
            <w:gridSpan w:val="3"/>
            <w:vAlign w:val="center"/>
            <w:hideMark/>
          </w:tcPr>
          <w:p w14:paraId="4756A4DA" w14:textId="77777777" w:rsidR="00000000" w:rsidRDefault="00C1661D">
            <w:pPr>
              <w:spacing w:after="100"/>
              <w:rPr>
                <w:rFonts w:eastAsia="Times New Roman"/>
                <w:sz w:val="20"/>
                <w:szCs w:val="20"/>
              </w:rPr>
            </w:pPr>
          </w:p>
        </w:tc>
        <w:tc>
          <w:tcPr>
            <w:tcW w:w="0" w:type="auto"/>
            <w:gridSpan w:val="3"/>
            <w:vAlign w:val="center"/>
            <w:hideMark/>
          </w:tcPr>
          <w:p w14:paraId="61FF0AA5" w14:textId="77777777" w:rsidR="00000000" w:rsidRDefault="00C1661D">
            <w:pPr>
              <w:spacing w:after="100"/>
              <w:rPr>
                <w:rFonts w:eastAsia="Times New Roman"/>
                <w:sz w:val="20"/>
                <w:szCs w:val="20"/>
              </w:rPr>
            </w:pPr>
          </w:p>
        </w:tc>
        <w:tc>
          <w:tcPr>
            <w:tcW w:w="0" w:type="auto"/>
            <w:gridSpan w:val="3"/>
            <w:vAlign w:val="center"/>
            <w:hideMark/>
          </w:tcPr>
          <w:p w14:paraId="104858C6" w14:textId="77777777" w:rsidR="00000000" w:rsidRDefault="00C1661D">
            <w:pPr>
              <w:spacing w:after="100"/>
              <w:rPr>
                <w:rFonts w:eastAsia="Times New Roman"/>
                <w:sz w:val="20"/>
                <w:szCs w:val="20"/>
              </w:rPr>
            </w:pPr>
          </w:p>
        </w:tc>
        <w:tc>
          <w:tcPr>
            <w:tcW w:w="0" w:type="auto"/>
            <w:gridSpan w:val="3"/>
            <w:vAlign w:val="center"/>
            <w:hideMark/>
          </w:tcPr>
          <w:p w14:paraId="42826EEF" w14:textId="77777777" w:rsidR="00000000" w:rsidRDefault="00C1661D">
            <w:pPr>
              <w:spacing w:after="100"/>
              <w:rPr>
                <w:rFonts w:eastAsia="Times New Roman"/>
                <w:sz w:val="20"/>
                <w:szCs w:val="20"/>
              </w:rPr>
            </w:pPr>
          </w:p>
        </w:tc>
        <w:tc>
          <w:tcPr>
            <w:tcW w:w="0" w:type="auto"/>
            <w:gridSpan w:val="3"/>
            <w:vAlign w:val="center"/>
            <w:hideMark/>
          </w:tcPr>
          <w:p w14:paraId="20E699D9" w14:textId="77777777" w:rsidR="00000000" w:rsidRDefault="00C1661D">
            <w:pPr>
              <w:spacing w:after="100"/>
              <w:rPr>
                <w:rFonts w:eastAsia="Times New Roman"/>
                <w:sz w:val="20"/>
                <w:szCs w:val="20"/>
              </w:rPr>
            </w:pPr>
          </w:p>
        </w:tc>
        <w:tc>
          <w:tcPr>
            <w:tcW w:w="0" w:type="auto"/>
            <w:gridSpan w:val="3"/>
            <w:vAlign w:val="center"/>
            <w:hideMark/>
          </w:tcPr>
          <w:p w14:paraId="49A8D733" w14:textId="77777777" w:rsidR="00000000" w:rsidRDefault="00C1661D">
            <w:pPr>
              <w:spacing w:after="100"/>
              <w:rPr>
                <w:rFonts w:eastAsia="Times New Roman"/>
                <w:sz w:val="20"/>
                <w:szCs w:val="20"/>
              </w:rPr>
            </w:pPr>
          </w:p>
        </w:tc>
      </w:tr>
      <w:tr w:rsidR="00000000" w14:paraId="78324B53" w14:textId="77777777">
        <w:tc>
          <w:tcPr>
            <w:tcW w:w="0" w:type="auto"/>
            <w:gridSpan w:val="3"/>
            <w:vAlign w:val="center"/>
            <w:hideMark/>
          </w:tcPr>
          <w:p w14:paraId="6030AC78" w14:textId="77777777" w:rsidR="00000000" w:rsidRDefault="00C1661D">
            <w:pPr>
              <w:spacing w:after="100"/>
              <w:rPr>
                <w:rFonts w:eastAsia="Times New Roman"/>
                <w:sz w:val="20"/>
                <w:szCs w:val="20"/>
              </w:rPr>
            </w:pPr>
          </w:p>
        </w:tc>
        <w:tc>
          <w:tcPr>
            <w:tcW w:w="0" w:type="auto"/>
            <w:gridSpan w:val="3"/>
            <w:vAlign w:val="center"/>
            <w:hideMark/>
          </w:tcPr>
          <w:p w14:paraId="465550FC" w14:textId="77777777" w:rsidR="00000000" w:rsidRDefault="00C1661D">
            <w:pPr>
              <w:spacing w:after="100"/>
              <w:rPr>
                <w:rFonts w:eastAsia="Times New Roman"/>
                <w:sz w:val="20"/>
                <w:szCs w:val="20"/>
              </w:rPr>
            </w:pPr>
          </w:p>
        </w:tc>
        <w:tc>
          <w:tcPr>
            <w:tcW w:w="0" w:type="auto"/>
            <w:gridSpan w:val="3"/>
            <w:vAlign w:val="center"/>
            <w:hideMark/>
          </w:tcPr>
          <w:p w14:paraId="5210A1C5" w14:textId="77777777" w:rsidR="00000000" w:rsidRDefault="00C1661D">
            <w:pPr>
              <w:spacing w:after="100"/>
              <w:rPr>
                <w:rFonts w:eastAsia="Times New Roman"/>
                <w:sz w:val="20"/>
                <w:szCs w:val="20"/>
              </w:rPr>
            </w:pPr>
          </w:p>
        </w:tc>
        <w:tc>
          <w:tcPr>
            <w:tcW w:w="0" w:type="auto"/>
            <w:gridSpan w:val="3"/>
            <w:vAlign w:val="center"/>
            <w:hideMark/>
          </w:tcPr>
          <w:p w14:paraId="631AF4AE" w14:textId="77777777" w:rsidR="00000000" w:rsidRDefault="00C1661D">
            <w:pPr>
              <w:spacing w:after="100"/>
              <w:rPr>
                <w:rFonts w:eastAsia="Times New Roman"/>
                <w:sz w:val="20"/>
                <w:szCs w:val="20"/>
              </w:rPr>
            </w:pPr>
          </w:p>
        </w:tc>
        <w:tc>
          <w:tcPr>
            <w:tcW w:w="0" w:type="auto"/>
            <w:gridSpan w:val="3"/>
            <w:vAlign w:val="center"/>
            <w:hideMark/>
          </w:tcPr>
          <w:p w14:paraId="1C29A98E" w14:textId="77777777" w:rsidR="00000000" w:rsidRDefault="00C1661D">
            <w:pPr>
              <w:spacing w:after="100"/>
              <w:rPr>
                <w:rFonts w:eastAsia="Times New Roman"/>
                <w:sz w:val="20"/>
                <w:szCs w:val="20"/>
              </w:rPr>
            </w:pPr>
          </w:p>
        </w:tc>
        <w:tc>
          <w:tcPr>
            <w:tcW w:w="0" w:type="auto"/>
            <w:gridSpan w:val="3"/>
            <w:vAlign w:val="center"/>
            <w:hideMark/>
          </w:tcPr>
          <w:p w14:paraId="055A671C" w14:textId="77777777" w:rsidR="00000000" w:rsidRDefault="00C1661D">
            <w:pPr>
              <w:spacing w:after="100"/>
              <w:rPr>
                <w:rFonts w:eastAsia="Times New Roman"/>
                <w:sz w:val="20"/>
                <w:szCs w:val="20"/>
              </w:rPr>
            </w:pPr>
          </w:p>
        </w:tc>
      </w:tr>
      <w:tr w:rsidR="00000000" w14:paraId="1D015277" w14:textId="77777777">
        <w:tc>
          <w:tcPr>
            <w:tcW w:w="0" w:type="auto"/>
            <w:gridSpan w:val="3"/>
            <w:vAlign w:val="center"/>
            <w:hideMark/>
          </w:tcPr>
          <w:p w14:paraId="3C80AB29" w14:textId="77777777" w:rsidR="00000000" w:rsidRDefault="00C1661D">
            <w:pPr>
              <w:spacing w:after="100"/>
              <w:rPr>
                <w:rFonts w:eastAsia="Times New Roman"/>
                <w:sz w:val="20"/>
                <w:szCs w:val="20"/>
              </w:rPr>
            </w:pPr>
          </w:p>
        </w:tc>
        <w:tc>
          <w:tcPr>
            <w:tcW w:w="0" w:type="auto"/>
            <w:gridSpan w:val="3"/>
            <w:vAlign w:val="center"/>
            <w:hideMark/>
          </w:tcPr>
          <w:p w14:paraId="2F330F0D" w14:textId="77777777" w:rsidR="00000000" w:rsidRDefault="00C1661D">
            <w:pPr>
              <w:spacing w:after="100"/>
              <w:rPr>
                <w:rFonts w:eastAsia="Times New Roman"/>
                <w:sz w:val="20"/>
                <w:szCs w:val="20"/>
              </w:rPr>
            </w:pPr>
          </w:p>
        </w:tc>
        <w:tc>
          <w:tcPr>
            <w:tcW w:w="0" w:type="auto"/>
            <w:gridSpan w:val="3"/>
            <w:vAlign w:val="center"/>
            <w:hideMark/>
          </w:tcPr>
          <w:p w14:paraId="54D52051" w14:textId="77777777" w:rsidR="00000000" w:rsidRDefault="00C1661D">
            <w:pPr>
              <w:spacing w:after="100"/>
              <w:rPr>
                <w:rFonts w:eastAsia="Times New Roman"/>
                <w:sz w:val="20"/>
                <w:szCs w:val="20"/>
              </w:rPr>
            </w:pPr>
          </w:p>
        </w:tc>
        <w:tc>
          <w:tcPr>
            <w:tcW w:w="0" w:type="auto"/>
            <w:gridSpan w:val="3"/>
            <w:vAlign w:val="center"/>
            <w:hideMark/>
          </w:tcPr>
          <w:p w14:paraId="0F459EEB" w14:textId="77777777" w:rsidR="00000000" w:rsidRDefault="00C1661D">
            <w:pPr>
              <w:spacing w:after="100"/>
              <w:rPr>
                <w:rFonts w:eastAsia="Times New Roman"/>
                <w:sz w:val="20"/>
                <w:szCs w:val="20"/>
              </w:rPr>
            </w:pPr>
          </w:p>
        </w:tc>
        <w:tc>
          <w:tcPr>
            <w:tcW w:w="0" w:type="auto"/>
            <w:gridSpan w:val="3"/>
            <w:vAlign w:val="center"/>
            <w:hideMark/>
          </w:tcPr>
          <w:p w14:paraId="7CEE4887" w14:textId="77777777" w:rsidR="00000000" w:rsidRDefault="00C1661D">
            <w:pPr>
              <w:spacing w:after="100"/>
              <w:rPr>
                <w:rFonts w:eastAsia="Times New Roman"/>
                <w:sz w:val="20"/>
                <w:szCs w:val="20"/>
              </w:rPr>
            </w:pPr>
          </w:p>
        </w:tc>
        <w:tc>
          <w:tcPr>
            <w:tcW w:w="0" w:type="auto"/>
            <w:gridSpan w:val="3"/>
            <w:vAlign w:val="center"/>
            <w:hideMark/>
          </w:tcPr>
          <w:p w14:paraId="5C6154DC" w14:textId="77777777" w:rsidR="00000000" w:rsidRDefault="00C1661D">
            <w:pPr>
              <w:spacing w:after="100"/>
              <w:rPr>
                <w:rFonts w:eastAsia="Times New Roman"/>
                <w:sz w:val="20"/>
                <w:szCs w:val="20"/>
              </w:rPr>
            </w:pPr>
          </w:p>
        </w:tc>
      </w:tr>
      <w:tr w:rsidR="00000000" w14:paraId="5A51AAC9" w14:textId="77777777">
        <w:tc>
          <w:tcPr>
            <w:tcW w:w="0" w:type="auto"/>
            <w:gridSpan w:val="3"/>
            <w:vAlign w:val="center"/>
            <w:hideMark/>
          </w:tcPr>
          <w:p w14:paraId="56C57133" w14:textId="77777777" w:rsidR="00000000" w:rsidRDefault="00C1661D">
            <w:pPr>
              <w:spacing w:after="100"/>
              <w:rPr>
                <w:rFonts w:eastAsia="Times New Roman"/>
                <w:sz w:val="20"/>
                <w:szCs w:val="20"/>
              </w:rPr>
            </w:pPr>
          </w:p>
        </w:tc>
        <w:tc>
          <w:tcPr>
            <w:tcW w:w="0" w:type="auto"/>
            <w:gridSpan w:val="3"/>
            <w:vAlign w:val="center"/>
            <w:hideMark/>
          </w:tcPr>
          <w:p w14:paraId="6F94A6CA" w14:textId="77777777" w:rsidR="00000000" w:rsidRDefault="00C1661D">
            <w:pPr>
              <w:spacing w:after="100"/>
              <w:rPr>
                <w:rFonts w:eastAsia="Times New Roman"/>
                <w:sz w:val="20"/>
                <w:szCs w:val="20"/>
              </w:rPr>
            </w:pPr>
          </w:p>
        </w:tc>
        <w:tc>
          <w:tcPr>
            <w:tcW w:w="0" w:type="auto"/>
            <w:gridSpan w:val="3"/>
            <w:vAlign w:val="center"/>
            <w:hideMark/>
          </w:tcPr>
          <w:p w14:paraId="34CF777D" w14:textId="77777777" w:rsidR="00000000" w:rsidRDefault="00C1661D">
            <w:pPr>
              <w:spacing w:after="100"/>
              <w:rPr>
                <w:rFonts w:eastAsia="Times New Roman"/>
                <w:sz w:val="20"/>
                <w:szCs w:val="20"/>
              </w:rPr>
            </w:pPr>
          </w:p>
        </w:tc>
        <w:tc>
          <w:tcPr>
            <w:tcW w:w="0" w:type="auto"/>
            <w:gridSpan w:val="3"/>
            <w:vAlign w:val="center"/>
            <w:hideMark/>
          </w:tcPr>
          <w:p w14:paraId="1627C3AA" w14:textId="77777777" w:rsidR="00000000" w:rsidRDefault="00C1661D">
            <w:pPr>
              <w:spacing w:after="100"/>
              <w:rPr>
                <w:rFonts w:eastAsia="Times New Roman"/>
                <w:sz w:val="20"/>
                <w:szCs w:val="20"/>
              </w:rPr>
            </w:pPr>
          </w:p>
        </w:tc>
        <w:tc>
          <w:tcPr>
            <w:tcW w:w="0" w:type="auto"/>
            <w:gridSpan w:val="3"/>
            <w:vAlign w:val="center"/>
            <w:hideMark/>
          </w:tcPr>
          <w:p w14:paraId="0E8A0EA7" w14:textId="77777777" w:rsidR="00000000" w:rsidRDefault="00C1661D">
            <w:pPr>
              <w:spacing w:after="100"/>
              <w:rPr>
                <w:rFonts w:eastAsia="Times New Roman"/>
                <w:sz w:val="20"/>
                <w:szCs w:val="20"/>
              </w:rPr>
            </w:pPr>
          </w:p>
        </w:tc>
        <w:tc>
          <w:tcPr>
            <w:tcW w:w="0" w:type="auto"/>
            <w:gridSpan w:val="3"/>
            <w:vAlign w:val="center"/>
            <w:hideMark/>
          </w:tcPr>
          <w:p w14:paraId="6160D17E" w14:textId="77777777" w:rsidR="00000000" w:rsidRDefault="00C1661D">
            <w:pPr>
              <w:spacing w:after="100"/>
              <w:rPr>
                <w:rFonts w:eastAsia="Times New Roman"/>
                <w:sz w:val="20"/>
                <w:szCs w:val="20"/>
              </w:rPr>
            </w:pPr>
          </w:p>
        </w:tc>
      </w:tr>
      <w:tr w:rsidR="00000000" w14:paraId="69F20C0D" w14:textId="77777777">
        <w:tc>
          <w:tcPr>
            <w:tcW w:w="0" w:type="auto"/>
            <w:gridSpan w:val="3"/>
            <w:vAlign w:val="center"/>
            <w:hideMark/>
          </w:tcPr>
          <w:p w14:paraId="0A11BCF6" w14:textId="77777777" w:rsidR="00000000" w:rsidRDefault="00C1661D">
            <w:pPr>
              <w:spacing w:after="100"/>
              <w:rPr>
                <w:rFonts w:eastAsia="Times New Roman"/>
                <w:sz w:val="20"/>
                <w:szCs w:val="20"/>
              </w:rPr>
            </w:pPr>
          </w:p>
        </w:tc>
        <w:tc>
          <w:tcPr>
            <w:tcW w:w="0" w:type="auto"/>
            <w:gridSpan w:val="3"/>
            <w:vAlign w:val="center"/>
            <w:hideMark/>
          </w:tcPr>
          <w:p w14:paraId="658AD7F8" w14:textId="77777777" w:rsidR="00000000" w:rsidRDefault="00C1661D">
            <w:pPr>
              <w:spacing w:after="100"/>
              <w:rPr>
                <w:rFonts w:eastAsia="Times New Roman"/>
                <w:sz w:val="20"/>
                <w:szCs w:val="20"/>
              </w:rPr>
            </w:pPr>
          </w:p>
        </w:tc>
        <w:tc>
          <w:tcPr>
            <w:tcW w:w="0" w:type="auto"/>
            <w:gridSpan w:val="3"/>
            <w:vAlign w:val="center"/>
            <w:hideMark/>
          </w:tcPr>
          <w:p w14:paraId="1A8C448D" w14:textId="77777777" w:rsidR="00000000" w:rsidRDefault="00C1661D">
            <w:pPr>
              <w:spacing w:after="100"/>
              <w:rPr>
                <w:rFonts w:eastAsia="Times New Roman"/>
                <w:sz w:val="20"/>
                <w:szCs w:val="20"/>
              </w:rPr>
            </w:pPr>
          </w:p>
        </w:tc>
        <w:tc>
          <w:tcPr>
            <w:tcW w:w="0" w:type="auto"/>
            <w:gridSpan w:val="3"/>
            <w:vAlign w:val="center"/>
            <w:hideMark/>
          </w:tcPr>
          <w:p w14:paraId="122E8794" w14:textId="77777777" w:rsidR="00000000" w:rsidRDefault="00C1661D">
            <w:pPr>
              <w:spacing w:after="100"/>
              <w:rPr>
                <w:rFonts w:eastAsia="Times New Roman"/>
                <w:sz w:val="20"/>
                <w:szCs w:val="20"/>
              </w:rPr>
            </w:pPr>
          </w:p>
        </w:tc>
        <w:tc>
          <w:tcPr>
            <w:tcW w:w="0" w:type="auto"/>
            <w:gridSpan w:val="3"/>
            <w:vAlign w:val="center"/>
            <w:hideMark/>
          </w:tcPr>
          <w:p w14:paraId="1E13EEA4" w14:textId="77777777" w:rsidR="00000000" w:rsidRDefault="00C1661D">
            <w:pPr>
              <w:spacing w:after="100"/>
              <w:rPr>
                <w:rFonts w:eastAsia="Times New Roman"/>
                <w:sz w:val="20"/>
                <w:szCs w:val="20"/>
              </w:rPr>
            </w:pPr>
          </w:p>
        </w:tc>
        <w:tc>
          <w:tcPr>
            <w:tcW w:w="0" w:type="auto"/>
            <w:gridSpan w:val="3"/>
            <w:vAlign w:val="center"/>
            <w:hideMark/>
          </w:tcPr>
          <w:p w14:paraId="7DB6D40E" w14:textId="77777777" w:rsidR="00000000" w:rsidRDefault="00C1661D">
            <w:pPr>
              <w:spacing w:after="100"/>
              <w:rPr>
                <w:rFonts w:eastAsia="Times New Roman"/>
                <w:sz w:val="20"/>
                <w:szCs w:val="20"/>
              </w:rPr>
            </w:pPr>
          </w:p>
        </w:tc>
      </w:tr>
      <w:tr w:rsidR="00000000" w14:paraId="4F221E98" w14:textId="77777777">
        <w:tc>
          <w:tcPr>
            <w:tcW w:w="0" w:type="auto"/>
            <w:gridSpan w:val="3"/>
            <w:vAlign w:val="center"/>
            <w:hideMark/>
          </w:tcPr>
          <w:p w14:paraId="05C54F61" w14:textId="77777777" w:rsidR="00000000" w:rsidRDefault="00C1661D">
            <w:pPr>
              <w:spacing w:after="100"/>
              <w:rPr>
                <w:rFonts w:eastAsia="Times New Roman"/>
                <w:sz w:val="20"/>
                <w:szCs w:val="20"/>
              </w:rPr>
            </w:pPr>
          </w:p>
        </w:tc>
        <w:tc>
          <w:tcPr>
            <w:tcW w:w="0" w:type="auto"/>
            <w:gridSpan w:val="3"/>
            <w:vAlign w:val="center"/>
            <w:hideMark/>
          </w:tcPr>
          <w:p w14:paraId="7D82EAFD" w14:textId="77777777" w:rsidR="00000000" w:rsidRDefault="00C1661D">
            <w:pPr>
              <w:spacing w:after="100"/>
              <w:rPr>
                <w:rFonts w:eastAsia="Times New Roman"/>
                <w:sz w:val="20"/>
                <w:szCs w:val="20"/>
              </w:rPr>
            </w:pPr>
          </w:p>
        </w:tc>
        <w:tc>
          <w:tcPr>
            <w:tcW w:w="0" w:type="auto"/>
            <w:gridSpan w:val="3"/>
            <w:vAlign w:val="center"/>
            <w:hideMark/>
          </w:tcPr>
          <w:p w14:paraId="227DF94D" w14:textId="77777777" w:rsidR="00000000" w:rsidRDefault="00C1661D">
            <w:pPr>
              <w:spacing w:after="100"/>
              <w:rPr>
                <w:rFonts w:eastAsia="Times New Roman"/>
                <w:sz w:val="20"/>
                <w:szCs w:val="20"/>
              </w:rPr>
            </w:pPr>
          </w:p>
        </w:tc>
        <w:tc>
          <w:tcPr>
            <w:tcW w:w="0" w:type="auto"/>
            <w:gridSpan w:val="3"/>
            <w:vAlign w:val="center"/>
            <w:hideMark/>
          </w:tcPr>
          <w:p w14:paraId="55D1CF85" w14:textId="77777777" w:rsidR="00000000" w:rsidRDefault="00C1661D">
            <w:pPr>
              <w:spacing w:after="100"/>
              <w:rPr>
                <w:rFonts w:eastAsia="Times New Roman"/>
                <w:sz w:val="20"/>
                <w:szCs w:val="20"/>
              </w:rPr>
            </w:pPr>
          </w:p>
        </w:tc>
        <w:tc>
          <w:tcPr>
            <w:tcW w:w="0" w:type="auto"/>
            <w:gridSpan w:val="3"/>
            <w:vAlign w:val="center"/>
            <w:hideMark/>
          </w:tcPr>
          <w:p w14:paraId="6D130545" w14:textId="77777777" w:rsidR="00000000" w:rsidRDefault="00C1661D">
            <w:pPr>
              <w:spacing w:after="100"/>
              <w:rPr>
                <w:rFonts w:eastAsia="Times New Roman"/>
                <w:sz w:val="20"/>
                <w:szCs w:val="20"/>
              </w:rPr>
            </w:pPr>
          </w:p>
        </w:tc>
        <w:tc>
          <w:tcPr>
            <w:tcW w:w="0" w:type="auto"/>
            <w:gridSpan w:val="3"/>
            <w:vAlign w:val="center"/>
            <w:hideMark/>
          </w:tcPr>
          <w:p w14:paraId="0DBE0DBF" w14:textId="77777777" w:rsidR="00000000" w:rsidRDefault="00C1661D">
            <w:pPr>
              <w:spacing w:after="100"/>
              <w:rPr>
                <w:rFonts w:eastAsia="Times New Roman"/>
                <w:sz w:val="20"/>
                <w:szCs w:val="20"/>
              </w:rPr>
            </w:pPr>
          </w:p>
        </w:tc>
      </w:tr>
      <w:tr w:rsidR="00000000" w14:paraId="04205FF6" w14:textId="77777777">
        <w:tc>
          <w:tcPr>
            <w:tcW w:w="0" w:type="auto"/>
            <w:gridSpan w:val="3"/>
            <w:vAlign w:val="center"/>
            <w:hideMark/>
          </w:tcPr>
          <w:p w14:paraId="6AFC8EA0" w14:textId="77777777" w:rsidR="00000000" w:rsidRDefault="00C1661D">
            <w:pPr>
              <w:spacing w:after="100"/>
              <w:rPr>
                <w:rFonts w:eastAsia="Times New Roman"/>
                <w:sz w:val="20"/>
                <w:szCs w:val="20"/>
              </w:rPr>
            </w:pPr>
          </w:p>
        </w:tc>
        <w:tc>
          <w:tcPr>
            <w:tcW w:w="0" w:type="auto"/>
            <w:gridSpan w:val="3"/>
            <w:vAlign w:val="center"/>
            <w:hideMark/>
          </w:tcPr>
          <w:p w14:paraId="75F86F0E" w14:textId="77777777" w:rsidR="00000000" w:rsidRDefault="00C1661D">
            <w:pPr>
              <w:spacing w:after="100"/>
              <w:rPr>
                <w:rFonts w:eastAsia="Times New Roman"/>
                <w:sz w:val="20"/>
                <w:szCs w:val="20"/>
              </w:rPr>
            </w:pPr>
          </w:p>
        </w:tc>
        <w:tc>
          <w:tcPr>
            <w:tcW w:w="0" w:type="auto"/>
            <w:gridSpan w:val="3"/>
            <w:vAlign w:val="center"/>
            <w:hideMark/>
          </w:tcPr>
          <w:p w14:paraId="56C971AF" w14:textId="77777777" w:rsidR="00000000" w:rsidRDefault="00C1661D">
            <w:pPr>
              <w:spacing w:after="100"/>
              <w:rPr>
                <w:rFonts w:eastAsia="Times New Roman"/>
                <w:sz w:val="20"/>
                <w:szCs w:val="20"/>
              </w:rPr>
            </w:pPr>
          </w:p>
        </w:tc>
        <w:tc>
          <w:tcPr>
            <w:tcW w:w="0" w:type="auto"/>
            <w:gridSpan w:val="3"/>
            <w:vAlign w:val="center"/>
            <w:hideMark/>
          </w:tcPr>
          <w:p w14:paraId="091B1B52" w14:textId="77777777" w:rsidR="00000000" w:rsidRDefault="00C1661D">
            <w:pPr>
              <w:spacing w:after="100"/>
              <w:rPr>
                <w:rFonts w:eastAsia="Times New Roman"/>
                <w:sz w:val="20"/>
                <w:szCs w:val="20"/>
              </w:rPr>
            </w:pPr>
          </w:p>
        </w:tc>
        <w:tc>
          <w:tcPr>
            <w:tcW w:w="0" w:type="auto"/>
            <w:gridSpan w:val="3"/>
            <w:vAlign w:val="center"/>
            <w:hideMark/>
          </w:tcPr>
          <w:p w14:paraId="6FF3DCF9" w14:textId="77777777" w:rsidR="00000000" w:rsidRDefault="00C1661D">
            <w:pPr>
              <w:spacing w:after="100"/>
              <w:rPr>
                <w:rFonts w:eastAsia="Times New Roman"/>
                <w:sz w:val="20"/>
                <w:szCs w:val="20"/>
              </w:rPr>
            </w:pPr>
          </w:p>
        </w:tc>
        <w:tc>
          <w:tcPr>
            <w:tcW w:w="0" w:type="auto"/>
            <w:gridSpan w:val="3"/>
            <w:vAlign w:val="center"/>
            <w:hideMark/>
          </w:tcPr>
          <w:p w14:paraId="79712188" w14:textId="77777777" w:rsidR="00000000" w:rsidRDefault="00C1661D">
            <w:pPr>
              <w:spacing w:after="100"/>
              <w:rPr>
                <w:rFonts w:eastAsia="Times New Roman"/>
                <w:sz w:val="20"/>
                <w:szCs w:val="20"/>
              </w:rPr>
            </w:pPr>
          </w:p>
        </w:tc>
      </w:tr>
      <w:tr w:rsidR="00000000" w14:paraId="39F8FCF9" w14:textId="77777777">
        <w:tc>
          <w:tcPr>
            <w:tcW w:w="0" w:type="auto"/>
            <w:gridSpan w:val="3"/>
            <w:vAlign w:val="center"/>
            <w:hideMark/>
          </w:tcPr>
          <w:p w14:paraId="690E1617" w14:textId="77777777" w:rsidR="00000000" w:rsidRDefault="00C1661D">
            <w:pPr>
              <w:spacing w:after="100"/>
              <w:rPr>
                <w:rFonts w:eastAsia="Times New Roman"/>
                <w:sz w:val="20"/>
                <w:szCs w:val="20"/>
              </w:rPr>
            </w:pPr>
          </w:p>
        </w:tc>
        <w:tc>
          <w:tcPr>
            <w:tcW w:w="0" w:type="auto"/>
            <w:gridSpan w:val="3"/>
            <w:vAlign w:val="center"/>
            <w:hideMark/>
          </w:tcPr>
          <w:p w14:paraId="5C725342" w14:textId="77777777" w:rsidR="00000000" w:rsidRDefault="00C1661D">
            <w:pPr>
              <w:spacing w:after="100"/>
              <w:rPr>
                <w:rFonts w:eastAsia="Times New Roman"/>
                <w:sz w:val="20"/>
                <w:szCs w:val="20"/>
              </w:rPr>
            </w:pPr>
          </w:p>
        </w:tc>
        <w:tc>
          <w:tcPr>
            <w:tcW w:w="0" w:type="auto"/>
            <w:gridSpan w:val="3"/>
            <w:vAlign w:val="center"/>
            <w:hideMark/>
          </w:tcPr>
          <w:p w14:paraId="28F10230" w14:textId="77777777" w:rsidR="00000000" w:rsidRDefault="00C1661D">
            <w:pPr>
              <w:spacing w:after="100"/>
              <w:rPr>
                <w:rFonts w:eastAsia="Times New Roman"/>
                <w:sz w:val="20"/>
                <w:szCs w:val="20"/>
              </w:rPr>
            </w:pPr>
          </w:p>
        </w:tc>
        <w:tc>
          <w:tcPr>
            <w:tcW w:w="0" w:type="auto"/>
            <w:gridSpan w:val="3"/>
            <w:vAlign w:val="center"/>
            <w:hideMark/>
          </w:tcPr>
          <w:p w14:paraId="40EDC4E7" w14:textId="77777777" w:rsidR="00000000" w:rsidRDefault="00C1661D">
            <w:pPr>
              <w:spacing w:after="100"/>
              <w:rPr>
                <w:rFonts w:eastAsia="Times New Roman"/>
                <w:sz w:val="20"/>
                <w:szCs w:val="20"/>
              </w:rPr>
            </w:pPr>
          </w:p>
        </w:tc>
        <w:tc>
          <w:tcPr>
            <w:tcW w:w="0" w:type="auto"/>
            <w:gridSpan w:val="3"/>
            <w:vAlign w:val="center"/>
            <w:hideMark/>
          </w:tcPr>
          <w:p w14:paraId="7CA7A71C" w14:textId="77777777" w:rsidR="00000000" w:rsidRDefault="00C1661D">
            <w:pPr>
              <w:spacing w:after="100"/>
              <w:rPr>
                <w:rFonts w:eastAsia="Times New Roman"/>
                <w:sz w:val="20"/>
                <w:szCs w:val="20"/>
              </w:rPr>
            </w:pPr>
          </w:p>
        </w:tc>
        <w:tc>
          <w:tcPr>
            <w:tcW w:w="0" w:type="auto"/>
            <w:gridSpan w:val="3"/>
            <w:vAlign w:val="center"/>
            <w:hideMark/>
          </w:tcPr>
          <w:p w14:paraId="46C2CB2B" w14:textId="77777777" w:rsidR="00000000" w:rsidRDefault="00C1661D">
            <w:pPr>
              <w:spacing w:after="100"/>
              <w:rPr>
                <w:rFonts w:eastAsia="Times New Roman"/>
                <w:sz w:val="20"/>
                <w:szCs w:val="20"/>
              </w:rPr>
            </w:pPr>
          </w:p>
        </w:tc>
      </w:tr>
      <w:tr w:rsidR="00000000" w14:paraId="4F92DCED" w14:textId="77777777">
        <w:tc>
          <w:tcPr>
            <w:tcW w:w="0" w:type="auto"/>
            <w:gridSpan w:val="3"/>
            <w:vAlign w:val="center"/>
            <w:hideMark/>
          </w:tcPr>
          <w:p w14:paraId="200DB9D2" w14:textId="77777777" w:rsidR="00000000" w:rsidRDefault="00C1661D">
            <w:pPr>
              <w:spacing w:after="100"/>
              <w:rPr>
                <w:rFonts w:eastAsia="Times New Roman"/>
                <w:sz w:val="20"/>
                <w:szCs w:val="20"/>
              </w:rPr>
            </w:pPr>
          </w:p>
        </w:tc>
        <w:tc>
          <w:tcPr>
            <w:tcW w:w="0" w:type="auto"/>
            <w:gridSpan w:val="3"/>
            <w:vAlign w:val="center"/>
            <w:hideMark/>
          </w:tcPr>
          <w:p w14:paraId="499E6D34" w14:textId="77777777" w:rsidR="00000000" w:rsidRDefault="00C1661D">
            <w:pPr>
              <w:spacing w:after="100"/>
              <w:rPr>
                <w:rFonts w:eastAsia="Times New Roman"/>
                <w:sz w:val="20"/>
                <w:szCs w:val="20"/>
              </w:rPr>
            </w:pPr>
          </w:p>
        </w:tc>
        <w:tc>
          <w:tcPr>
            <w:tcW w:w="0" w:type="auto"/>
            <w:gridSpan w:val="3"/>
            <w:vAlign w:val="center"/>
            <w:hideMark/>
          </w:tcPr>
          <w:p w14:paraId="5DD03B68" w14:textId="77777777" w:rsidR="00000000" w:rsidRDefault="00C1661D">
            <w:pPr>
              <w:spacing w:after="100"/>
              <w:rPr>
                <w:rFonts w:eastAsia="Times New Roman"/>
                <w:sz w:val="20"/>
                <w:szCs w:val="20"/>
              </w:rPr>
            </w:pPr>
          </w:p>
        </w:tc>
        <w:tc>
          <w:tcPr>
            <w:tcW w:w="0" w:type="auto"/>
            <w:gridSpan w:val="3"/>
            <w:vAlign w:val="center"/>
            <w:hideMark/>
          </w:tcPr>
          <w:p w14:paraId="1883E49E" w14:textId="77777777" w:rsidR="00000000" w:rsidRDefault="00C1661D">
            <w:pPr>
              <w:spacing w:after="100"/>
              <w:rPr>
                <w:rFonts w:eastAsia="Times New Roman"/>
                <w:sz w:val="20"/>
                <w:szCs w:val="20"/>
              </w:rPr>
            </w:pPr>
          </w:p>
        </w:tc>
        <w:tc>
          <w:tcPr>
            <w:tcW w:w="0" w:type="auto"/>
            <w:gridSpan w:val="3"/>
            <w:vAlign w:val="center"/>
            <w:hideMark/>
          </w:tcPr>
          <w:p w14:paraId="16E64117" w14:textId="77777777" w:rsidR="00000000" w:rsidRDefault="00C1661D">
            <w:pPr>
              <w:spacing w:after="100"/>
              <w:rPr>
                <w:rFonts w:eastAsia="Times New Roman"/>
                <w:sz w:val="20"/>
                <w:szCs w:val="20"/>
              </w:rPr>
            </w:pPr>
          </w:p>
        </w:tc>
        <w:tc>
          <w:tcPr>
            <w:tcW w:w="0" w:type="auto"/>
            <w:gridSpan w:val="3"/>
            <w:vAlign w:val="center"/>
            <w:hideMark/>
          </w:tcPr>
          <w:p w14:paraId="1A5BD1F8" w14:textId="77777777" w:rsidR="00000000" w:rsidRDefault="00C1661D">
            <w:pPr>
              <w:spacing w:after="100"/>
              <w:rPr>
                <w:rFonts w:eastAsia="Times New Roman"/>
                <w:sz w:val="20"/>
                <w:szCs w:val="20"/>
              </w:rPr>
            </w:pPr>
          </w:p>
        </w:tc>
      </w:tr>
      <w:tr w:rsidR="00000000" w14:paraId="2E7E578B" w14:textId="77777777">
        <w:tc>
          <w:tcPr>
            <w:tcW w:w="0" w:type="auto"/>
            <w:gridSpan w:val="3"/>
            <w:vAlign w:val="center"/>
            <w:hideMark/>
          </w:tcPr>
          <w:p w14:paraId="50325507" w14:textId="77777777" w:rsidR="00000000" w:rsidRDefault="00C1661D">
            <w:pPr>
              <w:spacing w:after="100"/>
              <w:rPr>
                <w:rFonts w:eastAsia="Times New Roman"/>
                <w:sz w:val="20"/>
                <w:szCs w:val="20"/>
              </w:rPr>
            </w:pPr>
          </w:p>
        </w:tc>
        <w:tc>
          <w:tcPr>
            <w:tcW w:w="0" w:type="auto"/>
            <w:gridSpan w:val="3"/>
            <w:vAlign w:val="center"/>
            <w:hideMark/>
          </w:tcPr>
          <w:p w14:paraId="35F4BAB8" w14:textId="77777777" w:rsidR="00000000" w:rsidRDefault="00C1661D">
            <w:pPr>
              <w:spacing w:after="100"/>
              <w:rPr>
                <w:rFonts w:eastAsia="Times New Roman"/>
                <w:sz w:val="20"/>
                <w:szCs w:val="20"/>
              </w:rPr>
            </w:pPr>
          </w:p>
        </w:tc>
        <w:tc>
          <w:tcPr>
            <w:tcW w:w="0" w:type="auto"/>
            <w:gridSpan w:val="3"/>
            <w:vAlign w:val="center"/>
            <w:hideMark/>
          </w:tcPr>
          <w:p w14:paraId="08AC0222" w14:textId="77777777" w:rsidR="00000000" w:rsidRDefault="00C1661D">
            <w:pPr>
              <w:spacing w:after="100"/>
              <w:rPr>
                <w:rFonts w:eastAsia="Times New Roman"/>
                <w:sz w:val="20"/>
                <w:szCs w:val="20"/>
              </w:rPr>
            </w:pPr>
          </w:p>
        </w:tc>
        <w:tc>
          <w:tcPr>
            <w:tcW w:w="0" w:type="auto"/>
            <w:gridSpan w:val="3"/>
            <w:vAlign w:val="center"/>
            <w:hideMark/>
          </w:tcPr>
          <w:p w14:paraId="49DA8B4C" w14:textId="77777777" w:rsidR="00000000" w:rsidRDefault="00C1661D">
            <w:pPr>
              <w:spacing w:after="100"/>
              <w:rPr>
                <w:rFonts w:eastAsia="Times New Roman"/>
                <w:sz w:val="20"/>
                <w:szCs w:val="20"/>
              </w:rPr>
            </w:pPr>
          </w:p>
        </w:tc>
        <w:tc>
          <w:tcPr>
            <w:tcW w:w="0" w:type="auto"/>
            <w:gridSpan w:val="3"/>
            <w:vAlign w:val="center"/>
            <w:hideMark/>
          </w:tcPr>
          <w:p w14:paraId="601EBE3F" w14:textId="77777777" w:rsidR="00000000" w:rsidRDefault="00C1661D">
            <w:pPr>
              <w:spacing w:after="100"/>
              <w:rPr>
                <w:rFonts w:eastAsia="Times New Roman"/>
                <w:sz w:val="20"/>
                <w:szCs w:val="20"/>
              </w:rPr>
            </w:pPr>
          </w:p>
        </w:tc>
        <w:tc>
          <w:tcPr>
            <w:tcW w:w="0" w:type="auto"/>
            <w:gridSpan w:val="3"/>
            <w:vAlign w:val="center"/>
            <w:hideMark/>
          </w:tcPr>
          <w:p w14:paraId="16755659" w14:textId="77777777" w:rsidR="00000000" w:rsidRDefault="00C1661D">
            <w:pPr>
              <w:spacing w:after="100"/>
              <w:rPr>
                <w:rFonts w:eastAsia="Times New Roman"/>
                <w:sz w:val="20"/>
                <w:szCs w:val="20"/>
              </w:rPr>
            </w:pPr>
          </w:p>
        </w:tc>
      </w:tr>
      <w:tr w:rsidR="00000000" w14:paraId="32173621" w14:textId="77777777">
        <w:tc>
          <w:tcPr>
            <w:tcW w:w="0" w:type="auto"/>
            <w:gridSpan w:val="3"/>
            <w:vAlign w:val="center"/>
            <w:hideMark/>
          </w:tcPr>
          <w:p w14:paraId="3FF146B7" w14:textId="77777777" w:rsidR="00000000" w:rsidRDefault="00C1661D">
            <w:pPr>
              <w:spacing w:after="100"/>
              <w:rPr>
                <w:rFonts w:eastAsia="Times New Roman"/>
                <w:sz w:val="20"/>
                <w:szCs w:val="20"/>
              </w:rPr>
            </w:pPr>
          </w:p>
        </w:tc>
        <w:tc>
          <w:tcPr>
            <w:tcW w:w="0" w:type="auto"/>
            <w:gridSpan w:val="3"/>
            <w:vAlign w:val="center"/>
            <w:hideMark/>
          </w:tcPr>
          <w:p w14:paraId="26329E71" w14:textId="77777777" w:rsidR="00000000" w:rsidRDefault="00C1661D">
            <w:pPr>
              <w:spacing w:after="100"/>
              <w:rPr>
                <w:rFonts w:eastAsia="Times New Roman"/>
                <w:sz w:val="20"/>
                <w:szCs w:val="20"/>
              </w:rPr>
            </w:pPr>
          </w:p>
        </w:tc>
        <w:tc>
          <w:tcPr>
            <w:tcW w:w="0" w:type="auto"/>
            <w:gridSpan w:val="3"/>
            <w:vAlign w:val="center"/>
            <w:hideMark/>
          </w:tcPr>
          <w:p w14:paraId="7EF52538" w14:textId="77777777" w:rsidR="00000000" w:rsidRDefault="00C1661D">
            <w:pPr>
              <w:spacing w:after="100"/>
              <w:rPr>
                <w:rFonts w:eastAsia="Times New Roman"/>
                <w:sz w:val="20"/>
                <w:szCs w:val="20"/>
              </w:rPr>
            </w:pPr>
          </w:p>
        </w:tc>
        <w:tc>
          <w:tcPr>
            <w:tcW w:w="0" w:type="auto"/>
            <w:gridSpan w:val="3"/>
            <w:vAlign w:val="center"/>
            <w:hideMark/>
          </w:tcPr>
          <w:p w14:paraId="1DA1E32F" w14:textId="77777777" w:rsidR="00000000" w:rsidRDefault="00C1661D">
            <w:pPr>
              <w:spacing w:after="100"/>
              <w:rPr>
                <w:rFonts w:eastAsia="Times New Roman"/>
                <w:sz w:val="20"/>
                <w:szCs w:val="20"/>
              </w:rPr>
            </w:pPr>
          </w:p>
        </w:tc>
        <w:tc>
          <w:tcPr>
            <w:tcW w:w="0" w:type="auto"/>
            <w:gridSpan w:val="3"/>
            <w:vAlign w:val="center"/>
            <w:hideMark/>
          </w:tcPr>
          <w:p w14:paraId="66955611" w14:textId="77777777" w:rsidR="00000000" w:rsidRDefault="00C1661D">
            <w:pPr>
              <w:spacing w:after="100"/>
              <w:rPr>
                <w:rFonts w:eastAsia="Times New Roman"/>
                <w:sz w:val="20"/>
                <w:szCs w:val="20"/>
              </w:rPr>
            </w:pPr>
          </w:p>
        </w:tc>
        <w:tc>
          <w:tcPr>
            <w:tcW w:w="0" w:type="auto"/>
            <w:gridSpan w:val="3"/>
            <w:vAlign w:val="center"/>
            <w:hideMark/>
          </w:tcPr>
          <w:p w14:paraId="0A13BBC5" w14:textId="77777777" w:rsidR="00000000" w:rsidRDefault="00C1661D">
            <w:pPr>
              <w:spacing w:after="100"/>
              <w:rPr>
                <w:rFonts w:eastAsia="Times New Roman"/>
                <w:sz w:val="20"/>
                <w:szCs w:val="20"/>
              </w:rPr>
            </w:pPr>
          </w:p>
        </w:tc>
      </w:tr>
    </w:tbl>
    <w:p w14:paraId="3F84675B" w14:textId="77777777" w:rsidR="00000000" w:rsidRDefault="00C1661D">
      <w:pPr>
        <w:jc w:val="both"/>
        <w:rPr>
          <w:rFonts w:eastAsia="Times New Roman"/>
        </w:rPr>
      </w:pPr>
      <w:r>
        <w:rPr>
          <w:rFonts w:eastAsia="Times New Roman"/>
          <w:b/>
          <w:bCs/>
          <w:color w:val="000000"/>
          <w:sz w:val="20"/>
          <w:szCs w:val="20"/>
          <w:u w:val="single"/>
        </w:rPr>
        <w:t xml:space="preserve">Note 15 — Partnership Distributions </w:t>
      </w:r>
    </w:p>
    <w:p w14:paraId="557DDFF4" w14:textId="77777777" w:rsidR="00000000" w:rsidRDefault="00C1661D">
      <w:pPr>
        <w:jc w:val="both"/>
        <w:rPr>
          <w:rFonts w:eastAsia="Times New Roman"/>
        </w:rPr>
      </w:pPr>
    </w:p>
    <w:p w14:paraId="590581EF" w14:textId="77777777" w:rsidR="00000000" w:rsidRDefault="00C1661D">
      <w:pPr>
        <w:jc w:val="both"/>
        <w:rPr>
          <w:rFonts w:eastAsia="Times New Roman"/>
        </w:rPr>
      </w:pPr>
      <w:r>
        <w:rPr>
          <w:rFonts w:eastAsia="Times New Roman"/>
          <w:color w:val="000000"/>
          <w:sz w:val="20"/>
          <w:szCs w:val="20"/>
        </w:rPr>
        <w:t>In accordance with the Partnership Agreement, the Partnership makes distributions to its partners approximately 45 days after the end of each fiscal quarter in a total amount equal to its Available Cash (as defined in the Partnership Agreement) for such qu</w:t>
      </w:r>
      <w:r>
        <w:rPr>
          <w:rFonts w:eastAsia="Times New Roman"/>
          <w:color w:val="000000"/>
          <w:sz w:val="20"/>
          <w:szCs w:val="20"/>
        </w:rPr>
        <w:t>arter. The General Partner may establish reserves for the proper conduct of the Partnership’s business and for distributions during the next four quarters.</w:t>
      </w:r>
    </w:p>
    <w:p w14:paraId="4356960D" w14:textId="77777777" w:rsidR="00000000" w:rsidRDefault="00C1661D">
      <w:pPr>
        <w:jc w:val="both"/>
        <w:rPr>
          <w:rFonts w:eastAsia="Times New Roman"/>
        </w:rPr>
      </w:pPr>
    </w:p>
    <w:p w14:paraId="6BC73D99" w14:textId="77777777" w:rsidR="00000000" w:rsidRDefault="00C1661D">
      <w:pPr>
        <w:divId w:val="1246113622"/>
        <w:rPr>
          <w:rFonts w:eastAsia="Times New Roman"/>
        </w:rPr>
      </w:pPr>
      <w:r>
        <w:rPr>
          <w:rFonts w:eastAsia="Times New Roman"/>
          <w:b/>
          <w:bCs/>
          <w:color w:val="000000"/>
          <w:sz w:val="20"/>
          <w:szCs w:val="20"/>
          <w:u w:val="single"/>
        </w:rPr>
        <w:t>Note 16 — Leases</w:t>
      </w:r>
      <w:r>
        <w:rPr>
          <w:rFonts w:eastAsia="Times New Roman"/>
          <w:color w:val="000000"/>
          <w:sz w:val="20"/>
          <w:szCs w:val="20"/>
        </w:rPr>
        <w:t xml:space="preserve"> </w:t>
      </w:r>
    </w:p>
    <w:p w14:paraId="5592FE5B" w14:textId="77777777" w:rsidR="00000000" w:rsidRDefault="00C1661D">
      <w:pPr>
        <w:divId w:val="29041707"/>
        <w:rPr>
          <w:rFonts w:eastAsia="Times New Roman"/>
        </w:rPr>
      </w:pPr>
    </w:p>
    <w:p w14:paraId="0334D8EE" w14:textId="77777777" w:rsidR="00000000" w:rsidRDefault="00C1661D">
      <w:pPr>
        <w:jc w:val="both"/>
        <w:rPr>
          <w:rFonts w:eastAsia="Times New Roman"/>
        </w:rPr>
      </w:pPr>
      <w:r>
        <w:rPr>
          <w:rFonts w:eastAsia="Times New Roman"/>
          <w:b/>
          <w:bCs/>
          <w:color w:val="000000"/>
          <w:sz w:val="20"/>
          <w:szCs w:val="20"/>
        </w:rPr>
        <w:t>Lessee</w:t>
      </w:r>
    </w:p>
    <w:p w14:paraId="1D72DD35" w14:textId="77777777" w:rsidR="00000000" w:rsidRDefault="00C1661D">
      <w:pPr>
        <w:jc w:val="both"/>
        <w:rPr>
          <w:rFonts w:eastAsia="Times New Roman"/>
        </w:rPr>
      </w:pPr>
    </w:p>
    <w:p w14:paraId="5A9CFD51" w14:textId="77777777" w:rsidR="00000000" w:rsidRDefault="00C1661D">
      <w:pPr>
        <w:jc w:val="both"/>
        <w:rPr>
          <w:rFonts w:eastAsia="Times New Roman"/>
        </w:rPr>
      </w:pPr>
      <w:r>
        <w:rPr>
          <w:rFonts w:eastAsia="Times New Roman"/>
          <w:color w:val="000000"/>
          <w:sz w:val="20"/>
          <w:szCs w:val="20"/>
        </w:rPr>
        <w:t>We lease various buildings and other facilities, real estate, vehicles, rail cars and other equipment, the majority of which are operating leases. We determine if a contract is or contains a lease by evaluating whether the contract explicitly or implicitly</w:t>
      </w:r>
      <w:r>
        <w:rPr>
          <w:rFonts w:eastAsia="Times New Roman"/>
          <w:color w:val="000000"/>
          <w:sz w:val="20"/>
          <w:szCs w:val="20"/>
        </w:rPr>
        <w:t xml:space="preserve"> identifies an asset, whether we have the right to obtain substantially all of the economic benefits of the identified leased asset and to direct its use. </w:t>
      </w:r>
    </w:p>
    <w:p w14:paraId="53AEECB5" w14:textId="77777777" w:rsidR="00000000" w:rsidRDefault="00C1661D">
      <w:pPr>
        <w:jc w:val="both"/>
        <w:rPr>
          <w:rFonts w:eastAsia="Times New Roman"/>
        </w:rPr>
      </w:pPr>
    </w:p>
    <w:p w14:paraId="78BBC540" w14:textId="77777777" w:rsidR="00000000" w:rsidRDefault="00C1661D">
      <w:pPr>
        <w:jc w:val="both"/>
        <w:rPr>
          <w:rFonts w:eastAsia="Times New Roman"/>
        </w:rPr>
      </w:pPr>
      <w:r>
        <w:rPr>
          <w:rFonts w:eastAsia="Times New Roman"/>
          <w:color w:val="000000"/>
          <w:sz w:val="20"/>
          <w:szCs w:val="20"/>
        </w:rPr>
        <w:t>ROU assets represent our right to use an underlying asset for the lease term and lease liabilities</w:t>
      </w:r>
      <w:r>
        <w:rPr>
          <w:rFonts w:eastAsia="Times New Roman"/>
          <w:color w:val="000000"/>
          <w:sz w:val="20"/>
          <w:szCs w:val="20"/>
        </w:rPr>
        <w:t xml:space="preserve"> represent our obligation to make lease payments arising from the lease. We recognize ROU assets at the lease commencement date at the value of the lease liability adjusted for any prepayments, lease incentives received, and initial direct costs incurred. </w:t>
      </w:r>
      <w:r>
        <w:rPr>
          <w:rFonts w:eastAsia="Times New Roman"/>
          <w:color w:val="000000"/>
          <w:sz w:val="20"/>
          <w:szCs w:val="20"/>
        </w:rPr>
        <w:t>Lease liabilities are recognized at the lease commencement date based on the present value of lease payments over the lease term. These payments are discounted using the discount rate implicit in the lease, when available. We apply an incremental borrowing</w:t>
      </w:r>
      <w:r>
        <w:rPr>
          <w:rFonts w:eastAsia="Times New Roman"/>
          <w:color w:val="000000"/>
          <w:sz w:val="20"/>
          <w:szCs w:val="20"/>
        </w:rPr>
        <w:t xml:space="preserve"> rate, which is </w:t>
      </w:r>
    </w:p>
    <w:p w14:paraId="568B1EDC" w14:textId="77777777" w:rsidR="00000000" w:rsidRDefault="00C1661D">
      <w:pPr>
        <w:jc w:val="center"/>
        <w:divId w:val="233010296"/>
        <w:rPr>
          <w:rFonts w:eastAsia="Times New Roman"/>
        </w:rPr>
      </w:pPr>
      <w:r>
        <w:rPr>
          <w:rFonts w:eastAsia="Times New Roman"/>
          <w:color w:val="000000"/>
          <w:sz w:val="20"/>
          <w:szCs w:val="20"/>
        </w:rPr>
        <w:t>F-45</w:t>
      </w:r>
    </w:p>
    <w:p w14:paraId="322BCC71" w14:textId="77777777" w:rsidR="00000000" w:rsidRDefault="00C1661D">
      <w:pPr>
        <w:rPr>
          <w:rFonts w:eastAsia="Times New Roman"/>
        </w:rPr>
      </w:pPr>
      <w:r>
        <w:rPr>
          <w:rFonts w:eastAsia="Times New Roman"/>
        </w:rPr>
        <w:pict w14:anchorId="45AAA705">
          <v:rect id="_x0000_i1158" style="width:0;height:1.5pt" o:hralign="center" o:hrstd="t" o:hr="t" fillcolor="#a0a0a0" stroked="f"/>
        </w:pict>
      </w:r>
    </w:p>
    <w:p w14:paraId="554EE1D1" w14:textId="77777777" w:rsidR="00000000" w:rsidRDefault="00C1661D">
      <w:pPr>
        <w:divId w:val="1513033360"/>
        <w:rPr>
          <w:rFonts w:eastAsia="Times New Roman"/>
        </w:rPr>
      </w:pPr>
      <w:hyperlink w:anchor="i3850c3c6c0104e42b9951aac2f16098a_7" w:history="1">
        <w:r>
          <w:rPr>
            <w:rStyle w:val="a3"/>
            <w:rFonts w:eastAsia="Times New Roman"/>
            <w:sz w:val="20"/>
            <w:szCs w:val="20"/>
          </w:rPr>
          <w:t>Table of Contents</w:t>
        </w:r>
      </w:hyperlink>
    </w:p>
    <w:p w14:paraId="4E39F5CD" w14:textId="77777777" w:rsidR="00000000" w:rsidRDefault="00C1661D">
      <w:pPr>
        <w:divId w:val="836307565"/>
        <w:rPr>
          <w:rFonts w:eastAsia="Times New Roman"/>
        </w:rPr>
      </w:pPr>
      <w:r>
        <w:rPr>
          <w:rFonts w:eastAsia="Times New Roman"/>
          <w:b/>
          <w:bCs/>
          <w:color w:val="000000"/>
          <w:sz w:val="20"/>
          <w:szCs w:val="20"/>
        </w:rPr>
        <w:t>UGI Corporation and Subsidiaries</w:t>
      </w:r>
    </w:p>
    <w:p w14:paraId="2097A260" w14:textId="77777777" w:rsidR="00000000" w:rsidRDefault="00C1661D">
      <w:pPr>
        <w:divId w:val="139931183"/>
        <w:rPr>
          <w:rFonts w:eastAsia="Times New Roman"/>
        </w:rPr>
      </w:pPr>
      <w:r>
        <w:rPr>
          <w:rFonts w:eastAsia="Times New Roman"/>
          <w:b/>
          <w:bCs/>
          <w:color w:val="000000"/>
          <w:sz w:val="20"/>
          <w:szCs w:val="20"/>
        </w:rPr>
        <w:t>Notes to Consolidated Financial Statements</w:t>
      </w:r>
    </w:p>
    <w:p w14:paraId="743CFBBD" w14:textId="77777777" w:rsidR="00000000" w:rsidRDefault="00C1661D">
      <w:pPr>
        <w:divId w:val="1629896777"/>
        <w:rPr>
          <w:rFonts w:eastAsia="Times New Roman"/>
        </w:rPr>
      </w:pPr>
      <w:r>
        <w:rPr>
          <w:rFonts w:eastAsia="Times New Roman"/>
          <w:color w:val="000000"/>
          <w:sz w:val="20"/>
          <w:szCs w:val="20"/>
        </w:rPr>
        <w:t>(Currency in millions, except per share amounts and where indicated otherwise)</w:t>
      </w:r>
    </w:p>
    <w:p w14:paraId="62926AB5" w14:textId="77777777" w:rsidR="00000000" w:rsidRDefault="00C1661D">
      <w:pPr>
        <w:jc w:val="both"/>
        <w:rPr>
          <w:rFonts w:eastAsia="Times New Roman"/>
        </w:rPr>
      </w:pPr>
      <w:r>
        <w:rPr>
          <w:rFonts w:eastAsia="Times New Roman"/>
          <w:color w:val="000000"/>
          <w:sz w:val="20"/>
          <w:szCs w:val="20"/>
        </w:rPr>
        <w:t>developed utilizing a credit notching approach based on information available at the lease commencement date, to substantially all of our leases as the implicit rate is often no</w:t>
      </w:r>
      <w:r>
        <w:rPr>
          <w:rFonts w:eastAsia="Times New Roman"/>
          <w:color w:val="000000"/>
          <w:sz w:val="20"/>
          <w:szCs w:val="20"/>
        </w:rPr>
        <w:t xml:space="preserve">t available. </w:t>
      </w:r>
    </w:p>
    <w:p w14:paraId="26149512" w14:textId="77777777" w:rsidR="00000000" w:rsidRDefault="00C1661D">
      <w:pPr>
        <w:jc w:val="both"/>
        <w:rPr>
          <w:rFonts w:eastAsia="Times New Roman"/>
        </w:rPr>
      </w:pPr>
    </w:p>
    <w:p w14:paraId="7EA79BEB" w14:textId="77777777" w:rsidR="00000000" w:rsidRDefault="00C1661D">
      <w:pPr>
        <w:jc w:val="both"/>
        <w:rPr>
          <w:rFonts w:eastAsia="Times New Roman"/>
        </w:rPr>
      </w:pPr>
      <w:r>
        <w:rPr>
          <w:rFonts w:eastAsia="Times New Roman"/>
          <w:color w:val="000000"/>
          <w:sz w:val="20"/>
          <w:szCs w:val="20"/>
        </w:rPr>
        <w:t>Lease expense is recognized on a straight-line basis over the expected lease term. Renewal and termination options are not included in the lease term unless we are reasonably certain that such options will be exercised. Leases with an origi</w:t>
      </w:r>
      <w:r>
        <w:rPr>
          <w:rFonts w:eastAsia="Times New Roman"/>
          <w:color w:val="000000"/>
          <w:sz w:val="20"/>
          <w:szCs w:val="20"/>
        </w:rPr>
        <w:t xml:space="preserve">nal lease term of one year or less, including consideration of any renewal options assumed to be exercised, are not included in the Consolidated Balance Sheets. </w:t>
      </w:r>
    </w:p>
    <w:p w14:paraId="7F15720A" w14:textId="77777777" w:rsidR="00000000" w:rsidRDefault="00C1661D">
      <w:pPr>
        <w:jc w:val="both"/>
        <w:rPr>
          <w:rFonts w:eastAsia="Times New Roman"/>
        </w:rPr>
      </w:pPr>
    </w:p>
    <w:p w14:paraId="74C4EA95" w14:textId="77777777" w:rsidR="00000000" w:rsidRDefault="00C1661D">
      <w:pPr>
        <w:jc w:val="both"/>
        <w:rPr>
          <w:rFonts w:eastAsia="Times New Roman"/>
        </w:rPr>
      </w:pPr>
      <w:r>
        <w:rPr>
          <w:rFonts w:eastAsia="Times New Roman"/>
          <w:color w:val="000000"/>
          <w:sz w:val="20"/>
          <w:szCs w:val="20"/>
        </w:rPr>
        <w:t>Certain lease arrangements, primarily fleet vehicle leases with lease terms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ten ye</w:t>
      </w:r>
      <w:r>
        <w:rPr>
          <w:rFonts w:eastAsia="Times New Roman"/>
          <w:color w:val="000000"/>
          <w:sz w:val="20"/>
          <w:szCs w:val="20"/>
        </w:rPr>
        <w:t>ars, contain purchase options. The Company generally excludes purchase options in evaluating its leases unless it is reasonably certain that such options will be exercised. Additionally, leases of fleet vehicles often contain residual value guarantees that</w:t>
      </w:r>
      <w:r>
        <w:rPr>
          <w:rFonts w:eastAsia="Times New Roman"/>
          <w:color w:val="000000"/>
          <w:sz w:val="20"/>
          <w:szCs w:val="20"/>
        </w:rPr>
        <w:t xml:space="preserve"> are due at the end of the lease. Such amounts are included in the determination of lease liabilities when we are reasonably certain that they will be owed.</w:t>
      </w:r>
    </w:p>
    <w:p w14:paraId="41684732" w14:textId="77777777" w:rsidR="00000000" w:rsidRDefault="00C1661D">
      <w:pPr>
        <w:jc w:val="both"/>
        <w:rPr>
          <w:rFonts w:eastAsia="Times New Roman"/>
        </w:rPr>
      </w:pPr>
    </w:p>
    <w:p w14:paraId="588026C0" w14:textId="77777777" w:rsidR="00000000" w:rsidRDefault="00C1661D">
      <w:pPr>
        <w:jc w:val="both"/>
        <w:rPr>
          <w:rFonts w:eastAsia="Times New Roman"/>
        </w:rPr>
      </w:pPr>
      <w:r>
        <w:rPr>
          <w:rFonts w:eastAsia="Times New Roman"/>
          <w:color w:val="000000"/>
          <w:sz w:val="20"/>
          <w:szCs w:val="20"/>
        </w:rPr>
        <w:t>Certain leasing arrangements require variable payments that are dependent on asset usage or are b</w:t>
      </w:r>
      <w:r>
        <w:rPr>
          <w:rFonts w:eastAsia="Times New Roman"/>
          <w:color w:val="000000"/>
          <w:sz w:val="20"/>
          <w:szCs w:val="20"/>
        </w:rPr>
        <w:t>ased on changes in index rates, such as the Consumer Price Index. The variable payments component of such leases cannot be determined at lease commencement and is not recognized in the measurement of ROU assets or lease liabilities, but is recognized in ea</w:t>
      </w:r>
      <w:r>
        <w:rPr>
          <w:rFonts w:eastAsia="Times New Roman"/>
          <w:color w:val="000000"/>
          <w:sz w:val="20"/>
          <w:szCs w:val="20"/>
        </w:rPr>
        <w:t xml:space="preserve">rnings in the period in which the obligation occurs. </w:t>
      </w:r>
    </w:p>
    <w:p w14:paraId="475B6892" w14:textId="77777777" w:rsidR="00000000" w:rsidRDefault="00C1661D">
      <w:pPr>
        <w:jc w:val="both"/>
        <w:rPr>
          <w:rFonts w:eastAsia="Times New Roman"/>
        </w:rPr>
      </w:pPr>
    </w:p>
    <w:p w14:paraId="18C77432" w14:textId="77777777" w:rsidR="00000000" w:rsidRDefault="00C1661D">
      <w:pPr>
        <w:jc w:val="center"/>
        <w:divId w:val="1956595059"/>
        <w:rPr>
          <w:rFonts w:eastAsia="Times New Roman"/>
        </w:rPr>
      </w:pPr>
      <w:r>
        <w:rPr>
          <w:rFonts w:eastAsia="Times New Roman"/>
          <w:color w:val="000000"/>
          <w:sz w:val="20"/>
          <w:szCs w:val="20"/>
        </w:rPr>
        <w:t>F-46</w:t>
      </w:r>
    </w:p>
    <w:p w14:paraId="36C15CC2" w14:textId="77777777" w:rsidR="00000000" w:rsidRDefault="00C1661D">
      <w:pPr>
        <w:rPr>
          <w:rFonts w:eastAsia="Times New Roman"/>
        </w:rPr>
      </w:pPr>
      <w:r>
        <w:rPr>
          <w:rFonts w:eastAsia="Times New Roman"/>
        </w:rPr>
        <w:pict w14:anchorId="3ED6555D">
          <v:rect id="_x0000_i1159" style="width:0;height:1.5pt" o:hralign="center" o:hrstd="t" o:hr="t" fillcolor="#a0a0a0" stroked="f"/>
        </w:pict>
      </w:r>
    </w:p>
    <w:p w14:paraId="331059F7" w14:textId="77777777" w:rsidR="00000000" w:rsidRDefault="00C1661D">
      <w:pPr>
        <w:divId w:val="1248810002"/>
        <w:rPr>
          <w:rFonts w:eastAsia="Times New Roman"/>
        </w:rPr>
      </w:pPr>
      <w:hyperlink w:anchor="i3850c3c6c0104e42b9951aac2f16098a_7" w:history="1">
        <w:r>
          <w:rPr>
            <w:rStyle w:val="a3"/>
            <w:rFonts w:eastAsia="Times New Roman"/>
            <w:sz w:val="20"/>
            <w:szCs w:val="20"/>
          </w:rPr>
          <w:t>Table of Contents</w:t>
        </w:r>
      </w:hyperlink>
    </w:p>
    <w:p w14:paraId="15582A41" w14:textId="77777777" w:rsidR="00000000" w:rsidRDefault="00C1661D">
      <w:pPr>
        <w:divId w:val="1316958417"/>
        <w:rPr>
          <w:rFonts w:eastAsia="Times New Roman"/>
        </w:rPr>
      </w:pPr>
      <w:r>
        <w:rPr>
          <w:rFonts w:eastAsia="Times New Roman"/>
          <w:b/>
          <w:bCs/>
          <w:color w:val="000000"/>
          <w:sz w:val="20"/>
          <w:szCs w:val="20"/>
        </w:rPr>
        <w:t>UGI Corporation and Subsidiaries</w:t>
      </w:r>
    </w:p>
    <w:p w14:paraId="7259CB10" w14:textId="77777777" w:rsidR="00000000" w:rsidRDefault="00C1661D">
      <w:pPr>
        <w:divId w:val="1301350781"/>
        <w:rPr>
          <w:rFonts w:eastAsia="Times New Roman"/>
        </w:rPr>
      </w:pPr>
      <w:r>
        <w:rPr>
          <w:rFonts w:eastAsia="Times New Roman"/>
          <w:b/>
          <w:bCs/>
          <w:color w:val="000000"/>
          <w:sz w:val="20"/>
          <w:szCs w:val="20"/>
        </w:rPr>
        <w:t>Notes to Consolidated Financial Statements</w:t>
      </w:r>
    </w:p>
    <w:p w14:paraId="79D021A4" w14:textId="77777777" w:rsidR="00000000" w:rsidRDefault="00C1661D">
      <w:pPr>
        <w:divId w:val="2138794515"/>
        <w:rPr>
          <w:rFonts w:eastAsia="Times New Roman"/>
        </w:rPr>
      </w:pPr>
      <w:r>
        <w:rPr>
          <w:rFonts w:eastAsia="Times New Roman"/>
          <w:color w:val="000000"/>
          <w:sz w:val="20"/>
          <w:szCs w:val="20"/>
        </w:rPr>
        <w:t>(Curre</w:t>
      </w:r>
      <w:r>
        <w:rPr>
          <w:rFonts w:eastAsia="Times New Roman"/>
          <w:color w:val="000000"/>
          <w:sz w:val="20"/>
          <w:szCs w:val="20"/>
        </w:rPr>
        <w:t>ncy in millions, except per share amounts and where indicated otherwise)</w:t>
      </w:r>
    </w:p>
    <w:p w14:paraId="40A78218" w14:textId="77777777" w:rsidR="00000000" w:rsidRDefault="00C1661D">
      <w:pPr>
        <w:divId w:val="1400791018"/>
        <w:rPr>
          <w:rFonts w:eastAsia="Times New Roman"/>
        </w:rPr>
      </w:pPr>
      <w:r>
        <w:rPr>
          <w:rFonts w:eastAsia="Times New Roman"/>
          <w:color w:val="000000"/>
          <w:sz w:val="20"/>
          <w:szCs w:val="20"/>
        </w:rPr>
        <w:t>ROU assets and lease liabilities recorded in the Consolidated Balance Sheets as of September 30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2688"/>
        <w:gridCol w:w="38"/>
        <w:gridCol w:w="120"/>
        <w:gridCol w:w="1292"/>
        <w:gridCol w:w="36"/>
        <w:gridCol w:w="36"/>
        <w:gridCol w:w="36"/>
        <w:gridCol w:w="36"/>
        <w:gridCol w:w="120"/>
        <w:gridCol w:w="1262"/>
        <w:gridCol w:w="36"/>
        <w:gridCol w:w="36"/>
        <w:gridCol w:w="43"/>
        <w:gridCol w:w="36"/>
        <w:gridCol w:w="47"/>
        <w:gridCol w:w="2361"/>
        <w:gridCol w:w="38"/>
      </w:tblGrid>
      <w:tr w:rsidR="00000000" w14:paraId="0C053935" w14:textId="77777777">
        <w:trPr>
          <w:divId w:val="2132281810"/>
          <w:jc w:val="center"/>
        </w:trPr>
        <w:tc>
          <w:tcPr>
            <w:tcW w:w="50" w:type="pct"/>
            <w:vAlign w:val="center"/>
            <w:hideMark/>
          </w:tcPr>
          <w:p w14:paraId="7536B3BF" w14:textId="77777777" w:rsidR="00000000" w:rsidRDefault="00C1661D">
            <w:pPr>
              <w:rPr>
                <w:rFonts w:eastAsia="Times New Roman"/>
              </w:rPr>
            </w:pPr>
          </w:p>
        </w:tc>
        <w:tc>
          <w:tcPr>
            <w:tcW w:w="1640" w:type="pct"/>
            <w:vAlign w:val="center"/>
            <w:hideMark/>
          </w:tcPr>
          <w:p w14:paraId="4E9AAF35" w14:textId="77777777" w:rsidR="00000000" w:rsidRDefault="00C1661D">
            <w:pPr>
              <w:spacing w:after="100"/>
              <w:rPr>
                <w:rFonts w:eastAsia="Times New Roman"/>
                <w:sz w:val="20"/>
                <w:szCs w:val="20"/>
              </w:rPr>
            </w:pPr>
          </w:p>
        </w:tc>
        <w:tc>
          <w:tcPr>
            <w:tcW w:w="5" w:type="pct"/>
            <w:vAlign w:val="center"/>
            <w:hideMark/>
          </w:tcPr>
          <w:p w14:paraId="1F4051CF" w14:textId="77777777" w:rsidR="00000000" w:rsidRDefault="00C1661D">
            <w:pPr>
              <w:spacing w:after="100"/>
              <w:rPr>
                <w:rFonts w:eastAsia="Times New Roman"/>
                <w:sz w:val="20"/>
                <w:szCs w:val="20"/>
              </w:rPr>
            </w:pPr>
          </w:p>
        </w:tc>
        <w:tc>
          <w:tcPr>
            <w:tcW w:w="50" w:type="pct"/>
            <w:vAlign w:val="center"/>
            <w:hideMark/>
          </w:tcPr>
          <w:p w14:paraId="018F259B" w14:textId="77777777" w:rsidR="00000000" w:rsidRDefault="00C1661D">
            <w:pPr>
              <w:spacing w:after="100"/>
              <w:rPr>
                <w:rFonts w:eastAsia="Times New Roman"/>
                <w:sz w:val="20"/>
                <w:szCs w:val="20"/>
              </w:rPr>
            </w:pPr>
          </w:p>
        </w:tc>
        <w:tc>
          <w:tcPr>
            <w:tcW w:w="800" w:type="pct"/>
            <w:vAlign w:val="center"/>
            <w:hideMark/>
          </w:tcPr>
          <w:p w14:paraId="6BA24FA5" w14:textId="77777777" w:rsidR="00000000" w:rsidRDefault="00C1661D">
            <w:pPr>
              <w:spacing w:after="100"/>
              <w:rPr>
                <w:rFonts w:eastAsia="Times New Roman"/>
                <w:sz w:val="20"/>
                <w:szCs w:val="20"/>
              </w:rPr>
            </w:pPr>
          </w:p>
        </w:tc>
        <w:tc>
          <w:tcPr>
            <w:tcW w:w="5" w:type="pct"/>
            <w:vAlign w:val="center"/>
            <w:hideMark/>
          </w:tcPr>
          <w:p w14:paraId="4CD670D1" w14:textId="77777777" w:rsidR="00000000" w:rsidRDefault="00C1661D">
            <w:pPr>
              <w:spacing w:after="100"/>
              <w:rPr>
                <w:rFonts w:eastAsia="Times New Roman"/>
                <w:sz w:val="20"/>
                <w:szCs w:val="20"/>
              </w:rPr>
            </w:pPr>
          </w:p>
        </w:tc>
        <w:tc>
          <w:tcPr>
            <w:tcW w:w="5" w:type="pct"/>
            <w:vAlign w:val="center"/>
            <w:hideMark/>
          </w:tcPr>
          <w:p w14:paraId="59B2DB50" w14:textId="77777777" w:rsidR="00000000" w:rsidRDefault="00C1661D">
            <w:pPr>
              <w:spacing w:after="100"/>
              <w:rPr>
                <w:rFonts w:eastAsia="Times New Roman"/>
                <w:sz w:val="20"/>
                <w:szCs w:val="20"/>
              </w:rPr>
            </w:pPr>
          </w:p>
        </w:tc>
        <w:tc>
          <w:tcPr>
            <w:tcW w:w="26" w:type="pct"/>
            <w:vAlign w:val="center"/>
            <w:hideMark/>
          </w:tcPr>
          <w:p w14:paraId="3D9480A7" w14:textId="77777777" w:rsidR="00000000" w:rsidRDefault="00C1661D">
            <w:pPr>
              <w:spacing w:after="100"/>
              <w:rPr>
                <w:rFonts w:eastAsia="Times New Roman"/>
                <w:sz w:val="20"/>
                <w:szCs w:val="20"/>
              </w:rPr>
            </w:pPr>
          </w:p>
        </w:tc>
        <w:tc>
          <w:tcPr>
            <w:tcW w:w="5" w:type="pct"/>
            <w:vAlign w:val="center"/>
            <w:hideMark/>
          </w:tcPr>
          <w:p w14:paraId="0518526D" w14:textId="77777777" w:rsidR="00000000" w:rsidRDefault="00C1661D">
            <w:pPr>
              <w:spacing w:after="100"/>
              <w:rPr>
                <w:rFonts w:eastAsia="Times New Roman"/>
                <w:sz w:val="20"/>
                <w:szCs w:val="20"/>
              </w:rPr>
            </w:pPr>
          </w:p>
        </w:tc>
        <w:tc>
          <w:tcPr>
            <w:tcW w:w="50" w:type="pct"/>
            <w:vAlign w:val="center"/>
            <w:hideMark/>
          </w:tcPr>
          <w:p w14:paraId="111EC537" w14:textId="77777777" w:rsidR="00000000" w:rsidRDefault="00C1661D">
            <w:pPr>
              <w:spacing w:after="100"/>
              <w:rPr>
                <w:rFonts w:eastAsia="Times New Roman"/>
                <w:sz w:val="20"/>
                <w:szCs w:val="20"/>
              </w:rPr>
            </w:pPr>
          </w:p>
        </w:tc>
        <w:tc>
          <w:tcPr>
            <w:tcW w:w="800" w:type="pct"/>
            <w:vAlign w:val="center"/>
            <w:hideMark/>
          </w:tcPr>
          <w:p w14:paraId="6480897F" w14:textId="77777777" w:rsidR="00000000" w:rsidRDefault="00C1661D">
            <w:pPr>
              <w:spacing w:after="100"/>
              <w:rPr>
                <w:rFonts w:eastAsia="Times New Roman"/>
                <w:sz w:val="20"/>
                <w:szCs w:val="20"/>
              </w:rPr>
            </w:pPr>
          </w:p>
        </w:tc>
        <w:tc>
          <w:tcPr>
            <w:tcW w:w="5" w:type="pct"/>
            <w:vAlign w:val="center"/>
            <w:hideMark/>
          </w:tcPr>
          <w:p w14:paraId="3227C805" w14:textId="77777777" w:rsidR="00000000" w:rsidRDefault="00C1661D">
            <w:pPr>
              <w:spacing w:after="100"/>
              <w:rPr>
                <w:rFonts w:eastAsia="Times New Roman"/>
                <w:sz w:val="20"/>
                <w:szCs w:val="20"/>
              </w:rPr>
            </w:pPr>
          </w:p>
        </w:tc>
        <w:tc>
          <w:tcPr>
            <w:tcW w:w="5" w:type="pct"/>
            <w:vAlign w:val="center"/>
            <w:hideMark/>
          </w:tcPr>
          <w:p w14:paraId="3B313D76" w14:textId="77777777" w:rsidR="00000000" w:rsidRDefault="00C1661D">
            <w:pPr>
              <w:spacing w:after="100"/>
              <w:rPr>
                <w:rFonts w:eastAsia="Times New Roman"/>
                <w:sz w:val="20"/>
                <w:szCs w:val="20"/>
              </w:rPr>
            </w:pPr>
          </w:p>
        </w:tc>
        <w:tc>
          <w:tcPr>
            <w:tcW w:w="48" w:type="pct"/>
            <w:vAlign w:val="center"/>
            <w:hideMark/>
          </w:tcPr>
          <w:p w14:paraId="6B0FA2F1" w14:textId="77777777" w:rsidR="00000000" w:rsidRDefault="00C1661D">
            <w:pPr>
              <w:spacing w:after="100"/>
              <w:rPr>
                <w:rFonts w:eastAsia="Times New Roman"/>
                <w:sz w:val="20"/>
                <w:szCs w:val="20"/>
              </w:rPr>
            </w:pPr>
          </w:p>
        </w:tc>
        <w:tc>
          <w:tcPr>
            <w:tcW w:w="5" w:type="pct"/>
            <w:vAlign w:val="center"/>
            <w:hideMark/>
          </w:tcPr>
          <w:p w14:paraId="51EAF7E7" w14:textId="77777777" w:rsidR="00000000" w:rsidRDefault="00C1661D">
            <w:pPr>
              <w:spacing w:after="100"/>
              <w:rPr>
                <w:rFonts w:eastAsia="Times New Roman"/>
                <w:sz w:val="20"/>
                <w:szCs w:val="20"/>
              </w:rPr>
            </w:pPr>
          </w:p>
        </w:tc>
        <w:tc>
          <w:tcPr>
            <w:tcW w:w="50" w:type="pct"/>
            <w:vAlign w:val="center"/>
            <w:hideMark/>
          </w:tcPr>
          <w:p w14:paraId="3E35389A" w14:textId="77777777" w:rsidR="00000000" w:rsidRDefault="00C1661D">
            <w:pPr>
              <w:spacing w:after="100"/>
              <w:rPr>
                <w:rFonts w:eastAsia="Times New Roman"/>
                <w:sz w:val="20"/>
                <w:szCs w:val="20"/>
              </w:rPr>
            </w:pPr>
          </w:p>
        </w:tc>
        <w:tc>
          <w:tcPr>
            <w:tcW w:w="1443" w:type="pct"/>
            <w:vAlign w:val="center"/>
            <w:hideMark/>
          </w:tcPr>
          <w:p w14:paraId="1AC94410" w14:textId="77777777" w:rsidR="00000000" w:rsidRDefault="00C1661D">
            <w:pPr>
              <w:spacing w:after="100"/>
              <w:rPr>
                <w:rFonts w:eastAsia="Times New Roman"/>
                <w:sz w:val="20"/>
                <w:szCs w:val="20"/>
              </w:rPr>
            </w:pPr>
          </w:p>
        </w:tc>
        <w:tc>
          <w:tcPr>
            <w:tcW w:w="5" w:type="pct"/>
            <w:vAlign w:val="center"/>
            <w:hideMark/>
          </w:tcPr>
          <w:p w14:paraId="3644E4AB" w14:textId="77777777" w:rsidR="00000000" w:rsidRDefault="00C1661D">
            <w:pPr>
              <w:spacing w:after="100"/>
              <w:rPr>
                <w:rFonts w:eastAsia="Times New Roman"/>
                <w:sz w:val="20"/>
                <w:szCs w:val="20"/>
              </w:rPr>
            </w:pPr>
          </w:p>
        </w:tc>
      </w:tr>
      <w:tr w:rsidR="00000000" w14:paraId="7F0534AA" w14:textId="77777777">
        <w:trPr>
          <w:divId w:val="2132281810"/>
          <w:jc w:val="center"/>
        </w:trPr>
        <w:tc>
          <w:tcPr>
            <w:tcW w:w="0" w:type="auto"/>
            <w:gridSpan w:val="3"/>
            <w:tcMar>
              <w:top w:w="0" w:type="dxa"/>
              <w:left w:w="20" w:type="dxa"/>
              <w:bottom w:w="0" w:type="dxa"/>
              <w:right w:w="20" w:type="dxa"/>
            </w:tcMar>
            <w:vAlign w:val="center"/>
            <w:hideMark/>
          </w:tcPr>
          <w:p w14:paraId="3F706BDD"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6E6CD4F"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6F5F293C"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0BDE553"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001364D1"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30F5A3B" w14:textId="77777777" w:rsidR="00000000" w:rsidRDefault="00C1661D">
            <w:pPr>
              <w:spacing w:after="100"/>
              <w:jc w:val="center"/>
              <w:rPr>
                <w:rFonts w:eastAsia="Times New Roman"/>
              </w:rPr>
            </w:pPr>
            <w:r>
              <w:rPr>
                <w:rFonts w:eastAsia="Times New Roman"/>
                <w:color w:val="000000"/>
                <w:sz w:val="20"/>
                <w:szCs w:val="20"/>
              </w:rPr>
              <w:t>Location on the Balance Sheet</w:t>
            </w:r>
          </w:p>
        </w:tc>
      </w:tr>
      <w:tr w:rsidR="00000000" w14:paraId="7DC0444E" w14:textId="77777777">
        <w:trPr>
          <w:divId w:val="2132281810"/>
          <w:jc w:val="center"/>
        </w:trPr>
        <w:tc>
          <w:tcPr>
            <w:tcW w:w="0" w:type="auto"/>
            <w:gridSpan w:val="3"/>
            <w:shd w:val="clear" w:color="auto" w:fill="CCEEFF"/>
            <w:tcMar>
              <w:top w:w="30" w:type="dxa"/>
              <w:left w:w="20" w:type="dxa"/>
              <w:bottom w:w="30" w:type="dxa"/>
              <w:right w:w="20" w:type="dxa"/>
            </w:tcMar>
            <w:vAlign w:val="bottom"/>
            <w:hideMark/>
          </w:tcPr>
          <w:p w14:paraId="05C26434" w14:textId="77777777" w:rsidR="00000000" w:rsidRDefault="00C1661D">
            <w:pPr>
              <w:spacing w:after="100"/>
              <w:rPr>
                <w:rFonts w:eastAsia="Times New Roman"/>
              </w:rPr>
            </w:pPr>
            <w:r>
              <w:rPr>
                <w:rFonts w:eastAsia="Times New Roman"/>
                <w:color w:val="000000"/>
                <w:sz w:val="20"/>
                <w:szCs w:val="20"/>
              </w:rPr>
              <w:t>ROU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8AC555"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C10853"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6925B4"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D84428"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BB7D3C" w14:textId="77777777" w:rsidR="00000000" w:rsidRDefault="00C1661D">
            <w:pPr>
              <w:spacing w:after="100"/>
              <w:rPr>
                <w:rFonts w:eastAsia="Times New Roman"/>
                <w:sz w:val="20"/>
                <w:szCs w:val="20"/>
              </w:rPr>
            </w:pPr>
          </w:p>
        </w:tc>
      </w:tr>
      <w:tr w:rsidR="00000000" w14:paraId="3AA0B102" w14:textId="77777777">
        <w:trPr>
          <w:divId w:val="2132281810"/>
          <w:jc w:val="center"/>
        </w:trPr>
        <w:tc>
          <w:tcPr>
            <w:tcW w:w="0" w:type="auto"/>
            <w:gridSpan w:val="3"/>
            <w:shd w:val="clear" w:color="auto" w:fill="FFFFFF"/>
            <w:tcMar>
              <w:top w:w="30" w:type="dxa"/>
              <w:left w:w="155" w:type="dxa"/>
              <w:bottom w:w="30" w:type="dxa"/>
              <w:right w:w="20" w:type="dxa"/>
            </w:tcMar>
            <w:vAlign w:val="bottom"/>
            <w:hideMark/>
          </w:tcPr>
          <w:p w14:paraId="5409588C" w14:textId="77777777" w:rsidR="00000000" w:rsidRDefault="00C1661D">
            <w:pPr>
              <w:spacing w:after="100"/>
              <w:rPr>
                <w:rFonts w:eastAsia="Times New Roman"/>
              </w:rPr>
            </w:pPr>
            <w:r>
              <w:rPr>
                <w:rFonts w:eastAsia="Times New Roman"/>
                <w:color w:val="000000"/>
                <w:sz w:val="20"/>
                <w:szCs w:val="20"/>
              </w:rPr>
              <w:t>Operating lease ROU assets</w:t>
            </w:r>
          </w:p>
        </w:tc>
        <w:tc>
          <w:tcPr>
            <w:tcW w:w="0" w:type="auto"/>
            <w:shd w:val="clear" w:color="auto" w:fill="FFFFFF"/>
            <w:tcMar>
              <w:top w:w="30" w:type="dxa"/>
              <w:left w:w="20" w:type="dxa"/>
              <w:bottom w:w="30" w:type="dxa"/>
              <w:right w:w="0" w:type="dxa"/>
            </w:tcMar>
            <w:vAlign w:val="bottom"/>
            <w:hideMark/>
          </w:tcPr>
          <w:p w14:paraId="0596E89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9651098" w14:textId="77777777" w:rsidR="00000000" w:rsidRDefault="00C1661D">
            <w:pPr>
              <w:spacing w:after="100"/>
              <w:jc w:val="right"/>
              <w:rPr>
                <w:rFonts w:eastAsia="Times New Roman"/>
              </w:rPr>
            </w:pPr>
            <w:r>
              <w:rPr>
                <w:rFonts w:eastAsia="Times New Roman"/>
                <w:color w:val="000000"/>
                <w:sz w:val="20"/>
                <w:szCs w:val="20"/>
              </w:rPr>
              <w:t>368 </w:t>
            </w:r>
          </w:p>
        </w:tc>
        <w:tc>
          <w:tcPr>
            <w:tcW w:w="0" w:type="auto"/>
            <w:shd w:val="clear" w:color="auto" w:fill="FFFFFF"/>
            <w:tcMar>
              <w:top w:w="30" w:type="dxa"/>
              <w:left w:w="0" w:type="dxa"/>
              <w:bottom w:w="30" w:type="dxa"/>
              <w:right w:w="20" w:type="dxa"/>
            </w:tcMar>
            <w:vAlign w:val="bottom"/>
            <w:hideMark/>
          </w:tcPr>
          <w:p w14:paraId="053A4BB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789E87"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66671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18E23EB" w14:textId="77777777" w:rsidR="00000000" w:rsidRDefault="00C1661D">
            <w:pPr>
              <w:spacing w:after="100"/>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bottom"/>
            <w:hideMark/>
          </w:tcPr>
          <w:p w14:paraId="1504AF3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C17C7B" w14:textId="77777777" w:rsidR="00000000" w:rsidRDefault="00C1661D">
            <w:pPr>
              <w:spacing w:after="100"/>
              <w:jc w:val="right"/>
              <w:rPr>
                <w:rFonts w:eastAsia="Times New Roman"/>
                <w:sz w:val="20"/>
                <w:szCs w:val="20"/>
              </w:rPr>
            </w:pPr>
          </w:p>
        </w:tc>
        <w:tc>
          <w:tcPr>
            <w:tcW w:w="0" w:type="auto"/>
            <w:gridSpan w:val="3"/>
            <w:shd w:val="clear" w:color="auto" w:fill="FFFFFF"/>
            <w:tcMar>
              <w:top w:w="30" w:type="dxa"/>
              <w:left w:w="515" w:type="dxa"/>
              <w:bottom w:w="30" w:type="dxa"/>
              <w:right w:w="20" w:type="dxa"/>
            </w:tcMar>
            <w:vAlign w:val="bottom"/>
            <w:hideMark/>
          </w:tcPr>
          <w:p w14:paraId="6CD175CA" w14:textId="77777777" w:rsidR="00000000" w:rsidRDefault="00C1661D">
            <w:pPr>
              <w:spacing w:after="100"/>
              <w:rPr>
                <w:rFonts w:eastAsia="Times New Roman"/>
              </w:rPr>
            </w:pPr>
            <w:r>
              <w:rPr>
                <w:rFonts w:eastAsia="Times New Roman"/>
                <w:color w:val="000000"/>
                <w:sz w:val="20"/>
                <w:szCs w:val="20"/>
              </w:rPr>
              <w:t>Other asset</w:t>
            </w:r>
            <w:r>
              <w:rPr>
                <w:rFonts w:eastAsia="Times New Roman"/>
                <w:color w:val="000000"/>
                <w:sz w:val="20"/>
                <w:szCs w:val="20"/>
              </w:rPr>
              <w:t>s</w:t>
            </w:r>
          </w:p>
        </w:tc>
      </w:tr>
      <w:tr w:rsidR="00000000" w14:paraId="649138CC" w14:textId="77777777">
        <w:trPr>
          <w:divId w:val="2132281810"/>
          <w:jc w:val="center"/>
        </w:trPr>
        <w:tc>
          <w:tcPr>
            <w:tcW w:w="0" w:type="auto"/>
            <w:gridSpan w:val="3"/>
            <w:shd w:val="clear" w:color="auto" w:fill="CCEEFF"/>
            <w:tcMar>
              <w:top w:w="30" w:type="dxa"/>
              <w:left w:w="155" w:type="dxa"/>
              <w:bottom w:w="30" w:type="dxa"/>
              <w:right w:w="20" w:type="dxa"/>
            </w:tcMar>
            <w:vAlign w:val="bottom"/>
            <w:hideMark/>
          </w:tcPr>
          <w:p w14:paraId="41B35F7C" w14:textId="77777777" w:rsidR="00000000" w:rsidRDefault="00C1661D">
            <w:pPr>
              <w:spacing w:after="100"/>
              <w:rPr>
                <w:rFonts w:eastAsia="Times New Roman"/>
              </w:rPr>
            </w:pPr>
            <w:r>
              <w:rPr>
                <w:rFonts w:eastAsia="Times New Roman"/>
                <w:color w:val="000000"/>
                <w:sz w:val="20"/>
                <w:szCs w:val="20"/>
              </w:rPr>
              <w:t>Finance lease ROU assets</w:t>
            </w:r>
          </w:p>
        </w:tc>
        <w:tc>
          <w:tcPr>
            <w:tcW w:w="0" w:type="auto"/>
            <w:gridSpan w:val="2"/>
            <w:shd w:val="clear" w:color="auto" w:fill="CCEEFF"/>
            <w:tcMar>
              <w:top w:w="30" w:type="dxa"/>
              <w:left w:w="20" w:type="dxa"/>
              <w:bottom w:w="30" w:type="dxa"/>
              <w:right w:w="0" w:type="dxa"/>
            </w:tcMar>
            <w:vAlign w:val="bottom"/>
            <w:hideMark/>
          </w:tcPr>
          <w:p w14:paraId="1962F602" w14:textId="77777777" w:rsidR="00000000" w:rsidRDefault="00C1661D">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14:paraId="04847C0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96CF1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93882F" w14:textId="77777777" w:rsidR="00000000" w:rsidRDefault="00C1661D">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14:paraId="0BDC635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DAF803" w14:textId="77777777" w:rsidR="00000000" w:rsidRDefault="00C1661D">
            <w:pPr>
              <w:spacing w:after="100"/>
              <w:jc w:val="right"/>
              <w:rPr>
                <w:rFonts w:eastAsia="Times New Roman"/>
                <w:sz w:val="20"/>
                <w:szCs w:val="20"/>
              </w:rPr>
            </w:pPr>
          </w:p>
        </w:tc>
        <w:tc>
          <w:tcPr>
            <w:tcW w:w="0" w:type="auto"/>
            <w:gridSpan w:val="3"/>
            <w:shd w:val="clear" w:color="auto" w:fill="CCEEFF"/>
            <w:tcMar>
              <w:top w:w="30" w:type="dxa"/>
              <w:left w:w="515" w:type="dxa"/>
              <w:bottom w:w="30" w:type="dxa"/>
              <w:right w:w="20" w:type="dxa"/>
            </w:tcMar>
            <w:vAlign w:val="bottom"/>
            <w:hideMark/>
          </w:tcPr>
          <w:p w14:paraId="0B695FEA" w14:textId="77777777" w:rsidR="00000000" w:rsidRDefault="00C1661D">
            <w:pPr>
              <w:spacing w:after="100"/>
              <w:rPr>
                <w:rFonts w:eastAsia="Times New Roman"/>
              </w:rPr>
            </w:pPr>
            <w:r>
              <w:rPr>
                <w:rFonts w:eastAsia="Times New Roman"/>
                <w:color w:val="000000"/>
                <w:sz w:val="20"/>
                <w:szCs w:val="20"/>
              </w:rPr>
              <w:t>Property, plant and equipmen</w:t>
            </w:r>
            <w:r>
              <w:rPr>
                <w:rFonts w:eastAsia="Times New Roman"/>
                <w:color w:val="000000"/>
                <w:sz w:val="20"/>
                <w:szCs w:val="20"/>
              </w:rPr>
              <w:t>t</w:t>
            </w:r>
          </w:p>
        </w:tc>
      </w:tr>
      <w:tr w:rsidR="00000000" w14:paraId="040356C7" w14:textId="77777777">
        <w:trPr>
          <w:divId w:val="2132281810"/>
          <w:jc w:val="center"/>
        </w:trPr>
        <w:tc>
          <w:tcPr>
            <w:tcW w:w="0" w:type="auto"/>
            <w:gridSpan w:val="3"/>
            <w:shd w:val="clear" w:color="auto" w:fill="FFFFFF"/>
            <w:tcMar>
              <w:top w:w="30" w:type="dxa"/>
              <w:left w:w="20" w:type="dxa"/>
              <w:bottom w:w="30" w:type="dxa"/>
              <w:right w:w="20" w:type="dxa"/>
            </w:tcMar>
            <w:vAlign w:val="bottom"/>
            <w:hideMark/>
          </w:tcPr>
          <w:p w14:paraId="323CCB11" w14:textId="77777777" w:rsidR="00000000" w:rsidRDefault="00C1661D">
            <w:pPr>
              <w:spacing w:after="100"/>
              <w:rPr>
                <w:rFonts w:eastAsia="Times New Roman"/>
              </w:rPr>
            </w:pPr>
            <w:r>
              <w:rPr>
                <w:rFonts w:eastAsia="Times New Roman"/>
                <w:color w:val="000000"/>
                <w:sz w:val="20"/>
                <w:szCs w:val="20"/>
              </w:rPr>
              <w:t>Total ROU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14726A9"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1A31949" w14:textId="77777777" w:rsidR="00000000" w:rsidRDefault="00C1661D">
            <w:pPr>
              <w:spacing w:after="100"/>
              <w:jc w:val="right"/>
              <w:rPr>
                <w:rFonts w:eastAsia="Times New Roman"/>
              </w:rPr>
            </w:pPr>
            <w:r>
              <w:rPr>
                <w:rFonts w:eastAsia="Times New Roman"/>
                <w:color w:val="000000"/>
                <w:sz w:val="20"/>
                <w:szCs w:val="20"/>
              </w:rPr>
              <w:t>416 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0DAA9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56F924"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FA0B08C"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A1B5DE" w14:textId="77777777" w:rsidR="00000000" w:rsidRDefault="00C1661D">
            <w:pPr>
              <w:spacing w:after="100"/>
              <w:jc w:val="right"/>
              <w:rPr>
                <w:rFonts w:eastAsia="Times New Roman"/>
              </w:rPr>
            </w:pPr>
            <w:r>
              <w:rPr>
                <w:rFonts w:eastAsia="Times New Roman"/>
                <w:color w:val="000000"/>
                <w:sz w:val="20"/>
                <w:szCs w:val="20"/>
              </w:rPr>
              <w:t>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CAB24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273E10" w14:textId="77777777" w:rsidR="00000000" w:rsidRDefault="00C1661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84E2F4" w14:textId="77777777" w:rsidR="00000000" w:rsidRDefault="00C1661D">
            <w:pPr>
              <w:spacing w:after="100"/>
              <w:rPr>
                <w:rFonts w:eastAsia="Times New Roman"/>
                <w:sz w:val="20"/>
                <w:szCs w:val="20"/>
              </w:rPr>
            </w:pPr>
          </w:p>
        </w:tc>
      </w:tr>
      <w:tr w:rsidR="00000000" w14:paraId="5941F57A" w14:textId="77777777">
        <w:trPr>
          <w:divId w:val="2132281810"/>
          <w:trHeight w:val="300"/>
          <w:jc w:val="center"/>
        </w:trPr>
        <w:tc>
          <w:tcPr>
            <w:tcW w:w="0" w:type="auto"/>
            <w:gridSpan w:val="3"/>
            <w:shd w:val="clear" w:color="auto" w:fill="CCEEFF"/>
            <w:tcMar>
              <w:top w:w="0" w:type="dxa"/>
              <w:left w:w="20" w:type="dxa"/>
              <w:bottom w:w="0" w:type="dxa"/>
              <w:right w:w="20" w:type="dxa"/>
            </w:tcMar>
            <w:vAlign w:val="center"/>
            <w:hideMark/>
          </w:tcPr>
          <w:p w14:paraId="0F24C33F" w14:textId="77777777" w:rsidR="00000000" w:rsidRDefault="00C1661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0630F26"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48CE51" w14:textId="77777777" w:rsidR="00000000" w:rsidRDefault="00C1661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B1FC50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D681F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440A09" w14:textId="77777777" w:rsidR="00000000" w:rsidRDefault="00C1661D">
            <w:pPr>
              <w:spacing w:after="100"/>
              <w:rPr>
                <w:rFonts w:eastAsia="Times New Roman"/>
                <w:sz w:val="20"/>
                <w:szCs w:val="20"/>
              </w:rPr>
            </w:pPr>
          </w:p>
        </w:tc>
      </w:tr>
      <w:tr w:rsidR="00000000" w14:paraId="2CA2E94B" w14:textId="77777777">
        <w:trPr>
          <w:divId w:val="2132281810"/>
          <w:jc w:val="center"/>
        </w:trPr>
        <w:tc>
          <w:tcPr>
            <w:tcW w:w="0" w:type="auto"/>
            <w:gridSpan w:val="3"/>
            <w:shd w:val="clear" w:color="auto" w:fill="FFFFFF"/>
            <w:tcMar>
              <w:top w:w="30" w:type="dxa"/>
              <w:left w:w="20" w:type="dxa"/>
              <w:bottom w:w="30" w:type="dxa"/>
              <w:right w:w="20" w:type="dxa"/>
            </w:tcMar>
            <w:vAlign w:val="bottom"/>
            <w:hideMark/>
          </w:tcPr>
          <w:p w14:paraId="52732D0D" w14:textId="77777777" w:rsidR="00000000" w:rsidRDefault="00C1661D">
            <w:pPr>
              <w:spacing w:after="100"/>
              <w:rPr>
                <w:rFonts w:eastAsia="Times New Roman"/>
              </w:rPr>
            </w:pPr>
            <w:r>
              <w:rPr>
                <w:rFonts w:eastAsia="Times New Roman"/>
                <w:color w:val="000000"/>
                <w:sz w:val="20"/>
                <w:szCs w:val="20"/>
              </w:rPr>
              <w:t>Lease liabilities:</w:t>
            </w:r>
          </w:p>
        </w:tc>
        <w:tc>
          <w:tcPr>
            <w:tcW w:w="0" w:type="auto"/>
            <w:gridSpan w:val="3"/>
            <w:shd w:val="clear" w:color="auto" w:fill="FFFFFF"/>
            <w:tcMar>
              <w:top w:w="0" w:type="dxa"/>
              <w:left w:w="20" w:type="dxa"/>
              <w:bottom w:w="0" w:type="dxa"/>
              <w:right w:w="20" w:type="dxa"/>
            </w:tcMar>
            <w:vAlign w:val="center"/>
            <w:hideMark/>
          </w:tcPr>
          <w:p w14:paraId="27941C7F"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1606A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094E2C"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088EE2"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5E1D9D" w14:textId="77777777" w:rsidR="00000000" w:rsidRDefault="00C1661D">
            <w:pPr>
              <w:spacing w:after="100"/>
              <w:rPr>
                <w:rFonts w:eastAsia="Times New Roman"/>
                <w:sz w:val="20"/>
                <w:szCs w:val="20"/>
              </w:rPr>
            </w:pPr>
          </w:p>
        </w:tc>
      </w:tr>
      <w:tr w:rsidR="00000000" w14:paraId="72507B4D" w14:textId="77777777">
        <w:trPr>
          <w:divId w:val="2132281810"/>
          <w:jc w:val="center"/>
        </w:trPr>
        <w:tc>
          <w:tcPr>
            <w:tcW w:w="0" w:type="auto"/>
            <w:gridSpan w:val="3"/>
            <w:shd w:val="clear" w:color="auto" w:fill="CCEEFF"/>
            <w:tcMar>
              <w:top w:w="30" w:type="dxa"/>
              <w:left w:w="155" w:type="dxa"/>
              <w:bottom w:w="30" w:type="dxa"/>
              <w:right w:w="20" w:type="dxa"/>
            </w:tcMar>
            <w:vAlign w:val="bottom"/>
            <w:hideMark/>
          </w:tcPr>
          <w:p w14:paraId="00DCBCC3" w14:textId="77777777" w:rsidR="00000000" w:rsidRDefault="00C1661D">
            <w:pPr>
              <w:spacing w:after="100"/>
              <w:rPr>
                <w:rFonts w:eastAsia="Times New Roman"/>
              </w:rPr>
            </w:pPr>
            <w:r>
              <w:rPr>
                <w:rFonts w:eastAsia="Times New Roman"/>
                <w:color w:val="000000"/>
                <w:sz w:val="20"/>
                <w:szCs w:val="20"/>
              </w:rPr>
              <w:t>Operating lease liabilities — current</w:t>
            </w:r>
          </w:p>
        </w:tc>
        <w:tc>
          <w:tcPr>
            <w:tcW w:w="0" w:type="auto"/>
            <w:shd w:val="clear" w:color="auto" w:fill="CCEEFF"/>
            <w:tcMar>
              <w:top w:w="30" w:type="dxa"/>
              <w:left w:w="20" w:type="dxa"/>
              <w:bottom w:w="30" w:type="dxa"/>
              <w:right w:w="0" w:type="dxa"/>
            </w:tcMar>
            <w:vAlign w:val="bottom"/>
            <w:hideMark/>
          </w:tcPr>
          <w:p w14:paraId="2F42488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CE4312B" w14:textId="77777777" w:rsidR="00000000" w:rsidRDefault="00C1661D">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14:paraId="793EF55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578520"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B9B15C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9F8EEB" w14:textId="77777777" w:rsidR="00000000" w:rsidRDefault="00C1661D">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14:paraId="6F3AB17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B76292" w14:textId="77777777" w:rsidR="00000000" w:rsidRDefault="00C1661D">
            <w:pPr>
              <w:spacing w:after="100"/>
              <w:jc w:val="right"/>
              <w:rPr>
                <w:rFonts w:eastAsia="Times New Roman"/>
                <w:sz w:val="20"/>
                <w:szCs w:val="20"/>
              </w:rPr>
            </w:pPr>
          </w:p>
        </w:tc>
        <w:tc>
          <w:tcPr>
            <w:tcW w:w="0" w:type="auto"/>
            <w:gridSpan w:val="3"/>
            <w:shd w:val="clear" w:color="auto" w:fill="CCEEFF"/>
            <w:tcMar>
              <w:top w:w="30" w:type="dxa"/>
              <w:left w:w="515" w:type="dxa"/>
              <w:bottom w:w="30" w:type="dxa"/>
              <w:right w:w="20" w:type="dxa"/>
            </w:tcMar>
            <w:vAlign w:val="bottom"/>
            <w:hideMark/>
          </w:tcPr>
          <w:p w14:paraId="4B4D5F5E" w14:textId="77777777" w:rsidR="00000000" w:rsidRDefault="00C1661D">
            <w:pPr>
              <w:spacing w:after="100"/>
              <w:rPr>
                <w:rFonts w:eastAsia="Times New Roman"/>
              </w:rPr>
            </w:pPr>
            <w:r>
              <w:rPr>
                <w:rFonts w:eastAsia="Times New Roman"/>
                <w:color w:val="000000"/>
                <w:sz w:val="20"/>
                <w:szCs w:val="20"/>
              </w:rPr>
              <w:t>Other current liabilitie</w:t>
            </w:r>
            <w:r>
              <w:rPr>
                <w:rFonts w:eastAsia="Times New Roman"/>
                <w:color w:val="000000"/>
                <w:sz w:val="20"/>
                <w:szCs w:val="20"/>
              </w:rPr>
              <w:t>s</w:t>
            </w:r>
          </w:p>
        </w:tc>
      </w:tr>
      <w:tr w:rsidR="00000000" w14:paraId="254CBF25" w14:textId="77777777">
        <w:trPr>
          <w:divId w:val="2132281810"/>
          <w:jc w:val="center"/>
        </w:trPr>
        <w:tc>
          <w:tcPr>
            <w:tcW w:w="0" w:type="auto"/>
            <w:gridSpan w:val="3"/>
            <w:shd w:val="clear" w:color="auto" w:fill="FFFFFF"/>
            <w:tcMar>
              <w:top w:w="30" w:type="dxa"/>
              <w:left w:w="155" w:type="dxa"/>
              <w:bottom w:w="30" w:type="dxa"/>
              <w:right w:w="20" w:type="dxa"/>
            </w:tcMar>
            <w:vAlign w:val="bottom"/>
            <w:hideMark/>
          </w:tcPr>
          <w:p w14:paraId="1497373B" w14:textId="77777777" w:rsidR="00000000" w:rsidRDefault="00C1661D">
            <w:pPr>
              <w:spacing w:after="100"/>
              <w:rPr>
                <w:rFonts w:eastAsia="Times New Roman"/>
              </w:rPr>
            </w:pPr>
            <w:r>
              <w:rPr>
                <w:rFonts w:eastAsia="Times New Roman"/>
                <w:color w:val="000000"/>
                <w:sz w:val="20"/>
                <w:szCs w:val="20"/>
              </w:rPr>
              <w:t>Operating lease liabilities — noncurrent</w:t>
            </w:r>
          </w:p>
        </w:tc>
        <w:tc>
          <w:tcPr>
            <w:tcW w:w="0" w:type="auto"/>
            <w:gridSpan w:val="2"/>
            <w:shd w:val="clear" w:color="auto" w:fill="FFFFFF"/>
            <w:tcMar>
              <w:top w:w="30" w:type="dxa"/>
              <w:left w:w="20" w:type="dxa"/>
              <w:bottom w:w="30" w:type="dxa"/>
              <w:right w:w="0" w:type="dxa"/>
            </w:tcMar>
            <w:vAlign w:val="bottom"/>
            <w:hideMark/>
          </w:tcPr>
          <w:p w14:paraId="082E8876" w14:textId="77777777" w:rsidR="00000000" w:rsidRDefault="00C1661D">
            <w:pPr>
              <w:spacing w:after="100"/>
              <w:jc w:val="right"/>
              <w:rPr>
                <w:rFonts w:eastAsia="Times New Roman"/>
              </w:rPr>
            </w:pPr>
            <w:r>
              <w:rPr>
                <w:rFonts w:eastAsia="Times New Roman"/>
                <w:color w:val="000000"/>
                <w:sz w:val="20"/>
                <w:szCs w:val="20"/>
              </w:rPr>
              <w:t>294 </w:t>
            </w:r>
          </w:p>
        </w:tc>
        <w:tc>
          <w:tcPr>
            <w:tcW w:w="0" w:type="auto"/>
            <w:shd w:val="clear" w:color="auto" w:fill="FFFFFF"/>
            <w:tcMar>
              <w:top w:w="30" w:type="dxa"/>
              <w:left w:w="0" w:type="dxa"/>
              <w:bottom w:w="30" w:type="dxa"/>
              <w:right w:w="20" w:type="dxa"/>
            </w:tcMar>
            <w:vAlign w:val="bottom"/>
            <w:hideMark/>
          </w:tcPr>
          <w:p w14:paraId="7C35C8E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9C61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E1881F" w14:textId="77777777" w:rsidR="00000000" w:rsidRDefault="00C1661D">
            <w:pPr>
              <w:spacing w:after="100"/>
              <w:jc w:val="right"/>
              <w:rPr>
                <w:rFonts w:eastAsia="Times New Roman"/>
              </w:rPr>
            </w:pPr>
            <w:r>
              <w:rPr>
                <w:rFonts w:eastAsia="Times New Roman"/>
                <w:color w:val="000000"/>
                <w:sz w:val="20"/>
                <w:szCs w:val="20"/>
              </w:rPr>
              <w:t>318 </w:t>
            </w:r>
          </w:p>
        </w:tc>
        <w:tc>
          <w:tcPr>
            <w:tcW w:w="0" w:type="auto"/>
            <w:shd w:val="clear" w:color="auto" w:fill="FFFFFF"/>
            <w:tcMar>
              <w:top w:w="30" w:type="dxa"/>
              <w:left w:w="0" w:type="dxa"/>
              <w:bottom w:w="30" w:type="dxa"/>
              <w:right w:w="20" w:type="dxa"/>
            </w:tcMar>
            <w:vAlign w:val="bottom"/>
            <w:hideMark/>
          </w:tcPr>
          <w:p w14:paraId="712FDB5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FE566C" w14:textId="77777777" w:rsidR="00000000" w:rsidRDefault="00C1661D">
            <w:pPr>
              <w:spacing w:after="100"/>
              <w:jc w:val="right"/>
              <w:rPr>
                <w:rFonts w:eastAsia="Times New Roman"/>
                <w:sz w:val="20"/>
                <w:szCs w:val="20"/>
              </w:rPr>
            </w:pPr>
          </w:p>
        </w:tc>
        <w:tc>
          <w:tcPr>
            <w:tcW w:w="0" w:type="auto"/>
            <w:gridSpan w:val="3"/>
            <w:shd w:val="clear" w:color="auto" w:fill="FFFFFF"/>
            <w:tcMar>
              <w:top w:w="30" w:type="dxa"/>
              <w:left w:w="515" w:type="dxa"/>
              <w:bottom w:w="30" w:type="dxa"/>
              <w:right w:w="20" w:type="dxa"/>
            </w:tcMar>
            <w:vAlign w:val="bottom"/>
            <w:hideMark/>
          </w:tcPr>
          <w:p w14:paraId="5F464187" w14:textId="77777777" w:rsidR="00000000" w:rsidRDefault="00C1661D">
            <w:pPr>
              <w:spacing w:after="100"/>
              <w:rPr>
                <w:rFonts w:eastAsia="Times New Roman"/>
              </w:rPr>
            </w:pPr>
            <w:r>
              <w:rPr>
                <w:rFonts w:eastAsia="Times New Roman"/>
                <w:color w:val="000000"/>
                <w:sz w:val="20"/>
                <w:szCs w:val="20"/>
              </w:rPr>
              <w:t>Other noncurrent liabilitie</w:t>
            </w:r>
            <w:r>
              <w:rPr>
                <w:rFonts w:eastAsia="Times New Roman"/>
                <w:color w:val="000000"/>
                <w:sz w:val="20"/>
                <w:szCs w:val="20"/>
              </w:rPr>
              <w:t>s</w:t>
            </w:r>
          </w:p>
        </w:tc>
      </w:tr>
      <w:tr w:rsidR="00000000" w14:paraId="195DC02D" w14:textId="77777777">
        <w:trPr>
          <w:divId w:val="2132281810"/>
          <w:jc w:val="center"/>
        </w:trPr>
        <w:tc>
          <w:tcPr>
            <w:tcW w:w="0" w:type="auto"/>
            <w:gridSpan w:val="3"/>
            <w:shd w:val="clear" w:color="auto" w:fill="CCEEFF"/>
            <w:tcMar>
              <w:top w:w="30" w:type="dxa"/>
              <w:left w:w="155" w:type="dxa"/>
              <w:bottom w:w="30" w:type="dxa"/>
              <w:right w:w="20" w:type="dxa"/>
            </w:tcMar>
            <w:vAlign w:val="bottom"/>
            <w:hideMark/>
          </w:tcPr>
          <w:p w14:paraId="0C4DC5E3" w14:textId="77777777" w:rsidR="00000000" w:rsidRDefault="00C1661D">
            <w:pPr>
              <w:spacing w:after="100"/>
              <w:rPr>
                <w:rFonts w:eastAsia="Times New Roman"/>
              </w:rPr>
            </w:pPr>
            <w:r>
              <w:rPr>
                <w:rFonts w:eastAsia="Times New Roman"/>
                <w:color w:val="000000"/>
                <w:sz w:val="20"/>
                <w:szCs w:val="20"/>
              </w:rPr>
              <w:t>Finance lease liabilities — current</w:t>
            </w:r>
          </w:p>
        </w:tc>
        <w:tc>
          <w:tcPr>
            <w:tcW w:w="0" w:type="auto"/>
            <w:gridSpan w:val="2"/>
            <w:shd w:val="clear" w:color="auto" w:fill="CCEEFF"/>
            <w:tcMar>
              <w:top w:w="30" w:type="dxa"/>
              <w:left w:w="20" w:type="dxa"/>
              <w:bottom w:w="30" w:type="dxa"/>
              <w:right w:w="0" w:type="dxa"/>
            </w:tcMar>
            <w:vAlign w:val="bottom"/>
            <w:hideMark/>
          </w:tcPr>
          <w:p w14:paraId="1EAD47F8" w14:textId="77777777" w:rsidR="00000000" w:rsidRDefault="00C1661D">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78AEB8E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F85E8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4EDDAD" w14:textId="77777777" w:rsidR="00000000" w:rsidRDefault="00C1661D">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3C9AE2A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F61256" w14:textId="77777777" w:rsidR="00000000" w:rsidRDefault="00C1661D">
            <w:pPr>
              <w:spacing w:after="100"/>
              <w:jc w:val="right"/>
              <w:rPr>
                <w:rFonts w:eastAsia="Times New Roman"/>
                <w:sz w:val="20"/>
                <w:szCs w:val="20"/>
              </w:rPr>
            </w:pPr>
          </w:p>
        </w:tc>
        <w:tc>
          <w:tcPr>
            <w:tcW w:w="0" w:type="auto"/>
            <w:gridSpan w:val="3"/>
            <w:shd w:val="clear" w:color="auto" w:fill="CCEEFF"/>
            <w:tcMar>
              <w:top w:w="30" w:type="dxa"/>
              <w:left w:w="515" w:type="dxa"/>
              <w:bottom w:w="30" w:type="dxa"/>
              <w:right w:w="20" w:type="dxa"/>
            </w:tcMar>
            <w:vAlign w:val="bottom"/>
            <w:hideMark/>
          </w:tcPr>
          <w:p w14:paraId="272A35C6" w14:textId="77777777" w:rsidR="00000000" w:rsidRDefault="00C1661D">
            <w:pPr>
              <w:spacing w:after="100"/>
              <w:rPr>
                <w:rFonts w:eastAsia="Times New Roman"/>
              </w:rPr>
            </w:pPr>
            <w:r>
              <w:rPr>
                <w:rFonts w:eastAsia="Times New Roman"/>
                <w:color w:val="000000"/>
                <w:sz w:val="20"/>
                <w:szCs w:val="20"/>
              </w:rPr>
              <w:t>Current maturities of long-term deb</w:t>
            </w:r>
            <w:r>
              <w:rPr>
                <w:rFonts w:eastAsia="Times New Roman"/>
                <w:color w:val="000000"/>
                <w:sz w:val="20"/>
                <w:szCs w:val="20"/>
              </w:rPr>
              <w:t>t</w:t>
            </w:r>
          </w:p>
        </w:tc>
      </w:tr>
      <w:tr w:rsidR="00000000" w14:paraId="5B751B54" w14:textId="77777777">
        <w:trPr>
          <w:divId w:val="2132281810"/>
          <w:jc w:val="center"/>
        </w:trPr>
        <w:tc>
          <w:tcPr>
            <w:tcW w:w="0" w:type="auto"/>
            <w:gridSpan w:val="3"/>
            <w:shd w:val="clear" w:color="auto" w:fill="FFFFFF"/>
            <w:tcMar>
              <w:top w:w="30" w:type="dxa"/>
              <w:left w:w="155" w:type="dxa"/>
              <w:bottom w:w="30" w:type="dxa"/>
              <w:right w:w="20" w:type="dxa"/>
            </w:tcMar>
            <w:vAlign w:val="bottom"/>
            <w:hideMark/>
          </w:tcPr>
          <w:p w14:paraId="3CA2509F" w14:textId="77777777" w:rsidR="00000000" w:rsidRDefault="00C1661D">
            <w:pPr>
              <w:spacing w:after="100"/>
              <w:rPr>
                <w:rFonts w:eastAsia="Times New Roman"/>
              </w:rPr>
            </w:pPr>
            <w:r>
              <w:rPr>
                <w:rFonts w:eastAsia="Times New Roman"/>
                <w:color w:val="000000"/>
                <w:sz w:val="20"/>
                <w:szCs w:val="20"/>
              </w:rPr>
              <w:t>Finance lease liabilities — noncurrent</w:t>
            </w:r>
          </w:p>
        </w:tc>
        <w:tc>
          <w:tcPr>
            <w:tcW w:w="0" w:type="auto"/>
            <w:gridSpan w:val="2"/>
            <w:shd w:val="clear" w:color="auto" w:fill="FFFFFF"/>
            <w:tcMar>
              <w:top w:w="30" w:type="dxa"/>
              <w:left w:w="20" w:type="dxa"/>
              <w:bottom w:w="30" w:type="dxa"/>
              <w:right w:w="0" w:type="dxa"/>
            </w:tcMar>
            <w:vAlign w:val="bottom"/>
            <w:hideMark/>
          </w:tcPr>
          <w:p w14:paraId="39FBA82C" w14:textId="77777777" w:rsidR="00000000" w:rsidRDefault="00C1661D">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14:paraId="066F739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B2D00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E4A59D" w14:textId="77777777" w:rsidR="00000000" w:rsidRDefault="00C1661D">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14:paraId="48B2740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1A9527" w14:textId="77777777" w:rsidR="00000000" w:rsidRDefault="00C1661D">
            <w:pPr>
              <w:spacing w:after="100"/>
              <w:jc w:val="right"/>
              <w:rPr>
                <w:rFonts w:eastAsia="Times New Roman"/>
                <w:sz w:val="20"/>
                <w:szCs w:val="20"/>
              </w:rPr>
            </w:pPr>
          </w:p>
        </w:tc>
        <w:tc>
          <w:tcPr>
            <w:tcW w:w="0" w:type="auto"/>
            <w:gridSpan w:val="3"/>
            <w:shd w:val="clear" w:color="auto" w:fill="FFFFFF"/>
            <w:tcMar>
              <w:top w:w="30" w:type="dxa"/>
              <w:left w:w="515" w:type="dxa"/>
              <w:bottom w:w="30" w:type="dxa"/>
              <w:right w:w="20" w:type="dxa"/>
            </w:tcMar>
            <w:vAlign w:val="bottom"/>
            <w:hideMark/>
          </w:tcPr>
          <w:p w14:paraId="73D8B3C2" w14:textId="77777777" w:rsidR="00000000" w:rsidRDefault="00C1661D">
            <w:pPr>
              <w:spacing w:after="100"/>
              <w:rPr>
                <w:rFonts w:eastAsia="Times New Roman"/>
              </w:rPr>
            </w:pPr>
            <w:r>
              <w:rPr>
                <w:rFonts w:eastAsia="Times New Roman"/>
                <w:color w:val="000000"/>
                <w:sz w:val="20"/>
                <w:szCs w:val="20"/>
              </w:rPr>
              <w:t>Long-term deb</w:t>
            </w:r>
            <w:r>
              <w:rPr>
                <w:rFonts w:eastAsia="Times New Roman"/>
                <w:color w:val="000000"/>
                <w:sz w:val="20"/>
                <w:szCs w:val="20"/>
              </w:rPr>
              <w:t>t</w:t>
            </w:r>
          </w:p>
        </w:tc>
      </w:tr>
      <w:tr w:rsidR="00000000" w14:paraId="7CD1F46D" w14:textId="77777777">
        <w:trPr>
          <w:divId w:val="2132281810"/>
          <w:jc w:val="center"/>
        </w:trPr>
        <w:tc>
          <w:tcPr>
            <w:tcW w:w="0" w:type="auto"/>
            <w:gridSpan w:val="3"/>
            <w:shd w:val="clear" w:color="auto" w:fill="CCEEFF"/>
            <w:tcMar>
              <w:top w:w="30" w:type="dxa"/>
              <w:left w:w="20" w:type="dxa"/>
              <w:bottom w:w="30" w:type="dxa"/>
              <w:right w:w="20" w:type="dxa"/>
            </w:tcMar>
            <w:vAlign w:val="bottom"/>
            <w:hideMark/>
          </w:tcPr>
          <w:p w14:paraId="36A642A7" w14:textId="77777777" w:rsidR="00000000" w:rsidRDefault="00C1661D">
            <w:pPr>
              <w:spacing w:after="100"/>
              <w:rPr>
                <w:rFonts w:eastAsia="Times New Roman"/>
              </w:rPr>
            </w:pPr>
            <w:r>
              <w:rPr>
                <w:rFonts w:eastAsia="Times New Roman"/>
                <w:color w:val="000000"/>
                <w:sz w:val="20"/>
                <w:szCs w:val="20"/>
              </w:rPr>
              <w:t>Total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57D20B"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B21AD82" w14:textId="77777777" w:rsidR="00000000" w:rsidRDefault="00C1661D">
            <w:pPr>
              <w:spacing w:after="100"/>
              <w:jc w:val="right"/>
              <w:rPr>
                <w:rFonts w:eastAsia="Times New Roman"/>
              </w:rPr>
            </w:pPr>
            <w:r>
              <w:rPr>
                <w:rFonts w:eastAsia="Times New Roman"/>
                <w:color w:val="000000"/>
                <w:sz w:val="20"/>
                <w:szCs w:val="20"/>
              </w:rPr>
              <w:t>421 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60A594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0A939"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38F023"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612EEE" w14:textId="77777777" w:rsidR="00000000" w:rsidRDefault="00C1661D">
            <w:pPr>
              <w:spacing w:after="100"/>
              <w:jc w:val="right"/>
              <w:rPr>
                <w:rFonts w:eastAsia="Times New Roman"/>
              </w:rPr>
            </w:pPr>
            <w:r>
              <w:rPr>
                <w:rFonts w:eastAsia="Times New Roman"/>
                <w:color w:val="000000"/>
                <w:sz w:val="20"/>
                <w:szCs w:val="20"/>
              </w:rPr>
              <w:t>444 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522D7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7E3C2" w14:textId="77777777" w:rsidR="00000000" w:rsidRDefault="00C1661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D97107" w14:textId="77777777" w:rsidR="00000000" w:rsidRDefault="00C1661D">
            <w:pPr>
              <w:spacing w:after="100"/>
              <w:rPr>
                <w:rFonts w:eastAsia="Times New Roman"/>
                <w:sz w:val="20"/>
                <w:szCs w:val="20"/>
              </w:rPr>
            </w:pPr>
          </w:p>
        </w:tc>
      </w:tr>
    </w:tbl>
    <w:p w14:paraId="1D9B0677" w14:textId="77777777" w:rsidR="00000000" w:rsidRDefault="00C1661D">
      <w:pPr>
        <w:divId w:val="1465999564"/>
        <w:rPr>
          <w:rFonts w:eastAsia="Times New Roman"/>
        </w:rPr>
      </w:pPr>
    </w:p>
    <w:p w14:paraId="5F53C949" w14:textId="77777777" w:rsidR="00000000" w:rsidRDefault="00C1661D">
      <w:pPr>
        <w:divId w:val="510488206"/>
        <w:rPr>
          <w:rFonts w:eastAsia="Times New Roman"/>
        </w:rPr>
      </w:pPr>
      <w:r>
        <w:rPr>
          <w:rFonts w:eastAsia="Times New Roman"/>
          <w:color w:val="000000"/>
          <w:sz w:val="20"/>
          <w:szCs w:val="20"/>
        </w:rPr>
        <w:t>The components of lease cost for Fiscal 2022, Fiscal 2021 and Fiscal 2020 are as follows:</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5228"/>
        <w:gridCol w:w="37"/>
        <w:gridCol w:w="120"/>
        <w:gridCol w:w="783"/>
        <w:gridCol w:w="36"/>
        <w:gridCol w:w="36"/>
        <w:gridCol w:w="36"/>
        <w:gridCol w:w="36"/>
        <w:gridCol w:w="120"/>
        <w:gridCol w:w="742"/>
        <w:gridCol w:w="36"/>
        <w:gridCol w:w="36"/>
        <w:gridCol w:w="36"/>
        <w:gridCol w:w="36"/>
        <w:gridCol w:w="120"/>
        <w:gridCol w:w="733"/>
        <w:gridCol w:w="36"/>
      </w:tblGrid>
      <w:tr w:rsidR="00000000" w14:paraId="0DA286A2" w14:textId="77777777">
        <w:trPr>
          <w:divId w:val="779297435"/>
          <w:jc w:val="center"/>
        </w:trPr>
        <w:tc>
          <w:tcPr>
            <w:tcW w:w="50" w:type="pct"/>
            <w:vAlign w:val="center"/>
            <w:hideMark/>
          </w:tcPr>
          <w:p w14:paraId="2C5DEF5B" w14:textId="77777777" w:rsidR="00000000" w:rsidRDefault="00C1661D">
            <w:pPr>
              <w:rPr>
                <w:rFonts w:eastAsia="Times New Roman"/>
              </w:rPr>
            </w:pPr>
          </w:p>
        </w:tc>
        <w:tc>
          <w:tcPr>
            <w:tcW w:w="3199" w:type="pct"/>
            <w:vAlign w:val="center"/>
            <w:hideMark/>
          </w:tcPr>
          <w:p w14:paraId="2AB436E0" w14:textId="77777777" w:rsidR="00000000" w:rsidRDefault="00C1661D">
            <w:pPr>
              <w:spacing w:after="100"/>
              <w:rPr>
                <w:rFonts w:eastAsia="Times New Roman"/>
                <w:sz w:val="20"/>
                <w:szCs w:val="20"/>
              </w:rPr>
            </w:pPr>
          </w:p>
        </w:tc>
        <w:tc>
          <w:tcPr>
            <w:tcW w:w="5" w:type="pct"/>
            <w:vAlign w:val="center"/>
            <w:hideMark/>
          </w:tcPr>
          <w:p w14:paraId="5EA9E76B" w14:textId="77777777" w:rsidR="00000000" w:rsidRDefault="00C1661D">
            <w:pPr>
              <w:spacing w:after="100"/>
              <w:rPr>
                <w:rFonts w:eastAsia="Times New Roman"/>
                <w:sz w:val="20"/>
                <w:szCs w:val="20"/>
              </w:rPr>
            </w:pPr>
          </w:p>
        </w:tc>
        <w:tc>
          <w:tcPr>
            <w:tcW w:w="50" w:type="pct"/>
            <w:vAlign w:val="center"/>
            <w:hideMark/>
          </w:tcPr>
          <w:p w14:paraId="371FEEFB" w14:textId="77777777" w:rsidR="00000000" w:rsidRDefault="00C1661D">
            <w:pPr>
              <w:spacing w:after="100"/>
              <w:rPr>
                <w:rFonts w:eastAsia="Times New Roman"/>
                <w:sz w:val="20"/>
                <w:szCs w:val="20"/>
              </w:rPr>
            </w:pPr>
          </w:p>
        </w:tc>
        <w:tc>
          <w:tcPr>
            <w:tcW w:w="504" w:type="pct"/>
            <w:vAlign w:val="center"/>
            <w:hideMark/>
          </w:tcPr>
          <w:p w14:paraId="5F1FD75E" w14:textId="77777777" w:rsidR="00000000" w:rsidRDefault="00C1661D">
            <w:pPr>
              <w:spacing w:after="100"/>
              <w:rPr>
                <w:rFonts w:eastAsia="Times New Roman"/>
                <w:sz w:val="20"/>
                <w:szCs w:val="20"/>
              </w:rPr>
            </w:pPr>
          </w:p>
        </w:tc>
        <w:tc>
          <w:tcPr>
            <w:tcW w:w="5" w:type="pct"/>
            <w:vAlign w:val="center"/>
            <w:hideMark/>
          </w:tcPr>
          <w:p w14:paraId="6396163A" w14:textId="77777777" w:rsidR="00000000" w:rsidRDefault="00C1661D">
            <w:pPr>
              <w:spacing w:after="100"/>
              <w:rPr>
                <w:rFonts w:eastAsia="Times New Roman"/>
                <w:sz w:val="20"/>
                <w:szCs w:val="20"/>
              </w:rPr>
            </w:pPr>
          </w:p>
        </w:tc>
        <w:tc>
          <w:tcPr>
            <w:tcW w:w="5" w:type="pct"/>
            <w:vAlign w:val="center"/>
            <w:hideMark/>
          </w:tcPr>
          <w:p w14:paraId="0FDF8A30" w14:textId="77777777" w:rsidR="00000000" w:rsidRDefault="00C1661D">
            <w:pPr>
              <w:spacing w:after="100"/>
              <w:rPr>
                <w:rFonts w:eastAsia="Times New Roman"/>
                <w:sz w:val="20"/>
                <w:szCs w:val="20"/>
              </w:rPr>
            </w:pPr>
          </w:p>
        </w:tc>
        <w:tc>
          <w:tcPr>
            <w:tcW w:w="26" w:type="pct"/>
            <w:vAlign w:val="center"/>
            <w:hideMark/>
          </w:tcPr>
          <w:p w14:paraId="0DC5021F" w14:textId="77777777" w:rsidR="00000000" w:rsidRDefault="00C1661D">
            <w:pPr>
              <w:spacing w:after="100"/>
              <w:rPr>
                <w:rFonts w:eastAsia="Times New Roman"/>
                <w:sz w:val="20"/>
                <w:szCs w:val="20"/>
              </w:rPr>
            </w:pPr>
          </w:p>
        </w:tc>
        <w:tc>
          <w:tcPr>
            <w:tcW w:w="5" w:type="pct"/>
            <w:vAlign w:val="center"/>
            <w:hideMark/>
          </w:tcPr>
          <w:p w14:paraId="59EF18F5" w14:textId="77777777" w:rsidR="00000000" w:rsidRDefault="00C1661D">
            <w:pPr>
              <w:spacing w:after="100"/>
              <w:rPr>
                <w:rFonts w:eastAsia="Times New Roman"/>
                <w:sz w:val="20"/>
                <w:szCs w:val="20"/>
              </w:rPr>
            </w:pPr>
          </w:p>
        </w:tc>
        <w:tc>
          <w:tcPr>
            <w:tcW w:w="50" w:type="pct"/>
            <w:vAlign w:val="center"/>
            <w:hideMark/>
          </w:tcPr>
          <w:p w14:paraId="449D4399" w14:textId="77777777" w:rsidR="00000000" w:rsidRDefault="00C1661D">
            <w:pPr>
              <w:spacing w:after="100"/>
              <w:rPr>
                <w:rFonts w:eastAsia="Times New Roman"/>
                <w:sz w:val="20"/>
                <w:szCs w:val="20"/>
              </w:rPr>
            </w:pPr>
          </w:p>
        </w:tc>
        <w:tc>
          <w:tcPr>
            <w:tcW w:w="504" w:type="pct"/>
            <w:vAlign w:val="center"/>
            <w:hideMark/>
          </w:tcPr>
          <w:p w14:paraId="60372131" w14:textId="77777777" w:rsidR="00000000" w:rsidRDefault="00C1661D">
            <w:pPr>
              <w:spacing w:after="100"/>
              <w:rPr>
                <w:rFonts w:eastAsia="Times New Roman"/>
                <w:sz w:val="20"/>
                <w:szCs w:val="20"/>
              </w:rPr>
            </w:pPr>
          </w:p>
        </w:tc>
        <w:tc>
          <w:tcPr>
            <w:tcW w:w="5" w:type="pct"/>
            <w:vAlign w:val="center"/>
            <w:hideMark/>
          </w:tcPr>
          <w:p w14:paraId="3E01421F" w14:textId="77777777" w:rsidR="00000000" w:rsidRDefault="00C1661D">
            <w:pPr>
              <w:spacing w:after="100"/>
              <w:rPr>
                <w:rFonts w:eastAsia="Times New Roman"/>
                <w:sz w:val="20"/>
                <w:szCs w:val="20"/>
              </w:rPr>
            </w:pPr>
          </w:p>
        </w:tc>
        <w:tc>
          <w:tcPr>
            <w:tcW w:w="5" w:type="pct"/>
            <w:vAlign w:val="center"/>
            <w:hideMark/>
          </w:tcPr>
          <w:p w14:paraId="515279A0" w14:textId="77777777" w:rsidR="00000000" w:rsidRDefault="00C1661D">
            <w:pPr>
              <w:spacing w:after="100"/>
              <w:rPr>
                <w:rFonts w:eastAsia="Times New Roman"/>
                <w:sz w:val="20"/>
                <w:szCs w:val="20"/>
              </w:rPr>
            </w:pPr>
          </w:p>
        </w:tc>
        <w:tc>
          <w:tcPr>
            <w:tcW w:w="26" w:type="pct"/>
            <w:vAlign w:val="center"/>
            <w:hideMark/>
          </w:tcPr>
          <w:p w14:paraId="6410CB36" w14:textId="77777777" w:rsidR="00000000" w:rsidRDefault="00C1661D">
            <w:pPr>
              <w:spacing w:after="100"/>
              <w:rPr>
                <w:rFonts w:eastAsia="Times New Roman"/>
                <w:sz w:val="20"/>
                <w:szCs w:val="20"/>
              </w:rPr>
            </w:pPr>
          </w:p>
        </w:tc>
        <w:tc>
          <w:tcPr>
            <w:tcW w:w="5" w:type="pct"/>
            <w:vAlign w:val="center"/>
            <w:hideMark/>
          </w:tcPr>
          <w:p w14:paraId="7350B985" w14:textId="77777777" w:rsidR="00000000" w:rsidRDefault="00C1661D">
            <w:pPr>
              <w:spacing w:after="100"/>
              <w:rPr>
                <w:rFonts w:eastAsia="Times New Roman"/>
                <w:sz w:val="20"/>
                <w:szCs w:val="20"/>
              </w:rPr>
            </w:pPr>
          </w:p>
        </w:tc>
        <w:tc>
          <w:tcPr>
            <w:tcW w:w="50" w:type="pct"/>
            <w:vAlign w:val="center"/>
            <w:hideMark/>
          </w:tcPr>
          <w:p w14:paraId="7AEA1A86" w14:textId="77777777" w:rsidR="00000000" w:rsidRDefault="00C1661D">
            <w:pPr>
              <w:spacing w:after="100"/>
              <w:rPr>
                <w:rFonts w:eastAsia="Times New Roman"/>
                <w:sz w:val="20"/>
                <w:szCs w:val="20"/>
              </w:rPr>
            </w:pPr>
          </w:p>
        </w:tc>
        <w:tc>
          <w:tcPr>
            <w:tcW w:w="497" w:type="pct"/>
            <w:vAlign w:val="center"/>
            <w:hideMark/>
          </w:tcPr>
          <w:p w14:paraId="02088696" w14:textId="77777777" w:rsidR="00000000" w:rsidRDefault="00C1661D">
            <w:pPr>
              <w:spacing w:after="100"/>
              <w:rPr>
                <w:rFonts w:eastAsia="Times New Roman"/>
                <w:sz w:val="20"/>
                <w:szCs w:val="20"/>
              </w:rPr>
            </w:pPr>
          </w:p>
        </w:tc>
        <w:tc>
          <w:tcPr>
            <w:tcW w:w="5" w:type="pct"/>
            <w:vAlign w:val="center"/>
            <w:hideMark/>
          </w:tcPr>
          <w:p w14:paraId="1C1FDE5E" w14:textId="77777777" w:rsidR="00000000" w:rsidRDefault="00C1661D">
            <w:pPr>
              <w:spacing w:after="100"/>
              <w:rPr>
                <w:rFonts w:eastAsia="Times New Roman"/>
                <w:sz w:val="20"/>
                <w:szCs w:val="20"/>
              </w:rPr>
            </w:pPr>
          </w:p>
        </w:tc>
      </w:tr>
      <w:tr w:rsidR="00000000" w14:paraId="26648458" w14:textId="77777777">
        <w:trPr>
          <w:divId w:val="779297435"/>
          <w:jc w:val="center"/>
        </w:trPr>
        <w:tc>
          <w:tcPr>
            <w:tcW w:w="0" w:type="auto"/>
            <w:gridSpan w:val="3"/>
            <w:tcMar>
              <w:top w:w="0" w:type="dxa"/>
              <w:left w:w="20" w:type="dxa"/>
              <w:bottom w:w="0" w:type="dxa"/>
              <w:right w:w="20" w:type="dxa"/>
            </w:tcMar>
            <w:vAlign w:val="center"/>
            <w:hideMark/>
          </w:tcPr>
          <w:p w14:paraId="2F13AE19"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10AC63B"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35639469"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84144DB"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0AFB4EB1"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069A90" w14:textId="77777777" w:rsidR="00000000" w:rsidRDefault="00C1661D">
            <w:pPr>
              <w:spacing w:after="100"/>
              <w:jc w:val="center"/>
              <w:rPr>
                <w:rFonts w:eastAsia="Times New Roman"/>
              </w:rPr>
            </w:pPr>
            <w:r>
              <w:rPr>
                <w:rFonts w:eastAsia="Times New Roman"/>
                <w:color w:val="000000"/>
                <w:sz w:val="20"/>
                <w:szCs w:val="20"/>
              </w:rPr>
              <w:t>2020</w:t>
            </w:r>
          </w:p>
        </w:tc>
      </w:tr>
      <w:tr w:rsidR="00000000" w14:paraId="7A023E5A" w14:textId="77777777">
        <w:trPr>
          <w:divId w:val="779297435"/>
          <w:jc w:val="center"/>
        </w:trPr>
        <w:tc>
          <w:tcPr>
            <w:tcW w:w="0" w:type="auto"/>
            <w:gridSpan w:val="3"/>
            <w:shd w:val="clear" w:color="auto" w:fill="CCEEFF"/>
            <w:tcMar>
              <w:top w:w="30" w:type="dxa"/>
              <w:left w:w="20" w:type="dxa"/>
              <w:bottom w:w="30" w:type="dxa"/>
              <w:right w:w="20" w:type="dxa"/>
            </w:tcMar>
            <w:vAlign w:val="bottom"/>
            <w:hideMark/>
          </w:tcPr>
          <w:p w14:paraId="7935EB5F" w14:textId="77777777" w:rsidR="00000000" w:rsidRDefault="00C1661D">
            <w:pPr>
              <w:spacing w:after="100"/>
              <w:rPr>
                <w:rFonts w:eastAsia="Times New Roman"/>
              </w:rPr>
            </w:pPr>
            <w:r>
              <w:rPr>
                <w:rFonts w:eastAsia="Times New Roman"/>
                <w:color w:val="000000"/>
                <w:sz w:val="20"/>
                <w:szCs w:val="20"/>
              </w:rPr>
              <w:t>Operating lease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939FB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61E64C" w14:textId="77777777" w:rsidR="00000000" w:rsidRDefault="00C1661D">
            <w:pPr>
              <w:spacing w:after="100"/>
              <w:jc w:val="right"/>
              <w:rPr>
                <w:rFonts w:eastAsia="Times New Roman"/>
              </w:rPr>
            </w:pPr>
            <w:r>
              <w:rPr>
                <w:rFonts w:eastAsia="Times New Roman"/>
                <w:color w:val="000000"/>
                <w:sz w:val="20"/>
                <w:szCs w:val="20"/>
              </w:rPr>
              <w:t>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CCD6C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57D8EB"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29A6A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EB5B76" w14:textId="77777777" w:rsidR="00000000" w:rsidRDefault="00C1661D">
            <w:pPr>
              <w:spacing w:after="100"/>
              <w:jc w:val="right"/>
              <w:rPr>
                <w:rFonts w:eastAsia="Times New Roman"/>
              </w:rPr>
            </w:pPr>
            <w:r>
              <w:rPr>
                <w:rFonts w:eastAsia="Times New Roman"/>
                <w:color w:val="000000"/>
                <w:sz w:val="20"/>
                <w:szCs w:val="20"/>
              </w:rPr>
              <w:t>101 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20B54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D8397F"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226D8A"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D12E03" w14:textId="77777777" w:rsidR="00000000" w:rsidRDefault="00C1661D">
            <w:pPr>
              <w:spacing w:after="100"/>
              <w:jc w:val="right"/>
              <w:rPr>
                <w:rFonts w:eastAsia="Times New Roman"/>
              </w:rPr>
            </w:pPr>
            <w:r>
              <w:rPr>
                <w:rFonts w:eastAsia="Times New Roman"/>
                <w:color w:val="000000"/>
                <w:sz w:val="20"/>
                <w:szCs w:val="20"/>
              </w:rPr>
              <w:t>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DEEBA0" w14:textId="77777777" w:rsidR="00000000" w:rsidRDefault="00C1661D">
            <w:pPr>
              <w:spacing w:after="100"/>
              <w:jc w:val="right"/>
              <w:rPr>
                <w:rFonts w:eastAsia="Times New Roman"/>
              </w:rPr>
            </w:pPr>
          </w:p>
        </w:tc>
      </w:tr>
      <w:tr w:rsidR="00000000" w14:paraId="24BD108E" w14:textId="77777777">
        <w:trPr>
          <w:divId w:val="779297435"/>
          <w:jc w:val="center"/>
        </w:trPr>
        <w:tc>
          <w:tcPr>
            <w:tcW w:w="0" w:type="auto"/>
            <w:gridSpan w:val="3"/>
            <w:shd w:val="clear" w:color="auto" w:fill="FFFFFF"/>
            <w:tcMar>
              <w:top w:w="30" w:type="dxa"/>
              <w:left w:w="20" w:type="dxa"/>
              <w:bottom w:w="30" w:type="dxa"/>
              <w:right w:w="20" w:type="dxa"/>
            </w:tcMar>
            <w:vAlign w:val="bottom"/>
            <w:hideMark/>
          </w:tcPr>
          <w:p w14:paraId="431EEBBF" w14:textId="77777777" w:rsidR="00000000" w:rsidRDefault="00C1661D">
            <w:pPr>
              <w:spacing w:after="100"/>
              <w:rPr>
                <w:rFonts w:eastAsia="Times New Roman"/>
              </w:rPr>
            </w:pPr>
            <w:r>
              <w:rPr>
                <w:rFonts w:eastAsia="Times New Roman"/>
                <w:color w:val="000000"/>
                <w:sz w:val="20"/>
                <w:szCs w:val="20"/>
              </w:rPr>
              <w:t>Finance lease cost:</w:t>
            </w:r>
          </w:p>
        </w:tc>
        <w:tc>
          <w:tcPr>
            <w:tcW w:w="0" w:type="auto"/>
            <w:gridSpan w:val="3"/>
            <w:shd w:val="clear" w:color="auto" w:fill="FFFFFF"/>
            <w:tcMar>
              <w:top w:w="0" w:type="dxa"/>
              <w:left w:w="20" w:type="dxa"/>
              <w:bottom w:w="0" w:type="dxa"/>
              <w:right w:w="20" w:type="dxa"/>
            </w:tcMar>
            <w:vAlign w:val="center"/>
            <w:hideMark/>
          </w:tcPr>
          <w:p w14:paraId="1446CB57"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390FC"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0DFF37"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04E1EE"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5C5887" w14:textId="77777777" w:rsidR="00000000" w:rsidRDefault="00C1661D">
            <w:pPr>
              <w:spacing w:after="100"/>
              <w:rPr>
                <w:rFonts w:eastAsia="Times New Roman"/>
                <w:sz w:val="20"/>
                <w:szCs w:val="20"/>
              </w:rPr>
            </w:pPr>
          </w:p>
        </w:tc>
      </w:tr>
      <w:tr w:rsidR="00000000" w14:paraId="166C22D6" w14:textId="77777777">
        <w:trPr>
          <w:divId w:val="779297435"/>
          <w:jc w:val="center"/>
        </w:trPr>
        <w:tc>
          <w:tcPr>
            <w:tcW w:w="0" w:type="auto"/>
            <w:gridSpan w:val="3"/>
            <w:shd w:val="clear" w:color="auto" w:fill="CCEEFF"/>
            <w:tcMar>
              <w:top w:w="30" w:type="dxa"/>
              <w:left w:w="155" w:type="dxa"/>
              <w:bottom w:w="30" w:type="dxa"/>
              <w:right w:w="20" w:type="dxa"/>
            </w:tcMar>
            <w:vAlign w:val="bottom"/>
            <w:hideMark/>
          </w:tcPr>
          <w:p w14:paraId="0430E571" w14:textId="77777777" w:rsidR="00000000" w:rsidRDefault="00C1661D">
            <w:pPr>
              <w:spacing w:after="100"/>
              <w:rPr>
                <w:rFonts w:eastAsia="Times New Roman"/>
              </w:rPr>
            </w:pPr>
            <w:r>
              <w:rPr>
                <w:rFonts w:eastAsia="Times New Roman"/>
                <w:color w:val="000000"/>
                <w:sz w:val="20"/>
                <w:szCs w:val="20"/>
              </w:rPr>
              <w:t>Amortization of ROU assets</w:t>
            </w:r>
          </w:p>
        </w:tc>
        <w:tc>
          <w:tcPr>
            <w:tcW w:w="0" w:type="auto"/>
            <w:gridSpan w:val="2"/>
            <w:shd w:val="clear" w:color="auto" w:fill="CCEEFF"/>
            <w:tcMar>
              <w:top w:w="30" w:type="dxa"/>
              <w:left w:w="20" w:type="dxa"/>
              <w:bottom w:w="30" w:type="dxa"/>
              <w:right w:w="0" w:type="dxa"/>
            </w:tcMar>
            <w:vAlign w:val="bottom"/>
            <w:hideMark/>
          </w:tcPr>
          <w:p w14:paraId="62DEC8F6" w14:textId="77777777" w:rsidR="00000000" w:rsidRDefault="00C1661D">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17D065F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3FA4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05A8A6" w14:textId="77777777" w:rsidR="00000000" w:rsidRDefault="00C1661D">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3523B1E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6C132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288AA7" w14:textId="77777777" w:rsidR="00000000" w:rsidRDefault="00C1661D">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445BF253" w14:textId="77777777" w:rsidR="00000000" w:rsidRDefault="00C1661D">
            <w:pPr>
              <w:spacing w:after="100"/>
              <w:jc w:val="right"/>
              <w:rPr>
                <w:rFonts w:eastAsia="Times New Roman"/>
              </w:rPr>
            </w:pPr>
          </w:p>
        </w:tc>
      </w:tr>
      <w:tr w:rsidR="00000000" w14:paraId="1F54D9C4" w14:textId="77777777">
        <w:trPr>
          <w:divId w:val="779297435"/>
          <w:jc w:val="center"/>
        </w:trPr>
        <w:tc>
          <w:tcPr>
            <w:tcW w:w="0" w:type="auto"/>
            <w:gridSpan w:val="3"/>
            <w:shd w:val="clear" w:color="auto" w:fill="FFFFFF"/>
            <w:tcMar>
              <w:top w:w="30" w:type="dxa"/>
              <w:left w:w="155" w:type="dxa"/>
              <w:bottom w:w="30" w:type="dxa"/>
              <w:right w:w="20" w:type="dxa"/>
            </w:tcMar>
            <w:vAlign w:val="bottom"/>
            <w:hideMark/>
          </w:tcPr>
          <w:p w14:paraId="4D81268F" w14:textId="77777777" w:rsidR="00000000" w:rsidRDefault="00C1661D">
            <w:pPr>
              <w:spacing w:after="100"/>
              <w:rPr>
                <w:rFonts w:eastAsia="Times New Roman"/>
              </w:rPr>
            </w:pPr>
            <w:r>
              <w:rPr>
                <w:rFonts w:eastAsia="Times New Roman"/>
                <w:color w:val="000000"/>
                <w:sz w:val="20"/>
                <w:szCs w:val="20"/>
              </w:rPr>
              <w:t xml:space="preserve">Interest on lease liabilities </w:t>
            </w:r>
          </w:p>
        </w:tc>
        <w:tc>
          <w:tcPr>
            <w:tcW w:w="0" w:type="auto"/>
            <w:gridSpan w:val="2"/>
            <w:shd w:val="clear" w:color="auto" w:fill="FFFFFF"/>
            <w:tcMar>
              <w:top w:w="30" w:type="dxa"/>
              <w:left w:w="20" w:type="dxa"/>
              <w:bottom w:w="30" w:type="dxa"/>
              <w:right w:w="0" w:type="dxa"/>
            </w:tcMar>
            <w:vAlign w:val="bottom"/>
            <w:hideMark/>
          </w:tcPr>
          <w:p w14:paraId="6EB12C57"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1DFEF12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54BA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E3A573"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064F029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22740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CB0ED5"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5D04E1BC" w14:textId="77777777" w:rsidR="00000000" w:rsidRDefault="00C1661D">
            <w:pPr>
              <w:spacing w:after="100"/>
              <w:jc w:val="right"/>
              <w:rPr>
                <w:rFonts w:eastAsia="Times New Roman"/>
              </w:rPr>
            </w:pPr>
          </w:p>
        </w:tc>
      </w:tr>
      <w:tr w:rsidR="00000000" w14:paraId="4BFC8D0C" w14:textId="77777777">
        <w:trPr>
          <w:divId w:val="779297435"/>
          <w:jc w:val="center"/>
        </w:trPr>
        <w:tc>
          <w:tcPr>
            <w:tcW w:w="0" w:type="auto"/>
            <w:gridSpan w:val="3"/>
            <w:shd w:val="clear" w:color="auto" w:fill="CCEEFF"/>
            <w:tcMar>
              <w:top w:w="30" w:type="dxa"/>
              <w:left w:w="20" w:type="dxa"/>
              <w:bottom w:w="30" w:type="dxa"/>
              <w:right w:w="20" w:type="dxa"/>
            </w:tcMar>
            <w:vAlign w:val="bottom"/>
            <w:hideMark/>
          </w:tcPr>
          <w:p w14:paraId="15330055" w14:textId="77777777" w:rsidR="00000000" w:rsidRDefault="00C1661D">
            <w:pPr>
              <w:spacing w:after="100"/>
              <w:rPr>
                <w:rFonts w:eastAsia="Times New Roman"/>
              </w:rPr>
            </w:pPr>
            <w:r>
              <w:rPr>
                <w:rFonts w:eastAsia="Times New Roman"/>
                <w:color w:val="000000"/>
                <w:sz w:val="20"/>
                <w:szCs w:val="20"/>
              </w:rPr>
              <w:t>Variable lease cost</w:t>
            </w:r>
          </w:p>
        </w:tc>
        <w:tc>
          <w:tcPr>
            <w:tcW w:w="0" w:type="auto"/>
            <w:gridSpan w:val="2"/>
            <w:shd w:val="clear" w:color="auto" w:fill="CCEEFF"/>
            <w:tcMar>
              <w:top w:w="30" w:type="dxa"/>
              <w:left w:w="20" w:type="dxa"/>
              <w:bottom w:w="30" w:type="dxa"/>
              <w:right w:w="0" w:type="dxa"/>
            </w:tcMar>
            <w:vAlign w:val="bottom"/>
            <w:hideMark/>
          </w:tcPr>
          <w:p w14:paraId="60A08555" w14:textId="77777777" w:rsidR="00000000" w:rsidRDefault="00C1661D">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0928008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A8C4B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8F3E28" w14:textId="77777777" w:rsidR="00000000" w:rsidRDefault="00C1661D">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1150355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19FB0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C11C61" w14:textId="77777777" w:rsidR="00000000" w:rsidRDefault="00C1661D">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236A9C57" w14:textId="77777777" w:rsidR="00000000" w:rsidRDefault="00C1661D">
            <w:pPr>
              <w:spacing w:after="100"/>
              <w:jc w:val="right"/>
              <w:rPr>
                <w:rFonts w:eastAsia="Times New Roman"/>
              </w:rPr>
            </w:pPr>
          </w:p>
        </w:tc>
      </w:tr>
      <w:tr w:rsidR="00000000" w14:paraId="06A8368D" w14:textId="77777777">
        <w:trPr>
          <w:divId w:val="779297435"/>
          <w:jc w:val="center"/>
        </w:trPr>
        <w:tc>
          <w:tcPr>
            <w:tcW w:w="0" w:type="auto"/>
            <w:gridSpan w:val="3"/>
            <w:shd w:val="clear" w:color="auto" w:fill="FFFFFF"/>
            <w:tcMar>
              <w:top w:w="30" w:type="dxa"/>
              <w:left w:w="20" w:type="dxa"/>
              <w:bottom w:w="30" w:type="dxa"/>
              <w:right w:w="20" w:type="dxa"/>
            </w:tcMar>
            <w:vAlign w:val="bottom"/>
            <w:hideMark/>
          </w:tcPr>
          <w:p w14:paraId="32BBDE3A" w14:textId="77777777" w:rsidR="00000000" w:rsidRDefault="00C1661D">
            <w:pPr>
              <w:spacing w:after="100"/>
              <w:rPr>
                <w:rFonts w:eastAsia="Times New Roman"/>
              </w:rPr>
            </w:pPr>
            <w:r>
              <w:rPr>
                <w:rFonts w:eastAsia="Times New Roman"/>
                <w:color w:val="000000"/>
                <w:sz w:val="20"/>
                <w:szCs w:val="20"/>
              </w:rPr>
              <w:t>Short-term lease cost</w:t>
            </w:r>
          </w:p>
        </w:tc>
        <w:tc>
          <w:tcPr>
            <w:tcW w:w="0" w:type="auto"/>
            <w:gridSpan w:val="2"/>
            <w:shd w:val="clear" w:color="auto" w:fill="FFFFFF"/>
            <w:tcMar>
              <w:top w:w="30" w:type="dxa"/>
              <w:left w:w="20" w:type="dxa"/>
              <w:bottom w:w="30" w:type="dxa"/>
              <w:right w:w="0" w:type="dxa"/>
            </w:tcMar>
            <w:vAlign w:val="bottom"/>
            <w:hideMark/>
          </w:tcPr>
          <w:p w14:paraId="6C491AE1"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4B99125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615CF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381C8A"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47ABA57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F6823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EE7196"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63888020" w14:textId="77777777" w:rsidR="00000000" w:rsidRDefault="00C1661D">
            <w:pPr>
              <w:spacing w:after="100"/>
              <w:jc w:val="right"/>
              <w:rPr>
                <w:rFonts w:eastAsia="Times New Roman"/>
              </w:rPr>
            </w:pPr>
          </w:p>
        </w:tc>
      </w:tr>
      <w:tr w:rsidR="00000000" w14:paraId="55DD78CE" w14:textId="77777777">
        <w:trPr>
          <w:divId w:val="779297435"/>
          <w:jc w:val="center"/>
        </w:trPr>
        <w:tc>
          <w:tcPr>
            <w:tcW w:w="0" w:type="auto"/>
            <w:gridSpan w:val="3"/>
            <w:shd w:val="clear" w:color="auto" w:fill="CCEEFF"/>
            <w:tcMar>
              <w:top w:w="30" w:type="dxa"/>
              <w:left w:w="20" w:type="dxa"/>
              <w:bottom w:w="30" w:type="dxa"/>
              <w:right w:w="20" w:type="dxa"/>
            </w:tcMar>
            <w:vAlign w:val="bottom"/>
            <w:hideMark/>
          </w:tcPr>
          <w:p w14:paraId="7E417A6A" w14:textId="77777777" w:rsidR="00000000" w:rsidRDefault="00C1661D">
            <w:pPr>
              <w:spacing w:after="100"/>
              <w:rPr>
                <w:rFonts w:eastAsia="Times New Roman"/>
              </w:rPr>
            </w:pPr>
            <w:r>
              <w:rPr>
                <w:rFonts w:eastAsia="Times New Roman"/>
                <w:color w:val="000000"/>
                <w:sz w:val="20"/>
                <w:szCs w:val="20"/>
              </w:rPr>
              <w:t>Total lease cost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02216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9C75D3B" w14:textId="77777777" w:rsidR="00000000" w:rsidRDefault="00C1661D">
            <w:pPr>
              <w:spacing w:after="100"/>
              <w:jc w:val="right"/>
              <w:rPr>
                <w:rFonts w:eastAsia="Times New Roman"/>
              </w:rPr>
            </w:pPr>
            <w:r>
              <w:rPr>
                <w:rFonts w:eastAsia="Times New Roman"/>
                <w:color w:val="000000"/>
                <w:sz w:val="20"/>
                <w:szCs w:val="20"/>
              </w:rPr>
              <w:t>111 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5075D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C608BC"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49D449"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61D300" w14:textId="77777777" w:rsidR="00000000" w:rsidRDefault="00C1661D">
            <w:pPr>
              <w:spacing w:after="100"/>
              <w:jc w:val="right"/>
              <w:rPr>
                <w:rFonts w:eastAsia="Times New Roman"/>
              </w:rPr>
            </w:pPr>
            <w:r>
              <w:rPr>
                <w:rFonts w:eastAsia="Times New Roman"/>
                <w:color w:val="000000"/>
                <w:sz w:val="20"/>
                <w:szCs w:val="20"/>
              </w:rPr>
              <w:t>114 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E8A91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B2454"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9D8FF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2A8F4B0" w14:textId="77777777" w:rsidR="00000000" w:rsidRDefault="00C1661D">
            <w:pPr>
              <w:spacing w:after="100"/>
              <w:jc w:val="right"/>
              <w:rPr>
                <w:rFonts w:eastAsia="Times New Roman"/>
              </w:rPr>
            </w:pPr>
            <w:r>
              <w:rPr>
                <w:rFonts w:eastAsia="Times New Roman"/>
                <w:color w:val="000000"/>
                <w:sz w:val="20"/>
                <w:szCs w:val="20"/>
              </w:rPr>
              <w:t>118 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BFC461" w14:textId="77777777" w:rsidR="00000000" w:rsidRDefault="00C1661D">
            <w:pPr>
              <w:spacing w:after="100"/>
              <w:jc w:val="right"/>
              <w:rPr>
                <w:rFonts w:eastAsia="Times New Roman"/>
              </w:rPr>
            </w:pPr>
          </w:p>
        </w:tc>
      </w:tr>
    </w:tbl>
    <w:p w14:paraId="2C706030" w14:textId="77777777" w:rsidR="00000000" w:rsidRDefault="00C1661D">
      <w:pPr>
        <w:divId w:val="630944158"/>
        <w:rPr>
          <w:rFonts w:eastAsia="Times New Roman"/>
        </w:rPr>
      </w:pPr>
    </w:p>
    <w:p w14:paraId="6E26D3BF" w14:textId="77777777" w:rsidR="00000000" w:rsidRDefault="00C1661D">
      <w:pPr>
        <w:divId w:val="1820920579"/>
        <w:rPr>
          <w:rFonts w:eastAsia="Times New Roman"/>
        </w:rPr>
      </w:pPr>
      <w:r>
        <w:rPr>
          <w:rFonts w:eastAsia="Times New Roman"/>
          <w:color w:val="000000"/>
          <w:sz w:val="20"/>
          <w:szCs w:val="20"/>
        </w:rPr>
        <w:t>The following table presents the cash and non-cash activity related to lease liabilities included in the Consolidated Statements of Cash Flows during Fiscal 2022, Fiscal 2021 and Fiscal 2020:</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5222"/>
        <w:gridCol w:w="37"/>
        <w:gridCol w:w="121"/>
        <w:gridCol w:w="763"/>
        <w:gridCol w:w="36"/>
        <w:gridCol w:w="36"/>
        <w:gridCol w:w="36"/>
        <w:gridCol w:w="36"/>
        <w:gridCol w:w="121"/>
        <w:gridCol w:w="724"/>
        <w:gridCol w:w="36"/>
        <w:gridCol w:w="36"/>
        <w:gridCol w:w="36"/>
        <w:gridCol w:w="36"/>
        <w:gridCol w:w="120"/>
        <w:gridCol w:w="775"/>
        <w:gridCol w:w="36"/>
      </w:tblGrid>
      <w:tr w:rsidR="00000000" w14:paraId="4D722458" w14:textId="77777777">
        <w:trPr>
          <w:divId w:val="1065758128"/>
          <w:jc w:val="center"/>
        </w:trPr>
        <w:tc>
          <w:tcPr>
            <w:tcW w:w="50" w:type="pct"/>
            <w:vAlign w:val="center"/>
            <w:hideMark/>
          </w:tcPr>
          <w:p w14:paraId="62963D12" w14:textId="77777777" w:rsidR="00000000" w:rsidRDefault="00C1661D">
            <w:pPr>
              <w:rPr>
                <w:rFonts w:eastAsia="Times New Roman"/>
              </w:rPr>
            </w:pPr>
          </w:p>
        </w:tc>
        <w:tc>
          <w:tcPr>
            <w:tcW w:w="3207" w:type="pct"/>
            <w:vAlign w:val="center"/>
            <w:hideMark/>
          </w:tcPr>
          <w:p w14:paraId="38B1D0F4" w14:textId="77777777" w:rsidR="00000000" w:rsidRDefault="00C1661D">
            <w:pPr>
              <w:spacing w:after="100"/>
              <w:rPr>
                <w:rFonts w:eastAsia="Times New Roman"/>
                <w:sz w:val="20"/>
                <w:szCs w:val="20"/>
              </w:rPr>
            </w:pPr>
          </w:p>
        </w:tc>
        <w:tc>
          <w:tcPr>
            <w:tcW w:w="5" w:type="pct"/>
            <w:vAlign w:val="center"/>
            <w:hideMark/>
          </w:tcPr>
          <w:p w14:paraId="18A9EC52" w14:textId="77777777" w:rsidR="00000000" w:rsidRDefault="00C1661D">
            <w:pPr>
              <w:spacing w:after="100"/>
              <w:rPr>
                <w:rFonts w:eastAsia="Times New Roman"/>
                <w:sz w:val="20"/>
                <w:szCs w:val="20"/>
              </w:rPr>
            </w:pPr>
          </w:p>
        </w:tc>
        <w:tc>
          <w:tcPr>
            <w:tcW w:w="50" w:type="pct"/>
            <w:vAlign w:val="center"/>
            <w:hideMark/>
          </w:tcPr>
          <w:p w14:paraId="49DBCACC" w14:textId="77777777" w:rsidR="00000000" w:rsidRDefault="00C1661D">
            <w:pPr>
              <w:spacing w:after="100"/>
              <w:rPr>
                <w:rFonts w:eastAsia="Times New Roman"/>
                <w:sz w:val="20"/>
                <w:szCs w:val="20"/>
              </w:rPr>
            </w:pPr>
          </w:p>
        </w:tc>
        <w:tc>
          <w:tcPr>
            <w:tcW w:w="497" w:type="pct"/>
            <w:vAlign w:val="center"/>
            <w:hideMark/>
          </w:tcPr>
          <w:p w14:paraId="0FFFD91E" w14:textId="77777777" w:rsidR="00000000" w:rsidRDefault="00C1661D">
            <w:pPr>
              <w:spacing w:after="100"/>
              <w:rPr>
                <w:rFonts w:eastAsia="Times New Roman"/>
                <w:sz w:val="20"/>
                <w:szCs w:val="20"/>
              </w:rPr>
            </w:pPr>
          </w:p>
        </w:tc>
        <w:tc>
          <w:tcPr>
            <w:tcW w:w="5" w:type="pct"/>
            <w:vAlign w:val="center"/>
            <w:hideMark/>
          </w:tcPr>
          <w:p w14:paraId="653901AD" w14:textId="77777777" w:rsidR="00000000" w:rsidRDefault="00C1661D">
            <w:pPr>
              <w:spacing w:after="100"/>
              <w:rPr>
                <w:rFonts w:eastAsia="Times New Roman"/>
                <w:sz w:val="20"/>
                <w:szCs w:val="20"/>
              </w:rPr>
            </w:pPr>
          </w:p>
        </w:tc>
        <w:tc>
          <w:tcPr>
            <w:tcW w:w="5" w:type="pct"/>
            <w:vAlign w:val="center"/>
            <w:hideMark/>
          </w:tcPr>
          <w:p w14:paraId="57024960" w14:textId="77777777" w:rsidR="00000000" w:rsidRDefault="00C1661D">
            <w:pPr>
              <w:spacing w:after="100"/>
              <w:rPr>
                <w:rFonts w:eastAsia="Times New Roman"/>
                <w:sz w:val="20"/>
                <w:szCs w:val="20"/>
              </w:rPr>
            </w:pPr>
          </w:p>
        </w:tc>
        <w:tc>
          <w:tcPr>
            <w:tcW w:w="26" w:type="pct"/>
            <w:vAlign w:val="center"/>
            <w:hideMark/>
          </w:tcPr>
          <w:p w14:paraId="0DC5C790" w14:textId="77777777" w:rsidR="00000000" w:rsidRDefault="00C1661D">
            <w:pPr>
              <w:spacing w:after="100"/>
              <w:rPr>
                <w:rFonts w:eastAsia="Times New Roman"/>
                <w:sz w:val="20"/>
                <w:szCs w:val="20"/>
              </w:rPr>
            </w:pPr>
          </w:p>
        </w:tc>
        <w:tc>
          <w:tcPr>
            <w:tcW w:w="5" w:type="pct"/>
            <w:vAlign w:val="center"/>
            <w:hideMark/>
          </w:tcPr>
          <w:p w14:paraId="77859110" w14:textId="77777777" w:rsidR="00000000" w:rsidRDefault="00C1661D">
            <w:pPr>
              <w:spacing w:after="100"/>
              <w:rPr>
                <w:rFonts w:eastAsia="Times New Roman"/>
                <w:sz w:val="20"/>
                <w:szCs w:val="20"/>
              </w:rPr>
            </w:pPr>
          </w:p>
        </w:tc>
        <w:tc>
          <w:tcPr>
            <w:tcW w:w="50" w:type="pct"/>
            <w:vAlign w:val="center"/>
            <w:hideMark/>
          </w:tcPr>
          <w:p w14:paraId="5A1B0407" w14:textId="77777777" w:rsidR="00000000" w:rsidRDefault="00C1661D">
            <w:pPr>
              <w:spacing w:after="100"/>
              <w:rPr>
                <w:rFonts w:eastAsia="Times New Roman"/>
                <w:sz w:val="20"/>
                <w:szCs w:val="20"/>
              </w:rPr>
            </w:pPr>
          </w:p>
        </w:tc>
        <w:tc>
          <w:tcPr>
            <w:tcW w:w="504" w:type="pct"/>
            <w:vAlign w:val="center"/>
            <w:hideMark/>
          </w:tcPr>
          <w:p w14:paraId="59766C10" w14:textId="77777777" w:rsidR="00000000" w:rsidRDefault="00C1661D">
            <w:pPr>
              <w:spacing w:after="100"/>
              <w:rPr>
                <w:rFonts w:eastAsia="Times New Roman"/>
                <w:sz w:val="20"/>
                <w:szCs w:val="20"/>
              </w:rPr>
            </w:pPr>
          </w:p>
        </w:tc>
        <w:tc>
          <w:tcPr>
            <w:tcW w:w="5" w:type="pct"/>
            <w:vAlign w:val="center"/>
            <w:hideMark/>
          </w:tcPr>
          <w:p w14:paraId="2F1C94C1" w14:textId="77777777" w:rsidR="00000000" w:rsidRDefault="00C1661D">
            <w:pPr>
              <w:spacing w:after="100"/>
              <w:rPr>
                <w:rFonts w:eastAsia="Times New Roman"/>
                <w:sz w:val="20"/>
                <w:szCs w:val="20"/>
              </w:rPr>
            </w:pPr>
          </w:p>
        </w:tc>
        <w:tc>
          <w:tcPr>
            <w:tcW w:w="5" w:type="pct"/>
            <w:vAlign w:val="center"/>
            <w:hideMark/>
          </w:tcPr>
          <w:p w14:paraId="76837C03" w14:textId="77777777" w:rsidR="00000000" w:rsidRDefault="00C1661D">
            <w:pPr>
              <w:spacing w:after="100"/>
              <w:rPr>
                <w:rFonts w:eastAsia="Times New Roman"/>
                <w:sz w:val="20"/>
                <w:szCs w:val="20"/>
              </w:rPr>
            </w:pPr>
          </w:p>
        </w:tc>
        <w:tc>
          <w:tcPr>
            <w:tcW w:w="19" w:type="pct"/>
            <w:vAlign w:val="center"/>
            <w:hideMark/>
          </w:tcPr>
          <w:p w14:paraId="2D397F5E" w14:textId="77777777" w:rsidR="00000000" w:rsidRDefault="00C1661D">
            <w:pPr>
              <w:spacing w:after="100"/>
              <w:rPr>
                <w:rFonts w:eastAsia="Times New Roman"/>
                <w:sz w:val="20"/>
                <w:szCs w:val="20"/>
              </w:rPr>
            </w:pPr>
          </w:p>
        </w:tc>
        <w:tc>
          <w:tcPr>
            <w:tcW w:w="5" w:type="pct"/>
            <w:vAlign w:val="center"/>
            <w:hideMark/>
          </w:tcPr>
          <w:p w14:paraId="11D811CB" w14:textId="77777777" w:rsidR="00000000" w:rsidRDefault="00C1661D">
            <w:pPr>
              <w:spacing w:after="100"/>
              <w:rPr>
                <w:rFonts w:eastAsia="Times New Roman"/>
                <w:sz w:val="20"/>
                <w:szCs w:val="20"/>
              </w:rPr>
            </w:pPr>
          </w:p>
        </w:tc>
        <w:tc>
          <w:tcPr>
            <w:tcW w:w="50" w:type="pct"/>
            <w:vAlign w:val="center"/>
            <w:hideMark/>
          </w:tcPr>
          <w:p w14:paraId="292F47A7" w14:textId="77777777" w:rsidR="00000000" w:rsidRDefault="00C1661D">
            <w:pPr>
              <w:spacing w:after="100"/>
              <w:rPr>
                <w:rFonts w:eastAsia="Times New Roman"/>
                <w:sz w:val="20"/>
                <w:szCs w:val="20"/>
              </w:rPr>
            </w:pPr>
          </w:p>
        </w:tc>
        <w:tc>
          <w:tcPr>
            <w:tcW w:w="504" w:type="pct"/>
            <w:vAlign w:val="center"/>
            <w:hideMark/>
          </w:tcPr>
          <w:p w14:paraId="15DCA045" w14:textId="77777777" w:rsidR="00000000" w:rsidRDefault="00C1661D">
            <w:pPr>
              <w:spacing w:after="100"/>
              <w:rPr>
                <w:rFonts w:eastAsia="Times New Roman"/>
                <w:sz w:val="20"/>
                <w:szCs w:val="20"/>
              </w:rPr>
            </w:pPr>
          </w:p>
        </w:tc>
        <w:tc>
          <w:tcPr>
            <w:tcW w:w="5" w:type="pct"/>
            <w:vAlign w:val="center"/>
            <w:hideMark/>
          </w:tcPr>
          <w:p w14:paraId="4BFD3F4C" w14:textId="77777777" w:rsidR="00000000" w:rsidRDefault="00C1661D">
            <w:pPr>
              <w:spacing w:after="100"/>
              <w:rPr>
                <w:rFonts w:eastAsia="Times New Roman"/>
                <w:sz w:val="20"/>
                <w:szCs w:val="20"/>
              </w:rPr>
            </w:pPr>
          </w:p>
        </w:tc>
      </w:tr>
      <w:tr w:rsidR="00000000" w14:paraId="4FFF73D7" w14:textId="77777777">
        <w:trPr>
          <w:divId w:val="1065758128"/>
          <w:jc w:val="center"/>
        </w:trPr>
        <w:tc>
          <w:tcPr>
            <w:tcW w:w="0" w:type="auto"/>
            <w:gridSpan w:val="3"/>
            <w:tcMar>
              <w:top w:w="0" w:type="dxa"/>
              <w:left w:w="20" w:type="dxa"/>
              <w:bottom w:w="0" w:type="dxa"/>
              <w:right w:w="20" w:type="dxa"/>
            </w:tcMar>
            <w:vAlign w:val="center"/>
            <w:hideMark/>
          </w:tcPr>
          <w:p w14:paraId="2EE926BA"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17F707B"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510B0064"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E1AD0C6"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55C80A9A"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64BAB81" w14:textId="77777777" w:rsidR="00000000" w:rsidRDefault="00C1661D">
            <w:pPr>
              <w:spacing w:after="100"/>
              <w:jc w:val="center"/>
              <w:rPr>
                <w:rFonts w:eastAsia="Times New Roman"/>
              </w:rPr>
            </w:pPr>
            <w:r>
              <w:rPr>
                <w:rFonts w:eastAsia="Times New Roman"/>
                <w:color w:val="000000"/>
                <w:sz w:val="20"/>
                <w:szCs w:val="20"/>
              </w:rPr>
              <w:t>2020</w:t>
            </w:r>
          </w:p>
        </w:tc>
      </w:tr>
      <w:tr w:rsidR="00000000" w14:paraId="1F06EB09" w14:textId="77777777">
        <w:trPr>
          <w:divId w:val="1065758128"/>
          <w:jc w:val="center"/>
        </w:trPr>
        <w:tc>
          <w:tcPr>
            <w:tcW w:w="0" w:type="auto"/>
            <w:gridSpan w:val="3"/>
            <w:shd w:val="clear" w:color="auto" w:fill="CCEEFF"/>
            <w:tcMar>
              <w:top w:w="30" w:type="dxa"/>
              <w:left w:w="20" w:type="dxa"/>
              <w:bottom w:w="30" w:type="dxa"/>
              <w:right w:w="20" w:type="dxa"/>
            </w:tcMar>
            <w:vAlign w:val="bottom"/>
            <w:hideMark/>
          </w:tcPr>
          <w:p w14:paraId="160BE23D" w14:textId="77777777" w:rsidR="00000000" w:rsidRDefault="00C1661D">
            <w:pPr>
              <w:spacing w:after="100"/>
              <w:rPr>
                <w:rFonts w:eastAsia="Times New Roman"/>
              </w:rPr>
            </w:pPr>
            <w:r>
              <w:rPr>
                <w:rFonts w:eastAsia="Times New Roman"/>
                <w:color w:val="000000"/>
                <w:sz w:val="20"/>
                <w:szCs w:val="20"/>
              </w:rPr>
              <w:t>Cash paid related to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F2FD8C"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5D752"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52617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721C06"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1A9ED71" w14:textId="77777777" w:rsidR="00000000" w:rsidRDefault="00C1661D">
            <w:pPr>
              <w:spacing w:after="100"/>
              <w:rPr>
                <w:rFonts w:eastAsia="Times New Roman"/>
                <w:sz w:val="20"/>
                <w:szCs w:val="20"/>
              </w:rPr>
            </w:pPr>
          </w:p>
        </w:tc>
      </w:tr>
      <w:tr w:rsidR="00000000" w14:paraId="39B74404" w14:textId="77777777">
        <w:trPr>
          <w:divId w:val="1065758128"/>
          <w:jc w:val="center"/>
        </w:trPr>
        <w:tc>
          <w:tcPr>
            <w:tcW w:w="0" w:type="auto"/>
            <w:gridSpan w:val="3"/>
            <w:shd w:val="clear" w:color="auto" w:fill="FFFFFF"/>
            <w:tcMar>
              <w:top w:w="30" w:type="dxa"/>
              <w:left w:w="155" w:type="dxa"/>
              <w:bottom w:w="30" w:type="dxa"/>
              <w:right w:w="20" w:type="dxa"/>
            </w:tcMar>
            <w:vAlign w:val="bottom"/>
            <w:hideMark/>
          </w:tcPr>
          <w:p w14:paraId="677369CC" w14:textId="77777777" w:rsidR="00000000" w:rsidRDefault="00C1661D">
            <w:pPr>
              <w:spacing w:after="100"/>
              <w:rPr>
                <w:rFonts w:eastAsia="Times New Roman"/>
              </w:rPr>
            </w:pPr>
            <w:r>
              <w:rPr>
                <w:rFonts w:eastAsia="Times New Roman"/>
                <w:color w:val="000000"/>
                <w:sz w:val="20"/>
                <w:szCs w:val="20"/>
              </w:rPr>
              <w:t>Operating cash flows — operating leases</w:t>
            </w:r>
          </w:p>
        </w:tc>
        <w:tc>
          <w:tcPr>
            <w:tcW w:w="0" w:type="auto"/>
            <w:shd w:val="clear" w:color="auto" w:fill="FFFFFF"/>
            <w:tcMar>
              <w:top w:w="30" w:type="dxa"/>
              <w:left w:w="20" w:type="dxa"/>
              <w:bottom w:w="30" w:type="dxa"/>
              <w:right w:w="0" w:type="dxa"/>
            </w:tcMar>
            <w:vAlign w:val="bottom"/>
            <w:hideMark/>
          </w:tcPr>
          <w:p w14:paraId="51AE936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15A67AF" w14:textId="77777777" w:rsidR="00000000" w:rsidRDefault="00C1661D">
            <w:pPr>
              <w:spacing w:after="100"/>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14:paraId="7448690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33F0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6C62D5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BC619C1" w14:textId="77777777" w:rsidR="00000000" w:rsidRDefault="00C1661D">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14:paraId="39D6CEF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CEA902"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3366BF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9D801ED" w14:textId="77777777" w:rsidR="00000000" w:rsidRDefault="00C1661D">
            <w:pPr>
              <w:spacing w:after="100"/>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14:paraId="5ECEAC5D" w14:textId="77777777" w:rsidR="00000000" w:rsidRDefault="00C1661D">
            <w:pPr>
              <w:spacing w:after="100"/>
              <w:jc w:val="right"/>
              <w:rPr>
                <w:rFonts w:eastAsia="Times New Roman"/>
              </w:rPr>
            </w:pPr>
          </w:p>
        </w:tc>
      </w:tr>
      <w:tr w:rsidR="00000000" w14:paraId="0AC89AFB" w14:textId="77777777">
        <w:trPr>
          <w:divId w:val="1065758128"/>
          <w:jc w:val="center"/>
        </w:trPr>
        <w:tc>
          <w:tcPr>
            <w:tcW w:w="0" w:type="auto"/>
            <w:gridSpan w:val="3"/>
            <w:shd w:val="clear" w:color="auto" w:fill="CCEEFF"/>
            <w:tcMar>
              <w:top w:w="30" w:type="dxa"/>
              <w:left w:w="155" w:type="dxa"/>
              <w:bottom w:w="30" w:type="dxa"/>
              <w:right w:w="20" w:type="dxa"/>
            </w:tcMar>
            <w:vAlign w:val="bottom"/>
            <w:hideMark/>
          </w:tcPr>
          <w:p w14:paraId="46B90F8A" w14:textId="77777777" w:rsidR="00000000" w:rsidRDefault="00C1661D">
            <w:pPr>
              <w:spacing w:after="100"/>
              <w:rPr>
                <w:rFonts w:eastAsia="Times New Roman"/>
              </w:rPr>
            </w:pPr>
            <w:r>
              <w:rPr>
                <w:rFonts w:eastAsia="Times New Roman"/>
                <w:color w:val="000000"/>
                <w:sz w:val="20"/>
                <w:szCs w:val="20"/>
              </w:rPr>
              <w:t>Operating cash flows — finance leases</w:t>
            </w:r>
          </w:p>
        </w:tc>
        <w:tc>
          <w:tcPr>
            <w:tcW w:w="0" w:type="auto"/>
            <w:shd w:val="clear" w:color="auto" w:fill="CCEEFF"/>
            <w:tcMar>
              <w:top w:w="30" w:type="dxa"/>
              <w:left w:w="20" w:type="dxa"/>
              <w:bottom w:w="30" w:type="dxa"/>
              <w:right w:w="0" w:type="dxa"/>
            </w:tcMar>
            <w:vAlign w:val="bottom"/>
            <w:hideMark/>
          </w:tcPr>
          <w:p w14:paraId="449602E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9FAA66C"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2FCF47C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01DFF5"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F9901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919DD9B"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00576AF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AE34AE"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27D99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5D3710B"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1BA457CA" w14:textId="77777777" w:rsidR="00000000" w:rsidRDefault="00C1661D">
            <w:pPr>
              <w:spacing w:after="100"/>
              <w:jc w:val="right"/>
              <w:rPr>
                <w:rFonts w:eastAsia="Times New Roman"/>
              </w:rPr>
            </w:pPr>
          </w:p>
        </w:tc>
      </w:tr>
      <w:tr w:rsidR="00000000" w14:paraId="140FC38F" w14:textId="77777777">
        <w:trPr>
          <w:divId w:val="1065758128"/>
          <w:jc w:val="center"/>
        </w:trPr>
        <w:tc>
          <w:tcPr>
            <w:tcW w:w="0" w:type="auto"/>
            <w:gridSpan w:val="3"/>
            <w:shd w:val="clear" w:color="auto" w:fill="FFFFFF"/>
            <w:tcMar>
              <w:top w:w="30" w:type="dxa"/>
              <w:left w:w="155" w:type="dxa"/>
              <w:bottom w:w="30" w:type="dxa"/>
              <w:right w:w="20" w:type="dxa"/>
            </w:tcMar>
            <w:vAlign w:val="bottom"/>
            <w:hideMark/>
          </w:tcPr>
          <w:p w14:paraId="4CEE444F" w14:textId="77777777" w:rsidR="00000000" w:rsidRDefault="00C1661D">
            <w:pPr>
              <w:spacing w:after="100"/>
              <w:rPr>
                <w:rFonts w:eastAsia="Times New Roman"/>
              </w:rPr>
            </w:pPr>
            <w:r>
              <w:rPr>
                <w:rFonts w:eastAsia="Times New Roman"/>
                <w:color w:val="000000"/>
                <w:sz w:val="20"/>
                <w:szCs w:val="20"/>
              </w:rPr>
              <w:t>Financing cash flows — finance leases</w:t>
            </w:r>
          </w:p>
        </w:tc>
        <w:tc>
          <w:tcPr>
            <w:tcW w:w="0" w:type="auto"/>
            <w:shd w:val="clear" w:color="auto" w:fill="FFFFFF"/>
            <w:tcMar>
              <w:top w:w="30" w:type="dxa"/>
              <w:left w:w="20" w:type="dxa"/>
              <w:bottom w:w="30" w:type="dxa"/>
              <w:right w:w="0" w:type="dxa"/>
            </w:tcMar>
            <w:vAlign w:val="bottom"/>
            <w:hideMark/>
          </w:tcPr>
          <w:p w14:paraId="6BBF5C3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741C229"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20C2757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201BA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D1F14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A22AE5A"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0F877FF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44B2B"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048BC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746037" w14:textId="77777777" w:rsidR="00000000" w:rsidRDefault="00C1661D">
            <w:pPr>
              <w:spacing w:after="100"/>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B9BD38E" w14:textId="77777777" w:rsidR="00000000" w:rsidRDefault="00C1661D">
            <w:pPr>
              <w:spacing w:after="100"/>
              <w:jc w:val="right"/>
              <w:rPr>
                <w:rFonts w:eastAsia="Times New Roman"/>
              </w:rPr>
            </w:pPr>
          </w:p>
        </w:tc>
      </w:tr>
      <w:tr w:rsidR="00000000" w14:paraId="7A9A5958" w14:textId="77777777">
        <w:trPr>
          <w:divId w:val="1065758128"/>
          <w:trHeight w:val="280"/>
          <w:jc w:val="center"/>
        </w:trPr>
        <w:tc>
          <w:tcPr>
            <w:tcW w:w="0" w:type="auto"/>
            <w:gridSpan w:val="3"/>
            <w:shd w:val="clear" w:color="auto" w:fill="CCEEFF"/>
            <w:tcMar>
              <w:top w:w="0" w:type="dxa"/>
              <w:left w:w="20" w:type="dxa"/>
              <w:bottom w:w="0" w:type="dxa"/>
              <w:right w:w="20" w:type="dxa"/>
            </w:tcMar>
            <w:vAlign w:val="center"/>
            <w:hideMark/>
          </w:tcPr>
          <w:p w14:paraId="3BCDF7AD" w14:textId="77777777" w:rsidR="00000000" w:rsidRDefault="00C1661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A38090"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87F08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241BB4"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479100"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9260DA" w14:textId="77777777" w:rsidR="00000000" w:rsidRDefault="00C1661D">
            <w:pPr>
              <w:spacing w:after="100"/>
              <w:rPr>
                <w:rFonts w:eastAsia="Times New Roman"/>
                <w:sz w:val="20"/>
                <w:szCs w:val="20"/>
              </w:rPr>
            </w:pPr>
          </w:p>
        </w:tc>
      </w:tr>
      <w:tr w:rsidR="00000000" w14:paraId="5D20045B" w14:textId="77777777">
        <w:trPr>
          <w:divId w:val="1065758128"/>
          <w:jc w:val="center"/>
        </w:trPr>
        <w:tc>
          <w:tcPr>
            <w:tcW w:w="0" w:type="auto"/>
            <w:gridSpan w:val="3"/>
            <w:shd w:val="clear" w:color="auto" w:fill="FFFFFF"/>
            <w:tcMar>
              <w:top w:w="30" w:type="dxa"/>
              <w:left w:w="20" w:type="dxa"/>
              <w:bottom w:w="30" w:type="dxa"/>
              <w:right w:w="20" w:type="dxa"/>
            </w:tcMar>
            <w:vAlign w:val="bottom"/>
            <w:hideMark/>
          </w:tcPr>
          <w:p w14:paraId="0E62701F" w14:textId="77777777" w:rsidR="00000000" w:rsidRDefault="00C1661D">
            <w:pPr>
              <w:spacing w:after="100"/>
              <w:rPr>
                <w:rFonts w:eastAsia="Times New Roman"/>
              </w:rPr>
            </w:pPr>
            <w:r>
              <w:rPr>
                <w:rFonts w:eastAsia="Times New Roman"/>
                <w:color w:val="000000"/>
                <w:sz w:val="20"/>
                <w:szCs w:val="20"/>
              </w:rPr>
              <w:t>Non-cash lease liability activities:</w:t>
            </w:r>
          </w:p>
        </w:tc>
        <w:tc>
          <w:tcPr>
            <w:tcW w:w="0" w:type="auto"/>
            <w:gridSpan w:val="3"/>
            <w:shd w:val="clear" w:color="auto" w:fill="FFFFFF"/>
            <w:tcMar>
              <w:top w:w="0" w:type="dxa"/>
              <w:left w:w="20" w:type="dxa"/>
              <w:bottom w:w="0" w:type="dxa"/>
              <w:right w:w="20" w:type="dxa"/>
            </w:tcMar>
            <w:vAlign w:val="center"/>
            <w:hideMark/>
          </w:tcPr>
          <w:p w14:paraId="7173FF25"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101CE4"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31006A"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E9B515"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D4A08D" w14:textId="77777777" w:rsidR="00000000" w:rsidRDefault="00C1661D">
            <w:pPr>
              <w:spacing w:after="100"/>
              <w:rPr>
                <w:rFonts w:eastAsia="Times New Roman"/>
                <w:sz w:val="20"/>
                <w:szCs w:val="20"/>
              </w:rPr>
            </w:pPr>
          </w:p>
        </w:tc>
      </w:tr>
      <w:tr w:rsidR="00000000" w14:paraId="706AF05E" w14:textId="77777777">
        <w:trPr>
          <w:divId w:val="1065758128"/>
          <w:jc w:val="center"/>
        </w:trPr>
        <w:tc>
          <w:tcPr>
            <w:tcW w:w="0" w:type="auto"/>
            <w:gridSpan w:val="3"/>
            <w:shd w:val="clear" w:color="auto" w:fill="CCEEFF"/>
            <w:tcMar>
              <w:top w:w="30" w:type="dxa"/>
              <w:left w:w="155" w:type="dxa"/>
              <w:bottom w:w="30" w:type="dxa"/>
              <w:right w:w="20" w:type="dxa"/>
            </w:tcMar>
            <w:vAlign w:val="bottom"/>
            <w:hideMark/>
          </w:tcPr>
          <w:p w14:paraId="30540DAC" w14:textId="77777777" w:rsidR="00000000" w:rsidRDefault="00C1661D">
            <w:pPr>
              <w:spacing w:after="100"/>
              <w:rPr>
                <w:rFonts w:eastAsia="Times New Roman"/>
              </w:rPr>
            </w:pPr>
            <w:r>
              <w:rPr>
                <w:rFonts w:eastAsia="Times New Roman"/>
                <w:color w:val="000000"/>
                <w:sz w:val="20"/>
                <w:szCs w:val="20"/>
              </w:rPr>
              <w:t>ROU assets obtained in exchange for operating lease liabilities (a)</w:t>
            </w:r>
          </w:p>
        </w:tc>
        <w:tc>
          <w:tcPr>
            <w:tcW w:w="0" w:type="auto"/>
            <w:shd w:val="clear" w:color="auto" w:fill="CCEEFF"/>
            <w:tcMar>
              <w:top w:w="30" w:type="dxa"/>
              <w:left w:w="20" w:type="dxa"/>
              <w:bottom w:w="30" w:type="dxa"/>
              <w:right w:w="0" w:type="dxa"/>
            </w:tcMar>
            <w:vAlign w:val="bottom"/>
            <w:hideMark/>
          </w:tcPr>
          <w:p w14:paraId="239D479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3CF5579" w14:textId="77777777" w:rsidR="00000000" w:rsidRDefault="00C1661D">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14:paraId="240EEDF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CB922A"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BB33E0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65EAA2B" w14:textId="77777777" w:rsidR="00000000" w:rsidRDefault="00C1661D">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14:paraId="18B30C9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F5BB1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91745D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CDEEC79" w14:textId="77777777" w:rsidR="00000000" w:rsidRDefault="00C1661D">
            <w:pPr>
              <w:spacing w:after="100"/>
              <w:jc w:val="right"/>
              <w:rPr>
                <w:rFonts w:eastAsia="Times New Roman"/>
              </w:rPr>
            </w:pPr>
            <w:r>
              <w:rPr>
                <w:rFonts w:eastAsia="Times New Roman"/>
                <w:color w:val="000000"/>
                <w:sz w:val="20"/>
                <w:szCs w:val="20"/>
              </w:rPr>
              <w:t>506 </w:t>
            </w:r>
          </w:p>
        </w:tc>
        <w:tc>
          <w:tcPr>
            <w:tcW w:w="0" w:type="auto"/>
            <w:shd w:val="clear" w:color="auto" w:fill="CCEEFF"/>
            <w:tcMar>
              <w:top w:w="30" w:type="dxa"/>
              <w:left w:w="0" w:type="dxa"/>
              <w:bottom w:w="30" w:type="dxa"/>
              <w:right w:w="20" w:type="dxa"/>
            </w:tcMar>
            <w:vAlign w:val="bottom"/>
            <w:hideMark/>
          </w:tcPr>
          <w:p w14:paraId="7F22AD9A" w14:textId="77777777" w:rsidR="00000000" w:rsidRDefault="00C1661D">
            <w:pPr>
              <w:spacing w:after="100"/>
              <w:jc w:val="right"/>
              <w:rPr>
                <w:rFonts w:eastAsia="Times New Roman"/>
              </w:rPr>
            </w:pPr>
          </w:p>
        </w:tc>
      </w:tr>
      <w:tr w:rsidR="00000000" w14:paraId="6333B1C7" w14:textId="77777777">
        <w:trPr>
          <w:divId w:val="1065758128"/>
          <w:jc w:val="center"/>
        </w:trPr>
        <w:tc>
          <w:tcPr>
            <w:tcW w:w="0" w:type="auto"/>
            <w:gridSpan w:val="3"/>
            <w:shd w:val="clear" w:color="auto" w:fill="FFFFFF"/>
            <w:tcMar>
              <w:top w:w="30" w:type="dxa"/>
              <w:left w:w="155" w:type="dxa"/>
              <w:bottom w:w="30" w:type="dxa"/>
              <w:right w:w="20" w:type="dxa"/>
            </w:tcMar>
            <w:vAlign w:val="bottom"/>
            <w:hideMark/>
          </w:tcPr>
          <w:p w14:paraId="51943711" w14:textId="77777777" w:rsidR="00000000" w:rsidRDefault="00C1661D">
            <w:pPr>
              <w:spacing w:after="100"/>
              <w:rPr>
                <w:rFonts w:eastAsia="Times New Roman"/>
              </w:rPr>
            </w:pPr>
            <w:r>
              <w:rPr>
                <w:rFonts w:eastAsia="Times New Roman"/>
                <w:color w:val="000000"/>
                <w:sz w:val="20"/>
                <w:szCs w:val="20"/>
              </w:rPr>
              <w:t>ROU assets obtained in exchange for finance lease liabilities</w:t>
            </w:r>
          </w:p>
        </w:tc>
        <w:tc>
          <w:tcPr>
            <w:tcW w:w="0" w:type="auto"/>
            <w:shd w:val="clear" w:color="auto" w:fill="FFFFFF"/>
            <w:tcMar>
              <w:top w:w="30" w:type="dxa"/>
              <w:left w:w="20" w:type="dxa"/>
              <w:bottom w:w="30" w:type="dxa"/>
              <w:right w:w="0" w:type="dxa"/>
            </w:tcMar>
            <w:vAlign w:val="bottom"/>
            <w:hideMark/>
          </w:tcPr>
          <w:p w14:paraId="3E1156D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A3CB9B7"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46AD6BE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0A51B"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9AB4C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5162A6F" w14:textId="77777777" w:rsidR="00000000" w:rsidRDefault="00C1661D">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0E66ACA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F98132"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DE136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39C72FA" w14:textId="77777777" w:rsidR="00000000" w:rsidRDefault="00C1661D">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14:paraId="73F398A4" w14:textId="77777777" w:rsidR="00000000" w:rsidRDefault="00C1661D">
            <w:pPr>
              <w:spacing w:after="100"/>
              <w:jc w:val="right"/>
              <w:rPr>
                <w:rFonts w:eastAsia="Times New Roman"/>
              </w:rPr>
            </w:pPr>
          </w:p>
        </w:tc>
      </w:tr>
    </w:tbl>
    <w:p w14:paraId="51381634" w14:textId="77777777" w:rsidR="00000000" w:rsidRDefault="00C1661D">
      <w:pPr>
        <w:ind w:hanging="360"/>
        <w:divId w:val="1029376540"/>
        <w:rPr>
          <w:rFonts w:eastAsia="Times New Roman"/>
        </w:rPr>
      </w:pPr>
      <w:r>
        <w:rPr>
          <w:rFonts w:eastAsia="Times New Roman"/>
          <w:color w:val="000000"/>
          <w:sz w:val="20"/>
          <w:szCs w:val="20"/>
        </w:rPr>
        <w:t xml:space="preserve">(a)    Fiscal 2020 includes the impact of the adoption of ASC 842 – </w:t>
      </w:r>
      <w:r>
        <w:rPr>
          <w:rFonts w:eastAsia="Times New Roman"/>
          <w:i/>
          <w:iCs/>
          <w:color w:val="000000"/>
          <w:sz w:val="20"/>
          <w:szCs w:val="20"/>
        </w:rPr>
        <w:t>Leases</w:t>
      </w:r>
      <w:r>
        <w:rPr>
          <w:rFonts w:eastAsia="Times New Roman"/>
          <w:color w:val="000000"/>
          <w:sz w:val="20"/>
          <w:szCs w:val="20"/>
        </w:rPr>
        <w:t>.</w:t>
      </w:r>
    </w:p>
    <w:p w14:paraId="6FB8ACD8" w14:textId="77777777" w:rsidR="00000000" w:rsidRDefault="00C1661D">
      <w:pPr>
        <w:jc w:val="both"/>
        <w:rPr>
          <w:rFonts w:eastAsia="Times New Roman"/>
        </w:rPr>
      </w:pPr>
    </w:p>
    <w:p w14:paraId="1ACBC026" w14:textId="77777777" w:rsidR="00000000" w:rsidRDefault="00C1661D">
      <w:pPr>
        <w:jc w:val="center"/>
        <w:divId w:val="1837063837"/>
        <w:rPr>
          <w:rFonts w:eastAsia="Times New Roman"/>
        </w:rPr>
      </w:pPr>
      <w:r>
        <w:rPr>
          <w:rFonts w:eastAsia="Times New Roman"/>
          <w:color w:val="000000"/>
          <w:sz w:val="20"/>
          <w:szCs w:val="20"/>
        </w:rPr>
        <w:t>F-47</w:t>
      </w:r>
    </w:p>
    <w:p w14:paraId="15973804" w14:textId="77777777" w:rsidR="00000000" w:rsidRDefault="00C1661D">
      <w:pPr>
        <w:rPr>
          <w:rFonts w:eastAsia="Times New Roman"/>
        </w:rPr>
      </w:pPr>
      <w:r>
        <w:rPr>
          <w:rFonts w:eastAsia="Times New Roman"/>
        </w:rPr>
        <w:pict w14:anchorId="3F95B5DD">
          <v:rect id="_x0000_i1160" style="width:0;height:1.5pt" o:hralign="center" o:hrstd="t" o:hr="t" fillcolor="#a0a0a0" stroked="f"/>
        </w:pict>
      </w:r>
    </w:p>
    <w:p w14:paraId="654CAC7F" w14:textId="77777777" w:rsidR="00000000" w:rsidRDefault="00C1661D">
      <w:pPr>
        <w:divId w:val="395008828"/>
        <w:rPr>
          <w:rFonts w:eastAsia="Times New Roman"/>
        </w:rPr>
      </w:pPr>
      <w:hyperlink w:anchor="i3850c3c6c0104e42b9951aac2f16098a_7" w:history="1">
        <w:r>
          <w:rPr>
            <w:rStyle w:val="a3"/>
            <w:rFonts w:eastAsia="Times New Roman"/>
            <w:sz w:val="20"/>
            <w:szCs w:val="20"/>
          </w:rPr>
          <w:t>Table of Contents</w:t>
        </w:r>
      </w:hyperlink>
    </w:p>
    <w:p w14:paraId="49826312" w14:textId="77777777" w:rsidR="00000000" w:rsidRDefault="00C1661D">
      <w:pPr>
        <w:divId w:val="1050373887"/>
        <w:rPr>
          <w:rFonts w:eastAsia="Times New Roman"/>
        </w:rPr>
      </w:pPr>
      <w:r>
        <w:rPr>
          <w:rFonts w:eastAsia="Times New Roman"/>
          <w:b/>
          <w:bCs/>
          <w:color w:val="000000"/>
          <w:sz w:val="20"/>
          <w:szCs w:val="20"/>
        </w:rPr>
        <w:t>UGI Corporation and Subsidiaries</w:t>
      </w:r>
    </w:p>
    <w:p w14:paraId="2A1F88B3" w14:textId="77777777" w:rsidR="00000000" w:rsidRDefault="00C1661D">
      <w:pPr>
        <w:divId w:val="1576355700"/>
        <w:rPr>
          <w:rFonts w:eastAsia="Times New Roman"/>
        </w:rPr>
      </w:pPr>
      <w:r>
        <w:rPr>
          <w:rFonts w:eastAsia="Times New Roman"/>
          <w:b/>
          <w:bCs/>
          <w:color w:val="000000"/>
          <w:sz w:val="20"/>
          <w:szCs w:val="20"/>
        </w:rPr>
        <w:t>Notes to Consolidated Financial Statements</w:t>
      </w:r>
    </w:p>
    <w:p w14:paraId="16CC08BB" w14:textId="77777777" w:rsidR="00000000" w:rsidRDefault="00C1661D">
      <w:pPr>
        <w:divId w:val="1189486001"/>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14:paraId="2C77AF46" w14:textId="77777777" w:rsidR="00000000" w:rsidRDefault="00C1661D">
      <w:pPr>
        <w:jc w:val="both"/>
        <w:rPr>
          <w:rFonts w:eastAsia="Times New Roman"/>
        </w:rPr>
      </w:pPr>
      <w:r>
        <w:rPr>
          <w:rFonts w:eastAsia="Times New Roman"/>
          <w:color w:val="000000"/>
          <w:sz w:val="20"/>
          <w:szCs w:val="20"/>
        </w:rPr>
        <w:t>The following table presents the weighted-average remaining lease term and weighted-average discount rate:</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4954"/>
        <w:gridCol w:w="37"/>
        <w:gridCol w:w="36"/>
        <w:gridCol w:w="36"/>
        <w:gridCol w:w="36"/>
        <w:gridCol w:w="55"/>
        <w:gridCol w:w="1442"/>
        <w:gridCol w:w="36"/>
        <w:gridCol w:w="36"/>
        <w:gridCol w:w="36"/>
        <w:gridCol w:w="36"/>
        <w:gridCol w:w="37"/>
        <w:gridCol w:w="1439"/>
        <w:gridCol w:w="36"/>
      </w:tblGrid>
      <w:tr w:rsidR="00000000" w14:paraId="06241BFA" w14:textId="77777777">
        <w:trPr>
          <w:divId w:val="919606744"/>
          <w:jc w:val="center"/>
        </w:trPr>
        <w:tc>
          <w:tcPr>
            <w:tcW w:w="50" w:type="pct"/>
            <w:vAlign w:val="center"/>
            <w:hideMark/>
          </w:tcPr>
          <w:p w14:paraId="068BD2E5" w14:textId="77777777" w:rsidR="00000000" w:rsidRDefault="00C1661D">
            <w:pPr>
              <w:jc w:val="both"/>
              <w:rPr>
                <w:rFonts w:eastAsia="Times New Roman"/>
              </w:rPr>
            </w:pPr>
          </w:p>
        </w:tc>
        <w:tc>
          <w:tcPr>
            <w:tcW w:w="2998" w:type="pct"/>
            <w:vAlign w:val="center"/>
            <w:hideMark/>
          </w:tcPr>
          <w:p w14:paraId="3D265317" w14:textId="77777777" w:rsidR="00000000" w:rsidRDefault="00C1661D">
            <w:pPr>
              <w:spacing w:after="100"/>
              <w:rPr>
                <w:rFonts w:eastAsia="Times New Roman"/>
                <w:sz w:val="20"/>
                <w:szCs w:val="20"/>
              </w:rPr>
            </w:pPr>
          </w:p>
        </w:tc>
        <w:tc>
          <w:tcPr>
            <w:tcW w:w="5" w:type="pct"/>
            <w:vAlign w:val="center"/>
            <w:hideMark/>
          </w:tcPr>
          <w:p w14:paraId="024E602B" w14:textId="77777777" w:rsidR="00000000" w:rsidRDefault="00C1661D">
            <w:pPr>
              <w:spacing w:after="100"/>
              <w:rPr>
                <w:rFonts w:eastAsia="Times New Roman"/>
                <w:sz w:val="20"/>
                <w:szCs w:val="20"/>
              </w:rPr>
            </w:pPr>
          </w:p>
        </w:tc>
        <w:tc>
          <w:tcPr>
            <w:tcW w:w="5" w:type="pct"/>
            <w:vAlign w:val="center"/>
            <w:hideMark/>
          </w:tcPr>
          <w:p w14:paraId="13CBF7B0" w14:textId="77777777" w:rsidR="00000000" w:rsidRDefault="00C1661D">
            <w:pPr>
              <w:spacing w:after="100"/>
              <w:rPr>
                <w:rFonts w:eastAsia="Times New Roman"/>
                <w:sz w:val="20"/>
                <w:szCs w:val="20"/>
              </w:rPr>
            </w:pPr>
          </w:p>
        </w:tc>
        <w:tc>
          <w:tcPr>
            <w:tcW w:w="19" w:type="pct"/>
            <w:vAlign w:val="center"/>
            <w:hideMark/>
          </w:tcPr>
          <w:p w14:paraId="12E9D8E9" w14:textId="77777777" w:rsidR="00000000" w:rsidRDefault="00C1661D">
            <w:pPr>
              <w:spacing w:after="100"/>
              <w:rPr>
                <w:rFonts w:eastAsia="Times New Roman"/>
                <w:sz w:val="20"/>
                <w:szCs w:val="20"/>
              </w:rPr>
            </w:pPr>
          </w:p>
        </w:tc>
        <w:tc>
          <w:tcPr>
            <w:tcW w:w="5" w:type="pct"/>
            <w:vAlign w:val="center"/>
            <w:hideMark/>
          </w:tcPr>
          <w:p w14:paraId="30330F14" w14:textId="77777777" w:rsidR="00000000" w:rsidRDefault="00C1661D">
            <w:pPr>
              <w:spacing w:after="100"/>
              <w:rPr>
                <w:rFonts w:eastAsia="Times New Roman"/>
                <w:sz w:val="20"/>
                <w:szCs w:val="20"/>
              </w:rPr>
            </w:pPr>
          </w:p>
        </w:tc>
        <w:tc>
          <w:tcPr>
            <w:tcW w:w="50" w:type="pct"/>
            <w:vAlign w:val="center"/>
            <w:hideMark/>
          </w:tcPr>
          <w:p w14:paraId="31D64117" w14:textId="77777777" w:rsidR="00000000" w:rsidRDefault="00C1661D">
            <w:pPr>
              <w:spacing w:after="100"/>
              <w:rPr>
                <w:rFonts w:eastAsia="Times New Roman"/>
                <w:sz w:val="20"/>
                <w:szCs w:val="20"/>
              </w:rPr>
            </w:pPr>
          </w:p>
        </w:tc>
        <w:tc>
          <w:tcPr>
            <w:tcW w:w="885" w:type="pct"/>
            <w:vAlign w:val="center"/>
            <w:hideMark/>
          </w:tcPr>
          <w:p w14:paraId="038BEC7F" w14:textId="77777777" w:rsidR="00000000" w:rsidRDefault="00C1661D">
            <w:pPr>
              <w:spacing w:after="100"/>
              <w:rPr>
                <w:rFonts w:eastAsia="Times New Roman"/>
                <w:sz w:val="20"/>
                <w:szCs w:val="20"/>
              </w:rPr>
            </w:pPr>
          </w:p>
        </w:tc>
        <w:tc>
          <w:tcPr>
            <w:tcW w:w="5" w:type="pct"/>
            <w:vAlign w:val="center"/>
            <w:hideMark/>
          </w:tcPr>
          <w:p w14:paraId="29FC6F26" w14:textId="77777777" w:rsidR="00000000" w:rsidRDefault="00C1661D">
            <w:pPr>
              <w:spacing w:after="100"/>
              <w:rPr>
                <w:rFonts w:eastAsia="Times New Roman"/>
                <w:sz w:val="20"/>
                <w:szCs w:val="20"/>
              </w:rPr>
            </w:pPr>
          </w:p>
        </w:tc>
        <w:tc>
          <w:tcPr>
            <w:tcW w:w="5" w:type="pct"/>
            <w:vAlign w:val="center"/>
            <w:hideMark/>
          </w:tcPr>
          <w:p w14:paraId="5440C252" w14:textId="77777777" w:rsidR="00000000" w:rsidRDefault="00C1661D">
            <w:pPr>
              <w:spacing w:after="100"/>
              <w:rPr>
                <w:rFonts w:eastAsia="Times New Roman"/>
                <w:sz w:val="20"/>
                <w:szCs w:val="20"/>
              </w:rPr>
            </w:pPr>
          </w:p>
        </w:tc>
        <w:tc>
          <w:tcPr>
            <w:tcW w:w="26" w:type="pct"/>
            <w:vAlign w:val="center"/>
            <w:hideMark/>
          </w:tcPr>
          <w:p w14:paraId="536BA27F" w14:textId="77777777" w:rsidR="00000000" w:rsidRDefault="00C1661D">
            <w:pPr>
              <w:spacing w:after="100"/>
              <w:rPr>
                <w:rFonts w:eastAsia="Times New Roman"/>
                <w:sz w:val="20"/>
                <w:szCs w:val="20"/>
              </w:rPr>
            </w:pPr>
          </w:p>
        </w:tc>
        <w:tc>
          <w:tcPr>
            <w:tcW w:w="5" w:type="pct"/>
            <w:vAlign w:val="center"/>
            <w:hideMark/>
          </w:tcPr>
          <w:p w14:paraId="6345D2C1" w14:textId="77777777" w:rsidR="00000000" w:rsidRDefault="00C1661D">
            <w:pPr>
              <w:spacing w:after="100"/>
              <w:rPr>
                <w:rFonts w:eastAsia="Times New Roman"/>
                <w:sz w:val="20"/>
                <w:szCs w:val="20"/>
              </w:rPr>
            </w:pPr>
          </w:p>
        </w:tc>
        <w:tc>
          <w:tcPr>
            <w:tcW w:w="50" w:type="pct"/>
            <w:vAlign w:val="center"/>
            <w:hideMark/>
          </w:tcPr>
          <w:p w14:paraId="08B3102E" w14:textId="77777777" w:rsidR="00000000" w:rsidRDefault="00C1661D">
            <w:pPr>
              <w:spacing w:after="100"/>
              <w:rPr>
                <w:rFonts w:eastAsia="Times New Roman"/>
                <w:sz w:val="20"/>
                <w:szCs w:val="20"/>
              </w:rPr>
            </w:pPr>
          </w:p>
        </w:tc>
        <w:tc>
          <w:tcPr>
            <w:tcW w:w="885" w:type="pct"/>
            <w:vAlign w:val="center"/>
            <w:hideMark/>
          </w:tcPr>
          <w:p w14:paraId="588074EC" w14:textId="77777777" w:rsidR="00000000" w:rsidRDefault="00C1661D">
            <w:pPr>
              <w:spacing w:after="100"/>
              <w:rPr>
                <w:rFonts w:eastAsia="Times New Roman"/>
                <w:sz w:val="20"/>
                <w:szCs w:val="20"/>
              </w:rPr>
            </w:pPr>
          </w:p>
        </w:tc>
        <w:tc>
          <w:tcPr>
            <w:tcW w:w="5" w:type="pct"/>
            <w:vAlign w:val="center"/>
            <w:hideMark/>
          </w:tcPr>
          <w:p w14:paraId="53127520" w14:textId="77777777" w:rsidR="00000000" w:rsidRDefault="00C1661D">
            <w:pPr>
              <w:spacing w:after="100"/>
              <w:rPr>
                <w:rFonts w:eastAsia="Times New Roman"/>
                <w:sz w:val="20"/>
                <w:szCs w:val="20"/>
              </w:rPr>
            </w:pPr>
          </w:p>
        </w:tc>
      </w:tr>
      <w:tr w:rsidR="00000000" w14:paraId="2515643F" w14:textId="77777777">
        <w:trPr>
          <w:divId w:val="919606744"/>
          <w:jc w:val="center"/>
        </w:trPr>
        <w:tc>
          <w:tcPr>
            <w:tcW w:w="0" w:type="auto"/>
            <w:gridSpan w:val="3"/>
            <w:tcMar>
              <w:top w:w="30" w:type="dxa"/>
              <w:left w:w="20" w:type="dxa"/>
              <w:bottom w:w="30" w:type="dxa"/>
              <w:right w:w="20" w:type="dxa"/>
            </w:tcMar>
            <w:vAlign w:val="bottom"/>
            <w:hideMark/>
          </w:tcPr>
          <w:p w14:paraId="32520702" w14:textId="77777777" w:rsidR="00000000" w:rsidRDefault="00C1661D">
            <w:pPr>
              <w:spacing w:after="100"/>
              <w:rPr>
                <w:rFonts w:eastAsia="Times New Roman"/>
              </w:rPr>
            </w:pPr>
            <w:r>
              <w:rPr>
                <w:rFonts w:eastAsia="Times New Roman"/>
                <w:color w:val="000000"/>
                <w:sz w:val="20"/>
                <w:szCs w:val="20"/>
              </w:rPr>
              <w:t>Weighted-average remaining lease term (in years)</w:t>
            </w:r>
          </w:p>
        </w:tc>
        <w:tc>
          <w:tcPr>
            <w:tcW w:w="0" w:type="auto"/>
            <w:gridSpan w:val="3"/>
            <w:tcMar>
              <w:top w:w="0" w:type="dxa"/>
              <w:left w:w="20" w:type="dxa"/>
              <w:bottom w:w="0" w:type="dxa"/>
              <w:right w:w="20" w:type="dxa"/>
            </w:tcMar>
            <w:vAlign w:val="center"/>
            <w:hideMark/>
          </w:tcPr>
          <w:p w14:paraId="0FE3B29E"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2D48178A"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41BBCF31"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D085E45" w14:textId="77777777" w:rsidR="00000000" w:rsidRDefault="00C1661D">
            <w:pPr>
              <w:spacing w:after="100"/>
              <w:jc w:val="center"/>
              <w:rPr>
                <w:rFonts w:eastAsia="Times New Roman"/>
              </w:rPr>
            </w:pPr>
            <w:r>
              <w:rPr>
                <w:rFonts w:eastAsia="Times New Roman"/>
                <w:color w:val="000000"/>
                <w:sz w:val="20"/>
                <w:szCs w:val="20"/>
              </w:rPr>
              <w:t>2021</w:t>
            </w:r>
          </w:p>
        </w:tc>
      </w:tr>
      <w:tr w:rsidR="00000000" w14:paraId="3C7AA065" w14:textId="77777777">
        <w:trPr>
          <w:divId w:val="919606744"/>
          <w:trHeight w:val="100"/>
          <w:jc w:val="center"/>
        </w:trPr>
        <w:tc>
          <w:tcPr>
            <w:tcW w:w="0" w:type="auto"/>
            <w:gridSpan w:val="3"/>
            <w:tcBorders>
              <w:top w:val="single" w:sz="8" w:space="0" w:color="000000"/>
            </w:tcBorders>
            <w:tcMar>
              <w:top w:w="0" w:type="dxa"/>
              <w:left w:w="20" w:type="dxa"/>
              <w:bottom w:w="0" w:type="dxa"/>
              <w:right w:w="20" w:type="dxa"/>
            </w:tcMar>
            <w:vAlign w:val="center"/>
            <w:hideMark/>
          </w:tcPr>
          <w:p w14:paraId="40B37CEF" w14:textId="77777777" w:rsidR="00000000" w:rsidRDefault="00C1661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0CCB192" w14:textId="77777777" w:rsidR="00000000" w:rsidRDefault="00C1661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7C4F23A"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8D59C9" w14:textId="77777777" w:rsidR="00000000" w:rsidRDefault="00C1661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EBA4F22" w14:textId="77777777" w:rsidR="00000000" w:rsidRDefault="00C1661D">
            <w:pPr>
              <w:spacing w:after="100"/>
              <w:rPr>
                <w:rFonts w:eastAsia="Times New Roman"/>
                <w:sz w:val="20"/>
                <w:szCs w:val="20"/>
              </w:rPr>
            </w:pPr>
          </w:p>
        </w:tc>
      </w:tr>
      <w:tr w:rsidR="00000000" w14:paraId="55077C19" w14:textId="77777777">
        <w:trPr>
          <w:divId w:val="919606744"/>
          <w:jc w:val="center"/>
        </w:trPr>
        <w:tc>
          <w:tcPr>
            <w:tcW w:w="0" w:type="auto"/>
            <w:gridSpan w:val="3"/>
            <w:shd w:val="clear" w:color="auto" w:fill="CCEEFF"/>
            <w:tcMar>
              <w:top w:w="30" w:type="dxa"/>
              <w:left w:w="155" w:type="dxa"/>
              <w:bottom w:w="30" w:type="dxa"/>
              <w:right w:w="20" w:type="dxa"/>
            </w:tcMar>
            <w:vAlign w:val="bottom"/>
            <w:hideMark/>
          </w:tcPr>
          <w:p w14:paraId="476822C0" w14:textId="77777777" w:rsidR="00000000" w:rsidRDefault="00C1661D">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14:paraId="0109F459"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5EFB094" w14:textId="77777777" w:rsidR="00000000" w:rsidRDefault="00C1661D">
            <w:pPr>
              <w:spacing w:after="100"/>
              <w:jc w:val="center"/>
              <w:rPr>
                <w:rFonts w:eastAsia="Times New Roman"/>
              </w:rPr>
            </w:pPr>
            <w:r>
              <w:rPr>
                <w:rFonts w:eastAsia="Times New Roman"/>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14:paraId="07560B17" w14:textId="77777777" w:rsidR="00000000" w:rsidRDefault="00C1661D">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AF430F9" w14:textId="77777777" w:rsidR="00000000" w:rsidRDefault="00C1661D">
            <w:pPr>
              <w:spacing w:after="100"/>
              <w:jc w:val="center"/>
              <w:rPr>
                <w:rFonts w:eastAsia="Times New Roman"/>
              </w:rPr>
            </w:pPr>
            <w:r>
              <w:rPr>
                <w:rFonts w:eastAsia="Times New Roman"/>
                <w:color w:val="000000"/>
                <w:sz w:val="20"/>
                <w:szCs w:val="20"/>
              </w:rPr>
              <w:t>6.3</w:t>
            </w:r>
          </w:p>
        </w:tc>
      </w:tr>
      <w:tr w:rsidR="00000000" w14:paraId="1EC05B6C" w14:textId="77777777">
        <w:trPr>
          <w:divId w:val="919606744"/>
          <w:jc w:val="center"/>
        </w:trPr>
        <w:tc>
          <w:tcPr>
            <w:tcW w:w="0" w:type="auto"/>
            <w:gridSpan w:val="3"/>
            <w:tcMar>
              <w:top w:w="30" w:type="dxa"/>
              <w:left w:w="155" w:type="dxa"/>
              <w:bottom w:w="30" w:type="dxa"/>
              <w:right w:w="20" w:type="dxa"/>
            </w:tcMar>
            <w:vAlign w:val="bottom"/>
            <w:hideMark/>
          </w:tcPr>
          <w:p w14:paraId="1B30BB67" w14:textId="77777777" w:rsidR="00000000" w:rsidRDefault="00C1661D">
            <w:pPr>
              <w:spacing w:after="100"/>
              <w:rPr>
                <w:rFonts w:eastAsia="Times New Roman"/>
              </w:rPr>
            </w:pPr>
            <w:r>
              <w:rPr>
                <w:rFonts w:eastAsia="Times New Roman"/>
                <w:color w:val="000000"/>
                <w:sz w:val="20"/>
                <w:szCs w:val="20"/>
              </w:rPr>
              <w:t>Finance leases</w:t>
            </w:r>
          </w:p>
        </w:tc>
        <w:tc>
          <w:tcPr>
            <w:tcW w:w="0" w:type="auto"/>
            <w:gridSpan w:val="3"/>
            <w:tcMar>
              <w:top w:w="0" w:type="dxa"/>
              <w:left w:w="20" w:type="dxa"/>
              <w:bottom w:w="0" w:type="dxa"/>
              <w:right w:w="20" w:type="dxa"/>
            </w:tcMar>
            <w:vAlign w:val="center"/>
            <w:hideMark/>
          </w:tcPr>
          <w:p w14:paraId="37921C9C"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7B605D5E" w14:textId="77777777" w:rsidR="00000000" w:rsidRDefault="00C1661D">
            <w:pPr>
              <w:spacing w:after="100"/>
              <w:jc w:val="center"/>
              <w:rPr>
                <w:rFonts w:eastAsia="Times New Roman"/>
              </w:rPr>
            </w:pPr>
            <w:r>
              <w:rPr>
                <w:rFonts w:eastAsia="Times New Roman"/>
                <w:color w:val="000000"/>
                <w:sz w:val="20"/>
                <w:szCs w:val="20"/>
              </w:rPr>
              <w:t>3.7</w:t>
            </w:r>
          </w:p>
        </w:tc>
        <w:tc>
          <w:tcPr>
            <w:tcW w:w="0" w:type="auto"/>
            <w:gridSpan w:val="3"/>
            <w:tcMar>
              <w:top w:w="0" w:type="dxa"/>
              <w:left w:w="20" w:type="dxa"/>
              <w:bottom w:w="0" w:type="dxa"/>
              <w:right w:w="20" w:type="dxa"/>
            </w:tcMar>
            <w:vAlign w:val="center"/>
            <w:hideMark/>
          </w:tcPr>
          <w:p w14:paraId="3AEAD10A"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D624A11" w14:textId="77777777" w:rsidR="00000000" w:rsidRDefault="00C1661D">
            <w:pPr>
              <w:spacing w:after="100"/>
              <w:jc w:val="center"/>
              <w:rPr>
                <w:rFonts w:eastAsia="Times New Roman"/>
              </w:rPr>
            </w:pPr>
            <w:r>
              <w:rPr>
                <w:rFonts w:eastAsia="Times New Roman"/>
                <w:color w:val="000000"/>
                <w:sz w:val="20"/>
                <w:szCs w:val="20"/>
              </w:rPr>
              <w:t>2.4</w:t>
            </w:r>
          </w:p>
        </w:tc>
      </w:tr>
      <w:tr w:rsidR="00000000" w14:paraId="072FB8A5" w14:textId="77777777">
        <w:trPr>
          <w:divId w:val="919606744"/>
          <w:trHeight w:val="120"/>
          <w:jc w:val="center"/>
        </w:trPr>
        <w:tc>
          <w:tcPr>
            <w:tcW w:w="0" w:type="auto"/>
            <w:gridSpan w:val="3"/>
            <w:tcMar>
              <w:top w:w="0" w:type="dxa"/>
              <w:left w:w="20" w:type="dxa"/>
              <w:bottom w:w="0" w:type="dxa"/>
              <w:right w:w="20" w:type="dxa"/>
            </w:tcMar>
            <w:vAlign w:val="center"/>
            <w:hideMark/>
          </w:tcPr>
          <w:p w14:paraId="548011A1" w14:textId="77777777" w:rsidR="00000000" w:rsidRDefault="00C1661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0312DB2"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B2E833"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829A89"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6F417A" w14:textId="77777777" w:rsidR="00000000" w:rsidRDefault="00C1661D">
            <w:pPr>
              <w:spacing w:after="100"/>
              <w:rPr>
                <w:rFonts w:eastAsia="Times New Roman"/>
                <w:sz w:val="20"/>
                <w:szCs w:val="20"/>
              </w:rPr>
            </w:pPr>
          </w:p>
        </w:tc>
      </w:tr>
      <w:tr w:rsidR="00000000" w14:paraId="530DB5D0" w14:textId="77777777">
        <w:trPr>
          <w:divId w:val="919606744"/>
          <w:jc w:val="center"/>
        </w:trPr>
        <w:tc>
          <w:tcPr>
            <w:tcW w:w="0" w:type="auto"/>
            <w:gridSpan w:val="3"/>
            <w:tcMar>
              <w:top w:w="30" w:type="dxa"/>
              <w:left w:w="20" w:type="dxa"/>
              <w:bottom w:w="30" w:type="dxa"/>
              <w:right w:w="20" w:type="dxa"/>
            </w:tcMar>
            <w:vAlign w:val="bottom"/>
            <w:hideMark/>
          </w:tcPr>
          <w:p w14:paraId="4CCB44D1" w14:textId="77777777" w:rsidR="00000000" w:rsidRDefault="00C1661D">
            <w:pPr>
              <w:spacing w:after="100"/>
              <w:rPr>
                <w:rFonts w:eastAsia="Times New Roman"/>
              </w:rPr>
            </w:pPr>
            <w:r>
              <w:rPr>
                <w:rFonts w:eastAsia="Times New Roman"/>
                <w:color w:val="000000"/>
                <w:sz w:val="20"/>
                <w:szCs w:val="20"/>
              </w:rPr>
              <w:t>Weighted-average discount rate (%)</w:t>
            </w:r>
          </w:p>
        </w:tc>
        <w:tc>
          <w:tcPr>
            <w:tcW w:w="0" w:type="auto"/>
            <w:gridSpan w:val="3"/>
            <w:tcMar>
              <w:top w:w="0" w:type="dxa"/>
              <w:left w:w="20" w:type="dxa"/>
              <w:bottom w:w="0" w:type="dxa"/>
              <w:right w:w="20" w:type="dxa"/>
            </w:tcMar>
            <w:vAlign w:val="center"/>
            <w:hideMark/>
          </w:tcPr>
          <w:p w14:paraId="2D1BEC94"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234FBDC3"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452FAD11"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10F4D1A" w14:textId="77777777" w:rsidR="00000000" w:rsidRDefault="00C1661D">
            <w:pPr>
              <w:spacing w:after="100"/>
              <w:jc w:val="center"/>
              <w:rPr>
                <w:rFonts w:eastAsia="Times New Roman"/>
              </w:rPr>
            </w:pPr>
            <w:r>
              <w:rPr>
                <w:rFonts w:eastAsia="Times New Roman"/>
                <w:color w:val="000000"/>
                <w:sz w:val="20"/>
                <w:szCs w:val="20"/>
              </w:rPr>
              <w:t>2021</w:t>
            </w:r>
          </w:p>
        </w:tc>
      </w:tr>
      <w:tr w:rsidR="00000000" w14:paraId="7A259246" w14:textId="77777777">
        <w:trPr>
          <w:divId w:val="919606744"/>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14:paraId="5004BE75" w14:textId="77777777" w:rsidR="00000000" w:rsidRDefault="00C1661D">
            <w:pPr>
              <w:spacing w:after="100"/>
              <w:rPr>
                <w:rFonts w:eastAsia="Times New Roman"/>
              </w:rPr>
            </w:pPr>
            <w:r>
              <w:rPr>
                <w:rFonts w:eastAsia="Times New Roman"/>
                <w:color w:val="000000"/>
                <w:sz w:val="20"/>
                <w:szCs w:val="20"/>
              </w:rPr>
              <w:t>Operating leases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0B7CCC"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0BF8656" w14:textId="77777777" w:rsidR="00000000" w:rsidRDefault="00C1661D">
            <w:pPr>
              <w:spacing w:after="100"/>
              <w:jc w:val="center"/>
              <w:rPr>
                <w:rFonts w:eastAsia="Times New Roman"/>
              </w:rPr>
            </w:pPr>
            <w:r>
              <w:rPr>
                <w:rFonts w:eastAsia="Times New Roman"/>
                <w:color w:val="000000"/>
                <w:sz w:val="20"/>
                <w:szCs w:val="20"/>
              </w:rPr>
              <w:t>3.6%</w:t>
            </w:r>
          </w:p>
        </w:tc>
        <w:tc>
          <w:tcPr>
            <w:tcW w:w="0" w:type="auto"/>
            <w:gridSpan w:val="3"/>
            <w:shd w:val="clear" w:color="auto" w:fill="CCEEFF"/>
            <w:tcMar>
              <w:top w:w="0" w:type="dxa"/>
              <w:left w:w="20" w:type="dxa"/>
              <w:bottom w:w="0" w:type="dxa"/>
              <w:right w:w="20" w:type="dxa"/>
            </w:tcMar>
            <w:vAlign w:val="center"/>
            <w:hideMark/>
          </w:tcPr>
          <w:p w14:paraId="1E915E1F" w14:textId="77777777" w:rsidR="00000000" w:rsidRDefault="00C1661D">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9D48CAD" w14:textId="77777777" w:rsidR="00000000" w:rsidRDefault="00C1661D">
            <w:pPr>
              <w:spacing w:after="100"/>
              <w:jc w:val="center"/>
              <w:rPr>
                <w:rFonts w:eastAsia="Times New Roman"/>
              </w:rPr>
            </w:pPr>
            <w:r>
              <w:rPr>
                <w:rFonts w:eastAsia="Times New Roman"/>
                <w:color w:val="000000"/>
                <w:sz w:val="20"/>
                <w:szCs w:val="20"/>
              </w:rPr>
              <w:t>3.6%</w:t>
            </w:r>
          </w:p>
        </w:tc>
      </w:tr>
      <w:tr w:rsidR="00000000" w14:paraId="30B89D2A" w14:textId="77777777">
        <w:trPr>
          <w:divId w:val="919606744"/>
          <w:jc w:val="center"/>
        </w:trPr>
        <w:tc>
          <w:tcPr>
            <w:tcW w:w="0" w:type="auto"/>
            <w:gridSpan w:val="3"/>
            <w:tcMar>
              <w:top w:w="30" w:type="dxa"/>
              <w:left w:w="155" w:type="dxa"/>
              <w:bottom w:w="30" w:type="dxa"/>
              <w:right w:w="20" w:type="dxa"/>
            </w:tcMar>
            <w:vAlign w:val="bottom"/>
            <w:hideMark/>
          </w:tcPr>
          <w:p w14:paraId="0E6987EF" w14:textId="77777777" w:rsidR="00000000" w:rsidRDefault="00C1661D">
            <w:pPr>
              <w:spacing w:after="100"/>
              <w:rPr>
                <w:rFonts w:eastAsia="Times New Roman"/>
              </w:rPr>
            </w:pPr>
            <w:r>
              <w:rPr>
                <w:rFonts w:eastAsia="Times New Roman"/>
                <w:color w:val="000000"/>
                <w:sz w:val="20"/>
                <w:szCs w:val="20"/>
              </w:rPr>
              <w:t>Finance leases</w:t>
            </w:r>
          </w:p>
        </w:tc>
        <w:tc>
          <w:tcPr>
            <w:tcW w:w="0" w:type="auto"/>
            <w:gridSpan w:val="3"/>
            <w:tcMar>
              <w:top w:w="0" w:type="dxa"/>
              <w:left w:w="20" w:type="dxa"/>
              <w:bottom w:w="0" w:type="dxa"/>
              <w:right w:w="20" w:type="dxa"/>
            </w:tcMar>
            <w:vAlign w:val="center"/>
            <w:hideMark/>
          </w:tcPr>
          <w:p w14:paraId="0190A316"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24CD2C81" w14:textId="77777777" w:rsidR="00000000" w:rsidRDefault="00C1661D">
            <w:pPr>
              <w:spacing w:after="100"/>
              <w:jc w:val="center"/>
              <w:rPr>
                <w:rFonts w:eastAsia="Times New Roman"/>
              </w:rPr>
            </w:pPr>
            <w:r>
              <w:rPr>
                <w:rFonts w:eastAsia="Times New Roman"/>
                <w:color w:val="000000"/>
                <w:sz w:val="20"/>
                <w:szCs w:val="20"/>
              </w:rPr>
              <w:t>1.8%</w:t>
            </w:r>
          </w:p>
        </w:tc>
        <w:tc>
          <w:tcPr>
            <w:tcW w:w="0" w:type="auto"/>
            <w:gridSpan w:val="3"/>
            <w:tcMar>
              <w:top w:w="0" w:type="dxa"/>
              <w:left w:w="20" w:type="dxa"/>
              <w:bottom w:w="0" w:type="dxa"/>
              <w:right w:w="20" w:type="dxa"/>
            </w:tcMar>
            <w:vAlign w:val="center"/>
            <w:hideMark/>
          </w:tcPr>
          <w:p w14:paraId="6E311C77"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D1DF122" w14:textId="77777777" w:rsidR="00000000" w:rsidRDefault="00C1661D">
            <w:pPr>
              <w:spacing w:after="100"/>
              <w:jc w:val="center"/>
              <w:rPr>
                <w:rFonts w:eastAsia="Times New Roman"/>
              </w:rPr>
            </w:pPr>
            <w:r>
              <w:rPr>
                <w:rFonts w:eastAsia="Times New Roman"/>
                <w:color w:val="000000"/>
                <w:sz w:val="20"/>
                <w:szCs w:val="20"/>
              </w:rPr>
              <w:t>1.5%</w:t>
            </w:r>
          </w:p>
        </w:tc>
      </w:tr>
    </w:tbl>
    <w:p w14:paraId="357218D1" w14:textId="77777777" w:rsidR="00000000" w:rsidRDefault="00C1661D">
      <w:pPr>
        <w:jc w:val="both"/>
        <w:divId w:val="46731103"/>
        <w:rPr>
          <w:rFonts w:eastAsia="Times New Roman"/>
        </w:rPr>
      </w:pPr>
      <w:r>
        <w:rPr>
          <w:rFonts w:eastAsia="Times New Roman"/>
          <w:color w:val="000000"/>
          <w:sz w:val="20"/>
          <w:szCs w:val="20"/>
        </w:rPr>
        <w:t>Expected annual lease payments based on maturities of operating and finance leases, as well as a reconciliation to the lease liabilities on the Consolidated Balance Sheet, as of September 30, 2022, were as follows:</w:t>
      </w:r>
    </w:p>
    <w:tbl>
      <w:tblPr>
        <w:tblW w:w="4956" w:type="pct"/>
        <w:jc w:val="center"/>
        <w:tblCellMar>
          <w:top w:w="15" w:type="dxa"/>
          <w:left w:w="15" w:type="dxa"/>
          <w:bottom w:w="15" w:type="dxa"/>
          <w:right w:w="15" w:type="dxa"/>
        </w:tblCellMar>
        <w:tblLook w:val="04A0" w:firstRow="1" w:lastRow="0" w:firstColumn="1" w:lastColumn="0" w:noHBand="0" w:noVBand="1"/>
      </w:tblPr>
      <w:tblGrid>
        <w:gridCol w:w="48"/>
        <w:gridCol w:w="1100"/>
        <w:gridCol w:w="36"/>
        <w:gridCol w:w="120"/>
        <w:gridCol w:w="551"/>
        <w:gridCol w:w="36"/>
        <w:gridCol w:w="36"/>
        <w:gridCol w:w="36"/>
        <w:gridCol w:w="36"/>
        <w:gridCol w:w="120"/>
        <w:gridCol w:w="490"/>
        <w:gridCol w:w="36"/>
        <w:gridCol w:w="36"/>
        <w:gridCol w:w="36"/>
        <w:gridCol w:w="36"/>
        <w:gridCol w:w="120"/>
        <w:gridCol w:w="443"/>
        <w:gridCol w:w="36"/>
        <w:gridCol w:w="36"/>
        <w:gridCol w:w="36"/>
        <w:gridCol w:w="36"/>
        <w:gridCol w:w="120"/>
        <w:gridCol w:w="467"/>
        <w:gridCol w:w="36"/>
        <w:gridCol w:w="36"/>
        <w:gridCol w:w="36"/>
        <w:gridCol w:w="36"/>
        <w:gridCol w:w="120"/>
        <w:gridCol w:w="479"/>
        <w:gridCol w:w="36"/>
        <w:gridCol w:w="36"/>
        <w:gridCol w:w="36"/>
        <w:gridCol w:w="36"/>
        <w:gridCol w:w="121"/>
        <w:gridCol w:w="479"/>
        <w:gridCol w:w="36"/>
        <w:gridCol w:w="36"/>
        <w:gridCol w:w="36"/>
        <w:gridCol w:w="36"/>
        <w:gridCol w:w="121"/>
        <w:gridCol w:w="639"/>
        <w:gridCol w:w="36"/>
        <w:gridCol w:w="36"/>
        <w:gridCol w:w="36"/>
        <w:gridCol w:w="36"/>
        <w:gridCol w:w="121"/>
        <w:gridCol w:w="555"/>
        <w:gridCol w:w="36"/>
        <w:gridCol w:w="36"/>
        <w:gridCol w:w="36"/>
        <w:gridCol w:w="36"/>
        <w:gridCol w:w="121"/>
        <w:gridCol w:w="674"/>
        <w:gridCol w:w="36"/>
      </w:tblGrid>
      <w:tr w:rsidR="00000000" w14:paraId="5DC54E87" w14:textId="77777777">
        <w:trPr>
          <w:jc w:val="center"/>
        </w:trPr>
        <w:tc>
          <w:tcPr>
            <w:tcW w:w="50" w:type="pct"/>
            <w:vAlign w:val="center"/>
            <w:hideMark/>
          </w:tcPr>
          <w:p w14:paraId="752EEB7B" w14:textId="77777777" w:rsidR="00000000" w:rsidRDefault="00C1661D">
            <w:pPr>
              <w:jc w:val="both"/>
              <w:rPr>
                <w:rFonts w:eastAsia="Times New Roman"/>
              </w:rPr>
            </w:pPr>
          </w:p>
        </w:tc>
        <w:tc>
          <w:tcPr>
            <w:tcW w:w="748" w:type="pct"/>
            <w:vAlign w:val="center"/>
            <w:hideMark/>
          </w:tcPr>
          <w:p w14:paraId="240CBA8E" w14:textId="77777777" w:rsidR="00000000" w:rsidRDefault="00C1661D">
            <w:pPr>
              <w:spacing w:after="100"/>
              <w:rPr>
                <w:rFonts w:eastAsia="Times New Roman"/>
                <w:sz w:val="20"/>
                <w:szCs w:val="20"/>
              </w:rPr>
            </w:pPr>
          </w:p>
        </w:tc>
        <w:tc>
          <w:tcPr>
            <w:tcW w:w="5" w:type="pct"/>
            <w:vAlign w:val="center"/>
            <w:hideMark/>
          </w:tcPr>
          <w:p w14:paraId="175DB095" w14:textId="77777777" w:rsidR="00000000" w:rsidRDefault="00C1661D">
            <w:pPr>
              <w:spacing w:after="100"/>
              <w:rPr>
                <w:rFonts w:eastAsia="Times New Roman"/>
                <w:sz w:val="20"/>
                <w:szCs w:val="20"/>
              </w:rPr>
            </w:pPr>
          </w:p>
        </w:tc>
        <w:tc>
          <w:tcPr>
            <w:tcW w:w="50" w:type="pct"/>
            <w:vAlign w:val="center"/>
            <w:hideMark/>
          </w:tcPr>
          <w:p w14:paraId="004BF330" w14:textId="77777777" w:rsidR="00000000" w:rsidRDefault="00C1661D">
            <w:pPr>
              <w:spacing w:after="100"/>
              <w:rPr>
                <w:rFonts w:eastAsia="Times New Roman"/>
                <w:sz w:val="20"/>
                <w:szCs w:val="20"/>
              </w:rPr>
            </w:pPr>
          </w:p>
        </w:tc>
        <w:tc>
          <w:tcPr>
            <w:tcW w:w="394" w:type="pct"/>
            <w:vAlign w:val="center"/>
            <w:hideMark/>
          </w:tcPr>
          <w:p w14:paraId="7CBD2E9B" w14:textId="77777777" w:rsidR="00000000" w:rsidRDefault="00C1661D">
            <w:pPr>
              <w:spacing w:after="100"/>
              <w:rPr>
                <w:rFonts w:eastAsia="Times New Roman"/>
                <w:sz w:val="20"/>
                <w:szCs w:val="20"/>
              </w:rPr>
            </w:pPr>
          </w:p>
        </w:tc>
        <w:tc>
          <w:tcPr>
            <w:tcW w:w="5" w:type="pct"/>
            <w:vAlign w:val="center"/>
            <w:hideMark/>
          </w:tcPr>
          <w:p w14:paraId="00B1FD08" w14:textId="77777777" w:rsidR="00000000" w:rsidRDefault="00C1661D">
            <w:pPr>
              <w:spacing w:after="100"/>
              <w:rPr>
                <w:rFonts w:eastAsia="Times New Roman"/>
                <w:sz w:val="20"/>
                <w:szCs w:val="20"/>
              </w:rPr>
            </w:pPr>
          </w:p>
        </w:tc>
        <w:tc>
          <w:tcPr>
            <w:tcW w:w="5" w:type="pct"/>
            <w:vAlign w:val="center"/>
            <w:hideMark/>
          </w:tcPr>
          <w:p w14:paraId="4744BC0D" w14:textId="77777777" w:rsidR="00000000" w:rsidRDefault="00C1661D">
            <w:pPr>
              <w:spacing w:after="100"/>
              <w:rPr>
                <w:rFonts w:eastAsia="Times New Roman"/>
                <w:sz w:val="20"/>
                <w:szCs w:val="20"/>
              </w:rPr>
            </w:pPr>
          </w:p>
        </w:tc>
        <w:tc>
          <w:tcPr>
            <w:tcW w:w="26" w:type="pct"/>
            <w:vAlign w:val="center"/>
            <w:hideMark/>
          </w:tcPr>
          <w:p w14:paraId="32EF15A4" w14:textId="77777777" w:rsidR="00000000" w:rsidRDefault="00C1661D">
            <w:pPr>
              <w:spacing w:after="100"/>
              <w:rPr>
                <w:rFonts w:eastAsia="Times New Roman"/>
                <w:sz w:val="20"/>
                <w:szCs w:val="20"/>
              </w:rPr>
            </w:pPr>
          </w:p>
        </w:tc>
        <w:tc>
          <w:tcPr>
            <w:tcW w:w="5" w:type="pct"/>
            <w:vAlign w:val="center"/>
            <w:hideMark/>
          </w:tcPr>
          <w:p w14:paraId="191E0E7F" w14:textId="77777777" w:rsidR="00000000" w:rsidRDefault="00C1661D">
            <w:pPr>
              <w:spacing w:after="100"/>
              <w:rPr>
                <w:rFonts w:eastAsia="Times New Roman"/>
                <w:sz w:val="20"/>
                <w:szCs w:val="20"/>
              </w:rPr>
            </w:pPr>
          </w:p>
        </w:tc>
        <w:tc>
          <w:tcPr>
            <w:tcW w:w="50" w:type="pct"/>
            <w:vAlign w:val="center"/>
            <w:hideMark/>
          </w:tcPr>
          <w:p w14:paraId="311ED06A" w14:textId="77777777" w:rsidR="00000000" w:rsidRDefault="00C1661D">
            <w:pPr>
              <w:spacing w:after="100"/>
              <w:rPr>
                <w:rFonts w:eastAsia="Times New Roman"/>
                <w:sz w:val="20"/>
                <w:szCs w:val="20"/>
              </w:rPr>
            </w:pPr>
          </w:p>
        </w:tc>
        <w:tc>
          <w:tcPr>
            <w:tcW w:w="394" w:type="pct"/>
            <w:vAlign w:val="center"/>
            <w:hideMark/>
          </w:tcPr>
          <w:p w14:paraId="062E47C8" w14:textId="77777777" w:rsidR="00000000" w:rsidRDefault="00C1661D">
            <w:pPr>
              <w:spacing w:after="100"/>
              <w:rPr>
                <w:rFonts w:eastAsia="Times New Roman"/>
                <w:sz w:val="20"/>
                <w:szCs w:val="20"/>
              </w:rPr>
            </w:pPr>
          </w:p>
        </w:tc>
        <w:tc>
          <w:tcPr>
            <w:tcW w:w="5" w:type="pct"/>
            <w:vAlign w:val="center"/>
            <w:hideMark/>
          </w:tcPr>
          <w:p w14:paraId="38846BE5" w14:textId="77777777" w:rsidR="00000000" w:rsidRDefault="00C1661D">
            <w:pPr>
              <w:spacing w:after="100"/>
              <w:rPr>
                <w:rFonts w:eastAsia="Times New Roman"/>
                <w:sz w:val="20"/>
                <w:szCs w:val="20"/>
              </w:rPr>
            </w:pPr>
          </w:p>
        </w:tc>
        <w:tc>
          <w:tcPr>
            <w:tcW w:w="5" w:type="pct"/>
            <w:vAlign w:val="center"/>
            <w:hideMark/>
          </w:tcPr>
          <w:p w14:paraId="4B2BF86C" w14:textId="77777777" w:rsidR="00000000" w:rsidRDefault="00C1661D">
            <w:pPr>
              <w:spacing w:after="100"/>
              <w:rPr>
                <w:rFonts w:eastAsia="Times New Roman"/>
                <w:sz w:val="20"/>
                <w:szCs w:val="20"/>
              </w:rPr>
            </w:pPr>
          </w:p>
        </w:tc>
        <w:tc>
          <w:tcPr>
            <w:tcW w:w="26" w:type="pct"/>
            <w:vAlign w:val="center"/>
            <w:hideMark/>
          </w:tcPr>
          <w:p w14:paraId="70E624F8" w14:textId="77777777" w:rsidR="00000000" w:rsidRDefault="00C1661D">
            <w:pPr>
              <w:spacing w:after="100"/>
              <w:rPr>
                <w:rFonts w:eastAsia="Times New Roman"/>
                <w:sz w:val="20"/>
                <w:szCs w:val="20"/>
              </w:rPr>
            </w:pPr>
          </w:p>
        </w:tc>
        <w:tc>
          <w:tcPr>
            <w:tcW w:w="5" w:type="pct"/>
            <w:vAlign w:val="center"/>
            <w:hideMark/>
          </w:tcPr>
          <w:p w14:paraId="482520D9" w14:textId="77777777" w:rsidR="00000000" w:rsidRDefault="00C1661D">
            <w:pPr>
              <w:spacing w:after="100"/>
              <w:rPr>
                <w:rFonts w:eastAsia="Times New Roman"/>
                <w:sz w:val="20"/>
                <w:szCs w:val="20"/>
              </w:rPr>
            </w:pPr>
          </w:p>
        </w:tc>
        <w:tc>
          <w:tcPr>
            <w:tcW w:w="50" w:type="pct"/>
            <w:vAlign w:val="center"/>
            <w:hideMark/>
          </w:tcPr>
          <w:p w14:paraId="536A0E41" w14:textId="77777777" w:rsidR="00000000" w:rsidRDefault="00C1661D">
            <w:pPr>
              <w:spacing w:after="100"/>
              <w:rPr>
                <w:rFonts w:eastAsia="Times New Roman"/>
                <w:sz w:val="20"/>
                <w:szCs w:val="20"/>
              </w:rPr>
            </w:pPr>
          </w:p>
        </w:tc>
        <w:tc>
          <w:tcPr>
            <w:tcW w:w="365" w:type="pct"/>
            <w:vAlign w:val="center"/>
            <w:hideMark/>
          </w:tcPr>
          <w:p w14:paraId="26B1C342" w14:textId="77777777" w:rsidR="00000000" w:rsidRDefault="00C1661D">
            <w:pPr>
              <w:spacing w:after="100"/>
              <w:rPr>
                <w:rFonts w:eastAsia="Times New Roman"/>
                <w:sz w:val="20"/>
                <w:szCs w:val="20"/>
              </w:rPr>
            </w:pPr>
          </w:p>
        </w:tc>
        <w:tc>
          <w:tcPr>
            <w:tcW w:w="5" w:type="pct"/>
            <w:vAlign w:val="center"/>
            <w:hideMark/>
          </w:tcPr>
          <w:p w14:paraId="0C9C872F" w14:textId="77777777" w:rsidR="00000000" w:rsidRDefault="00C1661D">
            <w:pPr>
              <w:spacing w:after="100"/>
              <w:rPr>
                <w:rFonts w:eastAsia="Times New Roman"/>
                <w:sz w:val="20"/>
                <w:szCs w:val="20"/>
              </w:rPr>
            </w:pPr>
          </w:p>
        </w:tc>
        <w:tc>
          <w:tcPr>
            <w:tcW w:w="5" w:type="pct"/>
            <w:vAlign w:val="center"/>
            <w:hideMark/>
          </w:tcPr>
          <w:p w14:paraId="6BFABF22" w14:textId="77777777" w:rsidR="00000000" w:rsidRDefault="00C1661D">
            <w:pPr>
              <w:spacing w:after="100"/>
              <w:rPr>
                <w:rFonts w:eastAsia="Times New Roman"/>
                <w:sz w:val="20"/>
                <w:szCs w:val="20"/>
              </w:rPr>
            </w:pPr>
          </w:p>
        </w:tc>
        <w:tc>
          <w:tcPr>
            <w:tcW w:w="26" w:type="pct"/>
            <w:vAlign w:val="center"/>
            <w:hideMark/>
          </w:tcPr>
          <w:p w14:paraId="0D8369E0" w14:textId="77777777" w:rsidR="00000000" w:rsidRDefault="00C1661D">
            <w:pPr>
              <w:spacing w:after="100"/>
              <w:rPr>
                <w:rFonts w:eastAsia="Times New Roman"/>
                <w:sz w:val="20"/>
                <w:szCs w:val="20"/>
              </w:rPr>
            </w:pPr>
          </w:p>
        </w:tc>
        <w:tc>
          <w:tcPr>
            <w:tcW w:w="5" w:type="pct"/>
            <w:vAlign w:val="center"/>
            <w:hideMark/>
          </w:tcPr>
          <w:p w14:paraId="058166DC" w14:textId="77777777" w:rsidR="00000000" w:rsidRDefault="00C1661D">
            <w:pPr>
              <w:spacing w:after="100"/>
              <w:rPr>
                <w:rFonts w:eastAsia="Times New Roman"/>
                <w:sz w:val="20"/>
                <w:szCs w:val="20"/>
              </w:rPr>
            </w:pPr>
          </w:p>
        </w:tc>
        <w:tc>
          <w:tcPr>
            <w:tcW w:w="50" w:type="pct"/>
            <w:vAlign w:val="center"/>
            <w:hideMark/>
          </w:tcPr>
          <w:p w14:paraId="5053A70A" w14:textId="77777777" w:rsidR="00000000" w:rsidRDefault="00C1661D">
            <w:pPr>
              <w:spacing w:after="100"/>
              <w:rPr>
                <w:rFonts w:eastAsia="Times New Roman"/>
                <w:sz w:val="20"/>
                <w:szCs w:val="20"/>
              </w:rPr>
            </w:pPr>
          </w:p>
        </w:tc>
        <w:tc>
          <w:tcPr>
            <w:tcW w:w="380" w:type="pct"/>
            <w:vAlign w:val="center"/>
            <w:hideMark/>
          </w:tcPr>
          <w:p w14:paraId="343C0F6A" w14:textId="77777777" w:rsidR="00000000" w:rsidRDefault="00C1661D">
            <w:pPr>
              <w:spacing w:after="100"/>
              <w:rPr>
                <w:rFonts w:eastAsia="Times New Roman"/>
                <w:sz w:val="20"/>
                <w:szCs w:val="20"/>
              </w:rPr>
            </w:pPr>
          </w:p>
        </w:tc>
        <w:tc>
          <w:tcPr>
            <w:tcW w:w="5" w:type="pct"/>
            <w:vAlign w:val="center"/>
            <w:hideMark/>
          </w:tcPr>
          <w:p w14:paraId="7F2814BE" w14:textId="77777777" w:rsidR="00000000" w:rsidRDefault="00C1661D">
            <w:pPr>
              <w:spacing w:after="100"/>
              <w:rPr>
                <w:rFonts w:eastAsia="Times New Roman"/>
                <w:sz w:val="20"/>
                <w:szCs w:val="20"/>
              </w:rPr>
            </w:pPr>
          </w:p>
        </w:tc>
        <w:tc>
          <w:tcPr>
            <w:tcW w:w="5" w:type="pct"/>
            <w:vAlign w:val="center"/>
            <w:hideMark/>
          </w:tcPr>
          <w:p w14:paraId="3FB0C8EA" w14:textId="77777777" w:rsidR="00000000" w:rsidRDefault="00C1661D">
            <w:pPr>
              <w:spacing w:after="100"/>
              <w:rPr>
                <w:rFonts w:eastAsia="Times New Roman"/>
                <w:sz w:val="20"/>
                <w:szCs w:val="20"/>
              </w:rPr>
            </w:pPr>
          </w:p>
        </w:tc>
        <w:tc>
          <w:tcPr>
            <w:tcW w:w="26" w:type="pct"/>
            <w:vAlign w:val="center"/>
            <w:hideMark/>
          </w:tcPr>
          <w:p w14:paraId="7C1897A4" w14:textId="77777777" w:rsidR="00000000" w:rsidRDefault="00C1661D">
            <w:pPr>
              <w:spacing w:after="100"/>
              <w:rPr>
                <w:rFonts w:eastAsia="Times New Roman"/>
                <w:sz w:val="20"/>
                <w:szCs w:val="20"/>
              </w:rPr>
            </w:pPr>
          </w:p>
        </w:tc>
        <w:tc>
          <w:tcPr>
            <w:tcW w:w="5" w:type="pct"/>
            <w:vAlign w:val="center"/>
            <w:hideMark/>
          </w:tcPr>
          <w:p w14:paraId="567E583A" w14:textId="77777777" w:rsidR="00000000" w:rsidRDefault="00C1661D">
            <w:pPr>
              <w:spacing w:after="100"/>
              <w:rPr>
                <w:rFonts w:eastAsia="Times New Roman"/>
                <w:sz w:val="20"/>
                <w:szCs w:val="20"/>
              </w:rPr>
            </w:pPr>
          </w:p>
        </w:tc>
        <w:tc>
          <w:tcPr>
            <w:tcW w:w="50" w:type="pct"/>
            <w:vAlign w:val="center"/>
            <w:hideMark/>
          </w:tcPr>
          <w:p w14:paraId="480B8768" w14:textId="77777777" w:rsidR="00000000" w:rsidRDefault="00C1661D">
            <w:pPr>
              <w:spacing w:after="100"/>
              <w:rPr>
                <w:rFonts w:eastAsia="Times New Roman"/>
                <w:sz w:val="20"/>
                <w:szCs w:val="20"/>
              </w:rPr>
            </w:pPr>
          </w:p>
        </w:tc>
        <w:tc>
          <w:tcPr>
            <w:tcW w:w="387" w:type="pct"/>
            <w:vAlign w:val="center"/>
            <w:hideMark/>
          </w:tcPr>
          <w:p w14:paraId="7D566E8E" w14:textId="77777777" w:rsidR="00000000" w:rsidRDefault="00C1661D">
            <w:pPr>
              <w:spacing w:after="100"/>
              <w:rPr>
                <w:rFonts w:eastAsia="Times New Roman"/>
                <w:sz w:val="20"/>
                <w:szCs w:val="20"/>
              </w:rPr>
            </w:pPr>
          </w:p>
        </w:tc>
        <w:tc>
          <w:tcPr>
            <w:tcW w:w="5" w:type="pct"/>
            <w:vAlign w:val="center"/>
            <w:hideMark/>
          </w:tcPr>
          <w:p w14:paraId="77DC2C40" w14:textId="77777777" w:rsidR="00000000" w:rsidRDefault="00C1661D">
            <w:pPr>
              <w:spacing w:after="100"/>
              <w:rPr>
                <w:rFonts w:eastAsia="Times New Roman"/>
                <w:sz w:val="20"/>
                <w:szCs w:val="20"/>
              </w:rPr>
            </w:pPr>
          </w:p>
        </w:tc>
        <w:tc>
          <w:tcPr>
            <w:tcW w:w="5" w:type="pct"/>
            <w:vAlign w:val="center"/>
            <w:hideMark/>
          </w:tcPr>
          <w:p w14:paraId="549A9E64" w14:textId="77777777" w:rsidR="00000000" w:rsidRDefault="00C1661D">
            <w:pPr>
              <w:spacing w:after="100"/>
              <w:rPr>
                <w:rFonts w:eastAsia="Times New Roman"/>
                <w:sz w:val="20"/>
                <w:szCs w:val="20"/>
              </w:rPr>
            </w:pPr>
          </w:p>
        </w:tc>
        <w:tc>
          <w:tcPr>
            <w:tcW w:w="26" w:type="pct"/>
            <w:vAlign w:val="center"/>
            <w:hideMark/>
          </w:tcPr>
          <w:p w14:paraId="4ABB4801" w14:textId="77777777" w:rsidR="00000000" w:rsidRDefault="00C1661D">
            <w:pPr>
              <w:spacing w:after="100"/>
              <w:rPr>
                <w:rFonts w:eastAsia="Times New Roman"/>
                <w:sz w:val="20"/>
                <w:szCs w:val="20"/>
              </w:rPr>
            </w:pPr>
          </w:p>
        </w:tc>
        <w:tc>
          <w:tcPr>
            <w:tcW w:w="5" w:type="pct"/>
            <w:vAlign w:val="center"/>
            <w:hideMark/>
          </w:tcPr>
          <w:p w14:paraId="0DC63ADD" w14:textId="77777777" w:rsidR="00000000" w:rsidRDefault="00C1661D">
            <w:pPr>
              <w:spacing w:after="100"/>
              <w:rPr>
                <w:rFonts w:eastAsia="Times New Roman"/>
                <w:sz w:val="20"/>
                <w:szCs w:val="20"/>
              </w:rPr>
            </w:pPr>
          </w:p>
        </w:tc>
        <w:tc>
          <w:tcPr>
            <w:tcW w:w="50" w:type="pct"/>
            <w:vAlign w:val="center"/>
            <w:hideMark/>
          </w:tcPr>
          <w:p w14:paraId="08CCE45D" w14:textId="77777777" w:rsidR="00000000" w:rsidRDefault="00C1661D">
            <w:pPr>
              <w:spacing w:after="100"/>
              <w:rPr>
                <w:rFonts w:eastAsia="Times New Roman"/>
                <w:sz w:val="20"/>
                <w:szCs w:val="20"/>
              </w:rPr>
            </w:pPr>
          </w:p>
        </w:tc>
        <w:tc>
          <w:tcPr>
            <w:tcW w:w="387" w:type="pct"/>
            <w:vAlign w:val="center"/>
            <w:hideMark/>
          </w:tcPr>
          <w:p w14:paraId="3761807A" w14:textId="77777777" w:rsidR="00000000" w:rsidRDefault="00C1661D">
            <w:pPr>
              <w:spacing w:after="100"/>
              <w:rPr>
                <w:rFonts w:eastAsia="Times New Roman"/>
                <w:sz w:val="20"/>
                <w:szCs w:val="20"/>
              </w:rPr>
            </w:pPr>
          </w:p>
        </w:tc>
        <w:tc>
          <w:tcPr>
            <w:tcW w:w="5" w:type="pct"/>
            <w:vAlign w:val="center"/>
            <w:hideMark/>
          </w:tcPr>
          <w:p w14:paraId="328AA71B" w14:textId="77777777" w:rsidR="00000000" w:rsidRDefault="00C1661D">
            <w:pPr>
              <w:spacing w:after="100"/>
              <w:rPr>
                <w:rFonts w:eastAsia="Times New Roman"/>
                <w:sz w:val="20"/>
                <w:szCs w:val="20"/>
              </w:rPr>
            </w:pPr>
          </w:p>
        </w:tc>
        <w:tc>
          <w:tcPr>
            <w:tcW w:w="5" w:type="pct"/>
            <w:vAlign w:val="center"/>
            <w:hideMark/>
          </w:tcPr>
          <w:p w14:paraId="0C398809" w14:textId="77777777" w:rsidR="00000000" w:rsidRDefault="00C1661D">
            <w:pPr>
              <w:spacing w:after="100"/>
              <w:rPr>
                <w:rFonts w:eastAsia="Times New Roman"/>
                <w:sz w:val="20"/>
                <w:szCs w:val="20"/>
              </w:rPr>
            </w:pPr>
          </w:p>
        </w:tc>
        <w:tc>
          <w:tcPr>
            <w:tcW w:w="26" w:type="pct"/>
            <w:vAlign w:val="center"/>
            <w:hideMark/>
          </w:tcPr>
          <w:p w14:paraId="162470DA" w14:textId="77777777" w:rsidR="00000000" w:rsidRDefault="00C1661D">
            <w:pPr>
              <w:spacing w:after="100"/>
              <w:rPr>
                <w:rFonts w:eastAsia="Times New Roman"/>
                <w:sz w:val="20"/>
                <w:szCs w:val="20"/>
              </w:rPr>
            </w:pPr>
          </w:p>
        </w:tc>
        <w:tc>
          <w:tcPr>
            <w:tcW w:w="5" w:type="pct"/>
            <w:vAlign w:val="center"/>
            <w:hideMark/>
          </w:tcPr>
          <w:p w14:paraId="0F0A1BC9" w14:textId="77777777" w:rsidR="00000000" w:rsidRDefault="00C1661D">
            <w:pPr>
              <w:spacing w:after="100"/>
              <w:rPr>
                <w:rFonts w:eastAsia="Times New Roman"/>
                <w:sz w:val="20"/>
                <w:szCs w:val="20"/>
              </w:rPr>
            </w:pPr>
          </w:p>
        </w:tc>
        <w:tc>
          <w:tcPr>
            <w:tcW w:w="50" w:type="pct"/>
            <w:vAlign w:val="center"/>
            <w:hideMark/>
          </w:tcPr>
          <w:p w14:paraId="11D8B787" w14:textId="77777777" w:rsidR="00000000" w:rsidRDefault="00C1661D">
            <w:pPr>
              <w:spacing w:after="100"/>
              <w:rPr>
                <w:rFonts w:eastAsia="Times New Roman"/>
                <w:sz w:val="20"/>
                <w:szCs w:val="20"/>
              </w:rPr>
            </w:pPr>
          </w:p>
        </w:tc>
        <w:tc>
          <w:tcPr>
            <w:tcW w:w="350" w:type="pct"/>
            <w:vAlign w:val="center"/>
            <w:hideMark/>
          </w:tcPr>
          <w:p w14:paraId="420570C9" w14:textId="77777777" w:rsidR="00000000" w:rsidRDefault="00C1661D">
            <w:pPr>
              <w:spacing w:after="100"/>
              <w:rPr>
                <w:rFonts w:eastAsia="Times New Roman"/>
                <w:sz w:val="20"/>
                <w:szCs w:val="20"/>
              </w:rPr>
            </w:pPr>
          </w:p>
        </w:tc>
        <w:tc>
          <w:tcPr>
            <w:tcW w:w="5" w:type="pct"/>
            <w:vAlign w:val="center"/>
            <w:hideMark/>
          </w:tcPr>
          <w:p w14:paraId="65C4B871" w14:textId="77777777" w:rsidR="00000000" w:rsidRDefault="00C1661D">
            <w:pPr>
              <w:spacing w:after="100"/>
              <w:rPr>
                <w:rFonts w:eastAsia="Times New Roman"/>
                <w:sz w:val="20"/>
                <w:szCs w:val="20"/>
              </w:rPr>
            </w:pPr>
          </w:p>
        </w:tc>
        <w:tc>
          <w:tcPr>
            <w:tcW w:w="5" w:type="pct"/>
            <w:vAlign w:val="center"/>
            <w:hideMark/>
          </w:tcPr>
          <w:p w14:paraId="46E4B6B2" w14:textId="77777777" w:rsidR="00000000" w:rsidRDefault="00C1661D">
            <w:pPr>
              <w:spacing w:after="100"/>
              <w:rPr>
                <w:rFonts w:eastAsia="Times New Roman"/>
                <w:sz w:val="20"/>
                <w:szCs w:val="20"/>
              </w:rPr>
            </w:pPr>
          </w:p>
        </w:tc>
        <w:tc>
          <w:tcPr>
            <w:tcW w:w="26" w:type="pct"/>
            <w:vAlign w:val="center"/>
            <w:hideMark/>
          </w:tcPr>
          <w:p w14:paraId="4F4196DE" w14:textId="77777777" w:rsidR="00000000" w:rsidRDefault="00C1661D">
            <w:pPr>
              <w:spacing w:after="100"/>
              <w:rPr>
                <w:rFonts w:eastAsia="Times New Roman"/>
                <w:sz w:val="20"/>
                <w:szCs w:val="20"/>
              </w:rPr>
            </w:pPr>
          </w:p>
        </w:tc>
        <w:tc>
          <w:tcPr>
            <w:tcW w:w="5" w:type="pct"/>
            <w:vAlign w:val="center"/>
            <w:hideMark/>
          </w:tcPr>
          <w:p w14:paraId="22459213" w14:textId="77777777" w:rsidR="00000000" w:rsidRDefault="00C1661D">
            <w:pPr>
              <w:spacing w:after="100"/>
              <w:rPr>
                <w:rFonts w:eastAsia="Times New Roman"/>
                <w:sz w:val="20"/>
                <w:szCs w:val="20"/>
              </w:rPr>
            </w:pPr>
          </w:p>
        </w:tc>
        <w:tc>
          <w:tcPr>
            <w:tcW w:w="50" w:type="pct"/>
            <w:vAlign w:val="center"/>
            <w:hideMark/>
          </w:tcPr>
          <w:p w14:paraId="6201AB0E" w14:textId="77777777" w:rsidR="00000000" w:rsidRDefault="00C1661D">
            <w:pPr>
              <w:spacing w:after="100"/>
              <w:rPr>
                <w:rFonts w:eastAsia="Times New Roman"/>
                <w:sz w:val="20"/>
                <w:szCs w:val="20"/>
              </w:rPr>
            </w:pPr>
          </w:p>
        </w:tc>
        <w:tc>
          <w:tcPr>
            <w:tcW w:w="357" w:type="pct"/>
            <w:vAlign w:val="center"/>
            <w:hideMark/>
          </w:tcPr>
          <w:p w14:paraId="750C3537" w14:textId="77777777" w:rsidR="00000000" w:rsidRDefault="00C1661D">
            <w:pPr>
              <w:spacing w:after="100"/>
              <w:rPr>
                <w:rFonts w:eastAsia="Times New Roman"/>
                <w:sz w:val="20"/>
                <w:szCs w:val="20"/>
              </w:rPr>
            </w:pPr>
          </w:p>
        </w:tc>
        <w:tc>
          <w:tcPr>
            <w:tcW w:w="5" w:type="pct"/>
            <w:vAlign w:val="center"/>
            <w:hideMark/>
          </w:tcPr>
          <w:p w14:paraId="706265DB" w14:textId="77777777" w:rsidR="00000000" w:rsidRDefault="00C1661D">
            <w:pPr>
              <w:spacing w:after="100"/>
              <w:rPr>
                <w:rFonts w:eastAsia="Times New Roman"/>
                <w:sz w:val="20"/>
                <w:szCs w:val="20"/>
              </w:rPr>
            </w:pPr>
          </w:p>
        </w:tc>
        <w:tc>
          <w:tcPr>
            <w:tcW w:w="5" w:type="pct"/>
            <w:vAlign w:val="center"/>
            <w:hideMark/>
          </w:tcPr>
          <w:p w14:paraId="09EA6B89" w14:textId="77777777" w:rsidR="00000000" w:rsidRDefault="00C1661D">
            <w:pPr>
              <w:spacing w:after="100"/>
              <w:rPr>
                <w:rFonts w:eastAsia="Times New Roman"/>
                <w:sz w:val="20"/>
                <w:szCs w:val="20"/>
              </w:rPr>
            </w:pPr>
          </w:p>
        </w:tc>
        <w:tc>
          <w:tcPr>
            <w:tcW w:w="26" w:type="pct"/>
            <w:vAlign w:val="center"/>
            <w:hideMark/>
          </w:tcPr>
          <w:p w14:paraId="012C2CAF" w14:textId="77777777" w:rsidR="00000000" w:rsidRDefault="00C1661D">
            <w:pPr>
              <w:spacing w:after="100"/>
              <w:rPr>
                <w:rFonts w:eastAsia="Times New Roman"/>
                <w:sz w:val="20"/>
                <w:szCs w:val="20"/>
              </w:rPr>
            </w:pPr>
          </w:p>
        </w:tc>
        <w:tc>
          <w:tcPr>
            <w:tcW w:w="5" w:type="pct"/>
            <w:vAlign w:val="center"/>
            <w:hideMark/>
          </w:tcPr>
          <w:p w14:paraId="16BAD4BF" w14:textId="77777777" w:rsidR="00000000" w:rsidRDefault="00C1661D">
            <w:pPr>
              <w:spacing w:after="100"/>
              <w:rPr>
                <w:rFonts w:eastAsia="Times New Roman"/>
                <w:sz w:val="20"/>
                <w:szCs w:val="20"/>
              </w:rPr>
            </w:pPr>
          </w:p>
        </w:tc>
        <w:tc>
          <w:tcPr>
            <w:tcW w:w="50" w:type="pct"/>
            <w:vAlign w:val="center"/>
            <w:hideMark/>
          </w:tcPr>
          <w:p w14:paraId="18806C72" w14:textId="77777777" w:rsidR="00000000" w:rsidRDefault="00C1661D">
            <w:pPr>
              <w:spacing w:after="100"/>
              <w:rPr>
                <w:rFonts w:eastAsia="Times New Roman"/>
                <w:sz w:val="20"/>
                <w:szCs w:val="20"/>
              </w:rPr>
            </w:pPr>
          </w:p>
        </w:tc>
        <w:tc>
          <w:tcPr>
            <w:tcW w:w="387" w:type="pct"/>
            <w:vAlign w:val="center"/>
            <w:hideMark/>
          </w:tcPr>
          <w:p w14:paraId="11CD1437" w14:textId="77777777" w:rsidR="00000000" w:rsidRDefault="00C1661D">
            <w:pPr>
              <w:spacing w:after="100"/>
              <w:rPr>
                <w:rFonts w:eastAsia="Times New Roman"/>
                <w:sz w:val="20"/>
                <w:szCs w:val="20"/>
              </w:rPr>
            </w:pPr>
          </w:p>
        </w:tc>
        <w:tc>
          <w:tcPr>
            <w:tcW w:w="5" w:type="pct"/>
            <w:vAlign w:val="center"/>
            <w:hideMark/>
          </w:tcPr>
          <w:p w14:paraId="038D460F" w14:textId="77777777" w:rsidR="00000000" w:rsidRDefault="00C1661D">
            <w:pPr>
              <w:spacing w:after="100"/>
              <w:rPr>
                <w:rFonts w:eastAsia="Times New Roman"/>
                <w:sz w:val="20"/>
                <w:szCs w:val="20"/>
              </w:rPr>
            </w:pPr>
          </w:p>
        </w:tc>
      </w:tr>
      <w:tr w:rsidR="00000000" w14:paraId="150122A8" w14:textId="77777777">
        <w:trPr>
          <w:jc w:val="center"/>
        </w:trPr>
        <w:tc>
          <w:tcPr>
            <w:tcW w:w="0" w:type="auto"/>
            <w:gridSpan w:val="3"/>
            <w:tcMar>
              <w:top w:w="0" w:type="dxa"/>
              <w:left w:w="20" w:type="dxa"/>
              <w:bottom w:w="0" w:type="dxa"/>
              <w:right w:w="20" w:type="dxa"/>
            </w:tcMar>
            <w:vAlign w:val="center"/>
            <w:hideMark/>
          </w:tcPr>
          <w:p w14:paraId="75628584"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FA913D5" w14:textId="77777777" w:rsidR="00000000" w:rsidRDefault="00C1661D">
            <w:pPr>
              <w:spacing w:after="100"/>
              <w:jc w:val="center"/>
              <w:rPr>
                <w:rFonts w:eastAsia="Times New Roman"/>
              </w:rPr>
            </w:pPr>
            <w:r>
              <w:rPr>
                <w:rFonts w:eastAsia="Times New Roman"/>
                <w:color w:val="000000"/>
                <w:sz w:val="18"/>
                <w:szCs w:val="18"/>
              </w:rPr>
              <w:t>2023</w:t>
            </w:r>
          </w:p>
        </w:tc>
        <w:tc>
          <w:tcPr>
            <w:tcW w:w="0" w:type="auto"/>
            <w:gridSpan w:val="3"/>
            <w:tcMar>
              <w:top w:w="0" w:type="dxa"/>
              <w:left w:w="20" w:type="dxa"/>
              <w:bottom w:w="0" w:type="dxa"/>
              <w:right w:w="20" w:type="dxa"/>
            </w:tcMar>
            <w:vAlign w:val="center"/>
            <w:hideMark/>
          </w:tcPr>
          <w:p w14:paraId="746ACE62"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07C770B" w14:textId="77777777" w:rsidR="00000000" w:rsidRDefault="00C1661D">
            <w:pPr>
              <w:spacing w:after="100"/>
              <w:jc w:val="center"/>
              <w:rPr>
                <w:rFonts w:eastAsia="Times New Roman"/>
              </w:rPr>
            </w:pPr>
            <w:r>
              <w:rPr>
                <w:rFonts w:eastAsia="Times New Roman"/>
                <w:color w:val="000000"/>
                <w:sz w:val="18"/>
                <w:szCs w:val="18"/>
              </w:rPr>
              <w:t>2024</w:t>
            </w:r>
          </w:p>
        </w:tc>
        <w:tc>
          <w:tcPr>
            <w:tcW w:w="0" w:type="auto"/>
            <w:gridSpan w:val="3"/>
            <w:tcMar>
              <w:top w:w="0" w:type="dxa"/>
              <w:left w:w="20" w:type="dxa"/>
              <w:bottom w:w="0" w:type="dxa"/>
              <w:right w:w="20" w:type="dxa"/>
            </w:tcMar>
            <w:vAlign w:val="center"/>
            <w:hideMark/>
          </w:tcPr>
          <w:p w14:paraId="01EFBB24"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4EAF4E5" w14:textId="77777777" w:rsidR="00000000" w:rsidRDefault="00C1661D">
            <w:pPr>
              <w:spacing w:after="100"/>
              <w:jc w:val="center"/>
              <w:rPr>
                <w:rFonts w:eastAsia="Times New Roman"/>
              </w:rPr>
            </w:pPr>
            <w:r>
              <w:rPr>
                <w:rFonts w:eastAsia="Times New Roman"/>
                <w:color w:val="000000"/>
                <w:sz w:val="18"/>
                <w:szCs w:val="18"/>
              </w:rPr>
              <w:t>2025</w:t>
            </w:r>
          </w:p>
        </w:tc>
        <w:tc>
          <w:tcPr>
            <w:tcW w:w="0" w:type="auto"/>
            <w:gridSpan w:val="3"/>
            <w:tcMar>
              <w:top w:w="0" w:type="dxa"/>
              <w:left w:w="20" w:type="dxa"/>
              <w:bottom w:w="0" w:type="dxa"/>
              <w:right w:w="20" w:type="dxa"/>
            </w:tcMar>
            <w:vAlign w:val="center"/>
            <w:hideMark/>
          </w:tcPr>
          <w:p w14:paraId="24C1E477"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D666998" w14:textId="77777777" w:rsidR="00000000" w:rsidRDefault="00C1661D">
            <w:pPr>
              <w:spacing w:after="100"/>
              <w:jc w:val="center"/>
              <w:rPr>
                <w:rFonts w:eastAsia="Times New Roman"/>
              </w:rPr>
            </w:pPr>
            <w:r>
              <w:rPr>
                <w:rFonts w:eastAsia="Times New Roman"/>
                <w:color w:val="000000"/>
                <w:sz w:val="18"/>
                <w:szCs w:val="18"/>
              </w:rPr>
              <w:t>2026</w:t>
            </w:r>
          </w:p>
        </w:tc>
        <w:tc>
          <w:tcPr>
            <w:tcW w:w="0" w:type="auto"/>
            <w:gridSpan w:val="3"/>
            <w:tcMar>
              <w:top w:w="0" w:type="dxa"/>
              <w:left w:w="20" w:type="dxa"/>
              <w:bottom w:w="0" w:type="dxa"/>
              <w:right w:w="20" w:type="dxa"/>
            </w:tcMar>
            <w:vAlign w:val="center"/>
            <w:hideMark/>
          </w:tcPr>
          <w:p w14:paraId="1CEDC72F"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8FF1D2E" w14:textId="77777777" w:rsidR="00000000" w:rsidRDefault="00C1661D">
            <w:pPr>
              <w:spacing w:after="100"/>
              <w:jc w:val="center"/>
              <w:rPr>
                <w:rFonts w:eastAsia="Times New Roman"/>
              </w:rPr>
            </w:pPr>
            <w:r>
              <w:rPr>
                <w:rFonts w:eastAsia="Times New Roman"/>
                <w:color w:val="000000"/>
                <w:sz w:val="18"/>
                <w:szCs w:val="18"/>
              </w:rPr>
              <w:t>2027</w:t>
            </w:r>
          </w:p>
        </w:tc>
        <w:tc>
          <w:tcPr>
            <w:tcW w:w="0" w:type="auto"/>
            <w:gridSpan w:val="3"/>
            <w:tcMar>
              <w:top w:w="0" w:type="dxa"/>
              <w:left w:w="20" w:type="dxa"/>
              <w:bottom w:w="0" w:type="dxa"/>
              <w:right w:w="20" w:type="dxa"/>
            </w:tcMar>
            <w:vAlign w:val="center"/>
            <w:hideMark/>
          </w:tcPr>
          <w:p w14:paraId="1E0F5603"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D6384EF" w14:textId="77777777" w:rsidR="00000000" w:rsidRDefault="00C1661D">
            <w:pPr>
              <w:spacing w:after="100"/>
              <w:jc w:val="center"/>
              <w:rPr>
                <w:rFonts w:eastAsia="Times New Roman"/>
              </w:rPr>
            </w:pPr>
            <w:r>
              <w:rPr>
                <w:rFonts w:eastAsia="Times New Roman"/>
                <w:color w:val="000000"/>
                <w:sz w:val="18"/>
                <w:szCs w:val="18"/>
              </w:rPr>
              <w:t xml:space="preserve"> After 2027 </w:t>
            </w:r>
          </w:p>
        </w:tc>
        <w:tc>
          <w:tcPr>
            <w:tcW w:w="0" w:type="auto"/>
            <w:gridSpan w:val="3"/>
            <w:tcMar>
              <w:top w:w="0" w:type="dxa"/>
              <w:left w:w="20" w:type="dxa"/>
              <w:bottom w:w="0" w:type="dxa"/>
              <w:right w:w="20" w:type="dxa"/>
            </w:tcMar>
            <w:vAlign w:val="center"/>
            <w:hideMark/>
          </w:tcPr>
          <w:p w14:paraId="7DEFA87A"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E1F407C" w14:textId="77777777" w:rsidR="00000000" w:rsidRDefault="00C1661D">
            <w:pPr>
              <w:spacing w:after="100"/>
              <w:jc w:val="center"/>
              <w:rPr>
                <w:rFonts w:eastAsia="Times New Roman"/>
              </w:rPr>
            </w:pPr>
            <w:r>
              <w:rPr>
                <w:rFonts w:eastAsia="Times New Roman"/>
                <w:color w:val="000000"/>
                <w:sz w:val="18"/>
                <w:szCs w:val="18"/>
              </w:rPr>
              <w:t>Total Lease Payments</w:t>
            </w:r>
          </w:p>
        </w:tc>
        <w:tc>
          <w:tcPr>
            <w:tcW w:w="0" w:type="auto"/>
            <w:gridSpan w:val="3"/>
            <w:tcMar>
              <w:top w:w="0" w:type="dxa"/>
              <w:left w:w="20" w:type="dxa"/>
              <w:bottom w:w="0" w:type="dxa"/>
              <w:right w:w="20" w:type="dxa"/>
            </w:tcMar>
            <w:vAlign w:val="center"/>
            <w:hideMark/>
          </w:tcPr>
          <w:p w14:paraId="3FF9D21A"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DFE0F6D" w14:textId="77777777" w:rsidR="00000000" w:rsidRDefault="00C1661D">
            <w:pPr>
              <w:spacing w:after="100"/>
              <w:jc w:val="center"/>
              <w:rPr>
                <w:rFonts w:eastAsia="Times New Roman"/>
              </w:rPr>
            </w:pPr>
            <w:r>
              <w:rPr>
                <w:rFonts w:eastAsia="Times New Roman"/>
                <w:color w:val="000000"/>
                <w:sz w:val="18"/>
                <w:szCs w:val="18"/>
              </w:rPr>
              <w:t>Imputed Interest</w:t>
            </w:r>
          </w:p>
        </w:tc>
        <w:tc>
          <w:tcPr>
            <w:tcW w:w="0" w:type="auto"/>
            <w:gridSpan w:val="3"/>
            <w:tcMar>
              <w:top w:w="0" w:type="dxa"/>
              <w:left w:w="20" w:type="dxa"/>
              <w:bottom w:w="0" w:type="dxa"/>
              <w:right w:w="20" w:type="dxa"/>
            </w:tcMar>
            <w:vAlign w:val="center"/>
            <w:hideMark/>
          </w:tcPr>
          <w:p w14:paraId="46A2BC96"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C29A739" w14:textId="77777777" w:rsidR="00000000" w:rsidRDefault="00C1661D">
            <w:pPr>
              <w:spacing w:after="100"/>
              <w:jc w:val="center"/>
              <w:rPr>
                <w:rFonts w:eastAsia="Times New Roman"/>
              </w:rPr>
            </w:pPr>
            <w:r>
              <w:rPr>
                <w:rFonts w:eastAsia="Times New Roman"/>
                <w:color w:val="000000"/>
                <w:sz w:val="18"/>
                <w:szCs w:val="18"/>
              </w:rPr>
              <w:t>Lease Liabilities</w:t>
            </w:r>
          </w:p>
        </w:tc>
      </w:tr>
      <w:tr w:rsidR="00C1661D" w14:paraId="303EE84F" w14:textId="77777777">
        <w:trPr>
          <w:jc w:val="center"/>
        </w:trPr>
        <w:tc>
          <w:tcPr>
            <w:tcW w:w="0" w:type="auto"/>
            <w:gridSpan w:val="3"/>
            <w:shd w:val="clear" w:color="auto" w:fill="CCEEFF"/>
            <w:tcMar>
              <w:top w:w="30" w:type="dxa"/>
              <w:left w:w="20" w:type="dxa"/>
              <w:bottom w:w="30" w:type="dxa"/>
              <w:right w:w="20" w:type="dxa"/>
            </w:tcMar>
            <w:vAlign w:val="bottom"/>
            <w:hideMark/>
          </w:tcPr>
          <w:p w14:paraId="679B3EB3" w14:textId="77777777" w:rsidR="00000000" w:rsidRDefault="00C1661D">
            <w:pPr>
              <w:spacing w:after="100"/>
              <w:rPr>
                <w:rFonts w:eastAsia="Times New Roman"/>
              </w:rPr>
            </w:pPr>
            <w:r>
              <w:rPr>
                <w:rFonts w:eastAsia="Times New Roman"/>
                <w:color w:val="000000"/>
                <w:sz w:val="18"/>
                <w:szCs w:val="18"/>
              </w:rPr>
              <w:t>Operating leases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C157A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4CA0D3" w14:textId="77777777" w:rsidR="00000000" w:rsidRDefault="00C1661D">
            <w:pPr>
              <w:spacing w:after="100"/>
              <w:jc w:val="right"/>
              <w:rPr>
                <w:rFonts w:eastAsia="Times New Roman"/>
              </w:rPr>
            </w:pPr>
            <w:r>
              <w:rPr>
                <w:rFonts w:eastAsia="Times New Roman"/>
                <w:color w:val="000000"/>
                <w:sz w:val="20"/>
                <w:szCs w:val="20"/>
              </w:rPr>
              <w:t>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C27B7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87D7E"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C33A1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996797" w14:textId="77777777" w:rsidR="00000000" w:rsidRDefault="00C1661D">
            <w:pPr>
              <w:spacing w:after="100"/>
              <w:jc w:val="right"/>
              <w:rPr>
                <w:rFonts w:eastAsia="Times New Roman"/>
              </w:rPr>
            </w:pPr>
            <w:r>
              <w:rPr>
                <w:rFonts w:eastAsia="Times New Roman"/>
                <w:color w:val="000000"/>
                <w:sz w:val="20"/>
                <w:szCs w:val="20"/>
              </w:rPr>
              <w:t>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27EBC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C84DB"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D1D0C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4328A6" w14:textId="77777777" w:rsidR="00000000" w:rsidRDefault="00C1661D">
            <w:pPr>
              <w:spacing w:after="100"/>
              <w:jc w:val="right"/>
              <w:rPr>
                <w:rFonts w:eastAsia="Times New Roman"/>
              </w:rPr>
            </w:pPr>
            <w:r>
              <w:rPr>
                <w:rFonts w:eastAsia="Times New Roman"/>
                <w:color w:val="000000"/>
                <w:sz w:val="20"/>
                <w:szCs w:val="20"/>
              </w:rPr>
              <w:t>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7B57A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DE5226"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024349"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DC2C4C" w14:textId="77777777" w:rsidR="00000000" w:rsidRDefault="00C1661D">
            <w:pPr>
              <w:spacing w:after="100"/>
              <w:jc w:val="right"/>
              <w:rPr>
                <w:rFonts w:eastAsia="Times New Roman"/>
              </w:rPr>
            </w:pPr>
            <w:r>
              <w:rPr>
                <w:rFonts w:eastAsia="Times New Roman"/>
                <w:color w:val="000000"/>
                <w:sz w:val="20"/>
                <w:szCs w:val="20"/>
              </w:rPr>
              <w:t>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9C453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180E25"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E3800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B262AE" w14:textId="77777777" w:rsidR="00000000" w:rsidRDefault="00C1661D">
            <w:pPr>
              <w:spacing w:after="100"/>
              <w:jc w:val="right"/>
              <w:rPr>
                <w:rFonts w:eastAsia="Times New Roman"/>
              </w:rPr>
            </w:pPr>
            <w:r>
              <w:rPr>
                <w:rFonts w:eastAsia="Times New Roman"/>
                <w:color w:val="000000"/>
                <w:sz w:val="20"/>
                <w:szCs w:val="20"/>
              </w:rPr>
              <w:t>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808F8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0EA0C7"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3AECBA"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986DEB" w14:textId="77777777" w:rsidR="00000000" w:rsidRDefault="00C1661D">
            <w:pPr>
              <w:spacing w:after="100"/>
              <w:jc w:val="right"/>
              <w:rPr>
                <w:rFonts w:eastAsia="Times New Roman"/>
              </w:rPr>
            </w:pPr>
            <w:r>
              <w:rPr>
                <w:rFonts w:eastAsia="Times New Roman"/>
                <w:color w:val="000000"/>
                <w:sz w:val="20"/>
                <w:szCs w:val="20"/>
              </w:rPr>
              <w:t>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BD9BC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0CE440"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9D3A6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D54785" w14:textId="77777777" w:rsidR="00000000" w:rsidRDefault="00C1661D">
            <w:pPr>
              <w:spacing w:after="100"/>
              <w:jc w:val="right"/>
              <w:rPr>
                <w:rFonts w:eastAsia="Times New Roman"/>
              </w:rPr>
            </w:pPr>
            <w:r>
              <w:rPr>
                <w:rFonts w:eastAsia="Times New Roman"/>
                <w:color w:val="000000"/>
                <w:sz w:val="20"/>
                <w:szCs w:val="20"/>
              </w:rPr>
              <w:t>417 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25A09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8DC00F"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0DA9B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346FAD" w14:textId="77777777" w:rsidR="00000000" w:rsidRDefault="00C1661D">
            <w:pPr>
              <w:spacing w:after="100"/>
              <w:jc w:val="right"/>
              <w:rPr>
                <w:rFonts w:eastAsia="Times New Roman"/>
              </w:rPr>
            </w:pPr>
            <w:r>
              <w:rPr>
                <w:rFonts w:eastAsia="Times New Roman"/>
                <w:color w:val="000000"/>
                <w:sz w:val="20"/>
                <w:szCs w:val="20"/>
              </w:rPr>
              <w:t>(41)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AD216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E7594A"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5942C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6480EC" w14:textId="77777777" w:rsidR="00000000" w:rsidRDefault="00C1661D">
            <w:pPr>
              <w:spacing w:after="100"/>
              <w:jc w:val="right"/>
              <w:rPr>
                <w:rFonts w:eastAsia="Times New Roman"/>
              </w:rPr>
            </w:pPr>
            <w:r>
              <w:rPr>
                <w:rFonts w:eastAsia="Times New Roman"/>
                <w:color w:val="000000"/>
                <w:sz w:val="20"/>
                <w:szCs w:val="20"/>
              </w:rPr>
              <w:t>376 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B2BE64" w14:textId="77777777" w:rsidR="00000000" w:rsidRDefault="00C1661D">
            <w:pPr>
              <w:spacing w:after="100"/>
              <w:jc w:val="right"/>
              <w:rPr>
                <w:rFonts w:eastAsia="Times New Roman"/>
              </w:rPr>
            </w:pPr>
          </w:p>
        </w:tc>
      </w:tr>
      <w:tr w:rsidR="00000000" w14:paraId="69CEAACB" w14:textId="77777777">
        <w:trPr>
          <w:jc w:val="center"/>
        </w:trPr>
        <w:tc>
          <w:tcPr>
            <w:tcW w:w="0" w:type="auto"/>
            <w:gridSpan w:val="3"/>
            <w:tcMar>
              <w:top w:w="30" w:type="dxa"/>
              <w:left w:w="20" w:type="dxa"/>
              <w:bottom w:w="30" w:type="dxa"/>
              <w:right w:w="20" w:type="dxa"/>
            </w:tcMar>
            <w:vAlign w:val="bottom"/>
            <w:hideMark/>
          </w:tcPr>
          <w:p w14:paraId="7862DA57" w14:textId="77777777" w:rsidR="00000000" w:rsidRDefault="00C1661D">
            <w:pPr>
              <w:spacing w:after="100"/>
              <w:rPr>
                <w:rFonts w:eastAsia="Times New Roman"/>
              </w:rPr>
            </w:pPr>
            <w:r>
              <w:rPr>
                <w:rFonts w:eastAsia="Times New Roman"/>
                <w:color w:val="000000"/>
                <w:sz w:val="18"/>
                <w:szCs w:val="18"/>
              </w:rPr>
              <w:t>Finance leases</w:t>
            </w:r>
          </w:p>
        </w:tc>
        <w:tc>
          <w:tcPr>
            <w:tcW w:w="0" w:type="auto"/>
            <w:tcMar>
              <w:top w:w="30" w:type="dxa"/>
              <w:left w:w="20" w:type="dxa"/>
              <w:bottom w:w="30" w:type="dxa"/>
              <w:right w:w="0" w:type="dxa"/>
            </w:tcMar>
            <w:vAlign w:val="bottom"/>
            <w:hideMark/>
          </w:tcPr>
          <w:p w14:paraId="035F2BED" w14:textId="77777777" w:rsidR="00000000" w:rsidRDefault="00C1661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524E15C" w14:textId="77777777" w:rsidR="00000000" w:rsidRDefault="00C1661D">
            <w:pPr>
              <w:spacing w:after="100"/>
              <w:jc w:val="right"/>
              <w:rPr>
                <w:rFonts w:eastAsia="Times New Roman"/>
              </w:rPr>
            </w:pPr>
            <w:r>
              <w:rPr>
                <w:rFonts w:eastAsia="Times New Roman"/>
                <w:color w:val="000000"/>
                <w:sz w:val="20"/>
                <w:szCs w:val="20"/>
              </w:rPr>
              <w:t>4 </w:t>
            </w:r>
          </w:p>
        </w:tc>
        <w:tc>
          <w:tcPr>
            <w:tcW w:w="0" w:type="auto"/>
            <w:tcMar>
              <w:top w:w="30" w:type="dxa"/>
              <w:left w:w="0" w:type="dxa"/>
              <w:bottom w:w="30" w:type="dxa"/>
              <w:right w:w="20" w:type="dxa"/>
            </w:tcMar>
            <w:vAlign w:val="bottom"/>
            <w:hideMark/>
          </w:tcPr>
          <w:p w14:paraId="22E68474"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0741DB4" w14:textId="77777777" w:rsidR="00000000" w:rsidRDefault="00C1661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1A4216A" w14:textId="77777777" w:rsidR="00000000" w:rsidRDefault="00C1661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0A29AA1" w14:textId="77777777" w:rsidR="00000000" w:rsidRDefault="00C1661D">
            <w:pPr>
              <w:spacing w:after="100"/>
              <w:jc w:val="right"/>
              <w:rPr>
                <w:rFonts w:eastAsia="Times New Roman"/>
              </w:rPr>
            </w:pPr>
            <w:r>
              <w:rPr>
                <w:rFonts w:eastAsia="Times New Roman"/>
                <w:color w:val="000000"/>
                <w:sz w:val="20"/>
                <w:szCs w:val="20"/>
              </w:rPr>
              <w:t>4 </w:t>
            </w:r>
          </w:p>
        </w:tc>
        <w:tc>
          <w:tcPr>
            <w:tcW w:w="0" w:type="auto"/>
            <w:tcMar>
              <w:top w:w="30" w:type="dxa"/>
              <w:left w:w="0" w:type="dxa"/>
              <w:bottom w:w="30" w:type="dxa"/>
              <w:right w:w="20" w:type="dxa"/>
            </w:tcMar>
            <w:vAlign w:val="bottom"/>
            <w:hideMark/>
          </w:tcPr>
          <w:p w14:paraId="4912DD87"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3C956B9" w14:textId="77777777" w:rsidR="00000000" w:rsidRDefault="00C1661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E10F517" w14:textId="77777777" w:rsidR="00000000" w:rsidRDefault="00C1661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B972CD3" w14:textId="77777777" w:rsidR="00000000" w:rsidRDefault="00C1661D">
            <w:pPr>
              <w:spacing w:after="100"/>
              <w:jc w:val="right"/>
              <w:rPr>
                <w:rFonts w:eastAsia="Times New Roman"/>
              </w:rPr>
            </w:pPr>
            <w:r>
              <w:rPr>
                <w:rFonts w:eastAsia="Times New Roman"/>
                <w:color w:val="000000"/>
                <w:sz w:val="20"/>
                <w:szCs w:val="20"/>
              </w:rPr>
              <w:t>4 </w:t>
            </w:r>
          </w:p>
        </w:tc>
        <w:tc>
          <w:tcPr>
            <w:tcW w:w="0" w:type="auto"/>
            <w:tcMar>
              <w:top w:w="30" w:type="dxa"/>
              <w:left w:w="0" w:type="dxa"/>
              <w:bottom w:w="30" w:type="dxa"/>
              <w:right w:w="20" w:type="dxa"/>
            </w:tcMar>
            <w:vAlign w:val="bottom"/>
            <w:hideMark/>
          </w:tcPr>
          <w:p w14:paraId="319F80B5"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F19625D" w14:textId="77777777" w:rsidR="00000000" w:rsidRDefault="00C1661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BDF75FC" w14:textId="77777777" w:rsidR="00000000" w:rsidRDefault="00C1661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6BE031C" w14:textId="77777777" w:rsidR="00000000" w:rsidRDefault="00C1661D">
            <w:pPr>
              <w:spacing w:after="100"/>
              <w:jc w:val="right"/>
              <w:rPr>
                <w:rFonts w:eastAsia="Times New Roman"/>
              </w:rPr>
            </w:pPr>
            <w:r>
              <w:rPr>
                <w:rFonts w:eastAsia="Times New Roman"/>
                <w:color w:val="000000"/>
                <w:sz w:val="20"/>
                <w:szCs w:val="20"/>
              </w:rPr>
              <w:t>4 </w:t>
            </w:r>
          </w:p>
        </w:tc>
        <w:tc>
          <w:tcPr>
            <w:tcW w:w="0" w:type="auto"/>
            <w:tcMar>
              <w:top w:w="30" w:type="dxa"/>
              <w:left w:w="0" w:type="dxa"/>
              <w:bottom w:w="30" w:type="dxa"/>
              <w:right w:w="20" w:type="dxa"/>
            </w:tcMar>
            <w:vAlign w:val="bottom"/>
            <w:hideMark/>
          </w:tcPr>
          <w:p w14:paraId="228A3CB7"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C47EF68" w14:textId="77777777" w:rsidR="00000000" w:rsidRDefault="00C1661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EB821BA" w14:textId="77777777" w:rsidR="00000000" w:rsidRDefault="00C1661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8F2B835" w14:textId="77777777" w:rsidR="00000000" w:rsidRDefault="00C1661D">
            <w:pPr>
              <w:spacing w:after="100"/>
              <w:jc w:val="right"/>
              <w:rPr>
                <w:rFonts w:eastAsia="Times New Roman"/>
              </w:rPr>
            </w:pPr>
            <w:r>
              <w:rPr>
                <w:rFonts w:eastAsia="Times New Roman"/>
                <w:color w:val="000000"/>
                <w:sz w:val="20"/>
                <w:szCs w:val="20"/>
              </w:rPr>
              <w:t>3 </w:t>
            </w:r>
          </w:p>
        </w:tc>
        <w:tc>
          <w:tcPr>
            <w:tcW w:w="0" w:type="auto"/>
            <w:tcMar>
              <w:top w:w="30" w:type="dxa"/>
              <w:left w:w="0" w:type="dxa"/>
              <w:bottom w:w="30" w:type="dxa"/>
              <w:right w:w="20" w:type="dxa"/>
            </w:tcMar>
            <w:vAlign w:val="bottom"/>
            <w:hideMark/>
          </w:tcPr>
          <w:p w14:paraId="7291A8B6"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90237B1" w14:textId="77777777" w:rsidR="00000000" w:rsidRDefault="00C1661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51F5898" w14:textId="77777777" w:rsidR="00000000" w:rsidRDefault="00C1661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E968A25" w14:textId="77777777" w:rsidR="00000000" w:rsidRDefault="00C1661D">
            <w:pPr>
              <w:spacing w:after="100"/>
              <w:jc w:val="right"/>
              <w:rPr>
                <w:rFonts w:eastAsia="Times New Roman"/>
              </w:rPr>
            </w:pPr>
            <w:r>
              <w:rPr>
                <w:rFonts w:eastAsia="Times New Roman"/>
                <w:color w:val="000000"/>
                <w:sz w:val="20"/>
                <w:szCs w:val="20"/>
              </w:rPr>
              <w:t>77 </w:t>
            </w:r>
          </w:p>
        </w:tc>
        <w:tc>
          <w:tcPr>
            <w:tcW w:w="0" w:type="auto"/>
            <w:tcMar>
              <w:top w:w="30" w:type="dxa"/>
              <w:left w:w="0" w:type="dxa"/>
              <w:bottom w:w="30" w:type="dxa"/>
              <w:right w:w="20" w:type="dxa"/>
            </w:tcMar>
            <w:vAlign w:val="bottom"/>
            <w:hideMark/>
          </w:tcPr>
          <w:p w14:paraId="503E9FDB"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D877C6A" w14:textId="77777777" w:rsidR="00000000" w:rsidRDefault="00C1661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1BC988B" w14:textId="77777777" w:rsidR="00000000" w:rsidRDefault="00C1661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B34E283" w14:textId="77777777" w:rsidR="00000000" w:rsidRDefault="00C1661D">
            <w:pPr>
              <w:spacing w:after="100"/>
              <w:jc w:val="right"/>
              <w:rPr>
                <w:rFonts w:eastAsia="Times New Roman"/>
              </w:rPr>
            </w:pPr>
            <w:r>
              <w:rPr>
                <w:rFonts w:eastAsia="Times New Roman"/>
                <w:color w:val="000000"/>
                <w:sz w:val="20"/>
                <w:szCs w:val="20"/>
              </w:rPr>
              <w:t>96 </w:t>
            </w:r>
          </w:p>
        </w:tc>
        <w:tc>
          <w:tcPr>
            <w:tcW w:w="0" w:type="auto"/>
            <w:tcMar>
              <w:top w:w="30" w:type="dxa"/>
              <w:left w:w="0" w:type="dxa"/>
              <w:bottom w:w="30" w:type="dxa"/>
              <w:right w:w="20" w:type="dxa"/>
            </w:tcMar>
            <w:vAlign w:val="bottom"/>
            <w:hideMark/>
          </w:tcPr>
          <w:p w14:paraId="16E2A983"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08DCBFA" w14:textId="77777777" w:rsidR="00000000" w:rsidRDefault="00C1661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AD6F0F1" w14:textId="77777777" w:rsidR="00000000" w:rsidRDefault="00C1661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2E60D18" w14:textId="77777777" w:rsidR="00000000" w:rsidRDefault="00C1661D">
            <w:pPr>
              <w:spacing w:after="100"/>
              <w:jc w:val="right"/>
              <w:rPr>
                <w:rFonts w:eastAsia="Times New Roman"/>
              </w:rPr>
            </w:pPr>
            <w:r>
              <w:rPr>
                <w:rFonts w:eastAsia="Times New Roman"/>
                <w:color w:val="000000"/>
                <w:sz w:val="20"/>
                <w:szCs w:val="20"/>
              </w:rPr>
              <w:t>(51)</w:t>
            </w:r>
          </w:p>
        </w:tc>
        <w:tc>
          <w:tcPr>
            <w:tcW w:w="0" w:type="auto"/>
            <w:tcMar>
              <w:top w:w="30" w:type="dxa"/>
              <w:left w:w="0" w:type="dxa"/>
              <w:bottom w:w="30" w:type="dxa"/>
              <w:right w:w="20" w:type="dxa"/>
            </w:tcMar>
            <w:vAlign w:val="bottom"/>
            <w:hideMark/>
          </w:tcPr>
          <w:p w14:paraId="1E910665" w14:textId="77777777" w:rsidR="00000000" w:rsidRDefault="00C1661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CAF1EC4" w14:textId="77777777" w:rsidR="00000000" w:rsidRDefault="00C1661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53C2962" w14:textId="77777777" w:rsidR="00000000" w:rsidRDefault="00C1661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00C68D3" w14:textId="77777777" w:rsidR="00000000" w:rsidRDefault="00C1661D">
            <w:pPr>
              <w:spacing w:after="100"/>
              <w:jc w:val="right"/>
              <w:rPr>
                <w:rFonts w:eastAsia="Times New Roman"/>
              </w:rPr>
            </w:pPr>
            <w:r>
              <w:rPr>
                <w:rFonts w:eastAsia="Times New Roman"/>
                <w:color w:val="000000"/>
                <w:sz w:val="20"/>
                <w:szCs w:val="20"/>
              </w:rPr>
              <w:t>45 </w:t>
            </w:r>
          </w:p>
        </w:tc>
        <w:tc>
          <w:tcPr>
            <w:tcW w:w="0" w:type="auto"/>
            <w:tcMar>
              <w:top w:w="30" w:type="dxa"/>
              <w:left w:w="0" w:type="dxa"/>
              <w:bottom w:w="30" w:type="dxa"/>
              <w:right w:w="20" w:type="dxa"/>
            </w:tcMar>
            <w:vAlign w:val="bottom"/>
            <w:hideMark/>
          </w:tcPr>
          <w:p w14:paraId="471E206C" w14:textId="77777777" w:rsidR="00000000" w:rsidRDefault="00C1661D">
            <w:pPr>
              <w:spacing w:after="100"/>
              <w:jc w:val="right"/>
              <w:rPr>
                <w:rFonts w:eastAsia="Times New Roman"/>
              </w:rPr>
            </w:pPr>
          </w:p>
        </w:tc>
      </w:tr>
    </w:tbl>
    <w:p w14:paraId="387B2C9A" w14:textId="77777777" w:rsidR="00000000" w:rsidRDefault="00C1661D">
      <w:pPr>
        <w:ind w:hanging="360"/>
        <w:divId w:val="1542353238"/>
        <w:rPr>
          <w:rFonts w:eastAsia="Times New Roman"/>
        </w:rPr>
      </w:pPr>
      <w:r>
        <w:rPr>
          <w:rFonts w:eastAsia="Times New Roman"/>
          <w:color w:val="000000"/>
          <w:sz w:val="20"/>
          <w:szCs w:val="20"/>
        </w:rPr>
        <w:t>Approximately 85% of the operating lease liabilities presented above relate to Amer</w:t>
      </w:r>
      <w:r>
        <w:rPr>
          <w:rFonts w:eastAsia="Times New Roman"/>
          <w:color w:val="000000"/>
          <w:sz w:val="20"/>
          <w:szCs w:val="20"/>
        </w:rPr>
        <w:t xml:space="preserve">iGas Propane. </w:t>
      </w:r>
    </w:p>
    <w:p w14:paraId="686AD746" w14:textId="77777777" w:rsidR="00000000" w:rsidRDefault="00C1661D">
      <w:pPr>
        <w:divId w:val="174342011"/>
        <w:rPr>
          <w:rFonts w:eastAsia="Times New Roman"/>
        </w:rPr>
      </w:pPr>
    </w:p>
    <w:p w14:paraId="65D195A2" w14:textId="77777777" w:rsidR="00000000" w:rsidRDefault="00C1661D">
      <w:pPr>
        <w:jc w:val="both"/>
        <w:rPr>
          <w:rFonts w:eastAsia="Times New Roman"/>
        </w:rPr>
      </w:pPr>
      <w:r>
        <w:rPr>
          <w:rFonts w:eastAsia="Times New Roman"/>
          <w:color w:val="000000"/>
          <w:sz w:val="20"/>
          <w:szCs w:val="20"/>
        </w:rPr>
        <w:t>At September 30, 2022, operating and finance leases that had not yet commenced were not material.</w:t>
      </w:r>
    </w:p>
    <w:p w14:paraId="346655B3" w14:textId="77777777" w:rsidR="00000000" w:rsidRDefault="00C1661D">
      <w:pPr>
        <w:jc w:val="both"/>
        <w:rPr>
          <w:rFonts w:eastAsia="Times New Roman"/>
        </w:rPr>
      </w:pPr>
    </w:p>
    <w:p w14:paraId="54F27271" w14:textId="77777777" w:rsidR="00000000" w:rsidRDefault="00C1661D">
      <w:pPr>
        <w:jc w:val="both"/>
        <w:rPr>
          <w:rFonts w:eastAsia="Times New Roman"/>
        </w:rPr>
      </w:pPr>
      <w:r>
        <w:rPr>
          <w:rFonts w:eastAsia="Times New Roman"/>
          <w:b/>
          <w:bCs/>
          <w:color w:val="000000"/>
          <w:sz w:val="20"/>
          <w:szCs w:val="20"/>
        </w:rPr>
        <w:t>Lessor</w:t>
      </w:r>
    </w:p>
    <w:p w14:paraId="741D3EA7" w14:textId="77777777" w:rsidR="00000000" w:rsidRDefault="00C1661D">
      <w:pPr>
        <w:jc w:val="both"/>
        <w:rPr>
          <w:rFonts w:eastAsia="Times New Roman"/>
        </w:rPr>
      </w:pPr>
    </w:p>
    <w:p w14:paraId="20F97233" w14:textId="77777777" w:rsidR="00000000" w:rsidRDefault="00C1661D">
      <w:pPr>
        <w:jc w:val="both"/>
        <w:rPr>
          <w:rFonts w:eastAsia="Times New Roman"/>
        </w:rPr>
      </w:pPr>
      <w:r>
        <w:rPr>
          <w:rFonts w:eastAsia="Times New Roman"/>
          <w:color w:val="000000"/>
          <w:sz w:val="20"/>
          <w:szCs w:val="20"/>
        </w:rPr>
        <w:t>We enter into lessor arrangements for the purposes of storing, gathering or distributing natural gas and LPG. AmeriGas Propane and UGI International have lessor arrangements that grant customers the right to use small, medium and large storage tanks, which</w:t>
      </w:r>
      <w:r>
        <w:rPr>
          <w:rFonts w:eastAsia="Times New Roman"/>
          <w:color w:val="000000"/>
          <w:sz w:val="20"/>
          <w:szCs w:val="20"/>
        </w:rPr>
        <w:t xml:space="preserve"> we classify as operating leases. These agreements contain renewal options for periods up to nine years and certain agreements at UGI International contain a purchase option. Energy Services leases certain natural gas gathering assets to customers, which w</w:t>
      </w:r>
      <w:r>
        <w:rPr>
          <w:rFonts w:eastAsia="Times New Roman"/>
          <w:color w:val="000000"/>
          <w:sz w:val="20"/>
          <w:szCs w:val="20"/>
        </w:rPr>
        <w:t xml:space="preserve">e classify as operating leases. Lease income is generally recognized on a straight-line basis over the lease term and included in “Revenues” on the Consolidated Statements of Income (see Note 4). </w:t>
      </w:r>
    </w:p>
    <w:p w14:paraId="1C9EC6CD" w14:textId="77777777" w:rsidR="00000000" w:rsidRDefault="00C1661D">
      <w:pPr>
        <w:jc w:val="both"/>
        <w:rPr>
          <w:rFonts w:eastAsia="Times New Roman"/>
        </w:rPr>
      </w:pPr>
    </w:p>
    <w:p w14:paraId="123D69C3" w14:textId="77777777" w:rsidR="00000000" w:rsidRDefault="00C1661D">
      <w:pPr>
        <w:jc w:val="both"/>
        <w:rPr>
          <w:rFonts w:eastAsia="Times New Roman"/>
        </w:rPr>
      </w:pPr>
      <w:r>
        <w:rPr>
          <w:rFonts w:eastAsia="Times New Roman"/>
          <w:b/>
          <w:bCs/>
          <w:color w:val="000000"/>
          <w:sz w:val="20"/>
          <w:szCs w:val="20"/>
          <w:u w:val="single"/>
        </w:rPr>
        <w:t xml:space="preserve">Note 17 — Commitments and Contingencies </w:t>
      </w:r>
    </w:p>
    <w:p w14:paraId="590F15A9" w14:textId="77777777" w:rsidR="00000000" w:rsidRDefault="00C1661D">
      <w:pPr>
        <w:jc w:val="both"/>
        <w:divId w:val="1691371828"/>
        <w:rPr>
          <w:rFonts w:eastAsia="Times New Roman"/>
        </w:rPr>
      </w:pPr>
      <w:r>
        <w:rPr>
          <w:rFonts w:eastAsia="Times New Roman"/>
          <w:b/>
          <w:bCs/>
          <w:i/>
          <w:iCs/>
          <w:color w:val="000000"/>
          <w:sz w:val="20"/>
          <w:szCs w:val="20"/>
        </w:rPr>
        <w:t>Environmental Ma</w:t>
      </w:r>
      <w:r>
        <w:rPr>
          <w:rFonts w:eastAsia="Times New Roman"/>
          <w:b/>
          <w:bCs/>
          <w:i/>
          <w:iCs/>
          <w:color w:val="000000"/>
          <w:sz w:val="20"/>
          <w:szCs w:val="20"/>
        </w:rPr>
        <w:t>tters</w:t>
      </w:r>
    </w:p>
    <w:p w14:paraId="32BEDA99" w14:textId="77777777" w:rsidR="00000000" w:rsidRDefault="00C1661D">
      <w:pPr>
        <w:divId w:val="1607690614"/>
        <w:rPr>
          <w:rFonts w:eastAsia="Times New Roman"/>
        </w:rPr>
      </w:pPr>
    </w:p>
    <w:p w14:paraId="5ED4F021" w14:textId="77777777" w:rsidR="00000000" w:rsidRDefault="00C1661D">
      <w:pPr>
        <w:divId w:val="2122677670"/>
        <w:rPr>
          <w:rFonts w:eastAsia="Times New Roman"/>
        </w:rPr>
      </w:pPr>
      <w:r>
        <w:rPr>
          <w:rFonts w:eastAsia="Times New Roman"/>
          <w:color w:val="000000"/>
          <w:sz w:val="20"/>
          <w:szCs w:val="20"/>
          <w:u w:val="single"/>
        </w:rPr>
        <w:t>UGI Utilities</w:t>
      </w:r>
    </w:p>
    <w:p w14:paraId="2A0D05F2" w14:textId="77777777" w:rsidR="00000000" w:rsidRDefault="00C1661D">
      <w:pPr>
        <w:divId w:val="1864049059"/>
        <w:rPr>
          <w:rFonts w:eastAsia="Times New Roman"/>
        </w:rPr>
      </w:pPr>
    </w:p>
    <w:p w14:paraId="50A9D43A" w14:textId="77777777" w:rsidR="00000000" w:rsidRDefault="00C1661D">
      <w:pPr>
        <w:jc w:val="both"/>
        <w:rPr>
          <w:rFonts w:eastAsia="Times New Roman"/>
        </w:rPr>
      </w:pPr>
      <w:r>
        <w:rPr>
          <w:rFonts w:eastAsia="Times New Roman"/>
          <w:color w:val="000000"/>
          <w:sz w:val="20"/>
          <w:szCs w:val="20"/>
        </w:rPr>
        <w:t>From the late 1800s through the mid-1900s, UGI Utilities and its former subsidiaries owned and operated a number of MGPs prior to the general availability of natural gas. Some constituents of coal tars and other residues of the manu</w:t>
      </w:r>
      <w:r>
        <w:rPr>
          <w:rFonts w:eastAsia="Times New Roman"/>
          <w:color w:val="000000"/>
          <w:sz w:val="20"/>
          <w:szCs w:val="20"/>
        </w:rPr>
        <w:t>factured gas process are today considered hazardous substances under the Superfund Law and may be present on the sites of former MGPs. Between 1882 and 1953, UGI Utilities owned the stock of subsidiary gas companies in Pennsylvania and elsewhere and also o</w:t>
      </w:r>
      <w:r>
        <w:rPr>
          <w:rFonts w:eastAsia="Times New Roman"/>
          <w:color w:val="000000"/>
          <w:sz w:val="20"/>
          <w:szCs w:val="20"/>
        </w:rPr>
        <w:t>perated the businesses of some gas companies under agreement. By the early 1950s, UGI Utilities divested all of its utility operations other than certain gas and electric operations. Beginning in 2006 and 2008, UGI Utilities also owned and operated two acq</w:t>
      </w:r>
      <w:r>
        <w:rPr>
          <w:rFonts w:eastAsia="Times New Roman"/>
          <w:color w:val="000000"/>
          <w:sz w:val="20"/>
          <w:szCs w:val="20"/>
        </w:rPr>
        <w:t>uired subsidiaries, with similar histories of owning, and in some cases operating, MGPs in Pennsylvania.</w:t>
      </w:r>
    </w:p>
    <w:p w14:paraId="1E3FA192" w14:textId="77777777" w:rsidR="00000000" w:rsidRDefault="00C1661D">
      <w:pPr>
        <w:jc w:val="both"/>
        <w:rPr>
          <w:rFonts w:eastAsia="Times New Roman"/>
        </w:rPr>
      </w:pPr>
    </w:p>
    <w:p w14:paraId="0A26121E" w14:textId="77777777" w:rsidR="00000000" w:rsidRDefault="00C1661D">
      <w:pPr>
        <w:jc w:val="both"/>
        <w:rPr>
          <w:rFonts w:eastAsia="Times New Roman"/>
        </w:rPr>
      </w:pPr>
      <w:r>
        <w:rPr>
          <w:rFonts w:eastAsia="Times New Roman"/>
          <w:color w:val="000000"/>
          <w:sz w:val="20"/>
          <w:szCs w:val="20"/>
        </w:rPr>
        <w:t>UGI Utilities is subject to a COA with the PADEP to address the remediation of specified former MGP sites in Pennsylvania, which is scheduled to term</w:t>
      </w:r>
      <w:r>
        <w:rPr>
          <w:rFonts w:eastAsia="Times New Roman"/>
          <w:color w:val="000000"/>
          <w:sz w:val="20"/>
          <w:szCs w:val="20"/>
        </w:rPr>
        <w:t>inate at the end of 2031. In accordance with the COA, UGI Utilities is required to either obtain a certain number of points per calendar year based on defined eligible environmental investigatory and/or remedial activities at the MGPs, or make expenditures</w:t>
      </w:r>
      <w:r>
        <w:rPr>
          <w:rFonts w:eastAsia="Times New Roman"/>
          <w:color w:val="000000"/>
          <w:sz w:val="20"/>
          <w:szCs w:val="20"/>
        </w:rPr>
        <w:t xml:space="preserve"> for such activities in an amount equal to an annual environmental minimum expenditure threshold. The annual minimum expenditure threshold of the COA is $5. At September 30, 2022 and 2021, our aggregate estimated accrued liabilities for environmental inves</w:t>
      </w:r>
      <w:r>
        <w:rPr>
          <w:rFonts w:eastAsia="Times New Roman"/>
          <w:color w:val="000000"/>
          <w:sz w:val="20"/>
          <w:szCs w:val="20"/>
        </w:rPr>
        <w:t>tigation and remediation costs related to the current COA and the predecessor agreements totaled $53 and $50, respectively.</w:t>
      </w:r>
    </w:p>
    <w:p w14:paraId="7191C596" w14:textId="77777777" w:rsidR="00000000" w:rsidRDefault="00C1661D">
      <w:pPr>
        <w:jc w:val="both"/>
        <w:divId w:val="13965747"/>
        <w:rPr>
          <w:rFonts w:eastAsia="Times New Roman"/>
        </w:rPr>
      </w:pPr>
      <w:r>
        <w:rPr>
          <w:rFonts w:eastAsia="Times New Roman"/>
          <w:color w:val="000000"/>
          <w:sz w:val="20"/>
          <w:szCs w:val="20"/>
        </w:rPr>
        <w:t>We do not expect the costs for investigation and remediation of hazardous substances at Pennsylvania MGP sites to be material to UGI</w:t>
      </w:r>
      <w:r>
        <w:rPr>
          <w:rFonts w:eastAsia="Times New Roman"/>
          <w:color w:val="000000"/>
          <w:sz w:val="20"/>
          <w:szCs w:val="20"/>
        </w:rPr>
        <w:t xml:space="preserve"> Utilities’ results of operations because UGI Utilities receives ratemaking recovery of actual environmental investigation and remediation costs associated with the sites covered by the COA. This ratemaking recognition reconciles the accumulated </w:t>
      </w:r>
    </w:p>
    <w:p w14:paraId="005610A5" w14:textId="77777777" w:rsidR="00000000" w:rsidRDefault="00C1661D">
      <w:pPr>
        <w:jc w:val="center"/>
        <w:divId w:val="2038578798"/>
        <w:rPr>
          <w:rFonts w:eastAsia="Times New Roman"/>
        </w:rPr>
      </w:pPr>
      <w:r>
        <w:rPr>
          <w:rFonts w:eastAsia="Times New Roman"/>
          <w:color w:val="000000"/>
          <w:sz w:val="20"/>
          <w:szCs w:val="20"/>
        </w:rPr>
        <w:t>F-48</w:t>
      </w:r>
    </w:p>
    <w:p w14:paraId="00C934E1" w14:textId="77777777" w:rsidR="00000000" w:rsidRDefault="00C1661D">
      <w:pPr>
        <w:rPr>
          <w:rFonts w:eastAsia="Times New Roman"/>
        </w:rPr>
      </w:pPr>
      <w:r>
        <w:rPr>
          <w:rFonts w:eastAsia="Times New Roman"/>
        </w:rPr>
        <w:pict w14:anchorId="6D6EBA65">
          <v:rect id="_x0000_i1161" style="width:0;height:1.5pt" o:hralign="center" o:hrstd="t" o:hr="t" fillcolor="#a0a0a0" stroked="f"/>
        </w:pict>
      </w:r>
    </w:p>
    <w:p w14:paraId="41FE524A" w14:textId="77777777" w:rsidR="00000000" w:rsidRDefault="00C1661D">
      <w:pPr>
        <w:divId w:val="1083141441"/>
        <w:rPr>
          <w:rFonts w:eastAsia="Times New Roman"/>
        </w:rPr>
      </w:pPr>
      <w:hyperlink w:anchor="i3850c3c6c0104e42b9951aac2f16098a_7" w:history="1">
        <w:r>
          <w:rPr>
            <w:rStyle w:val="a3"/>
            <w:rFonts w:eastAsia="Times New Roman"/>
            <w:sz w:val="20"/>
            <w:szCs w:val="20"/>
          </w:rPr>
          <w:t>Table of Contents</w:t>
        </w:r>
      </w:hyperlink>
    </w:p>
    <w:p w14:paraId="54A7ABB9" w14:textId="77777777" w:rsidR="00000000" w:rsidRDefault="00C1661D">
      <w:pPr>
        <w:divId w:val="2043244222"/>
        <w:rPr>
          <w:rFonts w:eastAsia="Times New Roman"/>
        </w:rPr>
      </w:pPr>
      <w:r>
        <w:rPr>
          <w:rFonts w:eastAsia="Times New Roman"/>
          <w:b/>
          <w:bCs/>
          <w:color w:val="000000"/>
          <w:sz w:val="20"/>
          <w:szCs w:val="20"/>
        </w:rPr>
        <w:t>UGI Corporation and Subsidiaries</w:t>
      </w:r>
    </w:p>
    <w:p w14:paraId="3F73B844" w14:textId="77777777" w:rsidR="00000000" w:rsidRDefault="00C1661D">
      <w:pPr>
        <w:divId w:val="107428497"/>
        <w:rPr>
          <w:rFonts w:eastAsia="Times New Roman"/>
        </w:rPr>
      </w:pPr>
      <w:r>
        <w:rPr>
          <w:rFonts w:eastAsia="Times New Roman"/>
          <w:b/>
          <w:bCs/>
          <w:color w:val="000000"/>
          <w:sz w:val="20"/>
          <w:szCs w:val="20"/>
        </w:rPr>
        <w:t>Notes to Consolidated Financial Statements</w:t>
      </w:r>
    </w:p>
    <w:p w14:paraId="5570DD4C" w14:textId="77777777" w:rsidR="00000000" w:rsidRDefault="00C1661D">
      <w:pPr>
        <w:divId w:val="2032602471"/>
        <w:rPr>
          <w:rFonts w:eastAsia="Times New Roman"/>
        </w:rPr>
      </w:pPr>
      <w:r>
        <w:rPr>
          <w:rFonts w:eastAsia="Times New Roman"/>
          <w:color w:val="000000"/>
          <w:sz w:val="20"/>
          <w:szCs w:val="20"/>
        </w:rPr>
        <w:t>(Currency in millions, except per share amounts and where indicated othe</w:t>
      </w:r>
      <w:r>
        <w:rPr>
          <w:rFonts w:eastAsia="Times New Roman"/>
          <w:color w:val="000000"/>
          <w:sz w:val="20"/>
          <w:szCs w:val="20"/>
        </w:rPr>
        <w:t>rwise)</w:t>
      </w:r>
    </w:p>
    <w:p w14:paraId="65E68938" w14:textId="77777777" w:rsidR="00000000" w:rsidRDefault="00C1661D">
      <w:pPr>
        <w:jc w:val="both"/>
        <w:divId w:val="290594856"/>
        <w:rPr>
          <w:rFonts w:eastAsia="Times New Roman"/>
        </w:rPr>
      </w:pPr>
      <w:r>
        <w:rPr>
          <w:rFonts w:eastAsia="Times New Roman"/>
          <w:color w:val="000000"/>
          <w:sz w:val="20"/>
          <w:szCs w:val="20"/>
        </w:rPr>
        <w:t>difference between historical costs and rate recoveries with an estimate of future costs associated with the sites. As such, UGI Utilities has recorded an associated regulatory asset for these costs because recovery of these costs from customers is probabl</w:t>
      </w:r>
      <w:r>
        <w:rPr>
          <w:rFonts w:eastAsia="Times New Roman"/>
          <w:color w:val="000000"/>
          <w:sz w:val="20"/>
          <w:szCs w:val="20"/>
        </w:rPr>
        <w:t>e (see Note 9).</w:t>
      </w:r>
    </w:p>
    <w:p w14:paraId="582B16AA" w14:textId="77777777" w:rsidR="00000000" w:rsidRDefault="00C1661D">
      <w:pPr>
        <w:jc w:val="both"/>
        <w:divId w:val="658047560"/>
        <w:rPr>
          <w:rFonts w:eastAsia="Times New Roman"/>
        </w:rPr>
      </w:pPr>
      <w:r>
        <w:rPr>
          <w:rFonts w:eastAsia="Times New Roman"/>
          <w:color w:val="000000"/>
          <w:sz w:val="20"/>
          <w:szCs w:val="20"/>
        </w:rPr>
        <w:t>From time to time, UGI Utilities is notified of sites outside Pennsylvania on which private parties allege MGPs were formerly owned or operated by UGI Utilities or owned or operated by a former subsidiary. Such parties generally investigate</w:t>
      </w:r>
      <w:r>
        <w:rPr>
          <w:rFonts w:eastAsia="Times New Roman"/>
          <w:color w:val="000000"/>
          <w:sz w:val="20"/>
          <w:szCs w:val="20"/>
        </w:rPr>
        <w:t xml:space="preserve"> the extent of environmental contamination or perform environmental remediation. Management believes that under applicable law UGI Utilities should not be liable in those instances in which a former subsidiary owned or operated an MGP. There could be, howe</w:t>
      </w:r>
      <w:r>
        <w:rPr>
          <w:rFonts w:eastAsia="Times New Roman"/>
          <w:color w:val="000000"/>
          <w:sz w:val="20"/>
          <w:szCs w:val="20"/>
        </w:rPr>
        <w:t>ver, significant future costs of an uncertain amount associated with environmental damage caused by MGPs outside Pennsylvania that UGI Utilities directly operated, or that were owned or operated by a former subsidiary of UGI Utilities if a court were to co</w:t>
      </w:r>
      <w:r>
        <w:rPr>
          <w:rFonts w:eastAsia="Times New Roman"/>
          <w:color w:val="000000"/>
          <w:sz w:val="20"/>
          <w:szCs w:val="20"/>
        </w:rPr>
        <w:t>nclude that (1) the subsidiary’s separate corporate form should be disregarded, or (2) UGI Utilities should be considered to have been an operator because of its conduct with respect to its subsidiary’s MGP. Neither the undiscounted nor the accrued liabili</w:t>
      </w:r>
      <w:r>
        <w:rPr>
          <w:rFonts w:eastAsia="Times New Roman"/>
          <w:color w:val="000000"/>
          <w:sz w:val="20"/>
          <w:szCs w:val="20"/>
        </w:rPr>
        <w:t>ty for environmental investigation and cleanup costs for UGI Utilities’ MGP sites outside Pennsylvania were material for all periods presented.</w:t>
      </w:r>
    </w:p>
    <w:p w14:paraId="08115220" w14:textId="77777777" w:rsidR="00000000" w:rsidRDefault="00C1661D">
      <w:pPr>
        <w:jc w:val="both"/>
        <w:rPr>
          <w:rFonts w:eastAsia="Times New Roman"/>
        </w:rPr>
      </w:pPr>
    </w:p>
    <w:p w14:paraId="1B884B5A" w14:textId="77777777" w:rsidR="00000000" w:rsidRDefault="00C1661D">
      <w:pPr>
        <w:jc w:val="both"/>
        <w:rPr>
          <w:rFonts w:eastAsia="Times New Roman"/>
        </w:rPr>
      </w:pPr>
      <w:r>
        <w:rPr>
          <w:rFonts w:eastAsia="Times New Roman"/>
          <w:color w:val="000000"/>
          <w:sz w:val="20"/>
          <w:szCs w:val="20"/>
          <w:u w:val="single"/>
        </w:rPr>
        <w:t>AmeriGas Propane</w:t>
      </w:r>
    </w:p>
    <w:p w14:paraId="56BF783C" w14:textId="77777777" w:rsidR="00000000" w:rsidRDefault="00C1661D">
      <w:pPr>
        <w:jc w:val="both"/>
        <w:rPr>
          <w:rFonts w:eastAsia="Times New Roman"/>
        </w:rPr>
      </w:pPr>
    </w:p>
    <w:p w14:paraId="0A748D03" w14:textId="77777777" w:rsidR="00000000" w:rsidRDefault="00C1661D">
      <w:pPr>
        <w:jc w:val="both"/>
        <w:rPr>
          <w:rFonts w:eastAsia="Times New Roman"/>
        </w:rPr>
      </w:pPr>
      <w:r>
        <w:rPr>
          <w:rFonts w:eastAsia="Times New Roman"/>
          <w:b/>
          <w:bCs/>
          <w:i/>
          <w:iCs/>
          <w:color w:val="000000"/>
          <w:sz w:val="20"/>
          <w:szCs w:val="20"/>
        </w:rPr>
        <w:t xml:space="preserve">AmeriGas OLP Saranac Lake. </w:t>
      </w:r>
      <w:r>
        <w:rPr>
          <w:rFonts w:eastAsia="Times New Roman"/>
          <w:color w:val="000000"/>
          <w:sz w:val="20"/>
          <w:szCs w:val="20"/>
        </w:rPr>
        <w:t>In 2008, the NYDEC notified AmeriGas OLP that the NYDEC had plac</w:t>
      </w:r>
      <w:r>
        <w:rPr>
          <w:rFonts w:eastAsia="Times New Roman"/>
          <w:color w:val="000000"/>
          <w:sz w:val="20"/>
          <w:szCs w:val="20"/>
        </w:rPr>
        <w:t>ed property purportedly owned by AmeriGas OLP in Saranac Lake, New York on the New York State Registry of Inactive Hazardous Waste Disposal Sites.  A site characterization study performed by the NYDEC disclosed contamination related to a former MGP.  Ameri</w:t>
      </w:r>
      <w:r>
        <w:rPr>
          <w:rFonts w:eastAsia="Times New Roman"/>
          <w:color w:val="000000"/>
          <w:sz w:val="20"/>
          <w:szCs w:val="20"/>
        </w:rPr>
        <w:t>Gas OLP responded to the NYDEC in 2009 to dispute the contention it was a PRP as it did not operate the MGP and appeared to only own a portion of the site.  In 2017, the NYDEC communicated to AmeriGas OLP that the NYDEC had previously issued three RODs rel</w:t>
      </w:r>
      <w:r>
        <w:rPr>
          <w:rFonts w:eastAsia="Times New Roman"/>
          <w:color w:val="000000"/>
          <w:sz w:val="20"/>
          <w:szCs w:val="20"/>
        </w:rPr>
        <w:t>ated to remediation of the site totaling approximately $28 and requested additional information regarding AmeriGas OLP’s purported ownership. AmeriGas OLP renewed its challenge to designation as a PRP and identified potential defenses.  The NYDEC subsequen</w:t>
      </w:r>
      <w:r>
        <w:rPr>
          <w:rFonts w:eastAsia="Times New Roman"/>
          <w:color w:val="000000"/>
          <w:sz w:val="20"/>
          <w:szCs w:val="20"/>
        </w:rPr>
        <w:t>tly identified a third party PRP with respect to the site.</w:t>
      </w:r>
    </w:p>
    <w:p w14:paraId="34525F31" w14:textId="77777777" w:rsidR="00000000" w:rsidRDefault="00C1661D">
      <w:pPr>
        <w:jc w:val="both"/>
        <w:rPr>
          <w:rFonts w:eastAsia="Times New Roman"/>
        </w:rPr>
      </w:pPr>
    </w:p>
    <w:p w14:paraId="571AAFFE" w14:textId="77777777" w:rsidR="00000000" w:rsidRDefault="00C1661D">
      <w:pPr>
        <w:jc w:val="both"/>
        <w:rPr>
          <w:rFonts w:eastAsia="Times New Roman"/>
        </w:rPr>
      </w:pPr>
      <w:r>
        <w:rPr>
          <w:rFonts w:eastAsia="Times New Roman"/>
          <w:color w:val="000000"/>
          <w:sz w:val="20"/>
          <w:szCs w:val="20"/>
        </w:rPr>
        <w:t>The NYDEC commenced implementation of the remediation plan in the spring of 2018.  Based on our evaluation of the available information as of September 30, 2022 and 2021, the Partnership has an u</w:t>
      </w:r>
      <w:r>
        <w:rPr>
          <w:rFonts w:eastAsia="Times New Roman"/>
          <w:color w:val="000000"/>
          <w:sz w:val="20"/>
          <w:szCs w:val="20"/>
        </w:rPr>
        <w:t xml:space="preserve">ndiscounted environmental remediation liability of $8 related to the site. Our share of the actual remediation costs could be significantly more or less than the accrued amount. </w:t>
      </w:r>
    </w:p>
    <w:p w14:paraId="35DE9145" w14:textId="77777777" w:rsidR="00000000" w:rsidRDefault="00C1661D">
      <w:pPr>
        <w:jc w:val="both"/>
        <w:rPr>
          <w:rFonts w:eastAsia="Times New Roman"/>
        </w:rPr>
      </w:pPr>
    </w:p>
    <w:p w14:paraId="3677D06B" w14:textId="77777777" w:rsidR="00000000" w:rsidRDefault="00C1661D">
      <w:pPr>
        <w:jc w:val="both"/>
        <w:rPr>
          <w:rFonts w:eastAsia="Times New Roman"/>
        </w:rPr>
      </w:pPr>
      <w:r>
        <w:rPr>
          <w:rFonts w:eastAsia="Times New Roman"/>
          <w:color w:val="000000"/>
          <w:sz w:val="20"/>
          <w:szCs w:val="20"/>
        </w:rPr>
        <w:t>Although we cannot predict the final results of these pending claims and le</w:t>
      </w:r>
      <w:r>
        <w:rPr>
          <w:rFonts w:eastAsia="Times New Roman"/>
          <w:color w:val="000000"/>
          <w:sz w:val="20"/>
          <w:szCs w:val="20"/>
        </w:rPr>
        <w:t>gal actions, we believe, after consultation with counsel, that the final outcome of these matters will not have a material effect on our financial statements.</w:t>
      </w:r>
    </w:p>
    <w:p w14:paraId="2D83763C" w14:textId="77777777" w:rsidR="00000000" w:rsidRDefault="00C1661D">
      <w:pPr>
        <w:jc w:val="both"/>
        <w:rPr>
          <w:rFonts w:eastAsia="Times New Roman"/>
        </w:rPr>
      </w:pPr>
    </w:p>
    <w:p w14:paraId="275B9BB6" w14:textId="77777777" w:rsidR="00000000" w:rsidRDefault="00C1661D">
      <w:pPr>
        <w:jc w:val="both"/>
        <w:rPr>
          <w:rFonts w:eastAsia="Times New Roman"/>
        </w:rPr>
      </w:pPr>
      <w:r>
        <w:rPr>
          <w:rFonts w:eastAsia="Times New Roman"/>
          <w:color w:val="000000"/>
          <w:sz w:val="20"/>
          <w:szCs w:val="20"/>
        </w:rPr>
        <w:t>In addition to the matters described above, there are other pending claims and legal actions ar</w:t>
      </w:r>
      <w:r>
        <w:rPr>
          <w:rFonts w:eastAsia="Times New Roman"/>
          <w:color w:val="000000"/>
          <w:sz w:val="20"/>
          <w:szCs w:val="20"/>
        </w:rPr>
        <w:t>ising in the normal course of our businesses. Although we cannot predict the final results of these pending claims and legal actions, we believe, after consultation with counsel, that the final outcome of these matters will not have a material effect on ou</w:t>
      </w:r>
      <w:r>
        <w:rPr>
          <w:rFonts w:eastAsia="Times New Roman"/>
          <w:color w:val="000000"/>
          <w:sz w:val="20"/>
          <w:szCs w:val="20"/>
        </w:rPr>
        <w:t>r financial statements.</w:t>
      </w:r>
    </w:p>
    <w:p w14:paraId="00716CA3" w14:textId="77777777" w:rsidR="00000000" w:rsidRDefault="00C1661D">
      <w:pPr>
        <w:jc w:val="both"/>
        <w:rPr>
          <w:rFonts w:eastAsia="Times New Roman"/>
        </w:rPr>
      </w:pPr>
    </w:p>
    <w:p w14:paraId="1A6162B0" w14:textId="77777777" w:rsidR="00000000" w:rsidRDefault="00C1661D">
      <w:pPr>
        <w:jc w:val="center"/>
        <w:divId w:val="81269781"/>
        <w:rPr>
          <w:rFonts w:eastAsia="Times New Roman"/>
        </w:rPr>
      </w:pPr>
      <w:r>
        <w:rPr>
          <w:rFonts w:eastAsia="Times New Roman"/>
          <w:color w:val="000000"/>
          <w:sz w:val="20"/>
          <w:szCs w:val="20"/>
        </w:rPr>
        <w:t>F-49</w:t>
      </w:r>
    </w:p>
    <w:p w14:paraId="2513B9A1" w14:textId="77777777" w:rsidR="00000000" w:rsidRDefault="00C1661D">
      <w:pPr>
        <w:rPr>
          <w:rFonts w:eastAsia="Times New Roman"/>
        </w:rPr>
      </w:pPr>
      <w:r>
        <w:rPr>
          <w:rFonts w:eastAsia="Times New Roman"/>
        </w:rPr>
        <w:pict w14:anchorId="4BF1B019">
          <v:rect id="_x0000_i1162" style="width:0;height:1.5pt" o:hralign="center" o:hrstd="t" o:hr="t" fillcolor="#a0a0a0" stroked="f"/>
        </w:pict>
      </w:r>
    </w:p>
    <w:p w14:paraId="00C5239B" w14:textId="77777777" w:rsidR="00000000" w:rsidRDefault="00C1661D">
      <w:pPr>
        <w:divId w:val="850795430"/>
        <w:rPr>
          <w:rFonts w:eastAsia="Times New Roman"/>
        </w:rPr>
      </w:pPr>
      <w:hyperlink w:anchor="i3850c3c6c0104e42b9951aac2f16098a_7" w:history="1">
        <w:r>
          <w:rPr>
            <w:rStyle w:val="a3"/>
            <w:rFonts w:eastAsia="Times New Roman"/>
            <w:sz w:val="20"/>
            <w:szCs w:val="20"/>
          </w:rPr>
          <w:t>Table of Contents</w:t>
        </w:r>
      </w:hyperlink>
    </w:p>
    <w:p w14:paraId="25F39F6E" w14:textId="77777777" w:rsidR="00000000" w:rsidRDefault="00C1661D">
      <w:pPr>
        <w:divId w:val="921986177"/>
        <w:rPr>
          <w:rFonts w:eastAsia="Times New Roman"/>
        </w:rPr>
      </w:pPr>
      <w:r>
        <w:rPr>
          <w:rFonts w:eastAsia="Times New Roman"/>
          <w:b/>
          <w:bCs/>
          <w:color w:val="000000"/>
          <w:sz w:val="20"/>
          <w:szCs w:val="20"/>
        </w:rPr>
        <w:t>UGI Corporation and Subsidiaries</w:t>
      </w:r>
    </w:p>
    <w:p w14:paraId="0E37FDF1" w14:textId="77777777" w:rsidR="00000000" w:rsidRDefault="00C1661D">
      <w:pPr>
        <w:divId w:val="1453281863"/>
        <w:rPr>
          <w:rFonts w:eastAsia="Times New Roman"/>
        </w:rPr>
      </w:pPr>
      <w:r>
        <w:rPr>
          <w:rFonts w:eastAsia="Times New Roman"/>
          <w:b/>
          <w:bCs/>
          <w:color w:val="000000"/>
          <w:sz w:val="20"/>
          <w:szCs w:val="20"/>
        </w:rPr>
        <w:t>Notes to Consolidated Financial Statements</w:t>
      </w:r>
    </w:p>
    <w:p w14:paraId="1515CC03" w14:textId="77777777" w:rsidR="00000000" w:rsidRDefault="00C1661D">
      <w:pPr>
        <w:divId w:val="155268008"/>
        <w:rPr>
          <w:rFonts w:eastAsia="Times New Roman"/>
        </w:rPr>
      </w:pPr>
      <w:r>
        <w:rPr>
          <w:rFonts w:eastAsia="Times New Roman"/>
          <w:color w:val="000000"/>
          <w:sz w:val="20"/>
          <w:szCs w:val="20"/>
        </w:rPr>
        <w:t>(Currency in millions, except per share amounts and where indicated otherwise)</w:t>
      </w:r>
    </w:p>
    <w:p w14:paraId="0040512E" w14:textId="77777777" w:rsidR="00000000" w:rsidRDefault="00C1661D">
      <w:pPr>
        <w:jc w:val="both"/>
        <w:rPr>
          <w:rFonts w:eastAsia="Times New Roman"/>
        </w:rPr>
      </w:pPr>
      <w:r>
        <w:rPr>
          <w:rFonts w:eastAsia="Times New Roman"/>
          <w:b/>
          <w:bCs/>
          <w:color w:val="000000"/>
          <w:sz w:val="20"/>
          <w:szCs w:val="20"/>
          <w:u w:val="single"/>
        </w:rPr>
        <w:t xml:space="preserve">Note 18 — Fair Value Measurements </w:t>
      </w:r>
    </w:p>
    <w:p w14:paraId="3E770D21" w14:textId="77777777" w:rsidR="00000000" w:rsidRDefault="00C1661D">
      <w:pPr>
        <w:jc w:val="both"/>
        <w:divId w:val="1635479826"/>
        <w:rPr>
          <w:rFonts w:eastAsia="Times New Roman"/>
        </w:rPr>
      </w:pPr>
      <w:r>
        <w:rPr>
          <w:rFonts w:eastAsia="Times New Roman"/>
          <w:b/>
          <w:bCs/>
          <w:color w:val="000000"/>
          <w:sz w:val="20"/>
          <w:szCs w:val="20"/>
        </w:rPr>
        <w:t>Recurring Fair Value Measurements</w:t>
      </w:r>
    </w:p>
    <w:p w14:paraId="783F8666" w14:textId="77777777" w:rsidR="00000000" w:rsidRDefault="00C1661D">
      <w:pPr>
        <w:jc w:val="both"/>
        <w:divId w:val="1649047850"/>
        <w:rPr>
          <w:rFonts w:eastAsia="Times New Roman"/>
        </w:rPr>
      </w:pPr>
      <w:r>
        <w:rPr>
          <w:rFonts w:eastAsia="Times New Roman"/>
          <w:color w:val="000000"/>
          <w:sz w:val="20"/>
          <w:szCs w:val="20"/>
        </w:rPr>
        <w:t>The following table presents, on a gross basis, our financial ass</w:t>
      </w:r>
      <w:r>
        <w:rPr>
          <w:rFonts w:eastAsia="Times New Roman"/>
          <w:color w:val="000000"/>
          <w:sz w:val="20"/>
          <w:szCs w:val="20"/>
        </w:rPr>
        <w:t>ets and liabilities, including both current and noncurrent portions, that are measured at fair value on a recurring basis within the fair value hierarchy as described in Note 2:</w:t>
      </w:r>
    </w:p>
    <w:tbl>
      <w:tblPr>
        <w:tblW w:w="4941" w:type="pct"/>
        <w:tblCellMar>
          <w:top w:w="15" w:type="dxa"/>
          <w:left w:w="15" w:type="dxa"/>
          <w:bottom w:w="15" w:type="dxa"/>
          <w:right w:w="15" w:type="dxa"/>
        </w:tblCellMar>
        <w:tblLook w:val="04A0" w:firstRow="1" w:lastRow="0" w:firstColumn="1" w:lastColumn="0" w:noHBand="0" w:noVBand="1"/>
      </w:tblPr>
      <w:tblGrid>
        <w:gridCol w:w="39"/>
        <w:gridCol w:w="3045"/>
        <w:gridCol w:w="38"/>
        <w:gridCol w:w="120"/>
        <w:gridCol w:w="1072"/>
        <w:gridCol w:w="36"/>
        <w:gridCol w:w="36"/>
        <w:gridCol w:w="36"/>
        <w:gridCol w:w="36"/>
        <w:gridCol w:w="120"/>
        <w:gridCol w:w="1018"/>
        <w:gridCol w:w="36"/>
        <w:gridCol w:w="36"/>
        <w:gridCol w:w="36"/>
        <w:gridCol w:w="36"/>
        <w:gridCol w:w="121"/>
        <w:gridCol w:w="1018"/>
        <w:gridCol w:w="36"/>
        <w:gridCol w:w="36"/>
        <w:gridCol w:w="36"/>
        <w:gridCol w:w="36"/>
        <w:gridCol w:w="120"/>
        <w:gridCol w:w="1029"/>
        <w:gridCol w:w="36"/>
      </w:tblGrid>
      <w:tr w:rsidR="00000000" w14:paraId="4E164E6E" w14:textId="77777777">
        <w:trPr>
          <w:divId w:val="364402301"/>
        </w:trPr>
        <w:tc>
          <w:tcPr>
            <w:tcW w:w="50" w:type="pct"/>
            <w:vAlign w:val="center"/>
            <w:hideMark/>
          </w:tcPr>
          <w:p w14:paraId="3813F65C" w14:textId="77777777" w:rsidR="00000000" w:rsidRDefault="00C1661D">
            <w:pPr>
              <w:jc w:val="both"/>
              <w:rPr>
                <w:rFonts w:eastAsia="Times New Roman"/>
              </w:rPr>
            </w:pPr>
          </w:p>
        </w:tc>
        <w:tc>
          <w:tcPr>
            <w:tcW w:w="1890" w:type="pct"/>
            <w:vAlign w:val="center"/>
            <w:hideMark/>
          </w:tcPr>
          <w:p w14:paraId="70DEF246" w14:textId="77777777" w:rsidR="00000000" w:rsidRDefault="00C1661D">
            <w:pPr>
              <w:spacing w:after="100"/>
              <w:rPr>
                <w:rFonts w:eastAsia="Times New Roman"/>
                <w:sz w:val="20"/>
                <w:szCs w:val="20"/>
              </w:rPr>
            </w:pPr>
          </w:p>
        </w:tc>
        <w:tc>
          <w:tcPr>
            <w:tcW w:w="5" w:type="pct"/>
            <w:vAlign w:val="center"/>
            <w:hideMark/>
          </w:tcPr>
          <w:p w14:paraId="340152E1" w14:textId="77777777" w:rsidR="00000000" w:rsidRDefault="00C1661D">
            <w:pPr>
              <w:spacing w:after="100"/>
              <w:rPr>
                <w:rFonts w:eastAsia="Times New Roman"/>
                <w:sz w:val="20"/>
                <w:szCs w:val="20"/>
              </w:rPr>
            </w:pPr>
          </w:p>
        </w:tc>
        <w:tc>
          <w:tcPr>
            <w:tcW w:w="50" w:type="pct"/>
            <w:vAlign w:val="center"/>
            <w:hideMark/>
          </w:tcPr>
          <w:p w14:paraId="31D5477F" w14:textId="77777777" w:rsidR="00000000" w:rsidRDefault="00C1661D">
            <w:pPr>
              <w:spacing w:after="100"/>
              <w:rPr>
                <w:rFonts w:eastAsia="Times New Roman"/>
                <w:sz w:val="20"/>
                <w:szCs w:val="20"/>
              </w:rPr>
            </w:pPr>
          </w:p>
        </w:tc>
        <w:tc>
          <w:tcPr>
            <w:tcW w:w="684" w:type="pct"/>
            <w:vAlign w:val="center"/>
            <w:hideMark/>
          </w:tcPr>
          <w:p w14:paraId="5E24B118" w14:textId="77777777" w:rsidR="00000000" w:rsidRDefault="00C1661D">
            <w:pPr>
              <w:spacing w:after="100"/>
              <w:rPr>
                <w:rFonts w:eastAsia="Times New Roman"/>
                <w:sz w:val="20"/>
                <w:szCs w:val="20"/>
              </w:rPr>
            </w:pPr>
          </w:p>
        </w:tc>
        <w:tc>
          <w:tcPr>
            <w:tcW w:w="5" w:type="pct"/>
            <w:vAlign w:val="center"/>
            <w:hideMark/>
          </w:tcPr>
          <w:p w14:paraId="40AADD61" w14:textId="77777777" w:rsidR="00000000" w:rsidRDefault="00C1661D">
            <w:pPr>
              <w:spacing w:after="100"/>
              <w:rPr>
                <w:rFonts w:eastAsia="Times New Roman"/>
                <w:sz w:val="20"/>
                <w:szCs w:val="20"/>
              </w:rPr>
            </w:pPr>
          </w:p>
        </w:tc>
        <w:tc>
          <w:tcPr>
            <w:tcW w:w="5" w:type="pct"/>
            <w:vAlign w:val="center"/>
            <w:hideMark/>
          </w:tcPr>
          <w:p w14:paraId="75FBAF25" w14:textId="77777777" w:rsidR="00000000" w:rsidRDefault="00C1661D">
            <w:pPr>
              <w:spacing w:after="100"/>
              <w:rPr>
                <w:rFonts w:eastAsia="Times New Roman"/>
                <w:sz w:val="20"/>
                <w:szCs w:val="20"/>
              </w:rPr>
            </w:pPr>
          </w:p>
        </w:tc>
        <w:tc>
          <w:tcPr>
            <w:tcW w:w="26" w:type="pct"/>
            <w:vAlign w:val="center"/>
            <w:hideMark/>
          </w:tcPr>
          <w:p w14:paraId="537B27A2" w14:textId="77777777" w:rsidR="00000000" w:rsidRDefault="00C1661D">
            <w:pPr>
              <w:spacing w:after="100"/>
              <w:rPr>
                <w:rFonts w:eastAsia="Times New Roman"/>
                <w:sz w:val="20"/>
                <w:szCs w:val="20"/>
              </w:rPr>
            </w:pPr>
          </w:p>
        </w:tc>
        <w:tc>
          <w:tcPr>
            <w:tcW w:w="5" w:type="pct"/>
            <w:vAlign w:val="center"/>
            <w:hideMark/>
          </w:tcPr>
          <w:p w14:paraId="36AC622C" w14:textId="77777777" w:rsidR="00000000" w:rsidRDefault="00C1661D">
            <w:pPr>
              <w:spacing w:after="100"/>
              <w:rPr>
                <w:rFonts w:eastAsia="Times New Roman"/>
                <w:sz w:val="20"/>
                <w:szCs w:val="20"/>
              </w:rPr>
            </w:pPr>
          </w:p>
        </w:tc>
        <w:tc>
          <w:tcPr>
            <w:tcW w:w="50" w:type="pct"/>
            <w:vAlign w:val="center"/>
            <w:hideMark/>
          </w:tcPr>
          <w:p w14:paraId="0E3EF02E" w14:textId="77777777" w:rsidR="00000000" w:rsidRDefault="00C1661D">
            <w:pPr>
              <w:spacing w:after="100"/>
              <w:rPr>
                <w:rFonts w:eastAsia="Times New Roman"/>
                <w:sz w:val="20"/>
                <w:szCs w:val="20"/>
              </w:rPr>
            </w:pPr>
          </w:p>
        </w:tc>
        <w:tc>
          <w:tcPr>
            <w:tcW w:w="677" w:type="pct"/>
            <w:vAlign w:val="center"/>
            <w:hideMark/>
          </w:tcPr>
          <w:p w14:paraId="1F90BF0C" w14:textId="77777777" w:rsidR="00000000" w:rsidRDefault="00C1661D">
            <w:pPr>
              <w:spacing w:after="100"/>
              <w:rPr>
                <w:rFonts w:eastAsia="Times New Roman"/>
                <w:sz w:val="20"/>
                <w:szCs w:val="20"/>
              </w:rPr>
            </w:pPr>
          </w:p>
        </w:tc>
        <w:tc>
          <w:tcPr>
            <w:tcW w:w="5" w:type="pct"/>
            <w:vAlign w:val="center"/>
            <w:hideMark/>
          </w:tcPr>
          <w:p w14:paraId="0EFDFAE4" w14:textId="77777777" w:rsidR="00000000" w:rsidRDefault="00C1661D">
            <w:pPr>
              <w:spacing w:after="100"/>
              <w:rPr>
                <w:rFonts w:eastAsia="Times New Roman"/>
                <w:sz w:val="20"/>
                <w:szCs w:val="20"/>
              </w:rPr>
            </w:pPr>
          </w:p>
        </w:tc>
        <w:tc>
          <w:tcPr>
            <w:tcW w:w="5" w:type="pct"/>
            <w:vAlign w:val="center"/>
            <w:hideMark/>
          </w:tcPr>
          <w:p w14:paraId="408EB3E7" w14:textId="77777777" w:rsidR="00000000" w:rsidRDefault="00C1661D">
            <w:pPr>
              <w:spacing w:after="100"/>
              <w:rPr>
                <w:rFonts w:eastAsia="Times New Roman"/>
                <w:sz w:val="20"/>
                <w:szCs w:val="20"/>
              </w:rPr>
            </w:pPr>
          </w:p>
        </w:tc>
        <w:tc>
          <w:tcPr>
            <w:tcW w:w="26" w:type="pct"/>
            <w:vAlign w:val="center"/>
            <w:hideMark/>
          </w:tcPr>
          <w:p w14:paraId="3D986BCD" w14:textId="77777777" w:rsidR="00000000" w:rsidRDefault="00C1661D">
            <w:pPr>
              <w:spacing w:after="100"/>
              <w:rPr>
                <w:rFonts w:eastAsia="Times New Roman"/>
                <w:sz w:val="20"/>
                <w:szCs w:val="20"/>
              </w:rPr>
            </w:pPr>
          </w:p>
        </w:tc>
        <w:tc>
          <w:tcPr>
            <w:tcW w:w="5" w:type="pct"/>
            <w:vAlign w:val="center"/>
            <w:hideMark/>
          </w:tcPr>
          <w:p w14:paraId="1B6C6ADF" w14:textId="77777777" w:rsidR="00000000" w:rsidRDefault="00C1661D">
            <w:pPr>
              <w:spacing w:after="100"/>
              <w:rPr>
                <w:rFonts w:eastAsia="Times New Roman"/>
                <w:sz w:val="20"/>
                <w:szCs w:val="20"/>
              </w:rPr>
            </w:pPr>
          </w:p>
        </w:tc>
        <w:tc>
          <w:tcPr>
            <w:tcW w:w="50" w:type="pct"/>
            <w:vAlign w:val="center"/>
            <w:hideMark/>
          </w:tcPr>
          <w:p w14:paraId="294CA6DC" w14:textId="77777777" w:rsidR="00000000" w:rsidRDefault="00C1661D">
            <w:pPr>
              <w:spacing w:after="100"/>
              <w:rPr>
                <w:rFonts w:eastAsia="Times New Roman"/>
                <w:sz w:val="20"/>
                <w:szCs w:val="20"/>
              </w:rPr>
            </w:pPr>
          </w:p>
        </w:tc>
        <w:tc>
          <w:tcPr>
            <w:tcW w:w="677" w:type="pct"/>
            <w:vAlign w:val="center"/>
            <w:hideMark/>
          </w:tcPr>
          <w:p w14:paraId="7CAA0216" w14:textId="77777777" w:rsidR="00000000" w:rsidRDefault="00C1661D">
            <w:pPr>
              <w:spacing w:after="100"/>
              <w:rPr>
                <w:rFonts w:eastAsia="Times New Roman"/>
                <w:sz w:val="20"/>
                <w:szCs w:val="20"/>
              </w:rPr>
            </w:pPr>
          </w:p>
        </w:tc>
        <w:tc>
          <w:tcPr>
            <w:tcW w:w="5" w:type="pct"/>
            <w:vAlign w:val="center"/>
            <w:hideMark/>
          </w:tcPr>
          <w:p w14:paraId="211F00BA" w14:textId="77777777" w:rsidR="00000000" w:rsidRDefault="00C1661D">
            <w:pPr>
              <w:spacing w:after="100"/>
              <w:rPr>
                <w:rFonts w:eastAsia="Times New Roman"/>
                <w:sz w:val="20"/>
                <w:szCs w:val="20"/>
              </w:rPr>
            </w:pPr>
          </w:p>
        </w:tc>
        <w:tc>
          <w:tcPr>
            <w:tcW w:w="5" w:type="pct"/>
            <w:vAlign w:val="center"/>
            <w:hideMark/>
          </w:tcPr>
          <w:p w14:paraId="3D6BA76D" w14:textId="77777777" w:rsidR="00000000" w:rsidRDefault="00C1661D">
            <w:pPr>
              <w:spacing w:after="100"/>
              <w:rPr>
                <w:rFonts w:eastAsia="Times New Roman"/>
                <w:sz w:val="20"/>
                <w:szCs w:val="20"/>
              </w:rPr>
            </w:pPr>
          </w:p>
        </w:tc>
        <w:tc>
          <w:tcPr>
            <w:tcW w:w="26" w:type="pct"/>
            <w:vAlign w:val="center"/>
            <w:hideMark/>
          </w:tcPr>
          <w:p w14:paraId="6602E1DA" w14:textId="77777777" w:rsidR="00000000" w:rsidRDefault="00C1661D">
            <w:pPr>
              <w:spacing w:after="100"/>
              <w:rPr>
                <w:rFonts w:eastAsia="Times New Roman"/>
                <w:sz w:val="20"/>
                <w:szCs w:val="20"/>
              </w:rPr>
            </w:pPr>
          </w:p>
        </w:tc>
        <w:tc>
          <w:tcPr>
            <w:tcW w:w="5" w:type="pct"/>
            <w:vAlign w:val="center"/>
            <w:hideMark/>
          </w:tcPr>
          <w:p w14:paraId="179F5F8F" w14:textId="77777777" w:rsidR="00000000" w:rsidRDefault="00C1661D">
            <w:pPr>
              <w:spacing w:after="100"/>
              <w:rPr>
                <w:rFonts w:eastAsia="Times New Roman"/>
                <w:sz w:val="20"/>
                <w:szCs w:val="20"/>
              </w:rPr>
            </w:pPr>
          </w:p>
        </w:tc>
        <w:tc>
          <w:tcPr>
            <w:tcW w:w="50" w:type="pct"/>
            <w:vAlign w:val="center"/>
            <w:hideMark/>
          </w:tcPr>
          <w:p w14:paraId="5821B1FC" w14:textId="77777777" w:rsidR="00000000" w:rsidRDefault="00C1661D">
            <w:pPr>
              <w:spacing w:after="100"/>
              <w:rPr>
                <w:rFonts w:eastAsia="Times New Roman"/>
                <w:sz w:val="20"/>
                <w:szCs w:val="20"/>
              </w:rPr>
            </w:pPr>
          </w:p>
        </w:tc>
        <w:tc>
          <w:tcPr>
            <w:tcW w:w="684" w:type="pct"/>
            <w:vAlign w:val="center"/>
            <w:hideMark/>
          </w:tcPr>
          <w:p w14:paraId="1FB603DD" w14:textId="77777777" w:rsidR="00000000" w:rsidRDefault="00C1661D">
            <w:pPr>
              <w:spacing w:after="100"/>
              <w:rPr>
                <w:rFonts w:eastAsia="Times New Roman"/>
                <w:sz w:val="20"/>
                <w:szCs w:val="20"/>
              </w:rPr>
            </w:pPr>
          </w:p>
        </w:tc>
        <w:tc>
          <w:tcPr>
            <w:tcW w:w="5" w:type="pct"/>
            <w:vAlign w:val="center"/>
            <w:hideMark/>
          </w:tcPr>
          <w:p w14:paraId="24BEFDAB" w14:textId="77777777" w:rsidR="00000000" w:rsidRDefault="00C1661D">
            <w:pPr>
              <w:spacing w:after="100"/>
              <w:rPr>
                <w:rFonts w:eastAsia="Times New Roman"/>
                <w:sz w:val="20"/>
                <w:szCs w:val="20"/>
              </w:rPr>
            </w:pPr>
          </w:p>
        </w:tc>
      </w:tr>
      <w:tr w:rsidR="00000000" w14:paraId="6B0182D8" w14:textId="77777777">
        <w:trPr>
          <w:divId w:val="364402301"/>
        </w:trPr>
        <w:tc>
          <w:tcPr>
            <w:tcW w:w="0" w:type="auto"/>
            <w:gridSpan w:val="3"/>
            <w:tcMar>
              <w:top w:w="30" w:type="dxa"/>
              <w:left w:w="20" w:type="dxa"/>
              <w:bottom w:w="30" w:type="dxa"/>
              <w:right w:w="20" w:type="dxa"/>
            </w:tcMar>
            <w:vAlign w:val="bottom"/>
            <w:hideMark/>
          </w:tcPr>
          <w:p w14:paraId="48CBAC79" w14:textId="77777777" w:rsidR="00000000" w:rsidRDefault="00C1661D">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14:paraId="48A487FB" w14:textId="77777777" w:rsidR="00000000" w:rsidRDefault="00C1661D">
            <w:pPr>
              <w:spacing w:after="100"/>
              <w:jc w:val="center"/>
              <w:rPr>
                <w:rFonts w:eastAsia="Times New Roman"/>
              </w:rPr>
            </w:pPr>
            <w:r>
              <w:rPr>
                <w:rFonts w:eastAsia="Times New Roman"/>
                <w:color w:val="000000"/>
                <w:sz w:val="20"/>
                <w:szCs w:val="20"/>
              </w:rPr>
              <w:t>Asset (Liability)</w:t>
            </w:r>
          </w:p>
        </w:tc>
      </w:tr>
      <w:tr w:rsidR="00000000" w14:paraId="1951D7C3" w14:textId="77777777">
        <w:trPr>
          <w:divId w:val="364402301"/>
        </w:trPr>
        <w:tc>
          <w:tcPr>
            <w:tcW w:w="0" w:type="auto"/>
            <w:gridSpan w:val="3"/>
            <w:tcMar>
              <w:top w:w="0" w:type="dxa"/>
              <w:left w:w="20" w:type="dxa"/>
              <w:bottom w:w="0" w:type="dxa"/>
              <w:right w:w="20" w:type="dxa"/>
            </w:tcMar>
            <w:vAlign w:val="center"/>
            <w:hideMark/>
          </w:tcPr>
          <w:p w14:paraId="3405906E"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829E75" w14:textId="77777777" w:rsidR="00000000" w:rsidRDefault="00C1661D">
            <w:pPr>
              <w:spacing w:after="100"/>
              <w:jc w:val="center"/>
              <w:rPr>
                <w:rFonts w:eastAsia="Times New Roman"/>
              </w:rPr>
            </w:pPr>
            <w:r>
              <w:rPr>
                <w:rFonts w:eastAsia="Times New Roman"/>
                <w:color w:val="000000"/>
                <w:sz w:val="20"/>
                <w:szCs w:val="20"/>
              </w:rPr>
              <w:t>Level 1</w:t>
            </w:r>
          </w:p>
        </w:tc>
        <w:tc>
          <w:tcPr>
            <w:tcW w:w="0" w:type="auto"/>
            <w:gridSpan w:val="3"/>
            <w:tcBorders>
              <w:top w:val="single" w:sz="8" w:space="0" w:color="000000"/>
            </w:tcBorders>
            <w:tcMar>
              <w:top w:w="0" w:type="dxa"/>
              <w:left w:w="20" w:type="dxa"/>
              <w:bottom w:w="0" w:type="dxa"/>
              <w:right w:w="20" w:type="dxa"/>
            </w:tcMar>
            <w:vAlign w:val="center"/>
            <w:hideMark/>
          </w:tcPr>
          <w:p w14:paraId="3205C7D2"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CF8A8C" w14:textId="77777777" w:rsidR="00000000" w:rsidRDefault="00C1661D">
            <w:pPr>
              <w:spacing w:after="100"/>
              <w:jc w:val="center"/>
              <w:rPr>
                <w:rFonts w:eastAsia="Times New Roman"/>
              </w:rPr>
            </w:pPr>
            <w:r>
              <w:rPr>
                <w:rFonts w:eastAsia="Times New Roman"/>
                <w:color w:val="000000"/>
                <w:sz w:val="20"/>
                <w:szCs w:val="20"/>
              </w:rPr>
              <w:t>Level 2</w:t>
            </w:r>
          </w:p>
        </w:tc>
        <w:tc>
          <w:tcPr>
            <w:tcW w:w="0" w:type="auto"/>
            <w:gridSpan w:val="3"/>
            <w:tcBorders>
              <w:top w:val="single" w:sz="8" w:space="0" w:color="000000"/>
            </w:tcBorders>
            <w:tcMar>
              <w:top w:w="0" w:type="dxa"/>
              <w:left w:w="20" w:type="dxa"/>
              <w:bottom w:w="0" w:type="dxa"/>
              <w:right w:w="20" w:type="dxa"/>
            </w:tcMar>
            <w:vAlign w:val="center"/>
            <w:hideMark/>
          </w:tcPr>
          <w:p w14:paraId="0F02ECBC"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40B3E5" w14:textId="77777777" w:rsidR="00000000" w:rsidRDefault="00C1661D">
            <w:pPr>
              <w:spacing w:after="100"/>
              <w:jc w:val="center"/>
              <w:rPr>
                <w:rFonts w:eastAsia="Times New Roman"/>
              </w:rPr>
            </w:pPr>
            <w:r>
              <w:rPr>
                <w:rFonts w:eastAsia="Times New Roman"/>
                <w:color w:val="000000"/>
                <w:sz w:val="20"/>
                <w:szCs w:val="20"/>
              </w:rPr>
              <w:t>Level 3</w:t>
            </w:r>
          </w:p>
        </w:tc>
        <w:tc>
          <w:tcPr>
            <w:tcW w:w="0" w:type="auto"/>
            <w:gridSpan w:val="3"/>
            <w:tcBorders>
              <w:top w:val="single" w:sz="8" w:space="0" w:color="000000"/>
            </w:tcBorders>
            <w:tcMar>
              <w:top w:w="0" w:type="dxa"/>
              <w:left w:w="20" w:type="dxa"/>
              <w:bottom w:w="0" w:type="dxa"/>
              <w:right w:w="20" w:type="dxa"/>
            </w:tcMar>
            <w:vAlign w:val="center"/>
            <w:hideMark/>
          </w:tcPr>
          <w:p w14:paraId="134262F6"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DB3A20" w14:textId="77777777" w:rsidR="00000000" w:rsidRDefault="00C1661D">
            <w:pPr>
              <w:spacing w:after="100"/>
              <w:jc w:val="center"/>
              <w:rPr>
                <w:rFonts w:eastAsia="Times New Roman"/>
              </w:rPr>
            </w:pPr>
            <w:r>
              <w:rPr>
                <w:rFonts w:eastAsia="Times New Roman"/>
                <w:color w:val="000000"/>
                <w:sz w:val="20"/>
                <w:szCs w:val="20"/>
              </w:rPr>
              <w:t>Total</w:t>
            </w:r>
          </w:p>
        </w:tc>
      </w:tr>
      <w:tr w:rsidR="00000000" w14:paraId="1043FE76" w14:textId="77777777">
        <w:trPr>
          <w:divId w:val="364402301"/>
        </w:trPr>
        <w:tc>
          <w:tcPr>
            <w:tcW w:w="0" w:type="auto"/>
            <w:gridSpan w:val="3"/>
            <w:shd w:val="clear" w:color="auto" w:fill="CCEEFF"/>
            <w:tcMar>
              <w:top w:w="30" w:type="dxa"/>
              <w:left w:w="20" w:type="dxa"/>
              <w:bottom w:w="30" w:type="dxa"/>
              <w:right w:w="20" w:type="dxa"/>
            </w:tcMar>
            <w:vAlign w:val="bottom"/>
            <w:hideMark/>
          </w:tcPr>
          <w:p w14:paraId="73CF0A4F" w14:textId="77777777" w:rsidR="00000000" w:rsidRDefault="00C1661D">
            <w:pPr>
              <w:spacing w:after="100"/>
              <w:rPr>
                <w:rFonts w:eastAsia="Times New Roman"/>
              </w:rPr>
            </w:pPr>
            <w:r>
              <w:rPr>
                <w:rFonts w:eastAsia="Times New Roman"/>
                <w:b/>
                <w:bCs/>
                <w:color w:val="000000"/>
                <w:sz w:val="20"/>
                <w:szCs w:val="20"/>
              </w:rPr>
              <w:t>September 30,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8CB7AEC"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137A43F"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EA4F009"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899595F"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064BA7"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2914412"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9ED50DD" w14:textId="77777777" w:rsidR="00000000" w:rsidRDefault="00C1661D">
            <w:pPr>
              <w:spacing w:after="100"/>
              <w:rPr>
                <w:rFonts w:eastAsia="Times New Roman"/>
              </w:rPr>
            </w:pPr>
            <w:r>
              <w:rPr>
                <w:rFonts w:eastAsia="Times New Roman"/>
                <w:color w:val="000000"/>
                <w:sz w:val="20"/>
                <w:szCs w:val="20"/>
              </w:rPr>
              <w:t> </w:t>
            </w:r>
          </w:p>
        </w:tc>
      </w:tr>
      <w:tr w:rsidR="00000000" w14:paraId="4C2D85E1" w14:textId="77777777">
        <w:trPr>
          <w:divId w:val="364402301"/>
        </w:trPr>
        <w:tc>
          <w:tcPr>
            <w:tcW w:w="0" w:type="auto"/>
            <w:gridSpan w:val="3"/>
            <w:shd w:val="clear" w:color="auto" w:fill="FFFFFF"/>
            <w:tcMar>
              <w:top w:w="30" w:type="dxa"/>
              <w:left w:w="20" w:type="dxa"/>
              <w:bottom w:w="30" w:type="dxa"/>
              <w:right w:w="20" w:type="dxa"/>
            </w:tcMar>
            <w:vAlign w:val="bottom"/>
            <w:hideMark/>
          </w:tcPr>
          <w:p w14:paraId="1B85B5FC" w14:textId="77777777" w:rsidR="00000000" w:rsidRDefault="00C1661D">
            <w:pPr>
              <w:spacing w:after="100"/>
              <w:rPr>
                <w:rFonts w:eastAsia="Times New Roman"/>
              </w:rPr>
            </w:pPr>
            <w:r>
              <w:rPr>
                <w:rFonts w:eastAsia="Times New Roman"/>
                <w:color w:val="000000"/>
                <w:sz w:val="20"/>
                <w:szCs w:val="20"/>
              </w:rPr>
              <w:t>Derivative instruments:</w:t>
            </w:r>
          </w:p>
        </w:tc>
        <w:tc>
          <w:tcPr>
            <w:tcW w:w="0" w:type="auto"/>
            <w:gridSpan w:val="3"/>
            <w:shd w:val="clear" w:color="auto" w:fill="FFFFFF"/>
            <w:tcMar>
              <w:top w:w="30" w:type="dxa"/>
              <w:left w:w="20" w:type="dxa"/>
              <w:bottom w:w="30" w:type="dxa"/>
              <w:right w:w="20" w:type="dxa"/>
            </w:tcMar>
            <w:vAlign w:val="bottom"/>
            <w:hideMark/>
          </w:tcPr>
          <w:p w14:paraId="73A3321A"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6C5FA11"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4174A4D"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C8A2393"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A836957"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E6CE528"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29FEC01" w14:textId="77777777" w:rsidR="00000000" w:rsidRDefault="00C1661D">
            <w:pPr>
              <w:spacing w:after="100"/>
              <w:rPr>
                <w:rFonts w:eastAsia="Times New Roman"/>
              </w:rPr>
            </w:pPr>
            <w:r>
              <w:rPr>
                <w:rFonts w:eastAsia="Times New Roman"/>
                <w:color w:val="000000"/>
                <w:sz w:val="20"/>
                <w:szCs w:val="20"/>
              </w:rPr>
              <w:t> </w:t>
            </w:r>
          </w:p>
        </w:tc>
      </w:tr>
      <w:tr w:rsidR="00000000" w14:paraId="4FC064C9" w14:textId="77777777">
        <w:trPr>
          <w:divId w:val="364402301"/>
        </w:trPr>
        <w:tc>
          <w:tcPr>
            <w:tcW w:w="0" w:type="auto"/>
            <w:gridSpan w:val="3"/>
            <w:shd w:val="clear" w:color="auto" w:fill="CCEEFF"/>
            <w:tcMar>
              <w:top w:w="30" w:type="dxa"/>
              <w:left w:w="155" w:type="dxa"/>
              <w:bottom w:w="30" w:type="dxa"/>
              <w:right w:w="20" w:type="dxa"/>
            </w:tcMar>
            <w:vAlign w:val="bottom"/>
            <w:hideMark/>
          </w:tcPr>
          <w:p w14:paraId="0975E654" w14:textId="77777777" w:rsidR="00000000" w:rsidRDefault="00C1661D">
            <w:pPr>
              <w:spacing w:after="100"/>
              <w:rPr>
                <w:rFonts w:eastAsia="Times New Roman"/>
              </w:rPr>
            </w:pPr>
            <w:r>
              <w:rPr>
                <w:rFonts w:eastAsia="Times New Roman"/>
                <w:color w:val="000000"/>
                <w:sz w:val="20"/>
                <w:szCs w:val="20"/>
              </w:rPr>
              <w:t>Assets:</w:t>
            </w:r>
          </w:p>
        </w:tc>
        <w:tc>
          <w:tcPr>
            <w:tcW w:w="0" w:type="auto"/>
            <w:gridSpan w:val="3"/>
            <w:shd w:val="clear" w:color="auto" w:fill="CCEEFF"/>
            <w:tcMar>
              <w:top w:w="30" w:type="dxa"/>
              <w:left w:w="20" w:type="dxa"/>
              <w:bottom w:w="30" w:type="dxa"/>
              <w:right w:w="20" w:type="dxa"/>
            </w:tcMar>
            <w:vAlign w:val="bottom"/>
            <w:hideMark/>
          </w:tcPr>
          <w:p w14:paraId="0B11E9FA"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949DDE8"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1D2EF10"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42A143B"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D56BF9F"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4022CB2"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279A51F" w14:textId="77777777" w:rsidR="00000000" w:rsidRDefault="00C1661D">
            <w:pPr>
              <w:spacing w:after="100"/>
              <w:rPr>
                <w:rFonts w:eastAsia="Times New Roman"/>
              </w:rPr>
            </w:pPr>
            <w:r>
              <w:rPr>
                <w:rFonts w:eastAsia="Times New Roman"/>
                <w:color w:val="000000"/>
                <w:sz w:val="20"/>
                <w:szCs w:val="20"/>
              </w:rPr>
              <w:t> </w:t>
            </w:r>
          </w:p>
        </w:tc>
      </w:tr>
      <w:tr w:rsidR="00000000" w14:paraId="2EBD419B" w14:textId="77777777">
        <w:trPr>
          <w:divId w:val="364402301"/>
        </w:trPr>
        <w:tc>
          <w:tcPr>
            <w:tcW w:w="0" w:type="auto"/>
            <w:gridSpan w:val="3"/>
            <w:shd w:val="clear" w:color="auto" w:fill="FFFFFF"/>
            <w:tcMar>
              <w:top w:w="30" w:type="dxa"/>
              <w:left w:w="380" w:type="dxa"/>
              <w:bottom w:w="30" w:type="dxa"/>
              <w:right w:w="20" w:type="dxa"/>
            </w:tcMar>
            <w:vAlign w:val="bottom"/>
            <w:hideMark/>
          </w:tcPr>
          <w:p w14:paraId="22E75AA6" w14:textId="77777777" w:rsidR="00000000" w:rsidRDefault="00C1661D">
            <w:pPr>
              <w:spacing w:after="100"/>
              <w:rPr>
                <w:rFonts w:eastAsia="Times New Roman"/>
              </w:rPr>
            </w:pPr>
            <w:r>
              <w:rPr>
                <w:rFonts w:eastAsia="Times New Roman"/>
                <w:color w:val="000000"/>
                <w:sz w:val="20"/>
                <w:szCs w:val="20"/>
              </w:rPr>
              <w:t>Commodity contracts (b)</w:t>
            </w:r>
          </w:p>
        </w:tc>
        <w:tc>
          <w:tcPr>
            <w:tcW w:w="0" w:type="auto"/>
            <w:shd w:val="clear" w:color="auto" w:fill="FFFFFF"/>
            <w:tcMar>
              <w:top w:w="30" w:type="dxa"/>
              <w:left w:w="20" w:type="dxa"/>
              <w:bottom w:w="30" w:type="dxa"/>
              <w:right w:w="0" w:type="dxa"/>
            </w:tcMar>
            <w:vAlign w:val="bottom"/>
            <w:hideMark/>
          </w:tcPr>
          <w:p w14:paraId="208D4DC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7EE6D7D" w14:textId="77777777" w:rsidR="00000000" w:rsidRDefault="00C1661D">
            <w:pPr>
              <w:spacing w:after="100"/>
              <w:jc w:val="right"/>
              <w:rPr>
                <w:rFonts w:eastAsia="Times New Roman"/>
              </w:rPr>
            </w:pPr>
            <w:r>
              <w:rPr>
                <w:rFonts w:eastAsia="Times New Roman"/>
                <w:color w:val="000000"/>
                <w:sz w:val="20"/>
                <w:szCs w:val="20"/>
              </w:rPr>
              <w:t>938 </w:t>
            </w:r>
          </w:p>
        </w:tc>
        <w:tc>
          <w:tcPr>
            <w:tcW w:w="0" w:type="auto"/>
            <w:shd w:val="clear" w:color="auto" w:fill="FFFFFF"/>
            <w:tcMar>
              <w:top w:w="30" w:type="dxa"/>
              <w:left w:w="0" w:type="dxa"/>
              <w:bottom w:w="30" w:type="dxa"/>
              <w:right w:w="20" w:type="dxa"/>
            </w:tcMar>
            <w:vAlign w:val="bottom"/>
            <w:hideMark/>
          </w:tcPr>
          <w:p w14:paraId="40EB413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315E34"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CF7C37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8126627" w14:textId="77777777" w:rsidR="00000000" w:rsidRDefault="00C1661D">
            <w:pPr>
              <w:spacing w:after="100"/>
              <w:jc w:val="right"/>
              <w:rPr>
                <w:rFonts w:eastAsia="Times New Roman"/>
              </w:rPr>
            </w:pPr>
            <w:r>
              <w:rPr>
                <w:rFonts w:eastAsia="Times New Roman"/>
                <w:color w:val="000000"/>
                <w:sz w:val="20"/>
                <w:szCs w:val="20"/>
              </w:rPr>
              <w:t>1,268 </w:t>
            </w:r>
          </w:p>
        </w:tc>
        <w:tc>
          <w:tcPr>
            <w:tcW w:w="0" w:type="auto"/>
            <w:shd w:val="clear" w:color="auto" w:fill="FFFFFF"/>
            <w:tcMar>
              <w:top w:w="30" w:type="dxa"/>
              <w:left w:w="0" w:type="dxa"/>
              <w:bottom w:w="30" w:type="dxa"/>
              <w:right w:w="20" w:type="dxa"/>
            </w:tcMar>
            <w:vAlign w:val="bottom"/>
            <w:hideMark/>
          </w:tcPr>
          <w:p w14:paraId="34E5A94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9CE595"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20739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FE9E33" w14:textId="77777777" w:rsidR="00000000" w:rsidRDefault="00C1661D">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1907F58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62FE34"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BEF9A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27BDFDF" w14:textId="77777777" w:rsidR="00000000" w:rsidRDefault="00C1661D">
            <w:pPr>
              <w:spacing w:after="100"/>
              <w:jc w:val="right"/>
              <w:rPr>
                <w:rFonts w:eastAsia="Times New Roman"/>
              </w:rPr>
            </w:pPr>
            <w:r>
              <w:rPr>
                <w:rFonts w:eastAsia="Times New Roman"/>
                <w:color w:val="000000"/>
                <w:sz w:val="20"/>
                <w:szCs w:val="20"/>
              </w:rPr>
              <w:t>2,233 </w:t>
            </w:r>
          </w:p>
        </w:tc>
        <w:tc>
          <w:tcPr>
            <w:tcW w:w="0" w:type="auto"/>
            <w:shd w:val="clear" w:color="auto" w:fill="FFFFFF"/>
            <w:tcMar>
              <w:top w:w="30" w:type="dxa"/>
              <w:left w:w="0" w:type="dxa"/>
              <w:bottom w:w="30" w:type="dxa"/>
              <w:right w:w="20" w:type="dxa"/>
            </w:tcMar>
            <w:vAlign w:val="bottom"/>
            <w:hideMark/>
          </w:tcPr>
          <w:p w14:paraId="354838F1" w14:textId="77777777" w:rsidR="00000000" w:rsidRDefault="00C1661D">
            <w:pPr>
              <w:spacing w:after="100"/>
              <w:jc w:val="right"/>
              <w:rPr>
                <w:rFonts w:eastAsia="Times New Roman"/>
              </w:rPr>
            </w:pPr>
          </w:p>
        </w:tc>
      </w:tr>
      <w:tr w:rsidR="00000000" w14:paraId="6E3E02D6" w14:textId="77777777">
        <w:trPr>
          <w:divId w:val="364402301"/>
        </w:trPr>
        <w:tc>
          <w:tcPr>
            <w:tcW w:w="0" w:type="auto"/>
            <w:gridSpan w:val="3"/>
            <w:shd w:val="clear" w:color="auto" w:fill="CCEEFF"/>
            <w:tcMar>
              <w:top w:w="30" w:type="dxa"/>
              <w:left w:w="380" w:type="dxa"/>
              <w:bottom w:w="30" w:type="dxa"/>
              <w:right w:w="20" w:type="dxa"/>
            </w:tcMar>
            <w:vAlign w:val="bottom"/>
            <w:hideMark/>
          </w:tcPr>
          <w:p w14:paraId="2D8A98CC" w14:textId="77777777" w:rsidR="00000000" w:rsidRDefault="00C1661D">
            <w:pPr>
              <w:spacing w:after="100"/>
              <w:rPr>
                <w:rFonts w:eastAsia="Times New Roman"/>
              </w:rPr>
            </w:pPr>
            <w:r>
              <w:rPr>
                <w:rFonts w:eastAsia="Times New Roman"/>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14:paraId="39149A8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678433E"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B88F7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3CDCB"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4DAEC9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B342D5" w14:textId="77777777" w:rsidR="00000000" w:rsidRDefault="00C1661D">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14:paraId="4117C76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48EAEB"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0691DE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BADDDC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822A6A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5F98A7"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70058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91C59F" w14:textId="77777777" w:rsidR="00000000" w:rsidRDefault="00C1661D">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14:paraId="09571E9C" w14:textId="77777777" w:rsidR="00000000" w:rsidRDefault="00C1661D">
            <w:pPr>
              <w:spacing w:after="100"/>
              <w:jc w:val="right"/>
              <w:rPr>
                <w:rFonts w:eastAsia="Times New Roman"/>
              </w:rPr>
            </w:pPr>
          </w:p>
        </w:tc>
      </w:tr>
      <w:tr w:rsidR="00000000" w14:paraId="75D4F9ED" w14:textId="77777777">
        <w:trPr>
          <w:divId w:val="364402301"/>
        </w:trPr>
        <w:tc>
          <w:tcPr>
            <w:tcW w:w="0" w:type="auto"/>
            <w:gridSpan w:val="3"/>
            <w:vAlign w:val="center"/>
            <w:hideMark/>
          </w:tcPr>
          <w:p w14:paraId="5BFFC679" w14:textId="77777777" w:rsidR="00000000" w:rsidRDefault="00C1661D">
            <w:pPr>
              <w:spacing w:after="100"/>
              <w:jc w:val="right"/>
              <w:rPr>
                <w:rFonts w:eastAsia="Times New Roman"/>
                <w:sz w:val="20"/>
                <w:szCs w:val="20"/>
              </w:rPr>
            </w:pPr>
          </w:p>
        </w:tc>
        <w:tc>
          <w:tcPr>
            <w:tcW w:w="0" w:type="auto"/>
            <w:gridSpan w:val="3"/>
            <w:vAlign w:val="center"/>
            <w:hideMark/>
          </w:tcPr>
          <w:p w14:paraId="7E6DFE2C" w14:textId="77777777" w:rsidR="00000000" w:rsidRDefault="00C1661D">
            <w:pPr>
              <w:spacing w:after="100"/>
              <w:rPr>
                <w:rFonts w:eastAsia="Times New Roman"/>
                <w:sz w:val="20"/>
                <w:szCs w:val="20"/>
              </w:rPr>
            </w:pPr>
          </w:p>
        </w:tc>
        <w:tc>
          <w:tcPr>
            <w:tcW w:w="0" w:type="auto"/>
            <w:gridSpan w:val="3"/>
            <w:vAlign w:val="center"/>
            <w:hideMark/>
          </w:tcPr>
          <w:p w14:paraId="5CBCE59A" w14:textId="77777777" w:rsidR="00000000" w:rsidRDefault="00C1661D">
            <w:pPr>
              <w:spacing w:after="100"/>
              <w:rPr>
                <w:rFonts w:eastAsia="Times New Roman"/>
                <w:sz w:val="20"/>
                <w:szCs w:val="20"/>
              </w:rPr>
            </w:pPr>
          </w:p>
        </w:tc>
        <w:tc>
          <w:tcPr>
            <w:tcW w:w="0" w:type="auto"/>
            <w:gridSpan w:val="3"/>
            <w:vAlign w:val="center"/>
            <w:hideMark/>
          </w:tcPr>
          <w:p w14:paraId="55C13C74" w14:textId="77777777" w:rsidR="00000000" w:rsidRDefault="00C1661D">
            <w:pPr>
              <w:spacing w:after="100"/>
              <w:rPr>
                <w:rFonts w:eastAsia="Times New Roman"/>
                <w:sz w:val="20"/>
                <w:szCs w:val="20"/>
              </w:rPr>
            </w:pPr>
          </w:p>
        </w:tc>
        <w:tc>
          <w:tcPr>
            <w:tcW w:w="0" w:type="auto"/>
            <w:gridSpan w:val="3"/>
            <w:vAlign w:val="center"/>
            <w:hideMark/>
          </w:tcPr>
          <w:p w14:paraId="7139237A" w14:textId="77777777" w:rsidR="00000000" w:rsidRDefault="00C1661D">
            <w:pPr>
              <w:spacing w:after="100"/>
              <w:rPr>
                <w:rFonts w:eastAsia="Times New Roman"/>
                <w:sz w:val="20"/>
                <w:szCs w:val="20"/>
              </w:rPr>
            </w:pPr>
          </w:p>
        </w:tc>
        <w:tc>
          <w:tcPr>
            <w:tcW w:w="0" w:type="auto"/>
            <w:gridSpan w:val="3"/>
            <w:vAlign w:val="center"/>
            <w:hideMark/>
          </w:tcPr>
          <w:p w14:paraId="3812EA65" w14:textId="77777777" w:rsidR="00000000" w:rsidRDefault="00C1661D">
            <w:pPr>
              <w:spacing w:after="100"/>
              <w:rPr>
                <w:rFonts w:eastAsia="Times New Roman"/>
                <w:sz w:val="20"/>
                <w:szCs w:val="20"/>
              </w:rPr>
            </w:pPr>
          </w:p>
        </w:tc>
        <w:tc>
          <w:tcPr>
            <w:tcW w:w="0" w:type="auto"/>
            <w:gridSpan w:val="3"/>
            <w:vAlign w:val="center"/>
            <w:hideMark/>
          </w:tcPr>
          <w:p w14:paraId="48B6EDE5" w14:textId="77777777" w:rsidR="00000000" w:rsidRDefault="00C1661D">
            <w:pPr>
              <w:spacing w:after="100"/>
              <w:rPr>
                <w:rFonts w:eastAsia="Times New Roman"/>
                <w:sz w:val="20"/>
                <w:szCs w:val="20"/>
              </w:rPr>
            </w:pPr>
          </w:p>
        </w:tc>
        <w:tc>
          <w:tcPr>
            <w:tcW w:w="0" w:type="auto"/>
            <w:gridSpan w:val="3"/>
            <w:vAlign w:val="center"/>
            <w:hideMark/>
          </w:tcPr>
          <w:p w14:paraId="2CD155CA" w14:textId="77777777" w:rsidR="00000000" w:rsidRDefault="00C1661D">
            <w:pPr>
              <w:spacing w:after="100"/>
              <w:rPr>
                <w:rFonts w:eastAsia="Times New Roman"/>
                <w:sz w:val="20"/>
                <w:szCs w:val="20"/>
              </w:rPr>
            </w:pPr>
          </w:p>
        </w:tc>
      </w:tr>
      <w:tr w:rsidR="00000000" w14:paraId="7A3CBBBC" w14:textId="77777777">
        <w:trPr>
          <w:divId w:val="364402301"/>
        </w:trPr>
        <w:tc>
          <w:tcPr>
            <w:tcW w:w="0" w:type="auto"/>
            <w:gridSpan w:val="3"/>
            <w:shd w:val="clear" w:color="auto" w:fill="FFFFFF"/>
            <w:tcMar>
              <w:top w:w="30" w:type="dxa"/>
              <w:left w:w="380" w:type="dxa"/>
              <w:bottom w:w="30" w:type="dxa"/>
              <w:right w:w="20" w:type="dxa"/>
            </w:tcMar>
            <w:vAlign w:val="bottom"/>
            <w:hideMark/>
          </w:tcPr>
          <w:p w14:paraId="0684E73F" w14:textId="77777777" w:rsidR="00000000" w:rsidRDefault="00C1661D">
            <w:pPr>
              <w:spacing w:after="100"/>
              <w:rPr>
                <w:rFonts w:eastAsia="Times New Roman"/>
              </w:rPr>
            </w:pPr>
            <w:r>
              <w:rPr>
                <w:rFonts w:eastAsia="Times New Roman"/>
                <w:color w:val="000000"/>
                <w:sz w:val="20"/>
                <w:szCs w:val="20"/>
              </w:rPr>
              <w:t>Interest rate contracts</w:t>
            </w:r>
          </w:p>
        </w:tc>
        <w:tc>
          <w:tcPr>
            <w:tcW w:w="0" w:type="auto"/>
            <w:shd w:val="clear" w:color="auto" w:fill="FFFFFF"/>
            <w:tcMar>
              <w:top w:w="30" w:type="dxa"/>
              <w:left w:w="20" w:type="dxa"/>
              <w:bottom w:w="30" w:type="dxa"/>
              <w:right w:w="0" w:type="dxa"/>
            </w:tcMar>
            <w:vAlign w:val="bottom"/>
            <w:hideMark/>
          </w:tcPr>
          <w:p w14:paraId="33A80FF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179336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B6950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7FB20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DDFF9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CA2915A" w14:textId="77777777" w:rsidR="00000000" w:rsidRDefault="00C1661D">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14:paraId="33AF19B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7A4A3C"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7EC7F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7C97B3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787A60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9EA62"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3A18B2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763C03E" w14:textId="77777777" w:rsidR="00000000" w:rsidRDefault="00C1661D">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14:paraId="68D2CE2E" w14:textId="77777777" w:rsidR="00000000" w:rsidRDefault="00C1661D">
            <w:pPr>
              <w:spacing w:after="100"/>
              <w:jc w:val="right"/>
              <w:rPr>
                <w:rFonts w:eastAsia="Times New Roman"/>
              </w:rPr>
            </w:pPr>
          </w:p>
        </w:tc>
      </w:tr>
      <w:tr w:rsidR="00000000" w14:paraId="13CFFF17" w14:textId="77777777">
        <w:trPr>
          <w:divId w:val="364402301"/>
        </w:trPr>
        <w:tc>
          <w:tcPr>
            <w:tcW w:w="0" w:type="auto"/>
            <w:gridSpan w:val="3"/>
            <w:shd w:val="clear" w:color="auto" w:fill="CCEEFF"/>
            <w:tcMar>
              <w:top w:w="30" w:type="dxa"/>
              <w:left w:w="20" w:type="dxa"/>
              <w:bottom w:w="30" w:type="dxa"/>
              <w:right w:w="20" w:type="dxa"/>
            </w:tcMar>
            <w:vAlign w:val="bottom"/>
            <w:hideMark/>
          </w:tcPr>
          <w:p w14:paraId="06FB1343" w14:textId="77777777" w:rsidR="00000000" w:rsidRDefault="00C1661D">
            <w:pPr>
              <w:spacing w:after="100"/>
              <w:rPr>
                <w:rFonts w:eastAsia="Times New Roman"/>
              </w:rPr>
            </w:pPr>
            <w:r>
              <w:rPr>
                <w:rFonts w:eastAsia="Times New Roman"/>
                <w:color w:val="000000"/>
                <w:sz w:val="20"/>
                <w:szCs w:val="20"/>
              </w:rPr>
              <w:t>   Liabilities:</w:t>
            </w:r>
          </w:p>
        </w:tc>
        <w:tc>
          <w:tcPr>
            <w:tcW w:w="0" w:type="auto"/>
            <w:gridSpan w:val="3"/>
            <w:shd w:val="clear" w:color="auto" w:fill="CCEEFF"/>
            <w:tcMar>
              <w:top w:w="30" w:type="dxa"/>
              <w:left w:w="20" w:type="dxa"/>
              <w:bottom w:w="30" w:type="dxa"/>
              <w:right w:w="20" w:type="dxa"/>
            </w:tcMar>
            <w:vAlign w:val="bottom"/>
            <w:hideMark/>
          </w:tcPr>
          <w:p w14:paraId="691E9D78"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68C0445"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48CB8B0"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59607D0"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7B6822A"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FAC69AA"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45E6184" w14:textId="77777777" w:rsidR="00000000" w:rsidRDefault="00C1661D">
            <w:pPr>
              <w:spacing w:after="100"/>
              <w:rPr>
                <w:rFonts w:eastAsia="Times New Roman"/>
              </w:rPr>
            </w:pPr>
            <w:r>
              <w:rPr>
                <w:rFonts w:eastAsia="Times New Roman"/>
                <w:color w:val="000000"/>
                <w:sz w:val="20"/>
                <w:szCs w:val="20"/>
              </w:rPr>
              <w:t> </w:t>
            </w:r>
          </w:p>
        </w:tc>
      </w:tr>
      <w:tr w:rsidR="00000000" w14:paraId="0C7A0B96" w14:textId="77777777">
        <w:trPr>
          <w:divId w:val="364402301"/>
        </w:trPr>
        <w:tc>
          <w:tcPr>
            <w:tcW w:w="0" w:type="auto"/>
            <w:gridSpan w:val="3"/>
            <w:shd w:val="clear" w:color="auto" w:fill="FFFFFF"/>
            <w:tcMar>
              <w:top w:w="30" w:type="dxa"/>
              <w:left w:w="380" w:type="dxa"/>
              <w:bottom w:w="30" w:type="dxa"/>
              <w:right w:w="20" w:type="dxa"/>
            </w:tcMar>
            <w:vAlign w:val="bottom"/>
            <w:hideMark/>
          </w:tcPr>
          <w:p w14:paraId="2D79CBAE" w14:textId="77777777" w:rsidR="00000000" w:rsidRDefault="00C1661D">
            <w:pPr>
              <w:spacing w:after="100"/>
              <w:rPr>
                <w:rFonts w:eastAsia="Times New Roman"/>
              </w:rPr>
            </w:pPr>
            <w:r>
              <w:rPr>
                <w:rFonts w:eastAsia="Times New Roman"/>
                <w:color w:val="000000"/>
                <w:sz w:val="20"/>
                <w:szCs w:val="20"/>
              </w:rPr>
              <w:t>Commodity contracts (b)</w:t>
            </w:r>
          </w:p>
        </w:tc>
        <w:tc>
          <w:tcPr>
            <w:tcW w:w="0" w:type="auto"/>
            <w:shd w:val="clear" w:color="auto" w:fill="FFFFFF"/>
            <w:tcMar>
              <w:top w:w="30" w:type="dxa"/>
              <w:left w:w="20" w:type="dxa"/>
              <w:bottom w:w="30" w:type="dxa"/>
              <w:right w:w="0" w:type="dxa"/>
            </w:tcMar>
            <w:vAlign w:val="bottom"/>
            <w:hideMark/>
          </w:tcPr>
          <w:p w14:paraId="3487A02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21734F5" w14:textId="77777777" w:rsidR="00000000" w:rsidRDefault="00C1661D">
            <w:pPr>
              <w:spacing w:after="100"/>
              <w:jc w:val="right"/>
              <w:rPr>
                <w:rFonts w:eastAsia="Times New Roman"/>
              </w:rPr>
            </w:pPr>
            <w:r>
              <w:rPr>
                <w:rFonts w:eastAsia="Times New Roman"/>
                <w:color w:val="000000"/>
                <w:sz w:val="20"/>
                <w:szCs w:val="20"/>
              </w:rPr>
              <w:t>(377)</w:t>
            </w:r>
          </w:p>
        </w:tc>
        <w:tc>
          <w:tcPr>
            <w:tcW w:w="0" w:type="auto"/>
            <w:shd w:val="clear" w:color="auto" w:fill="FFFFFF"/>
            <w:tcMar>
              <w:top w:w="30" w:type="dxa"/>
              <w:left w:w="0" w:type="dxa"/>
              <w:bottom w:w="30" w:type="dxa"/>
              <w:right w:w="20" w:type="dxa"/>
            </w:tcMar>
            <w:vAlign w:val="bottom"/>
            <w:hideMark/>
          </w:tcPr>
          <w:p w14:paraId="5F57777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8EEF9D"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8B3CA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7A23AEA" w14:textId="77777777" w:rsidR="00000000" w:rsidRDefault="00C1661D">
            <w:pPr>
              <w:spacing w:after="100"/>
              <w:jc w:val="right"/>
              <w:rPr>
                <w:rFonts w:eastAsia="Times New Roman"/>
              </w:rPr>
            </w:pPr>
            <w:r>
              <w:rPr>
                <w:rFonts w:eastAsia="Times New Roman"/>
                <w:color w:val="000000"/>
                <w:sz w:val="20"/>
                <w:szCs w:val="20"/>
              </w:rPr>
              <w:t>(136)</w:t>
            </w:r>
          </w:p>
        </w:tc>
        <w:tc>
          <w:tcPr>
            <w:tcW w:w="0" w:type="auto"/>
            <w:shd w:val="clear" w:color="auto" w:fill="FFFFFF"/>
            <w:tcMar>
              <w:top w:w="30" w:type="dxa"/>
              <w:left w:w="0" w:type="dxa"/>
              <w:bottom w:w="30" w:type="dxa"/>
              <w:right w:w="20" w:type="dxa"/>
            </w:tcMar>
            <w:vAlign w:val="bottom"/>
            <w:hideMark/>
          </w:tcPr>
          <w:p w14:paraId="55BB0CF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ECE6B4"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5B36B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0500F6E"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A6CEB3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8796EF"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B62A6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A84F075" w14:textId="77777777" w:rsidR="00000000" w:rsidRDefault="00C1661D">
            <w:pPr>
              <w:spacing w:after="100"/>
              <w:jc w:val="right"/>
              <w:rPr>
                <w:rFonts w:eastAsia="Times New Roman"/>
              </w:rPr>
            </w:pPr>
            <w:r>
              <w:rPr>
                <w:rFonts w:eastAsia="Times New Roman"/>
                <w:color w:val="000000"/>
                <w:sz w:val="20"/>
                <w:szCs w:val="20"/>
              </w:rPr>
              <w:t>(513)</w:t>
            </w:r>
          </w:p>
        </w:tc>
        <w:tc>
          <w:tcPr>
            <w:tcW w:w="0" w:type="auto"/>
            <w:shd w:val="clear" w:color="auto" w:fill="FFFFFF"/>
            <w:tcMar>
              <w:top w:w="30" w:type="dxa"/>
              <w:left w:w="0" w:type="dxa"/>
              <w:bottom w:w="30" w:type="dxa"/>
              <w:right w:w="20" w:type="dxa"/>
            </w:tcMar>
            <w:vAlign w:val="bottom"/>
            <w:hideMark/>
          </w:tcPr>
          <w:p w14:paraId="49097FD6" w14:textId="77777777" w:rsidR="00000000" w:rsidRDefault="00C1661D">
            <w:pPr>
              <w:spacing w:after="100"/>
              <w:jc w:val="right"/>
              <w:rPr>
                <w:rFonts w:eastAsia="Times New Roman"/>
              </w:rPr>
            </w:pPr>
          </w:p>
        </w:tc>
      </w:tr>
      <w:tr w:rsidR="00000000" w14:paraId="2C795C30" w14:textId="77777777">
        <w:trPr>
          <w:divId w:val="364402301"/>
        </w:trPr>
        <w:tc>
          <w:tcPr>
            <w:tcW w:w="0" w:type="auto"/>
            <w:gridSpan w:val="3"/>
            <w:shd w:val="clear" w:color="auto" w:fill="CCEEFF"/>
            <w:tcMar>
              <w:top w:w="30" w:type="dxa"/>
              <w:left w:w="380" w:type="dxa"/>
              <w:bottom w:w="30" w:type="dxa"/>
              <w:right w:w="20" w:type="dxa"/>
            </w:tcMar>
            <w:vAlign w:val="bottom"/>
            <w:hideMark/>
          </w:tcPr>
          <w:p w14:paraId="411B40F9" w14:textId="77777777" w:rsidR="00000000" w:rsidRDefault="00C1661D">
            <w:pPr>
              <w:spacing w:after="100"/>
              <w:rPr>
                <w:rFonts w:eastAsia="Times New Roman"/>
              </w:rPr>
            </w:pPr>
            <w:r>
              <w:rPr>
                <w:rFonts w:eastAsia="Times New Roman"/>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14:paraId="4D98753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D66466"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D6829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5C6CC3"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C55E9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5C99F8A" w14:textId="77777777" w:rsidR="00000000" w:rsidRDefault="00C1661D">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02FA5A3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6289E0"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50373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461EAA2"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B72F33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E843F7"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84382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B6B9081" w14:textId="77777777" w:rsidR="00000000" w:rsidRDefault="00C1661D">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58937842" w14:textId="77777777" w:rsidR="00000000" w:rsidRDefault="00C1661D">
            <w:pPr>
              <w:spacing w:after="100"/>
              <w:jc w:val="right"/>
              <w:rPr>
                <w:rFonts w:eastAsia="Times New Roman"/>
              </w:rPr>
            </w:pPr>
          </w:p>
        </w:tc>
      </w:tr>
      <w:tr w:rsidR="00000000" w14:paraId="6E073822" w14:textId="77777777">
        <w:trPr>
          <w:divId w:val="364402301"/>
        </w:trPr>
        <w:tc>
          <w:tcPr>
            <w:tcW w:w="0" w:type="auto"/>
            <w:gridSpan w:val="3"/>
            <w:vAlign w:val="center"/>
            <w:hideMark/>
          </w:tcPr>
          <w:p w14:paraId="46D2599B" w14:textId="77777777" w:rsidR="00000000" w:rsidRDefault="00C1661D">
            <w:pPr>
              <w:spacing w:after="100"/>
              <w:jc w:val="right"/>
              <w:rPr>
                <w:rFonts w:eastAsia="Times New Roman"/>
                <w:sz w:val="20"/>
                <w:szCs w:val="20"/>
              </w:rPr>
            </w:pPr>
          </w:p>
        </w:tc>
        <w:tc>
          <w:tcPr>
            <w:tcW w:w="0" w:type="auto"/>
            <w:gridSpan w:val="3"/>
            <w:vAlign w:val="center"/>
            <w:hideMark/>
          </w:tcPr>
          <w:p w14:paraId="0EC463AE" w14:textId="77777777" w:rsidR="00000000" w:rsidRDefault="00C1661D">
            <w:pPr>
              <w:spacing w:after="100"/>
              <w:rPr>
                <w:rFonts w:eastAsia="Times New Roman"/>
                <w:sz w:val="20"/>
                <w:szCs w:val="20"/>
              </w:rPr>
            </w:pPr>
          </w:p>
        </w:tc>
        <w:tc>
          <w:tcPr>
            <w:tcW w:w="0" w:type="auto"/>
            <w:gridSpan w:val="3"/>
            <w:vAlign w:val="center"/>
            <w:hideMark/>
          </w:tcPr>
          <w:p w14:paraId="1F30D1EB" w14:textId="77777777" w:rsidR="00000000" w:rsidRDefault="00C1661D">
            <w:pPr>
              <w:spacing w:after="100"/>
              <w:rPr>
                <w:rFonts w:eastAsia="Times New Roman"/>
                <w:sz w:val="20"/>
                <w:szCs w:val="20"/>
              </w:rPr>
            </w:pPr>
          </w:p>
        </w:tc>
        <w:tc>
          <w:tcPr>
            <w:tcW w:w="0" w:type="auto"/>
            <w:gridSpan w:val="3"/>
            <w:vAlign w:val="center"/>
            <w:hideMark/>
          </w:tcPr>
          <w:p w14:paraId="2EF1F7B1" w14:textId="77777777" w:rsidR="00000000" w:rsidRDefault="00C1661D">
            <w:pPr>
              <w:spacing w:after="100"/>
              <w:rPr>
                <w:rFonts w:eastAsia="Times New Roman"/>
                <w:sz w:val="20"/>
                <w:szCs w:val="20"/>
              </w:rPr>
            </w:pPr>
          </w:p>
        </w:tc>
        <w:tc>
          <w:tcPr>
            <w:tcW w:w="0" w:type="auto"/>
            <w:gridSpan w:val="3"/>
            <w:vAlign w:val="center"/>
            <w:hideMark/>
          </w:tcPr>
          <w:p w14:paraId="13B81A8B" w14:textId="77777777" w:rsidR="00000000" w:rsidRDefault="00C1661D">
            <w:pPr>
              <w:spacing w:after="100"/>
              <w:rPr>
                <w:rFonts w:eastAsia="Times New Roman"/>
                <w:sz w:val="20"/>
                <w:szCs w:val="20"/>
              </w:rPr>
            </w:pPr>
          </w:p>
        </w:tc>
        <w:tc>
          <w:tcPr>
            <w:tcW w:w="0" w:type="auto"/>
            <w:gridSpan w:val="3"/>
            <w:vAlign w:val="center"/>
            <w:hideMark/>
          </w:tcPr>
          <w:p w14:paraId="18DF06CA" w14:textId="77777777" w:rsidR="00000000" w:rsidRDefault="00C1661D">
            <w:pPr>
              <w:spacing w:after="100"/>
              <w:rPr>
                <w:rFonts w:eastAsia="Times New Roman"/>
                <w:sz w:val="20"/>
                <w:szCs w:val="20"/>
              </w:rPr>
            </w:pPr>
          </w:p>
        </w:tc>
        <w:tc>
          <w:tcPr>
            <w:tcW w:w="0" w:type="auto"/>
            <w:gridSpan w:val="3"/>
            <w:vAlign w:val="center"/>
            <w:hideMark/>
          </w:tcPr>
          <w:p w14:paraId="3F142104" w14:textId="77777777" w:rsidR="00000000" w:rsidRDefault="00C1661D">
            <w:pPr>
              <w:spacing w:after="100"/>
              <w:rPr>
                <w:rFonts w:eastAsia="Times New Roman"/>
                <w:sz w:val="20"/>
                <w:szCs w:val="20"/>
              </w:rPr>
            </w:pPr>
          </w:p>
        </w:tc>
        <w:tc>
          <w:tcPr>
            <w:tcW w:w="0" w:type="auto"/>
            <w:gridSpan w:val="3"/>
            <w:vAlign w:val="center"/>
            <w:hideMark/>
          </w:tcPr>
          <w:p w14:paraId="024361AF" w14:textId="77777777" w:rsidR="00000000" w:rsidRDefault="00C1661D">
            <w:pPr>
              <w:spacing w:after="100"/>
              <w:rPr>
                <w:rFonts w:eastAsia="Times New Roman"/>
                <w:sz w:val="20"/>
                <w:szCs w:val="20"/>
              </w:rPr>
            </w:pPr>
          </w:p>
        </w:tc>
      </w:tr>
      <w:tr w:rsidR="00000000" w14:paraId="0BE296EF" w14:textId="77777777">
        <w:trPr>
          <w:divId w:val="364402301"/>
        </w:trPr>
        <w:tc>
          <w:tcPr>
            <w:tcW w:w="0" w:type="auto"/>
            <w:gridSpan w:val="3"/>
            <w:vAlign w:val="center"/>
            <w:hideMark/>
          </w:tcPr>
          <w:p w14:paraId="26016E16" w14:textId="77777777" w:rsidR="00000000" w:rsidRDefault="00C1661D">
            <w:pPr>
              <w:spacing w:after="100"/>
              <w:rPr>
                <w:rFonts w:eastAsia="Times New Roman"/>
                <w:sz w:val="20"/>
                <w:szCs w:val="20"/>
              </w:rPr>
            </w:pPr>
          </w:p>
        </w:tc>
        <w:tc>
          <w:tcPr>
            <w:tcW w:w="0" w:type="auto"/>
            <w:gridSpan w:val="3"/>
            <w:vAlign w:val="center"/>
            <w:hideMark/>
          </w:tcPr>
          <w:p w14:paraId="1FE9049B" w14:textId="77777777" w:rsidR="00000000" w:rsidRDefault="00C1661D">
            <w:pPr>
              <w:spacing w:after="100"/>
              <w:rPr>
                <w:rFonts w:eastAsia="Times New Roman"/>
                <w:sz w:val="20"/>
                <w:szCs w:val="20"/>
              </w:rPr>
            </w:pPr>
          </w:p>
        </w:tc>
        <w:tc>
          <w:tcPr>
            <w:tcW w:w="0" w:type="auto"/>
            <w:gridSpan w:val="3"/>
            <w:vAlign w:val="center"/>
            <w:hideMark/>
          </w:tcPr>
          <w:p w14:paraId="49627424" w14:textId="77777777" w:rsidR="00000000" w:rsidRDefault="00C1661D">
            <w:pPr>
              <w:spacing w:after="100"/>
              <w:rPr>
                <w:rFonts w:eastAsia="Times New Roman"/>
                <w:sz w:val="20"/>
                <w:szCs w:val="20"/>
              </w:rPr>
            </w:pPr>
          </w:p>
        </w:tc>
        <w:tc>
          <w:tcPr>
            <w:tcW w:w="0" w:type="auto"/>
            <w:gridSpan w:val="3"/>
            <w:vAlign w:val="center"/>
            <w:hideMark/>
          </w:tcPr>
          <w:p w14:paraId="610E6E01" w14:textId="77777777" w:rsidR="00000000" w:rsidRDefault="00C1661D">
            <w:pPr>
              <w:spacing w:after="100"/>
              <w:rPr>
                <w:rFonts w:eastAsia="Times New Roman"/>
                <w:sz w:val="20"/>
                <w:szCs w:val="20"/>
              </w:rPr>
            </w:pPr>
          </w:p>
        </w:tc>
        <w:tc>
          <w:tcPr>
            <w:tcW w:w="0" w:type="auto"/>
            <w:gridSpan w:val="3"/>
            <w:vAlign w:val="center"/>
            <w:hideMark/>
          </w:tcPr>
          <w:p w14:paraId="019F0FE8" w14:textId="77777777" w:rsidR="00000000" w:rsidRDefault="00C1661D">
            <w:pPr>
              <w:spacing w:after="100"/>
              <w:rPr>
                <w:rFonts w:eastAsia="Times New Roman"/>
                <w:sz w:val="20"/>
                <w:szCs w:val="20"/>
              </w:rPr>
            </w:pPr>
          </w:p>
        </w:tc>
        <w:tc>
          <w:tcPr>
            <w:tcW w:w="0" w:type="auto"/>
            <w:gridSpan w:val="3"/>
            <w:vAlign w:val="center"/>
            <w:hideMark/>
          </w:tcPr>
          <w:p w14:paraId="4E31EE34" w14:textId="77777777" w:rsidR="00000000" w:rsidRDefault="00C1661D">
            <w:pPr>
              <w:spacing w:after="100"/>
              <w:rPr>
                <w:rFonts w:eastAsia="Times New Roman"/>
                <w:sz w:val="20"/>
                <w:szCs w:val="20"/>
              </w:rPr>
            </w:pPr>
          </w:p>
        </w:tc>
        <w:tc>
          <w:tcPr>
            <w:tcW w:w="0" w:type="auto"/>
            <w:gridSpan w:val="3"/>
            <w:vAlign w:val="center"/>
            <w:hideMark/>
          </w:tcPr>
          <w:p w14:paraId="6C8C2033" w14:textId="77777777" w:rsidR="00000000" w:rsidRDefault="00C1661D">
            <w:pPr>
              <w:spacing w:after="100"/>
              <w:rPr>
                <w:rFonts w:eastAsia="Times New Roman"/>
                <w:sz w:val="20"/>
                <w:szCs w:val="20"/>
              </w:rPr>
            </w:pPr>
          </w:p>
        </w:tc>
        <w:tc>
          <w:tcPr>
            <w:tcW w:w="0" w:type="auto"/>
            <w:gridSpan w:val="3"/>
            <w:vAlign w:val="center"/>
            <w:hideMark/>
          </w:tcPr>
          <w:p w14:paraId="56BC2BA1" w14:textId="77777777" w:rsidR="00000000" w:rsidRDefault="00C1661D">
            <w:pPr>
              <w:spacing w:after="100"/>
              <w:rPr>
                <w:rFonts w:eastAsia="Times New Roman"/>
                <w:sz w:val="20"/>
                <w:szCs w:val="20"/>
              </w:rPr>
            </w:pPr>
          </w:p>
        </w:tc>
      </w:tr>
      <w:tr w:rsidR="00000000" w14:paraId="2D308875" w14:textId="77777777">
        <w:trPr>
          <w:divId w:val="364402301"/>
          <w:trHeight w:val="280"/>
        </w:trPr>
        <w:tc>
          <w:tcPr>
            <w:tcW w:w="0" w:type="auto"/>
            <w:gridSpan w:val="3"/>
            <w:shd w:val="clear" w:color="auto" w:fill="FFFFFF"/>
            <w:tcMar>
              <w:top w:w="0" w:type="dxa"/>
              <w:left w:w="20" w:type="dxa"/>
              <w:bottom w:w="0" w:type="dxa"/>
              <w:right w:w="20" w:type="dxa"/>
            </w:tcMar>
            <w:vAlign w:val="center"/>
            <w:hideMark/>
          </w:tcPr>
          <w:p w14:paraId="0EC50154"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D0B754"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15D3C2"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695C77"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0D3AC4"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944A25"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ED3837"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92A0D2" w14:textId="77777777" w:rsidR="00000000" w:rsidRDefault="00C1661D">
            <w:pPr>
              <w:spacing w:after="100"/>
              <w:rPr>
                <w:rFonts w:eastAsia="Times New Roman"/>
                <w:sz w:val="20"/>
                <w:szCs w:val="20"/>
              </w:rPr>
            </w:pPr>
          </w:p>
        </w:tc>
      </w:tr>
      <w:tr w:rsidR="00000000" w14:paraId="12EDB91D" w14:textId="77777777">
        <w:trPr>
          <w:divId w:val="364402301"/>
        </w:trPr>
        <w:tc>
          <w:tcPr>
            <w:tcW w:w="0" w:type="auto"/>
            <w:gridSpan w:val="3"/>
            <w:shd w:val="clear" w:color="auto" w:fill="CCEEFF"/>
            <w:tcMar>
              <w:top w:w="30" w:type="dxa"/>
              <w:left w:w="20" w:type="dxa"/>
              <w:bottom w:w="30" w:type="dxa"/>
              <w:right w:w="20" w:type="dxa"/>
            </w:tcMar>
            <w:vAlign w:val="bottom"/>
            <w:hideMark/>
          </w:tcPr>
          <w:p w14:paraId="39EFC732" w14:textId="77777777" w:rsidR="00000000" w:rsidRDefault="00C1661D">
            <w:pPr>
              <w:spacing w:after="100"/>
              <w:rPr>
                <w:rFonts w:eastAsia="Times New Roman"/>
              </w:rPr>
            </w:pPr>
            <w:r>
              <w:rPr>
                <w:rFonts w:eastAsia="Times New Roman"/>
                <w:color w:val="000000"/>
                <w:sz w:val="20"/>
                <w:szCs w:val="20"/>
              </w:rPr>
              <w:t>Non-qualified supplemental postretirement grantor trust investments (a)</w:t>
            </w:r>
          </w:p>
        </w:tc>
        <w:tc>
          <w:tcPr>
            <w:tcW w:w="0" w:type="auto"/>
            <w:shd w:val="clear" w:color="auto" w:fill="CCEEFF"/>
            <w:tcMar>
              <w:top w:w="30" w:type="dxa"/>
              <w:left w:w="20" w:type="dxa"/>
              <w:bottom w:w="30" w:type="dxa"/>
              <w:right w:w="0" w:type="dxa"/>
            </w:tcMar>
            <w:vAlign w:val="bottom"/>
            <w:hideMark/>
          </w:tcPr>
          <w:p w14:paraId="3EB9A91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398048F" w14:textId="77777777" w:rsidR="00000000" w:rsidRDefault="00C1661D">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14:paraId="29F3C6C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1E9333"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01AE2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3829823"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13304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2F40FF"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2DD5B7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10BB6FB"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779C9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F2BCB"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FFC38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AFD7933" w14:textId="77777777" w:rsidR="00000000" w:rsidRDefault="00C1661D">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14:paraId="091F5ADE" w14:textId="77777777" w:rsidR="00000000" w:rsidRDefault="00C1661D">
            <w:pPr>
              <w:spacing w:after="100"/>
              <w:jc w:val="right"/>
              <w:rPr>
                <w:rFonts w:eastAsia="Times New Roman"/>
              </w:rPr>
            </w:pPr>
          </w:p>
        </w:tc>
      </w:tr>
      <w:tr w:rsidR="00000000" w14:paraId="14452563" w14:textId="77777777">
        <w:trPr>
          <w:divId w:val="364402301"/>
          <w:trHeight w:val="300"/>
        </w:trPr>
        <w:tc>
          <w:tcPr>
            <w:tcW w:w="0" w:type="auto"/>
            <w:gridSpan w:val="3"/>
            <w:shd w:val="clear" w:color="auto" w:fill="FFFFFF"/>
            <w:tcMar>
              <w:top w:w="0" w:type="dxa"/>
              <w:left w:w="20" w:type="dxa"/>
              <w:bottom w:w="0" w:type="dxa"/>
              <w:right w:w="20" w:type="dxa"/>
            </w:tcMar>
            <w:vAlign w:val="center"/>
            <w:hideMark/>
          </w:tcPr>
          <w:p w14:paraId="44E3456F" w14:textId="77777777" w:rsidR="00000000" w:rsidRDefault="00C1661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EB7A2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B936C8"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77549F"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F639EB"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18C443"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2E1AA8"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C14A1D" w14:textId="77777777" w:rsidR="00000000" w:rsidRDefault="00C1661D">
            <w:pPr>
              <w:spacing w:after="100"/>
              <w:rPr>
                <w:rFonts w:eastAsia="Times New Roman"/>
                <w:sz w:val="20"/>
                <w:szCs w:val="20"/>
              </w:rPr>
            </w:pPr>
          </w:p>
        </w:tc>
      </w:tr>
      <w:tr w:rsidR="00000000" w14:paraId="793A51AB" w14:textId="77777777">
        <w:trPr>
          <w:divId w:val="364402301"/>
        </w:trPr>
        <w:tc>
          <w:tcPr>
            <w:tcW w:w="0" w:type="auto"/>
            <w:gridSpan w:val="3"/>
            <w:shd w:val="clear" w:color="auto" w:fill="CCEEFF"/>
            <w:tcMar>
              <w:top w:w="30" w:type="dxa"/>
              <w:left w:w="20" w:type="dxa"/>
              <w:bottom w:w="30" w:type="dxa"/>
              <w:right w:w="20" w:type="dxa"/>
            </w:tcMar>
            <w:vAlign w:val="bottom"/>
            <w:hideMark/>
          </w:tcPr>
          <w:p w14:paraId="3BB7FB31" w14:textId="77777777" w:rsidR="00000000" w:rsidRDefault="00C1661D">
            <w:pPr>
              <w:spacing w:after="100"/>
              <w:rPr>
                <w:rFonts w:eastAsia="Times New Roman"/>
              </w:rPr>
            </w:pPr>
            <w:r>
              <w:rPr>
                <w:rFonts w:eastAsia="Times New Roman"/>
                <w:b/>
                <w:bCs/>
                <w:color w:val="000000"/>
                <w:sz w:val="20"/>
                <w:szCs w:val="20"/>
              </w:rPr>
              <w:t>September 30, 2021</w:t>
            </w:r>
          </w:p>
        </w:tc>
        <w:tc>
          <w:tcPr>
            <w:tcW w:w="0" w:type="auto"/>
            <w:gridSpan w:val="3"/>
            <w:shd w:val="clear" w:color="auto" w:fill="CCEEFF"/>
            <w:tcMar>
              <w:top w:w="30" w:type="dxa"/>
              <w:left w:w="20" w:type="dxa"/>
              <w:bottom w:w="30" w:type="dxa"/>
              <w:right w:w="20" w:type="dxa"/>
            </w:tcMar>
            <w:vAlign w:val="bottom"/>
            <w:hideMark/>
          </w:tcPr>
          <w:p w14:paraId="1C2C516F"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B3CBF80"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48B89D6"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833A5CB"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06C286E"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057A29B"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D05F950" w14:textId="77777777" w:rsidR="00000000" w:rsidRDefault="00C1661D">
            <w:pPr>
              <w:spacing w:after="100"/>
              <w:rPr>
                <w:rFonts w:eastAsia="Times New Roman"/>
              </w:rPr>
            </w:pPr>
            <w:r>
              <w:rPr>
                <w:rFonts w:eastAsia="Times New Roman"/>
                <w:color w:val="000000"/>
                <w:sz w:val="20"/>
                <w:szCs w:val="20"/>
              </w:rPr>
              <w:t> </w:t>
            </w:r>
          </w:p>
        </w:tc>
      </w:tr>
      <w:tr w:rsidR="00000000" w14:paraId="1E4903C3" w14:textId="77777777">
        <w:trPr>
          <w:divId w:val="364402301"/>
        </w:trPr>
        <w:tc>
          <w:tcPr>
            <w:tcW w:w="0" w:type="auto"/>
            <w:gridSpan w:val="3"/>
            <w:shd w:val="clear" w:color="auto" w:fill="FFFFFF"/>
            <w:tcMar>
              <w:top w:w="30" w:type="dxa"/>
              <w:left w:w="20" w:type="dxa"/>
              <w:bottom w:w="30" w:type="dxa"/>
              <w:right w:w="20" w:type="dxa"/>
            </w:tcMar>
            <w:vAlign w:val="bottom"/>
            <w:hideMark/>
          </w:tcPr>
          <w:p w14:paraId="4D5C04A2" w14:textId="77777777" w:rsidR="00000000" w:rsidRDefault="00C1661D">
            <w:pPr>
              <w:spacing w:after="100"/>
              <w:rPr>
                <w:rFonts w:eastAsia="Times New Roman"/>
              </w:rPr>
            </w:pPr>
            <w:r>
              <w:rPr>
                <w:rFonts w:eastAsia="Times New Roman"/>
                <w:color w:val="000000"/>
                <w:sz w:val="20"/>
                <w:szCs w:val="20"/>
              </w:rPr>
              <w:t>Derivative instruments:</w:t>
            </w:r>
          </w:p>
        </w:tc>
        <w:tc>
          <w:tcPr>
            <w:tcW w:w="0" w:type="auto"/>
            <w:gridSpan w:val="3"/>
            <w:shd w:val="clear" w:color="auto" w:fill="FFFFFF"/>
            <w:tcMar>
              <w:top w:w="30" w:type="dxa"/>
              <w:left w:w="20" w:type="dxa"/>
              <w:bottom w:w="30" w:type="dxa"/>
              <w:right w:w="20" w:type="dxa"/>
            </w:tcMar>
            <w:vAlign w:val="bottom"/>
            <w:hideMark/>
          </w:tcPr>
          <w:p w14:paraId="5E2A89E6"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0F92E99"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27D6898"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0224DDB"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F11C510"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7C1F66B"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717273D" w14:textId="77777777" w:rsidR="00000000" w:rsidRDefault="00C1661D">
            <w:pPr>
              <w:spacing w:after="100"/>
              <w:rPr>
                <w:rFonts w:eastAsia="Times New Roman"/>
              </w:rPr>
            </w:pPr>
            <w:r>
              <w:rPr>
                <w:rFonts w:eastAsia="Times New Roman"/>
                <w:color w:val="000000"/>
                <w:sz w:val="20"/>
                <w:szCs w:val="20"/>
              </w:rPr>
              <w:t> </w:t>
            </w:r>
          </w:p>
        </w:tc>
      </w:tr>
      <w:tr w:rsidR="00000000" w14:paraId="3748C3CA" w14:textId="77777777">
        <w:trPr>
          <w:divId w:val="364402301"/>
        </w:trPr>
        <w:tc>
          <w:tcPr>
            <w:tcW w:w="0" w:type="auto"/>
            <w:gridSpan w:val="3"/>
            <w:shd w:val="clear" w:color="auto" w:fill="CCEEFF"/>
            <w:tcMar>
              <w:top w:w="30" w:type="dxa"/>
              <w:left w:w="155" w:type="dxa"/>
              <w:bottom w:w="30" w:type="dxa"/>
              <w:right w:w="20" w:type="dxa"/>
            </w:tcMar>
            <w:vAlign w:val="bottom"/>
            <w:hideMark/>
          </w:tcPr>
          <w:p w14:paraId="722216F2" w14:textId="77777777" w:rsidR="00000000" w:rsidRDefault="00C1661D">
            <w:pPr>
              <w:spacing w:after="100"/>
              <w:rPr>
                <w:rFonts w:eastAsia="Times New Roman"/>
              </w:rPr>
            </w:pPr>
            <w:r>
              <w:rPr>
                <w:rFonts w:eastAsia="Times New Roman"/>
                <w:color w:val="000000"/>
                <w:sz w:val="20"/>
                <w:szCs w:val="20"/>
              </w:rPr>
              <w:t>Assets:</w:t>
            </w:r>
          </w:p>
        </w:tc>
        <w:tc>
          <w:tcPr>
            <w:tcW w:w="0" w:type="auto"/>
            <w:gridSpan w:val="3"/>
            <w:shd w:val="clear" w:color="auto" w:fill="CCEEFF"/>
            <w:tcMar>
              <w:top w:w="30" w:type="dxa"/>
              <w:left w:w="20" w:type="dxa"/>
              <w:bottom w:w="30" w:type="dxa"/>
              <w:right w:w="20" w:type="dxa"/>
            </w:tcMar>
            <w:vAlign w:val="bottom"/>
            <w:hideMark/>
          </w:tcPr>
          <w:p w14:paraId="20D72A37"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97B53D2"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B4BA94F"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0AB05A7"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C04BC38"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CB5A78F"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FE9CC20" w14:textId="77777777" w:rsidR="00000000" w:rsidRDefault="00C1661D">
            <w:pPr>
              <w:spacing w:after="100"/>
              <w:rPr>
                <w:rFonts w:eastAsia="Times New Roman"/>
              </w:rPr>
            </w:pPr>
            <w:r>
              <w:rPr>
                <w:rFonts w:eastAsia="Times New Roman"/>
                <w:color w:val="000000"/>
                <w:sz w:val="20"/>
                <w:szCs w:val="20"/>
              </w:rPr>
              <w:t> </w:t>
            </w:r>
          </w:p>
        </w:tc>
      </w:tr>
      <w:tr w:rsidR="00000000" w14:paraId="18751115" w14:textId="77777777">
        <w:trPr>
          <w:divId w:val="364402301"/>
        </w:trPr>
        <w:tc>
          <w:tcPr>
            <w:tcW w:w="0" w:type="auto"/>
            <w:gridSpan w:val="3"/>
            <w:shd w:val="clear" w:color="auto" w:fill="FFFFFF"/>
            <w:tcMar>
              <w:top w:w="30" w:type="dxa"/>
              <w:left w:w="380" w:type="dxa"/>
              <w:bottom w:w="30" w:type="dxa"/>
              <w:right w:w="20" w:type="dxa"/>
            </w:tcMar>
            <w:vAlign w:val="bottom"/>
            <w:hideMark/>
          </w:tcPr>
          <w:p w14:paraId="7D8BDFE4" w14:textId="77777777" w:rsidR="00000000" w:rsidRDefault="00C1661D">
            <w:pPr>
              <w:spacing w:after="100"/>
              <w:rPr>
                <w:rFonts w:eastAsia="Times New Roman"/>
              </w:rPr>
            </w:pPr>
            <w:r>
              <w:rPr>
                <w:rFonts w:eastAsia="Times New Roman"/>
                <w:color w:val="000000"/>
                <w:sz w:val="20"/>
                <w:szCs w:val="20"/>
              </w:rPr>
              <w:t>Commodity contracts</w:t>
            </w:r>
          </w:p>
        </w:tc>
        <w:tc>
          <w:tcPr>
            <w:tcW w:w="0" w:type="auto"/>
            <w:shd w:val="clear" w:color="auto" w:fill="FFFFFF"/>
            <w:tcMar>
              <w:top w:w="30" w:type="dxa"/>
              <w:left w:w="20" w:type="dxa"/>
              <w:bottom w:w="30" w:type="dxa"/>
              <w:right w:w="0" w:type="dxa"/>
            </w:tcMar>
            <w:vAlign w:val="bottom"/>
            <w:hideMark/>
          </w:tcPr>
          <w:p w14:paraId="7A1920E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110B136" w14:textId="77777777" w:rsidR="00000000" w:rsidRDefault="00C1661D">
            <w:pPr>
              <w:spacing w:after="100"/>
              <w:jc w:val="right"/>
              <w:rPr>
                <w:rFonts w:eastAsia="Times New Roman"/>
              </w:rPr>
            </w:pPr>
            <w:r>
              <w:rPr>
                <w:rFonts w:eastAsia="Times New Roman"/>
                <w:color w:val="000000"/>
                <w:sz w:val="20"/>
                <w:szCs w:val="20"/>
              </w:rPr>
              <w:t>641 </w:t>
            </w:r>
          </w:p>
        </w:tc>
        <w:tc>
          <w:tcPr>
            <w:tcW w:w="0" w:type="auto"/>
            <w:shd w:val="clear" w:color="auto" w:fill="FFFFFF"/>
            <w:tcMar>
              <w:top w:w="30" w:type="dxa"/>
              <w:left w:w="0" w:type="dxa"/>
              <w:bottom w:w="30" w:type="dxa"/>
              <w:right w:w="20" w:type="dxa"/>
            </w:tcMar>
            <w:vAlign w:val="bottom"/>
            <w:hideMark/>
          </w:tcPr>
          <w:p w14:paraId="686B365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116E24"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BB4B8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B4E0610" w14:textId="77777777" w:rsidR="00000000" w:rsidRDefault="00C1661D">
            <w:pPr>
              <w:spacing w:after="100"/>
              <w:jc w:val="right"/>
              <w:rPr>
                <w:rFonts w:eastAsia="Times New Roman"/>
              </w:rPr>
            </w:pPr>
            <w:r>
              <w:rPr>
                <w:rFonts w:eastAsia="Times New Roman"/>
                <w:color w:val="000000"/>
                <w:sz w:val="20"/>
                <w:szCs w:val="20"/>
              </w:rPr>
              <w:t>1,008 </w:t>
            </w:r>
          </w:p>
        </w:tc>
        <w:tc>
          <w:tcPr>
            <w:tcW w:w="0" w:type="auto"/>
            <w:shd w:val="clear" w:color="auto" w:fill="FFFFFF"/>
            <w:tcMar>
              <w:top w:w="30" w:type="dxa"/>
              <w:left w:w="0" w:type="dxa"/>
              <w:bottom w:w="30" w:type="dxa"/>
              <w:right w:w="20" w:type="dxa"/>
            </w:tcMar>
            <w:vAlign w:val="bottom"/>
            <w:hideMark/>
          </w:tcPr>
          <w:p w14:paraId="3B4B633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AE35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65F713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6864BAD"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1214B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B2C89D"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C7182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F6B0AA" w14:textId="77777777" w:rsidR="00000000" w:rsidRDefault="00C1661D">
            <w:pPr>
              <w:spacing w:after="100"/>
              <w:jc w:val="right"/>
              <w:rPr>
                <w:rFonts w:eastAsia="Times New Roman"/>
              </w:rPr>
            </w:pPr>
            <w:r>
              <w:rPr>
                <w:rFonts w:eastAsia="Times New Roman"/>
                <w:color w:val="000000"/>
                <w:sz w:val="20"/>
                <w:szCs w:val="20"/>
              </w:rPr>
              <w:t>1,649 </w:t>
            </w:r>
          </w:p>
        </w:tc>
        <w:tc>
          <w:tcPr>
            <w:tcW w:w="0" w:type="auto"/>
            <w:shd w:val="clear" w:color="auto" w:fill="FFFFFF"/>
            <w:tcMar>
              <w:top w:w="30" w:type="dxa"/>
              <w:left w:w="0" w:type="dxa"/>
              <w:bottom w:w="30" w:type="dxa"/>
              <w:right w:w="20" w:type="dxa"/>
            </w:tcMar>
            <w:vAlign w:val="bottom"/>
            <w:hideMark/>
          </w:tcPr>
          <w:p w14:paraId="68E44697" w14:textId="77777777" w:rsidR="00000000" w:rsidRDefault="00C1661D">
            <w:pPr>
              <w:spacing w:after="100"/>
              <w:jc w:val="right"/>
              <w:rPr>
                <w:rFonts w:eastAsia="Times New Roman"/>
              </w:rPr>
            </w:pPr>
          </w:p>
        </w:tc>
      </w:tr>
      <w:tr w:rsidR="00000000" w14:paraId="3C22FE7D" w14:textId="77777777">
        <w:trPr>
          <w:divId w:val="364402301"/>
        </w:trPr>
        <w:tc>
          <w:tcPr>
            <w:tcW w:w="0" w:type="auto"/>
            <w:gridSpan w:val="3"/>
            <w:shd w:val="clear" w:color="auto" w:fill="CCEEFF"/>
            <w:tcMar>
              <w:top w:w="30" w:type="dxa"/>
              <w:left w:w="380" w:type="dxa"/>
              <w:bottom w:w="30" w:type="dxa"/>
              <w:right w:w="20" w:type="dxa"/>
            </w:tcMar>
            <w:vAlign w:val="bottom"/>
            <w:hideMark/>
          </w:tcPr>
          <w:p w14:paraId="5E1D20A1" w14:textId="77777777" w:rsidR="00000000" w:rsidRDefault="00C1661D">
            <w:pPr>
              <w:spacing w:after="100"/>
              <w:rPr>
                <w:rFonts w:eastAsia="Times New Roman"/>
              </w:rPr>
            </w:pPr>
            <w:r>
              <w:rPr>
                <w:rFonts w:eastAsia="Times New Roman"/>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14:paraId="1E799DB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AA3B45E"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4B59E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C4F85E"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78F4E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457478F" w14:textId="77777777" w:rsidR="00000000" w:rsidRDefault="00C1661D">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14:paraId="3361217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4E07B5"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8A820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8ABD14A"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88CFE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DEBAD"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671C4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B372E8" w14:textId="77777777" w:rsidR="00000000" w:rsidRDefault="00C1661D">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14:paraId="4B4BF5D6" w14:textId="77777777" w:rsidR="00000000" w:rsidRDefault="00C1661D">
            <w:pPr>
              <w:spacing w:after="100"/>
              <w:jc w:val="right"/>
              <w:rPr>
                <w:rFonts w:eastAsia="Times New Roman"/>
              </w:rPr>
            </w:pPr>
          </w:p>
        </w:tc>
      </w:tr>
      <w:tr w:rsidR="00000000" w14:paraId="090216ED" w14:textId="77777777">
        <w:trPr>
          <w:divId w:val="364402301"/>
        </w:trPr>
        <w:tc>
          <w:tcPr>
            <w:tcW w:w="0" w:type="auto"/>
            <w:gridSpan w:val="3"/>
            <w:vAlign w:val="center"/>
            <w:hideMark/>
          </w:tcPr>
          <w:p w14:paraId="2589E2E5" w14:textId="77777777" w:rsidR="00000000" w:rsidRDefault="00C1661D">
            <w:pPr>
              <w:spacing w:after="100"/>
              <w:jc w:val="right"/>
              <w:rPr>
                <w:rFonts w:eastAsia="Times New Roman"/>
                <w:sz w:val="20"/>
                <w:szCs w:val="20"/>
              </w:rPr>
            </w:pPr>
          </w:p>
        </w:tc>
        <w:tc>
          <w:tcPr>
            <w:tcW w:w="0" w:type="auto"/>
            <w:gridSpan w:val="3"/>
            <w:vAlign w:val="center"/>
            <w:hideMark/>
          </w:tcPr>
          <w:p w14:paraId="35D22ABB" w14:textId="77777777" w:rsidR="00000000" w:rsidRDefault="00C1661D">
            <w:pPr>
              <w:spacing w:after="100"/>
              <w:rPr>
                <w:rFonts w:eastAsia="Times New Roman"/>
                <w:sz w:val="20"/>
                <w:szCs w:val="20"/>
              </w:rPr>
            </w:pPr>
          </w:p>
        </w:tc>
        <w:tc>
          <w:tcPr>
            <w:tcW w:w="0" w:type="auto"/>
            <w:gridSpan w:val="3"/>
            <w:vAlign w:val="center"/>
            <w:hideMark/>
          </w:tcPr>
          <w:p w14:paraId="5ABE22F8" w14:textId="77777777" w:rsidR="00000000" w:rsidRDefault="00C1661D">
            <w:pPr>
              <w:spacing w:after="100"/>
              <w:rPr>
                <w:rFonts w:eastAsia="Times New Roman"/>
                <w:sz w:val="20"/>
                <w:szCs w:val="20"/>
              </w:rPr>
            </w:pPr>
          </w:p>
        </w:tc>
        <w:tc>
          <w:tcPr>
            <w:tcW w:w="0" w:type="auto"/>
            <w:gridSpan w:val="3"/>
            <w:vAlign w:val="center"/>
            <w:hideMark/>
          </w:tcPr>
          <w:p w14:paraId="4B507888" w14:textId="77777777" w:rsidR="00000000" w:rsidRDefault="00C1661D">
            <w:pPr>
              <w:spacing w:after="100"/>
              <w:rPr>
                <w:rFonts w:eastAsia="Times New Roman"/>
                <w:sz w:val="20"/>
                <w:szCs w:val="20"/>
              </w:rPr>
            </w:pPr>
          </w:p>
        </w:tc>
        <w:tc>
          <w:tcPr>
            <w:tcW w:w="0" w:type="auto"/>
            <w:gridSpan w:val="3"/>
            <w:vAlign w:val="center"/>
            <w:hideMark/>
          </w:tcPr>
          <w:p w14:paraId="692CDD95" w14:textId="77777777" w:rsidR="00000000" w:rsidRDefault="00C1661D">
            <w:pPr>
              <w:spacing w:after="100"/>
              <w:rPr>
                <w:rFonts w:eastAsia="Times New Roman"/>
                <w:sz w:val="20"/>
                <w:szCs w:val="20"/>
              </w:rPr>
            </w:pPr>
          </w:p>
        </w:tc>
        <w:tc>
          <w:tcPr>
            <w:tcW w:w="0" w:type="auto"/>
            <w:gridSpan w:val="3"/>
            <w:vAlign w:val="center"/>
            <w:hideMark/>
          </w:tcPr>
          <w:p w14:paraId="793D97B5" w14:textId="77777777" w:rsidR="00000000" w:rsidRDefault="00C1661D">
            <w:pPr>
              <w:spacing w:after="100"/>
              <w:rPr>
                <w:rFonts w:eastAsia="Times New Roman"/>
                <w:sz w:val="20"/>
                <w:szCs w:val="20"/>
              </w:rPr>
            </w:pPr>
          </w:p>
        </w:tc>
        <w:tc>
          <w:tcPr>
            <w:tcW w:w="0" w:type="auto"/>
            <w:gridSpan w:val="3"/>
            <w:vAlign w:val="center"/>
            <w:hideMark/>
          </w:tcPr>
          <w:p w14:paraId="4AF20140" w14:textId="77777777" w:rsidR="00000000" w:rsidRDefault="00C1661D">
            <w:pPr>
              <w:spacing w:after="100"/>
              <w:rPr>
                <w:rFonts w:eastAsia="Times New Roman"/>
                <w:sz w:val="20"/>
                <w:szCs w:val="20"/>
              </w:rPr>
            </w:pPr>
          </w:p>
        </w:tc>
        <w:tc>
          <w:tcPr>
            <w:tcW w:w="0" w:type="auto"/>
            <w:gridSpan w:val="3"/>
            <w:vAlign w:val="center"/>
            <w:hideMark/>
          </w:tcPr>
          <w:p w14:paraId="4126CFE3" w14:textId="77777777" w:rsidR="00000000" w:rsidRDefault="00C1661D">
            <w:pPr>
              <w:spacing w:after="100"/>
              <w:rPr>
                <w:rFonts w:eastAsia="Times New Roman"/>
                <w:sz w:val="20"/>
                <w:szCs w:val="20"/>
              </w:rPr>
            </w:pPr>
          </w:p>
        </w:tc>
      </w:tr>
      <w:tr w:rsidR="00000000" w14:paraId="66A8DF49" w14:textId="77777777">
        <w:trPr>
          <w:divId w:val="364402301"/>
        </w:trPr>
        <w:tc>
          <w:tcPr>
            <w:tcW w:w="0" w:type="auto"/>
            <w:gridSpan w:val="3"/>
            <w:vAlign w:val="center"/>
            <w:hideMark/>
          </w:tcPr>
          <w:p w14:paraId="3036454F" w14:textId="77777777" w:rsidR="00000000" w:rsidRDefault="00C1661D">
            <w:pPr>
              <w:spacing w:after="100"/>
              <w:rPr>
                <w:rFonts w:eastAsia="Times New Roman"/>
                <w:sz w:val="20"/>
                <w:szCs w:val="20"/>
              </w:rPr>
            </w:pPr>
          </w:p>
        </w:tc>
        <w:tc>
          <w:tcPr>
            <w:tcW w:w="0" w:type="auto"/>
            <w:gridSpan w:val="3"/>
            <w:vAlign w:val="center"/>
            <w:hideMark/>
          </w:tcPr>
          <w:p w14:paraId="2D0DBEEB" w14:textId="77777777" w:rsidR="00000000" w:rsidRDefault="00C1661D">
            <w:pPr>
              <w:spacing w:after="100"/>
              <w:rPr>
                <w:rFonts w:eastAsia="Times New Roman"/>
                <w:sz w:val="20"/>
                <w:szCs w:val="20"/>
              </w:rPr>
            </w:pPr>
          </w:p>
        </w:tc>
        <w:tc>
          <w:tcPr>
            <w:tcW w:w="0" w:type="auto"/>
            <w:gridSpan w:val="3"/>
            <w:vAlign w:val="center"/>
            <w:hideMark/>
          </w:tcPr>
          <w:p w14:paraId="03620156" w14:textId="77777777" w:rsidR="00000000" w:rsidRDefault="00C1661D">
            <w:pPr>
              <w:spacing w:after="100"/>
              <w:rPr>
                <w:rFonts w:eastAsia="Times New Roman"/>
                <w:sz w:val="20"/>
                <w:szCs w:val="20"/>
              </w:rPr>
            </w:pPr>
          </w:p>
        </w:tc>
        <w:tc>
          <w:tcPr>
            <w:tcW w:w="0" w:type="auto"/>
            <w:gridSpan w:val="3"/>
            <w:vAlign w:val="center"/>
            <w:hideMark/>
          </w:tcPr>
          <w:p w14:paraId="61D9EA0D" w14:textId="77777777" w:rsidR="00000000" w:rsidRDefault="00C1661D">
            <w:pPr>
              <w:spacing w:after="100"/>
              <w:rPr>
                <w:rFonts w:eastAsia="Times New Roman"/>
                <w:sz w:val="20"/>
                <w:szCs w:val="20"/>
              </w:rPr>
            </w:pPr>
          </w:p>
        </w:tc>
        <w:tc>
          <w:tcPr>
            <w:tcW w:w="0" w:type="auto"/>
            <w:gridSpan w:val="3"/>
            <w:vAlign w:val="center"/>
            <w:hideMark/>
          </w:tcPr>
          <w:p w14:paraId="7FF4DC32" w14:textId="77777777" w:rsidR="00000000" w:rsidRDefault="00C1661D">
            <w:pPr>
              <w:spacing w:after="100"/>
              <w:rPr>
                <w:rFonts w:eastAsia="Times New Roman"/>
                <w:sz w:val="20"/>
                <w:szCs w:val="20"/>
              </w:rPr>
            </w:pPr>
          </w:p>
        </w:tc>
        <w:tc>
          <w:tcPr>
            <w:tcW w:w="0" w:type="auto"/>
            <w:gridSpan w:val="3"/>
            <w:vAlign w:val="center"/>
            <w:hideMark/>
          </w:tcPr>
          <w:p w14:paraId="6FB06472" w14:textId="77777777" w:rsidR="00000000" w:rsidRDefault="00C1661D">
            <w:pPr>
              <w:spacing w:after="100"/>
              <w:rPr>
                <w:rFonts w:eastAsia="Times New Roman"/>
                <w:sz w:val="20"/>
                <w:szCs w:val="20"/>
              </w:rPr>
            </w:pPr>
          </w:p>
        </w:tc>
        <w:tc>
          <w:tcPr>
            <w:tcW w:w="0" w:type="auto"/>
            <w:gridSpan w:val="3"/>
            <w:vAlign w:val="center"/>
            <w:hideMark/>
          </w:tcPr>
          <w:p w14:paraId="5D0A5409" w14:textId="77777777" w:rsidR="00000000" w:rsidRDefault="00C1661D">
            <w:pPr>
              <w:spacing w:after="100"/>
              <w:rPr>
                <w:rFonts w:eastAsia="Times New Roman"/>
                <w:sz w:val="20"/>
                <w:szCs w:val="20"/>
              </w:rPr>
            </w:pPr>
          </w:p>
        </w:tc>
        <w:tc>
          <w:tcPr>
            <w:tcW w:w="0" w:type="auto"/>
            <w:gridSpan w:val="3"/>
            <w:vAlign w:val="center"/>
            <w:hideMark/>
          </w:tcPr>
          <w:p w14:paraId="7046C963" w14:textId="77777777" w:rsidR="00000000" w:rsidRDefault="00C1661D">
            <w:pPr>
              <w:spacing w:after="100"/>
              <w:rPr>
                <w:rFonts w:eastAsia="Times New Roman"/>
                <w:sz w:val="20"/>
                <w:szCs w:val="20"/>
              </w:rPr>
            </w:pPr>
          </w:p>
        </w:tc>
      </w:tr>
      <w:tr w:rsidR="00000000" w14:paraId="5729C976" w14:textId="77777777">
        <w:trPr>
          <w:divId w:val="364402301"/>
        </w:trPr>
        <w:tc>
          <w:tcPr>
            <w:tcW w:w="0" w:type="auto"/>
            <w:gridSpan w:val="3"/>
            <w:shd w:val="clear" w:color="auto" w:fill="FFFFFF"/>
            <w:tcMar>
              <w:top w:w="30" w:type="dxa"/>
              <w:left w:w="20" w:type="dxa"/>
              <w:bottom w:w="30" w:type="dxa"/>
              <w:right w:w="20" w:type="dxa"/>
            </w:tcMar>
            <w:vAlign w:val="bottom"/>
            <w:hideMark/>
          </w:tcPr>
          <w:p w14:paraId="778AEB54" w14:textId="77777777" w:rsidR="00000000" w:rsidRDefault="00C1661D">
            <w:pPr>
              <w:spacing w:after="100"/>
              <w:rPr>
                <w:rFonts w:eastAsia="Times New Roman"/>
              </w:rPr>
            </w:pPr>
            <w:r>
              <w:rPr>
                <w:rFonts w:eastAsia="Times New Roman"/>
                <w:color w:val="000000"/>
                <w:sz w:val="20"/>
                <w:szCs w:val="20"/>
              </w:rPr>
              <w:t>  Liabilities:</w:t>
            </w:r>
          </w:p>
        </w:tc>
        <w:tc>
          <w:tcPr>
            <w:tcW w:w="0" w:type="auto"/>
            <w:gridSpan w:val="3"/>
            <w:shd w:val="clear" w:color="auto" w:fill="FFFFFF"/>
            <w:tcMar>
              <w:top w:w="30" w:type="dxa"/>
              <w:left w:w="20" w:type="dxa"/>
              <w:bottom w:w="30" w:type="dxa"/>
              <w:right w:w="20" w:type="dxa"/>
            </w:tcMar>
            <w:vAlign w:val="bottom"/>
            <w:hideMark/>
          </w:tcPr>
          <w:p w14:paraId="2772E05D"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D162A85"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66A2F3E"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2A35256"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E9A8DE7"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A429688"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795C16A" w14:textId="77777777" w:rsidR="00000000" w:rsidRDefault="00C1661D">
            <w:pPr>
              <w:spacing w:after="100"/>
              <w:rPr>
                <w:rFonts w:eastAsia="Times New Roman"/>
              </w:rPr>
            </w:pPr>
            <w:r>
              <w:rPr>
                <w:rFonts w:eastAsia="Times New Roman"/>
                <w:color w:val="000000"/>
                <w:sz w:val="20"/>
                <w:szCs w:val="20"/>
              </w:rPr>
              <w:t> </w:t>
            </w:r>
          </w:p>
        </w:tc>
      </w:tr>
      <w:tr w:rsidR="00000000" w14:paraId="685C8204" w14:textId="77777777">
        <w:trPr>
          <w:divId w:val="364402301"/>
        </w:trPr>
        <w:tc>
          <w:tcPr>
            <w:tcW w:w="0" w:type="auto"/>
            <w:gridSpan w:val="3"/>
            <w:shd w:val="clear" w:color="auto" w:fill="CCEEFF"/>
            <w:tcMar>
              <w:top w:w="30" w:type="dxa"/>
              <w:left w:w="380" w:type="dxa"/>
              <w:bottom w:w="30" w:type="dxa"/>
              <w:right w:w="20" w:type="dxa"/>
            </w:tcMar>
            <w:vAlign w:val="bottom"/>
            <w:hideMark/>
          </w:tcPr>
          <w:p w14:paraId="7922986B" w14:textId="77777777" w:rsidR="00000000" w:rsidRDefault="00C1661D">
            <w:pPr>
              <w:spacing w:after="100"/>
              <w:rPr>
                <w:rFonts w:eastAsia="Times New Roman"/>
              </w:rPr>
            </w:pPr>
            <w:r>
              <w:rPr>
                <w:rFonts w:eastAsia="Times New Roman"/>
                <w:color w:val="000000"/>
                <w:sz w:val="20"/>
                <w:szCs w:val="20"/>
              </w:rPr>
              <w:t>Commodity contracts</w:t>
            </w:r>
          </w:p>
        </w:tc>
        <w:tc>
          <w:tcPr>
            <w:tcW w:w="0" w:type="auto"/>
            <w:shd w:val="clear" w:color="auto" w:fill="CCEEFF"/>
            <w:tcMar>
              <w:top w:w="30" w:type="dxa"/>
              <w:left w:w="20" w:type="dxa"/>
              <w:bottom w:w="30" w:type="dxa"/>
              <w:right w:w="0" w:type="dxa"/>
            </w:tcMar>
            <w:vAlign w:val="bottom"/>
            <w:hideMark/>
          </w:tcPr>
          <w:p w14:paraId="3F3E37E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0F4976D" w14:textId="77777777" w:rsidR="00000000" w:rsidRDefault="00C1661D">
            <w:pPr>
              <w:spacing w:after="100"/>
              <w:jc w:val="right"/>
              <w:rPr>
                <w:rFonts w:eastAsia="Times New Roman"/>
              </w:rPr>
            </w:pPr>
            <w:r>
              <w:rPr>
                <w:rFonts w:eastAsia="Times New Roman"/>
                <w:color w:val="000000"/>
                <w:sz w:val="20"/>
                <w:szCs w:val="20"/>
              </w:rPr>
              <w:t>(264)</w:t>
            </w:r>
          </w:p>
        </w:tc>
        <w:tc>
          <w:tcPr>
            <w:tcW w:w="0" w:type="auto"/>
            <w:shd w:val="clear" w:color="auto" w:fill="CCEEFF"/>
            <w:tcMar>
              <w:top w:w="30" w:type="dxa"/>
              <w:left w:w="0" w:type="dxa"/>
              <w:bottom w:w="30" w:type="dxa"/>
              <w:right w:w="20" w:type="dxa"/>
            </w:tcMar>
            <w:vAlign w:val="bottom"/>
            <w:hideMark/>
          </w:tcPr>
          <w:p w14:paraId="5262150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C8A21"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DBC16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5971C61" w14:textId="77777777" w:rsidR="00000000" w:rsidRDefault="00C1661D">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14:paraId="0128832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3CB881"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7EE2F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D5E24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55A28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497A8D"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EF34B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0C5FA84" w14:textId="77777777" w:rsidR="00000000" w:rsidRDefault="00C1661D">
            <w:pPr>
              <w:spacing w:after="100"/>
              <w:jc w:val="right"/>
              <w:rPr>
                <w:rFonts w:eastAsia="Times New Roman"/>
              </w:rPr>
            </w:pPr>
            <w:r>
              <w:rPr>
                <w:rFonts w:eastAsia="Times New Roman"/>
                <w:color w:val="000000"/>
                <w:sz w:val="20"/>
                <w:szCs w:val="20"/>
              </w:rPr>
              <w:t>(280)</w:t>
            </w:r>
          </w:p>
        </w:tc>
        <w:tc>
          <w:tcPr>
            <w:tcW w:w="0" w:type="auto"/>
            <w:shd w:val="clear" w:color="auto" w:fill="CCEEFF"/>
            <w:tcMar>
              <w:top w:w="30" w:type="dxa"/>
              <w:left w:w="0" w:type="dxa"/>
              <w:bottom w:w="30" w:type="dxa"/>
              <w:right w:w="20" w:type="dxa"/>
            </w:tcMar>
            <w:vAlign w:val="bottom"/>
            <w:hideMark/>
          </w:tcPr>
          <w:p w14:paraId="56286FF9" w14:textId="77777777" w:rsidR="00000000" w:rsidRDefault="00C1661D">
            <w:pPr>
              <w:spacing w:after="100"/>
              <w:jc w:val="right"/>
              <w:rPr>
                <w:rFonts w:eastAsia="Times New Roman"/>
              </w:rPr>
            </w:pPr>
          </w:p>
        </w:tc>
      </w:tr>
      <w:tr w:rsidR="00000000" w14:paraId="6B59276F" w14:textId="77777777">
        <w:trPr>
          <w:divId w:val="364402301"/>
        </w:trPr>
        <w:tc>
          <w:tcPr>
            <w:tcW w:w="0" w:type="auto"/>
            <w:gridSpan w:val="3"/>
            <w:shd w:val="clear" w:color="auto" w:fill="FFFFFF"/>
            <w:tcMar>
              <w:top w:w="30" w:type="dxa"/>
              <w:left w:w="380" w:type="dxa"/>
              <w:bottom w:w="30" w:type="dxa"/>
              <w:right w:w="20" w:type="dxa"/>
            </w:tcMar>
            <w:vAlign w:val="bottom"/>
            <w:hideMark/>
          </w:tcPr>
          <w:p w14:paraId="3FF4B622" w14:textId="77777777" w:rsidR="00000000" w:rsidRDefault="00C1661D">
            <w:pPr>
              <w:spacing w:after="100"/>
              <w:rPr>
                <w:rFonts w:eastAsia="Times New Roman"/>
              </w:rPr>
            </w:pPr>
            <w:r>
              <w:rPr>
                <w:rFonts w:eastAsia="Times New Roman"/>
                <w:color w:val="000000"/>
                <w:sz w:val="20"/>
                <w:szCs w:val="20"/>
              </w:rPr>
              <w:t>Foreign currency contracts</w:t>
            </w:r>
          </w:p>
        </w:tc>
        <w:tc>
          <w:tcPr>
            <w:tcW w:w="0" w:type="auto"/>
            <w:shd w:val="clear" w:color="auto" w:fill="FFFFFF"/>
            <w:tcMar>
              <w:top w:w="30" w:type="dxa"/>
              <w:left w:w="20" w:type="dxa"/>
              <w:bottom w:w="30" w:type="dxa"/>
              <w:right w:w="0" w:type="dxa"/>
            </w:tcMar>
            <w:vAlign w:val="bottom"/>
            <w:hideMark/>
          </w:tcPr>
          <w:p w14:paraId="29FC18A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4ACAD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B552DF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D23B7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404E6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F0C76CC" w14:textId="77777777" w:rsidR="00000000" w:rsidRDefault="00C1661D">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5C363E8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0AD49C"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28B244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FBE686"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C792F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5F2545"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425795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CADF8EA" w14:textId="77777777" w:rsidR="00000000" w:rsidRDefault="00C1661D">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69332D2E" w14:textId="77777777" w:rsidR="00000000" w:rsidRDefault="00C1661D">
            <w:pPr>
              <w:spacing w:after="100"/>
              <w:jc w:val="right"/>
              <w:rPr>
                <w:rFonts w:eastAsia="Times New Roman"/>
              </w:rPr>
            </w:pPr>
          </w:p>
        </w:tc>
      </w:tr>
      <w:tr w:rsidR="00000000" w14:paraId="2C7FF552" w14:textId="77777777">
        <w:trPr>
          <w:divId w:val="364402301"/>
        </w:trPr>
        <w:tc>
          <w:tcPr>
            <w:tcW w:w="0" w:type="auto"/>
            <w:gridSpan w:val="3"/>
            <w:shd w:val="clear" w:color="auto" w:fill="CCEEFF"/>
            <w:tcMar>
              <w:top w:w="30" w:type="dxa"/>
              <w:left w:w="380" w:type="dxa"/>
              <w:bottom w:w="30" w:type="dxa"/>
              <w:right w:w="20" w:type="dxa"/>
            </w:tcMar>
            <w:vAlign w:val="bottom"/>
            <w:hideMark/>
          </w:tcPr>
          <w:p w14:paraId="564AB27A" w14:textId="77777777" w:rsidR="00000000" w:rsidRDefault="00C1661D">
            <w:pPr>
              <w:spacing w:after="100"/>
              <w:rPr>
                <w:rFonts w:eastAsia="Times New Roman"/>
              </w:rPr>
            </w:pPr>
            <w:r>
              <w:rPr>
                <w:rFonts w:eastAsia="Times New Roman"/>
                <w:color w:val="000000"/>
                <w:sz w:val="20"/>
                <w:szCs w:val="20"/>
              </w:rPr>
              <w:t>Interest rate contracts</w:t>
            </w:r>
          </w:p>
        </w:tc>
        <w:tc>
          <w:tcPr>
            <w:tcW w:w="0" w:type="auto"/>
            <w:shd w:val="clear" w:color="auto" w:fill="CCEEFF"/>
            <w:tcMar>
              <w:top w:w="30" w:type="dxa"/>
              <w:left w:w="20" w:type="dxa"/>
              <w:bottom w:w="30" w:type="dxa"/>
              <w:right w:w="0" w:type="dxa"/>
            </w:tcMar>
            <w:vAlign w:val="bottom"/>
            <w:hideMark/>
          </w:tcPr>
          <w:p w14:paraId="0AADD48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9C00415"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6971D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0571C"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D5AB48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BCB588F" w14:textId="77777777" w:rsidR="00000000" w:rsidRDefault="00C1661D">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14:paraId="0311396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D4A50C"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CC9BC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280C05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5E9E8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52066"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E8C41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2B79ACC" w14:textId="77777777" w:rsidR="00000000" w:rsidRDefault="00C1661D">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14:paraId="48BA41ED" w14:textId="77777777" w:rsidR="00000000" w:rsidRDefault="00C1661D">
            <w:pPr>
              <w:spacing w:after="100"/>
              <w:jc w:val="right"/>
              <w:rPr>
                <w:rFonts w:eastAsia="Times New Roman"/>
              </w:rPr>
            </w:pPr>
          </w:p>
        </w:tc>
      </w:tr>
      <w:tr w:rsidR="00000000" w14:paraId="50857435" w14:textId="77777777">
        <w:trPr>
          <w:divId w:val="364402301"/>
        </w:trPr>
        <w:tc>
          <w:tcPr>
            <w:tcW w:w="0" w:type="auto"/>
            <w:gridSpan w:val="3"/>
            <w:vAlign w:val="center"/>
            <w:hideMark/>
          </w:tcPr>
          <w:p w14:paraId="43F3048F" w14:textId="77777777" w:rsidR="00000000" w:rsidRDefault="00C1661D">
            <w:pPr>
              <w:spacing w:after="100"/>
              <w:jc w:val="right"/>
              <w:rPr>
                <w:rFonts w:eastAsia="Times New Roman"/>
                <w:sz w:val="20"/>
                <w:szCs w:val="20"/>
              </w:rPr>
            </w:pPr>
          </w:p>
        </w:tc>
        <w:tc>
          <w:tcPr>
            <w:tcW w:w="0" w:type="auto"/>
            <w:gridSpan w:val="3"/>
            <w:vAlign w:val="center"/>
            <w:hideMark/>
          </w:tcPr>
          <w:p w14:paraId="5D02BD83" w14:textId="77777777" w:rsidR="00000000" w:rsidRDefault="00C1661D">
            <w:pPr>
              <w:spacing w:after="100"/>
              <w:rPr>
                <w:rFonts w:eastAsia="Times New Roman"/>
                <w:sz w:val="20"/>
                <w:szCs w:val="20"/>
              </w:rPr>
            </w:pPr>
          </w:p>
        </w:tc>
        <w:tc>
          <w:tcPr>
            <w:tcW w:w="0" w:type="auto"/>
            <w:gridSpan w:val="3"/>
            <w:vAlign w:val="center"/>
            <w:hideMark/>
          </w:tcPr>
          <w:p w14:paraId="4D2D2314" w14:textId="77777777" w:rsidR="00000000" w:rsidRDefault="00C1661D">
            <w:pPr>
              <w:spacing w:after="100"/>
              <w:rPr>
                <w:rFonts w:eastAsia="Times New Roman"/>
                <w:sz w:val="20"/>
                <w:szCs w:val="20"/>
              </w:rPr>
            </w:pPr>
          </w:p>
        </w:tc>
        <w:tc>
          <w:tcPr>
            <w:tcW w:w="0" w:type="auto"/>
            <w:gridSpan w:val="3"/>
            <w:vAlign w:val="center"/>
            <w:hideMark/>
          </w:tcPr>
          <w:p w14:paraId="57A7A3F6" w14:textId="77777777" w:rsidR="00000000" w:rsidRDefault="00C1661D">
            <w:pPr>
              <w:spacing w:after="100"/>
              <w:rPr>
                <w:rFonts w:eastAsia="Times New Roman"/>
                <w:sz w:val="20"/>
                <w:szCs w:val="20"/>
              </w:rPr>
            </w:pPr>
          </w:p>
        </w:tc>
        <w:tc>
          <w:tcPr>
            <w:tcW w:w="0" w:type="auto"/>
            <w:gridSpan w:val="3"/>
            <w:vAlign w:val="center"/>
            <w:hideMark/>
          </w:tcPr>
          <w:p w14:paraId="5549EB35" w14:textId="77777777" w:rsidR="00000000" w:rsidRDefault="00C1661D">
            <w:pPr>
              <w:spacing w:after="100"/>
              <w:rPr>
                <w:rFonts w:eastAsia="Times New Roman"/>
                <w:sz w:val="20"/>
                <w:szCs w:val="20"/>
              </w:rPr>
            </w:pPr>
          </w:p>
        </w:tc>
        <w:tc>
          <w:tcPr>
            <w:tcW w:w="0" w:type="auto"/>
            <w:gridSpan w:val="3"/>
            <w:vAlign w:val="center"/>
            <w:hideMark/>
          </w:tcPr>
          <w:p w14:paraId="0FD13E1A" w14:textId="77777777" w:rsidR="00000000" w:rsidRDefault="00C1661D">
            <w:pPr>
              <w:spacing w:after="100"/>
              <w:rPr>
                <w:rFonts w:eastAsia="Times New Roman"/>
                <w:sz w:val="20"/>
                <w:szCs w:val="20"/>
              </w:rPr>
            </w:pPr>
          </w:p>
        </w:tc>
        <w:tc>
          <w:tcPr>
            <w:tcW w:w="0" w:type="auto"/>
            <w:gridSpan w:val="3"/>
            <w:vAlign w:val="center"/>
            <w:hideMark/>
          </w:tcPr>
          <w:p w14:paraId="694829DC" w14:textId="77777777" w:rsidR="00000000" w:rsidRDefault="00C1661D">
            <w:pPr>
              <w:spacing w:after="100"/>
              <w:rPr>
                <w:rFonts w:eastAsia="Times New Roman"/>
                <w:sz w:val="20"/>
                <w:szCs w:val="20"/>
              </w:rPr>
            </w:pPr>
          </w:p>
        </w:tc>
        <w:tc>
          <w:tcPr>
            <w:tcW w:w="0" w:type="auto"/>
            <w:gridSpan w:val="3"/>
            <w:vAlign w:val="center"/>
            <w:hideMark/>
          </w:tcPr>
          <w:p w14:paraId="107AC287" w14:textId="77777777" w:rsidR="00000000" w:rsidRDefault="00C1661D">
            <w:pPr>
              <w:spacing w:after="100"/>
              <w:rPr>
                <w:rFonts w:eastAsia="Times New Roman"/>
                <w:sz w:val="20"/>
                <w:szCs w:val="20"/>
              </w:rPr>
            </w:pPr>
          </w:p>
        </w:tc>
      </w:tr>
      <w:tr w:rsidR="00000000" w14:paraId="0DB8EFDC" w14:textId="77777777">
        <w:trPr>
          <w:divId w:val="364402301"/>
          <w:trHeight w:val="300"/>
        </w:trPr>
        <w:tc>
          <w:tcPr>
            <w:tcW w:w="0" w:type="auto"/>
            <w:gridSpan w:val="3"/>
            <w:shd w:val="clear" w:color="auto" w:fill="FFFFFF"/>
            <w:tcMar>
              <w:top w:w="0" w:type="dxa"/>
              <w:left w:w="20" w:type="dxa"/>
              <w:bottom w:w="0" w:type="dxa"/>
              <w:right w:w="20" w:type="dxa"/>
            </w:tcMar>
            <w:vAlign w:val="center"/>
            <w:hideMark/>
          </w:tcPr>
          <w:p w14:paraId="2AC7F3D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E1553E"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900DD5"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6F63D7"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56298A"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846554"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302B5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FAC087" w14:textId="77777777" w:rsidR="00000000" w:rsidRDefault="00C1661D">
            <w:pPr>
              <w:spacing w:after="100"/>
              <w:rPr>
                <w:rFonts w:eastAsia="Times New Roman"/>
                <w:sz w:val="20"/>
                <w:szCs w:val="20"/>
              </w:rPr>
            </w:pPr>
          </w:p>
        </w:tc>
      </w:tr>
      <w:tr w:rsidR="00000000" w14:paraId="50D63CEF" w14:textId="77777777">
        <w:trPr>
          <w:divId w:val="364402301"/>
        </w:trPr>
        <w:tc>
          <w:tcPr>
            <w:tcW w:w="0" w:type="auto"/>
            <w:gridSpan w:val="3"/>
            <w:shd w:val="clear" w:color="auto" w:fill="CCEEFF"/>
            <w:tcMar>
              <w:top w:w="30" w:type="dxa"/>
              <w:left w:w="20" w:type="dxa"/>
              <w:bottom w:w="30" w:type="dxa"/>
              <w:right w:w="20" w:type="dxa"/>
            </w:tcMar>
            <w:vAlign w:val="bottom"/>
            <w:hideMark/>
          </w:tcPr>
          <w:p w14:paraId="0AD6854B" w14:textId="77777777" w:rsidR="00000000" w:rsidRDefault="00C1661D">
            <w:pPr>
              <w:spacing w:after="100"/>
              <w:rPr>
                <w:rFonts w:eastAsia="Times New Roman"/>
              </w:rPr>
            </w:pPr>
            <w:r>
              <w:rPr>
                <w:rFonts w:eastAsia="Times New Roman"/>
                <w:color w:val="000000"/>
                <w:sz w:val="20"/>
                <w:szCs w:val="20"/>
              </w:rPr>
              <w:t>Non-qualified supplemental postretirement grantor trust investments (a)</w:t>
            </w:r>
          </w:p>
        </w:tc>
        <w:tc>
          <w:tcPr>
            <w:tcW w:w="0" w:type="auto"/>
            <w:shd w:val="clear" w:color="auto" w:fill="CCEEFF"/>
            <w:tcMar>
              <w:top w:w="30" w:type="dxa"/>
              <w:left w:w="20" w:type="dxa"/>
              <w:bottom w:w="30" w:type="dxa"/>
              <w:right w:w="0" w:type="dxa"/>
            </w:tcMar>
            <w:vAlign w:val="bottom"/>
            <w:hideMark/>
          </w:tcPr>
          <w:p w14:paraId="62C454D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0F726E7" w14:textId="77777777" w:rsidR="00000000" w:rsidRDefault="00C1661D">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14:paraId="449C363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D9EFEB"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ED5ECD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FEB4E6B"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12C2AB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6EE7F9"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C6184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9ED11B"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8C8ED2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3F8E44"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441CC60"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B4A5A84" w14:textId="77777777" w:rsidR="00000000" w:rsidRDefault="00C1661D">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14:paraId="5E7F330C" w14:textId="77777777" w:rsidR="00000000" w:rsidRDefault="00C1661D">
            <w:pPr>
              <w:spacing w:after="100"/>
              <w:jc w:val="right"/>
              <w:rPr>
                <w:rFonts w:eastAsia="Times New Roman"/>
              </w:rPr>
            </w:pPr>
          </w:p>
        </w:tc>
      </w:tr>
    </w:tbl>
    <w:p w14:paraId="45EC740A" w14:textId="77777777" w:rsidR="00000000" w:rsidRDefault="00C1661D">
      <w:pPr>
        <w:ind w:hanging="360"/>
        <w:jc w:val="both"/>
        <w:rPr>
          <w:rFonts w:eastAsia="Times New Roman"/>
        </w:rPr>
      </w:pPr>
      <w:r>
        <w:rPr>
          <w:rFonts w:eastAsia="Times New Roman"/>
          <w:color w:val="000000"/>
          <w:sz w:val="20"/>
          <w:szCs w:val="20"/>
        </w:rPr>
        <w:t>(a)Consists primarily of mutual fund investments held in grantor trusts associated with non-qualified supplemental retirement plans (see Note 8)</w:t>
      </w:r>
      <w:r>
        <w:rPr>
          <w:rFonts w:eastAsia="Times New Roman"/>
          <w:color w:val="000000"/>
          <w:sz w:val="20"/>
          <w:szCs w:val="20"/>
        </w:rPr>
        <w:t>.</w:t>
      </w:r>
    </w:p>
    <w:p w14:paraId="1B2C8DF5" w14:textId="77777777" w:rsidR="00000000" w:rsidRDefault="00C1661D">
      <w:pPr>
        <w:ind w:hanging="360"/>
        <w:jc w:val="both"/>
        <w:rPr>
          <w:rFonts w:eastAsia="Times New Roman"/>
        </w:rPr>
      </w:pPr>
      <w:r>
        <w:rPr>
          <w:rFonts w:eastAsia="Times New Roman"/>
          <w:color w:val="000000"/>
          <w:sz w:val="20"/>
          <w:szCs w:val="20"/>
        </w:rPr>
        <w:t>(b)Includes derivative assets and liabilities held-for-sale associated with the October 2022 sale of the United Kingdom energy marketing business (see Note 25).</w:t>
      </w:r>
    </w:p>
    <w:p w14:paraId="174EC02E" w14:textId="77777777" w:rsidR="00000000" w:rsidRDefault="00C1661D">
      <w:pPr>
        <w:ind w:hanging="360"/>
        <w:jc w:val="both"/>
        <w:rPr>
          <w:rFonts w:eastAsia="Times New Roman"/>
        </w:rPr>
      </w:pPr>
    </w:p>
    <w:p w14:paraId="432F65D3" w14:textId="77777777" w:rsidR="00000000" w:rsidRDefault="00C1661D">
      <w:pPr>
        <w:jc w:val="both"/>
        <w:rPr>
          <w:rFonts w:eastAsia="Times New Roman"/>
        </w:rPr>
      </w:pPr>
      <w:r>
        <w:rPr>
          <w:rFonts w:eastAsia="Times New Roman"/>
          <w:color w:val="000000"/>
          <w:sz w:val="20"/>
          <w:szCs w:val="20"/>
        </w:rPr>
        <w:t>The fair values of our Level 1 exchange-traded commodity futures and option contracts and n</w:t>
      </w:r>
      <w:r>
        <w:rPr>
          <w:rFonts w:eastAsia="Times New Roman"/>
          <w:color w:val="000000"/>
          <w:sz w:val="20"/>
          <w:szCs w:val="20"/>
        </w:rPr>
        <w:t>on-exchange-traded commodity futures and forward contracts are based upon actively quoted market prices for identical assets and liabilities. Substantially all of the remaining derivative instruments are designated as Level 2. The fair values of certain no</w:t>
      </w:r>
      <w:r>
        <w:rPr>
          <w:rFonts w:eastAsia="Times New Roman"/>
          <w:color w:val="000000"/>
          <w:sz w:val="20"/>
          <w:szCs w:val="20"/>
        </w:rPr>
        <w:t>n-exchange-traded commodity derivatives designated as Level 2 are based upon indicative price quotations available through brokers, industry price publications or recent market transactions and related market indicators. The fair values of our Level 2 inte</w:t>
      </w:r>
      <w:r>
        <w:rPr>
          <w:rFonts w:eastAsia="Times New Roman"/>
          <w:color w:val="000000"/>
          <w:sz w:val="20"/>
          <w:szCs w:val="20"/>
        </w:rPr>
        <w:t>rest rate contracts and foreign currency contracts are based upon third-party quotes or indicative values based on recent market transactions. The Level 3 measurements reflect natural gas commodity contracts attributable to our UGI International operations</w:t>
      </w:r>
      <w:r>
        <w:rPr>
          <w:rFonts w:eastAsia="Times New Roman"/>
          <w:color w:val="000000"/>
          <w:sz w:val="20"/>
          <w:szCs w:val="20"/>
        </w:rPr>
        <w:t>. The fair values of these contracts have been determined using unobservable inputs in an illiquid market, and the fair values of such Level 3 measurements ranged from $7 to $27 given the available inputs considered. The actual realized value at which thes</w:t>
      </w:r>
      <w:r>
        <w:rPr>
          <w:rFonts w:eastAsia="Times New Roman"/>
          <w:color w:val="000000"/>
          <w:sz w:val="20"/>
          <w:szCs w:val="20"/>
        </w:rPr>
        <w:t>e contracts will settle could vary significantly compared to the fair values reflected at September 30, 2022. The fair values of investments held in grantor trusts are derived from quoted market prices as substantially all of the investments in these trust</w:t>
      </w:r>
      <w:r>
        <w:rPr>
          <w:rFonts w:eastAsia="Times New Roman"/>
          <w:color w:val="000000"/>
          <w:sz w:val="20"/>
          <w:szCs w:val="20"/>
        </w:rPr>
        <w:t xml:space="preserve">s have active markets. </w:t>
      </w:r>
    </w:p>
    <w:p w14:paraId="0C622393" w14:textId="77777777" w:rsidR="00000000" w:rsidRDefault="00C1661D">
      <w:pPr>
        <w:jc w:val="center"/>
        <w:divId w:val="342561849"/>
        <w:rPr>
          <w:rFonts w:eastAsia="Times New Roman"/>
        </w:rPr>
      </w:pPr>
      <w:r>
        <w:rPr>
          <w:rFonts w:eastAsia="Times New Roman"/>
          <w:color w:val="000000"/>
          <w:sz w:val="20"/>
          <w:szCs w:val="20"/>
        </w:rPr>
        <w:t>F-50</w:t>
      </w:r>
    </w:p>
    <w:p w14:paraId="2BFB82AA" w14:textId="77777777" w:rsidR="00000000" w:rsidRDefault="00C1661D">
      <w:pPr>
        <w:rPr>
          <w:rFonts w:eastAsia="Times New Roman"/>
        </w:rPr>
      </w:pPr>
      <w:r>
        <w:rPr>
          <w:rFonts w:eastAsia="Times New Roman"/>
        </w:rPr>
        <w:pict w14:anchorId="11FD8F38">
          <v:rect id="_x0000_i1163" style="width:0;height:1.5pt" o:hralign="center" o:hrstd="t" o:hr="t" fillcolor="#a0a0a0" stroked="f"/>
        </w:pict>
      </w:r>
    </w:p>
    <w:p w14:paraId="6AD07970" w14:textId="77777777" w:rsidR="00000000" w:rsidRDefault="00C1661D">
      <w:pPr>
        <w:divId w:val="1337004113"/>
        <w:rPr>
          <w:rFonts w:eastAsia="Times New Roman"/>
        </w:rPr>
      </w:pPr>
      <w:hyperlink w:anchor="i3850c3c6c0104e42b9951aac2f16098a_7" w:history="1">
        <w:r>
          <w:rPr>
            <w:rStyle w:val="a3"/>
            <w:rFonts w:eastAsia="Times New Roman"/>
            <w:sz w:val="20"/>
            <w:szCs w:val="20"/>
          </w:rPr>
          <w:t>Table of Contents</w:t>
        </w:r>
      </w:hyperlink>
    </w:p>
    <w:p w14:paraId="5ACFBB0B" w14:textId="77777777" w:rsidR="00000000" w:rsidRDefault="00C1661D">
      <w:pPr>
        <w:divId w:val="2009357267"/>
        <w:rPr>
          <w:rFonts w:eastAsia="Times New Roman"/>
        </w:rPr>
      </w:pPr>
      <w:r>
        <w:rPr>
          <w:rFonts w:eastAsia="Times New Roman"/>
          <w:b/>
          <w:bCs/>
          <w:color w:val="000000"/>
          <w:sz w:val="20"/>
          <w:szCs w:val="20"/>
        </w:rPr>
        <w:t>UGI Corporation and Subsidiaries</w:t>
      </w:r>
    </w:p>
    <w:p w14:paraId="6E476A7D" w14:textId="77777777" w:rsidR="00000000" w:rsidRDefault="00C1661D">
      <w:pPr>
        <w:divId w:val="1261137450"/>
        <w:rPr>
          <w:rFonts w:eastAsia="Times New Roman"/>
        </w:rPr>
      </w:pPr>
      <w:r>
        <w:rPr>
          <w:rFonts w:eastAsia="Times New Roman"/>
          <w:b/>
          <w:bCs/>
          <w:color w:val="000000"/>
          <w:sz w:val="20"/>
          <w:szCs w:val="20"/>
        </w:rPr>
        <w:t>Notes to Consolidated Financial Statements</w:t>
      </w:r>
    </w:p>
    <w:p w14:paraId="44CD20EA" w14:textId="77777777" w:rsidR="00000000" w:rsidRDefault="00C1661D">
      <w:pPr>
        <w:divId w:val="1521620818"/>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14:paraId="0C74933E" w14:textId="77777777" w:rsidR="00000000" w:rsidRDefault="00C1661D">
      <w:pPr>
        <w:jc w:val="both"/>
        <w:rPr>
          <w:rFonts w:eastAsia="Times New Roman"/>
        </w:rPr>
      </w:pPr>
    </w:p>
    <w:p w14:paraId="6F416A04" w14:textId="77777777" w:rsidR="00000000" w:rsidRDefault="00C1661D">
      <w:pPr>
        <w:jc w:val="both"/>
        <w:rPr>
          <w:rFonts w:eastAsia="Times New Roman"/>
        </w:rPr>
      </w:pPr>
      <w:r>
        <w:rPr>
          <w:rFonts w:eastAsia="Times New Roman"/>
          <w:b/>
          <w:bCs/>
          <w:color w:val="000000"/>
          <w:sz w:val="20"/>
          <w:szCs w:val="20"/>
        </w:rPr>
        <w:t>Other Financial Instruments</w:t>
      </w:r>
    </w:p>
    <w:p w14:paraId="3B8D1A02" w14:textId="77777777" w:rsidR="00000000" w:rsidRDefault="00C1661D">
      <w:pPr>
        <w:jc w:val="both"/>
        <w:divId w:val="1233082010"/>
        <w:rPr>
          <w:rFonts w:eastAsia="Times New Roman"/>
        </w:rPr>
      </w:pPr>
      <w:r>
        <w:rPr>
          <w:rFonts w:eastAsia="Times New Roman"/>
          <w:color w:val="000000"/>
          <w:sz w:val="20"/>
          <w:szCs w:val="20"/>
        </w:rPr>
        <w:t>The carrying amounts of other financial instruments included in current assets and current liabilities (except for current maturities of long-term debt) approximate their fair values because of their short-term natu</w:t>
      </w:r>
      <w:r>
        <w:rPr>
          <w:rFonts w:eastAsia="Times New Roman"/>
          <w:color w:val="000000"/>
          <w:sz w:val="20"/>
          <w:szCs w:val="20"/>
        </w:rPr>
        <w:t>re. We estimate the fair value of long-term debt by using current market rates and by discounting future cash flows using rates available for similar type debt (Level 2). The carrying amounts and estimated fair values of our long-term debt (including curre</w:t>
      </w:r>
      <w:r>
        <w:rPr>
          <w:rFonts w:eastAsia="Times New Roman"/>
          <w:color w:val="000000"/>
          <w:sz w:val="20"/>
          <w:szCs w:val="20"/>
        </w:rPr>
        <w:t>nt maturities but excluding unamortized debt issuance costs) were as follows:</w:t>
      </w:r>
    </w:p>
    <w:tbl>
      <w:tblPr>
        <w:tblW w:w="4941" w:type="pct"/>
        <w:jc w:val="center"/>
        <w:tblCellMar>
          <w:top w:w="15" w:type="dxa"/>
          <w:left w:w="15" w:type="dxa"/>
          <w:bottom w:w="15" w:type="dxa"/>
          <w:right w:w="15" w:type="dxa"/>
        </w:tblCellMar>
        <w:tblLook w:val="04A0" w:firstRow="1" w:lastRow="0" w:firstColumn="1" w:lastColumn="0" w:noHBand="0" w:noVBand="1"/>
      </w:tblPr>
      <w:tblGrid>
        <w:gridCol w:w="39"/>
        <w:gridCol w:w="4810"/>
        <w:gridCol w:w="37"/>
        <w:gridCol w:w="120"/>
        <w:gridCol w:w="1469"/>
        <w:gridCol w:w="36"/>
        <w:gridCol w:w="36"/>
        <w:gridCol w:w="36"/>
        <w:gridCol w:w="36"/>
        <w:gridCol w:w="120"/>
        <w:gridCol w:w="1433"/>
        <w:gridCol w:w="36"/>
      </w:tblGrid>
      <w:tr w:rsidR="00000000" w14:paraId="4196ED25" w14:textId="77777777">
        <w:trPr>
          <w:divId w:val="569004324"/>
          <w:jc w:val="center"/>
        </w:trPr>
        <w:tc>
          <w:tcPr>
            <w:tcW w:w="50" w:type="pct"/>
            <w:vAlign w:val="center"/>
            <w:hideMark/>
          </w:tcPr>
          <w:p w14:paraId="2F2B90A0" w14:textId="77777777" w:rsidR="00000000" w:rsidRDefault="00C1661D">
            <w:pPr>
              <w:jc w:val="both"/>
              <w:rPr>
                <w:rFonts w:eastAsia="Times New Roman"/>
              </w:rPr>
            </w:pPr>
          </w:p>
        </w:tc>
        <w:tc>
          <w:tcPr>
            <w:tcW w:w="2955" w:type="pct"/>
            <w:vAlign w:val="center"/>
            <w:hideMark/>
          </w:tcPr>
          <w:p w14:paraId="3558120F" w14:textId="77777777" w:rsidR="00000000" w:rsidRDefault="00C1661D">
            <w:pPr>
              <w:spacing w:after="100"/>
              <w:rPr>
                <w:rFonts w:eastAsia="Times New Roman"/>
                <w:sz w:val="20"/>
                <w:szCs w:val="20"/>
              </w:rPr>
            </w:pPr>
          </w:p>
        </w:tc>
        <w:tc>
          <w:tcPr>
            <w:tcW w:w="5" w:type="pct"/>
            <w:vAlign w:val="center"/>
            <w:hideMark/>
          </w:tcPr>
          <w:p w14:paraId="0EB98B51" w14:textId="77777777" w:rsidR="00000000" w:rsidRDefault="00C1661D">
            <w:pPr>
              <w:spacing w:after="100"/>
              <w:rPr>
                <w:rFonts w:eastAsia="Times New Roman"/>
                <w:sz w:val="20"/>
                <w:szCs w:val="20"/>
              </w:rPr>
            </w:pPr>
          </w:p>
        </w:tc>
        <w:tc>
          <w:tcPr>
            <w:tcW w:w="50" w:type="pct"/>
            <w:vAlign w:val="center"/>
            <w:hideMark/>
          </w:tcPr>
          <w:p w14:paraId="7F2248EF" w14:textId="77777777" w:rsidR="00000000" w:rsidRDefault="00C1661D">
            <w:pPr>
              <w:spacing w:after="100"/>
              <w:rPr>
                <w:rFonts w:eastAsia="Times New Roman"/>
                <w:sz w:val="20"/>
                <w:szCs w:val="20"/>
              </w:rPr>
            </w:pPr>
          </w:p>
        </w:tc>
        <w:tc>
          <w:tcPr>
            <w:tcW w:w="921" w:type="pct"/>
            <w:vAlign w:val="center"/>
            <w:hideMark/>
          </w:tcPr>
          <w:p w14:paraId="615506F6" w14:textId="77777777" w:rsidR="00000000" w:rsidRDefault="00C1661D">
            <w:pPr>
              <w:spacing w:after="100"/>
              <w:rPr>
                <w:rFonts w:eastAsia="Times New Roman"/>
                <w:sz w:val="20"/>
                <w:szCs w:val="20"/>
              </w:rPr>
            </w:pPr>
          </w:p>
        </w:tc>
        <w:tc>
          <w:tcPr>
            <w:tcW w:w="5" w:type="pct"/>
            <w:vAlign w:val="center"/>
            <w:hideMark/>
          </w:tcPr>
          <w:p w14:paraId="15F8FB3D" w14:textId="77777777" w:rsidR="00000000" w:rsidRDefault="00C1661D">
            <w:pPr>
              <w:spacing w:after="100"/>
              <w:rPr>
                <w:rFonts w:eastAsia="Times New Roman"/>
                <w:sz w:val="20"/>
                <w:szCs w:val="20"/>
              </w:rPr>
            </w:pPr>
          </w:p>
        </w:tc>
        <w:tc>
          <w:tcPr>
            <w:tcW w:w="5" w:type="pct"/>
            <w:vAlign w:val="center"/>
            <w:hideMark/>
          </w:tcPr>
          <w:p w14:paraId="0BCB0DE8" w14:textId="77777777" w:rsidR="00000000" w:rsidRDefault="00C1661D">
            <w:pPr>
              <w:spacing w:after="100"/>
              <w:rPr>
                <w:rFonts w:eastAsia="Times New Roman"/>
                <w:sz w:val="20"/>
                <w:szCs w:val="20"/>
              </w:rPr>
            </w:pPr>
          </w:p>
        </w:tc>
        <w:tc>
          <w:tcPr>
            <w:tcW w:w="26" w:type="pct"/>
            <w:vAlign w:val="center"/>
            <w:hideMark/>
          </w:tcPr>
          <w:p w14:paraId="07E14059" w14:textId="77777777" w:rsidR="00000000" w:rsidRDefault="00C1661D">
            <w:pPr>
              <w:spacing w:after="100"/>
              <w:rPr>
                <w:rFonts w:eastAsia="Times New Roman"/>
                <w:sz w:val="20"/>
                <w:szCs w:val="20"/>
              </w:rPr>
            </w:pPr>
          </w:p>
        </w:tc>
        <w:tc>
          <w:tcPr>
            <w:tcW w:w="5" w:type="pct"/>
            <w:vAlign w:val="center"/>
            <w:hideMark/>
          </w:tcPr>
          <w:p w14:paraId="676E393F" w14:textId="77777777" w:rsidR="00000000" w:rsidRDefault="00C1661D">
            <w:pPr>
              <w:spacing w:after="100"/>
              <w:rPr>
                <w:rFonts w:eastAsia="Times New Roman"/>
                <w:sz w:val="20"/>
                <w:szCs w:val="20"/>
              </w:rPr>
            </w:pPr>
          </w:p>
        </w:tc>
        <w:tc>
          <w:tcPr>
            <w:tcW w:w="50" w:type="pct"/>
            <w:vAlign w:val="center"/>
            <w:hideMark/>
          </w:tcPr>
          <w:p w14:paraId="0A971875" w14:textId="77777777" w:rsidR="00000000" w:rsidRDefault="00C1661D">
            <w:pPr>
              <w:spacing w:after="100"/>
              <w:rPr>
                <w:rFonts w:eastAsia="Times New Roman"/>
                <w:sz w:val="20"/>
                <w:szCs w:val="20"/>
              </w:rPr>
            </w:pPr>
          </w:p>
        </w:tc>
        <w:tc>
          <w:tcPr>
            <w:tcW w:w="921" w:type="pct"/>
            <w:vAlign w:val="center"/>
            <w:hideMark/>
          </w:tcPr>
          <w:p w14:paraId="6191E990" w14:textId="77777777" w:rsidR="00000000" w:rsidRDefault="00C1661D">
            <w:pPr>
              <w:spacing w:after="100"/>
              <w:rPr>
                <w:rFonts w:eastAsia="Times New Roman"/>
                <w:sz w:val="20"/>
                <w:szCs w:val="20"/>
              </w:rPr>
            </w:pPr>
          </w:p>
        </w:tc>
        <w:tc>
          <w:tcPr>
            <w:tcW w:w="5" w:type="pct"/>
            <w:vAlign w:val="center"/>
            <w:hideMark/>
          </w:tcPr>
          <w:p w14:paraId="35BA27D5" w14:textId="77777777" w:rsidR="00000000" w:rsidRDefault="00C1661D">
            <w:pPr>
              <w:spacing w:after="100"/>
              <w:rPr>
                <w:rFonts w:eastAsia="Times New Roman"/>
                <w:sz w:val="20"/>
                <w:szCs w:val="20"/>
              </w:rPr>
            </w:pPr>
          </w:p>
        </w:tc>
      </w:tr>
      <w:tr w:rsidR="00000000" w14:paraId="5433A18E" w14:textId="77777777">
        <w:trPr>
          <w:divId w:val="569004324"/>
          <w:jc w:val="center"/>
        </w:trPr>
        <w:tc>
          <w:tcPr>
            <w:tcW w:w="0" w:type="auto"/>
            <w:gridSpan w:val="3"/>
            <w:tcMar>
              <w:top w:w="0" w:type="dxa"/>
              <w:left w:w="20" w:type="dxa"/>
              <w:bottom w:w="0" w:type="dxa"/>
              <w:right w:w="20" w:type="dxa"/>
            </w:tcMar>
            <w:vAlign w:val="center"/>
            <w:hideMark/>
          </w:tcPr>
          <w:p w14:paraId="56148B51"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D318B53"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20BAD462"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A72765D" w14:textId="77777777" w:rsidR="00000000" w:rsidRDefault="00C1661D">
            <w:pPr>
              <w:spacing w:after="100"/>
              <w:jc w:val="center"/>
              <w:rPr>
                <w:rFonts w:eastAsia="Times New Roman"/>
              </w:rPr>
            </w:pPr>
            <w:r>
              <w:rPr>
                <w:rFonts w:eastAsia="Times New Roman"/>
                <w:color w:val="000000"/>
                <w:sz w:val="20"/>
                <w:szCs w:val="20"/>
              </w:rPr>
              <w:t>2021</w:t>
            </w:r>
          </w:p>
        </w:tc>
      </w:tr>
      <w:tr w:rsidR="00000000" w14:paraId="3774357F" w14:textId="77777777">
        <w:trPr>
          <w:divId w:val="569004324"/>
          <w:jc w:val="center"/>
        </w:trPr>
        <w:tc>
          <w:tcPr>
            <w:tcW w:w="0" w:type="auto"/>
            <w:gridSpan w:val="3"/>
            <w:shd w:val="clear" w:color="auto" w:fill="CCEEFF"/>
            <w:tcMar>
              <w:top w:w="30" w:type="dxa"/>
              <w:left w:w="20" w:type="dxa"/>
              <w:bottom w:w="30" w:type="dxa"/>
              <w:right w:w="20" w:type="dxa"/>
            </w:tcMar>
            <w:vAlign w:val="bottom"/>
            <w:hideMark/>
          </w:tcPr>
          <w:p w14:paraId="5BC9A145" w14:textId="77777777" w:rsidR="00000000" w:rsidRDefault="00C1661D">
            <w:pPr>
              <w:spacing w:after="100"/>
              <w:rPr>
                <w:rFonts w:eastAsia="Times New Roman"/>
              </w:rPr>
            </w:pPr>
            <w:r>
              <w:rPr>
                <w:rFonts w:eastAsia="Times New Roman"/>
                <w:color w:val="000000"/>
                <w:sz w:val="20"/>
                <w:szCs w:val="20"/>
              </w:rPr>
              <w:t>Carrying amount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3CC85A"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DF214C" w14:textId="77777777" w:rsidR="00000000" w:rsidRDefault="00C1661D">
            <w:pPr>
              <w:spacing w:after="100"/>
              <w:jc w:val="right"/>
              <w:rPr>
                <w:rFonts w:eastAsia="Times New Roman"/>
              </w:rPr>
            </w:pPr>
            <w:r>
              <w:rPr>
                <w:rFonts w:eastAsia="Times New Roman"/>
                <w:color w:val="000000"/>
                <w:sz w:val="20"/>
                <w:szCs w:val="20"/>
              </w:rPr>
              <w:t>6,665 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0D636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C78DB"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A55A1B"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7E6A8B" w14:textId="77777777" w:rsidR="00000000" w:rsidRDefault="00C1661D">
            <w:pPr>
              <w:spacing w:after="100"/>
              <w:jc w:val="right"/>
              <w:rPr>
                <w:rFonts w:eastAsia="Times New Roman"/>
              </w:rPr>
            </w:pPr>
            <w:r>
              <w:rPr>
                <w:rFonts w:eastAsia="Times New Roman"/>
                <w:color w:val="000000"/>
                <w:sz w:val="20"/>
                <w:szCs w:val="20"/>
              </w:rPr>
              <w:t>6,491 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CA1AD4" w14:textId="77777777" w:rsidR="00000000" w:rsidRDefault="00C1661D">
            <w:pPr>
              <w:spacing w:after="100"/>
              <w:jc w:val="right"/>
              <w:rPr>
                <w:rFonts w:eastAsia="Times New Roman"/>
              </w:rPr>
            </w:pPr>
          </w:p>
        </w:tc>
      </w:tr>
      <w:tr w:rsidR="00000000" w14:paraId="66BADD98" w14:textId="77777777">
        <w:trPr>
          <w:divId w:val="569004324"/>
          <w:jc w:val="center"/>
        </w:trPr>
        <w:tc>
          <w:tcPr>
            <w:tcW w:w="0" w:type="auto"/>
            <w:gridSpan w:val="3"/>
            <w:shd w:val="clear" w:color="auto" w:fill="FFFFFF"/>
            <w:tcMar>
              <w:top w:w="30" w:type="dxa"/>
              <w:left w:w="20" w:type="dxa"/>
              <w:bottom w:w="30" w:type="dxa"/>
              <w:right w:w="20" w:type="dxa"/>
            </w:tcMar>
            <w:vAlign w:val="bottom"/>
            <w:hideMark/>
          </w:tcPr>
          <w:p w14:paraId="003513FF" w14:textId="77777777" w:rsidR="00000000" w:rsidRDefault="00C1661D">
            <w:pPr>
              <w:spacing w:after="100"/>
              <w:rPr>
                <w:rFonts w:eastAsia="Times New Roman"/>
              </w:rPr>
            </w:pPr>
            <w:r>
              <w:rPr>
                <w:rFonts w:eastAsia="Times New Roman"/>
                <w:color w:val="000000"/>
                <w:sz w:val="20"/>
                <w:szCs w:val="20"/>
              </w:rPr>
              <w:t>Estimated fair value</w:t>
            </w:r>
          </w:p>
        </w:tc>
        <w:tc>
          <w:tcPr>
            <w:tcW w:w="0" w:type="auto"/>
            <w:shd w:val="clear" w:color="auto" w:fill="FFFFFF"/>
            <w:tcMar>
              <w:top w:w="30" w:type="dxa"/>
              <w:left w:w="20" w:type="dxa"/>
              <w:bottom w:w="30" w:type="dxa"/>
              <w:right w:w="0" w:type="dxa"/>
            </w:tcMar>
            <w:vAlign w:val="bottom"/>
            <w:hideMark/>
          </w:tcPr>
          <w:p w14:paraId="0F4CBC5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DE2DB09" w14:textId="77777777" w:rsidR="00000000" w:rsidRDefault="00C1661D">
            <w:pPr>
              <w:spacing w:after="100"/>
              <w:jc w:val="right"/>
              <w:rPr>
                <w:rFonts w:eastAsia="Times New Roman"/>
              </w:rPr>
            </w:pPr>
            <w:r>
              <w:rPr>
                <w:rFonts w:eastAsia="Times New Roman"/>
                <w:color w:val="000000"/>
                <w:sz w:val="20"/>
                <w:szCs w:val="20"/>
              </w:rPr>
              <w:t>6,189 </w:t>
            </w:r>
          </w:p>
        </w:tc>
        <w:tc>
          <w:tcPr>
            <w:tcW w:w="0" w:type="auto"/>
            <w:shd w:val="clear" w:color="auto" w:fill="FFFFFF"/>
            <w:tcMar>
              <w:top w:w="30" w:type="dxa"/>
              <w:left w:w="0" w:type="dxa"/>
              <w:bottom w:w="30" w:type="dxa"/>
              <w:right w:w="20" w:type="dxa"/>
            </w:tcMar>
            <w:vAlign w:val="bottom"/>
            <w:hideMark/>
          </w:tcPr>
          <w:p w14:paraId="52F9A04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76034"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D8279B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1843E9D" w14:textId="77777777" w:rsidR="00000000" w:rsidRDefault="00C1661D">
            <w:pPr>
              <w:spacing w:after="100"/>
              <w:jc w:val="right"/>
              <w:rPr>
                <w:rFonts w:eastAsia="Times New Roman"/>
              </w:rPr>
            </w:pPr>
            <w:r>
              <w:rPr>
                <w:rFonts w:eastAsia="Times New Roman"/>
                <w:color w:val="000000"/>
                <w:sz w:val="20"/>
                <w:szCs w:val="20"/>
              </w:rPr>
              <w:t>6,996 </w:t>
            </w:r>
          </w:p>
        </w:tc>
        <w:tc>
          <w:tcPr>
            <w:tcW w:w="0" w:type="auto"/>
            <w:shd w:val="clear" w:color="auto" w:fill="FFFFFF"/>
            <w:tcMar>
              <w:top w:w="30" w:type="dxa"/>
              <w:left w:w="0" w:type="dxa"/>
              <w:bottom w:w="30" w:type="dxa"/>
              <w:right w:w="20" w:type="dxa"/>
            </w:tcMar>
            <w:vAlign w:val="bottom"/>
            <w:hideMark/>
          </w:tcPr>
          <w:p w14:paraId="796304C4" w14:textId="77777777" w:rsidR="00000000" w:rsidRDefault="00C1661D">
            <w:pPr>
              <w:spacing w:after="100"/>
              <w:jc w:val="right"/>
              <w:rPr>
                <w:rFonts w:eastAsia="Times New Roman"/>
              </w:rPr>
            </w:pPr>
          </w:p>
        </w:tc>
      </w:tr>
    </w:tbl>
    <w:p w14:paraId="29D3FCF1" w14:textId="77777777" w:rsidR="00000000" w:rsidRDefault="00C1661D">
      <w:pPr>
        <w:jc w:val="both"/>
        <w:divId w:val="1887794115"/>
        <w:rPr>
          <w:rFonts w:eastAsia="Times New Roman"/>
        </w:rPr>
      </w:pPr>
      <w:r>
        <w:rPr>
          <w:rFonts w:eastAsia="Times New Roman"/>
          <w:color w:val="000000"/>
          <w:sz w:val="20"/>
          <w:szCs w:val="20"/>
        </w:rPr>
        <w:t xml:space="preserve">Financial instruments other than derivative instruments, such as short-term investments and trade accounts receivable, could expose us to concentrations of credit risk. We limit credit risk from short-term investments by investing only in investment-grade </w:t>
      </w:r>
      <w:r>
        <w:rPr>
          <w:rFonts w:eastAsia="Times New Roman"/>
          <w:color w:val="000000"/>
          <w:sz w:val="20"/>
          <w:szCs w:val="20"/>
        </w:rPr>
        <w:t>commercial paper, money market mutual funds, securities guaranteed by the U.S. Government or its agencies and FDIC insured bank deposits. The credit risk arising from concentrations of trade accounts receivable is limited because we have a large customer b</w:t>
      </w:r>
      <w:r>
        <w:rPr>
          <w:rFonts w:eastAsia="Times New Roman"/>
          <w:color w:val="000000"/>
          <w:sz w:val="20"/>
          <w:szCs w:val="20"/>
        </w:rPr>
        <w:t xml:space="preserve">ase that extends across many different U.S. markets and a number of foreign countries. For information regarding concentrations of credit risk associated with our derivative instruments, see Note 19. </w:t>
      </w:r>
    </w:p>
    <w:p w14:paraId="449B7288" w14:textId="77777777" w:rsidR="00000000" w:rsidRDefault="00C1661D">
      <w:pPr>
        <w:jc w:val="both"/>
        <w:rPr>
          <w:rFonts w:eastAsia="Times New Roman"/>
        </w:rPr>
      </w:pPr>
    </w:p>
    <w:p w14:paraId="1A85A21A" w14:textId="77777777" w:rsidR="00000000" w:rsidRDefault="00C1661D">
      <w:pPr>
        <w:jc w:val="both"/>
        <w:rPr>
          <w:rFonts w:eastAsia="Times New Roman"/>
        </w:rPr>
      </w:pPr>
      <w:r>
        <w:rPr>
          <w:rFonts w:eastAsia="Times New Roman"/>
          <w:b/>
          <w:bCs/>
          <w:color w:val="000000"/>
          <w:sz w:val="20"/>
          <w:szCs w:val="20"/>
          <w:u w:val="single"/>
        </w:rPr>
        <w:t>Note 19 — Derivative Instruments and Hedging Activiti</w:t>
      </w:r>
      <w:r>
        <w:rPr>
          <w:rFonts w:eastAsia="Times New Roman"/>
          <w:b/>
          <w:bCs/>
          <w:color w:val="000000"/>
          <w:sz w:val="20"/>
          <w:szCs w:val="20"/>
          <w:u w:val="single"/>
        </w:rPr>
        <w:t xml:space="preserve">es </w:t>
      </w:r>
    </w:p>
    <w:p w14:paraId="13A878FE" w14:textId="77777777" w:rsidR="00000000" w:rsidRDefault="00C1661D">
      <w:pPr>
        <w:jc w:val="both"/>
        <w:divId w:val="416831960"/>
        <w:rPr>
          <w:rFonts w:eastAsia="Times New Roman"/>
        </w:rPr>
      </w:pPr>
      <w:r>
        <w:rPr>
          <w:rFonts w:eastAsia="Times New Roman"/>
          <w:color w:val="000000"/>
          <w:sz w:val="20"/>
          <w:szCs w:val="20"/>
        </w:rPr>
        <w:t>We are exposed to certain market risks related to our ongoing business operations. Management uses derivative financial and commodity instruments, among other things, to manage: (1) commodity price risk; (2) interest rate risk; and (3) foreign currency exc</w:t>
      </w:r>
      <w:r>
        <w:rPr>
          <w:rFonts w:eastAsia="Times New Roman"/>
          <w:color w:val="000000"/>
          <w:sz w:val="20"/>
          <w:szCs w:val="20"/>
        </w:rPr>
        <w:t>hange rate risk. Although we use derivative financial and commodity instruments to reduce market risk associated with forecasted transactions, we do not use derivative financial and commodity instruments for speculative or trading purposes. The use of deri</w:t>
      </w:r>
      <w:r>
        <w:rPr>
          <w:rFonts w:eastAsia="Times New Roman"/>
          <w:color w:val="000000"/>
          <w:sz w:val="20"/>
          <w:szCs w:val="20"/>
        </w:rPr>
        <w:t>vative instruments is controlled by our risk management and credit policies, which govern, among other things, the derivative instruments we can use, counterparty credit limits and contract authorization limits. Although our commodity derivative instrument</w:t>
      </w:r>
      <w:r>
        <w:rPr>
          <w:rFonts w:eastAsia="Times New Roman"/>
          <w:color w:val="000000"/>
          <w:sz w:val="20"/>
          <w:szCs w:val="20"/>
        </w:rPr>
        <w:t>s extend over a number of years, a significant portion of our commodity derivative instruments economically hedge commodity price risk during the next twelve months. For information on the accounting for our derivative instruments, see Note 2.</w:t>
      </w:r>
    </w:p>
    <w:p w14:paraId="41366EEE" w14:textId="77777777" w:rsidR="00000000" w:rsidRDefault="00C1661D">
      <w:pPr>
        <w:jc w:val="both"/>
        <w:divId w:val="1298299858"/>
        <w:rPr>
          <w:rFonts w:eastAsia="Times New Roman"/>
        </w:rPr>
      </w:pPr>
      <w:r>
        <w:rPr>
          <w:rFonts w:eastAsia="Times New Roman"/>
          <w:color w:val="000000"/>
          <w:sz w:val="20"/>
          <w:szCs w:val="20"/>
        </w:rPr>
        <w:t>The followin</w:t>
      </w:r>
      <w:r>
        <w:rPr>
          <w:rFonts w:eastAsia="Times New Roman"/>
          <w:color w:val="000000"/>
          <w:sz w:val="20"/>
          <w:szCs w:val="20"/>
        </w:rPr>
        <w:t>g summarizes the types of derivative instruments used by the Company to manage certain market risks:</w:t>
      </w:r>
    </w:p>
    <w:p w14:paraId="604A8550" w14:textId="77777777" w:rsidR="00000000" w:rsidRDefault="00C1661D">
      <w:pPr>
        <w:jc w:val="both"/>
        <w:divId w:val="1258056760"/>
        <w:rPr>
          <w:rFonts w:eastAsia="Times New Roman"/>
        </w:rPr>
      </w:pPr>
      <w:r>
        <w:rPr>
          <w:rFonts w:eastAsia="Times New Roman"/>
          <w:b/>
          <w:bCs/>
          <w:color w:val="000000"/>
          <w:sz w:val="20"/>
          <w:szCs w:val="20"/>
        </w:rPr>
        <w:t>Commodity Price Risk</w:t>
      </w:r>
    </w:p>
    <w:p w14:paraId="25E93AA3" w14:textId="77777777" w:rsidR="00000000" w:rsidRDefault="00C1661D">
      <w:pPr>
        <w:jc w:val="both"/>
        <w:divId w:val="1413620196"/>
        <w:rPr>
          <w:rFonts w:eastAsia="Times New Roman"/>
        </w:rPr>
      </w:pPr>
      <w:r>
        <w:rPr>
          <w:rFonts w:eastAsia="Times New Roman"/>
          <w:color w:val="000000"/>
          <w:sz w:val="20"/>
          <w:szCs w:val="20"/>
          <w:u w:val="single"/>
        </w:rPr>
        <w:t>Regulated Utility Operations</w:t>
      </w:r>
    </w:p>
    <w:p w14:paraId="7F7B3A41" w14:textId="77777777" w:rsidR="00000000" w:rsidRDefault="00C1661D">
      <w:pPr>
        <w:jc w:val="both"/>
        <w:divId w:val="729304008"/>
        <w:rPr>
          <w:rFonts w:eastAsia="Times New Roman"/>
        </w:rPr>
      </w:pPr>
      <w:r>
        <w:rPr>
          <w:rFonts w:eastAsia="Times New Roman"/>
          <w:i/>
          <w:iCs/>
          <w:color w:val="000000"/>
          <w:sz w:val="20"/>
          <w:szCs w:val="20"/>
        </w:rPr>
        <w:t>Natural Gas</w:t>
      </w:r>
    </w:p>
    <w:p w14:paraId="3576D4E9" w14:textId="77777777" w:rsidR="00000000" w:rsidRDefault="00C1661D">
      <w:pPr>
        <w:jc w:val="both"/>
        <w:divId w:val="1472401966"/>
        <w:rPr>
          <w:rFonts w:eastAsia="Times New Roman"/>
        </w:rPr>
      </w:pPr>
      <w:r>
        <w:rPr>
          <w:rFonts w:eastAsia="Times New Roman"/>
          <w:color w:val="000000"/>
          <w:sz w:val="20"/>
          <w:szCs w:val="20"/>
        </w:rPr>
        <w:t>PA Gas Utility’</w:t>
      </w:r>
      <w:r>
        <w:rPr>
          <w:rFonts w:eastAsia="Times New Roman"/>
          <w:color w:val="000000"/>
          <w:sz w:val="20"/>
          <w:szCs w:val="20"/>
        </w:rPr>
        <w:t>s tariffs contain clauses that permit recovery of all prudently incurred costs of natural gas it sells to retail core-market customers, including the cost of financial instruments used to hedge purchased gas costs. As permitted and agreed to by the PAPUC p</w:t>
      </w:r>
      <w:r>
        <w:rPr>
          <w:rFonts w:eastAsia="Times New Roman"/>
          <w:color w:val="000000"/>
          <w:sz w:val="20"/>
          <w:szCs w:val="20"/>
        </w:rPr>
        <w:t>ursuant to PA Gas Utility’s annual PGC filings, PA Gas Utility currently uses NYMEX natural gas futures and option contracts to reduce commodity price volatility associated with a portion of the natural gas it purchases for its retail core-market customers</w:t>
      </w:r>
      <w:r>
        <w:rPr>
          <w:rFonts w:eastAsia="Times New Roman"/>
          <w:color w:val="000000"/>
          <w:sz w:val="20"/>
          <w:szCs w:val="20"/>
        </w:rPr>
        <w:t>. See Note 9 for further information on the regulatory accounting treatment for these derivative instruments.</w:t>
      </w:r>
    </w:p>
    <w:p w14:paraId="2AD2CDE1" w14:textId="77777777" w:rsidR="00000000" w:rsidRDefault="00C1661D">
      <w:pPr>
        <w:jc w:val="both"/>
        <w:divId w:val="139465904"/>
        <w:rPr>
          <w:rFonts w:eastAsia="Times New Roman"/>
        </w:rPr>
      </w:pPr>
      <w:r>
        <w:rPr>
          <w:rFonts w:eastAsia="Times New Roman"/>
          <w:color w:val="000000"/>
          <w:sz w:val="20"/>
          <w:szCs w:val="20"/>
          <w:u w:val="single"/>
        </w:rPr>
        <w:t>Non-utility Operations</w:t>
      </w:r>
    </w:p>
    <w:p w14:paraId="74310568" w14:textId="77777777" w:rsidR="00000000" w:rsidRDefault="00C1661D">
      <w:pPr>
        <w:jc w:val="both"/>
        <w:divId w:val="1157453494"/>
        <w:rPr>
          <w:rFonts w:eastAsia="Times New Roman"/>
        </w:rPr>
      </w:pPr>
      <w:r>
        <w:rPr>
          <w:rFonts w:eastAsia="Times New Roman"/>
          <w:i/>
          <w:iCs/>
          <w:color w:val="000000"/>
          <w:sz w:val="20"/>
          <w:szCs w:val="20"/>
        </w:rPr>
        <w:t>LPG</w:t>
      </w:r>
    </w:p>
    <w:p w14:paraId="17A94A5D" w14:textId="77777777" w:rsidR="00000000" w:rsidRDefault="00C1661D">
      <w:pPr>
        <w:jc w:val="both"/>
        <w:divId w:val="536159305"/>
        <w:rPr>
          <w:rFonts w:eastAsia="Times New Roman"/>
        </w:rPr>
      </w:pPr>
      <w:r>
        <w:rPr>
          <w:rFonts w:eastAsia="Times New Roman"/>
          <w:color w:val="000000"/>
          <w:sz w:val="20"/>
          <w:szCs w:val="20"/>
        </w:rPr>
        <w:t>In order to manage market price risk associated with the Partnership’s fixed-price programs and to reduce the effects o</w:t>
      </w:r>
      <w:r>
        <w:rPr>
          <w:rFonts w:eastAsia="Times New Roman"/>
          <w:color w:val="000000"/>
          <w:sz w:val="20"/>
          <w:szCs w:val="20"/>
        </w:rPr>
        <w:t>f short-term commodity price volatility, the Partnership uses over-the-counter derivative commodity instruments, principally price swap contracts. In addition, the Partnership and our UGI International operations also use over-the-counter price swap and op</w:t>
      </w:r>
      <w:r>
        <w:rPr>
          <w:rFonts w:eastAsia="Times New Roman"/>
          <w:color w:val="000000"/>
          <w:sz w:val="20"/>
          <w:szCs w:val="20"/>
        </w:rPr>
        <w:t>tion contracts to reduce commodity price volatility associated with a portion of their forecasted LPG purchases.</w:t>
      </w:r>
    </w:p>
    <w:p w14:paraId="549694B2" w14:textId="77777777" w:rsidR="00000000" w:rsidRDefault="00C1661D">
      <w:pPr>
        <w:jc w:val="both"/>
        <w:divId w:val="466319216"/>
        <w:rPr>
          <w:rFonts w:eastAsia="Times New Roman"/>
        </w:rPr>
      </w:pPr>
      <w:r>
        <w:rPr>
          <w:rFonts w:eastAsia="Times New Roman"/>
          <w:i/>
          <w:iCs/>
          <w:color w:val="000000"/>
          <w:sz w:val="20"/>
          <w:szCs w:val="20"/>
        </w:rPr>
        <w:t>Natural Gas</w:t>
      </w:r>
    </w:p>
    <w:p w14:paraId="2FD3525F" w14:textId="77777777" w:rsidR="00000000" w:rsidRDefault="00C1661D">
      <w:pPr>
        <w:jc w:val="center"/>
        <w:divId w:val="845053938"/>
        <w:rPr>
          <w:rFonts w:eastAsia="Times New Roman"/>
        </w:rPr>
      </w:pPr>
      <w:r>
        <w:rPr>
          <w:rFonts w:eastAsia="Times New Roman"/>
          <w:color w:val="000000"/>
          <w:sz w:val="20"/>
          <w:szCs w:val="20"/>
        </w:rPr>
        <w:t>F-51</w:t>
      </w:r>
    </w:p>
    <w:p w14:paraId="590BDAF4" w14:textId="77777777" w:rsidR="00000000" w:rsidRDefault="00C1661D">
      <w:pPr>
        <w:rPr>
          <w:rFonts w:eastAsia="Times New Roman"/>
        </w:rPr>
      </w:pPr>
      <w:r>
        <w:rPr>
          <w:rFonts w:eastAsia="Times New Roman"/>
        </w:rPr>
        <w:pict w14:anchorId="476C0C8B">
          <v:rect id="_x0000_i1164" style="width:0;height:1.5pt" o:hralign="center" o:hrstd="t" o:hr="t" fillcolor="#a0a0a0" stroked="f"/>
        </w:pict>
      </w:r>
    </w:p>
    <w:p w14:paraId="36DBB7AE" w14:textId="77777777" w:rsidR="00000000" w:rsidRDefault="00C1661D">
      <w:pPr>
        <w:divId w:val="872498801"/>
        <w:rPr>
          <w:rFonts w:eastAsia="Times New Roman"/>
        </w:rPr>
      </w:pPr>
      <w:hyperlink w:anchor="i3850c3c6c0104e42b9951aac2f16098a_7" w:history="1">
        <w:r>
          <w:rPr>
            <w:rStyle w:val="a3"/>
            <w:rFonts w:eastAsia="Times New Roman"/>
            <w:sz w:val="20"/>
            <w:szCs w:val="20"/>
          </w:rPr>
          <w:t>Table of Contents</w:t>
        </w:r>
      </w:hyperlink>
    </w:p>
    <w:p w14:paraId="26225D69" w14:textId="77777777" w:rsidR="00000000" w:rsidRDefault="00C1661D">
      <w:pPr>
        <w:divId w:val="1779177376"/>
        <w:rPr>
          <w:rFonts w:eastAsia="Times New Roman"/>
        </w:rPr>
      </w:pPr>
      <w:r>
        <w:rPr>
          <w:rFonts w:eastAsia="Times New Roman"/>
          <w:b/>
          <w:bCs/>
          <w:color w:val="000000"/>
          <w:sz w:val="20"/>
          <w:szCs w:val="20"/>
        </w:rPr>
        <w:t>UGI Corporatio</w:t>
      </w:r>
      <w:r>
        <w:rPr>
          <w:rFonts w:eastAsia="Times New Roman"/>
          <w:b/>
          <w:bCs/>
          <w:color w:val="000000"/>
          <w:sz w:val="20"/>
          <w:szCs w:val="20"/>
        </w:rPr>
        <w:t>n and Subsidiaries</w:t>
      </w:r>
    </w:p>
    <w:p w14:paraId="0F665EC3" w14:textId="77777777" w:rsidR="00000000" w:rsidRDefault="00C1661D">
      <w:pPr>
        <w:divId w:val="1585798076"/>
        <w:rPr>
          <w:rFonts w:eastAsia="Times New Roman"/>
        </w:rPr>
      </w:pPr>
      <w:r>
        <w:rPr>
          <w:rFonts w:eastAsia="Times New Roman"/>
          <w:b/>
          <w:bCs/>
          <w:color w:val="000000"/>
          <w:sz w:val="20"/>
          <w:szCs w:val="20"/>
        </w:rPr>
        <w:t>Notes to Consolidated Financial Statements</w:t>
      </w:r>
    </w:p>
    <w:p w14:paraId="654E1B9B" w14:textId="77777777" w:rsidR="00000000" w:rsidRDefault="00C1661D">
      <w:pPr>
        <w:divId w:val="1281719912"/>
        <w:rPr>
          <w:rFonts w:eastAsia="Times New Roman"/>
        </w:rPr>
      </w:pPr>
      <w:r>
        <w:rPr>
          <w:rFonts w:eastAsia="Times New Roman"/>
          <w:color w:val="000000"/>
          <w:sz w:val="20"/>
          <w:szCs w:val="20"/>
        </w:rPr>
        <w:t>(Currency in millions, except per share amounts and where indicated otherwise)</w:t>
      </w:r>
    </w:p>
    <w:p w14:paraId="0085EF11" w14:textId="77777777" w:rsidR="00000000" w:rsidRDefault="00C1661D">
      <w:pPr>
        <w:jc w:val="both"/>
        <w:divId w:val="1708290263"/>
        <w:rPr>
          <w:rFonts w:eastAsia="Times New Roman"/>
        </w:rPr>
      </w:pPr>
      <w:r>
        <w:rPr>
          <w:rFonts w:eastAsia="Times New Roman"/>
          <w:color w:val="000000"/>
          <w:sz w:val="20"/>
          <w:szCs w:val="20"/>
        </w:rPr>
        <w:t xml:space="preserve">In order to manage market price risk relating to fixed-price sales contracts for physical natural gas, Midstream &amp; </w:t>
      </w:r>
      <w:r>
        <w:rPr>
          <w:rFonts w:eastAsia="Times New Roman"/>
          <w:color w:val="000000"/>
          <w:sz w:val="20"/>
          <w:szCs w:val="20"/>
        </w:rPr>
        <w:t>Marketing enters into NYMEX and over-the-counter natural gas futures and over-the-counter and ICE natural gas basis swap contracts. In addition, Midstream &amp; Marketing uses NYMEX and over-the-counter futures and options contracts to economically hedge price</w:t>
      </w:r>
      <w:r>
        <w:rPr>
          <w:rFonts w:eastAsia="Times New Roman"/>
          <w:color w:val="000000"/>
          <w:sz w:val="20"/>
          <w:szCs w:val="20"/>
        </w:rPr>
        <w:t xml:space="preserve"> volatility associated with the gross margin derived from the purchase and anticipated later near-term sale of natural gas storage inventories. Outside of the financial market, Midstream &amp; Marketing also uses ICE and over-the-counter forward physical contr</w:t>
      </w:r>
      <w:r>
        <w:rPr>
          <w:rFonts w:eastAsia="Times New Roman"/>
          <w:color w:val="000000"/>
          <w:sz w:val="20"/>
          <w:szCs w:val="20"/>
        </w:rPr>
        <w:t>acts. UGI International also uses natural gas futures and forward contracts to economically hedge market price risk associated with a substantial portion of anticipated volumes under fixed-price sales contracts with its customers.</w:t>
      </w:r>
    </w:p>
    <w:p w14:paraId="2D3105EA" w14:textId="77777777" w:rsidR="00000000" w:rsidRDefault="00C1661D">
      <w:pPr>
        <w:jc w:val="both"/>
        <w:divId w:val="270401941"/>
        <w:rPr>
          <w:rFonts w:eastAsia="Times New Roman"/>
        </w:rPr>
      </w:pPr>
      <w:r>
        <w:rPr>
          <w:rFonts w:eastAsia="Times New Roman"/>
          <w:i/>
          <w:iCs/>
          <w:color w:val="000000"/>
          <w:sz w:val="20"/>
          <w:szCs w:val="20"/>
        </w:rPr>
        <w:t>Electricity</w:t>
      </w:r>
    </w:p>
    <w:p w14:paraId="4CBCB853" w14:textId="77777777" w:rsidR="00000000" w:rsidRDefault="00C1661D">
      <w:pPr>
        <w:jc w:val="both"/>
        <w:divId w:val="1244221257"/>
        <w:rPr>
          <w:rFonts w:eastAsia="Times New Roman"/>
        </w:rPr>
      </w:pPr>
      <w:r>
        <w:rPr>
          <w:rFonts w:eastAsia="Times New Roman"/>
          <w:color w:val="000000"/>
          <w:sz w:val="20"/>
          <w:szCs w:val="20"/>
        </w:rPr>
        <w:t>In order to m</w:t>
      </w:r>
      <w:r>
        <w:rPr>
          <w:rFonts w:eastAsia="Times New Roman"/>
          <w:color w:val="000000"/>
          <w:sz w:val="20"/>
          <w:szCs w:val="20"/>
        </w:rPr>
        <w:t>anage market price risk relating to fixed-price sales contracts for electricity, Midstream &amp; Marketing enters into electricity futures and forward contracts. Midstream &amp; Marketing also uses NYMEX and over-the-counter electricity futures contracts to econom</w:t>
      </w:r>
      <w:r>
        <w:rPr>
          <w:rFonts w:eastAsia="Times New Roman"/>
          <w:color w:val="000000"/>
          <w:sz w:val="20"/>
          <w:szCs w:val="20"/>
        </w:rPr>
        <w:t>ically hedge the price of a portion of its anticipated future sales of electricity from its electric generation facilities. UGI International also uses electricity futures and forward contracts to economically hedge market price risk associated with fixed-</w:t>
      </w:r>
      <w:r>
        <w:rPr>
          <w:rFonts w:eastAsia="Times New Roman"/>
          <w:color w:val="000000"/>
          <w:sz w:val="20"/>
          <w:szCs w:val="20"/>
        </w:rPr>
        <w:t>price sales and purchase contracts for electricity.</w:t>
      </w:r>
    </w:p>
    <w:p w14:paraId="7EF83715" w14:textId="77777777" w:rsidR="00000000" w:rsidRDefault="00C1661D">
      <w:pPr>
        <w:jc w:val="both"/>
        <w:divId w:val="1234777418"/>
        <w:rPr>
          <w:rFonts w:eastAsia="Times New Roman"/>
        </w:rPr>
      </w:pPr>
      <w:r>
        <w:rPr>
          <w:rFonts w:eastAsia="Times New Roman"/>
          <w:b/>
          <w:bCs/>
          <w:color w:val="000000"/>
          <w:sz w:val="20"/>
          <w:szCs w:val="20"/>
        </w:rPr>
        <w:t>Interest Rate Risk</w:t>
      </w:r>
    </w:p>
    <w:p w14:paraId="13660A95" w14:textId="77777777" w:rsidR="00000000" w:rsidRDefault="00C1661D">
      <w:pPr>
        <w:jc w:val="both"/>
        <w:divId w:val="2126775"/>
        <w:rPr>
          <w:rFonts w:eastAsia="Times New Roman"/>
        </w:rPr>
      </w:pPr>
      <w:r>
        <w:rPr>
          <w:rFonts w:eastAsia="Times New Roman"/>
          <w:color w:val="000000"/>
          <w:sz w:val="20"/>
          <w:szCs w:val="20"/>
        </w:rPr>
        <w:t>Certain of our long-term debt agreements have interest rates that are generally indexed to short-term market interest rates. In order to fix the underlying short-term market interest ra</w:t>
      </w:r>
      <w:r>
        <w:rPr>
          <w:rFonts w:eastAsia="Times New Roman"/>
          <w:color w:val="000000"/>
          <w:sz w:val="20"/>
          <w:szCs w:val="20"/>
        </w:rPr>
        <w:t>tes, we may enter into pay-fixed, receive-variable interest rate swap agreements and designate such swaps as cash flow hedges.</w:t>
      </w:r>
    </w:p>
    <w:p w14:paraId="4CB0A39C" w14:textId="77777777" w:rsidR="00000000" w:rsidRDefault="00C1661D">
      <w:pPr>
        <w:jc w:val="both"/>
        <w:divId w:val="1375427903"/>
        <w:rPr>
          <w:rFonts w:eastAsia="Times New Roman"/>
        </w:rPr>
      </w:pPr>
      <w:r>
        <w:rPr>
          <w:rFonts w:eastAsia="Times New Roman"/>
          <w:color w:val="000000"/>
          <w:sz w:val="20"/>
          <w:szCs w:val="20"/>
        </w:rPr>
        <w:t xml:space="preserve">The remainder of our long-term debt is typically issued at fixed rates of interest. As this long-term debt matures, we typically </w:t>
      </w:r>
      <w:r>
        <w:rPr>
          <w:rFonts w:eastAsia="Times New Roman"/>
          <w:color w:val="000000"/>
          <w:sz w:val="20"/>
          <w:szCs w:val="20"/>
        </w:rPr>
        <w:t>refinance such debt with new debt having interest rates reflecting then-current market conditions. In order to reduce market rate risk on the underlying benchmark rate of interest associated with near- to medium-term forecasted issuances of fixed-rate debt</w:t>
      </w:r>
      <w:r>
        <w:rPr>
          <w:rFonts w:eastAsia="Times New Roman"/>
          <w:color w:val="000000"/>
          <w:sz w:val="20"/>
          <w:szCs w:val="20"/>
        </w:rPr>
        <w:t>, from time to time we enter into IRPAs. We account for IRPAs as cash flow hedges. There were no unsettled IRPAs during any of the periods presented. At September 30, 2022, the amount of pre-tax net losses associated with interest rate hedges (excluding pa</w:t>
      </w:r>
      <w:r>
        <w:rPr>
          <w:rFonts w:eastAsia="Times New Roman"/>
          <w:color w:val="000000"/>
          <w:sz w:val="20"/>
          <w:szCs w:val="20"/>
        </w:rPr>
        <w:t>y-fixed, receive-variable interest rate swaps) expected to be reclassified into earnings during the next twelve months is $3.</w:t>
      </w:r>
    </w:p>
    <w:p w14:paraId="2F817B54" w14:textId="77777777" w:rsidR="00000000" w:rsidRDefault="00C1661D">
      <w:pPr>
        <w:jc w:val="both"/>
        <w:divId w:val="1808163071"/>
        <w:rPr>
          <w:rFonts w:eastAsia="Times New Roman"/>
        </w:rPr>
      </w:pPr>
      <w:r>
        <w:rPr>
          <w:rFonts w:eastAsia="Times New Roman"/>
          <w:b/>
          <w:bCs/>
          <w:color w:val="000000"/>
          <w:sz w:val="20"/>
          <w:szCs w:val="20"/>
        </w:rPr>
        <w:t>Foreign Currency Exchange Rate Risk</w:t>
      </w:r>
    </w:p>
    <w:p w14:paraId="15650F53" w14:textId="77777777" w:rsidR="00000000" w:rsidRDefault="00C1661D">
      <w:pPr>
        <w:jc w:val="both"/>
        <w:divId w:val="1100031241"/>
        <w:rPr>
          <w:rFonts w:eastAsia="Times New Roman"/>
        </w:rPr>
      </w:pPr>
      <w:r>
        <w:rPr>
          <w:rFonts w:eastAsia="Times New Roman"/>
          <w:color w:val="000000"/>
          <w:sz w:val="20"/>
          <w:szCs w:val="20"/>
          <w:u w:val="single"/>
        </w:rPr>
        <w:t>Forward Foreign Currency Exchange Contracts</w:t>
      </w:r>
    </w:p>
    <w:p w14:paraId="61099368" w14:textId="77777777" w:rsidR="00000000" w:rsidRDefault="00C1661D">
      <w:pPr>
        <w:jc w:val="both"/>
        <w:divId w:val="1332028851"/>
        <w:rPr>
          <w:rFonts w:eastAsia="Times New Roman"/>
        </w:rPr>
      </w:pPr>
      <w:r>
        <w:rPr>
          <w:rFonts w:eastAsia="Times New Roman"/>
          <w:color w:val="000000"/>
          <w:sz w:val="20"/>
          <w:szCs w:val="20"/>
        </w:rPr>
        <w:t>In order to reduce the volatility in net income as</w:t>
      </w:r>
      <w:r>
        <w:rPr>
          <w:rFonts w:eastAsia="Times New Roman"/>
          <w:color w:val="000000"/>
          <w:sz w:val="20"/>
          <w:szCs w:val="20"/>
        </w:rPr>
        <w:t xml:space="preserve">sociated with our foreign operations, principally as a result of changes in the USD exchange rate to the euro and British pound sterling, we enter into forward foreign currency exchange contracts. We layer in these foreign currency exchange contracts over </w:t>
      </w:r>
      <w:r>
        <w:rPr>
          <w:rFonts w:eastAsia="Times New Roman"/>
          <w:color w:val="000000"/>
          <w:sz w:val="20"/>
          <w:szCs w:val="20"/>
        </w:rPr>
        <w:t>a multi-year period to eventually equal approximately 90% of anticipated UGI International foreign currency earnings before income taxes. Because these contracts are not designated as hedging instruments, realized and unrealized gains and losses on these c</w:t>
      </w:r>
      <w:r>
        <w:rPr>
          <w:rFonts w:eastAsia="Times New Roman"/>
          <w:color w:val="000000"/>
          <w:sz w:val="20"/>
          <w:szCs w:val="20"/>
        </w:rPr>
        <w:t>ontracts are recorded in “Other non-operating income (expense), net” on the Consolidated Statements of Income.</w:t>
      </w:r>
    </w:p>
    <w:p w14:paraId="4768D5B9" w14:textId="77777777" w:rsidR="00000000" w:rsidRDefault="00C1661D">
      <w:pPr>
        <w:jc w:val="both"/>
        <w:divId w:val="1750810553"/>
        <w:rPr>
          <w:rFonts w:eastAsia="Times New Roman"/>
        </w:rPr>
      </w:pPr>
      <w:r>
        <w:rPr>
          <w:rFonts w:eastAsia="Times New Roman"/>
          <w:color w:val="000000"/>
          <w:sz w:val="20"/>
          <w:szCs w:val="20"/>
          <w:u w:val="single"/>
        </w:rPr>
        <w:t>Net Investment Hedges</w:t>
      </w:r>
    </w:p>
    <w:p w14:paraId="1BDBE4FD" w14:textId="77777777" w:rsidR="00000000" w:rsidRDefault="00C1661D">
      <w:pPr>
        <w:jc w:val="both"/>
        <w:divId w:val="625819614"/>
        <w:rPr>
          <w:rFonts w:eastAsia="Times New Roman"/>
        </w:rPr>
      </w:pPr>
      <w:r>
        <w:rPr>
          <w:rFonts w:eastAsia="Times New Roman"/>
          <w:color w:val="000000"/>
          <w:sz w:val="20"/>
          <w:szCs w:val="20"/>
        </w:rPr>
        <w:t>From time to time, we also enter into certain forward foreign currency exchange contracts to reduce the volatility of the USD value of a portion of our UGI International euro-denominated net investments, including anticipated foreign currency denominated d</w:t>
      </w:r>
      <w:r>
        <w:rPr>
          <w:rFonts w:eastAsia="Times New Roman"/>
          <w:color w:val="000000"/>
          <w:sz w:val="20"/>
          <w:szCs w:val="20"/>
        </w:rPr>
        <w:t>ividends. We account for these foreign currency exchange contracts as net investment hedges and all changes in the fair value of these contracts are reported in the cumulative translation adjustment component in AOCI. We use the spot rate method to measure</w:t>
      </w:r>
      <w:r>
        <w:rPr>
          <w:rFonts w:eastAsia="Times New Roman"/>
          <w:color w:val="000000"/>
          <w:sz w:val="20"/>
          <w:szCs w:val="20"/>
        </w:rPr>
        <w:t xml:space="preserve"> ineffectiveness of our net investment hedges.</w:t>
      </w:r>
    </w:p>
    <w:p w14:paraId="5DEC7C06" w14:textId="77777777" w:rsidR="00000000" w:rsidRDefault="00C1661D">
      <w:pPr>
        <w:jc w:val="both"/>
        <w:divId w:val="881400451"/>
        <w:rPr>
          <w:rFonts w:eastAsia="Times New Roman"/>
        </w:rPr>
      </w:pPr>
      <w:r>
        <w:rPr>
          <w:rFonts w:eastAsia="Times New Roman"/>
          <w:color w:val="000000"/>
          <w:sz w:val="20"/>
          <w:szCs w:val="20"/>
        </w:rPr>
        <w:t>Concurrent with the repayment of UGI International’s 3.25% Senior Notes on December 7, 2021, we settled an associated net investment hedge having a notional value of €93. Additionally, in May 2022, we restruct</w:t>
      </w:r>
      <w:r>
        <w:rPr>
          <w:rFonts w:eastAsia="Times New Roman"/>
          <w:color w:val="000000"/>
          <w:sz w:val="20"/>
          <w:szCs w:val="20"/>
        </w:rPr>
        <w:t>ured certain net investment hedges associated with anticipated foreign currency denominated dividends. Cash flows from these transactions are included in cash flows from investing activities on the Consolidated Statements of Cash Flows. We recognized pre-t</w:t>
      </w:r>
      <w:r>
        <w:rPr>
          <w:rFonts w:eastAsia="Times New Roman"/>
          <w:color w:val="000000"/>
          <w:sz w:val="20"/>
          <w:szCs w:val="20"/>
        </w:rPr>
        <w:t>ax gains associated with net investment hedges in the foreign currency component of AOCI totaling $69 during Fiscal 2022.</w:t>
      </w:r>
    </w:p>
    <w:p w14:paraId="545EE246" w14:textId="77777777" w:rsidR="00000000" w:rsidRDefault="00C1661D">
      <w:pPr>
        <w:jc w:val="both"/>
        <w:divId w:val="419525117"/>
        <w:rPr>
          <w:rFonts w:eastAsia="Times New Roman"/>
        </w:rPr>
      </w:pPr>
      <w:r>
        <w:rPr>
          <w:rFonts w:eastAsia="Times New Roman"/>
          <w:color w:val="000000"/>
          <w:sz w:val="20"/>
          <w:szCs w:val="20"/>
        </w:rPr>
        <w:t>Our euro-denominated long-term debt has also been designated as net investment hedges, representing a portion of our UGI International</w:t>
      </w:r>
      <w:r>
        <w:rPr>
          <w:rFonts w:eastAsia="Times New Roman"/>
          <w:color w:val="000000"/>
          <w:sz w:val="20"/>
          <w:szCs w:val="20"/>
        </w:rPr>
        <w:t xml:space="preserve"> euro-denominated net investment. We recognized pre-tax gains (losses) associated with these net investment </w:t>
      </w:r>
    </w:p>
    <w:p w14:paraId="571B6714" w14:textId="77777777" w:rsidR="00000000" w:rsidRDefault="00C1661D">
      <w:pPr>
        <w:jc w:val="center"/>
        <w:divId w:val="726228055"/>
        <w:rPr>
          <w:rFonts w:eastAsia="Times New Roman"/>
        </w:rPr>
      </w:pPr>
      <w:r>
        <w:rPr>
          <w:rFonts w:eastAsia="Times New Roman"/>
          <w:color w:val="000000"/>
          <w:sz w:val="20"/>
          <w:szCs w:val="20"/>
        </w:rPr>
        <w:t>F-52</w:t>
      </w:r>
    </w:p>
    <w:p w14:paraId="514E4753" w14:textId="77777777" w:rsidR="00000000" w:rsidRDefault="00C1661D">
      <w:pPr>
        <w:rPr>
          <w:rFonts w:eastAsia="Times New Roman"/>
        </w:rPr>
      </w:pPr>
      <w:r>
        <w:rPr>
          <w:rFonts w:eastAsia="Times New Roman"/>
        </w:rPr>
        <w:pict w14:anchorId="172A08FD">
          <v:rect id="_x0000_i1165" style="width:0;height:1.5pt" o:hralign="center" o:hrstd="t" o:hr="t" fillcolor="#a0a0a0" stroked="f"/>
        </w:pict>
      </w:r>
    </w:p>
    <w:p w14:paraId="43132BEB" w14:textId="77777777" w:rsidR="00000000" w:rsidRDefault="00C1661D">
      <w:pPr>
        <w:divId w:val="1864661435"/>
        <w:rPr>
          <w:rFonts w:eastAsia="Times New Roman"/>
        </w:rPr>
      </w:pPr>
      <w:hyperlink w:anchor="i3850c3c6c0104e42b9951aac2f16098a_7" w:history="1">
        <w:r>
          <w:rPr>
            <w:rStyle w:val="a3"/>
            <w:rFonts w:eastAsia="Times New Roman"/>
            <w:sz w:val="20"/>
            <w:szCs w:val="20"/>
          </w:rPr>
          <w:t>Table of Contents</w:t>
        </w:r>
      </w:hyperlink>
    </w:p>
    <w:p w14:paraId="5188BE5F" w14:textId="77777777" w:rsidR="00000000" w:rsidRDefault="00C1661D">
      <w:pPr>
        <w:divId w:val="477308016"/>
        <w:rPr>
          <w:rFonts w:eastAsia="Times New Roman"/>
        </w:rPr>
      </w:pPr>
      <w:r>
        <w:rPr>
          <w:rFonts w:eastAsia="Times New Roman"/>
          <w:b/>
          <w:bCs/>
          <w:color w:val="000000"/>
          <w:sz w:val="20"/>
          <w:szCs w:val="20"/>
        </w:rPr>
        <w:t>UGI Corporation and Subsidiaries</w:t>
      </w:r>
    </w:p>
    <w:p w14:paraId="05FC20DA" w14:textId="77777777" w:rsidR="00000000" w:rsidRDefault="00C1661D">
      <w:pPr>
        <w:divId w:val="1737779354"/>
        <w:rPr>
          <w:rFonts w:eastAsia="Times New Roman"/>
        </w:rPr>
      </w:pPr>
      <w:r>
        <w:rPr>
          <w:rFonts w:eastAsia="Times New Roman"/>
          <w:b/>
          <w:bCs/>
          <w:color w:val="000000"/>
          <w:sz w:val="20"/>
          <w:szCs w:val="20"/>
        </w:rPr>
        <w:t>Notes to Consolidated Financial Statements</w:t>
      </w:r>
    </w:p>
    <w:p w14:paraId="3484F29C" w14:textId="77777777" w:rsidR="00000000" w:rsidRDefault="00C1661D">
      <w:pPr>
        <w:divId w:val="367343452"/>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14:paraId="6B5C12FA" w14:textId="77777777" w:rsidR="00000000" w:rsidRDefault="00C1661D">
      <w:pPr>
        <w:jc w:val="both"/>
        <w:divId w:val="1199514392"/>
        <w:rPr>
          <w:rFonts w:eastAsia="Times New Roman"/>
        </w:rPr>
      </w:pPr>
      <w:r>
        <w:rPr>
          <w:rFonts w:eastAsia="Times New Roman"/>
          <w:color w:val="000000"/>
          <w:sz w:val="20"/>
          <w:szCs w:val="20"/>
        </w:rPr>
        <w:t>hedges in the foreign currency component of AOCI totaling $123, $9 and $(53) during Fiscal 2022, Fiscal 2021, and Fiscal 2020, respectively.</w:t>
      </w:r>
    </w:p>
    <w:p w14:paraId="4650E586" w14:textId="77777777" w:rsidR="00000000" w:rsidRDefault="00C1661D">
      <w:pPr>
        <w:jc w:val="both"/>
        <w:divId w:val="1885361029"/>
        <w:rPr>
          <w:rFonts w:eastAsia="Times New Roman"/>
        </w:rPr>
      </w:pPr>
      <w:r>
        <w:rPr>
          <w:rFonts w:eastAsia="Times New Roman"/>
          <w:b/>
          <w:bCs/>
          <w:color w:val="000000"/>
          <w:sz w:val="20"/>
          <w:szCs w:val="20"/>
        </w:rPr>
        <w:t>Quantitative Disclosures Related to Derivative Instruments</w:t>
      </w:r>
    </w:p>
    <w:p w14:paraId="28822451" w14:textId="77777777" w:rsidR="00000000" w:rsidRDefault="00C1661D">
      <w:pPr>
        <w:jc w:val="both"/>
        <w:rPr>
          <w:rFonts w:eastAsia="Times New Roman"/>
        </w:rPr>
      </w:pPr>
    </w:p>
    <w:p w14:paraId="23B7FAB7" w14:textId="77777777" w:rsidR="00000000" w:rsidRDefault="00C1661D">
      <w:pPr>
        <w:jc w:val="both"/>
        <w:rPr>
          <w:rFonts w:eastAsia="Times New Roman"/>
        </w:rPr>
      </w:pPr>
      <w:r>
        <w:rPr>
          <w:rFonts w:eastAsia="Times New Roman"/>
          <w:color w:val="000000"/>
          <w:sz w:val="20"/>
          <w:szCs w:val="20"/>
        </w:rPr>
        <w:t>The following table summarizes by derivativ</w:t>
      </w:r>
      <w:r>
        <w:rPr>
          <w:rFonts w:eastAsia="Times New Roman"/>
          <w:color w:val="000000"/>
          <w:sz w:val="20"/>
          <w:szCs w:val="20"/>
        </w:rPr>
        <w:t>e type the gross notional amounts related to open derivative contracts at September 30, 2022 and 2021 and the final settlement dates of the Company's open derivative contracts as of September 30, 2022, (including amounts associated with our energy marketin</w:t>
      </w:r>
      <w:r>
        <w:rPr>
          <w:rFonts w:eastAsia="Times New Roman"/>
          <w:color w:val="000000"/>
          <w:sz w:val="20"/>
          <w:szCs w:val="20"/>
        </w:rPr>
        <w:t>g businesses in the United Kingdom and France (Note 25)) but excluding those derivatives that qualified for the NPNS exception: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121"/>
        <w:gridCol w:w="36"/>
        <w:gridCol w:w="36"/>
        <w:gridCol w:w="36"/>
        <w:gridCol w:w="36"/>
        <w:gridCol w:w="92"/>
        <w:gridCol w:w="906"/>
        <w:gridCol w:w="36"/>
        <w:gridCol w:w="36"/>
        <w:gridCol w:w="36"/>
        <w:gridCol w:w="36"/>
        <w:gridCol w:w="56"/>
        <w:gridCol w:w="1193"/>
        <w:gridCol w:w="36"/>
        <w:gridCol w:w="36"/>
        <w:gridCol w:w="36"/>
        <w:gridCol w:w="36"/>
        <w:gridCol w:w="120"/>
        <w:gridCol w:w="535"/>
        <w:gridCol w:w="36"/>
        <w:gridCol w:w="36"/>
        <w:gridCol w:w="36"/>
        <w:gridCol w:w="36"/>
        <w:gridCol w:w="120"/>
        <w:gridCol w:w="500"/>
        <w:gridCol w:w="36"/>
      </w:tblGrid>
      <w:tr w:rsidR="00000000" w14:paraId="26C4D98C" w14:textId="77777777">
        <w:trPr>
          <w:divId w:val="1779717940"/>
          <w:jc w:val="center"/>
        </w:trPr>
        <w:tc>
          <w:tcPr>
            <w:tcW w:w="50" w:type="pct"/>
            <w:vAlign w:val="center"/>
            <w:hideMark/>
          </w:tcPr>
          <w:p w14:paraId="6419F64D" w14:textId="77777777" w:rsidR="00000000" w:rsidRDefault="00C1661D">
            <w:pPr>
              <w:jc w:val="both"/>
              <w:rPr>
                <w:rFonts w:eastAsia="Times New Roman"/>
              </w:rPr>
            </w:pPr>
          </w:p>
        </w:tc>
        <w:tc>
          <w:tcPr>
            <w:tcW w:w="2521" w:type="pct"/>
            <w:vAlign w:val="center"/>
            <w:hideMark/>
          </w:tcPr>
          <w:p w14:paraId="530ACE2D" w14:textId="77777777" w:rsidR="00000000" w:rsidRDefault="00C1661D">
            <w:pPr>
              <w:spacing w:after="100"/>
              <w:rPr>
                <w:rFonts w:eastAsia="Times New Roman"/>
                <w:sz w:val="20"/>
                <w:szCs w:val="20"/>
              </w:rPr>
            </w:pPr>
          </w:p>
        </w:tc>
        <w:tc>
          <w:tcPr>
            <w:tcW w:w="5" w:type="pct"/>
            <w:vAlign w:val="center"/>
            <w:hideMark/>
          </w:tcPr>
          <w:p w14:paraId="609464E5" w14:textId="77777777" w:rsidR="00000000" w:rsidRDefault="00C1661D">
            <w:pPr>
              <w:spacing w:after="100"/>
              <w:rPr>
                <w:rFonts w:eastAsia="Times New Roman"/>
                <w:sz w:val="20"/>
                <w:szCs w:val="20"/>
              </w:rPr>
            </w:pPr>
          </w:p>
        </w:tc>
        <w:tc>
          <w:tcPr>
            <w:tcW w:w="5" w:type="pct"/>
            <w:vAlign w:val="center"/>
            <w:hideMark/>
          </w:tcPr>
          <w:p w14:paraId="37EF8926" w14:textId="77777777" w:rsidR="00000000" w:rsidRDefault="00C1661D">
            <w:pPr>
              <w:spacing w:after="100"/>
              <w:rPr>
                <w:rFonts w:eastAsia="Times New Roman"/>
                <w:sz w:val="20"/>
                <w:szCs w:val="20"/>
              </w:rPr>
            </w:pPr>
          </w:p>
        </w:tc>
        <w:tc>
          <w:tcPr>
            <w:tcW w:w="26" w:type="pct"/>
            <w:vAlign w:val="center"/>
            <w:hideMark/>
          </w:tcPr>
          <w:p w14:paraId="7B6D361E" w14:textId="77777777" w:rsidR="00000000" w:rsidRDefault="00C1661D">
            <w:pPr>
              <w:spacing w:after="100"/>
              <w:rPr>
                <w:rFonts w:eastAsia="Times New Roman"/>
                <w:sz w:val="20"/>
                <w:szCs w:val="20"/>
              </w:rPr>
            </w:pPr>
          </w:p>
        </w:tc>
        <w:tc>
          <w:tcPr>
            <w:tcW w:w="5" w:type="pct"/>
            <w:vAlign w:val="center"/>
            <w:hideMark/>
          </w:tcPr>
          <w:p w14:paraId="27C20965" w14:textId="77777777" w:rsidR="00000000" w:rsidRDefault="00C1661D">
            <w:pPr>
              <w:spacing w:after="100"/>
              <w:rPr>
                <w:rFonts w:eastAsia="Times New Roman"/>
                <w:sz w:val="20"/>
                <w:szCs w:val="20"/>
              </w:rPr>
            </w:pPr>
          </w:p>
        </w:tc>
        <w:tc>
          <w:tcPr>
            <w:tcW w:w="50" w:type="pct"/>
            <w:vAlign w:val="center"/>
            <w:hideMark/>
          </w:tcPr>
          <w:p w14:paraId="59EF4221" w14:textId="77777777" w:rsidR="00000000" w:rsidRDefault="00C1661D">
            <w:pPr>
              <w:spacing w:after="100"/>
              <w:rPr>
                <w:rFonts w:eastAsia="Times New Roman"/>
                <w:sz w:val="20"/>
                <w:szCs w:val="20"/>
              </w:rPr>
            </w:pPr>
          </w:p>
        </w:tc>
        <w:tc>
          <w:tcPr>
            <w:tcW w:w="494" w:type="pct"/>
            <w:vAlign w:val="center"/>
            <w:hideMark/>
          </w:tcPr>
          <w:p w14:paraId="4AC8CF0B" w14:textId="77777777" w:rsidR="00000000" w:rsidRDefault="00C1661D">
            <w:pPr>
              <w:spacing w:after="100"/>
              <w:rPr>
                <w:rFonts w:eastAsia="Times New Roman"/>
                <w:sz w:val="20"/>
                <w:szCs w:val="20"/>
              </w:rPr>
            </w:pPr>
          </w:p>
        </w:tc>
        <w:tc>
          <w:tcPr>
            <w:tcW w:w="5" w:type="pct"/>
            <w:vAlign w:val="center"/>
            <w:hideMark/>
          </w:tcPr>
          <w:p w14:paraId="14BBB7C9" w14:textId="77777777" w:rsidR="00000000" w:rsidRDefault="00C1661D">
            <w:pPr>
              <w:spacing w:after="100"/>
              <w:rPr>
                <w:rFonts w:eastAsia="Times New Roman"/>
                <w:sz w:val="20"/>
                <w:szCs w:val="20"/>
              </w:rPr>
            </w:pPr>
          </w:p>
        </w:tc>
        <w:tc>
          <w:tcPr>
            <w:tcW w:w="5" w:type="pct"/>
            <w:vAlign w:val="center"/>
            <w:hideMark/>
          </w:tcPr>
          <w:p w14:paraId="008644E2" w14:textId="77777777" w:rsidR="00000000" w:rsidRDefault="00C1661D">
            <w:pPr>
              <w:spacing w:after="100"/>
              <w:rPr>
                <w:rFonts w:eastAsia="Times New Roman"/>
                <w:sz w:val="20"/>
                <w:szCs w:val="20"/>
              </w:rPr>
            </w:pPr>
          </w:p>
        </w:tc>
        <w:tc>
          <w:tcPr>
            <w:tcW w:w="26" w:type="pct"/>
            <w:vAlign w:val="center"/>
            <w:hideMark/>
          </w:tcPr>
          <w:p w14:paraId="3A0D41AF" w14:textId="77777777" w:rsidR="00000000" w:rsidRDefault="00C1661D">
            <w:pPr>
              <w:spacing w:after="100"/>
              <w:rPr>
                <w:rFonts w:eastAsia="Times New Roman"/>
                <w:sz w:val="20"/>
                <w:szCs w:val="20"/>
              </w:rPr>
            </w:pPr>
          </w:p>
        </w:tc>
        <w:tc>
          <w:tcPr>
            <w:tcW w:w="5" w:type="pct"/>
            <w:vAlign w:val="center"/>
            <w:hideMark/>
          </w:tcPr>
          <w:p w14:paraId="299D972A" w14:textId="77777777" w:rsidR="00000000" w:rsidRDefault="00C1661D">
            <w:pPr>
              <w:spacing w:after="100"/>
              <w:rPr>
                <w:rFonts w:eastAsia="Times New Roman"/>
                <w:sz w:val="20"/>
                <w:szCs w:val="20"/>
              </w:rPr>
            </w:pPr>
          </w:p>
        </w:tc>
        <w:tc>
          <w:tcPr>
            <w:tcW w:w="50" w:type="pct"/>
            <w:vAlign w:val="center"/>
            <w:hideMark/>
          </w:tcPr>
          <w:p w14:paraId="1DBCFB3B" w14:textId="77777777" w:rsidR="00000000" w:rsidRDefault="00C1661D">
            <w:pPr>
              <w:spacing w:after="100"/>
              <w:rPr>
                <w:rFonts w:eastAsia="Times New Roman"/>
                <w:sz w:val="20"/>
                <w:szCs w:val="20"/>
              </w:rPr>
            </w:pPr>
          </w:p>
        </w:tc>
        <w:tc>
          <w:tcPr>
            <w:tcW w:w="823" w:type="pct"/>
            <w:vAlign w:val="center"/>
            <w:hideMark/>
          </w:tcPr>
          <w:p w14:paraId="75FEB928" w14:textId="77777777" w:rsidR="00000000" w:rsidRDefault="00C1661D">
            <w:pPr>
              <w:spacing w:after="100"/>
              <w:rPr>
                <w:rFonts w:eastAsia="Times New Roman"/>
                <w:sz w:val="20"/>
                <w:szCs w:val="20"/>
              </w:rPr>
            </w:pPr>
          </w:p>
        </w:tc>
        <w:tc>
          <w:tcPr>
            <w:tcW w:w="5" w:type="pct"/>
            <w:vAlign w:val="center"/>
            <w:hideMark/>
          </w:tcPr>
          <w:p w14:paraId="4812329C" w14:textId="77777777" w:rsidR="00000000" w:rsidRDefault="00C1661D">
            <w:pPr>
              <w:spacing w:after="100"/>
              <w:rPr>
                <w:rFonts w:eastAsia="Times New Roman"/>
                <w:sz w:val="20"/>
                <w:szCs w:val="20"/>
              </w:rPr>
            </w:pPr>
          </w:p>
        </w:tc>
        <w:tc>
          <w:tcPr>
            <w:tcW w:w="5" w:type="pct"/>
            <w:vAlign w:val="center"/>
            <w:hideMark/>
          </w:tcPr>
          <w:p w14:paraId="7D2C66E8" w14:textId="77777777" w:rsidR="00000000" w:rsidRDefault="00C1661D">
            <w:pPr>
              <w:spacing w:after="100"/>
              <w:rPr>
                <w:rFonts w:eastAsia="Times New Roman"/>
                <w:sz w:val="20"/>
                <w:szCs w:val="20"/>
              </w:rPr>
            </w:pPr>
          </w:p>
        </w:tc>
        <w:tc>
          <w:tcPr>
            <w:tcW w:w="26" w:type="pct"/>
            <w:vAlign w:val="center"/>
            <w:hideMark/>
          </w:tcPr>
          <w:p w14:paraId="2B74C320" w14:textId="77777777" w:rsidR="00000000" w:rsidRDefault="00C1661D">
            <w:pPr>
              <w:spacing w:after="100"/>
              <w:rPr>
                <w:rFonts w:eastAsia="Times New Roman"/>
                <w:sz w:val="20"/>
                <w:szCs w:val="20"/>
              </w:rPr>
            </w:pPr>
          </w:p>
        </w:tc>
        <w:tc>
          <w:tcPr>
            <w:tcW w:w="5" w:type="pct"/>
            <w:vAlign w:val="center"/>
            <w:hideMark/>
          </w:tcPr>
          <w:p w14:paraId="396E6B62" w14:textId="77777777" w:rsidR="00000000" w:rsidRDefault="00C1661D">
            <w:pPr>
              <w:spacing w:after="100"/>
              <w:rPr>
                <w:rFonts w:eastAsia="Times New Roman"/>
                <w:sz w:val="20"/>
                <w:szCs w:val="20"/>
              </w:rPr>
            </w:pPr>
          </w:p>
        </w:tc>
        <w:tc>
          <w:tcPr>
            <w:tcW w:w="50" w:type="pct"/>
            <w:vAlign w:val="center"/>
            <w:hideMark/>
          </w:tcPr>
          <w:p w14:paraId="5C1A5063" w14:textId="77777777" w:rsidR="00000000" w:rsidRDefault="00C1661D">
            <w:pPr>
              <w:spacing w:after="100"/>
              <w:rPr>
                <w:rFonts w:eastAsia="Times New Roman"/>
                <w:sz w:val="20"/>
                <w:szCs w:val="20"/>
              </w:rPr>
            </w:pPr>
          </w:p>
        </w:tc>
        <w:tc>
          <w:tcPr>
            <w:tcW w:w="384" w:type="pct"/>
            <w:vAlign w:val="center"/>
            <w:hideMark/>
          </w:tcPr>
          <w:p w14:paraId="788AD23C" w14:textId="77777777" w:rsidR="00000000" w:rsidRDefault="00C1661D">
            <w:pPr>
              <w:spacing w:after="100"/>
              <w:rPr>
                <w:rFonts w:eastAsia="Times New Roman"/>
                <w:sz w:val="20"/>
                <w:szCs w:val="20"/>
              </w:rPr>
            </w:pPr>
          </w:p>
        </w:tc>
        <w:tc>
          <w:tcPr>
            <w:tcW w:w="5" w:type="pct"/>
            <w:vAlign w:val="center"/>
            <w:hideMark/>
          </w:tcPr>
          <w:p w14:paraId="00B033B3" w14:textId="77777777" w:rsidR="00000000" w:rsidRDefault="00C1661D">
            <w:pPr>
              <w:spacing w:after="100"/>
              <w:rPr>
                <w:rFonts w:eastAsia="Times New Roman"/>
                <w:sz w:val="20"/>
                <w:szCs w:val="20"/>
              </w:rPr>
            </w:pPr>
          </w:p>
        </w:tc>
        <w:tc>
          <w:tcPr>
            <w:tcW w:w="5" w:type="pct"/>
            <w:vAlign w:val="center"/>
            <w:hideMark/>
          </w:tcPr>
          <w:p w14:paraId="02BBFCB9" w14:textId="77777777" w:rsidR="00000000" w:rsidRDefault="00C1661D">
            <w:pPr>
              <w:spacing w:after="100"/>
              <w:rPr>
                <w:rFonts w:eastAsia="Times New Roman"/>
                <w:sz w:val="20"/>
                <w:szCs w:val="20"/>
              </w:rPr>
            </w:pPr>
          </w:p>
        </w:tc>
        <w:tc>
          <w:tcPr>
            <w:tcW w:w="26" w:type="pct"/>
            <w:vAlign w:val="center"/>
            <w:hideMark/>
          </w:tcPr>
          <w:p w14:paraId="00DAFC82" w14:textId="77777777" w:rsidR="00000000" w:rsidRDefault="00C1661D">
            <w:pPr>
              <w:spacing w:after="100"/>
              <w:rPr>
                <w:rFonts w:eastAsia="Times New Roman"/>
                <w:sz w:val="20"/>
                <w:szCs w:val="20"/>
              </w:rPr>
            </w:pPr>
          </w:p>
        </w:tc>
        <w:tc>
          <w:tcPr>
            <w:tcW w:w="5" w:type="pct"/>
            <w:vAlign w:val="center"/>
            <w:hideMark/>
          </w:tcPr>
          <w:p w14:paraId="6C15C826" w14:textId="77777777" w:rsidR="00000000" w:rsidRDefault="00C1661D">
            <w:pPr>
              <w:spacing w:after="100"/>
              <w:rPr>
                <w:rFonts w:eastAsia="Times New Roman"/>
                <w:sz w:val="20"/>
                <w:szCs w:val="20"/>
              </w:rPr>
            </w:pPr>
          </w:p>
        </w:tc>
        <w:tc>
          <w:tcPr>
            <w:tcW w:w="50" w:type="pct"/>
            <w:vAlign w:val="center"/>
            <w:hideMark/>
          </w:tcPr>
          <w:p w14:paraId="1AAC3EDB" w14:textId="77777777" w:rsidR="00000000" w:rsidRDefault="00C1661D">
            <w:pPr>
              <w:spacing w:after="100"/>
              <w:rPr>
                <w:rFonts w:eastAsia="Times New Roman"/>
                <w:sz w:val="20"/>
                <w:szCs w:val="20"/>
              </w:rPr>
            </w:pPr>
          </w:p>
        </w:tc>
        <w:tc>
          <w:tcPr>
            <w:tcW w:w="355" w:type="pct"/>
            <w:vAlign w:val="center"/>
            <w:hideMark/>
          </w:tcPr>
          <w:p w14:paraId="5CF41FDD" w14:textId="77777777" w:rsidR="00000000" w:rsidRDefault="00C1661D">
            <w:pPr>
              <w:spacing w:after="100"/>
              <w:rPr>
                <w:rFonts w:eastAsia="Times New Roman"/>
                <w:sz w:val="20"/>
                <w:szCs w:val="20"/>
              </w:rPr>
            </w:pPr>
          </w:p>
        </w:tc>
        <w:tc>
          <w:tcPr>
            <w:tcW w:w="5" w:type="pct"/>
            <w:vAlign w:val="center"/>
            <w:hideMark/>
          </w:tcPr>
          <w:p w14:paraId="1C7745FE" w14:textId="77777777" w:rsidR="00000000" w:rsidRDefault="00C1661D">
            <w:pPr>
              <w:spacing w:after="100"/>
              <w:rPr>
                <w:rFonts w:eastAsia="Times New Roman"/>
                <w:sz w:val="20"/>
                <w:szCs w:val="20"/>
              </w:rPr>
            </w:pPr>
          </w:p>
        </w:tc>
      </w:tr>
      <w:tr w:rsidR="00000000" w14:paraId="3150043D" w14:textId="77777777">
        <w:trPr>
          <w:divId w:val="1779717940"/>
          <w:jc w:val="center"/>
        </w:trPr>
        <w:tc>
          <w:tcPr>
            <w:tcW w:w="0" w:type="auto"/>
            <w:gridSpan w:val="3"/>
            <w:tcMar>
              <w:top w:w="0" w:type="dxa"/>
              <w:left w:w="20" w:type="dxa"/>
              <w:bottom w:w="0" w:type="dxa"/>
              <w:right w:w="20" w:type="dxa"/>
            </w:tcMar>
            <w:vAlign w:val="center"/>
            <w:hideMark/>
          </w:tcPr>
          <w:p w14:paraId="68DA9325"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4BD0A1"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8F7055"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D51711"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E2A4C4"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D7D8E2" w14:textId="77777777" w:rsidR="00000000" w:rsidRDefault="00C1661D">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14:paraId="29A81C3C" w14:textId="77777777" w:rsidR="00000000" w:rsidRDefault="00C1661D">
            <w:pPr>
              <w:spacing w:after="100"/>
              <w:jc w:val="center"/>
              <w:rPr>
                <w:rFonts w:eastAsia="Times New Roman"/>
              </w:rPr>
            </w:pPr>
            <w:r>
              <w:rPr>
                <w:rFonts w:eastAsia="Times New Roman"/>
                <w:color w:val="000000"/>
                <w:sz w:val="20"/>
                <w:szCs w:val="20"/>
              </w:rPr>
              <w:t>Notional Amounts</w:t>
            </w:r>
            <w:r>
              <w:rPr>
                <w:rFonts w:eastAsia="Times New Roman"/>
                <w:color w:val="000000"/>
                <w:sz w:val="20"/>
                <w:szCs w:val="20"/>
              </w:rPr>
              <w:br/>
              <w:t>(in millions)</w:t>
            </w:r>
          </w:p>
        </w:tc>
      </w:tr>
      <w:tr w:rsidR="00000000" w14:paraId="3800C452" w14:textId="77777777">
        <w:trPr>
          <w:divId w:val="1779717940"/>
          <w:jc w:val="center"/>
        </w:trPr>
        <w:tc>
          <w:tcPr>
            <w:tcW w:w="0" w:type="auto"/>
            <w:gridSpan w:val="3"/>
            <w:tcMar>
              <w:top w:w="0" w:type="dxa"/>
              <w:left w:w="20" w:type="dxa"/>
              <w:bottom w:w="0" w:type="dxa"/>
              <w:right w:w="20" w:type="dxa"/>
            </w:tcMar>
            <w:vAlign w:val="center"/>
            <w:hideMark/>
          </w:tcPr>
          <w:p w14:paraId="65BF54DA" w14:textId="77777777" w:rsidR="00000000" w:rsidRDefault="00C1661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8270DFA"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502769"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0496B9"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171E28"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ECD467" w14:textId="77777777" w:rsidR="00000000" w:rsidRDefault="00C1661D">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B9D2E29" w14:textId="77777777" w:rsidR="00000000" w:rsidRDefault="00C1661D">
            <w:pPr>
              <w:spacing w:after="100"/>
              <w:jc w:val="center"/>
              <w:rPr>
                <w:rFonts w:eastAsia="Times New Roman"/>
              </w:rPr>
            </w:pPr>
            <w:r>
              <w:rPr>
                <w:rFonts w:eastAsia="Times New Roman"/>
                <w:color w:val="000000"/>
                <w:sz w:val="20"/>
                <w:szCs w:val="20"/>
              </w:rPr>
              <w:t>September 30,</w:t>
            </w:r>
          </w:p>
        </w:tc>
      </w:tr>
      <w:tr w:rsidR="00000000" w14:paraId="4480DE05" w14:textId="77777777">
        <w:trPr>
          <w:divId w:val="1779717940"/>
          <w:jc w:val="center"/>
        </w:trPr>
        <w:tc>
          <w:tcPr>
            <w:tcW w:w="0" w:type="auto"/>
            <w:gridSpan w:val="3"/>
            <w:tcBorders>
              <w:top w:val="single" w:sz="8" w:space="0" w:color="000000"/>
            </w:tcBorders>
            <w:tcMar>
              <w:top w:w="30" w:type="dxa"/>
              <w:left w:w="20" w:type="dxa"/>
              <w:bottom w:w="30" w:type="dxa"/>
              <w:right w:w="20" w:type="dxa"/>
            </w:tcMar>
            <w:vAlign w:val="bottom"/>
            <w:hideMark/>
          </w:tcPr>
          <w:p w14:paraId="10784712" w14:textId="77777777" w:rsidR="00000000" w:rsidRDefault="00C1661D">
            <w:pPr>
              <w:spacing w:after="100"/>
              <w:jc w:val="center"/>
              <w:rPr>
                <w:rFonts w:eastAsia="Times New Roman"/>
              </w:rPr>
            </w:pPr>
            <w:r>
              <w:rPr>
                <w:rFonts w:eastAsia="Times New Roman"/>
                <w:color w:val="000000"/>
                <w:sz w:val="20"/>
                <w:szCs w:val="20"/>
              </w:rPr>
              <w:t>Type</w:t>
            </w:r>
          </w:p>
        </w:tc>
        <w:tc>
          <w:tcPr>
            <w:tcW w:w="0" w:type="auto"/>
            <w:gridSpan w:val="3"/>
            <w:tcMar>
              <w:top w:w="0" w:type="dxa"/>
              <w:left w:w="20" w:type="dxa"/>
              <w:bottom w:w="0" w:type="dxa"/>
              <w:right w:w="20" w:type="dxa"/>
            </w:tcMar>
            <w:vAlign w:val="center"/>
            <w:hideMark/>
          </w:tcPr>
          <w:p w14:paraId="714B49BD"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58CD72" w14:textId="77777777" w:rsidR="00000000" w:rsidRDefault="00C1661D">
            <w:pPr>
              <w:spacing w:after="100"/>
              <w:jc w:val="center"/>
              <w:rPr>
                <w:rFonts w:eastAsia="Times New Roman"/>
              </w:rPr>
            </w:pPr>
            <w:r>
              <w:rPr>
                <w:rFonts w:eastAsia="Times New Roman"/>
                <w:color w:val="000000"/>
                <w:sz w:val="20"/>
                <w:szCs w:val="20"/>
              </w:rPr>
              <w:t>Units</w:t>
            </w:r>
          </w:p>
        </w:tc>
        <w:tc>
          <w:tcPr>
            <w:tcW w:w="0" w:type="auto"/>
            <w:gridSpan w:val="3"/>
            <w:tcMar>
              <w:top w:w="0" w:type="dxa"/>
              <w:left w:w="20" w:type="dxa"/>
              <w:bottom w:w="0" w:type="dxa"/>
              <w:right w:w="20" w:type="dxa"/>
            </w:tcMar>
            <w:vAlign w:val="center"/>
            <w:hideMark/>
          </w:tcPr>
          <w:p w14:paraId="19CE7CF0"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9BB3AB" w14:textId="77777777" w:rsidR="00000000" w:rsidRDefault="00C1661D">
            <w:pPr>
              <w:spacing w:after="100"/>
              <w:jc w:val="center"/>
              <w:rPr>
                <w:rFonts w:eastAsia="Times New Roman"/>
              </w:rPr>
            </w:pPr>
            <w:r>
              <w:rPr>
                <w:rFonts w:eastAsia="Times New Roman"/>
                <w:color w:val="000000"/>
                <w:sz w:val="20"/>
                <w:szCs w:val="20"/>
              </w:rPr>
              <w:t>Settlements Extending Through</w:t>
            </w:r>
          </w:p>
        </w:tc>
        <w:tc>
          <w:tcPr>
            <w:tcW w:w="0" w:type="auto"/>
            <w:gridSpan w:val="3"/>
            <w:tcMar>
              <w:top w:w="0" w:type="dxa"/>
              <w:left w:w="20" w:type="dxa"/>
              <w:bottom w:w="0" w:type="dxa"/>
              <w:right w:w="20" w:type="dxa"/>
            </w:tcMar>
            <w:vAlign w:val="center"/>
            <w:hideMark/>
          </w:tcPr>
          <w:p w14:paraId="6D486E9A"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C7EEBA"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271E14E3"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140E99" w14:textId="77777777" w:rsidR="00000000" w:rsidRDefault="00C1661D">
            <w:pPr>
              <w:spacing w:after="100"/>
              <w:jc w:val="center"/>
              <w:rPr>
                <w:rFonts w:eastAsia="Times New Roman"/>
              </w:rPr>
            </w:pPr>
            <w:r>
              <w:rPr>
                <w:rFonts w:eastAsia="Times New Roman"/>
                <w:color w:val="000000"/>
                <w:sz w:val="20"/>
                <w:szCs w:val="20"/>
              </w:rPr>
              <w:t>2021</w:t>
            </w:r>
          </w:p>
        </w:tc>
      </w:tr>
      <w:tr w:rsidR="00000000" w14:paraId="30D8E07B" w14:textId="77777777">
        <w:trPr>
          <w:divId w:val="1779717940"/>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ED248E0" w14:textId="77777777" w:rsidR="00000000" w:rsidRDefault="00C1661D">
            <w:pPr>
              <w:spacing w:after="100"/>
              <w:rPr>
                <w:rFonts w:eastAsia="Times New Roman"/>
              </w:rPr>
            </w:pPr>
            <w:r>
              <w:rPr>
                <w:rFonts w:eastAsia="Times New Roman"/>
                <w:b/>
                <w:bCs/>
                <w:color w:val="000000"/>
                <w:sz w:val="20"/>
                <w:szCs w:val="20"/>
              </w:rPr>
              <w:t>Commodity Price Risk:</w:t>
            </w:r>
          </w:p>
        </w:tc>
        <w:tc>
          <w:tcPr>
            <w:tcW w:w="0" w:type="auto"/>
            <w:gridSpan w:val="3"/>
            <w:shd w:val="clear" w:color="auto" w:fill="FFFFFF"/>
            <w:tcMar>
              <w:top w:w="0" w:type="dxa"/>
              <w:left w:w="20" w:type="dxa"/>
              <w:bottom w:w="0" w:type="dxa"/>
              <w:right w:w="20" w:type="dxa"/>
            </w:tcMar>
            <w:vAlign w:val="center"/>
            <w:hideMark/>
          </w:tcPr>
          <w:p w14:paraId="044271CD"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4147056"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2642D3"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DE593E"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126908"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75412A7"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5C53BC"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4050D37" w14:textId="77777777" w:rsidR="00000000" w:rsidRDefault="00C1661D">
            <w:pPr>
              <w:spacing w:after="100"/>
              <w:rPr>
                <w:rFonts w:eastAsia="Times New Roman"/>
                <w:sz w:val="20"/>
                <w:szCs w:val="20"/>
              </w:rPr>
            </w:pPr>
          </w:p>
        </w:tc>
      </w:tr>
      <w:tr w:rsidR="00000000" w14:paraId="3DAA5B25" w14:textId="77777777">
        <w:trPr>
          <w:divId w:val="1779717940"/>
          <w:jc w:val="center"/>
        </w:trPr>
        <w:tc>
          <w:tcPr>
            <w:tcW w:w="0" w:type="auto"/>
            <w:gridSpan w:val="3"/>
            <w:shd w:val="clear" w:color="auto" w:fill="CCEEFF"/>
            <w:tcMar>
              <w:top w:w="30" w:type="dxa"/>
              <w:left w:w="155" w:type="dxa"/>
              <w:bottom w:w="30" w:type="dxa"/>
              <w:right w:w="20" w:type="dxa"/>
            </w:tcMar>
            <w:vAlign w:val="bottom"/>
            <w:hideMark/>
          </w:tcPr>
          <w:p w14:paraId="0B289EEF" w14:textId="77777777" w:rsidR="00000000" w:rsidRDefault="00C1661D">
            <w:pPr>
              <w:spacing w:after="100"/>
              <w:rPr>
                <w:rFonts w:eastAsia="Times New Roman"/>
              </w:rPr>
            </w:pPr>
            <w:r>
              <w:rPr>
                <w:rFonts w:eastAsia="Times New Roman"/>
                <w:i/>
                <w:iCs/>
                <w:color w:val="000000"/>
                <w:sz w:val="20"/>
                <w:szCs w:val="20"/>
              </w:rPr>
              <w:t>Regulated Utility Operations</w:t>
            </w:r>
          </w:p>
        </w:tc>
        <w:tc>
          <w:tcPr>
            <w:tcW w:w="0" w:type="auto"/>
            <w:gridSpan w:val="3"/>
            <w:shd w:val="clear" w:color="auto" w:fill="CCEEFF"/>
            <w:tcMar>
              <w:top w:w="0" w:type="dxa"/>
              <w:left w:w="20" w:type="dxa"/>
              <w:bottom w:w="0" w:type="dxa"/>
              <w:right w:w="20" w:type="dxa"/>
            </w:tcMar>
            <w:vAlign w:val="center"/>
            <w:hideMark/>
          </w:tcPr>
          <w:p w14:paraId="3065FEE8"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0DA14"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EB1C4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A81ED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B4ED0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F64990"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70E45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F3CA72" w14:textId="77777777" w:rsidR="00000000" w:rsidRDefault="00C1661D">
            <w:pPr>
              <w:spacing w:after="100"/>
              <w:rPr>
                <w:rFonts w:eastAsia="Times New Roman"/>
                <w:sz w:val="20"/>
                <w:szCs w:val="20"/>
              </w:rPr>
            </w:pPr>
          </w:p>
        </w:tc>
      </w:tr>
      <w:tr w:rsidR="00000000" w14:paraId="62240DCC" w14:textId="77777777">
        <w:trPr>
          <w:divId w:val="1779717940"/>
          <w:jc w:val="center"/>
        </w:trPr>
        <w:tc>
          <w:tcPr>
            <w:tcW w:w="0" w:type="auto"/>
            <w:gridSpan w:val="3"/>
            <w:shd w:val="clear" w:color="auto" w:fill="FFFFFF"/>
            <w:tcMar>
              <w:top w:w="30" w:type="dxa"/>
              <w:left w:w="245" w:type="dxa"/>
              <w:bottom w:w="30" w:type="dxa"/>
              <w:right w:w="20" w:type="dxa"/>
            </w:tcMar>
            <w:vAlign w:val="bottom"/>
            <w:hideMark/>
          </w:tcPr>
          <w:p w14:paraId="4B7776AE" w14:textId="77777777" w:rsidR="00000000" w:rsidRDefault="00C1661D">
            <w:pPr>
              <w:spacing w:after="100"/>
              <w:rPr>
                <w:rFonts w:eastAsia="Times New Roman"/>
              </w:rPr>
            </w:pPr>
            <w:r>
              <w:rPr>
                <w:rFonts w:eastAsia="Times New Roman"/>
                <w:color w:val="000000"/>
                <w:sz w:val="20"/>
                <w:szCs w:val="20"/>
              </w:rPr>
              <w:t>PA Gas Utility NYMEX natural gas futures and option contracts</w:t>
            </w:r>
          </w:p>
        </w:tc>
        <w:tc>
          <w:tcPr>
            <w:tcW w:w="0" w:type="auto"/>
            <w:gridSpan w:val="3"/>
            <w:shd w:val="clear" w:color="auto" w:fill="FFFFFF"/>
            <w:tcMar>
              <w:top w:w="0" w:type="dxa"/>
              <w:left w:w="20" w:type="dxa"/>
              <w:bottom w:w="0" w:type="dxa"/>
              <w:right w:w="20" w:type="dxa"/>
            </w:tcMar>
            <w:vAlign w:val="center"/>
            <w:hideMark/>
          </w:tcPr>
          <w:p w14:paraId="4110BBB1"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9FD3DE8" w14:textId="77777777" w:rsidR="00000000" w:rsidRDefault="00C1661D">
            <w:pPr>
              <w:spacing w:after="100"/>
              <w:jc w:val="center"/>
              <w:rPr>
                <w:rFonts w:eastAsia="Times New Roman"/>
              </w:rPr>
            </w:pPr>
            <w:r>
              <w:rPr>
                <w:rFonts w:eastAsia="Times New Roman"/>
                <w:color w:val="000000"/>
                <w:sz w:val="20"/>
                <w:szCs w:val="20"/>
              </w:rPr>
              <w:t>Dekatherms</w:t>
            </w:r>
          </w:p>
        </w:tc>
        <w:tc>
          <w:tcPr>
            <w:tcW w:w="0" w:type="auto"/>
            <w:gridSpan w:val="3"/>
            <w:shd w:val="clear" w:color="auto" w:fill="FFFFFF"/>
            <w:tcMar>
              <w:top w:w="0" w:type="dxa"/>
              <w:left w:w="20" w:type="dxa"/>
              <w:bottom w:w="0" w:type="dxa"/>
              <w:right w:w="20" w:type="dxa"/>
            </w:tcMar>
            <w:vAlign w:val="center"/>
            <w:hideMark/>
          </w:tcPr>
          <w:p w14:paraId="433CC77F" w14:textId="77777777" w:rsidR="00000000" w:rsidRDefault="00C1661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DBE214A" w14:textId="77777777" w:rsidR="00000000" w:rsidRDefault="00C1661D">
            <w:pPr>
              <w:spacing w:after="100"/>
              <w:jc w:val="center"/>
              <w:rPr>
                <w:rFonts w:eastAsia="Times New Roman"/>
              </w:rPr>
            </w:pPr>
            <w:r>
              <w:rPr>
                <w:rFonts w:eastAsia="Times New Roman"/>
                <w:color w:val="000000"/>
                <w:sz w:val="20"/>
                <w:szCs w:val="20"/>
              </w:rPr>
              <w:t>October 2023</w:t>
            </w:r>
          </w:p>
        </w:tc>
        <w:tc>
          <w:tcPr>
            <w:tcW w:w="0" w:type="auto"/>
            <w:gridSpan w:val="3"/>
            <w:shd w:val="clear" w:color="auto" w:fill="FFFFFF"/>
            <w:tcMar>
              <w:top w:w="0" w:type="dxa"/>
              <w:left w:w="20" w:type="dxa"/>
              <w:bottom w:w="0" w:type="dxa"/>
              <w:right w:w="20" w:type="dxa"/>
            </w:tcMar>
            <w:vAlign w:val="center"/>
            <w:hideMark/>
          </w:tcPr>
          <w:p w14:paraId="520FD8AB" w14:textId="77777777" w:rsidR="00000000" w:rsidRDefault="00C1661D">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F7E838" w14:textId="77777777" w:rsidR="00000000" w:rsidRDefault="00C1661D">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75948CD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C5F3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0E6B1F" w14:textId="77777777" w:rsidR="00000000" w:rsidRDefault="00C1661D">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1D305470" w14:textId="77777777" w:rsidR="00000000" w:rsidRDefault="00C1661D">
            <w:pPr>
              <w:spacing w:after="100"/>
              <w:jc w:val="right"/>
              <w:rPr>
                <w:rFonts w:eastAsia="Times New Roman"/>
              </w:rPr>
            </w:pPr>
          </w:p>
        </w:tc>
      </w:tr>
      <w:tr w:rsidR="00000000" w14:paraId="4700812E" w14:textId="77777777">
        <w:trPr>
          <w:divId w:val="1779717940"/>
          <w:jc w:val="center"/>
        </w:trPr>
        <w:tc>
          <w:tcPr>
            <w:tcW w:w="0" w:type="auto"/>
            <w:gridSpan w:val="3"/>
            <w:vAlign w:val="center"/>
            <w:hideMark/>
          </w:tcPr>
          <w:p w14:paraId="1C324565" w14:textId="77777777" w:rsidR="00000000" w:rsidRDefault="00C1661D">
            <w:pPr>
              <w:spacing w:after="100"/>
              <w:jc w:val="right"/>
              <w:rPr>
                <w:rFonts w:eastAsia="Times New Roman"/>
                <w:sz w:val="20"/>
                <w:szCs w:val="20"/>
              </w:rPr>
            </w:pPr>
          </w:p>
        </w:tc>
        <w:tc>
          <w:tcPr>
            <w:tcW w:w="0" w:type="auto"/>
            <w:gridSpan w:val="3"/>
            <w:vAlign w:val="center"/>
            <w:hideMark/>
          </w:tcPr>
          <w:p w14:paraId="4F9CF7F3" w14:textId="77777777" w:rsidR="00000000" w:rsidRDefault="00C1661D">
            <w:pPr>
              <w:spacing w:after="100"/>
              <w:rPr>
                <w:rFonts w:eastAsia="Times New Roman"/>
                <w:sz w:val="20"/>
                <w:szCs w:val="20"/>
              </w:rPr>
            </w:pPr>
          </w:p>
        </w:tc>
        <w:tc>
          <w:tcPr>
            <w:tcW w:w="0" w:type="auto"/>
            <w:gridSpan w:val="3"/>
            <w:vAlign w:val="center"/>
            <w:hideMark/>
          </w:tcPr>
          <w:p w14:paraId="53E11153" w14:textId="77777777" w:rsidR="00000000" w:rsidRDefault="00C1661D">
            <w:pPr>
              <w:spacing w:after="100"/>
              <w:rPr>
                <w:rFonts w:eastAsia="Times New Roman"/>
                <w:sz w:val="20"/>
                <w:szCs w:val="20"/>
              </w:rPr>
            </w:pPr>
          </w:p>
        </w:tc>
        <w:tc>
          <w:tcPr>
            <w:tcW w:w="0" w:type="auto"/>
            <w:gridSpan w:val="3"/>
            <w:vAlign w:val="center"/>
            <w:hideMark/>
          </w:tcPr>
          <w:p w14:paraId="7C627424" w14:textId="77777777" w:rsidR="00000000" w:rsidRDefault="00C1661D">
            <w:pPr>
              <w:spacing w:after="100"/>
              <w:rPr>
                <w:rFonts w:eastAsia="Times New Roman"/>
                <w:sz w:val="20"/>
                <w:szCs w:val="20"/>
              </w:rPr>
            </w:pPr>
          </w:p>
        </w:tc>
        <w:tc>
          <w:tcPr>
            <w:tcW w:w="0" w:type="auto"/>
            <w:gridSpan w:val="3"/>
            <w:vAlign w:val="center"/>
            <w:hideMark/>
          </w:tcPr>
          <w:p w14:paraId="680E84DC" w14:textId="77777777" w:rsidR="00000000" w:rsidRDefault="00C1661D">
            <w:pPr>
              <w:spacing w:after="100"/>
              <w:rPr>
                <w:rFonts w:eastAsia="Times New Roman"/>
                <w:sz w:val="20"/>
                <w:szCs w:val="20"/>
              </w:rPr>
            </w:pPr>
          </w:p>
        </w:tc>
        <w:tc>
          <w:tcPr>
            <w:tcW w:w="0" w:type="auto"/>
            <w:gridSpan w:val="3"/>
            <w:vAlign w:val="center"/>
            <w:hideMark/>
          </w:tcPr>
          <w:p w14:paraId="100BC876" w14:textId="77777777" w:rsidR="00000000" w:rsidRDefault="00C1661D">
            <w:pPr>
              <w:spacing w:after="100"/>
              <w:rPr>
                <w:rFonts w:eastAsia="Times New Roman"/>
                <w:sz w:val="20"/>
                <w:szCs w:val="20"/>
              </w:rPr>
            </w:pPr>
          </w:p>
        </w:tc>
        <w:tc>
          <w:tcPr>
            <w:tcW w:w="0" w:type="auto"/>
            <w:gridSpan w:val="3"/>
            <w:vAlign w:val="center"/>
            <w:hideMark/>
          </w:tcPr>
          <w:p w14:paraId="2F1616DB" w14:textId="77777777" w:rsidR="00000000" w:rsidRDefault="00C1661D">
            <w:pPr>
              <w:spacing w:after="100"/>
              <w:rPr>
                <w:rFonts w:eastAsia="Times New Roman"/>
                <w:sz w:val="20"/>
                <w:szCs w:val="20"/>
              </w:rPr>
            </w:pPr>
          </w:p>
        </w:tc>
        <w:tc>
          <w:tcPr>
            <w:tcW w:w="0" w:type="auto"/>
            <w:gridSpan w:val="3"/>
            <w:vAlign w:val="center"/>
            <w:hideMark/>
          </w:tcPr>
          <w:p w14:paraId="7D77AE0A" w14:textId="77777777" w:rsidR="00000000" w:rsidRDefault="00C1661D">
            <w:pPr>
              <w:spacing w:after="100"/>
              <w:rPr>
                <w:rFonts w:eastAsia="Times New Roman"/>
                <w:sz w:val="20"/>
                <w:szCs w:val="20"/>
              </w:rPr>
            </w:pPr>
          </w:p>
        </w:tc>
        <w:tc>
          <w:tcPr>
            <w:tcW w:w="0" w:type="auto"/>
            <w:gridSpan w:val="3"/>
            <w:vAlign w:val="center"/>
            <w:hideMark/>
          </w:tcPr>
          <w:p w14:paraId="735CB7B5" w14:textId="77777777" w:rsidR="00000000" w:rsidRDefault="00C1661D">
            <w:pPr>
              <w:spacing w:after="100"/>
              <w:rPr>
                <w:rFonts w:eastAsia="Times New Roman"/>
                <w:sz w:val="20"/>
                <w:szCs w:val="20"/>
              </w:rPr>
            </w:pPr>
          </w:p>
        </w:tc>
      </w:tr>
      <w:tr w:rsidR="00000000" w14:paraId="406CF489" w14:textId="77777777">
        <w:trPr>
          <w:divId w:val="1779717940"/>
          <w:jc w:val="center"/>
        </w:trPr>
        <w:tc>
          <w:tcPr>
            <w:tcW w:w="0" w:type="auto"/>
            <w:gridSpan w:val="3"/>
            <w:vAlign w:val="center"/>
            <w:hideMark/>
          </w:tcPr>
          <w:p w14:paraId="7968A73C" w14:textId="77777777" w:rsidR="00000000" w:rsidRDefault="00C1661D">
            <w:pPr>
              <w:spacing w:after="100"/>
              <w:rPr>
                <w:rFonts w:eastAsia="Times New Roman"/>
                <w:sz w:val="20"/>
                <w:szCs w:val="20"/>
              </w:rPr>
            </w:pPr>
          </w:p>
        </w:tc>
        <w:tc>
          <w:tcPr>
            <w:tcW w:w="0" w:type="auto"/>
            <w:gridSpan w:val="3"/>
            <w:vAlign w:val="center"/>
            <w:hideMark/>
          </w:tcPr>
          <w:p w14:paraId="3EE4ADB8" w14:textId="77777777" w:rsidR="00000000" w:rsidRDefault="00C1661D">
            <w:pPr>
              <w:spacing w:after="100"/>
              <w:rPr>
                <w:rFonts w:eastAsia="Times New Roman"/>
                <w:sz w:val="20"/>
                <w:szCs w:val="20"/>
              </w:rPr>
            </w:pPr>
          </w:p>
        </w:tc>
        <w:tc>
          <w:tcPr>
            <w:tcW w:w="0" w:type="auto"/>
            <w:gridSpan w:val="3"/>
            <w:vAlign w:val="center"/>
            <w:hideMark/>
          </w:tcPr>
          <w:p w14:paraId="65E94EAC" w14:textId="77777777" w:rsidR="00000000" w:rsidRDefault="00C1661D">
            <w:pPr>
              <w:spacing w:after="100"/>
              <w:rPr>
                <w:rFonts w:eastAsia="Times New Roman"/>
                <w:sz w:val="20"/>
                <w:szCs w:val="20"/>
              </w:rPr>
            </w:pPr>
          </w:p>
        </w:tc>
        <w:tc>
          <w:tcPr>
            <w:tcW w:w="0" w:type="auto"/>
            <w:gridSpan w:val="3"/>
            <w:vAlign w:val="center"/>
            <w:hideMark/>
          </w:tcPr>
          <w:p w14:paraId="427C0CBA" w14:textId="77777777" w:rsidR="00000000" w:rsidRDefault="00C1661D">
            <w:pPr>
              <w:spacing w:after="100"/>
              <w:rPr>
                <w:rFonts w:eastAsia="Times New Roman"/>
                <w:sz w:val="20"/>
                <w:szCs w:val="20"/>
              </w:rPr>
            </w:pPr>
          </w:p>
        </w:tc>
        <w:tc>
          <w:tcPr>
            <w:tcW w:w="0" w:type="auto"/>
            <w:gridSpan w:val="3"/>
            <w:vAlign w:val="center"/>
            <w:hideMark/>
          </w:tcPr>
          <w:p w14:paraId="2C011928" w14:textId="77777777" w:rsidR="00000000" w:rsidRDefault="00C1661D">
            <w:pPr>
              <w:spacing w:after="100"/>
              <w:rPr>
                <w:rFonts w:eastAsia="Times New Roman"/>
                <w:sz w:val="20"/>
                <w:szCs w:val="20"/>
              </w:rPr>
            </w:pPr>
          </w:p>
        </w:tc>
        <w:tc>
          <w:tcPr>
            <w:tcW w:w="0" w:type="auto"/>
            <w:gridSpan w:val="3"/>
            <w:vAlign w:val="center"/>
            <w:hideMark/>
          </w:tcPr>
          <w:p w14:paraId="412EE85A" w14:textId="77777777" w:rsidR="00000000" w:rsidRDefault="00C1661D">
            <w:pPr>
              <w:spacing w:after="100"/>
              <w:rPr>
                <w:rFonts w:eastAsia="Times New Roman"/>
                <w:sz w:val="20"/>
                <w:szCs w:val="20"/>
              </w:rPr>
            </w:pPr>
          </w:p>
        </w:tc>
        <w:tc>
          <w:tcPr>
            <w:tcW w:w="0" w:type="auto"/>
            <w:gridSpan w:val="3"/>
            <w:vAlign w:val="center"/>
            <w:hideMark/>
          </w:tcPr>
          <w:p w14:paraId="3F948FD9" w14:textId="77777777" w:rsidR="00000000" w:rsidRDefault="00C1661D">
            <w:pPr>
              <w:spacing w:after="100"/>
              <w:rPr>
                <w:rFonts w:eastAsia="Times New Roman"/>
                <w:sz w:val="20"/>
                <w:szCs w:val="20"/>
              </w:rPr>
            </w:pPr>
          </w:p>
        </w:tc>
        <w:tc>
          <w:tcPr>
            <w:tcW w:w="0" w:type="auto"/>
            <w:gridSpan w:val="3"/>
            <w:vAlign w:val="center"/>
            <w:hideMark/>
          </w:tcPr>
          <w:p w14:paraId="415F58CA" w14:textId="77777777" w:rsidR="00000000" w:rsidRDefault="00C1661D">
            <w:pPr>
              <w:spacing w:after="100"/>
              <w:rPr>
                <w:rFonts w:eastAsia="Times New Roman"/>
                <w:sz w:val="20"/>
                <w:szCs w:val="20"/>
              </w:rPr>
            </w:pPr>
          </w:p>
        </w:tc>
        <w:tc>
          <w:tcPr>
            <w:tcW w:w="0" w:type="auto"/>
            <w:gridSpan w:val="3"/>
            <w:vAlign w:val="center"/>
            <w:hideMark/>
          </w:tcPr>
          <w:p w14:paraId="01DE18E0" w14:textId="77777777" w:rsidR="00000000" w:rsidRDefault="00C1661D">
            <w:pPr>
              <w:spacing w:after="100"/>
              <w:rPr>
                <w:rFonts w:eastAsia="Times New Roman"/>
                <w:sz w:val="20"/>
                <w:szCs w:val="20"/>
              </w:rPr>
            </w:pPr>
          </w:p>
        </w:tc>
      </w:tr>
      <w:tr w:rsidR="00000000" w14:paraId="35542D69" w14:textId="77777777">
        <w:trPr>
          <w:divId w:val="1779717940"/>
          <w:jc w:val="center"/>
        </w:trPr>
        <w:tc>
          <w:tcPr>
            <w:tcW w:w="0" w:type="auto"/>
            <w:gridSpan w:val="3"/>
            <w:shd w:val="clear" w:color="auto" w:fill="CCEEFF"/>
            <w:tcMar>
              <w:top w:w="30" w:type="dxa"/>
              <w:left w:w="155" w:type="dxa"/>
              <w:bottom w:w="30" w:type="dxa"/>
              <w:right w:w="20" w:type="dxa"/>
            </w:tcMar>
            <w:vAlign w:val="bottom"/>
            <w:hideMark/>
          </w:tcPr>
          <w:p w14:paraId="2EEDF73A" w14:textId="77777777" w:rsidR="00000000" w:rsidRDefault="00C1661D">
            <w:pPr>
              <w:spacing w:after="100"/>
              <w:rPr>
                <w:rFonts w:eastAsia="Times New Roman"/>
              </w:rPr>
            </w:pPr>
            <w:r>
              <w:rPr>
                <w:rFonts w:eastAsia="Times New Roman"/>
                <w:i/>
                <w:iCs/>
                <w:color w:val="000000"/>
                <w:sz w:val="20"/>
                <w:szCs w:val="20"/>
              </w:rPr>
              <w:t>Non-utility Operations</w:t>
            </w:r>
          </w:p>
        </w:tc>
        <w:tc>
          <w:tcPr>
            <w:tcW w:w="0" w:type="auto"/>
            <w:gridSpan w:val="3"/>
            <w:shd w:val="clear" w:color="auto" w:fill="CCEEFF"/>
            <w:tcMar>
              <w:top w:w="0" w:type="dxa"/>
              <w:left w:w="20" w:type="dxa"/>
              <w:bottom w:w="0" w:type="dxa"/>
              <w:right w:w="20" w:type="dxa"/>
            </w:tcMar>
            <w:vAlign w:val="center"/>
            <w:hideMark/>
          </w:tcPr>
          <w:p w14:paraId="7A32332D"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E22DA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FE0D26"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4B4E89"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10AE8B"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04DCF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9ED59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74C91C" w14:textId="77777777" w:rsidR="00000000" w:rsidRDefault="00C1661D">
            <w:pPr>
              <w:spacing w:after="100"/>
              <w:rPr>
                <w:rFonts w:eastAsia="Times New Roman"/>
                <w:sz w:val="20"/>
                <w:szCs w:val="20"/>
              </w:rPr>
            </w:pPr>
          </w:p>
        </w:tc>
      </w:tr>
      <w:tr w:rsidR="00000000" w14:paraId="4DC6777E" w14:textId="77777777">
        <w:trPr>
          <w:divId w:val="1779717940"/>
          <w:jc w:val="center"/>
        </w:trPr>
        <w:tc>
          <w:tcPr>
            <w:tcW w:w="0" w:type="auto"/>
            <w:gridSpan w:val="3"/>
            <w:shd w:val="clear" w:color="auto" w:fill="FFFFFF"/>
            <w:tcMar>
              <w:top w:w="30" w:type="dxa"/>
              <w:left w:w="245" w:type="dxa"/>
              <w:bottom w:w="30" w:type="dxa"/>
              <w:right w:w="20" w:type="dxa"/>
            </w:tcMar>
            <w:vAlign w:val="bottom"/>
            <w:hideMark/>
          </w:tcPr>
          <w:p w14:paraId="795EE0BE" w14:textId="77777777" w:rsidR="00000000" w:rsidRDefault="00C1661D">
            <w:pPr>
              <w:spacing w:after="100"/>
              <w:rPr>
                <w:rFonts w:eastAsia="Times New Roman"/>
              </w:rPr>
            </w:pPr>
            <w:r>
              <w:rPr>
                <w:rFonts w:eastAsia="Times New Roman"/>
                <w:color w:val="000000"/>
                <w:sz w:val="20"/>
                <w:szCs w:val="20"/>
              </w:rPr>
              <w:t>LPG swaps</w:t>
            </w:r>
          </w:p>
        </w:tc>
        <w:tc>
          <w:tcPr>
            <w:tcW w:w="0" w:type="auto"/>
            <w:gridSpan w:val="3"/>
            <w:shd w:val="clear" w:color="auto" w:fill="FFFFFF"/>
            <w:tcMar>
              <w:top w:w="0" w:type="dxa"/>
              <w:left w:w="20" w:type="dxa"/>
              <w:bottom w:w="0" w:type="dxa"/>
              <w:right w:w="20" w:type="dxa"/>
            </w:tcMar>
            <w:vAlign w:val="center"/>
            <w:hideMark/>
          </w:tcPr>
          <w:p w14:paraId="47E0E3CA"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98FA583" w14:textId="77777777" w:rsidR="00000000" w:rsidRDefault="00C1661D">
            <w:pPr>
              <w:spacing w:after="100"/>
              <w:jc w:val="center"/>
              <w:rPr>
                <w:rFonts w:eastAsia="Times New Roman"/>
              </w:rPr>
            </w:pPr>
            <w:r>
              <w:rPr>
                <w:rFonts w:eastAsia="Times New Roman"/>
                <w:color w:val="000000"/>
                <w:sz w:val="20"/>
                <w:szCs w:val="20"/>
              </w:rPr>
              <w:t>Gallons</w:t>
            </w:r>
          </w:p>
        </w:tc>
        <w:tc>
          <w:tcPr>
            <w:tcW w:w="0" w:type="auto"/>
            <w:gridSpan w:val="3"/>
            <w:shd w:val="clear" w:color="auto" w:fill="FFFFFF"/>
            <w:tcMar>
              <w:top w:w="0" w:type="dxa"/>
              <w:left w:w="20" w:type="dxa"/>
              <w:bottom w:w="0" w:type="dxa"/>
              <w:right w:w="20" w:type="dxa"/>
            </w:tcMar>
            <w:vAlign w:val="center"/>
            <w:hideMark/>
          </w:tcPr>
          <w:p w14:paraId="36CD3FFF" w14:textId="77777777" w:rsidR="00000000" w:rsidRDefault="00C1661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B1CF652" w14:textId="77777777" w:rsidR="00000000" w:rsidRDefault="00C1661D">
            <w:pPr>
              <w:spacing w:after="100"/>
              <w:jc w:val="center"/>
              <w:rPr>
                <w:rFonts w:eastAsia="Times New Roman"/>
              </w:rPr>
            </w:pPr>
            <w:r>
              <w:rPr>
                <w:rFonts w:eastAsia="Times New Roman"/>
                <w:color w:val="000000"/>
                <w:sz w:val="20"/>
                <w:szCs w:val="20"/>
              </w:rPr>
              <w:t>January 2025</w:t>
            </w:r>
          </w:p>
        </w:tc>
        <w:tc>
          <w:tcPr>
            <w:tcW w:w="0" w:type="auto"/>
            <w:gridSpan w:val="3"/>
            <w:shd w:val="clear" w:color="auto" w:fill="FFFFFF"/>
            <w:tcMar>
              <w:top w:w="0" w:type="dxa"/>
              <w:left w:w="20" w:type="dxa"/>
              <w:bottom w:w="0" w:type="dxa"/>
              <w:right w:w="20" w:type="dxa"/>
            </w:tcMar>
            <w:vAlign w:val="center"/>
            <w:hideMark/>
          </w:tcPr>
          <w:p w14:paraId="21229C14" w14:textId="77777777" w:rsidR="00000000" w:rsidRDefault="00C1661D">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CA8182" w14:textId="77777777" w:rsidR="00000000" w:rsidRDefault="00C1661D">
            <w:pPr>
              <w:spacing w:after="100"/>
              <w:jc w:val="right"/>
              <w:rPr>
                <w:rFonts w:eastAsia="Times New Roman"/>
              </w:rPr>
            </w:pPr>
            <w:r>
              <w:rPr>
                <w:rFonts w:eastAsia="Times New Roman"/>
                <w:color w:val="000000"/>
                <w:sz w:val="20"/>
                <w:szCs w:val="20"/>
              </w:rPr>
              <w:t>874 </w:t>
            </w:r>
          </w:p>
        </w:tc>
        <w:tc>
          <w:tcPr>
            <w:tcW w:w="0" w:type="auto"/>
            <w:shd w:val="clear" w:color="auto" w:fill="FFFFFF"/>
            <w:tcMar>
              <w:top w:w="30" w:type="dxa"/>
              <w:left w:w="0" w:type="dxa"/>
              <w:bottom w:w="30" w:type="dxa"/>
              <w:right w:w="20" w:type="dxa"/>
            </w:tcMar>
            <w:vAlign w:val="bottom"/>
            <w:hideMark/>
          </w:tcPr>
          <w:p w14:paraId="3ED734B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D235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10E365" w14:textId="77777777" w:rsidR="00000000" w:rsidRDefault="00C1661D">
            <w:pPr>
              <w:spacing w:after="100"/>
              <w:jc w:val="right"/>
              <w:rPr>
                <w:rFonts w:eastAsia="Times New Roman"/>
              </w:rPr>
            </w:pPr>
            <w:r>
              <w:rPr>
                <w:rFonts w:eastAsia="Times New Roman"/>
                <w:color w:val="000000"/>
                <w:sz w:val="20"/>
                <w:szCs w:val="20"/>
              </w:rPr>
              <w:t>708 </w:t>
            </w:r>
          </w:p>
        </w:tc>
        <w:tc>
          <w:tcPr>
            <w:tcW w:w="0" w:type="auto"/>
            <w:shd w:val="clear" w:color="auto" w:fill="FFFFFF"/>
            <w:tcMar>
              <w:top w:w="30" w:type="dxa"/>
              <w:left w:w="0" w:type="dxa"/>
              <w:bottom w:w="30" w:type="dxa"/>
              <w:right w:w="20" w:type="dxa"/>
            </w:tcMar>
            <w:vAlign w:val="bottom"/>
            <w:hideMark/>
          </w:tcPr>
          <w:p w14:paraId="32F07508" w14:textId="77777777" w:rsidR="00000000" w:rsidRDefault="00C1661D">
            <w:pPr>
              <w:spacing w:after="100"/>
              <w:jc w:val="right"/>
              <w:rPr>
                <w:rFonts w:eastAsia="Times New Roman"/>
              </w:rPr>
            </w:pPr>
          </w:p>
        </w:tc>
      </w:tr>
      <w:tr w:rsidR="00000000" w14:paraId="5C82DC9D" w14:textId="77777777">
        <w:trPr>
          <w:divId w:val="1779717940"/>
          <w:jc w:val="center"/>
        </w:trPr>
        <w:tc>
          <w:tcPr>
            <w:tcW w:w="0" w:type="auto"/>
            <w:gridSpan w:val="3"/>
            <w:shd w:val="clear" w:color="auto" w:fill="CCEEFF"/>
            <w:tcMar>
              <w:top w:w="30" w:type="dxa"/>
              <w:left w:w="245" w:type="dxa"/>
              <w:bottom w:w="30" w:type="dxa"/>
              <w:right w:w="20" w:type="dxa"/>
            </w:tcMar>
            <w:vAlign w:val="bottom"/>
            <w:hideMark/>
          </w:tcPr>
          <w:p w14:paraId="51E2F078" w14:textId="77777777" w:rsidR="00000000" w:rsidRDefault="00C1661D">
            <w:pPr>
              <w:spacing w:after="100"/>
              <w:rPr>
                <w:rFonts w:eastAsia="Times New Roman"/>
              </w:rPr>
            </w:pPr>
            <w:r>
              <w:rPr>
                <w:rFonts w:eastAsia="Times New Roman"/>
                <w:color w:val="000000"/>
                <w:sz w:val="20"/>
                <w:szCs w:val="20"/>
              </w:rPr>
              <w:t>Natural gas futures, forward, basis swap, options and pipeline contracts</w:t>
            </w:r>
          </w:p>
        </w:tc>
        <w:tc>
          <w:tcPr>
            <w:tcW w:w="0" w:type="auto"/>
            <w:gridSpan w:val="3"/>
            <w:shd w:val="clear" w:color="auto" w:fill="CCEEFF"/>
            <w:tcMar>
              <w:top w:w="0" w:type="dxa"/>
              <w:left w:w="20" w:type="dxa"/>
              <w:bottom w:w="0" w:type="dxa"/>
              <w:right w:w="20" w:type="dxa"/>
            </w:tcMar>
            <w:vAlign w:val="center"/>
            <w:hideMark/>
          </w:tcPr>
          <w:p w14:paraId="0A300151"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EAF2C1B" w14:textId="77777777" w:rsidR="00000000" w:rsidRDefault="00C1661D">
            <w:pPr>
              <w:spacing w:after="100"/>
              <w:jc w:val="center"/>
              <w:rPr>
                <w:rFonts w:eastAsia="Times New Roman"/>
              </w:rPr>
            </w:pPr>
            <w:r>
              <w:rPr>
                <w:rFonts w:eastAsia="Times New Roman"/>
                <w:color w:val="000000"/>
                <w:sz w:val="20"/>
                <w:szCs w:val="20"/>
              </w:rPr>
              <w:t>Dekatherms</w:t>
            </w:r>
          </w:p>
        </w:tc>
        <w:tc>
          <w:tcPr>
            <w:tcW w:w="0" w:type="auto"/>
            <w:gridSpan w:val="3"/>
            <w:shd w:val="clear" w:color="auto" w:fill="CCEEFF"/>
            <w:tcMar>
              <w:top w:w="0" w:type="dxa"/>
              <w:left w:w="20" w:type="dxa"/>
              <w:bottom w:w="0" w:type="dxa"/>
              <w:right w:w="20" w:type="dxa"/>
            </w:tcMar>
            <w:vAlign w:val="center"/>
            <w:hideMark/>
          </w:tcPr>
          <w:p w14:paraId="513C040A" w14:textId="77777777" w:rsidR="00000000" w:rsidRDefault="00C1661D">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673D3C5" w14:textId="77777777" w:rsidR="00000000" w:rsidRDefault="00C1661D">
            <w:pPr>
              <w:spacing w:after="100"/>
              <w:jc w:val="center"/>
              <w:rPr>
                <w:rFonts w:eastAsia="Times New Roman"/>
              </w:rPr>
            </w:pPr>
            <w:r>
              <w:rPr>
                <w:rFonts w:eastAsia="Times New Roman"/>
                <w:color w:val="000000"/>
                <w:sz w:val="20"/>
                <w:szCs w:val="20"/>
              </w:rPr>
              <w:t>October 2026</w:t>
            </w:r>
          </w:p>
        </w:tc>
        <w:tc>
          <w:tcPr>
            <w:tcW w:w="0" w:type="auto"/>
            <w:gridSpan w:val="3"/>
            <w:shd w:val="clear" w:color="auto" w:fill="CCEEFF"/>
            <w:tcMar>
              <w:top w:w="0" w:type="dxa"/>
              <w:left w:w="20" w:type="dxa"/>
              <w:bottom w:w="0" w:type="dxa"/>
              <w:right w:w="20" w:type="dxa"/>
            </w:tcMar>
            <w:vAlign w:val="center"/>
            <w:hideMark/>
          </w:tcPr>
          <w:p w14:paraId="248FE1C4" w14:textId="77777777" w:rsidR="00000000" w:rsidRDefault="00C1661D">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D4F4B2" w14:textId="77777777" w:rsidR="00000000" w:rsidRDefault="00C1661D">
            <w:pPr>
              <w:spacing w:after="100"/>
              <w:jc w:val="right"/>
              <w:rPr>
                <w:rFonts w:eastAsia="Times New Roman"/>
              </w:rPr>
            </w:pPr>
            <w:r>
              <w:rPr>
                <w:rFonts w:eastAsia="Times New Roman"/>
                <w:color w:val="000000"/>
                <w:sz w:val="20"/>
                <w:szCs w:val="20"/>
              </w:rPr>
              <w:t>363 </w:t>
            </w:r>
          </w:p>
        </w:tc>
        <w:tc>
          <w:tcPr>
            <w:tcW w:w="0" w:type="auto"/>
            <w:shd w:val="clear" w:color="auto" w:fill="CCEEFF"/>
            <w:tcMar>
              <w:top w:w="30" w:type="dxa"/>
              <w:left w:w="0" w:type="dxa"/>
              <w:bottom w:w="30" w:type="dxa"/>
              <w:right w:w="20" w:type="dxa"/>
            </w:tcMar>
            <w:vAlign w:val="bottom"/>
            <w:hideMark/>
          </w:tcPr>
          <w:p w14:paraId="0ABC180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F1687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41FE2B" w14:textId="77777777" w:rsidR="00000000" w:rsidRDefault="00C1661D">
            <w:pPr>
              <w:spacing w:after="100"/>
              <w:jc w:val="right"/>
              <w:rPr>
                <w:rFonts w:eastAsia="Times New Roman"/>
              </w:rPr>
            </w:pPr>
            <w:r>
              <w:rPr>
                <w:rFonts w:eastAsia="Times New Roman"/>
                <w:color w:val="000000"/>
                <w:sz w:val="20"/>
                <w:szCs w:val="20"/>
              </w:rPr>
              <w:t>355 </w:t>
            </w:r>
          </w:p>
        </w:tc>
        <w:tc>
          <w:tcPr>
            <w:tcW w:w="0" w:type="auto"/>
            <w:shd w:val="clear" w:color="auto" w:fill="CCEEFF"/>
            <w:tcMar>
              <w:top w:w="30" w:type="dxa"/>
              <w:left w:w="0" w:type="dxa"/>
              <w:bottom w:w="30" w:type="dxa"/>
              <w:right w:w="20" w:type="dxa"/>
            </w:tcMar>
            <w:vAlign w:val="bottom"/>
            <w:hideMark/>
          </w:tcPr>
          <w:p w14:paraId="72C0762F" w14:textId="77777777" w:rsidR="00000000" w:rsidRDefault="00C1661D">
            <w:pPr>
              <w:spacing w:after="100"/>
              <w:jc w:val="right"/>
              <w:rPr>
                <w:rFonts w:eastAsia="Times New Roman"/>
              </w:rPr>
            </w:pPr>
          </w:p>
        </w:tc>
      </w:tr>
      <w:tr w:rsidR="00000000" w14:paraId="45AA5C71" w14:textId="77777777">
        <w:trPr>
          <w:divId w:val="1779717940"/>
          <w:jc w:val="center"/>
        </w:trPr>
        <w:tc>
          <w:tcPr>
            <w:tcW w:w="0" w:type="auto"/>
            <w:gridSpan w:val="3"/>
            <w:vAlign w:val="center"/>
            <w:hideMark/>
          </w:tcPr>
          <w:p w14:paraId="23565079" w14:textId="77777777" w:rsidR="00000000" w:rsidRDefault="00C1661D">
            <w:pPr>
              <w:spacing w:after="100"/>
              <w:jc w:val="right"/>
              <w:rPr>
                <w:rFonts w:eastAsia="Times New Roman"/>
                <w:sz w:val="20"/>
                <w:szCs w:val="20"/>
              </w:rPr>
            </w:pPr>
          </w:p>
        </w:tc>
        <w:tc>
          <w:tcPr>
            <w:tcW w:w="0" w:type="auto"/>
            <w:gridSpan w:val="3"/>
            <w:vAlign w:val="center"/>
            <w:hideMark/>
          </w:tcPr>
          <w:p w14:paraId="4159F8D7" w14:textId="77777777" w:rsidR="00000000" w:rsidRDefault="00C1661D">
            <w:pPr>
              <w:spacing w:after="100"/>
              <w:rPr>
                <w:rFonts w:eastAsia="Times New Roman"/>
                <w:sz w:val="20"/>
                <w:szCs w:val="20"/>
              </w:rPr>
            </w:pPr>
          </w:p>
        </w:tc>
        <w:tc>
          <w:tcPr>
            <w:tcW w:w="0" w:type="auto"/>
            <w:gridSpan w:val="3"/>
            <w:vAlign w:val="center"/>
            <w:hideMark/>
          </w:tcPr>
          <w:p w14:paraId="33AC2380" w14:textId="77777777" w:rsidR="00000000" w:rsidRDefault="00C1661D">
            <w:pPr>
              <w:spacing w:after="100"/>
              <w:rPr>
                <w:rFonts w:eastAsia="Times New Roman"/>
                <w:sz w:val="20"/>
                <w:szCs w:val="20"/>
              </w:rPr>
            </w:pPr>
          </w:p>
        </w:tc>
        <w:tc>
          <w:tcPr>
            <w:tcW w:w="0" w:type="auto"/>
            <w:gridSpan w:val="3"/>
            <w:vAlign w:val="center"/>
            <w:hideMark/>
          </w:tcPr>
          <w:p w14:paraId="6DDAC5B5" w14:textId="77777777" w:rsidR="00000000" w:rsidRDefault="00C1661D">
            <w:pPr>
              <w:spacing w:after="100"/>
              <w:rPr>
                <w:rFonts w:eastAsia="Times New Roman"/>
                <w:sz w:val="20"/>
                <w:szCs w:val="20"/>
              </w:rPr>
            </w:pPr>
          </w:p>
        </w:tc>
        <w:tc>
          <w:tcPr>
            <w:tcW w:w="0" w:type="auto"/>
            <w:gridSpan w:val="3"/>
            <w:vAlign w:val="center"/>
            <w:hideMark/>
          </w:tcPr>
          <w:p w14:paraId="7CDF9348" w14:textId="77777777" w:rsidR="00000000" w:rsidRDefault="00C1661D">
            <w:pPr>
              <w:spacing w:after="100"/>
              <w:rPr>
                <w:rFonts w:eastAsia="Times New Roman"/>
                <w:sz w:val="20"/>
                <w:szCs w:val="20"/>
              </w:rPr>
            </w:pPr>
          </w:p>
        </w:tc>
        <w:tc>
          <w:tcPr>
            <w:tcW w:w="0" w:type="auto"/>
            <w:gridSpan w:val="3"/>
            <w:vAlign w:val="center"/>
            <w:hideMark/>
          </w:tcPr>
          <w:p w14:paraId="28222BF7" w14:textId="77777777" w:rsidR="00000000" w:rsidRDefault="00C1661D">
            <w:pPr>
              <w:spacing w:after="100"/>
              <w:rPr>
                <w:rFonts w:eastAsia="Times New Roman"/>
                <w:sz w:val="20"/>
                <w:szCs w:val="20"/>
              </w:rPr>
            </w:pPr>
          </w:p>
        </w:tc>
        <w:tc>
          <w:tcPr>
            <w:tcW w:w="0" w:type="auto"/>
            <w:gridSpan w:val="3"/>
            <w:vAlign w:val="center"/>
            <w:hideMark/>
          </w:tcPr>
          <w:p w14:paraId="41FD717B" w14:textId="77777777" w:rsidR="00000000" w:rsidRDefault="00C1661D">
            <w:pPr>
              <w:spacing w:after="100"/>
              <w:rPr>
                <w:rFonts w:eastAsia="Times New Roman"/>
                <w:sz w:val="20"/>
                <w:szCs w:val="20"/>
              </w:rPr>
            </w:pPr>
          </w:p>
        </w:tc>
        <w:tc>
          <w:tcPr>
            <w:tcW w:w="0" w:type="auto"/>
            <w:gridSpan w:val="3"/>
            <w:vAlign w:val="center"/>
            <w:hideMark/>
          </w:tcPr>
          <w:p w14:paraId="32F751DA" w14:textId="77777777" w:rsidR="00000000" w:rsidRDefault="00C1661D">
            <w:pPr>
              <w:spacing w:after="100"/>
              <w:rPr>
                <w:rFonts w:eastAsia="Times New Roman"/>
                <w:sz w:val="20"/>
                <w:szCs w:val="20"/>
              </w:rPr>
            </w:pPr>
          </w:p>
        </w:tc>
        <w:tc>
          <w:tcPr>
            <w:tcW w:w="0" w:type="auto"/>
            <w:gridSpan w:val="3"/>
            <w:vAlign w:val="center"/>
            <w:hideMark/>
          </w:tcPr>
          <w:p w14:paraId="550BEDB0" w14:textId="77777777" w:rsidR="00000000" w:rsidRDefault="00C1661D">
            <w:pPr>
              <w:spacing w:after="100"/>
              <w:rPr>
                <w:rFonts w:eastAsia="Times New Roman"/>
                <w:sz w:val="20"/>
                <w:szCs w:val="20"/>
              </w:rPr>
            </w:pPr>
          </w:p>
        </w:tc>
      </w:tr>
      <w:tr w:rsidR="00000000" w14:paraId="07950051" w14:textId="77777777">
        <w:trPr>
          <w:divId w:val="1779717940"/>
          <w:jc w:val="center"/>
        </w:trPr>
        <w:tc>
          <w:tcPr>
            <w:tcW w:w="0" w:type="auto"/>
            <w:gridSpan w:val="3"/>
            <w:vAlign w:val="center"/>
            <w:hideMark/>
          </w:tcPr>
          <w:p w14:paraId="33A93D48" w14:textId="77777777" w:rsidR="00000000" w:rsidRDefault="00C1661D">
            <w:pPr>
              <w:spacing w:after="100"/>
              <w:rPr>
                <w:rFonts w:eastAsia="Times New Roman"/>
                <w:sz w:val="20"/>
                <w:szCs w:val="20"/>
              </w:rPr>
            </w:pPr>
          </w:p>
        </w:tc>
        <w:tc>
          <w:tcPr>
            <w:tcW w:w="0" w:type="auto"/>
            <w:gridSpan w:val="3"/>
            <w:vAlign w:val="center"/>
            <w:hideMark/>
          </w:tcPr>
          <w:p w14:paraId="7EA0D203" w14:textId="77777777" w:rsidR="00000000" w:rsidRDefault="00C1661D">
            <w:pPr>
              <w:spacing w:after="100"/>
              <w:rPr>
                <w:rFonts w:eastAsia="Times New Roman"/>
                <w:sz w:val="20"/>
                <w:szCs w:val="20"/>
              </w:rPr>
            </w:pPr>
          </w:p>
        </w:tc>
        <w:tc>
          <w:tcPr>
            <w:tcW w:w="0" w:type="auto"/>
            <w:gridSpan w:val="3"/>
            <w:vAlign w:val="center"/>
            <w:hideMark/>
          </w:tcPr>
          <w:p w14:paraId="7AA5BBA4" w14:textId="77777777" w:rsidR="00000000" w:rsidRDefault="00C1661D">
            <w:pPr>
              <w:spacing w:after="100"/>
              <w:rPr>
                <w:rFonts w:eastAsia="Times New Roman"/>
                <w:sz w:val="20"/>
                <w:szCs w:val="20"/>
              </w:rPr>
            </w:pPr>
          </w:p>
        </w:tc>
        <w:tc>
          <w:tcPr>
            <w:tcW w:w="0" w:type="auto"/>
            <w:gridSpan w:val="3"/>
            <w:vAlign w:val="center"/>
            <w:hideMark/>
          </w:tcPr>
          <w:p w14:paraId="431C7AD7" w14:textId="77777777" w:rsidR="00000000" w:rsidRDefault="00C1661D">
            <w:pPr>
              <w:spacing w:after="100"/>
              <w:rPr>
                <w:rFonts w:eastAsia="Times New Roman"/>
                <w:sz w:val="20"/>
                <w:szCs w:val="20"/>
              </w:rPr>
            </w:pPr>
          </w:p>
        </w:tc>
        <w:tc>
          <w:tcPr>
            <w:tcW w:w="0" w:type="auto"/>
            <w:gridSpan w:val="3"/>
            <w:vAlign w:val="center"/>
            <w:hideMark/>
          </w:tcPr>
          <w:p w14:paraId="36A1521D" w14:textId="77777777" w:rsidR="00000000" w:rsidRDefault="00C1661D">
            <w:pPr>
              <w:spacing w:after="100"/>
              <w:rPr>
                <w:rFonts w:eastAsia="Times New Roman"/>
                <w:sz w:val="20"/>
                <w:szCs w:val="20"/>
              </w:rPr>
            </w:pPr>
          </w:p>
        </w:tc>
        <w:tc>
          <w:tcPr>
            <w:tcW w:w="0" w:type="auto"/>
            <w:gridSpan w:val="3"/>
            <w:vAlign w:val="center"/>
            <w:hideMark/>
          </w:tcPr>
          <w:p w14:paraId="65D7EB5D" w14:textId="77777777" w:rsidR="00000000" w:rsidRDefault="00C1661D">
            <w:pPr>
              <w:spacing w:after="100"/>
              <w:rPr>
                <w:rFonts w:eastAsia="Times New Roman"/>
                <w:sz w:val="20"/>
                <w:szCs w:val="20"/>
              </w:rPr>
            </w:pPr>
          </w:p>
        </w:tc>
        <w:tc>
          <w:tcPr>
            <w:tcW w:w="0" w:type="auto"/>
            <w:gridSpan w:val="3"/>
            <w:vAlign w:val="center"/>
            <w:hideMark/>
          </w:tcPr>
          <w:p w14:paraId="276D3DE8" w14:textId="77777777" w:rsidR="00000000" w:rsidRDefault="00C1661D">
            <w:pPr>
              <w:spacing w:after="100"/>
              <w:rPr>
                <w:rFonts w:eastAsia="Times New Roman"/>
                <w:sz w:val="20"/>
                <w:szCs w:val="20"/>
              </w:rPr>
            </w:pPr>
          </w:p>
        </w:tc>
        <w:tc>
          <w:tcPr>
            <w:tcW w:w="0" w:type="auto"/>
            <w:gridSpan w:val="3"/>
            <w:vAlign w:val="center"/>
            <w:hideMark/>
          </w:tcPr>
          <w:p w14:paraId="24ECAF12" w14:textId="77777777" w:rsidR="00000000" w:rsidRDefault="00C1661D">
            <w:pPr>
              <w:spacing w:after="100"/>
              <w:rPr>
                <w:rFonts w:eastAsia="Times New Roman"/>
                <w:sz w:val="20"/>
                <w:szCs w:val="20"/>
              </w:rPr>
            </w:pPr>
          </w:p>
        </w:tc>
        <w:tc>
          <w:tcPr>
            <w:tcW w:w="0" w:type="auto"/>
            <w:gridSpan w:val="3"/>
            <w:vAlign w:val="center"/>
            <w:hideMark/>
          </w:tcPr>
          <w:p w14:paraId="27050B73" w14:textId="77777777" w:rsidR="00000000" w:rsidRDefault="00C1661D">
            <w:pPr>
              <w:spacing w:after="100"/>
              <w:rPr>
                <w:rFonts w:eastAsia="Times New Roman"/>
                <w:sz w:val="20"/>
                <w:szCs w:val="20"/>
              </w:rPr>
            </w:pPr>
          </w:p>
        </w:tc>
      </w:tr>
      <w:tr w:rsidR="00000000" w14:paraId="488FB257" w14:textId="77777777">
        <w:trPr>
          <w:divId w:val="1779717940"/>
          <w:jc w:val="center"/>
        </w:trPr>
        <w:tc>
          <w:tcPr>
            <w:tcW w:w="0" w:type="auto"/>
            <w:gridSpan w:val="3"/>
            <w:vAlign w:val="center"/>
            <w:hideMark/>
          </w:tcPr>
          <w:p w14:paraId="7A39C61D" w14:textId="77777777" w:rsidR="00000000" w:rsidRDefault="00C1661D">
            <w:pPr>
              <w:spacing w:after="100"/>
              <w:rPr>
                <w:rFonts w:eastAsia="Times New Roman"/>
                <w:sz w:val="20"/>
                <w:szCs w:val="20"/>
              </w:rPr>
            </w:pPr>
          </w:p>
        </w:tc>
        <w:tc>
          <w:tcPr>
            <w:tcW w:w="0" w:type="auto"/>
            <w:gridSpan w:val="3"/>
            <w:vAlign w:val="center"/>
            <w:hideMark/>
          </w:tcPr>
          <w:p w14:paraId="15724A90" w14:textId="77777777" w:rsidR="00000000" w:rsidRDefault="00C1661D">
            <w:pPr>
              <w:spacing w:after="100"/>
              <w:rPr>
                <w:rFonts w:eastAsia="Times New Roman"/>
                <w:sz w:val="20"/>
                <w:szCs w:val="20"/>
              </w:rPr>
            </w:pPr>
          </w:p>
        </w:tc>
        <w:tc>
          <w:tcPr>
            <w:tcW w:w="0" w:type="auto"/>
            <w:gridSpan w:val="3"/>
            <w:vAlign w:val="center"/>
            <w:hideMark/>
          </w:tcPr>
          <w:p w14:paraId="5CA32BE3" w14:textId="77777777" w:rsidR="00000000" w:rsidRDefault="00C1661D">
            <w:pPr>
              <w:spacing w:after="100"/>
              <w:rPr>
                <w:rFonts w:eastAsia="Times New Roman"/>
                <w:sz w:val="20"/>
                <w:szCs w:val="20"/>
              </w:rPr>
            </w:pPr>
          </w:p>
        </w:tc>
        <w:tc>
          <w:tcPr>
            <w:tcW w:w="0" w:type="auto"/>
            <w:gridSpan w:val="3"/>
            <w:vAlign w:val="center"/>
            <w:hideMark/>
          </w:tcPr>
          <w:p w14:paraId="7AD7786E" w14:textId="77777777" w:rsidR="00000000" w:rsidRDefault="00C1661D">
            <w:pPr>
              <w:spacing w:after="100"/>
              <w:rPr>
                <w:rFonts w:eastAsia="Times New Roman"/>
                <w:sz w:val="20"/>
                <w:szCs w:val="20"/>
              </w:rPr>
            </w:pPr>
          </w:p>
        </w:tc>
        <w:tc>
          <w:tcPr>
            <w:tcW w:w="0" w:type="auto"/>
            <w:gridSpan w:val="3"/>
            <w:vAlign w:val="center"/>
            <w:hideMark/>
          </w:tcPr>
          <w:p w14:paraId="3734136A" w14:textId="77777777" w:rsidR="00000000" w:rsidRDefault="00C1661D">
            <w:pPr>
              <w:spacing w:after="100"/>
              <w:rPr>
                <w:rFonts w:eastAsia="Times New Roman"/>
                <w:sz w:val="20"/>
                <w:szCs w:val="20"/>
              </w:rPr>
            </w:pPr>
          </w:p>
        </w:tc>
        <w:tc>
          <w:tcPr>
            <w:tcW w:w="0" w:type="auto"/>
            <w:gridSpan w:val="3"/>
            <w:vAlign w:val="center"/>
            <w:hideMark/>
          </w:tcPr>
          <w:p w14:paraId="63D9A24C" w14:textId="77777777" w:rsidR="00000000" w:rsidRDefault="00C1661D">
            <w:pPr>
              <w:spacing w:after="100"/>
              <w:rPr>
                <w:rFonts w:eastAsia="Times New Roman"/>
                <w:sz w:val="20"/>
                <w:szCs w:val="20"/>
              </w:rPr>
            </w:pPr>
          </w:p>
        </w:tc>
        <w:tc>
          <w:tcPr>
            <w:tcW w:w="0" w:type="auto"/>
            <w:gridSpan w:val="3"/>
            <w:vAlign w:val="center"/>
            <w:hideMark/>
          </w:tcPr>
          <w:p w14:paraId="2F3420D1" w14:textId="77777777" w:rsidR="00000000" w:rsidRDefault="00C1661D">
            <w:pPr>
              <w:spacing w:after="100"/>
              <w:rPr>
                <w:rFonts w:eastAsia="Times New Roman"/>
                <w:sz w:val="20"/>
                <w:szCs w:val="20"/>
              </w:rPr>
            </w:pPr>
          </w:p>
        </w:tc>
        <w:tc>
          <w:tcPr>
            <w:tcW w:w="0" w:type="auto"/>
            <w:gridSpan w:val="3"/>
            <w:vAlign w:val="center"/>
            <w:hideMark/>
          </w:tcPr>
          <w:p w14:paraId="7DDBB848" w14:textId="77777777" w:rsidR="00000000" w:rsidRDefault="00C1661D">
            <w:pPr>
              <w:spacing w:after="100"/>
              <w:rPr>
                <w:rFonts w:eastAsia="Times New Roman"/>
                <w:sz w:val="20"/>
                <w:szCs w:val="20"/>
              </w:rPr>
            </w:pPr>
          </w:p>
        </w:tc>
        <w:tc>
          <w:tcPr>
            <w:tcW w:w="0" w:type="auto"/>
            <w:gridSpan w:val="3"/>
            <w:vAlign w:val="center"/>
            <w:hideMark/>
          </w:tcPr>
          <w:p w14:paraId="7139917F" w14:textId="77777777" w:rsidR="00000000" w:rsidRDefault="00C1661D">
            <w:pPr>
              <w:spacing w:after="100"/>
              <w:rPr>
                <w:rFonts w:eastAsia="Times New Roman"/>
                <w:sz w:val="20"/>
                <w:szCs w:val="20"/>
              </w:rPr>
            </w:pPr>
          </w:p>
        </w:tc>
      </w:tr>
      <w:tr w:rsidR="00000000" w14:paraId="69343BC0" w14:textId="77777777">
        <w:trPr>
          <w:divId w:val="1779717940"/>
          <w:jc w:val="center"/>
        </w:trPr>
        <w:tc>
          <w:tcPr>
            <w:tcW w:w="0" w:type="auto"/>
            <w:gridSpan w:val="3"/>
            <w:vAlign w:val="center"/>
            <w:hideMark/>
          </w:tcPr>
          <w:p w14:paraId="4BB9A186" w14:textId="77777777" w:rsidR="00000000" w:rsidRDefault="00C1661D">
            <w:pPr>
              <w:spacing w:after="100"/>
              <w:rPr>
                <w:rFonts w:eastAsia="Times New Roman"/>
                <w:sz w:val="20"/>
                <w:szCs w:val="20"/>
              </w:rPr>
            </w:pPr>
          </w:p>
        </w:tc>
        <w:tc>
          <w:tcPr>
            <w:tcW w:w="0" w:type="auto"/>
            <w:gridSpan w:val="3"/>
            <w:vAlign w:val="center"/>
            <w:hideMark/>
          </w:tcPr>
          <w:p w14:paraId="2B767D6E" w14:textId="77777777" w:rsidR="00000000" w:rsidRDefault="00C1661D">
            <w:pPr>
              <w:spacing w:after="100"/>
              <w:rPr>
                <w:rFonts w:eastAsia="Times New Roman"/>
                <w:sz w:val="20"/>
                <w:szCs w:val="20"/>
              </w:rPr>
            </w:pPr>
          </w:p>
        </w:tc>
        <w:tc>
          <w:tcPr>
            <w:tcW w:w="0" w:type="auto"/>
            <w:gridSpan w:val="3"/>
            <w:vAlign w:val="center"/>
            <w:hideMark/>
          </w:tcPr>
          <w:p w14:paraId="7BB6A013" w14:textId="77777777" w:rsidR="00000000" w:rsidRDefault="00C1661D">
            <w:pPr>
              <w:spacing w:after="100"/>
              <w:rPr>
                <w:rFonts w:eastAsia="Times New Roman"/>
                <w:sz w:val="20"/>
                <w:szCs w:val="20"/>
              </w:rPr>
            </w:pPr>
          </w:p>
        </w:tc>
        <w:tc>
          <w:tcPr>
            <w:tcW w:w="0" w:type="auto"/>
            <w:gridSpan w:val="3"/>
            <w:vAlign w:val="center"/>
            <w:hideMark/>
          </w:tcPr>
          <w:p w14:paraId="2828052B" w14:textId="77777777" w:rsidR="00000000" w:rsidRDefault="00C1661D">
            <w:pPr>
              <w:spacing w:after="100"/>
              <w:rPr>
                <w:rFonts w:eastAsia="Times New Roman"/>
                <w:sz w:val="20"/>
                <w:szCs w:val="20"/>
              </w:rPr>
            </w:pPr>
          </w:p>
        </w:tc>
        <w:tc>
          <w:tcPr>
            <w:tcW w:w="0" w:type="auto"/>
            <w:gridSpan w:val="3"/>
            <w:vAlign w:val="center"/>
            <w:hideMark/>
          </w:tcPr>
          <w:p w14:paraId="225B1DA9" w14:textId="77777777" w:rsidR="00000000" w:rsidRDefault="00C1661D">
            <w:pPr>
              <w:spacing w:after="100"/>
              <w:rPr>
                <w:rFonts w:eastAsia="Times New Roman"/>
                <w:sz w:val="20"/>
                <w:szCs w:val="20"/>
              </w:rPr>
            </w:pPr>
          </w:p>
        </w:tc>
        <w:tc>
          <w:tcPr>
            <w:tcW w:w="0" w:type="auto"/>
            <w:gridSpan w:val="3"/>
            <w:vAlign w:val="center"/>
            <w:hideMark/>
          </w:tcPr>
          <w:p w14:paraId="1C8DAA79" w14:textId="77777777" w:rsidR="00000000" w:rsidRDefault="00C1661D">
            <w:pPr>
              <w:spacing w:after="100"/>
              <w:rPr>
                <w:rFonts w:eastAsia="Times New Roman"/>
                <w:sz w:val="20"/>
                <w:szCs w:val="20"/>
              </w:rPr>
            </w:pPr>
          </w:p>
        </w:tc>
        <w:tc>
          <w:tcPr>
            <w:tcW w:w="0" w:type="auto"/>
            <w:gridSpan w:val="3"/>
            <w:vAlign w:val="center"/>
            <w:hideMark/>
          </w:tcPr>
          <w:p w14:paraId="01D1A1C7" w14:textId="77777777" w:rsidR="00000000" w:rsidRDefault="00C1661D">
            <w:pPr>
              <w:spacing w:after="100"/>
              <w:rPr>
                <w:rFonts w:eastAsia="Times New Roman"/>
                <w:sz w:val="20"/>
                <w:szCs w:val="20"/>
              </w:rPr>
            </w:pPr>
          </w:p>
        </w:tc>
        <w:tc>
          <w:tcPr>
            <w:tcW w:w="0" w:type="auto"/>
            <w:gridSpan w:val="3"/>
            <w:vAlign w:val="center"/>
            <w:hideMark/>
          </w:tcPr>
          <w:p w14:paraId="6237FD26" w14:textId="77777777" w:rsidR="00000000" w:rsidRDefault="00C1661D">
            <w:pPr>
              <w:spacing w:after="100"/>
              <w:rPr>
                <w:rFonts w:eastAsia="Times New Roman"/>
                <w:sz w:val="20"/>
                <w:szCs w:val="20"/>
              </w:rPr>
            </w:pPr>
          </w:p>
        </w:tc>
        <w:tc>
          <w:tcPr>
            <w:tcW w:w="0" w:type="auto"/>
            <w:gridSpan w:val="3"/>
            <w:vAlign w:val="center"/>
            <w:hideMark/>
          </w:tcPr>
          <w:p w14:paraId="18F77AF1" w14:textId="77777777" w:rsidR="00000000" w:rsidRDefault="00C1661D">
            <w:pPr>
              <w:spacing w:after="100"/>
              <w:rPr>
                <w:rFonts w:eastAsia="Times New Roman"/>
                <w:sz w:val="20"/>
                <w:szCs w:val="20"/>
              </w:rPr>
            </w:pPr>
          </w:p>
        </w:tc>
      </w:tr>
      <w:tr w:rsidR="00000000" w14:paraId="7B991291" w14:textId="77777777">
        <w:trPr>
          <w:divId w:val="1779717940"/>
          <w:jc w:val="center"/>
        </w:trPr>
        <w:tc>
          <w:tcPr>
            <w:tcW w:w="0" w:type="auto"/>
            <w:gridSpan w:val="3"/>
            <w:shd w:val="clear" w:color="auto" w:fill="FFFFFF"/>
            <w:tcMar>
              <w:top w:w="30" w:type="dxa"/>
              <w:left w:w="245" w:type="dxa"/>
              <w:bottom w:w="30" w:type="dxa"/>
              <w:right w:w="20" w:type="dxa"/>
            </w:tcMar>
            <w:vAlign w:val="bottom"/>
            <w:hideMark/>
          </w:tcPr>
          <w:p w14:paraId="13E52A8A" w14:textId="77777777" w:rsidR="00000000" w:rsidRDefault="00C1661D">
            <w:pPr>
              <w:spacing w:after="100"/>
              <w:rPr>
                <w:rFonts w:eastAsia="Times New Roman"/>
              </w:rPr>
            </w:pPr>
            <w:r>
              <w:rPr>
                <w:rFonts w:eastAsia="Times New Roman"/>
                <w:color w:val="000000"/>
                <w:sz w:val="20"/>
                <w:szCs w:val="20"/>
              </w:rPr>
              <w:t>Electricity forward and futures contracts</w:t>
            </w:r>
          </w:p>
        </w:tc>
        <w:tc>
          <w:tcPr>
            <w:tcW w:w="0" w:type="auto"/>
            <w:gridSpan w:val="3"/>
            <w:shd w:val="clear" w:color="auto" w:fill="FFFFFF"/>
            <w:tcMar>
              <w:top w:w="0" w:type="dxa"/>
              <w:left w:w="20" w:type="dxa"/>
              <w:bottom w:w="0" w:type="dxa"/>
              <w:right w:w="20" w:type="dxa"/>
            </w:tcMar>
            <w:vAlign w:val="center"/>
            <w:hideMark/>
          </w:tcPr>
          <w:p w14:paraId="599DB84A"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2B3C5A7" w14:textId="77777777" w:rsidR="00000000" w:rsidRDefault="00C1661D">
            <w:pPr>
              <w:spacing w:after="100"/>
              <w:jc w:val="center"/>
              <w:rPr>
                <w:rFonts w:eastAsia="Times New Roman"/>
              </w:rPr>
            </w:pPr>
            <w:r>
              <w:rPr>
                <w:rFonts w:eastAsia="Times New Roman"/>
                <w:color w:val="000000"/>
                <w:sz w:val="20"/>
                <w:szCs w:val="20"/>
              </w:rPr>
              <w:t>Kilowatt hours</w:t>
            </w:r>
          </w:p>
        </w:tc>
        <w:tc>
          <w:tcPr>
            <w:tcW w:w="0" w:type="auto"/>
            <w:gridSpan w:val="3"/>
            <w:shd w:val="clear" w:color="auto" w:fill="FFFFFF"/>
            <w:tcMar>
              <w:top w:w="0" w:type="dxa"/>
              <w:left w:w="20" w:type="dxa"/>
              <w:bottom w:w="0" w:type="dxa"/>
              <w:right w:w="20" w:type="dxa"/>
            </w:tcMar>
            <w:vAlign w:val="center"/>
            <w:hideMark/>
          </w:tcPr>
          <w:p w14:paraId="15B2582F" w14:textId="77777777" w:rsidR="00000000" w:rsidRDefault="00C1661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5EDC59C" w14:textId="77777777" w:rsidR="00000000" w:rsidRDefault="00C1661D">
            <w:pPr>
              <w:spacing w:after="100"/>
              <w:jc w:val="center"/>
              <w:rPr>
                <w:rFonts w:eastAsia="Times New Roman"/>
              </w:rPr>
            </w:pPr>
            <w:r>
              <w:rPr>
                <w:rFonts w:eastAsia="Times New Roman"/>
                <w:color w:val="000000"/>
                <w:sz w:val="20"/>
                <w:szCs w:val="20"/>
              </w:rPr>
              <w:t>December 2026</w:t>
            </w:r>
          </w:p>
        </w:tc>
        <w:tc>
          <w:tcPr>
            <w:tcW w:w="0" w:type="auto"/>
            <w:gridSpan w:val="3"/>
            <w:shd w:val="clear" w:color="auto" w:fill="FFFFFF"/>
            <w:tcMar>
              <w:top w:w="0" w:type="dxa"/>
              <w:left w:w="20" w:type="dxa"/>
              <w:bottom w:w="0" w:type="dxa"/>
              <w:right w:w="20" w:type="dxa"/>
            </w:tcMar>
            <w:vAlign w:val="center"/>
            <w:hideMark/>
          </w:tcPr>
          <w:p w14:paraId="3DC2D6E7" w14:textId="77777777" w:rsidR="00000000" w:rsidRDefault="00C1661D">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BB1EAD" w14:textId="77777777" w:rsidR="00000000" w:rsidRDefault="00C1661D">
            <w:pPr>
              <w:spacing w:after="100"/>
              <w:jc w:val="right"/>
              <w:rPr>
                <w:rFonts w:eastAsia="Times New Roman"/>
              </w:rPr>
            </w:pPr>
            <w:r>
              <w:rPr>
                <w:rFonts w:eastAsia="Times New Roman"/>
                <w:color w:val="000000"/>
                <w:sz w:val="20"/>
                <w:szCs w:val="20"/>
              </w:rPr>
              <w:t>2,446 </w:t>
            </w:r>
          </w:p>
        </w:tc>
        <w:tc>
          <w:tcPr>
            <w:tcW w:w="0" w:type="auto"/>
            <w:shd w:val="clear" w:color="auto" w:fill="FFFFFF"/>
            <w:tcMar>
              <w:top w:w="30" w:type="dxa"/>
              <w:left w:w="0" w:type="dxa"/>
              <w:bottom w:w="30" w:type="dxa"/>
              <w:right w:w="20" w:type="dxa"/>
            </w:tcMar>
            <w:vAlign w:val="bottom"/>
            <w:hideMark/>
          </w:tcPr>
          <w:p w14:paraId="0394CCF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8960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F019AD" w14:textId="77777777" w:rsidR="00000000" w:rsidRDefault="00C1661D">
            <w:pPr>
              <w:spacing w:after="100"/>
              <w:jc w:val="right"/>
              <w:rPr>
                <w:rFonts w:eastAsia="Times New Roman"/>
              </w:rPr>
            </w:pPr>
            <w:r>
              <w:rPr>
                <w:rFonts w:eastAsia="Times New Roman"/>
                <w:color w:val="000000"/>
                <w:sz w:val="20"/>
                <w:szCs w:val="20"/>
              </w:rPr>
              <w:t>4,302 </w:t>
            </w:r>
          </w:p>
        </w:tc>
        <w:tc>
          <w:tcPr>
            <w:tcW w:w="0" w:type="auto"/>
            <w:shd w:val="clear" w:color="auto" w:fill="FFFFFF"/>
            <w:tcMar>
              <w:top w:w="30" w:type="dxa"/>
              <w:left w:w="0" w:type="dxa"/>
              <w:bottom w:w="30" w:type="dxa"/>
              <w:right w:w="20" w:type="dxa"/>
            </w:tcMar>
            <w:vAlign w:val="bottom"/>
            <w:hideMark/>
          </w:tcPr>
          <w:p w14:paraId="0E15F65D" w14:textId="77777777" w:rsidR="00000000" w:rsidRDefault="00C1661D">
            <w:pPr>
              <w:spacing w:after="100"/>
              <w:jc w:val="right"/>
              <w:rPr>
                <w:rFonts w:eastAsia="Times New Roman"/>
              </w:rPr>
            </w:pPr>
          </w:p>
        </w:tc>
      </w:tr>
      <w:tr w:rsidR="00000000" w14:paraId="2F77F872" w14:textId="77777777">
        <w:trPr>
          <w:divId w:val="1779717940"/>
          <w:jc w:val="center"/>
        </w:trPr>
        <w:tc>
          <w:tcPr>
            <w:tcW w:w="0" w:type="auto"/>
            <w:gridSpan w:val="3"/>
            <w:vAlign w:val="center"/>
            <w:hideMark/>
          </w:tcPr>
          <w:p w14:paraId="3A6A3B23" w14:textId="77777777" w:rsidR="00000000" w:rsidRDefault="00C1661D">
            <w:pPr>
              <w:spacing w:after="100"/>
              <w:jc w:val="right"/>
              <w:rPr>
                <w:rFonts w:eastAsia="Times New Roman"/>
                <w:sz w:val="20"/>
                <w:szCs w:val="20"/>
              </w:rPr>
            </w:pPr>
          </w:p>
        </w:tc>
        <w:tc>
          <w:tcPr>
            <w:tcW w:w="0" w:type="auto"/>
            <w:gridSpan w:val="3"/>
            <w:vAlign w:val="center"/>
            <w:hideMark/>
          </w:tcPr>
          <w:p w14:paraId="186B8E4D" w14:textId="77777777" w:rsidR="00000000" w:rsidRDefault="00C1661D">
            <w:pPr>
              <w:spacing w:after="100"/>
              <w:rPr>
                <w:rFonts w:eastAsia="Times New Roman"/>
                <w:sz w:val="20"/>
                <w:szCs w:val="20"/>
              </w:rPr>
            </w:pPr>
          </w:p>
        </w:tc>
        <w:tc>
          <w:tcPr>
            <w:tcW w:w="0" w:type="auto"/>
            <w:gridSpan w:val="3"/>
            <w:vAlign w:val="center"/>
            <w:hideMark/>
          </w:tcPr>
          <w:p w14:paraId="713ED89E" w14:textId="77777777" w:rsidR="00000000" w:rsidRDefault="00C1661D">
            <w:pPr>
              <w:spacing w:after="100"/>
              <w:rPr>
                <w:rFonts w:eastAsia="Times New Roman"/>
                <w:sz w:val="20"/>
                <w:szCs w:val="20"/>
              </w:rPr>
            </w:pPr>
          </w:p>
        </w:tc>
        <w:tc>
          <w:tcPr>
            <w:tcW w:w="0" w:type="auto"/>
            <w:gridSpan w:val="3"/>
            <w:vAlign w:val="center"/>
            <w:hideMark/>
          </w:tcPr>
          <w:p w14:paraId="13090B87" w14:textId="77777777" w:rsidR="00000000" w:rsidRDefault="00C1661D">
            <w:pPr>
              <w:spacing w:after="100"/>
              <w:rPr>
                <w:rFonts w:eastAsia="Times New Roman"/>
                <w:sz w:val="20"/>
                <w:szCs w:val="20"/>
              </w:rPr>
            </w:pPr>
          </w:p>
        </w:tc>
        <w:tc>
          <w:tcPr>
            <w:tcW w:w="0" w:type="auto"/>
            <w:gridSpan w:val="3"/>
            <w:vAlign w:val="center"/>
            <w:hideMark/>
          </w:tcPr>
          <w:p w14:paraId="5D0C03B2" w14:textId="77777777" w:rsidR="00000000" w:rsidRDefault="00C1661D">
            <w:pPr>
              <w:spacing w:after="100"/>
              <w:rPr>
                <w:rFonts w:eastAsia="Times New Roman"/>
                <w:sz w:val="20"/>
                <w:szCs w:val="20"/>
              </w:rPr>
            </w:pPr>
          </w:p>
        </w:tc>
        <w:tc>
          <w:tcPr>
            <w:tcW w:w="0" w:type="auto"/>
            <w:gridSpan w:val="3"/>
            <w:vAlign w:val="center"/>
            <w:hideMark/>
          </w:tcPr>
          <w:p w14:paraId="30F6B2B6" w14:textId="77777777" w:rsidR="00000000" w:rsidRDefault="00C1661D">
            <w:pPr>
              <w:spacing w:after="100"/>
              <w:rPr>
                <w:rFonts w:eastAsia="Times New Roman"/>
                <w:sz w:val="20"/>
                <w:szCs w:val="20"/>
              </w:rPr>
            </w:pPr>
          </w:p>
        </w:tc>
        <w:tc>
          <w:tcPr>
            <w:tcW w:w="0" w:type="auto"/>
            <w:gridSpan w:val="3"/>
            <w:vAlign w:val="center"/>
            <w:hideMark/>
          </w:tcPr>
          <w:p w14:paraId="0332AAF1" w14:textId="77777777" w:rsidR="00000000" w:rsidRDefault="00C1661D">
            <w:pPr>
              <w:spacing w:after="100"/>
              <w:rPr>
                <w:rFonts w:eastAsia="Times New Roman"/>
                <w:sz w:val="20"/>
                <w:szCs w:val="20"/>
              </w:rPr>
            </w:pPr>
          </w:p>
        </w:tc>
        <w:tc>
          <w:tcPr>
            <w:tcW w:w="0" w:type="auto"/>
            <w:gridSpan w:val="3"/>
            <w:vAlign w:val="center"/>
            <w:hideMark/>
          </w:tcPr>
          <w:p w14:paraId="49D48337" w14:textId="77777777" w:rsidR="00000000" w:rsidRDefault="00C1661D">
            <w:pPr>
              <w:spacing w:after="100"/>
              <w:rPr>
                <w:rFonts w:eastAsia="Times New Roman"/>
                <w:sz w:val="20"/>
                <w:szCs w:val="20"/>
              </w:rPr>
            </w:pPr>
          </w:p>
        </w:tc>
        <w:tc>
          <w:tcPr>
            <w:tcW w:w="0" w:type="auto"/>
            <w:gridSpan w:val="3"/>
            <w:vAlign w:val="center"/>
            <w:hideMark/>
          </w:tcPr>
          <w:p w14:paraId="78BAC080" w14:textId="77777777" w:rsidR="00000000" w:rsidRDefault="00C1661D">
            <w:pPr>
              <w:spacing w:after="100"/>
              <w:rPr>
                <w:rFonts w:eastAsia="Times New Roman"/>
                <w:sz w:val="20"/>
                <w:szCs w:val="20"/>
              </w:rPr>
            </w:pPr>
          </w:p>
        </w:tc>
      </w:tr>
      <w:tr w:rsidR="00000000" w14:paraId="0D7E77FB" w14:textId="77777777">
        <w:trPr>
          <w:divId w:val="1779717940"/>
          <w:jc w:val="center"/>
        </w:trPr>
        <w:tc>
          <w:tcPr>
            <w:tcW w:w="0" w:type="auto"/>
            <w:gridSpan w:val="3"/>
            <w:shd w:val="clear" w:color="auto" w:fill="CCEEFF"/>
            <w:tcMar>
              <w:top w:w="30" w:type="dxa"/>
              <w:left w:w="20" w:type="dxa"/>
              <w:bottom w:w="30" w:type="dxa"/>
              <w:right w:w="20" w:type="dxa"/>
            </w:tcMar>
            <w:vAlign w:val="bottom"/>
            <w:hideMark/>
          </w:tcPr>
          <w:p w14:paraId="2882F054" w14:textId="77777777" w:rsidR="00000000" w:rsidRDefault="00C1661D">
            <w:pPr>
              <w:spacing w:after="100"/>
              <w:rPr>
                <w:rFonts w:eastAsia="Times New Roman"/>
              </w:rPr>
            </w:pPr>
            <w:r>
              <w:rPr>
                <w:rFonts w:eastAsia="Times New Roman"/>
                <w:b/>
                <w:bCs/>
                <w:color w:val="000000"/>
                <w:sz w:val="20"/>
                <w:szCs w:val="20"/>
              </w:rPr>
              <w:t>Interest Rate Risk:</w:t>
            </w:r>
          </w:p>
        </w:tc>
        <w:tc>
          <w:tcPr>
            <w:tcW w:w="0" w:type="auto"/>
            <w:gridSpan w:val="3"/>
            <w:shd w:val="clear" w:color="auto" w:fill="CCEEFF"/>
            <w:tcMar>
              <w:top w:w="0" w:type="dxa"/>
              <w:left w:w="20" w:type="dxa"/>
              <w:bottom w:w="0" w:type="dxa"/>
              <w:right w:w="20" w:type="dxa"/>
            </w:tcMar>
            <w:vAlign w:val="center"/>
            <w:hideMark/>
          </w:tcPr>
          <w:p w14:paraId="424A81DC"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64A95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C249D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96F2DB"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EF6EC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7ADE5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B0225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225E0A" w14:textId="77777777" w:rsidR="00000000" w:rsidRDefault="00C1661D">
            <w:pPr>
              <w:spacing w:after="100"/>
              <w:rPr>
                <w:rFonts w:eastAsia="Times New Roman"/>
                <w:sz w:val="20"/>
                <w:szCs w:val="20"/>
              </w:rPr>
            </w:pPr>
          </w:p>
        </w:tc>
      </w:tr>
      <w:tr w:rsidR="00000000" w14:paraId="4107B9AB" w14:textId="77777777">
        <w:trPr>
          <w:divId w:val="1779717940"/>
          <w:jc w:val="center"/>
        </w:trPr>
        <w:tc>
          <w:tcPr>
            <w:tcW w:w="0" w:type="auto"/>
            <w:gridSpan w:val="3"/>
            <w:shd w:val="clear" w:color="auto" w:fill="FFFFFF"/>
            <w:tcMar>
              <w:top w:w="30" w:type="dxa"/>
              <w:left w:w="155" w:type="dxa"/>
              <w:bottom w:w="30" w:type="dxa"/>
              <w:right w:w="20" w:type="dxa"/>
            </w:tcMar>
            <w:vAlign w:val="bottom"/>
            <w:hideMark/>
          </w:tcPr>
          <w:p w14:paraId="47CDA390" w14:textId="77777777" w:rsidR="00000000" w:rsidRDefault="00C1661D">
            <w:pPr>
              <w:spacing w:after="100"/>
              <w:rPr>
                <w:rFonts w:eastAsia="Times New Roman"/>
              </w:rPr>
            </w:pPr>
            <w:r>
              <w:rPr>
                <w:rFonts w:eastAsia="Times New Roman"/>
                <w:color w:val="000000"/>
                <w:sz w:val="20"/>
                <w:szCs w:val="20"/>
              </w:rPr>
              <w:t>Interest rate swaps</w:t>
            </w:r>
          </w:p>
        </w:tc>
        <w:tc>
          <w:tcPr>
            <w:tcW w:w="0" w:type="auto"/>
            <w:gridSpan w:val="3"/>
            <w:shd w:val="clear" w:color="auto" w:fill="FFFFFF"/>
            <w:tcMar>
              <w:top w:w="0" w:type="dxa"/>
              <w:left w:w="20" w:type="dxa"/>
              <w:bottom w:w="0" w:type="dxa"/>
              <w:right w:w="20" w:type="dxa"/>
            </w:tcMar>
            <w:vAlign w:val="center"/>
            <w:hideMark/>
          </w:tcPr>
          <w:p w14:paraId="37089AD0"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027ECAF" w14:textId="77777777" w:rsidR="00000000" w:rsidRDefault="00C1661D">
            <w:pPr>
              <w:spacing w:after="100"/>
              <w:jc w:val="center"/>
              <w:rPr>
                <w:rFonts w:eastAsia="Times New Roman"/>
              </w:rPr>
            </w:pPr>
            <w:r>
              <w:rPr>
                <w:rFonts w:eastAsia="Times New Roman"/>
                <w:color w:val="000000"/>
                <w:sz w:val="20"/>
                <w:szCs w:val="20"/>
              </w:rPr>
              <w:t>Euro</w:t>
            </w:r>
          </w:p>
        </w:tc>
        <w:tc>
          <w:tcPr>
            <w:tcW w:w="0" w:type="auto"/>
            <w:gridSpan w:val="3"/>
            <w:shd w:val="clear" w:color="auto" w:fill="FFFFFF"/>
            <w:tcMar>
              <w:top w:w="0" w:type="dxa"/>
              <w:left w:w="20" w:type="dxa"/>
              <w:bottom w:w="0" w:type="dxa"/>
              <w:right w:w="20" w:type="dxa"/>
            </w:tcMar>
            <w:vAlign w:val="center"/>
            <w:hideMark/>
          </w:tcPr>
          <w:p w14:paraId="76AFEE95" w14:textId="77777777" w:rsidR="00000000" w:rsidRDefault="00C1661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660B161" w14:textId="77777777" w:rsidR="00000000" w:rsidRDefault="00C1661D">
            <w:pPr>
              <w:spacing w:after="100"/>
              <w:jc w:val="center"/>
              <w:rPr>
                <w:rFonts w:eastAsia="Times New Roman"/>
              </w:rPr>
            </w:pPr>
            <w:r>
              <w:rPr>
                <w:rFonts w:eastAsia="Times New Roman"/>
                <w:color w:val="000000"/>
                <w:sz w:val="20"/>
                <w:szCs w:val="20"/>
              </w:rPr>
              <w:t>October 2022</w:t>
            </w:r>
          </w:p>
        </w:tc>
        <w:tc>
          <w:tcPr>
            <w:tcW w:w="0" w:type="auto"/>
            <w:gridSpan w:val="3"/>
            <w:shd w:val="clear" w:color="auto" w:fill="FFFFFF"/>
            <w:tcMar>
              <w:top w:w="0" w:type="dxa"/>
              <w:left w:w="20" w:type="dxa"/>
              <w:bottom w:w="0" w:type="dxa"/>
              <w:right w:w="20" w:type="dxa"/>
            </w:tcMar>
            <w:vAlign w:val="center"/>
            <w:hideMark/>
          </w:tcPr>
          <w:p w14:paraId="5681BBC4" w14:textId="77777777" w:rsidR="00000000" w:rsidRDefault="00C1661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4A0D2CC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67B1784" w14:textId="77777777" w:rsidR="00000000" w:rsidRDefault="00C1661D">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14:paraId="6B422B9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905896"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A36D0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899722A" w14:textId="77777777" w:rsidR="00000000" w:rsidRDefault="00C1661D">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14:paraId="61BD94F1" w14:textId="77777777" w:rsidR="00000000" w:rsidRDefault="00C1661D">
            <w:pPr>
              <w:spacing w:after="100"/>
              <w:jc w:val="right"/>
              <w:rPr>
                <w:rFonts w:eastAsia="Times New Roman"/>
              </w:rPr>
            </w:pPr>
          </w:p>
        </w:tc>
      </w:tr>
      <w:tr w:rsidR="00000000" w14:paraId="67A777C6" w14:textId="77777777">
        <w:trPr>
          <w:divId w:val="1779717940"/>
          <w:jc w:val="center"/>
        </w:trPr>
        <w:tc>
          <w:tcPr>
            <w:tcW w:w="0" w:type="auto"/>
            <w:gridSpan w:val="3"/>
            <w:shd w:val="clear" w:color="auto" w:fill="CCEEFF"/>
            <w:tcMar>
              <w:top w:w="30" w:type="dxa"/>
              <w:left w:w="155" w:type="dxa"/>
              <w:bottom w:w="30" w:type="dxa"/>
              <w:right w:w="20" w:type="dxa"/>
            </w:tcMar>
            <w:vAlign w:val="bottom"/>
            <w:hideMark/>
          </w:tcPr>
          <w:p w14:paraId="606A9FF9" w14:textId="77777777" w:rsidR="00000000" w:rsidRDefault="00C1661D">
            <w:pPr>
              <w:spacing w:after="100"/>
              <w:rPr>
                <w:rFonts w:eastAsia="Times New Roman"/>
              </w:rPr>
            </w:pPr>
            <w:r>
              <w:rPr>
                <w:rFonts w:eastAsia="Times New Roman"/>
                <w:color w:val="000000"/>
                <w:sz w:val="20"/>
                <w:szCs w:val="20"/>
              </w:rPr>
              <w:t>Interest rate swaps</w:t>
            </w:r>
          </w:p>
        </w:tc>
        <w:tc>
          <w:tcPr>
            <w:tcW w:w="0" w:type="auto"/>
            <w:gridSpan w:val="3"/>
            <w:shd w:val="clear" w:color="auto" w:fill="CCEEFF"/>
            <w:tcMar>
              <w:top w:w="0" w:type="dxa"/>
              <w:left w:w="20" w:type="dxa"/>
              <w:bottom w:w="0" w:type="dxa"/>
              <w:right w:w="20" w:type="dxa"/>
            </w:tcMar>
            <w:vAlign w:val="center"/>
            <w:hideMark/>
          </w:tcPr>
          <w:p w14:paraId="7587FEE7"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D4ACFE3" w14:textId="77777777" w:rsidR="00000000" w:rsidRDefault="00C1661D">
            <w:pPr>
              <w:spacing w:after="100"/>
              <w:jc w:val="center"/>
              <w:rPr>
                <w:rFonts w:eastAsia="Times New Roman"/>
              </w:rPr>
            </w:pPr>
            <w:r>
              <w:rPr>
                <w:rFonts w:eastAsia="Times New Roman"/>
                <w:color w:val="000000"/>
                <w:sz w:val="20"/>
                <w:szCs w:val="20"/>
              </w:rPr>
              <w:t>USD</w:t>
            </w:r>
          </w:p>
        </w:tc>
        <w:tc>
          <w:tcPr>
            <w:tcW w:w="0" w:type="auto"/>
            <w:gridSpan w:val="3"/>
            <w:shd w:val="clear" w:color="auto" w:fill="CCEEFF"/>
            <w:tcMar>
              <w:top w:w="0" w:type="dxa"/>
              <w:left w:w="20" w:type="dxa"/>
              <w:bottom w:w="0" w:type="dxa"/>
              <w:right w:w="20" w:type="dxa"/>
            </w:tcMar>
            <w:vAlign w:val="center"/>
            <w:hideMark/>
          </w:tcPr>
          <w:p w14:paraId="3A162DED" w14:textId="77777777" w:rsidR="00000000" w:rsidRDefault="00C1661D">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FECBDAD" w14:textId="77777777" w:rsidR="00000000" w:rsidRDefault="00C1661D">
            <w:pPr>
              <w:spacing w:after="100"/>
              <w:jc w:val="center"/>
              <w:rPr>
                <w:rFonts w:eastAsia="Times New Roman"/>
              </w:rPr>
            </w:pPr>
            <w:r>
              <w:rPr>
                <w:rFonts w:eastAsia="Times New Roman"/>
                <w:color w:val="000000"/>
                <w:sz w:val="20"/>
                <w:szCs w:val="20"/>
              </w:rPr>
              <w:t>June 2026</w:t>
            </w:r>
          </w:p>
        </w:tc>
        <w:tc>
          <w:tcPr>
            <w:tcW w:w="0" w:type="auto"/>
            <w:gridSpan w:val="3"/>
            <w:shd w:val="clear" w:color="auto" w:fill="CCEEFF"/>
            <w:tcMar>
              <w:top w:w="0" w:type="dxa"/>
              <w:left w:w="20" w:type="dxa"/>
              <w:bottom w:w="0" w:type="dxa"/>
              <w:right w:w="20" w:type="dxa"/>
            </w:tcMar>
            <w:vAlign w:val="center"/>
            <w:hideMark/>
          </w:tcPr>
          <w:p w14:paraId="38359B39" w14:textId="77777777" w:rsidR="00000000" w:rsidRDefault="00C1661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7B90997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5C8089" w14:textId="77777777" w:rsidR="00000000" w:rsidRDefault="00C1661D">
            <w:pPr>
              <w:spacing w:after="100"/>
              <w:jc w:val="right"/>
              <w:rPr>
                <w:rFonts w:eastAsia="Times New Roman"/>
              </w:rPr>
            </w:pPr>
            <w:r>
              <w:rPr>
                <w:rFonts w:eastAsia="Times New Roman"/>
                <w:color w:val="000000"/>
                <w:sz w:val="20"/>
                <w:szCs w:val="20"/>
              </w:rPr>
              <w:t>1,358 </w:t>
            </w:r>
          </w:p>
        </w:tc>
        <w:tc>
          <w:tcPr>
            <w:tcW w:w="0" w:type="auto"/>
            <w:shd w:val="clear" w:color="auto" w:fill="CCEEFF"/>
            <w:tcMar>
              <w:top w:w="30" w:type="dxa"/>
              <w:left w:w="0" w:type="dxa"/>
              <w:bottom w:w="30" w:type="dxa"/>
              <w:right w:w="20" w:type="dxa"/>
            </w:tcMar>
            <w:vAlign w:val="bottom"/>
            <w:hideMark/>
          </w:tcPr>
          <w:p w14:paraId="78BBEFF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F2D696"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B1F274F"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533F457" w14:textId="77777777" w:rsidR="00000000" w:rsidRDefault="00C1661D">
            <w:pPr>
              <w:spacing w:after="100"/>
              <w:jc w:val="right"/>
              <w:rPr>
                <w:rFonts w:eastAsia="Times New Roman"/>
              </w:rPr>
            </w:pPr>
            <w:r>
              <w:rPr>
                <w:rFonts w:eastAsia="Times New Roman"/>
                <w:color w:val="000000"/>
                <w:sz w:val="20"/>
                <w:szCs w:val="20"/>
              </w:rPr>
              <w:t>1,421 </w:t>
            </w:r>
          </w:p>
        </w:tc>
        <w:tc>
          <w:tcPr>
            <w:tcW w:w="0" w:type="auto"/>
            <w:shd w:val="clear" w:color="auto" w:fill="CCEEFF"/>
            <w:tcMar>
              <w:top w:w="30" w:type="dxa"/>
              <w:left w:w="0" w:type="dxa"/>
              <w:bottom w:w="30" w:type="dxa"/>
              <w:right w:w="20" w:type="dxa"/>
            </w:tcMar>
            <w:vAlign w:val="bottom"/>
            <w:hideMark/>
          </w:tcPr>
          <w:p w14:paraId="55318426" w14:textId="77777777" w:rsidR="00000000" w:rsidRDefault="00C1661D">
            <w:pPr>
              <w:spacing w:after="100"/>
              <w:jc w:val="right"/>
              <w:rPr>
                <w:rFonts w:eastAsia="Times New Roman"/>
              </w:rPr>
            </w:pPr>
          </w:p>
        </w:tc>
      </w:tr>
      <w:tr w:rsidR="00000000" w14:paraId="0768CE56" w14:textId="77777777">
        <w:trPr>
          <w:divId w:val="1779717940"/>
          <w:jc w:val="center"/>
        </w:trPr>
        <w:tc>
          <w:tcPr>
            <w:tcW w:w="0" w:type="auto"/>
            <w:gridSpan w:val="3"/>
            <w:vAlign w:val="center"/>
            <w:hideMark/>
          </w:tcPr>
          <w:p w14:paraId="1EAADC32" w14:textId="77777777" w:rsidR="00000000" w:rsidRDefault="00C1661D">
            <w:pPr>
              <w:spacing w:after="100"/>
              <w:jc w:val="right"/>
              <w:rPr>
                <w:rFonts w:eastAsia="Times New Roman"/>
                <w:sz w:val="20"/>
                <w:szCs w:val="20"/>
              </w:rPr>
            </w:pPr>
          </w:p>
        </w:tc>
        <w:tc>
          <w:tcPr>
            <w:tcW w:w="0" w:type="auto"/>
            <w:gridSpan w:val="3"/>
            <w:vAlign w:val="center"/>
            <w:hideMark/>
          </w:tcPr>
          <w:p w14:paraId="1BCE27E8" w14:textId="77777777" w:rsidR="00000000" w:rsidRDefault="00C1661D">
            <w:pPr>
              <w:spacing w:after="100"/>
              <w:rPr>
                <w:rFonts w:eastAsia="Times New Roman"/>
                <w:sz w:val="20"/>
                <w:szCs w:val="20"/>
              </w:rPr>
            </w:pPr>
          </w:p>
        </w:tc>
        <w:tc>
          <w:tcPr>
            <w:tcW w:w="0" w:type="auto"/>
            <w:gridSpan w:val="3"/>
            <w:vAlign w:val="center"/>
            <w:hideMark/>
          </w:tcPr>
          <w:p w14:paraId="4EDDBC88" w14:textId="77777777" w:rsidR="00000000" w:rsidRDefault="00C1661D">
            <w:pPr>
              <w:spacing w:after="100"/>
              <w:rPr>
                <w:rFonts w:eastAsia="Times New Roman"/>
                <w:sz w:val="20"/>
                <w:szCs w:val="20"/>
              </w:rPr>
            </w:pPr>
          </w:p>
        </w:tc>
        <w:tc>
          <w:tcPr>
            <w:tcW w:w="0" w:type="auto"/>
            <w:gridSpan w:val="3"/>
            <w:vAlign w:val="center"/>
            <w:hideMark/>
          </w:tcPr>
          <w:p w14:paraId="2B9691A9" w14:textId="77777777" w:rsidR="00000000" w:rsidRDefault="00C1661D">
            <w:pPr>
              <w:spacing w:after="100"/>
              <w:rPr>
                <w:rFonts w:eastAsia="Times New Roman"/>
                <w:sz w:val="20"/>
                <w:szCs w:val="20"/>
              </w:rPr>
            </w:pPr>
          </w:p>
        </w:tc>
        <w:tc>
          <w:tcPr>
            <w:tcW w:w="0" w:type="auto"/>
            <w:gridSpan w:val="3"/>
            <w:vAlign w:val="center"/>
            <w:hideMark/>
          </w:tcPr>
          <w:p w14:paraId="4A5EDB95" w14:textId="77777777" w:rsidR="00000000" w:rsidRDefault="00C1661D">
            <w:pPr>
              <w:spacing w:after="100"/>
              <w:rPr>
                <w:rFonts w:eastAsia="Times New Roman"/>
                <w:sz w:val="20"/>
                <w:szCs w:val="20"/>
              </w:rPr>
            </w:pPr>
          </w:p>
        </w:tc>
        <w:tc>
          <w:tcPr>
            <w:tcW w:w="0" w:type="auto"/>
            <w:gridSpan w:val="3"/>
            <w:vAlign w:val="center"/>
            <w:hideMark/>
          </w:tcPr>
          <w:p w14:paraId="341ABF24" w14:textId="77777777" w:rsidR="00000000" w:rsidRDefault="00C1661D">
            <w:pPr>
              <w:spacing w:after="100"/>
              <w:rPr>
                <w:rFonts w:eastAsia="Times New Roman"/>
                <w:sz w:val="20"/>
                <w:szCs w:val="20"/>
              </w:rPr>
            </w:pPr>
          </w:p>
        </w:tc>
        <w:tc>
          <w:tcPr>
            <w:tcW w:w="0" w:type="auto"/>
            <w:gridSpan w:val="3"/>
            <w:vAlign w:val="center"/>
            <w:hideMark/>
          </w:tcPr>
          <w:p w14:paraId="0123A405" w14:textId="77777777" w:rsidR="00000000" w:rsidRDefault="00C1661D">
            <w:pPr>
              <w:spacing w:after="100"/>
              <w:rPr>
                <w:rFonts w:eastAsia="Times New Roman"/>
                <w:sz w:val="20"/>
                <w:szCs w:val="20"/>
              </w:rPr>
            </w:pPr>
          </w:p>
        </w:tc>
        <w:tc>
          <w:tcPr>
            <w:tcW w:w="0" w:type="auto"/>
            <w:gridSpan w:val="3"/>
            <w:vAlign w:val="center"/>
            <w:hideMark/>
          </w:tcPr>
          <w:p w14:paraId="4F58026C" w14:textId="77777777" w:rsidR="00000000" w:rsidRDefault="00C1661D">
            <w:pPr>
              <w:spacing w:after="100"/>
              <w:rPr>
                <w:rFonts w:eastAsia="Times New Roman"/>
                <w:sz w:val="20"/>
                <w:szCs w:val="20"/>
              </w:rPr>
            </w:pPr>
          </w:p>
        </w:tc>
        <w:tc>
          <w:tcPr>
            <w:tcW w:w="0" w:type="auto"/>
            <w:gridSpan w:val="3"/>
            <w:vAlign w:val="center"/>
            <w:hideMark/>
          </w:tcPr>
          <w:p w14:paraId="7E61C252" w14:textId="77777777" w:rsidR="00000000" w:rsidRDefault="00C1661D">
            <w:pPr>
              <w:spacing w:after="100"/>
              <w:rPr>
                <w:rFonts w:eastAsia="Times New Roman"/>
                <w:sz w:val="20"/>
                <w:szCs w:val="20"/>
              </w:rPr>
            </w:pPr>
          </w:p>
        </w:tc>
      </w:tr>
      <w:tr w:rsidR="00000000" w14:paraId="2664B58F" w14:textId="77777777">
        <w:trPr>
          <w:divId w:val="1779717940"/>
          <w:jc w:val="center"/>
        </w:trPr>
        <w:tc>
          <w:tcPr>
            <w:tcW w:w="0" w:type="auto"/>
            <w:gridSpan w:val="3"/>
            <w:shd w:val="clear" w:color="auto" w:fill="FFFFFF"/>
            <w:tcMar>
              <w:top w:w="30" w:type="dxa"/>
              <w:left w:w="20" w:type="dxa"/>
              <w:bottom w:w="30" w:type="dxa"/>
              <w:right w:w="20" w:type="dxa"/>
            </w:tcMar>
            <w:vAlign w:val="bottom"/>
            <w:hideMark/>
          </w:tcPr>
          <w:p w14:paraId="5AC0672C" w14:textId="77777777" w:rsidR="00000000" w:rsidRDefault="00C1661D">
            <w:pPr>
              <w:spacing w:after="100"/>
              <w:rPr>
                <w:rFonts w:eastAsia="Times New Roman"/>
              </w:rPr>
            </w:pPr>
            <w:r>
              <w:rPr>
                <w:rFonts w:eastAsia="Times New Roman"/>
                <w:b/>
                <w:bCs/>
                <w:color w:val="000000"/>
                <w:sz w:val="20"/>
                <w:szCs w:val="20"/>
              </w:rPr>
              <w:t>Foreign Currency Exchange Rate Risk:</w:t>
            </w:r>
          </w:p>
        </w:tc>
        <w:tc>
          <w:tcPr>
            <w:tcW w:w="0" w:type="auto"/>
            <w:gridSpan w:val="3"/>
            <w:shd w:val="clear" w:color="auto" w:fill="FFFFFF"/>
            <w:tcMar>
              <w:top w:w="0" w:type="dxa"/>
              <w:left w:w="20" w:type="dxa"/>
              <w:bottom w:w="0" w:type="dxa"/>
              <w:right w:w="20" w:type="dxa"/>
            </w:tcMar>
            <w:vAlign w:val="center"/>
            <w:hideMark/>
          </w:tcPr>
          <w:p w14:paraId="2242EA16"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1B256E"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77EC3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ACD7C2"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DE2403"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186EB7"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5C4456"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B6799F" w14:textId="77777777" w:rsidR="00000000" w:rsidRDefault="00C1661D">
            <w:pPr>
              <w:spacing w:after="100"/>
              <w:rPr>
                <w:rFonts w:eastAsia="Times New Roman"/>
                <w:sz w:val="20"/>
                <w:szCs w:val="20"/>
              </w:rPr>
            </w:pPr>
          </w:p>
        </w:tc>
      </w:tr>
      <w:tr w:rsidR="00000000" w14:paraId="5F4ED925" w14:textId="77777777">
        <w:trPr>
          <w:divId w:val="1779717940"/>
          <w:jc w:val="center"/>
        </w:trPr>
        <w:tc>
          <w:tcPr>
            <w:tcW w:w="0" w:type="auto"/>
            <w:gridSpan w:val="3"/>
            <w:shd w:val="clear" w:color="auto" w:fill="CCEEFF"/>
            <w:tcMar>
              <w:top w:w="30" w:type="dxa"/>
              <w:left w:w="155" w:type="dxa"/>
              <w:bottom w:w="30" w:type="dxa"/>
              <w:right w:w="20" w:type="dxa"/>
            </w:tcMar>
            <w:vAlign w:val="bottom"/>
            <w:hideMark/>
          </w:tcPr>
          <w:p w14:paraId="0095FEE7" w14:textId="77777777" w:rsidR="00000000" w:rsidRDefault="00C1661D">
            <w:pPr>
              <w:spacing w:after="100"/>
              <w:rPr>
                <w:rFonts w:eastAsia="Times New Roman"/>
              </w:rPr>
            </w:pPr>
            <w:r>
              <w:rPr>
                <w:rFonts w:eastAsia="Times New Roman"/>
                <w:color w:val="000000"/>
                <w:sz w:val="20"/>
                <w:szCs w:val="20"/>
              </w:rPr>
              <w:t>Forward foreign exchange contracts</w:t>
            </w:r>
          </w:p>
        </w:tc>
        <w:tc>
          <w:tcPr>
            <w:tcW w:w="0" w:type="auto"/>
            <w:gridSpan w:val="3"/>
            <w:shd w:val="clear" w:color="auto" w:fill="CCEEFF"/>
            <w:tcMar>
              <w:top w:w="0" w:type="dxa"/>
              <w:left w:w="20" w:type="dxa"/>
              <w:bottom w:w="0" w:type="dxa"/>
              <w:right w:w="20" w:type="dxa"/>
            </w:tcMar>
            <w:vAlign w:val="center"/>
            <w:hideMark/>
          </w:tcPr>
          <w:p w14:paraId="15609021"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485FBE9" w14:textId="77777777" w:rsidR="00000000" w:rsidRDefault="00C1661D">
            <w:pPr>
              <w:spacing w:after="100"/>
              <w:jc w:val="center"/>
              <w:rPr>
                <w:rFonts w:eastAsia="Times New Roman"/>
              </w:rPr>
            </w:pPr>
            <w:r>
              <w:rPr>
                <w:rFonts w:eastAsia="Times New Roman"/>
                <w:color w:val="000000"/>
                <w:sz w:val="20"/>
                <w:szCs w:val="20"/>
              </w:rPr>
              <w:t>USD</w:t>
            </w:r>
          </w:p>
        </w:tc>
        <w:tc>
          <w:tcPr>
            <w:tcW w:w="0" w:type="auto"/>
            <w:gridSpan w:val="3"/>
            <w:shd w:val="clear" w:color="auto" w:fill="CCEEFF"/>
            <w:tcMar>
              <w:top w:w="0" w:type="dxa"/>
              <w:left w:w="20" w:type="dxa"/>
              <w:bottom w:w="0" w:type="dxa"/>
              <w:right w:w="20" w:type="dxa"/>
            </w:tcMar>
            <w:vAlign w:val="center"/>
            <w:hideMark/>
          </w:tcPr>
          <w:p w14:paraId="131DE849" w14:textId="77777777" w:rsidR="00000000" w:rsidRDefault="00C1661D">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D64F10D" w14:textId="77777777" w:rsidR="00000000" w:rsidRDefault="00C1661D">
            <w:pPr>
              <w:spacing w:after="100"/>
              <w:jc w:val="center"/>
              <w:rPr>
                <w:rFonts w:eastAsia="Times New Roman"/>
              </w:rPr>
            </w:pPr>
            <w:r>
              <w:rPr>
                <w:rFonts w:eastAsia="Times New Roman"/>
                <w:color w:val="000000"/>
                <w:sz w:val="20"/>
                <w:szCs w:val="20"/>
              </w:rPr>
              <w:t>August 2025</w:t>
            </w:r>
          </w:p>
        </w:tc>
        <w:tc>
          <w:tcPr>
            <w:tcW w:w="0" w:type="auto"/>
            <w:gridSpan w:val="3"/>
            <w:shd w:val="clear" w:color="auto" w:fill="CCEEFF"/>
            <w:tcMar>
              <w:top w:w="0" w:type="dxa"/>
              <w:left w:w="20" w:type="dxa"/>
              <w:bottom w:w="0" w:type="dxa"/>
              <w:right w:w="20" w:type="dxa"/>
            </w:tcMar>
            <w:vAlign w:val="center"/>
            <w:hideMark/>
          </w:tcPr>
          <w:p w14:paraId="24806E95" w14:textId="77777777" w:rsidR="00000000" w:rsidRDefault="00C1661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6E1F06B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752A534" w14:textId="77777777" w:rsidR="00000000" w:rsidRDefault="00C1661D">
            <w:pPr>
              <w:spacing w:after="100"/>
              <w:jc w:val="right"/>
              <w:rPr>
                <w:rFonts w:eastAsia="Times New Roman"/>
              </w:rPr>
            </w:pPr>
            <w:r>
              <w:rPr>
                <w:rFonts w:eastAsia="Times New Roman"/>
                <w:color w:val="000000"/>
                <w:sz w:val="20"/>
                <w:szCs w:val="20"/>
              </w:rPr>
              <w:t>465 </w:t>
            </w:r>
          </w:p>
        </w:tc>
        <w:tc>
          <w:tcPr>
            <w:tcW w:w="0" w:type="auto"/>
            <w:shd w:val="clear" w:color="auto" w:fill="CCEEFF"/>
            <w:tcMar>
              <w:top w:w="30" w:type="dxa"/>
              <w:left w:w="0" w:type="dxa"/>
              <w:bottom w:w="30" w:type="dxa"/>
              <w:right w:w="20" w:type="dxa"/>
            </w:tcMar>
            <w:vAlign w:val="bottom"/>
            <w:hideMark/>
          </w:tcPr>
          <w:p w14:paraId="7898913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8805E"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315A6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D6633D4" w14:textId="77777777" w:rsidR="00000000" w:rsidRDefault="00C1661D">
            <w:pPr>
              <w:spacing w:after="100"/>
              <w:jc w:val="right"/>
              <w:rPr>
                <w:rFonts w:eastAsia="Times New Roman"/>
              </w:rPr>
            </w:pPr>
            <w:r>
              <w:rPr>
                <w:rFonts w:eastAsia="Times New Roman"/>
                <w:color w:val="000000"/>
                <w:sz w:val="20"/>
                <w:szCs w:val="20"/>
              </w:rPr>
              <w:t>509 </w:t>
            </w:r>
          </w:p>
        </w:tc>
        <w:tc>
          <w:tcPr>
            <w:tcW w:w="0" w:type="auto"/>
            <w:shd w:val="clear" w:color="auto" w:fill="CCEEFF"/>
            <w:tcMar>
              <w:top w:w="30" w:type="dxa"/>
              <w:left w:w="0" w:type="dxa"/>
              <w:bottom w:w="30" w:type="dxa"/>
              <w:right w:w="20" w:type="dxa"/>
            </w:tcMar>
            <w:vAlign w:val="bottom"/>
            <w:hideMark/>
          </w:tcPr>
          <w:p w14:paraId="64DF2301" w14:textId="77777777" w:rsidR="00000000" w:rsidRDefault="00C1661D">
            <w:pPr>
              <w:spacing w:after="100"/>
              <w:jc w:val="right"/>
              <w:rPr>
                <w:rFonts w:eastAsia="Times New Roman"/>
              </w:rPr>
            </w:pPr>
          </w:p>
        </w:tc>
      </w:tr>
      <w:tr w:rsidR="00000000" w14:paraId="7C4F9D78" w14:textId="77777777">
        <w:trPr>
          <w:divId w:val="1779717940"/>
          <w:jc w:val="center"/>
        </w:trPr>
        <w:tc>
          <w:tcPr>
            <w:tcW w:w="0" w:type="auto"/>
            <w:gridSpan w:val="3"/>
            <w:shd w:val="clear" w:color="auto" w:fill="FFFFFF"/>
            <w:tcMar>
              <w:top w:w="30" w:type="dxa"/>
              <w:left w:w="155" w:type="dxa"/>
              <w:bottom w:w="30" w:type="dxa"/>
              <w:right w:w="20" w:type="dxa"/>
            </w:tcMar>
            <w:vAlign w:val="bottom"/>
            <w:hideMark/>
          </w:tcPr>
          <w:p w14:paraId="6EED3CFA" w14:textId="77777777" w:rsidR="00000000" w:rsidRDefault="00C1661D">
            <w:pPr>
              <w:spacing w:after="100"/>
              <w:rPr>
                <w:rFonts w:eastAsia="Times New Roman"/>
              </w:rPr>
            </w:pPr>
            <w:r>
              <w:rPr>
                <w:rFonts w:eastAsia="Times New Roman"/>
                <w:color w:val="000000"/>
                <w:sz w:val="20"/>
                <w:szCs w:val="20"/>
              </w:rPr>
              <w:t>Net investment hedge forward foreign exchange contracts</w:t>
            </w:r>
          </w:p>
        </w:tc>
        <w:tc>
          <w:tcPr>
            <w:tcW w:w="0" w:type="auto"/>
            <w:gridSpan w:val="3"/>
            <w:shd w:val="clear" w:color="auto" w:fill="FFFFFF"/>
            <w:tcMar>
              <w:top w:w="0" w:type="dxa"/>
              <w:left w:w="20" w:type="dxa"/>
              <w:bottom w:w="0" w:type="dxa"/>
              <w:right w:w="20" w:type="dxa"/>
            </w:tcMar>
            <w:vAlign w:val="center"/>
            <w:hideMark/>
          </w:tcPr>
          <w:p w14:paraId="1E49292D"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7BD5B9E" w14:textId="77777777" w:rsidR="00000000" w:rsidRDefault="00C1661D">
            <w:pPr>
              <w:spacing w:after="100"/>
              <w:jc w:val="center"/>
              <w:rPr>
                <w:rFonts w:eastAsia="Times New Roman"/>
              </w:rPr>
            </w:pPr>
            <w:r>
              <w:rPr>
                <w:rFonts w:eastAsia="Times New Roman"/>
                <w:color w:val="000000"/>
                <w:sz w:val="20"/>
                <w:szCs w:val="20"/>
              </w:rPr>
              <w:t>Euro</w:t>
            </w:r>
          </w:p>
        </w:tc>
        <w:tc>
          <w:tcPr>
            <w:tcW w:w="0" w:type="auto"/>
            <w:gridSpan w:val="3"/>
            <w:shd w:val="clear" w:color="auto" w:fill="FFFFFF"/>
            <w:tcMar>
              <w:top w:w="0" w:type="dxa"/>
              <w:left w:w="20" w:type="dxa"/>
              <w:bottom w:w="0" w:type="dxa"/>
              <w:right w:w="20" w:type="dxa"/>
            </w:tcMar>
            <w:vAlign w:val="center"/>
            <w:hideMark/>
          </w:tcPr>
          <w:p w14:paraId="3670A60C" w14:textId="77777777" w:rsidR="00000000" w:rsidRDefault="00C1661D">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A9EF8B2" w14:textId="77777777" w:rsidR="00000000" w:rsidRDefault="00C1661D">
            <w:pPr>
              <w:spacing w:after="100"/>
              <w:jc w:val="center"/>
              <w:rPr>
                <w:rFonts w:eastAsia="Times New Roman"/>
              </w:rPr>
            </w:pPr>
            <w:r>
              <w:rPr>
                <w:rFonts w:eastAsia="Times New Roman"/>
                <w:color w:val="000000"/>
                <w:sz w:val="20"/>
                <w:szCs w:val="20"/>
              </w:rPr>
              <w:t>December 2026</w:t>
            </w:r>
          </w:p>
        </w:tc>
        <w:tc>
          <w:tcPr>
            <w:tcW w:w="0" w:type="auto"/>
            <w:gridSpan w:val="3"/>
            <w:shd w:val="clear" w:color="auto" w:fill="FFFFFF"/>
            <w:tcMar>
              <w:top w:w="0" w:type="dxa"/>
              <w:left w:w="20" w:type="dxa"/>
              <w:bottom w:w="0" w:type="dxa"/>
              <w:right w:w="20" w:type="dxa"/>
            </w:tcMar>
            <w:vAlign w:val="center"/>
            <w:hideMark/>
          </w:tcPr>
          <w:p w14:paraId="5FB79270" w14:textId="77777777" w:rsidR="00000000" w:rsidRDefault="00C1661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2079C15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9FBA4C2" w14:textId="77777777" w:rsidR="00000000" w:rsidRDefault="00C1661D">
            <w:pPr>
              <w:spacing w:after="100"/>
              <w:jc w:val="right"/>
              <w:rPr>
                <w:rFonts w:eastAsia="Times New Roman"/>
              </w:rPr>
            </w:pPr>
            <w:r>
              <w:rPr>
                <w:rFonts w:eastAsia="Times New Roman"/>
                <w:color w:val="000000"/>
                <w:sz w:val="20"/>
                <w:szCs w:val="20"/>
              </w:rPr>
              <w:t>411 </w:t>
            </w:r>
          </w:p>
        </w:tc>
        <w:tc>
          <w:tcPr>
            <w:tcW w:w="0" w:type="auto"/>
            <w:shd w:val="clear" w:color="auto" w:fill="FFFFFF"/>
            <w:tcMar>
              <w:top w:w="30" w:type="dxa"/>
              <w:left w:w="0" w:type="dxa"/>
              <w:bottom w:w="30" w:type="dxa"/>
              <w:right w:w="20" w:type="dxa"/>
            </w:tcMar>
            <w:vAlign w:val="bottom"/>
            <w:hideMark/>
          </w:tcPr>
          <w:p w14:paraId="45ECAB7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7B2AAF"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213A5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0C8E3DD" w14:textId="77777777" w:rsidR="00000000" w:rsidRDefault="00C1661D">
            <w:pPr>
              <w:spacing w:after="100"/>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14:paraId="15DA8C93" w14:textId="77777777" w:rsidR="00000000" w:rsidRDefault="00C1661D">
            <w:pPr>
              <w:spacing w:after="100"/>
              <w:jc w:val="right"/>
              <w:rPr>
                <w:rFonts w:eastAsia="Times New Roman"/>
              </w:rPr>
            </w:pPr>
          </w:p>
        </w:tc>
      </w:tr>
      <w:tr w:rsidR="00000000" w14:paraId="44DE672A" w14:textId="77777777">
        <w:trPr>
          <w:divId w:val="1779717940"/>
          <w:jc w:val="center"/>
        </w:trPr>
        <w:tc>
          <w:tcPr>
            <w:tcW w:w="0" w:type="auto"/>
            <w:gridSpan w:val="3"/>
            <w:vAlign w:val="center"/>
            <w:hideMark/>
          </w:tcPr>
          <w:p w14:paraId="1558FC08" w14:textId="77777777" w:rsidR="00000000" w:rsidRDefault="00C1661D">
            <w:pPr>
              <w:spacing w:after="100"/>
              <w:jc w:val="right"/>
              <w:rPr>
                <w:rFonts w:eastAsia="Times New Roman"/>
                <w:sz w:val="20"/>
                <w:szCs w:val="20"/>
              </w:rPr>
            </w:pPr>
          </w:p>
        </w:tc>
        <w:tc>
          <w:tcPr>
            <w:tcW w:w="0" w:type="auto"/>
            <w:gridSpan w:val="3"/>
            <w:vAlign w:val="center"/>
            <w:hideMark/>
          </w:tcPr>
          <w:p w14:paraId="11C98711" w14:textId="77777777" w:rsidR="00000000" w:rsidRDefault="00C1661D">
            <w:pPr>
              <w:spacing w:after="100"/>
              <w:rPr>
                <w:rFonts w:eastAsia="Times New Roman"/>
                <w:sz w:val="20"/>
                <w:szCs w:val="20"/>
              </w:rPr>
            </w:pPr>
          </w:p>
        </w:tc>
        <w:tc>
          <w:tcPr>
            <w:tcW w:w="0" w:type="auto"/>
            <w:gridSpan w:val="3"/>
            <w:vAlign w:val="center"/>
            <w:hideMark/>
          </w:tcPr>
          <w:p w14:paraId="7B4F4793" w14:textId="77777777" w:rsidR="00000000" w:rsidRDefault="00C1661D">
            <w:pPr>
              <w:spacing w:after="100"/>
              <w:rPr>
                <w:rFonts w:eastAsia="Times New Roman"/>
                <w:sz w:val="20"/>
                <w:szCs w:val="20"/>
              </w:rPr>
            </w:pPr>
          </w:p>
        </w:tc>
        <w:tc>
          <w:tcPr>
            <w:tcW w:w="0" w:type="auto"/>
            <w:gridSpan w:val="3"/>
            <w:vAlign w:val="center"/>
            <w:hideMark/>
          </w:tcPr>
          <w:p w14:paraId="2B79DFA5" w14:textId="77777777" w:rsidR="00000000" w:rsidRDefault="00C1661D">
            <w:pPr>
              <w:spacing w:after="100"/>
              <w:rPr>
                <w:rFonts w:eastAsia="Times New Roman"/>
                <w:sz w:val="20"/>
                <w:szCs w:val="20"/>
              </w:rPr>
            </w:pPr>
          </w:p>
        </w:tc>
        <w:tc>
          <w:tcPr>
            <w:tcW w:w="0" w:type="auto"/>
            <w:gridSpan w:val="3"/>
            <w:vAlign w:val="center"/>
            <w:hideMark/>
          </w:tcPr>
          <w:p w14:paraId="7D857F8D" w14:textId="77777777" w:rsidR="00000000" w:rsidRDefault="00C1661D">
            <w:pPr>
              <w:spacing w:after="100"/>
              <w:rPr>
                <w:rFonts w:eastAsia="Times New Roman"/>
                <w:sz w:val="20"/>
                <w:szCs w:val="20"/>
              </w:rPr>
            </w:pPr>
          </w:p>
        </w:tc>
        <w:tc>
          <w:tcPr>
            <w:tcW w:w="0" w:type="auto"/>
            <w:gridSpan w:val="3"/>
            <w:vAlign w:val="center"/>
            <w:hideMark/>
          </w:tcPr>
          <w:p w14:paraId="057B306C" w14:textId="77777777" w:rsidR="00000000" w:rsidRDefault="00C1661D">
            <w:pPr>
              <w:spacing w:after="100"/>
              <w:rPr>
                <w:rFonts w:eastAsia="Times New Roman"/>
                <w:sz w:val="20"/>
                <w:szCs w:val="20"/>
              </w:rPr>
            </w:pPr>
          </w:p>
        </w:tc>
        <w:tc>
          <w:tcPr>
            <w:tcW w:w="0" w:type="auto"/>
            <w:gridSpan w:val="3"/>
            <w:vAlign w:val="center"/>
            <w:hideMark/>
          </w:tcPr>
          <w:p w14:paraId="61FD5DCC" w14:textId="77777777" w:rsidR="00000000" w:rsidRDefault="00C1661D">
            <w:pPr>
              <w:spacing w:after="100"/>
              <w:rPr>
                <w:rFonts w:eastAsia="Times New Roman"/>
                <w:sz w:val="20"/>
                <w:szCs w:val="20"/>
              </w:rPr>
            </w:pPr>
          </w:p>
        </w:tc>
        <w:tc>
          <w:tcPr>
            <w:tcW w:w="0" w:type="auto"/>
            <w:gridSpan w:val="3"/>
            <w:vAlign w:val="center"/>
            <w:hideMark/>
          </w:tcPr>
          <w:p w14:paraId="50044EA6" w14:textId="77777777" w:rsidR="00000000" w:rsidRDefault="00C1661D">
            <w:pPr>
              <w:spacing w:after="100"/>
              <w:rPr>
                <w:rFonts w:eastAsia="Times New Roman"/>
                <w:sz w:val="20"/>
                <w:szCs w:val="20"/>
              </w:rPr>
            </w:pPr>
          </w:p>
        </w:tc>
        <w:tc>
          <w:tcPr>
            <w:tcW w:w="0" w:type="auto"/>
            <w:gridSpan w:val="3"/>
            <w:vAlign w:val="center"/>
            <w:hideMark/>
          </w:tcPr>
          <w:p w14:paraId="504A1397" w14:textId="77777777" w:rsidR="00000000" w:rsidRDefault="00C1661D">
            <w:pPr>
              <w:spacing w:after="100"/>
              <w:rPr>
                <w:rFonts w:eastAsia="Times New Roman"/>
                <w:sz w:val="20"/>
                <w:szCs w:val="20"/>
              </w:rPr>
            </w:pPr>
          </w:p>
        </w:tc>
      </w:tr>
    </w:tbl>
    <w:p w14:paraId="232891E6" w14:textId="77777777" w:rsidR="00000000" w:rsidRDefault="00C1661D">
      <w:pPr>
        <w:jc w:val="both"/>
        <w:divId w:val="383598802"/>
        <w:rPr>
          <w:rFonts w:eastAsia="Times New Roman"/>
        </w:rPr>
      </w:pPr>
      <w:r>
        <w:rPr>
          <w:rFonts w:eastAsia="Times New Roman"/>
          <w:b/>
          <w:bCs/>
          <w:color w:val="000000"/>
          <w:sz w:val="20"/>
          <w:szCs w:val="20"/>
        </w:rPr>
        <w:t>Derivative Instrument Credit Risk</w:t>
      </w:r>
    </w:p>
    <w:p w14:paraId="6671DDA6" w14:textId="77777777" w:rsidR="00000000" w:rsidRDefault="00C1661D">
      <w:pPr>
        <w:jc w:val="both"/>
        <w:divId w:val="1092749469"/>
        <w:rPr>
          <w:rFonts w:eastAsia="Times New Roman"/>
        </w:rPr>
      </w:pPr>
      <w:r>
        <w:rPr>
          <w:rFonts w:eastAsia="Times New Roman"/>
          <w:color w:val="000000"/>
          <w:sz w:val="20"/>
          <w:szCs w:val="20"/>
        </w:rPr>
        <w:t>We are exposed to risk of loss in the event of nonperformance by our derivative instrument counterparties. Our derivative instrument counterparties principally comprise large energy companies and major U.S. and international financial institutions. We main</w:t>
      </w:r>
      <w:r>
        <w:rPr>
          <w:rFonts w:eastAsia="Times New Roman"/>
          <w:color w:val="000000"/>
          <w:sz w:val="20"/>
          <w:szCs w:val="20"/>
        </w:rPr>
        <w:t>tain credit policies with regard to our counterparties that we believe reduce overall credit risk. These policies include evaluating and monitoring our counterparties’ financial condition, including their credit ratings, and entering into agreements with c</w:t>
      </w:r>
      <w:r>
        <w:rPr>
          <w:rFonts w:eastAsia="Times New Roman"/>
          <w:color w:val="000000"/>
          <w:sz w:val="20"/>
          <w:szCs w:val="20"/>
        </w:rPr>
        <w:t xml:space="preserve">ounterparties that govern credit limits or entering into netting agreements that allow for offsetting counterparty receivable and payable balances for certain financial transactions, as deemed appropriate. </w:t>
      </w:r>
    </w:p>
    <w:p w14:paraId="395112E1" w14:textId="77777777" w:rsidR="00000000" w:rsidRDefault="00C1661D">
      <w:pPr>
        <w:jc w:val="both"/>
        <w:divId w:val="1881045071"/>
        <w:rPr>
          <w:rFonts w:eastAsia="Times New Roman"/>
        </w:rPr>
      </w:pPr>
      <w:r>
        <w:rPr>
          <w:rFonts w:eastAsia="Times New Roman"/>
          <w:color w:val="000000"/>
          <w:sz w:val="20"/>
          <w:szCs w:val="20"/>
        </w:rPr>
        <w:t xml:space="preserve">We have concentrations of credit risk associated </w:t>
      </w:r>
      <w:r>
        <w:rPr>
          <w:rFonts w:eastAsia="Times New Roman"/>
          <w:color w:val="000000"/>
          <w:sz w:val="20"/>
          <w:szCs w:val="20"/>
        </w:rPr>
        <w:t>with derivative instruments and we evaluate the creditworthiness of our derivative counterparties on an ongoing basis. As of September 30, 2022, the maximum amount of loss, based upon the gross fair values of the derivative instruments, we would incur if t</w:t>
      </w:r>
      <w:r>
        <w:rPr>
          <w:rFonts w:eastAsia="Times New Roman"/>
          <w:color w:val="000000"/>
          <w:sz w:val="20"/>
          <w:szCs w:val="20"/>
        </w:rPr>
        <w:t xml:space="preserve">hese counterparties failed to perform according to the terms of their contracts was $2,418. In general, many of our over-the-counter derivative instruments and all exchange contracts call for the posting of collateral by the counterparty or by the Company </w:t>
      </w:r>
      <w:r>
        <w:rPr>
          <w:rFonts w:eastAsia="Times New Roman"/>
          <w:color w:val="000000"/>
          <w:sz w:val="20"/>
          <w:szCs w:val="20"/>
        </w:rPr>
        <w:t xml:space="preserve">in the forms of letters of credit, parental guarantees or cash. At September 30, 2022, we had received cash collateral from derivative instrument counterparties totaling $398. In addition, we may have offsetting derivative liabilities and certain accounts </w:t>
      </w:r>
      <w:r>
        <w:rPr>
          <w:rFonts w:eastAsia="Times New Roman"/>
          <w:color w:val="000000"/>
          <w:sz w:val="20"/>
          <w:szCs w:val="20"/>
        </w:rPr>
        <w:t>payable balances with certain of these counterparties, which further mitigates the previously mentioned maximum amount of losses. Certain of the Partnership’s derivative contracts have credit-risk-related contingent features that may require the posting of</w:t>
      </w:r>
      <w:r>
        <w:rPr>
          <w:rFonts w:eastAsia="Times New Roman"/>
          <w:color w:val="000000"/>
          <w:sz w:val="20"/>
          <w:szCs w:val="20"/>
        </w:rPr>
        <w:t xml:space="preserve"> additional collateral in the event of a downgrade of the Partnership’s debt rating. At September 30, 2022, if the credit-risk-related contingent features were triggered, the amount of collateral required to be posted would not be material.</w:t>
      </w:r>
    </w:p>
    <w:p w14:paraId="764E18F4" w14:textId="77777777" w:rsidR="00000000" w:rsidRDefault="00C1661D">
      <w:pPr>
        <w:jc w:val="center"/>
        <w:divId w:val="207958522"/>
        <w:rPr>
          <w:rFonts w:eastAsia="Times New Roman"/>
        </w:rPr>
      </w:pPr>
      <w:r>
        <w:rPr>
          <w:rFonts w:eastAsia="Times New Roman"/>
          <w:color w:val="000000"/>
          <w:sz w:val="20"/>
          <w:szCs w:val="20"/>
        </w:rPr>
        <w:t>F-53</w:t>
      </w:r>
    </w:p>
    <w:p w14:paraId="2D2032F7" w14:textId="77777777" w:rsidR="00000000" w:rsidRDefault="00C1661D">
      <w:pPr>
        <w:rPr>
          <w:rFonts w:eastAsia="Times New Roman"/>
        </w:rPr>
      </w:pPr>
      <w:r>
        <w:rPr>
          <w:rFonts w:eastAsia="Times New Roman"/>
        </w:rPr>
        <w:pict w14:anchorId="42A7993E">
          <v:rect id="_x0000_i1166" style="width:0;height:1.5pt" o:hralign="center" o:hrstd="t" o:hr="t" fillcolor="#a0a0a0" stroked="f"/>
        </w:pict>
      </w:r>
    </w:p>
    <w:p w14:paraId="474FFDFB" w14:textId="77777777" w:rsidR="00000000" w:rsidRDefault="00C1661D">
      <w:pPr>
        <w:divId w:val="1116678643"/>
        <w:rPr>
          <w:rFonts w:eastAsia="Times New Roman"/>
        </w:rPr>
      </w:pPr>
      <w:hyperlink w:anchor="i3850c3c6c0104e42b9951aac2f16098a_7" w:history="1">
        <w:r>
          <w:rPr>
            <w:rStyle w:val="a3"/>
            <w:rFonts w:eastAsia="Times New Roman"/>
            <w:sz w:val="20"/>
            <w:szCs w:val="20"/>
          </w:rPr>
          <w:t>Table of Contents</w:t>
        </w:r>
      </w:hyperlink>
    </w:p>
    <w:p w14:paraId="62CF4E43" w14:textId="77777777" w:rsidR="00000000" w:rsidRDefault="00C1661D">
      <w:pPr>
        <w:divId w:val="1609503385"/>
        <w:rPr>
          <w:rFonts w:eastAsia="Times New Roman"/>
        </w:rPr>
      </w:pPr>
      <w:r>
        <w:rPr>
          <w:rFonts w:eastAsia="Times New Roman"/>
          <w:b/>
          <w:bCs/>
          <w:color w:val="000000"/>
          <w:sz w:val="20"/>
          <w:szCs w:val="20"/>
        </w:rPr>
        <w:t>UGI Corporation and Subsidiaries</w:t>
      </w:r>
    </w:p>
    <w:p w14:paraId="45FA5680" w14:textId="77777777" w:rsidR="00000000" w:rsidRDefault="00C1661D">
      <w:pPr>
        <w:divId w:val="1980107832"/>
        <w:rPr>
          <w:rFonts w:eastAsia="Times New Roman"/>
        </w:rPr>
      </w:pPr>
      <w:r>
        <w:rPr>
          <w:rFonts w:eastAsia="Times New Roman"/>
          <w:b/>
          <w:bCs/>
          <w:color w:val="000000"/>
          <w:sz w:val="20"/>
          <w:szCs w:val="20"/>
        </w:rPr>
        <w:t>Notes to Consolidated Financial Statements</w:t>
      </w:r>
    </w:p>
    <w:p w14:paraId="2FD55780" w14:textId="77777777" w:rsidR="00000000" w:rsidRDefault="00C1661D">
      <w:pPr>
        <w:divId w:val="1471240397"/>
        <w:rPr>
          <w:rFonts w:eastAsia="Times New Roman"/>
        </w:rPr>
      </w:pPr>
      <w:r>
        <w:rPr>
          <w:rFonts w:eastAsia="Times New Roman"/>
          <w:color w:val="000000"/>
          <w:sz w:val="20"/>
          <w:szCs w:val="20"/>
        </w:rPr>
        <w:t>(Currency in millions, except per share amounts and where indicated otherwise)</w:t>
      </w:r>
    </w:p>
    <w:p w14:paraId="268A8BAA" w14:textId="77777777" w:rsidR="00000000" w:rsidRDefault="00C1661D">
      <w:pPr>
        <w:jc w:val="both"/>
        <w:divId w:val="803816386"/>
        <w:rPr>
          <w:rFonts w:eastAsia="Times New Roman"/>
        </w:rPr>
      </w:pPr>
      <w:r>
        <w:rPr>
          <w:rFonts w:eastAsia="Times New Roman"/>
          <w:b/>
          <w:bCs/>
          <w:color w:val="000000"/>
          <w:sz w:val="20"/>
          <w:szCs w:val="20"/>
        </w:rPr>
        <w:t>Offsetting Derivative Assets and Liabilities</w:t>
      </w:r>
    </w:p>
    <w:p w14:paraId="2C1CBB25" w14:textId="77777777" w:rsidR="00000000" w:rsidRDefault="00C1661D">
      <w:pPr>
        <w:jc w:val="both"/>
        <w:divId w:val="73204621"/>
        <w:rPr>
          <w:rFonts w:eastAsia="Times New Roman"/>
        </w:rPr>
      </w:pPr>
      <w:r>
        <w:rPr>
          <w:rFonts w:eastAsia="Times New Roman"/>
          <w:color w:val="000000"/>
          <w:sz w:val="20"/>
          <w:szCs w:val="20"/>
        </w:rPr>
        <w:t>Derivative assets and liabilities are presented net by counterparty on the Consolidated Balance Sheets if the right of offset exists</w:t>
      </w:r>
      <w:r>
        <w:rPr>
          <w:rFonts w:eastAsia="Times New Roman"/>
          <w:color w:val="000000"/>
          <w:sz w:val="20"/>
          <w:szCs w:val="20"/>
        </w:rPr>
        <w:t>. We offset amounts recognized for the right to reclaim cash collateral or the obligation to return cash collateral against amounts recognized for derivative instruments executed with the same counterparty. Our derivative instruments include both those tha</w:t>
      </w:r>
      <w:r>
        <w:rPr>
          <w:rFonts w:eastAsia="Times New Roman"/>
          <w:color w:val="000000"/>
          <w:sz w:val="20"/>
          <w:szCs w:val="20"/>
        </w:rPr>
        <w:t xml:space="preserve">t are executed on an exchange through brokers and centrally cleared and over-the-counter transactions. Exchange contracts utilize a financial intermediary, exchange, or clearinghouse to enter, execute, or clear the transactions. Over-the-counter contracts </w:t>
      </w:r>
      <w:r>
        <w:rPr>
          <w:rFonts w:eastAsia="Times New Roman"/>
          <w:color w:val="000000"/>
          <w:sz w:val="20"/>
          <w:szCs w:val="20"/>
        </w:rPr>
        <w:t>are bilateral contracts that are transacted directly with a third party. Certain over-the-counter and exchange contracts contain contractual rights of offset through master netting arrangements, derivative clearing agreements, and contract default provisio</w:t>
      </w:r>
      <w:r>
        <w:rPr>
          <w:rFonts w:eastAsia="Times New Roman"/>
          <w:color w:val="000000"/>
          <w:sz w:val="20"/>
          <w:szCs w:val="20"/>
        </w:rPr>
        <w:t>ns. In addition, the contracts are subject to conditional rights of offset through counterparty nonperformance, insolvency or other conditions.</w:t>
      </w:r>
    </w:p>
    <w:p w14:paraId="654451BB" w14:textId="77777777" w:rsidR="00000000" w:rsidRDefault="00C1661D">
      <w:pPr>
        <w:jc w:val="both"/>
        <w:divId w:val="1327901659"/>
        <w:rPr>
          <w:rFonts w:eastAsia="Times New Roman"/>
        </w:rPr>
      </w:pPr>
      <w:r>
        <w:rPr>
          <w:rFonts w:eastAsia="Times New Roman"/>
          <w:color w:val="000000"/>
          <w:sz w:val="20"/>
          <w:szCs w:val="20"/>
        </w:rPr>
        <w:t>In general, many of our over-the-counter transactions and all exchange contracts are subject to collateral requi</w:t>
      </w:r>
      <w:r>
        <w:rPr>
          <w:rFonts w:eastAsia="Times New Roman"/>
          <w:color w:val="000000"/>
          <w:sz w:val="20"/>
          <w:szCs w:val="20"/>
        </w:rPr>
        <w:t>rements. Types of collateral generally include cash or letters of credit. Cash collateral paid by us to our over-the-counter derivative counterparties, if any, is reflected in the table below to offset derivative liabilities. Cash collateral received by us</w:t>
      </w:r>
      <w:r>
        <w:rPr>
          <w:rFonts w:eastAsia="Times New Roman"/>
          <w:color w:val="000000"/>
          <w:sz w:val="20"/>
          <w:szCs w:val="20"/>
        </w:rPr>
        <w:t xml:space="preserve"> from our over-the-counter derivative counterparties, if any, is reflected in the table below to offset derivative assets. Certain other accounts receivable and accounts payable balances recognized on the Consolidated Balance Sheets with our derivative cou</w:t>
      </w:r>
      <w:r>
        <w:rPr>
          <w:rFonts w:eastAsia="Times New Roman"/>
          <w:color w:val="000000"/>
          <w:sz w:val="20"/>
          <w:szCs w:val="20"/>
        </w:rPr>
        <w:t>nterparties are not included in the table below but could reduce our net exposure to such counterparties because such balances are subject to master netting or similar arrangements.</w:t>
      </w:r>
    </w:p>
    <w:p w14:paraId="0900643B" w14:textId="77777777" w:rsidR="00000000" w:rsidRDefault="00C1661D">
      <w:pPr>
        <w:jc w:val="both"/>
        <w:divId w:val="216860499"/>
        <w:rPr>
          <w:rFonts w:eastAsia="Times New Roman"/>
        </w:rPr>
      </w:pPr>
    </w:p>
    <w:p w14:paraId="6F11D11F" w14:textId="77777777" w:rsidR="00000000" w:rsidRDefault="00C1661D">
      <w:pPr>
        <w:jc w:val="center"/>
        <w:divId w:val="311107316"/>
        <w:rPr>
          <w:rFonts w:eastAsia="Times New Roman"/>
        </w:rPr>
      </w:pPr>
      <w:r>
        <w:rPr>
          <w:rFonts w:eastAsia="Times New Roman"/>
          <w:color w:val="000000"/>
          <w:sz w:val="20"/>
          <w:szCs w:val="20"/>
        </w:rPr>
        <w:t>F-54</w:t>
      </w:r>
    </w:p>
    <w:p w14:paraId="19907A1D" w14:textId="77777777" w:rsidR="00000000" w:rsidRDefault="00C1661D">
      <w:pPr>
        <w:rPr>
          <w:rFonts w:eastAsia="Times New Roman"/>
        </w:rPr>
      </w:pPr>
      <w:r>
        <w:rPr>
          <w:rFonts w:eastAsia="Times New Roman"/>
        </w:rPr>
        <w:pict w14:anchorId="32AEB65E">
          <v:rect id="_x0000_i1167" style="width:0;height:1.5pt" o:hralign="center" o:hrstd="t" o:hr="t" fillcolor="#a0a0a0" stroked="f"/>
        </w:pict>
      </w:r>
    </w:p>
    <w:p w14:paraId="56A97B15" w14:textId="77777777" w:rsidR="00000000" w:rsidRDefault="00C1661D">
      <w:pPr>
        <w:divId w:val="898202785"/>
        <w:rPr>
          <w:rFonts w:eastAsia="Times New Roman"/>
        </w:rPr>
      </w:pPr>
      <w:hyperlink w:anchor="i3850c3c6c0104e42b9951aac2f16098a_7" w:history="1">
        <w:r>
          <w:rPr>
            <w:rStyle w:val="a3"/>
            <w:rFonts w:eastAsia="Times New Roman"/>
            <w:sz w:val="20"/>
            <w:szCs w:val="20"/>
          </w:rPr>
          <w:t>Table of Contents</w:t>
        </w:r>
      </w:hyperlink>
    </w:p>
    <w:p w14:paraId="3EE3B895" w14:textId="77777777" w:rsidR="00000000" w:rsidRDefault="00C1661D">
      <w:pPr>
        <w:divId w:val="1511526458"/>
        <w:rPr>
          <w:rFonts w:eastAsia="Times New Roman"/>
        </w:rPr>
      </w:pPr>
      <w:r>
        <w:rPr>
          <w:rFonts w:eastAsia="Times New Roman"/>
          <w:b/>
          <w:bCs/>
          <w:color w:val="000000"/>
          <w:sz w:val="20"/>
          <w:szCs w:val="20"/>
        </w:rPr>
        <w:t>UGI Corporation and Subsidiaries</w:t>
      </w:r>
    </w:p>
    <w:p w14:paraId="412D11CF" w14:textId="77777777" w:rsidR="00000000" w:rsidRDefault="00C1661D">
      <w:pPr>
        <w:divId w:val="134104740"/>
        <w:rPr>
          <w:rFonts w:eastAsia="Times New Roman"/>
        </w:rPr>
      </w:pPr>
      <w:r>
        <w:rPr>
          <w:rFonts w:eastAsia="Times New Roman"/>
          <w:b/>
          <w:bCs/>
          <w:color w:val="000000"/>
          <w:sz w:val="20"/>
          <w:szCs w:val="20"/>
        </w:rPr>
        <w:t>Notes to Consolidated Financial Statements</w:t>
      </w:r>
    </w:p>
    <w:p w14:paraId="7910F854" w14:textId="77777777" w:rsidR="00000000" w:rsidRDefault="00C1661D">
      <w:pPr>
        <w:divId w:val="678240981"/>
        <w:rPr>
          <w:rFonts w:eastAsia="Times New Roman"/>
        </w:rPr>
      </w:pPr>
      <w:r>
        <w:rPr>
          <w:rFonts w:eastAsia="Times New Roman"/>
          <w:color w:val="000000"/>
          <w:sz w:val="20"/>
          <w:szCs w:val="20"/>
        </w:rPr>
        <w:t>(Currency in millions, except per share amounts and where indicated otherwise)</w:t>
      </w:r>
    </w:p>
    <w:p w14:paraId="1B13AF52" w14:textId="77777777" w:rsidR="00000000" w:rsidRDefault="00C1661D">
      <w:pPr>
        <w:jc w:val="both"/>
        <w:divId w:val="1832601212"/>
        <w:rPr>
          <w:rFonts w:eastAsia="Times New Roman"/>
        </w:rPr>
      </w:pPr>
      <w:r>
        <w:rPr>
          <w:rFonts w:eastAsia="Times New Roman"/>
          <w:b/>
          <w:bCs/>
          <w:color w:val="000000"/>
          <w:sz w:val="20"/>
          <w:szCs w:val="20"/>
        </w:rPr>
        <w:t>Fair Value of Derivative Instruments</w:t>
      </w:r>
    </w:p>
    <w:p w14:paraId="5D39998E" w14:textId="77777777" w:rsidR="00000000" w:rsidRDefault="00C1661D">
      <w:pPr>
        <w:jc w:val="both"/>
        <w:divId w:val="761267863"/>
        <w:rPr>
          <w:rFonts w:eastAsia="Times New Roman"/>
        </w:rPr>
      </w:pPr>
      <w:r>
        <w:rPr>
          <w:rFonts w:eastAsia="Times New Roman"/>
          <w:color w:val="000000"/>
          <w:sz w:val="20"/>
          <w:szCs w:val="20"/>
        </w:rPr>
        <w:t>The following tabl</w:t>
      </w:r>
      <w:r>
        <w:rPr>
          <w:rFonts w:eastAsia="Times New Roman"/>
          <w:color w:val="000000"/>
          <w:sz w:val="20"/>
          <w:szCs w:val="20"/>
        </w:rPr>
        <w:t>e presents the Company’s derivative assets and liabilities by type, as well as the effects of offsetting, as of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6328"/>
        <w:gridCol w:w="37"/>
        <w:gridCol w:w="120"/>
        <w:gridCol w:w="751"/>
        <w:gridCol w:w="36"/>
        <w:gridCol w:w="36"/>
        <w:gridCol w:w="36"/>
        <w:gridCol w:w="36"/>
        <w:gridCol w:w="120"/>
        <w:gridCol w:w="717"/>
        <w:gridCol w:w="36"/>
      </w:tblGrid>
      <w:tr w:rsidR="00000000" w14:paraId="70A22AE4" w14:textId="77777777">
        <w:trPr>
          <w:divId w:val="872887368"/>
        </w:trPr>
        <w:tc>
          <w:tcPr>
            <w:tcW w:w="50" w:type="pct"/>
            <w:vAlign w:val="center"/>
            <w:hideMark/>
          </w:tcPr>
          <w:p w14:paraId="05C4C258" w14:textId="77777777" w:rsidR="00000000" w:rsidRDefault="00C1661D">
            <w:pPr>
              <w:jc w:val="both"/>
              <w:rPr>
                <w:rFonts w:eastAsia="Times New Roman"/>
              </w:rPr>
            </w:pPr>
          </w:p>
        </w:tc>
        <w:tc>
          <w:tcPr>
            <w:tcW w:w="3839" w:type="pct"/>
            <w:vAlign w:val="center"/>
            <w:hideMark/>
          </w:tcPr>
          <w:p w14:paraId="686050B4" w14:textId="77777777" w:rsidR="00000000" w:rsidRDefault="00C1661D">
            <w:pPr>
              <w:spacing w:after="100"/>
              <w:rPr>
                <w:rFonts w:eastAsia="Times New Roman"/>
                <w:sz w:val="20"/>
                <w:szCs w:val="20"/>
              </w:rPr>
            </w:pPr>
          </w:p>
        </w:tc>
        <w:tc>
          <w:tcPr>
            <w:tcW w:w="5" w:type="pct"/>
            <w:vAlign w:val="center"/>
            <w:hideMark/>
          </w:tcPr>
          <w:p w14:paraId="52050612" w14:textId="77777777" w:rsidR="00000000" w:rsidRDefault="00C1661D">
            <w:pPr>
              <w:spacing w:after="100"/>
              <w:rPr>
                <w:rFonts w:eastAsia="Times New Roman"/>
                <w:sz w:val="20"/>
                <w:szCs w:val="20"/>
              </w:rPr>
            </w:pPr>
          </w:p>
        </w:tc>
        <w:tc>
          <w:tcPr>
            <w:tcW w:w="50" w:type="pct"/>
            <w:vAlign w:val="center"/>
            <w:hideMark/>
          </w:tcPr>
          <w:p w14:paraId="25C6C3F9" w14:textId="77777777" w:rsidR="00000000" w:rsidRDefault="00C1661D">
            <w:pPr>
              <w:spacing w:after="100"/>
              <w:rPr>
                <w:rFonts w:eastAsia="Times New Roman"/>
                <w:sz w:val="20"/>
                <w:szCs w:val="20"/>
              </w:rPr>
            </w:pPr>
          </w:p>
        </w:tc>
        <w:tc>
          <w:tcPr>
            <w:tcW w:w="479" w:type="pct"/>
            <w:vAlign w:val="center"/>
            <w:hideMark/>
          </w:tcPr>
          <w:p w14:paraId="5558DC5B" w14:textId="77777777" w:rsidR="00000000" w:rsidRDefault="00C1661D">
            <w:pPr>
              <w:spacing w:after="100"/>
              <w:rPr>
                <w:rFonts w:eastAsia="Times New Roman"/>
                <w:sz w:val="20"/>
                <w:szCs w:val="20"/>
              </w:rPr>
            </w:pPr>
          </w:p>
        </w:tc>
        <w:tc>
          <w:tcPr>
            <w:tcW w:w="5" w:type="pct"/>
            <w:vAlign w:val="center"/>
            <w:hideMark/>
          </w:tcPr>
          <w:p w14:paraId="4D0A720A" w14:textId="77777777" w:rsidR="00000000" w:rsidRDefault="00C1661D">
            <w:pPr>
              <w:spacing w:after="100"/>
              <w:rPr>
                <w:rFonts w:eastAsia="Times New Roman"/>
                <w:sz w:val="20"/>
                <w:szCs w:val="20"/>
              </w:rPr>
            </w:pPr>
          </w:p>
        </w:tc>
        <w:tc>
          <w:tcPr>
            <w:tcW w:w="5" w:type="pct"/>
            <w:vAlign w:val="center"/>
            <w:hideMark/>
          </w:tcPr>
          <w:p w14:paraId="24C5C173" w14:textId="77777777" w:rsidR="00000000" w:rsidRDefault="00C1661D">
            <w:pPr>
              <w:spacing w:after="100"/>
              <w:rPr>
                <w:rFonts w:eastAsia="Times New Roman"/>
                <w:sz w:val="20"/>
                <w:szCs w:val="20"/>
              </w:rPr>
            </w:pPr>
          </w:p>
        </w:tc>
        <w:tc>
          <w:tcPr>
            <w:tcW w:w="26" w:type="pct"/>
            <w:vAlign w:val="center"/>
            <w:hideMark/>
          </w:tcPr>
          <w:p w14:paraId="519B2E1F" w14:textId="77777777" w:rsidR="00000000" w:rsidRDefault="00C1661D">
            <w:pPr>
              <w:spacing w:after="100"/>
              <w:rPr>
                <w:rFonts w:eastAsia="Times New Roman"/>
                <w:sz w:val="20"/>
                <w:szCs w:val="20"/>
              </w:rPr>
            </w:pPr>
          </w:p>
        </w:tc>
        <w:tc>
          <w:tcPr>
            <w:tcW w:w="5" w:type="pct"/>
            <w:vAlign w:val="center"/>
            <w:hideMark/>
          </w:tcPr>
          <w:p w14:paraId="494530D4" w14:textId="77777777" w:rsidR="00000000" w:rsidRDefault="00C1661D">
            <w:pPr>
              <w:spacing w:after="100"/>
              <w:rPr>
                <w:rFonts w:eastAsia="Times New Roman"/>
                <w:sz w:val="20"/>
                <w:szCs w:val="20"/>
              </w:rPr>
            </w:pPr>
          </w:p>
        </w:tc>
        <w:tc>
          <w:tcPr>
            <w:tcW w:w="50" w:type="pct"/>
            <w:vAlign w:val="center"/>
            <w:hideMark/>
          </w:tcPr>
          <w:p w14:paraId="7E6F1F7C" w14:textId="77777777" w:rsidR="00000000" w:rsidRDefault="00C1661D">
            <w:pPr>
              <w:spacing w:after="100"/>
              <w:rPr>
                <w:rFonts w:eastAsia="Times New Roman"/>
                <w:sz w:val="20"/>
                <w:szCs w:val="20"/>
              </w:rPr>
            </w:pPr>
          </w:p>
        </w:tc>
        <w:tc>
          <w:tcPr>
            <w:tcW w:w="479" w:type="pct"/>
            <w:vAlign w:val="center"/>
            <w:hideMark/>
          </w:tcPr>
          <w:p w14:paraId="0817DC86" w14:textId="77777777" w:rsidR="00000000" w:rsidRDefault="00C1661D">
            <w:pPr>
              <w:spacing w:after="100"/>
              <w:rPr>
                <w:rFonts w:eastAsia="Times New Roman"/>
                <w:sz w:val="20"/>
                <w:szCs w:val="20"/>
              </w:rPr>
            </w:pPr>
          </w:p>
        </w:tc>
        <w:tc>
          <w:tcPr>
            <w:tcW w:w="5" w:type="pct"/>
            <w:vAlign w:val="center"/>
            <w:hideMark/>
          </w:tcPr>
          <w:p w14:paraId="1673B98E" w14:textId="77777777" w:rsidR="00000000" w:rsidRDefault="00C1661D">
            <w:pPr>
              <w:spacing w:after="100"/>
              <w:rPr>
                <w:rFonts w:eastAsia="Times New Roman"/>
                <w:sz w:val="20"/>
                <w:szCs w:val="20"/>
              </w:rPr>
            </w:pPr>
          </w:p>
        </w:tc>
      </w:tr>
      <w:tr w:rsidR="00000000" w14:paraId="796A7B79" w14:textId="77777777">
        <w:trPr>
          <w:divId w:val="872887368"/>
        </w:trPr>
        <w:tc>
          <w:tcPr>
            <w:tcW w:w="0" w:type="auto"/>
            <w:gridSpan w:val="3"/>
            <w:tcMar>
              <w:top w:w="0" w:type="dxa"/>
              <w:left w:w="20" w:type="dxa"/>
              <w:bottom w:w="0" w:type="dxa"/>
              <w:right w:w="20" w:type="dxa"/>
            </w:tcMar>
            <w:vAlign w:val="center"/>
            <w:hideMark/>
          </w:tcPr>
          <w:p w14:paraId="18545069"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59D8F0D"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3885EDCB"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5005932" w14:textId="77777777" w:rsidR="00000000" w:rsidRDefault="00C1661D">
            <w:pPr>
              <w:spacing w:after="100"/>
              <w:jc w:val="center"/>
              <w:rPr>
                <w:rFonts w:eastAsia="Times New Roman"/>
              </w:rPr>
            </w:pPr>
            <w:r>
              <w:rPr>
                <w:rFonts w:eastAsia="Times New Roman"/>
                <w:color w:val="000000"/>
                <w:sz w:val="20"/>
                <w:szCs w:val="20"/>
              </w:rPr>
              <w:t>2021</w:t>
            </w:r>
          </w:p>
        </w:tc>
      </w:tr>
      <w:tr w:rsidR="00000000" w14:paraId="071A69FB" w14:textId="77777777">
        <w:trPr>
          <w:divId w:val="872887368"/>
        </w:trPr>
        <w:tc>
          <w:tcPr>
            <w:tcW w:w="0" w:type="auto"/>
            <w:gridSpan w:val="3"/>
            <w:shd w:val="clear" w:color="auto" w:fill="CCEEFF"/>
            <w:tcMar>
              <w:top w:w="30" w:type="dxa"/>
              <w:left w:w="20" w:type="dxa"/>
              <w:bottom w:w="30" w:type="dxa"/>
              <w:right w:w="20" w:type="dxa"/>
            </w:tcMar>
            <w:vAlign w:val="bottom"/>
            <w:hideMark/>
          </w:tcPr>
          <w:p w14:paraId="050FC686" w14:textId="77777777" w:rsidR="00000000" w:rsidRDefault="00C1661D">
            <w:pPr>
              <w:spacing w:after="100"/>
              <w:rPr>
                <w:rFonts w:eastAsia="Times New Roman"/>
              </w:rPr>
            </w:pPr>
            <w:r>
              <w:rPr>
                <w:rFonts w:eastAsia="Times New Roman"/>
                <w:b/>
                <w:bCs/>
                <w:color w:val="000000"/>
                <w:sz w:val="20"/>
                <w:szCs w:val="20"/>
              </w:rPr>
              <w:t>Derivative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3FB601"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362E77"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A14680" w14:textId="77777777" w:rsidR="00000000" w:rsidRDefault="00C1661D">
            <w:pPr>
              <w:spacing w:after="100"/>
              <w:rPr>
                <w:rFonts w:eastAsia="Times New Roman"/>
                <w:sz w:val="20"/>
                <w:szCs w:val="20"/>
              </w:rPr>
            </w:pPr>
          </w:p>
        </w:tc>
      </w:tr>
      <w:tr w:rsidR="00000000" w14:paraId="3BFC47FC" w14:textId="77777777">
        <w:trPr>
          <w:divId w:val="872887368"/>
        </w:trPr>
        <w:tc>
          <w:tcPr>
            <w:tcW w:w="0" w:type="auto"/>
            <w:gridSpan w:val="3"/>
            <w:shd w:val="clear" w:color="auto" w:fill="FFFFFF"/>
            <w:tcMar>
              <w:top w:w="30" w:type="dxa"/>
              <w:left w:w="155" w:type="dxa"/>
              <w:bottom w:w="30" w:type="dxa"/>
              <w:right w:w="20" w:type="dxa"/>
            </w:tcMar>
            <w:vAlign w:val="bottom"/>
            <w:hideMark/>
          </w:tcPr>
          <w:p w14:paraId="1B606E9E" w14:textId="77777777" w:rsidR="00000000" w:rsidRDefault="00C1661D">
            <w:pPr>
              <w:spacing w:after="100"/>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FFFFFF"/>
            <w:tcMar>
              <w:top w:w="30" w:type="dxa"/>
              <w:left w:w="20" w:type="dxa"/>
              <w:bottom w:w="30" w:type="dxa"/>
              <w:right w:w="20" w:type="dxa"/>
            </w:tcMar>
            <w:vAlign w:val="bottom"/>
            <w:hideMark/>
          </w:tcPr>
          <w:p w14:paraId="5D807239"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3AAD1D8"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B411CD7" w14:textId="77777777" w:rsidR="00000000" w:rsidRDefault="00C1661D">
            <w:pPr>
              <w:spacing w:after="100"/>
              <w:rPr>
                <w:rFonts w:eastAsia="Times New Roman"/>
              </w:rPr>
            </w:pPr>
            <w:r>
              <w:rPr>
                <w:rFonts w:eastAsia="Times New Roman"/>
                <w:color w:val="000000"/>
                <w:sz w:val="20"/>
                <w:szCs w:val="20"/>
              </w:rPr>
              <w:t> </w:t>
            </w:r>
          </w:p>
        </w:tc>
      </w:tr>
      <w:tr w:rsidR="00000000" w14:paraId="1C02E2E1" w14:textId="77777777">
        <w:trPr>
          <w:divId w:val="872887368"/>
        </w:trPr>
        <w:tc>
          <w:tcPr>
            <w:tcW w:w="0" w:type="auto"/>
            <w:gridSpan w:val="3"/>
            <w:vAlign w:val="center"/>
            <w:hideMark/>
          </w:tcPr>
          <w:p w14:paraId="58626D54" w14:textId="77777777" w:rsidR="00000000" w:rsidRDefault="00C1661D">
            <w:pPr>
              <w:spacing w:after="100"/>
              <w:rPr>
                <w:rFonts w:eastAsia="Times New Roman"/>
              </w:rPr>
            </w:pPr>
          </w:p>
        </w:tc>
        <w:tc>
          <w:tcPr>
            <w:tcW w:w="0" w:type="auto"/>
            <w:gridSpan w:val="3"/>
            <w:vAlign w:val="center"/>
            <w:hideMark/>
          </w:tcPr>
          <w:p w14:paraId="5309271A" w14:textId="77777777" w:rsidR="00000000" w:rsidRDefault="00C1661D">
            <w:pPr>
              <w:spacing w:after="100"/>
              <w:rPr>
                <w:rFonts w:eastAsia="Times New Roman"/>
                <w:sz w:val="20"/>
                <w:szCs w:val="20"/>
              </w:rPr>
            </w:pPr>
          </w:p>
        </w:tc>
        <w:tc>
          <w:tcPr>
            <w:tcW w:w="0" w:type="auto"/>
            <w:gridSpan w:val="3"/>
            <w:vAlign w:val="center"/>
            <w:hideMark/>
          </w:tcPr>
          <w:p w14:paraId="212DE664" w14:textId="77777777" w:rsidR="00000000" w:rsidRDefault="00C1661D">
            <w:pPr>
              <w:spacing w:after="100"/>
              <w:rPr>
                <w:rFonts w:eastAsia="Times New Roman"/>
                <w:sz w:val="20"/>
                <w:szCs w:val="20"/>
              </w:rPr>
            </w:pPr>
          </w:p>
        </w:tc>
        <w:tc>
          <w:tcPr>
            <w:tcW w:w="0" w:type="auto"/>
            <w:gridSpan w:val="3"/>
            <w:vAlign w:val="center"/>
            <w:hideMark/>
          </w:tcPr>
          <w:p w14:paraId="78EC4AEA" w14:textId="77777777" w:rsidR="00000000" w:rsidRDefault="00C1661D">
            <w:pPr>
              <w:spacing w:after="100"/>
              <w:rPr>
                <w:rFonts w:eastAsia="Times New Roman"/>
                <w:sz w:val="20"/>
                <w:szCs w:val="20"/>
              </w:rPr>
            </w:pPr>
          </w:p>
        </w:tc>
      </w:tr>
      <w:tr w:rsidR="00000000" w14:paraId="0CF9EC34" w14:textId="77777777">
        <w:trPr>
          <w:divId w:val="872887368"/>
        </w:trPr>
        <w:tc>
          <w:tcPr>
            <w:tcW w:w="0" w:type="auto"/>
            <w:gridSpan w:val="3"/>
            <w:shd w:val="clear" w:color="auto" w:fill="CCEEFF"/>
            <w:tcMar>
              <w:top w:w="30" w:type="dxa"/>
              <w:left w:w="245" w:type="dxa"/>
              <w:bottom w:w="30" w:type="dxa"/>
              <w:right w:w="20" w:type="dxa"/>
            </w:tcMar>
            <w:hideMark/>
          </w:tcPr>
          <w:p w14:paraId="35C68C8F" w14:textId="77777777" w:rsidR="00000000" w:rsidRDefault="00C1661D">
            <w:pPr>
              <w:spacing w:after="100"/>
              <w:rPr>
                <w:rFonts w:eastAsia="Times New Roman"/>
              </w:rPr>
            </w:pPr>
            <w:r>
              <w:rPr>
                <w:rFonts w:eastAsia="Times New Roman"/>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14:paraId="1D0B13F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D0A4958" w14:textId="77777777" w:rsidR="00000000" w:rsidRDefault="00C1661D">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14:paraId="1EAC818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F2A3C3"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8149C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FF749C0" w14:textId="77777777" w:rsidR="00000000" w:rsidRDefault="00C1661D">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2CD54662" w14:textId="77777777" w:rsidR="00000000" w:rsidRDefault="00C1661D">
            <w:pPr>
              <w:spacing w:after="100"/>
              <w:jc w:val="right"/>
              <w:rPr>
                <w:rFonts w:eastAsia="Times New Roman"/>
              </w:rPr>
            </w:pPr>
          </w:p>
        </w:tc>
      </w:tr>
      <w:tr w:rsidR="00000000" w14:paraId="54A63A8B" w14:textId="77777777">
        <w:trPr>
          <w:divId w:val="872887368"/>
        </w:trPr>
        <w:tc>
          <w:tcPr>
            <w:tcW w:w="0" w:type="auto"/>
            <w:gridSpan w:val="3"/>
            <w:vAlign w:val="center"/>
            <w:hideMark/>
          </w:tcPr>
          <w:p w14:paraId="6AE74F1F" w14:textId="77777777" w:rsidR="00000000" w:rsidRDefault="00C1661D">
            <w:pPr>
              <w:spacing w:after="100"/>
              <w:jc w:val="right"/>
              <w:rPr>
                <w:rFonts w:eastAsia="Times New Roman"/>
                <w:sz w:val="20"/>
                <w:szCs w:val="20"/>
              </w:rPr>
            </w:pPr>
          </w:p>
        </w:tc>
        <w:tc>
          <w:tcPr>
            <w:tcW w:w="0" w:type="auto"/>
            <w:gridSpan w:val="3"/>
            <w:vAlign w:val="center"/>
            <w:hideMark/>
          </w:tcPr>
          <w:p w14:paraId="46D335FF" w14:textId="77777777" w:rsidR="00000000" w:rsidRDefault="00C1661D">
            <w:pPr>
              <w:spacing w:after="100"/>
              <w:rPr>
                <w:rFonts w:eastAsia="Times New Roman"/>
                <w:sz w:val="20"/>
                <w:szCs w:val="20"/>
              </w:rPr>
            </w:pPr>
          </w:p>
        </w:tc>
        <w:tc>
          <w:tcPr>
            <w:tcW w:w="0" w:type="auto"/>
            <w:gridSpan w:val="3"/>
            <w:vAlign w:val="center"/>
            <w:hideMark/>
          </w:tcPr>
          <w:p w14:paraId="2FCB5A78" w14:textId="77777777" w:rsidR="00000000" w:rsidRDefault="00C1661D">
            <w:pPr>
              <w:spacing w:after="100"/>
              <w:rPr>
                <w:rFonts w:eastAsia="Times New Roman"/>
                <w:sz w:val="20"/>
                <w:szCs w:val="20"/>
              </w:rPr>
            </w:pPr>
          </w:p>
        </w:tc>
        <w:tc>
          <w:tcPr>
            <w:tcW w:w="0" w:type="auto"/>
            <w:gridSpan w:val="3"/>
            <w:vAlign w:val="center"/>
            <w:hideMark/>
          </w:tcPr>
          <w:p w14:paraId="275A777A" w14:textId="77777777" w:rsidR="00000000" w:rsidRDefault="00C1661D">
            <w:pPr>
              <w:spacing w:after="100"/>
              <w:rPr>
                <w:rFonts w:eastAsia="Times New Roman"/>
                <w:sz w:val="20"/>
                <w:szCs w:val="20"/>
              </w:rPr>
            </w:pPr>
          </w:p>
        </w:tc>
      </w:tr>
      <w:tr w:rsidR="00000000" w14:paraId="518B665F" w14:textId="77777777">
        <w:trPr>
          <w:divId w:val="872887368"/>
        </w:trPr>
        <w:tc>
          <w:tcPr>
            <w:tcW w:w="0" w:type="auto"/>
            <w:gridSpan w:val="3"/>
            <w:shd w:val="clear" w:color="auto" w:fill="FFFFFF"/>
            <w:tcMar>
              <w:top w:w="30" w:type="dxa"/>
              <w:left w:w="245" w:type="dxa"/>
              <w:bottom w:w="30" w:type="dxa"/>
              <w:right w:w="20" w:type="dxa"/>
            </w:tcMar>
            <w:hideMark/>
          </w:tcPr>
          <w:p w14:paraId="0820BB52" w14:textId="77777777" w:rsidR="00000000" w:rsidRDefault="00C1661D">
            <w:pPr>
              <w:spacing w:after="100"/>
              <w:rPr>
                <w:rFonts w:eastAsia="Times New Roman"/>
              </w:rPr>
            </w:pPr>
            <w:r>
              <w:rPr>
                <w:rFonts w:eastAsia="Times New Roman"/>
                <w:color w:val="000000"/>
                <w:sz w:val="20"/>
                <w:szCs w:val="20"/>
              </w:rPr>
              <w:t>Interest rate contracts</w:t>
            </w:r>
          </w:p>
        </w:tc>
        <w:tc>
          <w:tcPr>
            <w:tcW w:w="0" w:type="auto"/>
            <w:gridSpan w:val="2"/>
            <w:shd w:val="clear" w:color="auto" w:fill="FFFFFF"/>
            <w:tcMar>
              <w:top w:w="30" w:type="dxa"/>
              <w:left w:w="20" w:type="dxa"/>
              <w:bottom w:w="30" w:type="dxa"/>
              <w:right w:w="0" w:type="dxa"/>
            </w:tcMar>
            <w:vAlign w:val="bottom"/>
            <w:hideMark/>
          </w:tcPr>
          <w:p w14:paraId="6ABEDD94" w14:textId="77777777" w:rsidR="00000000" w:rsidRDefault="00C1661D">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14:paraId="374757B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FD2FB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1B912F"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9DA9E5" w14:textId="77777777" w:rsidR="00000000" w:rsidRDefault="00C1661D">
            <w:pPr>
              <w:spacing w:after="100"/>
              <w:jc w:val="right"/>
              <w:rPr>
                <w:rFonts w:eastAsia="Times New Roman"/>
              </w:rPr>
            </w:pPr>
          </w:p>
        </w:tc>
      </w:tr>
      <w:tr w:rsidR="00000000" w14:paraId="26DBB8B2" w14:textId="77777777">
        <w:trPr>
          <w:divId w:val="872887368"/>
        </w:trPr>
        <w:tc>
          <w:tcPr>
            <w:tcW w:w="0" w:type="auto"/>
            <w:gridSpan w:val="3"/>
            <w:shd w:val="clear" w:color="auto" w:fill="CCEEFF"/>
            <w:tcMar>
              <w:top w:w="0" w:type="dxa"/>
              <w:left w:w="20" w:type="dxa"/>
              <w:bottom w:w="0" w:type="dxa"/>
              <w:right w:w="20" w:type="dxa"/>
            </w:tcMar>
            <w:vAlign w:val="center"/>
            <w:hideMark/>
          </w:tcPr>
          <w:p w14:paraId="6BE31C7B"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C88FF3" w14:textId="77777777" w:rsidR="00000000" w:rsidRDefault="00C1661D">
            <w:pPr>
              <w:spacing w:after="100"/>
              <w:jc w:val="right"/>
              <w:rPr>
                <w:rFonts w:eastAsia="Times New Roman"/>
              </w:rPr>
            </w:pPr>
            <w:r>
              <w:rPr>
                <w:rFonts w:eastAsia="Times New Roman"/>
                <w:color w:val="000000"/>
                <w:sz w:val="20"/>
                <w:szCs w:val="20"/>
              </w:rPr>
              <w:t>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471B1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E73BF1"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F35D52" w14:textId="77777777" w:rsidR="00000000" w:rsidRDefault="00C1661D">
            <w:pPr>
              <w:spacing w:after="100"/>
              <w:jc w:val="right"/>
              <w:rPr>
                <w:rFonts w:eastAsia="Times New Roman"/>
              </w:rPr>
            </w:pPr>
            <w:r>
              <w:rPr>
                <w:rFonts w:eastAsia="Times New Roman"/>
                <w:color w:val="00000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500BA5" w14:textId="77777777" w:rsidR="00000000" w:rsidRDefault="00C1661D">
            <w:pPr>
              <w:spacing w:after="100"/>
              <w:jc w:val="right"/>
              <w:rPr>
                <w:rFonts w:eastAsia="Times New Roman"/>
              </w:rPr>
            </w:pPr>
          </w:p>
        </w:tc>
      </w:tr>
      <w:tr w:rsidR="00000000" w14:paraId="431ECE57" w14:textId="77777777">
        <w:trPr>
          <w:divId w:val="872887368"/>
        </w:trPr>
        <w:tc>
          <w:tcPr>
            <w:tcW w:w="0" w:type="auto"/>
            <w:gridSpan w:val="3"/>
            <w:shd w:val="clear" w:color="auto" w:fill="FFFFFF"/>
            <w:tcMar>
              <w:top w:w="30" w:type="dxa"/>
              <w:left w:w="155" w:type="dxa"/>
              <w:bottom w:w="30" w:type="dxa"/>
              <w:right w:w="20" w:type="dxa"/>
            </w:tcMar>
            <w:vAlign w:val="bottom"/>
            <w:hideMark/>
          </w:tcPr>
          <w:p w14:paraId="564952F7" w14:textId="77777777" w:rsidR="00000000" w:rsidRDefault="00C1661D">
            <w:pPr>
              <w:spacing w:after="100"/>
              <w:rPr>
                <w:rFonts w:eastAsia="Times New Roman"/>
              </w:rPr>
            </w:pPr>
            <w:r>
              <w:rPr>
                <w:rFonts w:eastAsia="Times New Roman"/>
                <w:b/>
                <w:bCs/>
                <w:color w:val="000000"/>
                <w:sz w:val="20"/>
                <w:szCs w:val="20"/>
              </w:rPr>
              <w:t>Derivatives subject to PGC and DS mechanisms:</w:t>
            </w:r>
          </w:p>
        </w:tc>
        <w:tc>
          <w:tcPr>
            <w:tcW w:w="0" w:type="auto"/>
            <w:gridSpan w:val="3"/>
            <w:shd w:val="clear" w:color="auto" w:fill="FFFFFF"/>
            <w:tcMar>
              <w:top w:w="0" w:type="dxa"/>
              <w:left w:w="20" w:type="dxa"/>
              <w:bottom w:w="0" w:type="dxa"/>
              <w:right w:w="20" w:type="dxa"/>
            </w:tcMar>
            <w:vAlign w:val="center"/>
            <w:hideMark/>
          </w:tcPr>
          <w:p w14:paraId="5600A073"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1849FF"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DB9CE5" w14:textId="77777777" w:rsidR="00000000" w:rsidRDefault="00C1661D">
            <w:pPr>
              <w:spacing w:after="100"/>
              <w:rPr>
                <w:rFonts w:eastAsia="Times New Roman"/>
                <w:sz w:val="20"/>
                <w:szCs w:val="20"/>
              </w:rPr>
            </w:pPr>
          </w:p>
        </w:tc>
      </w:tr>
      <w:tr w:rsidR="00000000" w14:paraId="28BEADBA" w14:textId="77777777">
        <w:trPr>
          <w:divId w:val="872887368"/>
        </w:trPr>
        <w:tc>
          <w:tcPr>
            <w:tcW w:w="0" w:type="auto"/>
            <w:gridSpan w:val="3"/>
            <w:shd w:val="clear" w:color="auto" w:fill="CCEEFF"/>
            <w:tcMar>
              <w:top w:w="30" w:type="dxa"/>
              <w:left w:w="245" w:type="dxa"/>
              <w:bottom w:w="30" w:type="dxa"/>
              <w:right w:w="20" w:type="dxa"/>
            </w:tcMar>
            <w:hideMark/>
          </w:tcPr>
          <w:p w14:paraId="0FDEAE95" w14:textId="77777777" w:rsidR="00000000" w:rsidRDefault="00C1661D">
            <w:pPr>
              <w:spacing w:after="100"/>
              <w:rPr>
                <w:rFonts w:eastAsia="Times New Roman"/>
              </w:rPr>
            </w:pPr>
            <w:r>
              <w:rPr>
                <w:rFonts w:eastAsia="Times New Roman"/>
                <w:color w:val="000000"/>
                <w:sz w:val="20"/>
                <w:szCs w:val="20"/>
              </w:rPr>
              <w:t>Commodity contracts</w:t>
            </w:r>
          </w:p>
        </w:tc>
        <w:tc>
          <w:tcPr>
            <w:tcW w:w="0" w:type="auto"/>
            <w:gridSpan w:val="2"/>
            <w:shd w:val="clear" w:color="auto" w:fill="CCEEFF"/>
            <w:tcMar>
              <w:top w:w="30" w:type="dxa"/>
              <w:left w:w="20" w:type="dxa"/>
              <w:bottom w:w="30" w:type="dxa"/>
              <w:right w:w="0" w:type="dxa"/>
            </w:tcMar>
            <w:vAlign w:val="bottom"/>
            <w:hideMark/>
          </w:tcPr>
          <w:p w14:paraId="6CDC4ED6" w14:textId="77777777" w:rsidR="00000000" w:rsidRDefault="00C1661D">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14:paraId="5AC9573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247D6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EC9644" w14:textId="77777777" w:rsidR="00000000" w:rsidRDefault="00C1661D">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14:paraId="1A4D7643" w14:textId="77777777" w:rsidR="00000000" w:rsidRDefault="00C1661D">
            <w:pPr>
              <w:spacing w:after="100"/>
              <w:jc w:val="right"/>
              <w:rPr>
                <w:rFonts w:eastAsia="Times New Roman"/>
              </w:rPr>
            </w:pPr>
          </w:p>
        </w:tc>
      </w:tr>
      <w:tr w:rsidR="00000000" w14:paraId="20C62822" w14:textId="77777777">
        <w:trPr>
          <w:divId w:val="872887368"/>
        </w:trPr>
        <w:tc>
          <w:tcPr>
            <w:tcW w:w="0" w:type="auto"/>
            <w:gridSpan w:val="3"/>
            <w:shd w:val="clear" w:color="auto" w:fill="FFFFFF"/>
            <w:tcMar>
              <w:top w:w="30" w:type="dxa"/>
              <w:left w:w="155" w:type="dxa"/>
              <w:bottom w:w="30" w:type="dxa"/>
              <w:right w:w="20" w:type="dxa"/>
            </w:tcMar>
            <w:vAlign w:val="bottom"/>
            <w:hideMark/>
          </w:tcPr>
          <w:p w14:paraId="361B73B1" w14:textId="77777777" w:rsidR="00000000" w:rsidRDefault="00C1661D">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30" w:type="dxa"/>
              <w:left w:w="20" w:type="dxa"/>
              <w:bottom w:w="30" w:type="dxa"/>
              <w:right w:w="20" w:type="dxa"/>
            </w:tcMar>
            <w:vAlign w:val="bottom"/>
            <w:hideMark/>
          </w:tcPr>
          <w:p w14:paraId="56320CD7"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9236F24"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F6BAC84" w14:textId="77777777" w:rsidR="00000000" w:rsidRDefault="00C1661D">
            <w:pPr>
              <w:spacing w:after="100"/>
              <w:rPr>
                <w:rFonts w:eastAsia="Times New Roman"/>
              </w:rPr>
            </w:pPr>
            <w:r>
              <w:rPr>
                <w:rFonts w:eastAsia="Times New Roman"/>
                <w:color w:val="000000"/>
                <w:sz w:val="20"/>
                <w:szCs w:val="20"/>
              </w:rPr>
              <w:t> </w:t>
            </w:r>
          </w:p>
        </w:tc>
      </w:tr>
      <w:tr w:rsidR="00000000" w14:paraId="1642A319" w14:textId="77777777">
        <w:trPr>
          <w:divId w:val="872887368"/>
        </w:trPr>
        <w:tc>
          <w:tcPr>
            <w:tcW w:w="0" w:type="auto"/>
            <w:gridSpan w:val="3"/>
            <w:shd w:val="clear" w:color="auto" w:fill="CCEEFF"/>
            <w:tcMar>
              <w:top w:w="30" w:type="dxa"/>
              <w:left w:w="245" w:type="dxa"/>
              <w:bottom w:w="30" w:type="dxa"/>
              <w:right w:w="20" w:type="dxa"/>
            </w:tcMar>
            <w:hideMark/>
          </w:tcPr>
          <w:p w14:paraId="6CFE7492" w14:textId="77777777" w:rsidR="00000000" w:rsidRDefault="00C1661D">
            <w:pPr>
              <w:spacing w:after="100"/>
              <w:rPr>
                <w:rFonts w:eastAsia="Times New Roman"/>
              </w:rPr>
            </w:pPr>
            <w:r>
              <w:rPr>
                <w:rFonts w:eastAsia="Times New Roman"/>
                <w:color w:val="000000"/>
                <w:sz w:val="20"/>
                <w:szCs w:val="20"/>
              </w:rPr>
              <w:t>Commodity contracts (a)</w:t>
            </w:r>
          </w:p>
        </w:tc>
        <w:tc>
          <w:tcPr>
            <w:tcW w:w="0" w:type="auto"/>
            <w:gridSpan w:val="2"/>
            <w:shd w:val="clear" w:color="auto" w:fill="CCEEFF"/>
            <w:tcMar>
              <w:top w:w="30" w:type="dxa"/>
              <w:left w:w="20" w:type="dxa"/>
              <w:bottom w:w="30" w:type="dxa"/>
              <w:right w:w="0" w:type="dxa"/>
            </w:tcMar>
            <w:vAlign w:val="bottom"/>
            <w:hideMark/>
          </w:tcPr>
          <w:p w14:paraId="78CAE52B" w14:textId="77777777" w:rsidR="00000000" w:rsidRDefault="00C1661D">
            <w:pPr>
              <w:spacing w:after="100"/>
              <w:jc w:val="right"/>
              <w:rPr>
                <w:rFonts w:eastAsia="Times New Roman"/>
              </w:rPr>
            </w:pPr>
            <w:r>
              <w:rPr>
                <w:rFonts w:eastAsia="Times New Roman"/>
                <w:color w:val="000000"/>
                <w:sz w:val="20"/>
                <w:szCs w:val="20"/>
              </w:rPr>
              <w:t>2,202 </w:t>
            </w:r>
          </w:p>
        </w:tc>
        <w:tc>
          <w:tcPr>
            <w:tcW w:w="0" w:type="auto"/>
            <w:shd w:val="clear" w:color="auto" w:fill="CCEEFF"/>
            <w:tcMar>
              <w:top w:w="30" w:type="dxa"/>
              <w:left w:w="0" w:type="dxa"/>
              <w:bottom w:w="30" w:type="dxa"/>
              <w:right w:w="20" w:type="dxa"/>
            </w:tcMar>
            <w:vAlign w:val="bottom"/>
            <w:hideMark/>
          </w:tcPr>
          <w:p w14:paraId="1AC6A4A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A6474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09F8C9" w14:textId="77777777" w:rsidR="00000000" w:rsidRDefault="00C1661D">
            <w:pPr>
              <w:spacing w:after="100"/>
              <w:jc w:val="right"/>
              <w:rPr>
                <w:rFonts w:eastAsia="Times New Roman"/>
              </w:rPr>
            </w:pPr>
            <w:r>
              <w:rPr>
                <w:rFonts w:eastAsia="Times New Roman"/>
                <w:color w:val="000000"/>
                <w:sz w:val="20"/>
                <w:szCs w:val="20"/>
              </w:rPr>
              <w:t>1,591 </w:t>
            </w:r>
          </w:p>
        </w:tc>
        <w:tc>
          <w:tcPr>
            <w:tcW w:w="0" w:type="auto"/>
            <w:shd w:val="clear" w:color="auto" w:fill="CCEEFF"/>
            <w:tcMar>
              <w:top w:w="30" w:type="dxa"/>
              <w:left w:w="0" w:type="dxa"/>
              <w:bottom w:w="30" w:type="dxa"/>
              <w:right w:w="20" w:type="dxa"/>
            </w:tcMar>
            <w:vAlign w:val="bottom"/>
            <w:hideMark/>
          </w:tcPr>
          <w:p w14:paraId="609A307A" w14:textId="77777777" w:rsidR="00000000" w:rsidRDefault="00C1661D">
            <w:pPr>
              <w:spacing w:after="100"/>
              <w:jc w:val="right"/>
              <w:rPr>
                <w:rFonts w:eastAsia="Times New Roman"/>
              </w:rPr>
            </w:pPr>
          </w:p>
        </w:tc>
      </w:tr>
      <w:tr w:rsidR="00000000" w14:paraId="21D77A65" w14:textId="77777777">
        <w:trPr>
          <w:divId w:val="872887368"/>
        </w:trPr>
        <w:tc>
          <w:tcPr>
            <w:tcW w:w="0" w:type="auto"/>
            <w:gridSpan w:val="3"/>
            <w:shd w:val="clear" w:color="auto" w:fill="FFFFFF"/>
            <w:tcMar>
              <w:top w:w="30" w:type="dxa"/>
              <w:left w:w="245" w:type="dxa"/>
              <w:bottom w:w="30" w:type="dxa"/>
              <w:right w:w="20" w:type="dxa"/>
            </w:tcMar>
            <w:hideMark/>
          </w:tcPr>
          <w:p w14:paraId="1577A357" w14:textId="77777777" w:rsidR="00000000" w:rsidRDefault="00C1661D">
            <w:pPr>
              <w:spacing w:after="100"/>
              <w:rPr>
                <w:rFonts w:eastAsia="Times New Roman"/>
              </w:rPr>
            </w:pPr>
            <w:r>
              <w:rPr>
                <w:rFonts w:eastAsia="Times New Roman"/>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14:paraId="29C20F5B" w14:textId="77777777" w:rsidR="00000000" w:rsidRDefault="00C1661D">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14:paraId="14D3EC3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1A429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7871D2" w14:textId="77777777" w:rsidR="00000000" w:rsidRDefault="00C1661D">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32B34128" w14:textId="77777777" w:rsidR="00000000" w:rsidRDefault="00C1661D">
            <w:pPr>
              <w:spacing w:after="100"/>
              <w:jc w:val="right"/>
              <w:rPr>
                <w:rFonts w:eastAsia="Times New Roman"/>
              </w:rPr>
            </w:pPr>
          </w:p>
        </w:tc>
      </w:tr>
      <w:tr w:rsidR="00000000" w14:paraId="297240EB" w14:textId="77777777">
        <w:trPr>
          <w:divId w:val="872887368"/>
        </w:trPr>
        <w:tc>
          <w:tcPr>
            <w:tcW w:w="0" w:type="auto"/>
            <w:gridSpan w:val="3"/>
            <w:shd w:val="clear" w:color="auto" w:fill="CCEEFF"/>
            <w:tcMar>
              <w:top w:w="0" w:type="dxa"/>
              <w:left w:w="20" w:type="dxa"/>
              <w:bottom w:w="0" w:type="dxa"/>
              <w:right w:w="20" w:type="dxa"/>
            </w:tcMar>
            <w:vAlign w:val="center"/>
            <w:hideMark/>
          </w:tcPr>
          <w:p w14:paraId="627F2684"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F58E23" w14:textId="77777777" w:rsidR="00000000" w:rsidRDefault="00C1661D">
            <w:pPr>
              <w:spacing w:after="100"/>
              <w:jc w:val="right"/>
              <w:rPr>
                <w:rFonts w:eastAsia="Times New Roman"/>
              </w:rPr>
            </w:pPr>
            <w:r>
              <w:rPr>
                <w:rFonts w:eastAsia="Times New Roman"/>
                <w:color w:val="000000"/>
                <w:sz w:val="20"/>
                <w:szCs w:val="20"/>
              </w:rPr>
              <w:t>2,264 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5ABC0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ECB7FA"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5AE4AF" w14:textId="77777777" w:rsidR="00000000" w:rsidRDefault="00C1661D">
            <w:pPr>
              <w:spacing w:after="100"/>
              <w:jc w:val="right"/>
              <w:rPr>
                <w:rFonts w:eastAsia="Times New Roman"/>
              </w:rPr>
            </w:pPr>
            <w:r>
              <w:rPr>
                <w:rFonts w:eastAsia="Times New Roman"/>
                <w:color w:val="000000"/>
                <w:sz w:val="20"/>
                <w:szCs w:val="20"/>
              </w:rPr>
              <w:t>1,609 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03F8F2" w14:textId="77777777" w:rsidR="00000000" w:rsidRDefault="00C1661D">
            <w:pPr>
              <w:spacing w:after="100"/>
              <w:jc w:val="right"/>
              <w:rPr>
                <w:rFonts w:eastAsia="Times New Roman"/>
              </w:rPr>
            </w:pPr>
          </w:p>
        </w:tc>
      </w:tr>
      <w:tr w:rsidR="00000000" w14:paraId="7887AAA6" w14:textId="77777777">
        <w:trPr>
          <w:divId w:val="872887368"/>
        </w:trPr>
        <w:tc>
          <w:tcPr>
            <w:tcW w:w="0" w:type="auto"/>
            <w:gridSpan w:val="3"/>
            <w:shd w:val="clear" w:color="auto" w:fill="FFFFFF"/>
            <w:tcMar>
              <w:top w:w="30" w:type="dxa"/>
              <w:left w:w="20" w:type="dxa"/>
              <w:bottom w:w="30" w:type="dxa"/>
              <w:right w:w="20" w:type="dxa"/>
            </w:tcMar>
            <w:vAlign w:val="bottom"/>
            <w:hideMark/>
          </w:tcPr>
          <w:p w14:paraId="1F314B85" w14:textId="77777777" w:rsidR="00000000" w:rsidRDefault="00C1661D">
            <w:pPr>
              <w:spacing w:after="100"/>
              <w:rPr>
                <w:rFonts w:eastAsia="Times New Roman"/>
              </w:rPr>
            </w:pPr>
            <w:r>
              <w:rPr>
                <w:rFonts w:eastAsia="Times New Roman"/>
                <w:color w:val="000000"/>
                <w:sz w:val="20"/>
                <w:szCs w:val="20"/>
              </w:rPr>
              <w:t>Total derivative assets –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2AE01E" w14:textId="77777777" w:rsidR="00000000" w:rsidRDefault="00C1661D">
            <w:pPr>
              <w:spacing w:after="100"/>
              <w:jc w:val="right"/>
              <w:rPr>
                <w:rFonts w:eastAsia="Times New Roman"/>
              </w:rPr>
            </w:pPr>
            <w:r>
              <w:rPr>
                <w:rFonts w:eastAsia="Times New Roman"/>
                <w:color w:val="000000"/>
                <w:sz w:val="20"/>
                <w:szCs w:val="20"/>
              </w:rPr>
              <w:t>2,418 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E4BE9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70323E"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4465BD" w14:textId="77777777" w:rsidR="00000000" w:rsidRDefault="00C1661D">
            <w:pPr>
              <w:spacing w:after="100"/>
              <w:jc w:val="right"/>
              <w:rPr>
                <w:rFonts w:eastAsia="Times New Roman"/>
              </w:rPr>
            </w:pPr>
            <w:r>
              <w:rPr>
                <w:rFonts w:eastAsia="Times New Roman"/>
                <w:color w:val="000000"/>
                <w:sz w:val="20"/>
                <w:szCs w:val="20"/>
              </w:rPr>
              <w:t>1,687 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FFEF2E" w14:textId="77777777" w:rsidR="00000000" w:rsidRDefault="00C1661D">
            <w:pPr>
              <w:spacing w:after="100"/>
              <w:jc w:val="right"/>
              <w:rPr>
                <w:rFonts w:eastAsia="Times New Roman"/>
              </w:rPr>
            </w:pPr>
          </w:p>
        </w:tc>
      </w:tr>
      <w:tr w:rsidR="00000000" w14:paraId="5EA99728" w14:textId="77777777">
        <w:trPr>
          <w:divId w:val="872887368"/>
        </w:trPr>
        <w:tc>
          <w:tcPr>
            <w:tcW w:w="0" w:type="auto"/>
            <w:gridSpan w:val="3"/>
            <w:shd w:val="clear" w:color="auto" w:fill="CCEEFF"/>
            <w:tcMar>
              <w:top w:w="30" w:type="dxa"/>
              <w:left w:w="20" w:type="dxa"/>
              <w:bottom w:w="30" w:type="dxa"/>
              <w:right w:w="20" w:type="dxa"/>
            </w:tcMar>
            <w:vAlign w:val="bottom"/>
            <w:hideMark/>
          </w:tcPr>
          <w:p w14:paraId="07AA9493" w14:textId="77777777" w:rsidR="00000000" w:rsidRDefault="00C1661D">
            <w:pPr>
              <w:spacing w:after="100"/>
              <w:rPr>
                <w:rFonts w:eastAsia="Times New Roman"/>
              </w:rPr>
            </w:pPr>
            <w:r>
              <w:rPr>
                <w:rFonts w:eastAsia="Times New Roman"/>
                <w:color w:val="000000"/>
                <w:sz w:val="20"/>
                <w:szCs w:val="20"/>
              </w:rPr>
              <w:t>Gross amounts offset in the balance sheet</w:t>
            </w:r>
          </w:p>
        </w:tc>
        <w:tc>
          <w:tcPr>
            <w:tcW w:w="0" w:type="auto"/>
            <w:gridSpan w:val="2"/>
            <w:shd w:val="clear" w:color="auto" w:fill="CCEEFF"/>
            <w:tcMar>
              <w:top w:w="30" w:type="dxa"/>
              <w:left w:w="20" w:type="dxa"/>
              <w:bottom w:w="30" w:type="dxa"/>
              <w:right w:w="0" w:type="dxa"/>
            </w:tcMar>
            <w:vAlign w:val="bottom"/>
            <w:hideMark/>
          </w:tcPr>
          <w:p w14:paraId="36127F07" w14:textId="77777777" w:rsidR="00000000" w:rsidRDefault="00C1661D">
            <w:pPr>
              <w:spacing w:after="100"/>
              <w:jc w:val="right"/>
              <w:rPr>
                <w:rFonts w:eastAsia="Times New Roman"/>
              </w:rPr>
            </w:pPr>
            <w:r>
              <w:rPr>
                <w:rFonts w:eastAsia="Times New Roman"/>
                <w:color w:val="000000"/>
                <w:sz w:val="20"/>
                <w:szCs w:val="20"/>
              </w:rPr>
              <w:t>(295)</w:t>
            </w:r>
          </w:p>
        </w:tc>
        <w:tc>
          <w:tcPr>
            <w:tcW w:w="0" w:type="auto"/>
            <w:shd w:val="clear" w:color="auto" w:fill="CCEEFF"/>
            <w:tcMar>
              <w:top w:w="30" w:type="dxa"/>
              <w:left w:w="0" w:type="dxa"/>
              <w:bottom w:w="30" w:type="dxa"/>
              <w:right w:w="20" w:type="dxa"/>
            </w:tcMar>
            <w:vAlign w:val="bottom"/>
            <w:hideMark/>
          </w:tcPr>
          <w:p w14:paraId="7EA00F2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721C5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B51E79" w14:textId="77777777" w:rsidR="00000000" w:rsidRDefault="00C1661D">
            <w:pPr>
              <w:spacing w:after="100"/>
              <w:jc w:val="right"/>
              <w:rPr>
                <w:rFonts w:eastAsia="Times New Roman"/>
              </w:rPr>
            </w:pPr>
            <w:r>
              <w:rPr>
                <w:rFonts w:eastAsia="Times New Roman"/>
                <w:color w:val="000000"/>
                <w:sz w:val="20"/>
                <w:szCs w:val="20"/>
              </w:rPr>
              <w:t>(216)</w:t>
            </w:r>
          </w:p>
        </w:tc>
        <w:tc>
          <w:tcPr>
            <w:tcW w:w="0" w:type="auto"/>
            <w:shd w:val="clear" w:color="auto" w:fill="CCEEFF"/>
            <w:tcMar>
              <w:top w:w="30" w:type="dxa"/>
              <w:left w:w="0" w:type="dxa"/>
              <w:bottom w:w="30" w:type="dxa"/>
              <w:right w:w="20" w:type="dxa"/>
            </w:tcMar>
            <w:vAlign w:val="bottom"/>
            <w:hideMark/>
          </w:tcPr>
          <w:p w14:paraId="285EFA00" w14:textId="77777777" w:rsidR="00000000" w:rsidRDefault="00C1661D">
            <w:pPr>
              <w:spacing w:after="100"/>
              <w:jc w:val="right"/>
              <w:rPr>
                <w:rFonts w:eastAsia="Times New Roman"/>
              </w:rPr>
            </w:pPr>
          </w:p>
        </w:tc>
      </w:tr>
      <w:tr w:rsidR="00000000" w14:paraId="677C3057" w14:textId="77777777">
        <w:trPr>
          <w:divId w:val="872887368"/>
        </w:trPr>
        <w:tc>
          <w:tcPr>
            <w:tcW w:w="0" w:type="auto"/>
            <w:gridSpan w:val="3"/>
            <w:shd w:val="clear" w:color="auto" w:fill="FFFFFF"/>
            <w:tcMar>
              <w:top w:w="30" w:type="dxa"/>
              <w:left w:w="20" w:type="dxa"/>
              <w:bottom w:w="30" w:type="dxa"/>
              <w:right w:w="20" w:type="dxa"/>
            </w:tcMar>
            <w:vAlign w:val="bottom"/>
            <w:hideMark/>
          </w:tcPr>
          <w:p w14:paraId="2B18CC79" w14:textId="77777777" w:rsidR="00000000" w:rsidRDefault="00C1661D">
            <w:pPr>
              <w:spacing w:after="100"/>
              <w:rPr>
                <w:rFonts w:eastAsia="Times New Roman"/>
              </w:rPr>
            </w:pPr>
            <w:r>
              <w:rPr>
                <w:rFonts w:eastAsia="Times New Roman"/>
                <w:color w:val="000000"/>
                <w:sz w:val="20"/>
                <w:szCs w:val="20"/>
              </w:rPr>
              <w:t>Cash collateral received</w:t>
            </w:r>
          </w:p>
        </w:tc>
        <w:tc>
          <w:tcPr>
            <w:tcW w:w="0" w:type="auto"/>
            <w:gridSpan w:val="2"/>
            <w:shd w:val="clear" w:color="auto" w:fill="FFFFFF"/>
            <w:tcMar>
              <w:top w:w="30" w:type="dxa"/>
              <w:left w:w="20" w:type="dxa"/>
              <w:bottom w:w="30" w:type="dxa"/>
              <w:right w:w="0" w:type="dxa"/>
            </w:tcMar>
            <w:vAlign w:val="bottom"/>
            <w:hideMark/>
          </w:tcPr>
          <w:p w14:paraId="716909DB" w14:textId="77777777" w:rsidR="00000000" w:rsidRDefault="00C1661D">
            <w:pPr>
              <w:spacing w:after="100"/>
              <w:jc w:val="right"/>
              <w:rPr>
                <w:rFonts w:eastAsia="Times New Roman"/>
              </w:rPr>
            </w:pPr>
            <w:r>
              <w:rPr>
                <w:rFonts w:eastAsia="Times New Roman"/>
                <w:color w:val="000000"/>
                <w:sz w:val="20"/>
                <w:szCs w:val="20"/>
              </w:rPr>
              <w:t>(398)</w:t>
            </w:r>
          </w:p>
        </w:tc>
        <w:tc>
          <w:tcPr>
            <w:tcW w:w="0" w:type="auto"/>
            <w:shd w:val="clear" w:color="auto" w:fill="FFFFFF"/>
            <w:tcMar>
              <w:top w:w="30" w:type="dxa"/>
              <w:left w:w="0" w:type="dxa"/>
              <w:bottom w:w="30" w:type="dxa"/>
              <w:right w:w="20" w:type="dxa"/>
            </w:tcMar>
            <w:vAlign w:val="bottom"/>
            <w:hideMark/>
          </w:tcPr>
          <w:p w14:paraId="65AC16D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F4E86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83CCDE" w14:textId="77777777" w:rsidR="00000000" w:rsidRDefault="00C1661D">
            <w:pPr>
              <w:spacing w:after="100"/>
              <w:jc w:val="right"/>
              <w:rPr>
                <w:rFonts w:eastAsia="Times New Roman"/>
              </w:rPr>
            </w:pPr>
            <w:r>
              <w:rPr>
                <w:rFonts w:eastAsia="Times New Roman"/>
                <w:color w:val="000000"/>
                <w:sz w:val="20"/>
                <w:szCs w:val="20"/>
              </w:rPr>
              <w:t>(468)</w:t>
            </w:r>
          </w:p>
        </w:tc>
        <w:tc>
          <w:tcPr>
            <w:tcW w:w="0" w:type="auto"/>
            <w:shd w:val="clear" w:color="auto" w:fill="FFFFFF"/>
            <w:tcMar>
              <w:top w:w="30" w:type="dxa"/>
              <w:left w:w="0" w:type="dxa"/>
              <w:bottom w:w="30" w:type="dxa"/>
              <w:right w:w="20" w:type="dxa"/>
            </w:tcMar>
            <w:vAlign w:val="bottom"/>
            <w:hideMark/>
          </w:tcPr>
          <w:p w14:paraId="2E57559D" w14:textId="77777777" w:rsidR="00000000" w:rsidRDefault="00C1661D">
            <w:pPr>
              <w:spacing w:after="100"/>
              <w:jc w:val="right"/>
              <w:rPr>
                <w:rFonts w:eastAsia="Times New Roman"/>
              </w:rPr>
            </w:pPr>
          </w:p>
        </w:tc>
      </w:tr>
      <w:tr w:rsidR="00000000" w14:paraId="52A4578C" w14:textId="77777777">
        <w:trPr>
          <w:divId w:val="872887368"/>
        </w:trPr>
        <w:tc>
          <w:tcPr>
            <w:tcW w:w="0" w:type="auto"/>
            <w:gridSpan w:val="3"/>
            <w:shd w:val="clear" w:color="auto" w:fill="CCEEFF"/>
            <w:tcMar>
              <w:top w:w="30" w:type="dxa"/>
              <w:left w:w="20" w:type="dxa"/>
              <w:bottom w:w="30" w:type="dxa"/>
              <w:right w:w="20" w:type="dxa"/>
            </w:tcMar>
            <w:vAlign w:val="bottom"/>
            <w:hideMark/>
          </w:tcPr>
          <w:p w14:paraId="22575E50" w14:textId="77777777" w:rsidR="00000000" w:rsidRDefault="00C1661D">
            <w:pPr>
              <w:spacing w:after="100"/>
              <w:rPr>
                <w:rFonts w:eastAsia="Times New Roman"/>
              </w:rPr>
            </w:pPr>
            <w:r>
              <w:rPr>
                <w:rFonts w:eastAsia="Times New Roman"/>
                <w:color w:val="000000"/>
                <w:sz w:val="20"/>
                <w:szCs w:val="20"/>
              </w:rPr>
              <w:t>Total derivative assets – net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C9DB5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F03587" w14:textId="77777777" w:rsidR="00000000" w:rsidRDefault="00C1661D">
            <w:pPr>
              <w:spacing w:after="100"/>
              <w:jc w:val="right"/>
              <w:rPr>
                <w:rFonts w:eastAsia="Times New Roman"/>
              </w:rPr>
            </w:pPr>
            <w:r>
              <w:rPr>
                <w:rFonts w:eastAsia="Times New Roman"/>
                <w:color w:val="000000"/>
                <w:sz w:val="20"/>
                <w:szCs w:val="20"/>
              </w:rPr>
              <w:t>1,725 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425A3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C4945"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E3D2FA"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21A4C6" w14:textId="77777777" w:rsidR="00000000" w:rsidRDefault="00C1661D">
            <w:pPr>
              <w:spacing w:after="100"/>
              <w:jc w:val="right"/>
              <w:rPr>
                <w:rFonts w:eastAsia="Times New Roman"/>
              </w:rPr>
            </w:pPr>
            <w:r>
              <w:rPr>
                <w:rFonts w:eastAsia="Times New Roman"/>
                <w:color w:val="000000"/>
                <w:sz w:val="20"/>
                <w:szCs w:val="20"/>
              </w:rPr>
              <w:t>1,003 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BB25C2" w14:textId="77777777" w:rsidR="00000000" w:rsidRDefault="00C1661D">
            <w:pPr>
              <w:spacing w:after="100"/>
              <w:jc w:val="right"/>
              <w:rPr>
                <w:rFonts w:eastAsia="Times New Roman"/>
              </w:rPr>
            </w:pPr>
          </w:p>
        </w:tc>
      </w:tr>
      <w:tr w:rsidR="00000000" w14:paraId="4B59B532" w14:textId="77777777">
        <w:trPr>
          <w:divId w:val="872887368"/>
          <w:trHeight w:val="280"/>
        </w:trPr>
        <w:tc>
          <w:tcPr>
            <w:tcW w:w="0" w:type="auto"/>
            <w:gridSpan w:val="3"/>
            <w:shd w:val="clear" w:color="auto" w:fill="FFFFFF"/>
            <w:tcMar>
              <w:top w:w="0" w:type="dxa"/>
              <w:left w:w="20" w:type="dxa"/>
              <w:bottom w:w="0" w:type="dxa"/>
              <w:right w:w="20" w:type="dxa"/>
            </w:tcMar>
            <w:vAlign w:val="center"/>
            <w:hideMark/>
          </w:tcPr>
          <w:p w14:paraId="05BF680F" w14:textId="77777777" w:rsidR="00000000" w:rsidRDefault="00C1661D">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B07C4E5"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193692" w14:textId="77777777" w:rsidR="00000000" w:rsidRDefault="00C166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64F4D6A" w14:textId="77777777" w:rsidR="00000000" w:rsidRDefault="00C1661D">
            <w:pPr>
              <w:spacing w:after="100"/>
              <w:rPr>
                <w:rFonts w:eastAsia="Times New Roman"/>
                <w:sz w:val="20"/>
                <w:szCs w:val="20"/>
              </w:rPr>
            </w:pPr>
          </w:p>
        </w:tc>
      </w:tr>
      <w:tr w:rsidR="00000000" w14:paraId="4B47AE97" w14:textId="77777777">
        <w:trPr>
          <w:divId w:val="872887368"/>
        </w:trPr>
        <w:tc>
          <w:tcPr>
            <w:tcW w:w="0" w:type="auto"/>
            <w:gridSpan w:val="3"/>
            <w:shd w:val="clear" w:color="auto" w:fill="CCEEFF"/>
            <w:tcMar>
              <w:top w:w="30" w:type="dxa"/>
              <w:left w:w="20" w:type="dxa"/>
              <w:bottom w:w="30" w:type="dxa"/>
              <w:right w:w="20" w:type="dxa"/>
            </w:tcMar>
            <w:vAlign w:val="bottom"/>
            <w:hideMark/>
          </w:tcPr>
          <w:p w14:paraId="4B892943" w14:textId="77777777" w:rsidR="00000000" w:rsidRDefault="00C1661D">
            <w:pPr>
              <w:spacing w:after="100"/>
              <w:rPr>
                <w:rFonts w:eastAsia="Times New Roman"/>
              </w:rPr>
            </w:pPr>
            <w:r>
              <w:rPr>
                <w:rFonts w:eastAsia="Times New Roman"/>
                <w:b/>
                <w:bCs/>
                <w:color w:val="000000"/>
                <w:sz w:val="20"/>
                <w:szCs w:val="20"/>
              </w:rPr>
              <w:t>Derivative liabilities:</w:t>
            </w:r>
          </w:p>
        </w:tc>
        <w:tc>
          <w:tcPr>
            <w:tcW w:w="0" w:type="auto"/>
            <w:gridSpan w:val="3"/>
            <w:shd w:val="clear" w:color="auto" w:fill="CCEEFF"/>
            <w:tcMar>
              <w:top w:w="0" w:type="dxa"/>
              <w:left w:w="20" w:type="dxa"/>
              <w:bottom w:w="0" w:type="dxa"/>
              <w:right w:w="20" w:type="dxa"/>
            </w:tcMar>
            <w:vAlign w:val="center"/>
            <w:hideMark/>
          </w:tcPr>
          <w:p w14:paraId="6800D0F8"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5DADF0"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E67C9E" w14:textId="77777777" w:rsidR="00000000" w:rsidRDefault="00C1661D">
            <w:pPr>
              <w:spacing w:after="100"/>
              <w:rPr>
                <w:rFonts w:eastAsia="Times New Roman"/>
                <w:sz w:val="20"/>
                <w:szCs w:val="20"/>
              </w:rPr>
            </w:pPr>
          </w:p>
        </w:tc>
      </w:tr>
      <w:tr w:rsidR="00000000" w14:paraId="5BE5BB9C" w14:textId="77777777">
        <w:trPr>
          <w:divId w:val="872887368"/>
        </w:trPr>
        <w:tc>
          <w:tcPr>
            <w:tcW w:w="0" w:type="auto"/>
            <w:gridSpan w:val="3"/>
            <w:shd w:val="clear" w:color="auto" w:fill="FFFFFF"/>
            <w:tcMar>
              <w:top w:w="30" w:type="dxa"/>
              <w:left w:w="155" w:type="dxa"/>
              <w:bottom w:w="30" w:type="dxa"/>
              <w:right w:w="20" w:type="dxa"/>
            </w:tcMar>
            <w:vAlign w:val="bottom"/>
            <w:hideMark/>
          </w:tcPr>
          <w:p w14:paraId="1801A4A2" w14:textId="77777777" w:rsidR="00000000" w:rsidRDefault="00C1661D">
            <w:pPr>
              <w:spacing w:after="100"/>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14:paraId="1215A329"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211A3C"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F84E6F" w14:textId="77777777" w:rsidR="00000000" w:rsidRDefault="00C1661D">
            <w:pPr>
              <w:spacing w:after="100"/>
              <w:rPr>
                <w:rFonts w:eastAsia="Times New Roman"/>
                <w:sz w:val="20"/>
                <w:szCs w:val="20"/>
              </w:rPr>
            </w:pPr>
          </w:p>
        </w:tc>
      </w:tr>
      <w:tr w:rsidR="00000000" w14:paraId="19C5B334" w14:textId="77777777">
        <w:trPr>
          <w:divId w:val="872887368"/>
        </w:trPr>
        <w:tc>
          <w:tcPr>
            <w:tcW w:w="0" w:type="auto"/>
            <w:gridSpan w:val="3"/>
            <w:vAlign w:val="center"/>
            <w:hideMark/>
          </w:tcPr>
          <w:p w14:paraId="175B2DDC" w14:textId="77777777" w:rsidR="00000000" w:rsidRDefault="00C1661D">
            <w:pPr>
              <w:spacing w:after="100"/>
              <w:rPr>
                <w:rFonts w:eastAsia="Times New Roman"/>
                <w:sz w:val="20"/>
                <w:szCs w:val="20"/>
              </w:rPr>
            </w:pPr>
          </w:p>
        </w:tc>
        <w:tc>
          <w:tcPr>
            <w:tcW w:w="0" w:type="auto"/>
            <w:gridSpan w:val="3"/>
            <w:vAlign w:val="center"/>
            <w:hideMark/>
          </w:tcPr>
          <w:p w14:paraId="1FFB10C3" w14:textId="77777777" w:rsidR="00000000" w:rsidRDefault="00C1661D">
            <w:pPr>
              <w:spacing w:after="100"/>
              <w:rPr>
                <w:rFonts w:eastAsia="Times New Roman"/>
                <w:sz w:val="20"/>
                <w:szCs w:val="20"/>
              </w:rPr>
            </w:pPr>
          </w:p>
        </w:tc>
        <w:tc>
          <w:tcPr>
            <w:tcW w:w="0" w:type="auto"/>
            <w:gridSpan w:val="3"/>
            <w:vAlign w:val="center"/>
            <w:hideMark/>
          </w:tcPr>
          <w:p w14:paraId="7DBED962" w14:textId="77777777" w:rsidR="00000000" w:rsidRDefault="00C1661D">
            <w:pPr>
              <w:spacing w:after="100"/>
              <w:rPr>
                <w:rFonts w:eastAsia="Times New Roman"/>
                <w:sz w:val="20"/>
                <w:szCs w:val="20"/>
              </w:rPr>
            </w:pPr>
          </w:p>
        </w:tc>
        <w:tc>
          <w:tcPr>
            <w:tcW w:w="0" w:type="auto"/>
            <w:gridSpan w:val="3"/>
            <w:vAlign w:val="center"/>
            <w:hideMark/>
          </w:tcPr>
          <w:p w14:paraId="1DA68EEC" w14:textId="77777777" w:rsidR="00000000" w:rsidRDefault="00C1661D">
            <w:pPr>
              <w:spacing w:after="100"/>
              <w:rPr>
                <w:rFonts w:eastAsia="Times New Roman"/>
                <w:sz w:val="20"/>
                <w:szCs w:val="20"/>
              </w:rPr>
            </w:pPr>
          </w:p>
        </w:tc>
      </w:tr>
      <w:tr w:rsidR="00000000" w14:paraId="7CC13B06" w14:textId="77777777">
        <w:trPr>
          <w:divId w:val="872887368"/>
        </w:trPr>
        <w:tc>
          <w:tcPr>
            <w:tcW w:w="0" w:type="auto"/>
            <w:gridSpan w:val="3"/>
            <w:vAlign w:val="center"/>
            <w:hideMark/>
          </w:tcPr>
          <w:p w14:paraId="50787F99" w14:textId="77777777" w:rsidR="00000000" w:rsidRDefault="00C1661D">
            <w:pPr>
              <w:spacing w:after="100"/>
              <w:rPr>
                <w:rFonts w:eastAsia="Times New Roman"/>
                <w:sz w:val="20"/>
                <w:szCs w:val="20"/>
              </w:rPr>
            </w:pPr>
          </w:p>
        </w:tc>
        <w:tc>
          <w:tcPr>
            <w:tcW w:w="0" w:type="auto"/>
            <w:gridSpan w:val="3"/>
            <w:vAlign w:val="center"/>
            <w:hideMark/>
          </w:tcPr>
          <w:p w14:paraId="39C3E2C7" w14:textId="77777777" w:rsidR="00000000" w:rsidRDefault="00C1661D">
            <w:pPr>
              <w:spacing w:after="100"/>
              <w:rPr>
                <w:rFonts w:eastAsia="Times New Roman"/>
                <w:sz w:val="20"/>
                <w:szCs w:val="20"/>
              </w:rPr>
            </w:pPr>
          </w:p>
        </w:tc>
        <w:tc>
          <w:tcPr>
            <w:tcW w:w="0" w:type="auto"/>
            <w:gridSpan w:val="3"/>
            <w:vAlign w:val="center"/>
            <w:hideMark/>
          </w:tcPr>
          <w:p w14:paraId="2ADFD019" w14:textId="77777777" w:rsidR="00000000" w:rsidRDefault="00C1661D">
            <w:pPr>
              <w:spacing w:after="100"/>
              <w:rPr>
                <w:rFonts w:eastAsia="Times New Roman"/>
                <w:sz w:val="20"/>
                <w:szCs w:val="20"/>
              </w:rPr>
            </w:pPr>
          </w:p>
        </w:tc>
        <w:tc>
          <w:tcPr>
            <w:tcW w:w="0" w:type="auto"/>
            <w:gridSpan w:val="3"/>
            <w:vAlign w:val="center"/>
            <w:hideMark/>
          </w:tcPr>
          <w:p w14:paraId="673F26D2" w14:textId="77777777" w:rsidR="00000000" w:rsidRDefault="00C1661D">
            <w:pPr>
              <w:spacing w:after="100"/>
              <w:rPr>
                <w:rFonts w:eastAsia="Times New Roman"/>
                <w:sz w:val="20"/>
                <w:szCs w:val="20"/>
              </w:rPr>
            </w:pPr>
          </w:p>
        </w:tc>
      </w:tr>
      <w:tr w:rsidR="00000000" w14:paraId="71E1132B" w14:textId="77777777">
        <w:trPr>
          <w:divId w:val="872887368"/>
        </w:trPr>
        <w:tc>
          <w:tcPr>
            <w:tcW w:w="0" w:type="auto"/>
            <w:gridSpan w:val="3"/>
            <w:vAlign w:val="center"/>
            <w:hideMark/>
          </w:tcPr>
          <w:p w14:paraId="1C02553C" w14:textId="77777777" w:rsidR="00000000" w:rsidRDefault="00C1661D">
            <w:pPr>
              <w:spacing w:after="100"/>
              <w:rPr>
                <w:rFonts w:eastAsia="Times New Roman"/>
                <w:sz w:val="20"/>
                <w:szCs w:val="20"/>
              </w:rPr>
            </w:pPr>
          </w:p>
        </w:tc>
        <w:tc>
          <w:tcPr>
            <w:tcW w:w="0" w:type="auto"/>
            <w:gridSpan w:val="3"/>
            <w:vAlign w:val="center"/>
            <w:hideMark/>
          </w:tcPr>
          <w:p w14:paraId="208CA29C" w14:textId="77777777" w:rsidR="00000000" w:rsidRDefault="00C1661D">
            <w:pPr>
              <w:spacing w:after="100"/>
              <w:rPr>
                <w:rFonts w:eastAsia="Times New Roman"/>
                <w:sz w:val="20"/>
                <w:szCs w:val="20"/>
              </w:rPr>
            </w:pPr>
          </w:p>
        </w:tc>
        <w:tc>
          <w:tcPr>
            <w:tcW w:w="0" w:type="auto"/>
            <w:gridSpan w:val="3"/>
            <w:vAlign w:val="center"/>
            <w:hideMark/>
          </w:tcPr>
          <w:p w14:paraId="4E46FCE8" w14:textId="77777777" w:rsidR="00000000" w:rsidRDefault="00C1661D">
            <w:pPr>
              <w:spacing w:after="100"/>
              <w:rPr>
                <w:rFonts w:eastAsia="Times New Roman"/>
                <w:sz w:val="20"/>
                <w:szCs w:val="20"/>
              </w:rPr>
            </w:pPr>
          </w:p>
        </w:tc>
        <w:tc>
          <w:tcPr>
            <w:tcW w:w="0" w:type="auto"/>
            <w:gridSpan w:val="3"/>
            <w:vAlign w:val="center"/>
            <w:hideMark/>
          </w:tcPr>
          <w:p w14:paraId="14614001" w14:textId="77777777" w:rsidR="00000000" w:rsidRDefault="00C1661D">
            <w:pPr>
              <w:spacing w:after="100"/>
              <w:rPr>
                <w:rFonts w:eastAsia="Times New Roman"/>
                <w:sz w:val="20"/>
                <w:szCs w:val="20"/>
              </w:rPr>
            </w:pPr>
          </w:p>
        </w:tc>
      </w:tr>
      <w:tr w:rsidR="00000000" w14:paraId="20823145" w14:textId="77777777">
        <w:trPr>
          <w:divId w:val="872887368"/>
        </w:trPr>
        <w:tc>
          <w:tcPr>
            <w:tcW w:w="0" w:type="auto"/>
            <w:gridSpan w:val="3"/>
            <w:shd w:val="clear" w:color="auto" w:fill="CCEEFF"/>
            <w:tcMar>
              <w:top w:w="30" w:type="dxa"/>
              <w:left w:w="245" w:type="dxa"/>
              <w:bottom w:w="30" w:type="dxa"/>
              <w:right w:w="20" w:type="dxa"/>
            </w:tcMar>
            <w:hideMark/>
          </w:tcPr>
          <w:p w14:paraId="62A94A49" w14:textId="77777777" w:rsidR="00000000" w:rsidRDefault="00C1661D">
            <w:pPr>
              <w:spacing w:after="100"/>
              <w:rPr>
                <w:rFonts w:eastAsia="Times New Roman"/>
              </w:rPr>
            </w:pPr>
            <w:r>
              <w:rPr>
                <w:rFonts w:eastAsia="Times New Roman"/>
                <w:color w:val="000000"/>
                <w:sz w:val="20"/>
                <w:szCs w:val="20"/>
              </w:rPr>
              <w:t>Interest rate contracts</w:t>
            </w:r>
          </w:p>
        </w:tc>
        <w:tc>
          <w:tcPr>
            <w:tcW w:w="0" w:type="auto"/>
            <w:shd w:val="clear" w:color="auto" w:fill="CCEEFF"/>
            <w:tcMar>
              <w:top w:w="30" w:type="dxa"/>
              <w:left w:w="20" w:type="dxa"/>
              <w:bottom w:w="30" w:type="dxa"/>
              <w:right w:w="0" w:type="dxa"/>
            </w:tcMar>
            <w:vAlign w:val="bottom"/>
            <w:hideMark/>
          </w:tcPr>
          <w:p w14:paraId="1393C17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672B2A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3B724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BD294"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CEA47D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2D3C9CB" w14:textId="77777777" w:rsidR="00000000" w:rsidRDefault="00C1661D">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14:paraId="01F148CA" w14:textId="77777777" w:rsidR="00000000" w:rsidRDefault="00C1661D">
            <w:pPr>
              <w:spacing w:after="100"/>
              <w:jc w:val="right"/>
              <w:rPr>
                <w:rFonts w:eastAsia="Times New Roman"/>
              </w:rPr>
            </w:pPr>
          </w:p>
        </w:tc>
      </w:tr>
      <w:tr w:rsidR="00000000" w14:paraId="1B7D5B70" w14:textId="77777777">
        <w:trPr>
          <w:divId w:val="872887368"/>
        </w:trPr>
        <w:tc>
          <w:tcPr>
            <w:tcW w:w="0" w:type="auto"/>
            <w:gridSpan w:val="3"/>
            <w:vAlign w:val="center"/>
            <w:hideMark/>
          </w:tcPr>
          <w:p w14:paraId="3DA8ED46" w14:textId="77777777" w:rsidR="00000000" w:rsidRDefault="00C1661D">
            <w:pPr>
              <w:spacing w:after="100"/>
              <w:jc w:val="right"/>
              <w:rPr>
                <w:rFonts w:eastAsia="Times New Roman"/>
                <w:sz w:val="20"/>
                <w:szCs w:val="20"/>
              </w:rPr>
            </w:pPr>
          </w:p>
        </w:tc>
        <w:tc>
          <w:tcPr>
            <w:tcW w:w="0" w:type="auto"/>
            <w:gridSpan w:val="3"/>
            <w:vAlign w:val="center"/>
            <w:hideMark/>
          </w:tcPr>
          <w:p w14:paraId="14A372AB" w14:textId="77777777" w:rsidR="00000000" w:rsidRDefault="00C1661D">
            <w:pPr>
              <w:spacing w:after="100"/>
              <w:rPr>
                <w:rFonts w:eastAsia="Times New Roman"/>
                <w:sz w:val="20"/>
                <w:szCs w:val="20"/>
              </w:rPr>
            </w:pPr>
          </w:p>
        </w:tc>
        <w:tc>
          <w:tcPr>
            <w:tcW w:w="0" w:type="auto"/>
            <w:gridSpan w:val="3"/>
            <w:vAlign w:val="center"/>
            <w:hideMark/>
          </w:tcPr>
          <w:p w14:paraId="5D72D499" w14:textId="77777777" w:rsidR="00000000" w:rsidRDefault="00C1661D">
            <w:pPr>
              <w:spacing w:after="100"/>
              <w:rPr>
                <w:rFonts w:eastAsia="Times New Roman"/>
                <w:sz w:val="20"/>
                <w:szCs w:val="20"/>
              </w:rPr>
            </w:pPr>
          </w:p>
        </w:tc>
        <w:tc>
          <w:tcPr>
            <w:tcW w:w="0" w:type="auto"/>
            <w:gridSpan w:val="3"/>
            <w:vAlign w:val="center"/>
            <w:hideMark/>
          </w:tcPr>
          <w:p w14:paraId="1952E08E" w14:textId="77777777" w:rsidR="00000000" w:rsidRDefault="00C1661D">
            <w:pPr>
              <w:spacing w:after="100"/>
              <w:rPr>
                <w:rFonts w:eastAsia="Times New Roman"/>
                <w:sz w:val="20"/>
                <w:szCs w:val="20"/>
              </w:rPr>
            </w:pPr>
          </w:p>
        </w:tc>
      </w:tr>
      <w:tr w:rsidR="00000000" w14:paraId="3E28515A" w14:textId="77777777">
        <w:trPr>
          <w:divId w:val="872887368"/>
        </w:trPr>
        <w:tc>
          <w:tcPr>
            <w:tcW w:w="0" w:type="auto"/>
            <w:gridSpan w:val="3"/>
            <w:shd w:val="clear" w:color="auto" w:fill="FFFFFF"/>
            <w:tcMar>
              <w:top w:w="30" w:type="dxa"/>
              <w:left w:w="155" w:type="dxa"/>
              <w:bottom w:w="30" w:type="dxa"/>
              <w:right w:w="20" w:type="dxa"/>
            </w:tcMar>
            <w:vAlign w:val="bottom"/>
            <w:hideMark/>
          </w:tcPr>
          <w:p w14:paraId="3329A5D7" w14:textId="77777777" w:rsidR="00000000" w:rsidRDefault="00C1661D">
            <w:pPr>
              <w:spacing w:after="100"/>
              <w:rPr>
                <w:rFonts w:eastAsia="Times New Roman"/>
              </w:rPr>
            </w:pPr>
            <w:r>
              <w:rPr>
                <w:rFonts w:eastAsia="Times New Roman"/>
                <w:b/>
                <w:bCs/>
                <w:color w:val="000000"/>
                <w:sz w:val="20"/>
                <w:szCs w:val="20"/>
              </w:rPr>
              <w:t>Derivatives subject to PGC and DS mechanisms:</w:t>
            </w:r>
          </w:p>
        </w:tc>
        <w:tc>
          <w:tcPr>
            <w:tcW w:w="0" w:type="auto"/>
            <w:gridSpan w:val="3"/>
            <w:shd w:val="clear" w:color="auto" w:fill="FFFFFF"/>
            <w:tcMar>
              <w:top w:w="0" w:type="dxa"/>
              <w:left w:w="20" w:type="dxa"/>
              <w:bottom w:w="0" w:type="dxa"/>
              <w:right w:w="20" w:type="dxa"/>
            </w:tcMar>
            <w:vAlign w:val="center"/>
            <w:hideMark/>
          </w:tcPr>
          <w:p w14:paraId="5FCBEDE3"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7213EE"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734B9C" w14:textId="77777777" w:rsidR="00000000" w:rsidRDefault="00C1661D">
            <w:pPr>
              <w:spacing w:after="100"/>
              <w:rPr>
                <w:rFonts w:eastAsia="Times New Roman"/>
                <w:sz w:val="20"/>
                <w:szCs w:val="20"/>
              </w:rPr>
            </w:pPr>
          </w:p>
        </w:tc>
      </w:tr>
      <w:tr w:rsidR="00000000" w14:paraId="046F8ED6" w14:textId="77777777">
        <w:trPr>
          <w:divId w:val="872887368"/>
        </w:trPr>
        <w:tc>
          <w:tcPr>
            <w:tcW w:w="0" w:type="auto"/>
            <w:gridSpan w:val="3"/>
            <w:shd w:val="clear" w:color="auto" w:fill="CCEEFF"/>
            <w:tcMar>
              <w:top w:w="30" w:type="dxa"/>
              <w:left w:w="245" w:type="dxa"/>
              <w:bottom w:w="30" w:type="dxa"/>
              <w:right w:w="20" w:type="dxa"/>
            </w:tcMar>
            <w:hideMark/>
          </w:tcPr>
          <w:p w14:paraId="2BC5AD95" w14:textId="77777777" w:rsidR="00000000" w:rsidRDefault="00C1661D">
            <w:pPr>
              <w:spacing w:after="100"/>
              <w:rPr>
                <w:rFonts w:eastAsia="Times New Roman"/>
              </w:rPr>
            </w:pPr>
            <w:r>
              <w:rPr>
                <w:rFonts w:eastAsia="Times New Roman"/>
                <w:color w:val="000000"/>
                <w:sz w:val="20"/>
                <w:szCs w:val="20"/>
              </w:rPr>
              <w:t>Commodity contracts</w:t>
            </w:r>
          </w:p>
        </w:tc>
        <w:tc>
          <w:tcPr>
            <w:tcW w:w="0" w:type="auto"/>
            <w:gridSpan w:val="2"/>
            <w:shd w:val="clear" w:color="auto" w:fill="CCEEFF"/>
            <w:tcMar>
              <w:top w:w="30" w:type="dxa"/>
              <w:left w:w="20" w:type="dxa"/>
              <w:bottom w:w="30" w:type="dxa"/>
              <w:right w:w="0" w:type="dxa"/>
            </w:tcMar>
            <w:vAlign w:val="bottom"/>
            <w:hideMark/>
          </w:tcPr>
          <w:p w14:paraId="59A0F655" w14:textId="77777777" w:rsidR="00000000" w:rsidRDefault="00C1661D">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14:paraId="0F17067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6049D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FE916E" w14:textId="77777777" w:rsidR="00000000" w:rsidRDefault="00C1661D">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14:paraId="721E033F" w14:textId="77777777" w:rsidR="00000000" w:rsidRDefault="00C1661D">
            <w:pPr>
              <w:spacing w:after="100"/>
              <w:jc w:val="right"/>
              <w:rPr>
                <w:rFonts w:eastAsia="Times New Roman"/>
              </w:rPr>
            </w:pPr>
          </w:p>
        </w:tc>
      </w:tr>
      <w:tr w:rsidR="00000000" w14:paraId="31C4333F" w14:textId="77777777">
        <w:trPr>
          <w:divId w:val="872887368"/>
        </w:trPr>
        <w:tc>
          <w:tcPr>
            <w:tcW w:w="0" w:type="auto"/>
            <w:gridSpan w:val="3"/>
            <w:shd w:val="clear" w:color="auto" w:fill="FFFFFF"/>
            <w:tcMar>
              <w:top w:w="30" w:type="dxa"/>
              <w:left w:w="155" w:type="dxa"/>
              <w:bottom w:w="30" w:type="dxa"/>
              <w:right w:w="20" w:type="dxa"/>
            </w:tcMar>
            <w:vAlign w:val="bottom"/>
            <w:hideMark/>
          </w:tcPr>
          <w:p w14:paraId="46C76076" w14:textId="77777777" w:rsidR="00000000" w:rsidRDefault="00C1661D">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14:paraId="69CC7BF6"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BC7830"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5BB1E4" w14:textId="77777777" w:rsidR="00000000" w:rsidRDefault="00C1661D">
            <w:pPr>
              <w:spacing w:after="100"/>
              <w:rPr>
                <w:rFonts w:eastAsia="Times New Roman"/>
                <w:sz w:val="20"/>
                <w:szCs w:val="20"/>
              </w:rPr>
            </w:pPr>
          </w:p>
        </w:tc>
      </w:tr>
      <w:tr w:rsidR="00000000" w14:paraId="31E266A8" w14:textId="77777777">
        <w:trPr>
          <w:divId w:val="872887368"/>
        </w:trPr>
        <w:tc>
          <w:tcPr>
            <w:tcW w:w="0" w:type="auto"/>
            <w:gridSpan w:val="3"/>
            <w:shd w:val="clear" w:color="auto" w:fill="CCEEFF"/>
            <w:tcMar>
              <w:top w:w="30" w:type="dxa"/>
              <w:left w:w="245" w:type="dxa"/>
              <w:bottom w:w="30" w:type="dxa"/>
              <w:right w:w="20" w:type="dxa"/>
            </w:tcMar>
            <w:hideMark/>
          </w:tcPr>
          <w:p w14:paraId="4EEED34C" w14:textId="77777777" w:rsidR="00000000" w:rsidRDefault="00C1661D">
            <w:pPr>
              <w:spacing w:after="100"/>
              <w:rPr>
                <w:rFonts w:eastAsia="Times New Roman"/>
              </w:rPr>
            </w:pPr>
            <w:r>
              <w:rPr>
                <w:rFonts w:eastAsia="Times New Roman"/>
                <w:color w:val="000000"/>
                <w:sz w:val="20"/>
                <w:szCs w:val="20"/>
              </w:rPr>
              <w:t>Commodity contracts (a)</w:t>
            </w:r>
          </w:p>
        </w:tc>
        <w:tc>
          <w:tcPr>
            <w:tcW w:w="0" w:type="auto"/>
            <w:gridSpan w:val="2"/>
            <w:shd w:val="clear" w:color="auto" w:fill="CCEEFF"/>
            <w:tcMar>
              <w:top w:w="30" w:type="dxa"/>
              <w:left w:w="20" w:type="dxa"/>
              <w:bottom w:w="30" w:type="dxa"/>
              <w:right w:w="0" w:type="dxa"/>
            </w:tcMar>
            <w:vAlign w:val="bottom"/>
            <w:hideMark/>
          </w:tcPr>
          <w:p w14:paraId="3B2CFB87" w14:textId="77777777" w:rsidR="00000000" w:rsidRDefault="00C1661D">
            <w:pPr>
              <w:spacing w:after="100"/>
              <w:jc w:val="right"/>
              <w:rPr>
                <w:rFonts w:eastAsia="Times New Roman"/>
              </w:rPr>
            </w:pPr>
            <w:r>
              <w:rPr>
                <w:rFonts w:eastAsia="Times New Roman"/>
                <w:color w:val="000000"/>
                <w:sz w:val="20"/>
                <w:szCs w:val="20"/>
              </w:rPr>
              <w:t>(487)</w:t>
            </w:r>
          </w:p>
        </w:tc>
        <w:tc>
          <w:tcPr>
            <w:tcW w:w="0" w:type="auto"/>
            <w:shd w:val="clear" w:color="auto" w:fill="CCEEFF"/>
            <w:tcMar>
              <w:top w:w="30" w:type="dxa"/>
              <w:left w:w="0" w:type="dxa"/>
              <w:bottom w:w="30" w:type="dxa"/>
              <w:right w:w="20" w:type="dxa"/>
            </w:tcMar>
            <w:vAlign w:val="bottom"/>
            <w:hideMark/>
          </w:tcPr>
          <w:p w14:paraId="47BA399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41387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21084D" w14:textId="77777777" w:rsidR="00000000" w:rsidRDefault="00C1661D">
            <w:pPr>
              <w:spacing w:after="100"/>
              <w:jc w:val="right"/>
              <w:rPr>
                <w:rFonts w:eastAsia="Times New Roman"/>
              </w:rPr>
            </w:pPr>
            <w:r>
              <w:rPr>
                <w:rFonts w:eastAsia="Times New Roman"/>
                <w:color w:val="000000"/>
                <w:sz w:val="20"/>
                <w:szCs w:val="20"/>
              </w:rPr>
              <w:t>(257)</w:t>
            </w:r>
          </w:p>
        </w:tc>
        <w:tc>
          <w:tcPr>
            <w:tcW w:w="0" w:type="auto"/>
            <w:shd w:val="clear" w:color="auto" w:fill="CCEEFF"/>
            <w:tcMar>
              <w:top w:w="30" w:type="dxa"/>
              <w:left w:w="0" w:type="dxa"/>
              <w:bottom w:w="30" w:type="dxa"/>
              <w:right w:w="20" w:type="dxa"/>
            </w:tcMar>
            <w:vAlign w:val="bottom"/>
            <w:hideMark/>
          </w:tcPr>
          <w:p w14:paraId="0948333D" w14:textId="77777777" w:rsidR="00000000" w:rsidRDefault="00C1661D">
            <w:pPr>
              <w:spacing w:after="100"/>
              <w:jc w:val="right"/>
              <w:rPr>
                <w:rFonts w:eastAsia="Times New Roman"/>
              </w:rPr>
            </w:pPr>
          </w:p>
        </w:tc>
      </w:tr>
      <w:tr w:rsidR="00000000" w14:paraId="573480FB" w14:textId="77777777">
        <w:trPr>
          <w:divId w:val="872887368"/>
        </w:trPr>
        <w:tc>
          <w:tcPr>
            <w:tcW w:w="0" w:type="auto"/>
            <w:gridSpan w:val="3"/>
            <w:shd w:val="clear" w:color="auto" w:fill="FFFFFF"/>
            <w:tcMar>
              <w:top w:w="30" w:type="dxa"/>
              <w:left w:w="245" w:type="dxa"/>
              <w:bottom w:w="30" w:type="dxa"/>
              <w:right w:w="20" w:type="dxa"/>
            </w:tcMar>
            <w:hideMark/>
          </w:tcPr>
          <w:p w14:paraId="5588F70C" w14:textId="77777777" w:rsidR="00000000" w:rsidRDefault="00C1661D">
            <w:pPr>
              <w:spacing w:after="100"/>
              <w:rPr>
                <w:rFonts w:eastAsia="Times New Roman"/>
              </w:rPr>
            </w:pPr>
            <w:r>
              <w:rPr>
                <w:rFonts w:eastAsia="Times New Roman"/>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14:paraId="027A7429" w14:textId="77777777" w:rsidR="00000000" w:rsidRDefault="00C1661D">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2EC6F27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512B4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F553E6" w14:textId="77777777" w:rsidR="00000000" w:rsidRDefault="00C1661D">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7BA07EFC" w14:textId="77777777" w:rsidR="00000000" w:rsidRDefault="00C1661D">
            <w:pPr>
              <w:spacing w:after="100"/>
              <w:jc w:val="right"/>
              <w:rPr>
                <w:rFonts w:eastAsia="Times New Roman"/>
              </w:rPr>
            </w:pPr>
          </w:p>
        </w:tc>
      </w:tr>
      <w:tr w:rsidR="00000000" w14:paraId="7FC13275" w14:textId="77777777">
        <w:trPr>
          <w:divId w:val="872887368"/>
        </w:trPr>
        <w:tc>
          <w:tcPr>
            <w:tcW w:w="0" w:type="auto"/>
            <w:gridSpan w:val="3"/>
            <w:shd w:val="clear" w:color="auto" w:fill="CCEEFF"/>
            <w:tcMar>
              <w:top w:w="0" w:type="dxa"/>
              <w:left w:w="20" w:type="dxa"/>
              <w:bottom w:w="0" w:type="dxa"/>
              <w:right w:w="20" w:type="dxa"/>
            </w:tcMar>
            <w:vAlign w:val="center"/>
            <w:hideMark/>
          </w:tcPr>
          <w:p w14:paraId="14450BB5"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DECF29" w14:textId="77777777" w:rsidR="00000000" w:rsidRDefault="00C1661D">
            <w:pPr>
              <w:spacing w:after="100"/>
              <w:jc w:val="right"/>
              <w:rPr>
                <w:rFonts w:eastAsia="Times New Roman"/>
              </w:rPr>
            </w:pPr>
            <w:r>
              <w:rPr>
                <w:rFonts w:eastAsia="Times New Roman"/>
                <w:color w:val="000000"/>
                <w:sz w:val="20"/>
                <w:szCs w:val="20"/>
              </w:rPr>
              <w:t>(489)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BE1868" w14:textId="77777777" w:rsidR="00000000" w:rsidRDefault="00C1661D">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BB36AF"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2D9671" w14:textId="77777777" w:rsidR="00000000" w:rsidRDefault="00C1661D">
            <w:pPr>
              <w:spacing w:after="100"/>
              <w:jc w:val="right"/>
              <w:rPr>
                <w:rFonts w:eastAsia="Times New Roman"/>
              </w:rPr>
            </w:pPr>
            <w:r>
              <w:rPr>
                <w:rFonts w:eastAsia="Times New Roman"/>
                <w:color w:val="000000"/>
                <w:sz w:val="20"/>
                <w:szCs w:val="20"/>
              </w:rPr>
              <w:t>(265)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F12FBD" w14:textId="77777777" w:rsidR="00000000" w:rsidRDefault="00C1661D">
            <w:pPr>
              <w:spacing w:after="100"/>
              <w:jc w:val="right"/>
              <w:rPr>
                <w:rFonts w:eastAsia="Times New Roman"/>
              </w:rPr>
            </w:pPr>
          </w:p>
        </w:tc>
      </w:tr>
      <w:tr w:rsidR="00000000" w14:paraId="32BB5A4A" w14:textId="77777777">
        <w:trPr>
          <w:divId w:val="872887368"/>
        </w:trPr>
        <w:tc>
          <w:tcPr>
            <w:tcW w:w="0" w:type="auto"/>
            <w:gridSpan w:val="3"/>
            <w:shd w:val="clear" w:color="auto" w:fill="FFFFFF"/>
            <w:tcMar>
              <w:top w:w="30" w:type="dxa"/>
              <w:left w:w="20" w:type="dxa"/>
              <w:bottom w:w="30" w:type="dxa"/>
              <w:right w:w="20" w:type="dxa"/>
            </w:tcMar>
            <w:vAlign w:val="bottom"/>
            <w:hideMark/>
          </w:tcPr>
          <w:p w14:paraId="31B9B9AD" w14:textId="77777777" w:rsidR="00000000" w:rsidRDefault="00C1661D">
            <w:pPr>
              <w:spacing w:after="100"/>
              <w:rPr>
                <w:rFonts w:eastAsia="Times New Roman"/>
              </w:rPr>
            </w:pPr>
            <w:r>
              <w:rPr>
                <w:rFonts w:eastAsia="Times New Roman"/>
                <w:color w:val="000000"/>
                <w:sz w:val="20"/>
                <w:szCs w:val="20"/>
              </w:rPr>
              <w:t>Total derivative liabilities –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14EF66" w14:textId="77777777" w:rsidR="00000000" w:rsidRDefault="00C1661D">
            <w:pPr>
              <w:spacing w:after="100"/>
              <w:jc w:val="right"/>
              <w:rPr>
                <w:rFonts w:eastAsia="Times New Roman"/>
              </w:rPr>
            </w:pPr>
            <w:r>
              <w:rPr>
                <w:rFonts w:eastAsia="Times New Roman"/>
                <w:color w:val="000000"/>
                <w:sz w:val="20"/>
                <w:szCs w:val="20"/>
              </w:rPr>
              <w:t>(515)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30F5D1" w14:textId="77777777" w:rsidR="00000000" w:rsidRDefault="00C1661D">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C5343FE"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6444CA" w14:textId="77777777" w:rsidR="00000000" w:rsidRDefault="00C1661D">
            <w:pPr>
              <w:spacing w:after="100"/>
              <w:jc w:val="right"/>
              <w:rPr>
                <w:rFonts w:eastAsia="Times New Roman"/>
              </w:rPr>
            </w:pPr>
            <w:r>
              <w:rPr>
                <w:rFonts w:eastAsia="Times New Roman"/>
                <w:color w:val="000000"/>
                <w:sz w:val="20"/>
                <w:szCs w:val="20"/>
              </w:rPr>
              <w:t>(317)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AFA0DE" w14:textId="77777777" w:rsidR="00000000" w:rsidRDefault="00C1661D">
            <w:pPr>
              <w:spacing w:after="100"/>
              <w:jc w:val="right"/>
              <w:rPr>
                <w:rFonts w:eastAsia="Times New Roman"/>
              </w:rPr>
            </w:pPr>
          </w:p>
        </w:tc>
      </w:tr>
      <w:tr w:rsidR="00000000" w14:paraId="61481311" w14:textId="77777777">
        <w:trPr>
          <w:divId w:val="872887368"/>
        </w:trPr>
        <w:tc>
          <w:tcPr>
            <w:tcW w:w="0" w:type="auto"/>
            <w:gridSpan w:val="3"/>
            <w:shd w:val="clear" w:color="auto" w:fill="CCEEFF"/>
            <w:tcMar>
              <w:top w:w="30" w:type="dxa"/>
              <w:left w:w="20" w:type="dxa"/>
              <w:bottom w:w="30" w:type="dxa"/>
              <w:right w:w="20" w:type="dxa"/>
            </w:tcMar>
            <w:vAlign w:val="bottom"/>
            <w:hideMark/>
          </w:tcPr>
          <w:p w14:paraId="58838EA4" w14:textId="77777777" w:rsidR="00000000" w:rsidRDefault="00C1661D">
            <w:pPr>
              <w:spacing w:after="100"/>
              <w:rPr>
                <w:rFonts w:eastAsia="Times New Roman"/>
              </w:rPr>
            </w:pPr>
            <w:r>
              <w:rPr>
                <w:rFonts w:eastAsia="Times New Roman"/>
                <w:color w:val="000000"/>
                <w:sz w:val="20"/>
                <w:szCs w:val="20"/>
              </w:rPr>
              <w:t>Gross amounts offset in the balance sheet</w:t>
            </w:r>
          </w:p>
        </w:tc>
        <w:tc>
          <w:tcPr>
            <w:tcW w:w="0" w:type="auto"/>
            <w:gridSpan w:val="2"/>
            <w:shd w:val="clear" w:color="auto" w:fill="CCEEFF"/>
            <w:tcMar>
              <w:top w:w="30" w:type="dxa"/>
              <w:left w:w="20" w:type="dxa"/>
              <w:bottom w:w="30" w:type="dxa"/>
              <w:right w:w="0" w:type="dxa"/>
            </w:tcMar>
            <w:vAlign w:val="bottom"/>
            <w:hideMark/>
          </w:tcPr>
          <w:p w14:paraId="4A04078A" w14:textId="77777777" w:rsidR="00000000" w:rsidRDefault="00C1661D">
            <w:pPr>
              <w:spacing w:after="100"/>
              <w:jc w:val="right"/>
              <w:rPr>
                <w:rFonts w:eastAsia="Times New Roman"/>
              </w:rPr>
            </w:pPr>
            <w:r>
              <w:rPr>
                <w:rFonts w:eastAsia="Times New Roman"/>
                <w:color w:val="000000"/>
                <w:sz w:val="20"/>
                <w:szCs w:val="20"/>
              </w:rPr>
              <w:t>295 </w:t>
            </w:r>
          </w:p>
        </w:tc>
        <w:tc>
          <w:tcPr>
            <w:tcW w:w="0" w:type="auto"/>
            <w:shd w:val="clear" w:color="auto" w:fill="CCEEFF"/>
            <w:tcMar>
              <w:top w:w="30" w:type="dxa"/>
              <w:left w:w="0" w:type="dxa"/>
              <w:bottom w:w="30" w:type="dxa"/>
              <w:right w:w="20" w:type="dxa"/>
            </w:tcMar>
            <w:vAlign w:val="bottom"/>
            <w:hideMark/>
          </w:tcPr>
          <w:p w14:paraId="17A20A6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76FAD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831FD7" w14:textId="77777777" w:rsidR="00000000" w:rsidRDefault="00C1661D">
            <w:pPr>
              <w:spacing w:after="100"/>
              <w:jc w:val="right"/>
              <w:rPr>
                <w:rFonts w:eastAsia="Times New Roman"/>
              </w:rPr>
            </w:pPr>
            <w:r>
              <w:rPr>
                <w:rFonts w:eastAsia="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14:paraId="42696B59" w14:textId="77777777" w:rsidR="00000000" w:rsidRDefault="00C1661D">
            <w:pPr>
              <w:spacing w:after="100"/>
              <w:jc w:val="right"/>
              <w:rPr>
                <w:rFonts w:eastAsia="Times New Roman"/>
              </w:rPr>
            </w:pPr>
          </w:p>
        </w:tc>
      </w:tr>
      <w:tr w:rsidR="00000000" w14:paraId="72BCDFC1" w14:textId="77777777">
        <w:trPr>
          <w:divId w:val="872887368"/>
        </w:trPr>
        <w:tc>
          <w:tcPr>
            <w:tcW w:w="0" w:type="auto"/>
            <w:gridSpan w:val="3"/>
            <w:shd w:val="clear" w:color="auto" w:fill="FFFFFF"/>
            <w:tcMar>
              <w:top w:w="30" w:type="dxa"/>
              <w:left w:w="20" w:type="dxa"/>
              <w:bottom w:w="30" w:type="dxa"/>
              <w:right w:w="20" w:type="dxa"/>
            </w:tcMar>
            <w:vAlign w:val="bottom"/>
            <w:hideMark/>
          </w:tcPr>
          <w:p w14:paraId="251055EF" w14:textId="77777777" w:rsidR="00000000" w:rsidRDefault="00C1661D">
            <w:pPr>
              <w:spacing w:after="100"/>
              <w:rPr>
                <w:rFonts w:eastAsia="Times New Roman"/>
              </w:rPr>
            </w:pPr>
            <w:r>
              <w:rPr>
                <w:rFonts w:eastAsia="Times New Roman"/>
                <w:color w:val="000000"/>
                <w:sz w:val="20"/>
                <w:szCs w:val="20"/>
              </w:rPr>
              <w:t>Cash collateral pledged</w:t>
            </w:r>
          </w:p>
        </w:tc>
        <w:tc>
          <w:tcPr>
            <w:tcW w:w="0" w:type="auto"/>
            <w:gridSpan w:val="2"/>
            <w:shd w:val="clear" w:color="auto" w:fill="FFFFFF"/>
            <w:tcMar>
              <w:top w:w="30" w:type="dxa"/>
              <w:left w:w="20" w:type="dxa"/>
              <w:bottom w:w="30" w:type="dxa"/>
              <w:right w:w="0" w:type="dxa"/>
            </w:tcMar>
            <w:vAlign w:val="bottom"/>
            <w:hideMark/>
          </w:tcPr>
          <w:p w14:paraId="7EBD74BB" w14:textId="77777777" w:rsidR="00000000" w:rsidRDefault="00C1661D">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4534320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6F24C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E3E7E1"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2A434BBA" w14:textId="77777777" w:rsidR="00000000" w:rsidRDefault="00C1661D">
            <w:pPr>
              <w:spacing w:after="100"/>
              <w:jc w:val="right"/>
              <w:rPr>
                <w:rFonts w:eastAsia="Times New Roman"/>
              </w:rPr>
            </w:pPr>
          </w:p>
        </w:tc>
      </w:tr>
      <w:tr w:rsidR="00000000" w14:paraId="79BADC88" w14:textId="77777777">
        <w:trPr>
          <w:divId w:val="872887368"/>
        </w:trPr>
        <w:tc>
          <w:tcPr>
            <w:tcW w:w="0" w:type="auto"/>
            <w:gridSpan w:val="3"/>
            <w:shd w:val="clear" w:color="auto" w:fill="CCEEFF"/>
            <w:tcMar>
              <w:top w:w="30" w:type="dxa"/>
              <w:left w:w="20" w:type="dxa"/>
              <w:bottom w:w="30" w:type="dxa"/>
              <w:right w:w="20" w:type="dxa"/>
            </w:tcMar>
            <w:vAlign w:val="bottom"/>
            <w:hideMark/>
          </w:tcPr>
          <w:p w14:paraId="52E0F05D" w14:textId="77777777" w:rsidR="00000000" w:rsidRDefault="00C1661D">
            <w:pPr>
              <w:spacing w:after="100"/>
              <w:rPr>
                <w:rFonts w:eastAsia="Times New Roman"/>
              </w:rPr>
            </w:pPr>
            <w:r>
              <w:rPr>
                <w:rFonts w:eastAsia="Times New Roman"/>
                <w:color w:val="000000"/>
                <w:sz w:val="20"/>
                <w:szCs w:val="20"/>
              </w:rPr>
              <w:t>Total derivative liabilities –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72065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36AEAD0" w14:textId="77777777" w:rsidR="00000000" w:rsidRDefault="00C1661D">
            <w:pPr>
              <w:spacing w:after="100"/>
              <w:jc w:val="right"/>
              <w:rPr>
                <w:rFonts w:eastAsia="Times New Roman"/>
              </w:rPr>
            </w:pPr>
            <w:r>
              <w:rPr>
                <w:rFonts w:eastAsia="Times New Roman"/>
                <w:color w:val="000000"/>
                <w:sz w:val="20"/>
                <w:szCs w:val="20"/>
              </w:rPr>
              <w:t>(213)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BEFCE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F95E32"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9F7F0C"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D9FC39" w14:textId="77777777" w:rsidR="00000000" w:rsidRDefault="00C1661D">
            <w:pPr>
              <w:spacing w:after="100"/>
              <w:jc w:val="right"/>
              <w:rPr>
                <w:rFonts w:eastAsia="Times New Roman"/>
              </w:rPr>
            </w:pPr>
            <w:r>
              <w:rPr>
                <w:rFonts w:eastAsia="Times New Roman"/>
                <w:color w:val="000000"/>
                <w:sz w:val="20"/>
                <w:szCs w:val="20"/>
              </w:rPr>
              <w:t>(98)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AE0321" w14:textId="77777777" w:rsidR="00000000" w:rsidRDefault="00C1661D">
            <w:pPr>
              <w:spacing w:after="100"/>
              <w:jc w:val="right"/>
              <w:rPr>
                <w:rFonts w:eastAsia="Times New Roman"/>
              </w:rPr>
            </w:pPr>
          </w:p>
        </w:tc>
      </w:tr>
    </w:tbl>
    <w:p w14:paraId="10AB3B8E" w14:textId="77777777" w:rsidR="00000000" w:rsidRDefault="00C1661D">
      <w:pPr>
        <w:ind w:hanging="360"/>
        <w:jc w:val="both"/>
        <w:rPr>
          <w:rFonts w:eastAsia="Times New Roman"/>
        </w:rPr>
      </w:pPr>
      <w:r>
        <w:rPr>
          <w:rFonts w:eastAsia="Times New Roman"/>
          <w:color w:val="000000"/>
          <w:sz w:val="20"/>
          <w:szCs w:val="20"/>
        </w:rPr>
        <w:t>(a)</w:t>
      </w:r>
      <w:r>
        <w:rPr>
          <w:rFonts w:eastAsia="Times New Roman"/>
          <w:color w:val="000000"/>
          <w:sz w:val="20"/>
          <w:szCs w:val="20"/>
        </w:rPr>
        <w:t>Includes derivative assets and liabilities held-for-sale associated with the October 2022 sale of the United Kingdom energy marketing business (see Note 25).</w:t>
      </w:r>
    </w:p>
    <w:p w14:paraId="14186AAA" w14:textId="77777777" w:rsidR="00000000" w:rsidRDefault="00C1661D">
      <w:pPr>
        <w:jc w:val="center"/>
        <w:divId w:val="1152330035"/>
        <w:rPr>
          <w:rFonts w:eastAsia="Times New Roman"/>
        </w:rPr>
      </w:pPr>
      <w:r>
        <w:rPr>
          <w:rFonts w:eastAsia="Times New Roman"/>
          <w:color w:val="000000"/>
          <w:sz w:val="20"/>
          <w:szCs w:val="20"/>
        </w:rPr>
        <w:t>F-55</w:t>
      </w:r>
    </w:p>
    <w:p w14:paraId="07C0B874" w14:textId="77777777" w:rsidR="00000000" w:rsidRDefault="00C1661D">
      <w:pPr>
        <w:rPr>
          <w:rFonts w:eastAsia="Times New Roman"/>
        </w:rPr>
      </w:pPr>
      <w:r>
        <w:rPr>
          <w:rFonts w:eastAsia="Times New Roman"/>
        </w:rPr>
        <w:pict w14:anchorId="7396FBA1">
          <v:rect id="_x0000_i1168" style="width:0;height:1.5pt" o:hralign="center" o:hrstd="t" o:hr="t" fillcolor="#a0a0a0" stroked="f"/>
        </w:pict>
      </w:r>
    </w:p>
    <w:p w14:paraId="0770F291" w14:textId="77777777" w:rsidR="00000000" w:rsidRDefault="00C1661D">
      <w:pPr>
        <w:divId w:val="280263194"/>
        <w:rPr>
          <w:rFonts w:eastAsia="Times New Roman"/>
        </w:rPr>
      </w:pPr>
      <w:hyperlink w:anchor="i3850c3c6c0104e42b9951aac2f16098a_7" w:history="1">
        <w:r>
          <w:rPr>
            <w:rStyle w:val="a3"/>
            <w:rFonts w:eastAsia="Times New Roman"/>
            <w:sz w:val="20"/>
            <w:szCs w:val="20"/>
          </w:rPr>
          <w:t>Table of Contents</w:t>
        </w:r>
      </w:hyperlink>
    </w:p>
    <w:p w14:paraId="13164F8A" w14:textId="77777777" w:rsidR="00000000" w:rsidRDefault="00C1661D">
      <w:pPr>
        <w:divId w:val="1763719612"/>
        <w:rPr>
          <w:rFonts w:eastAsia="Times New Roman"/>
        </w:rPr>
      </w:pPr>
      <w:r>
        <w:rPr>
          <w:rFonts w:eastAsia="Times New Roman"/>
          <w:b/>
          <w:bCs/>
          <w:color w:val="000000"/>
          <w:sz w:val="20"/>
          <w:szCs w:val="20"/>
        </w:rPr>
        <w:t>UGI Corporation and Subsidiaries</w:t>
      </w:r>
    </w:p>
    <w:p w14:paraId="59F610B6" w14:textId="77777777" w:rsidR="00000000" w:rsidRDefault="00C1661D">
      <w:pPr>
        <w:divId w:val="1909002004"/>
        <w:rPr>
          <w:rFonts w:eastAsia="Times New Roman"/>
        </w:rPr>
      </w:pPr>
      <w:r>
        <w:rPr>
          <w:rFonts w:eastAsia="Times New Roman"/>
          <w:b/>
          <w:bCs/>
          <w:color w:val="000000"/>
          <w:sz w:val="20"/>
          <w:szCs w:val="20"/>
        </w:rPr>
        <w:t>Notes to Consolidated Financial Statements</w:t>
      </w:r>
    </w:p>
    <w:p w14:paraId="4FEBFD11" w14:textId="77777777" w:rsidR="00000000" w:rsidRDefault="00C1661D">
      <w:pPr>
        <w:divId w:val="281032933"/>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14:paraId="2B58650C" w14:textId="77777777" w:rsidR="00000000" w:rsidRDefault="00C1661D">
      <w:pPr>
        <w:divId w:val="242447861"/>
        <w:rPr>
          <w:rFonts w:eastAsia="Times New Roman"/>
        </w:rPr>
      </w:pPr>
      <w:r>
        <w:rPr>
          <w:rFonts w:eastAsia="Times New Roman"/>
          <w:b/>
          <w:bCs/>
          <w:color w:val="000000"/>
          <w:sz w:val="20"/>
          <w:szCs w:val="20"/>
        </w:rPr>
        <w:t>Effects of Derivative Instruments</w:t>
      </w:r>
    </w:p>
    <w:p w14:paraId="7929381A" w14:textId="77777777" w:rsidR="00000000" w:rsidRDefault="00C1661D">
      <w:pPr>
        <w:jc w:val="both"/>
        <w:divId w:val="1442647906"/>
        <w:rPr>
          <w:rFonts w:eastAsia="Times New Roman"/>
        </w:rPr>
      </w:pPr>
      <w:r>
        <w:rPr>
          <w:rFonts w:eastAsia="Times New Roman"/>
          <w:color w:val="000000"/>
          <w:sz w:val="20"/>
          <w:szCs w:val="20"/>
        </w:rPr>
        <w:t>The following tables provide information on the effects of derivative instruments on the Consolidated Statements of Income and changes in AOCI for Fiscal 2022, Fiscal 2021 and Fiscal 2020:</w:t>
      </w:r>
    </w:p>
    <w:tbl>
      <w:tblPr>
        <w:tblW w:w="4963" w:type="pct"/>
        <w:tblCellMar>
          <w:top w:w="15" w:type="dxa"/>
          <w:left w:w="15" w:type="dxa"/>
          <w:bottom w:w="15" w:type="dxa"/>
          <w:right w:w="15" w:type="dxa"/>
        </w:tblCellMar>
        <w:tblLook w:val="04A0" w:firstRow="1" w:lastRow="0" w:firstColumn="1" w:lastColumn="0" w:noHBand="0" w:noVBand="1"/>
      </w:tblPr>
      <w:tblGrid>
        <w:gridCol w:w="47"/>
        <w:gridCol w:w="2148"/>
        <w:gridCol w:w="38"/>
        <w:gridCol w:w="121"/>
        <w:gridCol w:w="517"/>
        <w:gridCol w:w="36"/>
        <w:gridCol w:w="36"/>
        <w:gridCol w:w="36"/>
        <w:gridCol w:w="36"/>
        <w:gridCol w:w="121"/>
        <w:gridCol w:w="489"/>
        <w:gridCol w:w="36"/>
        <w:gridCol w:w="36"/>
        <w:gridCol w:w="36"/>
        <w:gridCol w:w="36"/>
        <w:gridCol w:w="121"/>
        <w:gridCol w:w="489"/>
        <w:gridCol w:w="36"/>
        <w:gridCol w:w="36"/>
        <w:gridCol w:w="36"/>
        <w:gridCol w:w="36"/>
        <w:gridCol w:w="57"/>
        <w:gridCol w:w="479"/>
        <w:gridCol w:w="37"/>
        <w:gridCol w:w="37"/>
        <w:gridCol w:w="37"/>
        <w:gridCol w:w="37"/>
        <w:gridCol w:w="57"/>
        <w:gridCol w:w="478"/>
        <w:gridCol w:w="36"/>
        <w:gridCol w:w="36"/>
        <w:gridCol w:w="36"/>
        <w:gridCol w:w="36"/>
        <w:gridCol w:w="57"/>
        <w:gridCol w:w="479"/>
        <w:gridCol w:w="36"/>
        <w:gridCol w:w="36"/>
        <w:gridCol w:w="36"/>
        <w:gridCol w:w="36"/>
        <w:gridCol w:w="49"/>
        <w:gridCol w:w="1594"/>
        <w:gridCol w:w="36"/>
      </w:tblGrid>
      <w:tr w:rsidR="00000000" w14:paraId="01A83E39" w14:textId="77777777">
        <w:trPr>
          <w:divId w:val="1993026245"/>
        </w:trPr>
        <w:tc>
          <w:tcPr>
            <w:tcW w:w="50" w:type="pct"/>
            <w:vAlign w:val="center"/>
            <w:hideMark/>
          </w:tcPr>
          <w:p w14:paraId="3D5A26DF" w14:textId="77777777" w:rsidR="00000000" w:rsidRDefault="00C1661D">
            <w:pPr>
              <w:jc w:val="both"/>
              <w:rPr>
                <w:rFonts w:eastAsia="Times New Roman"/>
              </w:rPr>
            </w:pPr>
          </w:p>
        </w:tc>
        <w:tc>
          <w:tcPr>
            <w:tcW w:w="1322" w:type="pct"/>
            <w:vAlign w:val="center"/>
            <w:hideMark/>
          </w:tcPr>
          <w:p w14:paraId="4692025E" w14:textId="77777777" w:rsidR="00000000" w:rsidRDefault="00C1661D">
            <w:pPr>
              <w:spacing w:after="100"/>
              <w:rPr>
                <w:rFonts w:eastAsia="Times New Roman"/>
                <w:sz w:val="20"/>
                <w:szCs w:val="20"/>
              </w:rPr>
            </w:pPr>
          </w:p>
        </w:tc>
        <w:tc>
          <w:tcPr>
            <w:tcW w:w="5" w:type="pct"/>
            <w:vAlign w:val="center"/>
            <w:hideMark/>
          </w:tcPr>
          <w:p w14:paraId="6A71A351" w14:textId="77777777" w:rsidR="00000000" w:rsidRDefault="00C1661D">
            <w:pPr>
              <w:spacing w:after="100"/>
              <w:rPr>
                <w:rFonts w:eastAsia="Times New Roman"/>
                <w:sz w:val="20"/>
                <w:szCs w:val="20"/>
              </w:rPr>
            </w:pPr>
          </w:p>
        </w:tc>
        <w:tc>
          <w:tcPr>
            <w:tcW w:w="50" w:type="pct"/>
            <w:vAlign w:val="center"/>
            <w:hideMark/>
          </w:tcPr>
          <w:p w14:paraId="24934C18" w14:textId="77777777" w:rsidR="00000000" w:rsidRDefault="00C1661D">
            <w:pPr>
              <w:spacing w:after="100"/>
              <w:rPr>
                <w:rFonts w:eastAsia="Times New Roman"/>
                <w:sz w:val="20"/>
                <w:szCs w:val="20"/>
              </w:rPr>
            </w:pPr>
          </w:p>
        </w:tc>
        <w:tc>
          <w:tcPr>
            <w:tcW w:w="335" w:type="pct"/>
            <w:vAlign w:val="center"/>
            <w:hideMark/>
          </w:tcPr>
          <w:p w14:paraId="41DAFD40" w14:textId="77777777" w:rsidR="00000000" w:rsidRDefault="00C1661D">
            <w:pPr>
              <w:spacing w:after="100"/>
              <w:rPr>
                <w:rFonts w:eastAsia="Times New Roman"/>
                <w:sz w:val="20"/>
                <w:szCs w:val="20"/>
              </w:rPr>
            </w:pPr>
          </w:p>
        </w:tc>
        <w:tc>
          <w:tcPr>
            <w:tcW w:w="5" w:type="pct"/>
            <w:vAlign w:val="center"/>
            <w:hideMark/>
          </w:tcPr>
          <w:p w14:paraId="09325380" w14:textId="77777777" w:rsidR="00000000" w:rsidRDefault="00C1661D">
            <w:pPr>
              <w:spacing w:after="100"/>
              <w:rPr>
                <w:rFonts w:eastAsia="Times New Roman"/>
                <w:sz w:val="20"/>
                <w:szCs w:val="20"/>
              </w:rPr>
            </w:pPr>
          </w:p>
        </w:tc>
        <w:tc>
          <w:tcPr>
            <w:tcW w:w="5" w:type="pct"/>
            <w:vAlign w:val="center"/>
            <w:hideMark/>
          </w:tcPr>
          <w:p w14:paraId="6ABA0168" w14:textId="77777777" w:rsidR="00000000" w:rsidRDefault="00C1661D">
            <w:pPr>
              <w:spacing w:after="100"/>
              <w:rPr>
                <w:rFonts w:eastAsia="Times New Roman"/>
                <w:sz w:val="20"/>
                <w:szCs w:val="20"/>
              </w:rPr>
            </w:pPr>
          </w:p>
        </w:tc>
        <w:tc>
          <w:tcPr>
            <w:tcW w:w="26" w:type="pct"/>
            <w:vAlign w:val="center"/>
            <w:hideMark/>
          </w:tcPr>
          <w:p w14:paraId="7CD4DD8D" w14:textId="77777777" w:rsidR="00000000" w:rsidRDefault="00C1661D">
            <w:pPr>
              <w:spacing w:after="100"/>
              <w:rPr>
                <w:rFonts w:eastAsia="Times New Roman"/>
                <w:sz w:val="20"/>
                <w:szCs w:val="20"/>
              </w:rPr>
            </w:pPr>
          </w:p>
        </w:tc>
        <w:tc>
          <w:tcPr>
            <w:tcW w:w="5" w:type="pct"/>
            <w:vAlign w:val="center"/>
            <w:hideMark/>
          </w:tcPr>
          <w:p w14:paraId="0D446436" w14:textId="77777777" w:rsidR="00000000" w:rsidRDefault="00C1661D">
            <w:pPr>
              <w:spacing w:after="100"/>
              <w:rPr>
                <w:rFonts w:eastAsia="Times New Roman"/>
                <w:sz w:val="20"/>
                <w:szCs w:val="20"/>
              </w:rPr>
            </w:pPr>
          </w:p>
        </w:tc>
        <w:tc>
          <w:tcPr>
            <w:tcW w:w="50" w:type="pct"/>
            <w:vAlign w:val="center"/>
            <w:hideMark/>
          </w:tcPr>
          <w:p w14:paraId="13C51402" w14:textId="77777777" w:rsidR="00000000" w:rsidRDefault="00C1661D">
            <w:pPr>
              <w:spacing w:after="100"/>
              <w:rPr>
                <w:rFonts w:eastAsia="Times New Roman"/>
                <w:sz w:val="20"/>
                <w:szCs w:val="20"/>
              </w:rPr>
            </w:pPr>
          </w:p>
        </w:tc>
        <w:tc>
          <w:tcPr>
            <w:tcW w:w="335" w:type="pct"/>
            <w:vAlign w:val="center"/>
            <w:hideMark/>
          </w:tcPr>
          <w:p w14:paraId="0A9D4089" w14:textId="77777777" w:rsidR="00000000" w:rsidRDefault="00C1661D">
            <w:pPr>
              <w:spacing w:after="100"/>
              <w:rPr>
                <w:rFonts w:eastAsia="Times New Roman"/>
                <w:sz w:val="20"/>
                <w:szCs w:val="20"/>
              </w:rPr>
            </w:pPr>
          </w:p>
        </w:tc>
        <w:tc>
          <w:tcPr>
            <w:tcW w:w="5" w:type="pct"/>
            <w:vAlign w:val="center"/>
            <w:hideMark/>
          </w:tcPr>
          <w:p w14:paraId="4DC176E6" w14:textId="77777777" w:rsidR="00000000" w:rsidRDefault="00C1661D">
            <w:pPr>
              <w:spacing w:after="100"/>
              <w:rPr>
                <w:rFonts w:eastAsia="Times New Roman"/>
                <w:sz w:val="20"/>
                <w:szCs w:val="20"/>
              </w:rPr>
            </w:pPr>
          </w:p>
        </w:tc>
        <w:tc>
          <w:tcPr>
            <w:tcW w:w="5" w:type="pct"/>
            <w:vAlign w:val="center"/>
            <w:hideMark/>
          </w:tcPr>
          <w:p w14:paraId="11FB3910" w14:textId="77777777" w:rsidR="00000000" w:rsidRDefault="00C1661D">
            <w:pPr>
              <w:spacing w:after="100"/>
              <w:rPr>
                <w:rFonts w:eastAsia="Times New Roman"/>
                <w:sz w:val="20"/>
                <w:szCs w:val="20"/>
              </w:rPr>
            </w:pPr>
          </w:p>
        </w:tc>
        <w:tc>
          <w:tcPr>
            <w:tcW w:w="26" w:type="pct"/>
            <w:vAlign w:val="center"/>
            <w:hideMark/>
          </w:tcPr>
          <w:p w14:paraId="6DC8D6AE" w14:textId="77777777" w:rsidR="00000000" w:rsidRDefault="00C1661D">
            <w:pPr>
              <w:spacing w:after="100"/>
              <w:rPr>
                <w:rFonts w:eastAsia="Times New Roman"/>
                <w:sz w:val="20"/>
                <w:szCs w:val="20"/>
              </w:rPr>
            </w:pPr>
          </w:p>
        </w:tc>
        <w:tc>
          <w:tcPr>
            <w:tcW w:w="5" w:type="pct"/>
            <w:vAlign w:val="center"/>
            <w:hideMark/>
          </w:tcPr>
          <w:p w14:paraId="4CE0B012" w14:textId="77777777" w:rsidR="00000000" w:rsidRDefault="00C1661D">
            <w:pPr>
              <w:spacing w:after="100"/>
              <w:rPr>
                <w:rFonts w:eastAsia="Times New Roman"/>
                <w:sz w:val="20"/>
                <w:szCs w:val="20"/>
              </w:rPr>
            </w:pPr>
          </w:p>
        </w:tc>
        <w:tc>
          <w:tcPr>
            <w:tcW w:w="50" w:type="pct"/>
            <w:vAlign w:val="center"/>
            <w:hideMark/>
          </w:tcPr>
          <w:p w14:paraId="62CF7AE1" w14:textId="77777777" w:rsidR="00000000" w:rsidRDefault="00C1661D">
            <w:pPr>
              <w:spacing w:after="100"/>
              <w:rPr>
                <w:rFonts w:eastAsia="Times New Roman"/>
                <w:sz w:val="20"/>
                <w:szCs w:val="20"/>
              </w:rPr>
            </w:pPr>
          </w:p>
        </w:tc>
        <w:tc>
          <w:tcPr>
            <w:tcW w:w="335" w:type="pct"/>
            <w:vAlign w:val="center"/>
            <w:hideMark/>
          </w:tcPr>
          <w:p w14:paraId="4CA9E97F" w14:textId="77777777" w:rsidR="00000000" w:rsidRDefault="00C1661D">
            <w:pPr>
              <w:spacing w:after="100"/>
              <w:rPr>
                <w:rFonts w:eastAsia="Times New Roman"/>
                <w:sz w:val="20"/>
                <w:szCs w:val="20"/>
              </w:rPr>
            </w:pPr>
          </w:p>
        </w:tc>
        <w:tc>
          <w:tcPr>
            <w:tcW w:w="5" w:type="pct"/>
            <w:vAlign w:val="center"/>
            <w:hideMark/>
          </w:tcPr>
          <w:p w14:paraId="2D6F8C39" w14:textId="77777777" w:rsidR="00000000" w:rsidRDefault="00C1661D">
            <w:pPr>
              <w:spacing w:after="100"/>
              <w:rPr>
                <w:rFonts w:eastAsia="Times New Roman"/>
                <w:sz w:val="20"/>
                <w:szCs w:val="20"/>
              </w:rPr>
            </w:pPr>
          </w:p>
        </w:tc>
        <w:tc>
          <w:tcPr>
            <w:tcW w:w="5" w:type="pct"/>
            <w:vAlign w:val="center"/>
            <w:hideMark/>
          </w:tcPr>
          <w:p w14:paraId="2B632D71" w14:textId="77777777" w:rsidR="00000000" w:rsidRDefault="00C1661D">
            <w:pPr>
              <w:spacing w:after="100"/>
              <w:rPr>
                <w:rFonts w:eastAsia="Times New Roman"/>
                <w:sz w:val="20"/>
                <w:szCs w:val="20"/>
              </w:rPr>
            </w:pPr>
          </w:p>
        </w:tc>
        <w:tc>
          <w:tcPr>
            <w:tcW w:w="26" w:type="pct"/>
            <w:vAlign w:val="center"/>
            <w:hideMark/>
          </w:tcPr>
          <w:p w14:paraId="16D30D83" w14:textId="77777777" w:rsidR="00000000" w:rsidRDefault="00C1661D">
            <w:pPr>
              <w:spacing w:after="100"/>
              <w:rPr>
                <w:rFonts w:eastAsia="Times New Roman"/>
                <w:sz w:val="20"/>
                <w:szCs w:val="20"/>
              </w:rPr>
            </w:pPr>
          </w:p>
        </w:tc>
        <w:tc>
          <w:tcPr>
            <w:tcW w:w="5" w:type="pct"/>
            <w:vAlign w:val="center"/>
            <w:hideMark/>
          </w:tcPr>
          <w:p w14:paraId="39BA1CAD" w14:textId="77777777" w:rsidR="00000000" w:rsidRDefault="00C1661D">
            <w:pPr>
              <w:spacing w:after="100"/>
              <w:rPr>
                <w:rFonts w:eastAsia="Times New Roman"/>
                <w:sz w:val="20"/>
                <w:szCs w:val="20"/>
              </w:rPr>
            </w:pPr>
          </w:p>
        </w:tc>
        <w:tc>
          <w:tcPr>
            <w:tcW w:w="50" w:type="pct"/>
            <w:vAlign w:val="center"/>
            <w:hideMark/>
          </w:tcPr>
          <w:p w14:paraId="33EAFAA1" w14:textId="77777777" w:rsidR="00000000" w:rsidRDefault="00C1661D">
            <w:pPr>
              <w:spacing w:after="100"/>
              <w:rPr>
                <w:rFonts w:eastAsia="Times New Roman"/>
                <w:sz w:val="20"/>
                <w:szCs w:val="20"/>
              </w:rPr>
            </w:pPr>
          </w:p>
        </w:tc>
        <w:tc>
          <w:tcPr>
            <w:tcW w:w="335" w:type="pct"/>
            <w:vAlign w:val="center"/>
            <w:hideMark/>
          </w:tcPr>
          <w:p w14:paraId="589DCDE6" w14:textId="77777777" w:rsidR="00000000" w:rsidRDefault="00C1661D">
            <w:pPr>
              <w:spacing w:after="100"/>
              <w:rPr>
                <w:rFonts w:eastAsia="Times New Roman"/>
                <w:sz w:val="20"/>
                <w:szCs w:val="20"/>
              </w:rPr>
            </w:pPr>
          </w:p>
        </w:tc>
        <w:tc>
          <w:tcPr>
            <w:tcW w:w="5" w:type="pct"/>
            <w:vAlign w:val="center"/>
            <w:hideMark/>
          </w:tcPr>
          <w:p w14:paraId="38F0E179" w14:textId="77777777" w:rsidR="00000000" w:rsidRDefault="00C1661D">
            <w:pPr>
              <w:spacing w:after="100"/>
              <w:rPr>
                <w:rFonts w:eastAsia="Times New Roman"/>
                <w:sz w:val="20"/>
                <w:szCs w:val="20"/>
              </w:rPr>
            </w:pPr>
          </w:p>
        </w:tc>
        <w:tc>
          <w:tcPr>
            <w:tcW w:w="5" w:type="pct"/>
            <w:vAlign w:val="center"/>
            <w:hideMark/>
          </w:tcPr>
          <w:p w14:paraId="0C06AE89" w14:textId="77777777" w:rsidR="00000000" w:rsidRDefault="00C1661D">
            <w:pPr>
              <w:spacing w:after="100"/>
              <w:rPr>
                <w:rFonts w:eastAsia="Times New Roman"/>
                <w:sz w:val="20"/>
                <w:szCs w:val="20"/>
              </w:rPr>
            </w:pPr>
          </w:p>
        </w:tc>
        <w:tc>
          <w:tcPr>
            <w:tcW w:w="26" w:type="pct"/>
            <w:vAlign w:val="center"/>
            <w:hideMark/>
          </w:tcPr>
          <w:p w14:paraId="77626D7F" w14:textId="77777777" w:rsidR="00000000" w:rsidRDefault="00C1661D">
            <w:pPr>
              <w:spacing w:after="100"/>
              <w:rPr>
                <w:rFonts w:eastAsia="Times New Roman"/>
                <w:sz w:val="20"/>
                <w:szCs w:val="20"/>
              </w:rPr>
            </w:pPr>
          </w:p>
        </w:tc>
        <w:tc>
          <w:tcPr>
            <w:tcW w:w="5" w:type="pct"/>
            <w:vAlign w:val="center"/>
            <w:hideMark/>
          </w:tcPr>
          <w:p w14:paraId="160F9607" w14:textId="77777777" w:rsidR="00000000" w:rsidRDefault="00C1661D">
            <w:pPr>
              <w:spacing w:after="100"/>
              <w:rPr>
                <w:rFonts w:eastAsia="Times New Roman"/>
                <w:sz w:val="20"/>
                <w:szCs w:val="20"/>
              </w:rPr>
            </w:pPr>
          </w:p>
        </w:tc>
        <w:tc>
          <w:tcPr>
            <w:tcW w:w="50" w:type="pct"/>
            <w:vAlign w:val="center"/>
            <w:hideMark/>
          </w:tcPr>
          <w:p w14:paraId="6EFB4BCE" w14:textId="77777777" w:rsidR="00000000" w:rsidRDefault="00C1661D">
            <w:pPr>
              <w:spacing w:after="100"/>
              <w:rPr>
                <w:rFonts w:eastAsia="Times New Roman"/>
                <w:sz w:val="20"/>
                <w:szCs w:val="20"/>
              </w:rPr>
            </w:pPr>
          </w:p>
        </w:tc>
        <w:tc>
          <w:tcPr>
            <w:tcW w:w="335" w:type="pct"/>
            <w:vAlign w:val="center"/>
            <w:hideMark/>
          </w:tcPr>
          <w:p w14:paraId="3997FFB1" w14:textId="77777777" w:rsidR="00000000" w:rsidRDefault="00C1661D">
            <w:pPr>
              <w:spacing w:after="100"/>
              <w:rPr>
                <w:rFonts w:eastAsia="Times New Roman"/>
                <w:sz w:val="20"/>
                <w:szCs w:val="20"/>
              </w:rPr>
            </w:pPr>
          </w:p>
        </w:tc>
        <w:tc>
          <w:tcPr>
            <w:tcW w:w="5" w:type="pct"/>
            <w:vAlign w:val="center"/>
            <w:hideMark/>
          </w:tcPr>
          <w:p w14:paraId="17390BD6" w14:textId="77777777" w:rsidR="00000000" w:rsidRDefault="00C1661D">
            <w:pPr>
              <w:spacing w:after="100"/>
              <w:rPr>
                <w:rFonts w:eastAsia="Times New Roman"/>
                <w:sz w:val="20"/>
                <w:szCs w:val="20"/>
              </w:rPr>
            </w:pPr>
          </w:p>
        </w:tc>
        <w:tc>
          <w:tcPr>
            <w:tcW w:w="5" w:type="pct"/>
            <w:vAlign w:val="center"/>
            <w:hideMark/>
          </w:tcPr>
          <w:p w14:paraId="0287BEC1" w14:textId="77777777" w:rsidR="00000000" w:rsidRDefault="00C1661D">
            <w:pPr>
              <w:spacing w:after="100"/>
              <w:rPr>
                <w:rFonts w:eastAsia="Times New Roman"/>
                <w:sz w:val="20"/>
                <w:szCs w:val="20"/>
              </w:rPr>
            </w:pPr>
          </w:p>
        </w:tc>
        <w:tc>
          <w:tcPr>
            <w:tcW w:w="26" w:type="pct"/>
            <w:vAlign w:val="center"/>
            <w:hideMark/>
          </w:tcPr>
          <w:p w14:paraId="2CAD9375" w14:textId="77777777" w:rsidR="00000000" w:rsidRDefault="00C1661D">
            <w:pPr>
              <w:spacing w:after="100"/>
              <w:rPr>
                <w:rFonts w:eastAsia="Times New Roman"/>
                <w:sz w:val="20"/>
                <w:szCs w:val="20"/>
              </w:rPr>
            </w:pPr>
          </w:p>
        </w:tc>
        <w:tc>
          <w:tcPr>
            <w:tcW w:w="5" w:type="pct"/>
            <w:vAlign w:val="center"/>
            <w:hideMark/>
          </w:tcPr>
          <w:p w14:paraId="19FEC2D4" w14:textId="77777777" w:rsidR="00000000" w:rsidRDefault="00C1661D">
            <w:pPr>
              <w:spacing w:after="100"/>
              <w:rPr>
                <w:rFonts w:eastAsia="Times New Roman"/>
                <w:sz w:val="20"/>
                <w:szCs w:val="20"/>
              </w:rPr>
            </w:pPr>
          </w:p>
        </w:tc>
        <w:tc>
          <w:tcPr>
            <w:tcW w:w="50" w:type="pct"/>
            <w:vAlign w:val="center"/>
            <w:hideMark/>
          </w:tcPr>
          <w:p w14:paraId="5D8508E5" w14:textId="77777777" w:rsidR="00000000" w:rsidRDefault="00C1661D">
            <w:pPr>
              <w:spacing w:after="100"/>
              <w:rPr>
                <w:rFonts w:eastAsia="Times New Roman"/>
                <w:sz w:val="20"/>
                <w:szCs w:val="20"/>
              </w:rPr>
            </w:pPr>
          </w:p>
        </w:tc>
        <w:tc>
          <w:tcPr>
            <w:tcW w:w="335" w:type="pct"/>
            <w:vAlign w:val="center"/>
            <w:hideMark/>
          </w:tcPr>
          <w:p w14:paraId="53B316C7" w14:textId="77777777" w:rsidR="00000000" w:rsidRDefault="00C1661D">
            <w:pPr>
              <w:spacing w:after="100"/>
              <w:rPr>
                <w:rFonts w:eastAsia="Times New Roman"/>
                <w:sz w:val="20"/>
                <w:szCs w:val="20"/>
              </w:rPr>
            </w:pPr>
          </w:p>
        </w:tc>
        <w:tc>
          <w:tcPr>
            <w:tcW w:w="5" w:type="pct"/>
            <w:vAlign w:val="center"/>
            <w:hideMark/>
          </w:tcPr>
          <w:p w14:paraId="187DA51D" w14:textId="77777777" w:rsidR="00000000" w:rsidRDefault="00C1661D">
            <w:pPr>
              <w:spacing w:after="100"/>
              <w:rPr>
                <w:rFonts w:eastAsia="Times New Roman"/>
                <w:sz w:val="20"/>
                <w:szCs w:val="20"/>
              </w:rPr>
            </w:pPr>
          </w:p>
        </w:tc>
        <w:tc>
          <w:tcPr>
            <w:tcW w:w="5" w:type="pct"/>
            <w:vAlign w:val="center"/>
            <w:hideMark/>
          </w:tcPr>
          <w:p w14:paraId="273414B1" w14:textId="77777777" w:rsidR="00000000" w:rsidRDefault="00C1661D">
            <w:pPr>
              <w:spacing w:after="100"/>
              <w:rPr>
                <w:rFonts w:eastAsia="Times New Roman"/>
                <w:sz w:val="20"/>
                <w:szCs w:val="20"/>
              </w:rPr>
            </w:pPr>
          </w:p>
        </w:tc>
        <w:tc>
          <w:tcPr>
            <w:tcW w:w="26" w:type="pct"/>
            <w:vAlign w:val="center"/>
            <w:hideMark/>
          </w:tcPr>
          <w:p w14:paraId="140A84E6" w14:textId="77777777" w:rsidR="00000000" w:rsidRDefault="00C1661D">
            <w:pPr>
              <w:spacing w:after="100"/>
              <w:rPr>
                <w:rFonts w:eastAsia="Times New Roman"/>
                <w:sz w:val="20"/>
                <w:szCs w:val="20"/>
              </w:rPr>
            </w:pPr>
          </w:p>
        </w:tc>
        <w:tc>
          <w:tcPr>
            <w:tcW w:w="5" w:type="pct"/>
            <w:vAlign w:val="center"/>
            <w:hideMark/>
          </w:tcPr>
          <w:p w14:paraId="729920AD" w14:textId="77777777" w:rsidR="00000000" w:rsidRDefault="00C1661D">
            <w:pPr>
              <w:spacing w:after="100"/>
              <w:rPr>
                <w:rFonts w:eastAsia="Times New Roman"/>
                <w:sz w:val="20"/>
                <w:szCs w:val="20"/>
              </w:rPr>
            </w:pPr>
          </w:p>
        </w:tc>
        <w:tc>
          <w:tcPr>
            <w:tcW w:w="50" w:type="pct"/>
            <w:vAlign w:val="center"/>
            <w:hideMark/>
          </w:tcPr>
          <w:p w14:paraId="778784BB" w14:textId="77777777" w:rsidR="00000000" w:rsidRDefault="00C1661D">
            <w:pPr>
              <w:spacing w:after="100"/>
              <w:rPr>
                <w:rFonts w:eastAsia="Times New Roman"/>
                <w:sz w:val="20"/>
                <w:szCs w:val="20"/>
              </w:rPr>
            </w:pPr>
          </w:p>
        </w:tc>
        <w:tc>
          <w:tcPr>
            <w:tcW w:w="1005" w:type="pct"/>
            <w:vAlign w:val="center"/>
            <w:hideMark/>
          </w:tcPr>
          <w:p w14:paraId="24FBEBC0" w14:textId="77777777" w:rsidR="00000000" w:rsidRDefault="00C1661D">
            <w:pPr>
              <w:spacing w:after="100"/>
              <w:rPr>
                <w:rFonts w:eastAsia="Times New Roman"/>
                <w:sz w:val="20"/>
                <w:szCs w:val="20"/>
              </w:rPr>
            </w:pPr>
          </w:p>
        </w:tc>
        <w:tc>
          <w:tcPr>
            <w:tcW w:w="5" w:type="pct"/>
            <w:vAlign w:val="center"/>
            <w:hideMark/>
          </w:tcPr>
          <w:p w14:paraId="6F8FFB4A" w14:textId="77777777" w:rsidR="00000000" w:rsidRDefault="00C1661D">
            <w:pPr>
              <w:spacing w:after="100"/>
              <w:rPr>
                <w:rFonts w:eastAsia="Times New Roman"/>
                <w:sz w:val="20"/>
                <w:szCs w:val="20"/>
              </w:rPr>
            </w:pPr>
          </w:p>
        </w:tc>
      </w:tr>
      <w:tr w:rsidR="00000000" w14:paraId="633195D5" w14:textId="77777777">
        <w:trPr>
          <w:divId w:val="1993026245"/>
          <w:trHeight w:val="700"/>
        </w:trPr>
        <w:tc>
          <w:tcPr>
            <w:tcW w:w="0" w:type="auto"/>
            <w:gridSpan w:val="3"/>
            <w:tcMar>
              <w:top w:w="0" w:type="dxa"/>
              <w:left w:w="20" w:type="dxa"/>
              <w:bottom w:w="0" w:type="dxa"/>
              <w:right w:w="20" w:type="dxa"/>
            </w:tcMar>
            <w:vAlign w:val="center"/>
            <w:hideMark/>
          </w:tcPr>
          <w:p w14:paraId="2E67B965" w14:textId="77777777" w:rsidR="00000000" w:rsidRDefault="00C1661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5C40235E" w14:textId="77777777" w:rsidR="00000000" w:rsidRDefault="00C1661D">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Recognized in</w:t>
            </w:r>
            <w:r>
              <w:rPr>
                <w:rFonts w:eastAsia="Times New Roman"/>
                <w:color w:val="000000"/>
                <w:sz w:val="20"/>
                <w:szCs w:val="20"/>
              </w:rPr>
              <w:br/>
              <w:t>AOCI</w:t>
            </w:r>
          </w:p>
        </w:tc>
        <w:tc>
          <w:tcPr>
            <w:tcW w:w="0" w:type="auto"/>
            <w:gridSpan w:val="3"/>
            <w:tcMar>
              <w:top w:w="0" w:type="dxa"/>
              <w:left w:w="20" w:type="dxa"/>
              <w:bottom w:w="0" w:type="dxa"/>
              <w:right w:w="20" w:type="dxa"/>
            </w:tcMar>
            <w:vAlign w:val="center"/>
            <w:hideMark/>
          </w:tcPr>
          <w:p w14:paraId="2399C406" w14:textId="77777777" w:rsidR="00000000" w:rsidRDefault="00C1661D">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5D01E781" w14:textId="77777777" w:rsidR="00000000" w:rsidRDefault="00C1661D">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Reclassified from</w:t>
            </w:r>
            <w:r>
              <w:rPr>
                <w:rFonts w:eastAsia="Times New Roman"/>
                <w:color w:val="000000"/>
                <w:sz w:val="20"/>
                <w:szCs w:val="20"/>
              </w:rPr>
              <w:br/>
              <w:t>AOCI into Income</w:t>
            </w:r>
          </w:p>
        </w:tc>
        <w:tc>
          <w:tcPr>
            <w:tcW w:w="0" w:type="auto"/>
            <w:gridSpan w:val="3"/>
            <w:tcMar>
              <w:top w:w="0" w:type="dxa"/>
              <w:left w:w="20" w:type="dxa"/>
              <w:bottom w:w="0" w:type="dxa"/>
              <w:right w:w="20" w:type="dxa"/>
            </w:tcMar>
            <w:vAlign w:val="center"/>
            <w:hideMark/>
          </w:tcPr>
          <w:p w14:paraId="2D1B2B16" w14:textId="77777777" w:rsidR="00000000" w:rsidRDefault="00C1661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650C210" w14:textId="77777777" w:rsidR="00000000" w:rsidRDefault="00C1661D">
            <w:pPr>
              <w:spacing w:after="100"/>
              <w:jc w:val="center"/>
              <w:rPr>
                <w:rFonts w:eastAsia="Times New Roman"/>
              </w:rPr>
            </w:pPr>
            <w:r>
              <w:rPr>
                <w:rFonts w:eastAsia="Times New Roman"/>
                <w:color w:val="000000"/>
                <w:sz w:val="20"/>
                <w:szCs w:val="20"/>
              </w:rPr>
              <w:t>Location of Gain (Loss) Reclassified from</w:t>
            </w:r>
            <w:r>
              <w:rPr>
                <w:rFonts w:eastAsia="Times New Roman"/>
                <w:color w:val="000000"/>
                <w:sz w:val="20"/>
                <w:szCs w:val="20"/>
              </w:rPr>
              <w:br/>
              <w:t>AOCI into Income</w:t>
            </w:r>
          </w:p>
        </w:tc>
      </w:tr>
      <w:tr w:rsidR="00000000" w14:paraId="1AB73092" w14:textId="77777777">
        <w:trPr>
          <w:divId w:val="1993026245"/>
          <w:trHeight w:val="300"/>
        </w:trPr>
        <w:tc>
          <w:tcPr>
            <w:tcW w:w="0" w:type="auto"/>
            <w:gridSpan w:val="3"/>
            <w:tcMar>
              <w:top w:w="30" w:type="dxa"/>
              <w:left w:w="20" w:type="dxa"/>
              <w:bottom w:w="30" w:type="dxa"/>
              <w:right w:w="20" w:type="dxa"/>
            </w:tcMar>
            <w:vAlign w:val="bottom"/>
            <w:hideMark/>
          </w:tcPr>
          <w:p w14:paraId="004E0B29"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4D0EE442"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4F5792F1"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ACFD0B"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20747281"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597ABB" w14:textId="77777777" w:rsidR="00000000" w:rsidRDefault="00C1661D">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14:paraId="39C636CB"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30E1F1"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62588602"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19E20D"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7101F911"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BCF430" w14:textId="77777777" w:rsidR="00000000" w:rsidRDefault="00C1661D">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14:paraId="32F0CEBF" w14:textId="77777777" w:rsidR="00000000" w:rsidRDefault="00C1661D">
            <w:pPr>
              <w:spacing w:after="100"/>
              <w:jc w:val="center"/>
              <w:rPr>
                <w:rFonts w:eastAsia="Times New Roman"/>
              </w:rPr>
            </w:pPr>
          </w:p>
        </w:tc>
        <w:tc>
          <w:tcPr>
            <w:tcW w:w="0" w:type="auto"/>
            <w:gridSpan w:val="3"/>
            <w:vMerge/>
            <w:vAlign w:val="center"/>
            <w:hideMark/>
          </w:tcPr>
          <w:p w14:paraId="5B385239" w14:textId="77777777" w:rsidR="00000000" w:rsidRDefault="00C1661D">
            <w:pPr>
              <w:spacing w:after="100"/>
              <w:rPr>
                <w:rFonts w:eastAsia="Times New Roman"/>
              </w:rPr>
            </w:pPr>
          </w:p>
        </w:tc>
      </w:tr>
      <w:tr w:rsidR="00000000" w14:paraId="12D6437F" w14:textId="77777777">
        <w:trPr>
          <w:divId w:val="1993026245"/>
        </w:trPr>
        <w:tc>
          <w:tcPr>
            <w:tcW w:w="0" w:type="auto"/>
            <w:gridSpan w:val="3"/>
            <w:shd w:val="clear" w:color="auto" w:fill="CCEEFF"/>
            <w:tcMar>
              <w:top w:w="30" w:type="dxa"/>
              <w:left w:w="20" w:type="dxa"/>
              <w:bottom w:w="30" w:type="dxa"/>
              <w:right w:w="20" w:type="dxa"/>
            </w:tcMar>
            <w:vAlign w:val="bottom"/>
            <w:hideMark/>
          </w:tcPr>
          <w:p w14:paraId="00CF1F0B" w14:textId="77777777" w:rsidR="00000000" w:rsidRDefault="00C1661D">
            <w:pPr>
              <w:spacing w:after="100"/>
              <w:rPr>
                <w:rFonts w:eastAsia="Times New Roman"/>
              </w:rPr>
            </w:pPr>
            <w:r>
              <w:rPr>
                <w:rFonts w:eastAsia="Times New Roman"/>
                <w:b/>
                <w:bCs/>
                <w:color w:val="000000"/>
                <w:sz w:val="20"/>
                <w:szCs w:val="20"/>
              </w:rPr>
              <w:t>Cash Flow Hedges: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4E69FD8"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E8EF9D0"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E126576"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2CB2732"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6ABA65E"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21A5212"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6CB4200"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EAFBC17"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6CF79C7"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07F7C59"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5D20686"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5511241"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236292C" w14:textId="77777777" w:rsidR="00000000" w:rsidRDefault="00C1661D">
            <w:pPr>
              <w:spacing w:after="100"/>
              <w:jc w:val="center"/>
              <w:rPr>
                <w:rFonts w:eastAsia="Times New Roman"/>
              </w:rPr>
            </w:pPr>
            <w:r>
              <w:rPr>
                <w:rFonts w:eastAsia="Times New Roman"/>
                <w:color w:val="000000"/>
                <w:sz w:val="20"/>
                <w:szCs w:val="20"/>
              </w:rPr>
              <w:t> </w:t>
            </w:r>
          </w:p>
        </w:tc>
      </w:tr>
      <w:tr w:rsidR="00000000" w14:paraId="6CD588F3" w14:textId="77777777">
        <w:trPr>
          <w:divId w:val="1993026245"/>
        </w:trPr>
        <w:tc>
          <w:tcPr>
            <w:tcW w:w="0" w:type="auto"/>
            <w:gridSpan w:val="3"/>
            <w:vAlign w:val="center"/>
            <w:hideMark/>
          </w:tcPr>
          <w:p w14:paraId="40E80FB1" w14:textId="77777777" w:rsidR="00000000" w:rsidRDefault="00C1661D">
            <w:pPr>
              <w:spacing w:after="100"/>
              <w:jc w:val="center"/>
              <w:rPr>
                <w:rFonts w:eastAsia="Times New Roman"/>
              </w:rPr>
            </w:pPr>
          </w:p>
        </w:tc>
        <w:tc>
          <w:tcPr>
            <w:tcW w:w="0" w:type="auto"/>
            <w:gridSpan w:val="3"/>
            <w:vAlign w:val="center"/>
            <w:hideMark/>
          </w:tcPr>
          <w:p w14:paraId="21AEC7C1" w14:textId="77777777" w:rsidR="00000000" w:rsidRDefault="00C1661D">
            <w:pPr>
              <w:spacing w:after="100"/>
              <w:rPr>
                <w:rFonts w:eastAsia="Times New Roman"/>
                <w:sz w:val="20"/>
                <w:szCs w:val="20"/>
              </w:rPr>
            </w:pPr>
          </w:p>
        </w:tc>
        <w:tc>
          <w:tcPr>
            <w:tcW w:w="0" w:type="auto"/>
            <w:gridSpan w:val="3"/>
            <w:vAlign w:val="center"/>
            <w:hideMark/>
          </w:tcPr>
          <w:p w14:paraId="4931F168" w14:textId="77777777" w:rsidR="00000000" w:rsidRDefault="00C1661D">
            <w:pPr>
              <w:spacing w:after="100"/>
              <w:rPr>
                <w:rFonts w:eastAsia="Times New Roman"/>
                <w:sz w:val="20"/>
                <w:szCs w:val="20"/>
              </w:rPr>
            </w:pPr>
          </w:p>
        </w:tc>
        <w:tc>
          <w:tcPr>
            <w:tcW w:w="0" w:type="auto"/>
            <w:gridSpan w:val="3"/>
            <w:vAlign w:val="center"/>
            <w:hideMark/>
          </w:tcPr>
          <w:p w14:paraId="1C0708C3" w14:textId="77777777" w:rsidR="00000000" w:rsidRDefault="00C1661D">
            <w:pPr>
              <w:spacing w:after="100"/>
              <w:rPr>
                <w:rFonts w:eastAsia="Times New Roman"/>
                <w:sz w:val="20"/>
                <w:szCs w:val="20"/>
              </w:rPr>
            </w:pPr>
          </w:p>
        </w:tc>
        <w:tc>
          <w:tcPr>
            <w:tcW w:w="0" w:type="auto"/>
            <w:gridSpan w:val="3"/>
            <w:vAlign w:val="center"/>
            <w:hideMark/>
          </w:tcPr>
          <w:p w14:paraId="54E7DC7B" w14:textId="77777777" w:rsidR="00000000" w:rsidRDefault="00C1661D">
            <w:pPr>
              <w:spacing w:after="100"/>
              <w:rPr>
                <w:rFonts w:eastAsia="Times New Roman"/>
                <w:sz w:val="20"/>
                <w:szCs w:val="20"/>
              </w:rPr>
            </w:pPr>
          </w:p>
        </w:tc>
        <w:tc>
          <w:tcPr>
            <w:tcW w:w="0" w:type="auto"/>
            <w:gridSpan w:val="3"/>
            <w:vAlign w:val="center"/>
            <w:hideMark/>
          </w:tcPr>
          <w:p w14:paraId="5E024B00" w14:textId="77777777" w:rsidR="00000000" w:rsidRDefault="00C1661D">
            <w:pPr>
              <w:spacing w:after="100"/>
              <w:rPr>
                <w:rFonts w:eastAsia="Times New Roman"/>
                <w:sz w:val="20"/>
                <w:szCs w:val="20"/>
              </w:rPr>
            </w:pPr>
          </w:p>
        </w:tc>
        <w:tc>
          <w:tcPr>
            <w:tcW w:w="0" w:type="auto"/>
            <w:gridSpan w:val="3"/>
            <w:vAlign w:val="center"/>
            <w:hideMark/>
          </w:tcPr>
          <w:p w14:paraId="1904238E" w14:textId="77777777" w:rsidR="00000000" w:rsidRDefault="00C1661D">
            <w:pPr>
              <w:spacing w:after="100"/>
              <w:rPr>
                <w:rFonts w:eastAsia="Times New Roman"/>
                <w:sz w:val="20"/>
                <w:szCs w:val="20"/>
              </w:rPr>
            </w:pPr>
          </w:p>
        </w:tc>
        <w:tc>
          <w:tcPr>
            <w:tcW w:w="0" w:type="auto"/>
            <w:gridSpan w:val="3"/>
            <w:vAlign w:val="center"/>
            <w:hideMark/>
          </w:tcPr>
          <w:p w14:paraId="4ED4CF48" w14:textId="77777777" w:rsidR="00000000" w:rsidRDefault="00C1661D">
            <w:pPr>
              <w:spacing w:after="100"/>
              <w:rPr>
                <w:rFonts w:eastAsia="Times New Roman"/>
                <w:sz w:val="20"/>
                <w:szCs w:val="20"/>
              </w:rPr>
            </w:pPr>
          </w:p>
        </w:tc>
        <w:tc>
          <w:tcPr>
            <w:tcW w:w="0" w:type="auto"/>
            <w:gridSpan w:val="3"/>
            <w:vAlign w:val="center"/>
            <w:hideMark/>
          </w:tcPr>
          <w:p w14:paraId="5520EF0C" w14:textId="77777777" w:rsidR="00000000" w:rsidRDefault="00C1661D">
            <w:pPr>
              <w:spacing w:after="100"/>
              <w:rPr>
                <w:rFonts w:eastAsia="Times New Roman"/>
                <w:sz w:val="20"/>
                <w:szCs w:val="20"/>
              </w:rPr>
            </w:pPr>
          </w:p>
        </w:tc>
        <w:tc>
          <w:tcPr>
            <w:tcW w:w="0" w:type="auto"/>
            <w:gridSpan w:val="3"/>
            <w:vAlign w:val="center"/>
            <w:hideMark/>
          </w:tcPr>
          <w:p w14:paraId="6B7F7CCB" w14:textId="77777777" w:rsidR="00000000" w:rsidRDefault="00C1661D">
            <w:pPr>
              <w:spacing w:after="100"/>
              <w:rPr>
                <w:rFonts w:eastAsia="Times New Roman"/>
                <w:sz w:val="20"/>
                <w:szCs w:val="20"/>
              </w:rPr>
            </w:pPr>
          </w:p>
        </w:tc>
        <w:tc>
          <w:tcPr>
            <w:tcW w:w="0" w:type="auto"/>
            <w:gridSpan w:val="3"/>
            <w:vAlign w:val="center"/>
            <w:hideMark/>
          </w:tcPr>
          <w:p w14:paraId="14E364FF" w14:textId="77777777" w:rsidR="00000000" w:rsidRDefault="00C1661D">
            <w:pPr>
              <w:spacing w:after="100"/>
              <w:rPr>
                <w:rFonts w:eastAsia="Times New Roman"/>
                <w:sz w:val="20"/>
                <w:szCs w:val="20"/>
              </w:rPr>
            </w:pPr>
          </w:p>
        </w:tc>
        <w:tc>
          <w:tcPr>
            <w:tcW w:w="0" w:type="auto"/>
            <w:gridSpan w:val="3"/>
            <w:vAlign w:val="center"/>
            <w:hideMark/>
          </w:tcPr>
          <w:p w14:paraId="72A637D1" w14:textId="77777777" w:rsidR="00000000" w:rsidRDefault="00C1661D">
            <w:pPr>
              <w:spacing w:after="100"/>
              <w:rPr>
                <w:rFonts w:eastAsia="Times New Roman"/>
                <w:sz w:val="20"/>
                <w:szCs w:val="20"/>
              </w:rPr>
            </w:pPr>
          </w:p>
        </w:tc>
        <w:tc>
          <w:tcPr>
            <w:tcW w:w="0" w:type="auto"/>
            <w:gridSpan w:val="3"/>
            <w:vAlign w:val="center"/>
            <w:hideMark/>
          </w:tcPr>
          <w:p w14:paraId="6DB83B11" w14:textId="77777777" w:rsidR="00000000" w:rsidRDefault="00C1661D">
            <w:pPr>
              <w:spacing w:after="100"/>
              <w:rPr>
                <w:rFonts w:eastAsia="Times New Roman"/>
                <w:sz w:val="20"/>
                <w:szCs w:val="20"/>
              </w:rPr>
            </w:pPr>
          </w:p>
        </w:tc>
        <w:tc>
          <w:tcPr>
            <w:tcW w:w="0" w:type="auto"/>
            <w:gridSpan w:val="3"/>
            <w:vAlign w:val="center"/>
            <w:hideMark/>
          </w:tcPr>
          <w:p w14:paraId="4FBEFBFA" w14:textId="77777777" w:rsidR="00000000" w:rsidRDefault="00C1661D">
            <w:pPr>
              <w:spacing w:after="100"/>
              <w:rPr>
                <w:rFonts w:eastAsia="Times New Roman"/>
                <w:sz w:val="20"/>
                <w:szCs w:val="20"/>
              </w:rPr>
            </w:pPr>
          </w:p>
        </w:tc>
      </w:tr>
      <w:tr w:rsidR="00000000" w14:paraId="3BC32E4F" w14:textId="77777777">
        <w:trPr>
          <w:divId w:val="1993026245"/>
        </w:trPr>
        <w:tc>
          <w:tcPr>
            <w:tcW w:w="0" w:type="auto"/>
            <w:gridSpan w:val="3"/>
            <w:vAlign w:val="center"/>
            <w:hideMark/>
          </w:tcPr>
          <w:p w14:paraId="56F3B807" w14:textId="77777777" w:rsidR="00000000" w:rsidRDefault="00C1661D">
            <w:pPr>
              <w:spacing w:after="100"/>
              <w:rPr>
                <w:rFonts w:eastAsia="Times New Roman"/>
                <w:sz w:val="20"/>
                <w:szCs w:val="20"/>
              </w:rPr>
            </w:pPr>
          </w:p>
        </w:tc>
        <w:tc>
          <w:tcPr>
            <w:tcW w:w="0" w:type="auto"/>
            <w:gridSpan w:val="3"/>
            <w:vAlign w:val="center"/>
            <w:hideMark/>
          </w:tcPr>
          <w:p w14:paraId="5EE7D828" w14:textId="77777777" w:rsidR="00000000" w:rsidRDefault="00C1661D">
            <w:pPr>
              <w:spacing w:after="100"/>
              <w:rPr>
                <w:rFonts w:eastAsia="Times New Roman"/>
                <w:sz w:val="20"/>
                <w:szCs w:val="20"/>
              </w:rPr>
            </w:pPr>
          </w:p>
        </w:tc>
        <w:tc>
          <w:tcPr>
            <w:tcW w:w="0" w:type="auto"/>
            <w:gridSpan w:val="3"/>
            <w:vAlign w:val="center"/>
            <w:hideMark/>
          </w:tcPr>
          <w:p w14:paraId="7F5C5AC8" w14:textId="77777777" w:rsidR="00000000" w:rsidRDefault="00C1661D">
            <w:pPr>
              <w:spacing w:after="100"/>
              <w:rPr>
                <w:rFonts w:eastAsia="Times New Roman"/>
                <w:sz w:val="20"/>
                <w:szCs w:val="20"/>
              </w:rPr>
            </w:pPr>
          </w:p>
        </w:tc>
        <w:tc>
          <w:tcPr>
            <w:tcW w:w="0" w:type="auto"/>
            <w:gridSpan w:val="3"/>
            <w:vAlign w:val="center"/>
            <w:hideMark/>
          </w:tcPr>
          <w:p w14:paraId="1513AC36" w14:textId="77777777" w:rsidR="00000000" w:rsidRDefault="00C1661D">
            <w:pPr>
              <w:spacing w:after="100"/>
              <w:rPr>
                <w:rFonts w:eastAsia="Times New Roman"/>
                <w:sz w:val="20"/>
                <w:szCs w:val="20"/>
              </w:rPr>
            </w:pPr>
          </w:p>
        </w:tc>
        <w:tc>
          <w:tcPr>
            <w:tcW w:w="0" w:type="auto"/>
            <w:gridSpan w:val="3"/>
            <w:vAlign w:val="center"/>
            <w:hideMark/>
          </w:tcPr>
          <w:p w14:paraId="2EC24958" w14:textId="77777777" w:rsidR="00000000" w:rsidRDefault="00C1661D">
            <w:pPr>
              <w:spacing w:after="100"/>
              <w:rPr>
                <w:rFonts w:eastAsia="Times New Roman"/>
                <w:sz w:val="20"/>
                <w:szCs w:val="20"/>
              </w:rPr>
            </w:pPr>
          </w:p>
        </w:tc>
        <w:tc>
          <w:tcPr>
            <w:tcW w:w="0" w:type="auto"/>
            <w:gridSpan w:val="3"/>
            <w:vAlign w:val="center"/>
            <w:hideMark/>
          </w:tcPr>
          <w:p w14:paraId="6E847182" w14:textId="77777777" w:rsidR="00000000" w:rsidRDefault="00C1661D">
            <w:pPr>
              <w:spacing w:after="100"/>
              <w:rPr>
                <w:rFonts w:eastAsia="Times New Roman"/>
                <w:sz w:val="20"/>
                <w:szCs w:val="20"/>
              </w:rPr>
            </w:pPr>
          </w:p>
        </w:tc>
        <w:tc>
          <w:tcPr>
            <w:tcW w:w="0" w:type="auto"/>
            <w:gridSpan w:val="3"/>
            <w:vAlign w:val="center"/>
            <w:hideMark/>
          </w:tcPr>
          <w:p w14:paraId="6A037F6F" w14:textId="77777777" w:rsidR="00000000" w:rsidRDefault="00C1661D">
            <w:pPr>
              <w:spacing w:after="100"/>
              <w:rPr>
                <w:rFonts w:eastAsia="Times New Roman"/>
                <w:sz w:val="20"/>
                <w:szCs w:val="20"/>
              </w:rPr>
            </w:pPr>
          </w:p>
        </w:tc>
        <w:tc>
          <w:tcPr>
            <w:tcW w:w="0" w:type="auto"/>
            <w:gridSpan w:val="3"/>
            <w:vAlign w:val="center"/>
            <w:hideMark/>
          </w:tcPr>
          <w:p w14:paraId="233CC53B" w14:textId="77777777" w:rsidR="00000000" w:rsidRDefault="00C1661D">
            <w:pPr>
              <w:spacing w:after="100"/>
              <w:rPr>
                <w:rFonts w:eastAsia="Times New Roman"/>
                <w:sz w:val="20"/>
                <w:szCs w:val="20"/>
              </w:rPr>
            </w:pPr>
          </w:p>
        </w:tc>
        <w:tc>
          <w:tcPr>
            <w:tcW w:w="0" w:type="auto"/>
            <w:gridSpan w:val="3"/>
            <w:vAlign w:val="center"/>
            <w:hideMark/>
          </w:tcPr>
          <w:p w14:paraId="6D671E3B" w14:textId="77777777" w:rsidR="00000000" w:rsidRDefault="00C1661D">
            <w:pPr>
              <w:spacing w:after="100"/>
              <w:rPr>
                <w:rFonts w:eastAsia="Times New Roman"/>
                <w:sz w:val="20"/>
                <w:szCs w:val="20"/>
              </w:rPr>
            </w:pPr>
          </w:p>
        </w:tc>
        <w:tc>
          <w:tcPr>
            <w:tcW w:w="0" w:type="auto"/>
            <w:gridSpan w:val="3"/>
            <w:vAlign w:val="center"/>
            <w:hideMark/>
          </w:tcPr>
          <w:p w14:paraId="27FFA74F" w14:textId="77777777" w:rsidR="00000000" w:rsidRDefault="00C1661D">
            <w:pPr>
              <w:spacing w:after="100"/>
              <w:rPr>
                <w:rFonts w:eastAsia="Times New Roman"/>
                <w:sz w:val="20"/>
                <w:szCs w:val="20"/>
              </w:rPr>
            </w:pPr>
          </w:p>
        </w:tc>
        <w:tc>
          <w:tcPr>
            <w:tcW w:w="0" w:type="auto"/>
            <w:gridSpan w:val="3"/>
            <w:vAlign w:val="center"/>
            <w:hideMark/>
          </w:tcPr>
          <w:p w14:paraId="15C24E81" w14:textId="77777777" w:rsidR="00000000" w:rsidRDefault="00C1661D">
            <w:pPr>
              <w:spacing w:after="100"/>
              <w:rPr>
                <w:rFonts w:eastAsia="Times New Roman"/>
                <w:sz w:val="20"/>
                <w:szCs w:val="20"/>
              </w:rPr>
            </w:pPr>
          </w:p>
        </w:tc>
        <w:tc>
          <w:tcPr>
            <w:tcW w:w="0" w:type="auto"/>
            <w:gridSpan w:val="3"/>
            <w:vAlign w:val="center"/>
            <w:hideMark/>
          </w:tcPr>
          <w:p w14:paraId="5A4A654E" w14:textId="77777777" w:rsidR="00000000" w:rsidRDefault="00C1661D">
            <w:pPr>
              <w:spacing w:after="100"/>
              <w:rPr>
                <w:rFonts w:eastAsia="Times New Roman"/>
                <w:sz w:val="20"/>
                <w:szCs w:val="20"/>
              </w:rPr>
            </w:pPr>
          </w:p>
        </w:tc>
        <w:tc>
          <w:tcPr>
            <w:tcW w:w="0" w:type="auto"/>
            <w:gridSpan w:val="3"/>
            <w:vAlign w:val="center"/>
            <w:hideMark/>
          </w:tcPr>
          <w:p w14:paraId="731D553F" w14:textId="77777777" w:rsidR="00000000" w:rsidRDefault="00C1661D">
            <w:pPr>
              <w:spacing w:after="100"/>
              <w:rPr>
                <w:rFonts w:eastAsia="Times New Roman"/>
                <w:sz w:val="20"/>
                <w:szCs w:val="20"/>
              </w:rPr>
            </w:pPr>
          </w:p>
        </w:tc>
        <w:tc>
          <w:tcPr>
            <w:tcW w:w="0" w:type="auto"/>
            <w:gridSpan w:val="3"/>
            <w:vAlign w:val="center"/>
            <w:hideMark/>
          </w:tcPr>
          <w:p w14:paraId="475C5204" w14:textId="77777777" w:rsidR="00000000" w:rsidRDefault="00C1661D">
            <w:pPr>
              <w:spacing w:after="100"/>
              <w:rPr>
                <w:rFonts w:eastAsia="Times New Roman"/>
                <w:sz w:val="20"/>
                <w:szCs w:val="20"/>
              </w:rPr>
            </w:pPr>
          </w:p>
        </w:tc>
      </w:tr>
      <w:tr w:rsidR="00000000" w14:paraId="45CD1523" w14:textId="77777777">
        <w:trPr>
          <w:divId w:val="1993026245"/>
        </w:trPr>
        <w:tc>
          <w:tcPr>
            <w:tcW w:w="0" w:type="auto"/>
            <w:gridSpan w:val="3"/>
            <w:vAlign w:val="center"/>
            <w:hideMark/>
          </w:tcPr>
          <w:p w14:paraId="49D451C8" w14:textId="77777777" w:rsidR="00000000" w:rsidRDefault="00C1661D">
            <w:pPr>
              <w:spacing w:after="100"/>
              <w:rPr>
                <w:rFonts w:eastAsia="Times New Roman"/>
                <w:sz w:val="20"/>
                <w:szCs w:val="20"/>
              </w:rPr>
            </w:pPr>
          </w:p>
        </w:tc>
        <w:tc>
          <w:tcPr>
            <w:tcW w:w="0" w:type="auto"/>
            <w:gridSpan w:val="3"/>
            <w:vAlign w:val="center"/>
            <w:hideMark/>
          </w:tcPr>
          <w:p w14:paraId="715251A0" w14:textId="77777777" w:rsidR="00000000" w:rsidRDefault="00C1661D">
            <w:pPr>
              <w:spacing w:after="100"/>
              <w:rPr>
                <w:rFonts w:eastAsia="Times New Roman"/>
                <w:sz w:val="20"/>
                <w:szCs w:val="20"/>
              </w:rPr>
            </w:pPr>
          </w:p>
        </w:tc>
        <w:tc>
          <w:tcPr>
            <w:tcW w:w="0" w:type="auto"/>
            <w:gridSpan w:val="3"/>
            <w:vAlign w:val="center"/>
            <w:hideMark/>
          </w:tcPr>
          <w:p w14:paraId="7E125D82" w14:textId="77777777" w:rsidR="00000000" w:rsidRDefault="00C1661D">
            <w:pPr>
              <w:spacing w:after="100"/>
              <w:rPr>
                <w:rFonts w:eastAsia="Times New Roman"/>
                <w:sz w:val="20"/>
                <w:szCs w:val="20"/>
              </w:rPr>
            </w:pPr>
          </w:p>
        </w:tc>
        <w:tc>
          <w:tcPr>
            <w:tcW w:w="0" w:type="auto"/>
            <w:gridSpan w:val="3"/>
            <w:vAlign w:val="center"/>
            <w:hideMark/>
          </w:tcPr>
          <w:p w14:paraId="219A4422" w14:textId="77777777" w:rsidR="00000000" w:rsidRDefault="00C1661D">
            <w:pPr>
              <w:spacing w:after="100"/>
              <w:rPr>
                <w:rFonts w:eastAsia="Times New Roman"/>
                <w:sz w:val="20"/>
                <w:szCs w:val="20"/>
              </w:rPr>
            </w:pPr>
          </w:p>
        </w:tc>
        <w:tc>
          <w:tcPr>
            <w:tcW w:w="0" w:type="auto"/>
            <w:gridSpan w:val="3"/>
            <w:vAlign w:val="center"/>
            <w:hideMark/>
          </w:tcPr>
          <w:p w14:paraId="3634823A" w14:textId="77777777" w:rsidR="00000000" w:rsidRDefault="00C1661D">
            <w:pPr>
              <w:spacing w:after="100"/>
              <w:rPr>
                <w:rFonts w:eastAsia="Times New Roman"/>
                <w:sz w:val="20"/>
                <w:szCs w:val="20"/>
              </w:rPr>
            </w:pPr>
          </w:p>
        </w:tc>
        <w:tc>
          <w:tcPr>
            <w:tcW w:w="0" w:type="auto"/>
            <w:gridSpan w:val="3"/>
            <w:vAlign w:val="center"/>
            <w:hideMark/>
          </w:tcPr>
          <w:p w14:paraId="1774B58D" w14:textId="77777777" w:rsidR="00000000" w:rsidRDefault="00C1661D">
            <w:pPr>
              <w:spacing w:after="100"/>
              <w:rPr>
                <w:rFonts w:eastAsia="Times New Roman"/>
                <w:sz w:val="20"/>
                <w:szCs w:val="20"/>
              </w:rPr>
            </w:pPr>
          </w:p>
        </w:tc>
        <w:tc>
          <w:tcPr>
            <w:tcW w:w="0" w:type="auto"/>
            <w:gridSpan w:val="3"/>
            <w:vAlign w:val="center"/>
            <w:hideMark/>
          </w:tcPr>
          <w:p w14:paraId="7365AAD3" w14:textId="77777777" w:rsidR="00000000" w:rsidRDefault="00C1661D">
            <w:pPr>
              <w:spacing w:after="100"/>
              <w:rPr>
                <w:rFonts w:eastAsia="Times New Roman"/>
                <w:sz w:val="20"/>
                <w:szCs w:val="20"/>
              </w:rPr>
            </w:pPr>
          </w:p>
        </w:tc>
        <w:tc>
          <w:tcPr>
            <w:tcW w:w="0" w:type="auto"/>
            <w:gridSpan w:val="3"/>
            <w:vAlign w:val="center"/>
            <w:hideMark/>
          </w:tcPr>
          <w:p w14:paraId="1E57613B" w14:textId="77777777" w:rsidR="00000000" w:rsidRDefault="00C1661D">
            <w:pPr>
              <w:spacing w:after="100"/>
              <w:rPr>
                <w:rFonts w:eastAsia="Times New Roman"/>
                <w:sz w:val="20"/>
                <w:szCs w:val="20"/>
              </w:rPr>
            </w:pPr>
          </w:p>
        </w:tc>
        <w:tc>
          <w:tcPr>
            <w:tcW w:w="0" w:type="auto"/>
            <w:gridSpan w:val="3"/>
            <w:vAlign w:val="center"/>
            <w:hideMark/>
          </w:tcPr>
          <w:p w14:paraId="1939E296" w14:textId="77777777" w:rsidR="00000000" w:rsidRDefault="00C1661D">
            <w:pPr>
              <w:spacing w:after="100"/>
              <w:rPr>
                <w:rFonts w:eastAsia="Times New Roman"/>
                <w:sz w:val="20"/>
                <w:szCs w:val="20"/>
              </w:rPr>
            </w:pPr>
          </w:p>
        </w:tc>
        <w:tc>
          <w:tcPr>
            <w:tcW w:w="0" w:type="auto"/>
            <w:gridSpan w:val="3"/>
            <w:vAlign w:val="center"/>
            <w:hideMark/>
          </w:tcPr>
          <w:p w14:paraId="5CB65946" w14:textId="77777777" w:rsidR="00000000" w:rsidRDefault="00C1661D">
            <w:pPr>
              <w:spacing w:after="100"/>
              <w:rPr>
                <w:rFonts w:eastAsia="Times New Roman"/>
                <w:sz w:val="20"/>
                <w:szCs w:val="20"/>
              </w:rPr>
            </w:pPr>
          </w:p>
        </w:tc>
        <w:tc>
          <w:tcPr>
            <w:tcW w:w="0" w:type="auto"/>
            <w:gridSpan w:val="3"/>
            <w:vAlign w:val="center"/>
            <w:hideMark/>
          </w:tcPr>
          <w:p w14:paraId="5A8BC8E4" w14:textId="77777777" w:rsidR="00000000" w:rsidRDefault="00C1661D">
            <w:pPr>
              <w:spacing w:after="100"/>
              <w:rPr>
                <w:rFonts w:eastAsia="Times New Roman"/>
                <w:sz w:val="20"/>
                <w:szCs w:val="20"/>
              </w:rPr>
            </w:pPr>
          </w:p>
        </w:tc>
        <w:tc>
          <w:tcPr>
            <w:tcW w:w="0" w:type="auto"/>
            <w:gridSpan w:val="3"/>
            <w:vAlign w:val="center"/>
            <w:hideMark/>
          </w:tcPr>
          <w:p w14:paraId="3FA6B356" w14:textId="77777777" w:rsidR="00000000" w:rsidRDefault="00C1661D">
            <w:pPr>
              <w:spacing w:after="100"/>
              <w:rPr>
                <w:rFonts w:eastAsia="Times New Roman"/>
                <w:sz w:val="20"/>
                <w:szCs w:val="20"/>
              </w:rPr>
            </w:pPr>
          </w:p>
        </w:tc>
        <w:tc>
          <w:tcPr>
            <w:tcW w:w="0" w:type="auto"/>
            <w:gridSpan w:val="3"/>
            <w:vAlign w:val="center"/>
            <w:hideMark/>
          </w:tcPr>
          <w:p w14:paraId="793AC248" w14:textId="77777777" w:rsidR="00000000" w:rsidRDefault="00C1661D">
            <w:pPr>
              <w:spacing w:after="100"/>
              <w:rPr>
                <w:rFonts w:eastAsia="Times New Roman"/>
                <w:sz w:val="20"/>
                <w:szCs w:val="20"/>
              </w:rPr>
            </w:pPr>
          </w:p>
        </w:tc>
        <w:tc>
          <w:tcPr>
            <w:tcW w:w="0" w:type="auto"/>
            <w:gridSpan w:val="3"/>
            <w:vAlign w:val="center"/>
            <w:hideMark/>
          </w:tcPr>
          <w:p w14:paraId="5E3C2E67" w14:textId="77777777" w:rsidR="00000000" w:rsidRDefault="00C1661D">
            <w:pPr>
              <w:spacing w:after="100"/>
              <w:rPr>
                <w:rFonts w:eastAsia="Times New Roman"/>
                <w:sz w:val="20"/>
                <w:szCs w:val="20"/>
              </w:rPr>
            </w:pPr>
          </w:p>
        </w:tc>
      </w:tr>
      <w:tr w:rsidR="00000000" w14:paraId="5B6F70C1" w14:textId="77777777">
        <w:trPr>
          <w:divId w:val="1993026245"/>
        </w:trPr>
        <w:tc>
          <w:tcPr>
            <w:tcW w:w="0" w:type="auto"/>
            <w:gridSpan w:val="3"/>
            <w:shd w:val="clear" w:color="auto" w:fill="FFFFFF"/>
            <w:tcMar>
              <w:top w:w="30" w:type="dxa"/>
              <w:left w:w="155" w:type="dxa"/>
              <w:bottom w:w="30" w:type="dxa"/>
              <w:right w:w="20" w:type="dxa"/>
            </w:tcMar>
            <w:vAlign w:val="bottom"/>
            <w:hideMark/>
          </w:tcPr>
          <w:p w14:paraId="67B0B2E2" w14:textId="77777777" w:rsidR="00000000" w:rsidRDefault="00C1661D">
            <w:pPr>
              <w:spacing w:after="100"/>
              <w:rPr>
                <w:rFonts w:eastAsia="Times New Roman"/>
              </w:rPr>
            </w:pPr>
            <w:r>
              <w:rPr>
                <w:rFonts w:eastAsia="Times New Roman"/>
                <w:color w:val="000000"/>
                <w:sz w:val="20"/>
                <w:szCs w:val="20"/>
              </w:rPr>
              <w:t>Interest rate contracts</w:t>
            </w:r>
          </w:p>
        </w:tc>
        <w:tc>
          <w:tcPr>
            <w:tcW w:w="0" w:type="auto"/>
            <w:gridSpan w:val="2"/>
            <w:shd w:val="clear" w:color="auto" w:fill="FFFFFF"/>
            <w:tcMar>
              <w:top w:w="30" w:type="dxa"/>
              <w:left w:w="20" w:type="dxa"/>
              <w:bottom w:w="30" w:type="dxa"/>
              <w:right w:w="0" w:type="dxa"/>
            </w:tcMar>
            <w:vAlign w:val="bottom"/>
            <w:hideMark/>
          </w:tcPr>
          <w:p w14:paraId="00CB79C6" w14:textId="77777777" w:rsidR="00000000" w:rsidRDefault="00C1661D">
            <w:pPr>
              <w:spacing w:after="100"/>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14:paraId="190B431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9E95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191949" w14:textId="77777777" w:rsidR="00000000" w:rsidRDefault="00C1661D">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26EBFEE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9EC7A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5DFC14" w14:textId="77777777" w:rsidR="00000000" w:rsidRDefault="00C1661D">
            <w:pPr>
              <w:spacing w:after="100"/>
              <w:jc w:val="right"/>
              <w:rPr>
                <w:rFonts w:eastAsia="Times New Roman"/>
              </w:rPr>
            </w:pPr>
            <w:r>
              <w:rPr>
                <w:rFonts w:eastAsia="Times New Roman"/>
                <w:color w:val="000000"/>
                <w:sz w:val="20"/>
                <w:szCs w:val="20"/>
              </w:rPr>
              <w:t>(</w:t>
            </w: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14:paraId="349C5DC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C5DB2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7554C9" w14:textId="77777777" w:rsidR="00000000" w:rsidRDefault="00C1661D">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6242995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1247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E03010" w14:textId="77777777" w:rsidR="00000000" w:rsidRDefault="00C1661D">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51A098F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18728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EE6D1F" w14:textId="77777777" w:rsidR="00000000" w:rsidRDefault="00C1661D">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14:paraId="2ADD346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30FE3C" w14:textId="77777777" w:rsidR="00000000" w:rsidRDefault="00C1661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99605F6" w14:textId="77777777" w:rsidR="00000000" w:rsidRDefault="00C1661D">
            <w:pPr>
              <w:spacing w:after="100"/>
              <w:jc w:val="center"/>
              <w:rPr>
                <w:rFonts w:eastAsia="Times New Roman"/>
              </w:rPr>
            </w:pPr>
            <w:r>
              <w:rPr>
                <w:rFonts w:eastAsia="Times New Roman"/>
                <w:color w:val="000000"/>
                <w:sz w:val="20"/>
                <w:szCs w:val="20"/>
              </w:rPr>
              <w:t>Interest expense</w:t>
            </w:r>
          </w:p>
        </w:tc>
      </w:tr>
      <w:tr w:rsidR="00000000" w14:paraId="22828A45" w14:textId="77777777">
        <w:trPr>
          <w:divId w:val="1993026245"/>
        </w:trPr>
        <w:tc>
          <w:tcPr>
            <w:tcW w:w="0" w:type="auto"/>
            <w:gridSpan w:val="3"/>
            <w:vAlign w:val="center"/>
            <w:hideMark/>
          </w:tcPr>
          <w:p w14:paraId="5D458A66" w14:textId="77777777" w:rsidR="00000000" w:rsidRDefault="00C1661D">
            <w:pPr>
              <w:spacing w:after="100"/>
              <w:jc w:val="center"/>
              <w:rPr>
                <w:rFonts w:eastAsia="Times New Roman"/>
              </w:rPr>
            </w:pPr>
          </w:p>
        </w:tc>
        <w:tc>
          <w:tcPr>
            <w:tcW w:w="0" w:type="auto"/>
            <w:gridSpan w:val="3"/>
            <w:vAlign w:val="center"/>
            <w:hideMark/>
          </w:tcPr>
          <w:p w14:paraId="4FDB43FE" w14:textId="77777777" w:rsidR="00000000" w:rsidRDefault="00C1661D">
            <w:pPr>
              <w:spacing w:after="100"/>
              <w:rPr>
                <w:rFonts w:eastAsia="Times New Roman"/>
                <w:sz w:val="20"/>
                <w:szCs w:val="20"/>
              </w:rPr>
            </w:pPr>
          </w:p>
        </w:tc>
        <w:tc>
          <w:tcPr>
            <w:tcW w:w="0" w:type="auto"/>
            <w:gridSpan w:val="3"/>
            <w:vAlign w:val="center"/>
            <w:hideMark/>
          </w:tcPr>
          <w:p w14:paraId="29CC586B" w14:textId="77777777" w:rsidR="00000000" w:rsidRDefault="00C1661D">
            <w:pPr>
              <w:spacing w:after="100"/>
              <w:rPr>
                <w:rFonts w:eastAsia="Times New Roman"/>
                <w:sz w:val="20"/>
                <w:szCs w:val="20"/>
              </w:rPr>
            </w:pPr>
          </w:p>
        </w:tc>
        <w:tc>
          <w:tcPr>
            <w:tcW w:w="0" w:type="auto"/>
            <w:gridSpan w:val="3"/>
            <w:vAlign w:val="center"/>
            <w:hideMark/>
          </w:tcPr>
          <w:p w14:paraId="1F68BEFD" w14:textId="77777777" w:rsidR="00000000" w:rsidRDefault="00C1661D">
            <w:pPr>
              <w:spacing w:after="100"/>
              <w:rPr>
                <w:rFonts w:eastAsia="Times New Roman"/>
                <w:sz w:val="20"/>
                <w:szCs w:val="20"/>
              </w:rPr>
            </w:pPr>
          </w:p>
        </w:tc>
        <w:tc>
          <w:tcPr>
            <w:tcW w:w="0" w:type="auto"/>
            <w:gridSpan w:val="3"/>
            <w:vAlign w:val="center"/>
            <w:hideMark/>
          </w:tcPr>
          <w:p w14:paraId="1073B9A5" w14:textId="77777777" w:rsidR="00000000" w:rsidRDefault="00C1661D">
            <w:pPr>
              <w:spacing w:after="100"/>
              <w:rPr>
                <w:rFonts w:eastAsia="Times New Roman"/>
                <w:sz w:val="20"/>
                <w:szCs w:val="20"/>
              </w:rPr>
            </w:pPr>
          </w:p>
        </w:tc>
        <w:tc>
          <w:tcPr>
            <w:tcW w:w="0" w:type="auto"/>
            <w:gridSpan w:val="3"/>
            <w:vAlign w:val="center"/>
            <w:hideMark/>
          </w:tcPr>
          <w:p w14:paraId="42A5983A" w14:textId="77777777" w:rsidR="00000000" w:rsidRDefault="00C1661D">
            <w:pPr>
              <w:spacing w:after="100"/>
              <w:rPr>
                <w:rFonts w:eastAsia="Times New Roman"/>
                <w:sz w:val="20"/>
                <w:szCs w:val="20"/>
              </w:rPr>
            </w:pPr>
          </w:p>
        </w:tc>
        <w:tc>
          <w:tcPr>
            <w:tcW w:w="0" w:type="auto"/>
            <w:gridSpan w:val="3"/>
            <w:vAlign w:val="center"/>
            <w:hideMark/>
          </w:tcPr>
          <w:p w14:paraId="65CDC621" w14:textId="77777777" w:rsidR="00000000" w:rsidRDefault="00C1661D">
            <w:pPr>
              <w:spacing w:after="100"/>
              <w:rPr>
                <w:rFonts w:eastAsia="Times New Roman"/>
                <w:sz w:val="20"/>
                <w:szCs w:val="20"/>
              </w:rPr>
            </w:pPr>
          </w:p>
        </w:tc>
        <w:tc>
          <w:tcPr>
            <w:tcW w:w="0" w:type="auto"/>
            <w:gridSpan w:val="3"/>
            <w:vAlign w:val="center"/>
            <w:hideMark/>
          </w:tcPr>
          <w:p w14:paraId="2236D0C2" w14:textId="77777777" w:rsidR="00000000" w:rsidRDefault="00C1661D">
            <w:pPr>
              <w:spacing w:after="100"/>
              <w:rPr>
                <w:rFonts w:eastAsia="Times New Roman"/>
                <w:sz w:val="20"/>
                <w:szCs w:val="20"/>
              </w:rPr>
            </w:pPr>
          </w:p>
        </w:tc>
        <w:tc>
          <w:tcPr>
            <w:tcW w:w="0" w:type="auto"/>
            <w:gridSpan w:val="3"/>
            <w:vAlign w:val="center"/>
            <w:hideMark/>
          </w:tcPr>
          <w:p w14:paraId="2BF3641E" w14:textId="77777777" w:rsidR="00000000" w:rsidRDefault="00C1661D">
            <w:pPr>
              <w:spacing w:after="100"/>
              <w:rPr>
                <w:rFonts w:eastAsia="Times New Roman"/>
                <w:sz w:val="20"/>
                <w:szCs w:val="20"/>
              </w:rPr>
            </w:pPr>
          </w:p>
        </w:tc>
        <w:tc>
          <w:tcPr>
            <w:tcW w:w="0" w:type="auto"/>
            <w:gridSpan w:val="3"/>
            <w:vAlign w:val="center"/>
            <w:hideMark/>
          </w:tcPr>
          <w:p w14:paraId="33548ADF" w14:textId="77777777" w:rsidR="00000000" w:rsidRDefault="00C1661D">
            <w:pPr>
              <w:spacing w:after="100"/>
              <w:rPr>
                <w:rFonts w:eastAsia="Times New Roman"/>
                <w:sz w:val="20"/>
                <w:szCs w:val="20"/>
              </w:rPr>
            </w:pPr>
          </w:p>
        </w:tc>
        <w:tc>
          <w:tcPr>
            <w:tcW w:w="0" w:type="auto"/>
            <w:gridSpan w:val="3"/>
            <w:vAlign w:val="center"/>
            <w:hideMark/>
          </w:tcPr>
          <w:p w14:paraId="4D605AC9" w14:textId="77777777" w:rsidR="00000000" w:rsidRDefault="00C1661D">
            <w:pPr>
              <w:spacing w:after="100"/>
              <w:rPr>
                <w:rFonts w:eastAsia="Times New Roman"/>
                <w:sz w:val="20"/>
                <w:szCs w:val="20"/>
              </w:rPr>
            </w:pPr>
          </w:p>
        </w:tc>
        <w:tc>
          <w:tcPr>
            <w:tcW w:w="0" w:type="auto"/>
            <w:gridSpan w:val="3"/>
            <w:vAlign w:val="center"/>
            <w:hideMark/>
          </w:tcPr>
          <w:p w14:paraId="0487BFB1" w14:textId="77777777" w:rsidR="00000000" w:rsidRDefault="00C1661D">
            <w:pPr>
              <w:spacing w:after="100"/>
              <w:rPr>
                <w:rFonts w:eastAsia="Times New Roman"/>
                <w:sz w:val="20"/>
                <w:szCs w:val="20"/>
              </w:rPr>
            </w:pPr>
          </w:p>
        </w:tc>
        <w:tc>
          <w:tcPr>
            <w:tcW w:w="0" w:type="auto"/>
            <w:gridSpan w:val="3"/>
            <w:vAlign w:val="center"/>
            <w:hideMark/>
          </w:tcPr>
          <w:p w14:paraId="66D1A7A4" w14:textId="77777777" w:rsidR="00000000" w:rsidRDefault="00C1661D">
            <w:pPr>
              <w:spacing w:after="100"/>
              <w:rPr>
                <w:rFonts w:eastAsia="Times New Roman"/>
                <w:sz w:val="20"/>
                <w:szCs w:val="20"/>
              </w:rPr>
            </w:pPr>
          </w:p>
        </w:tc>
        <w:tc>
          <w:tcPr>
            <w:tcW w:w="0" w:type="auto"/>
            <w:gridSpan w:val="3"/>
            <w:vAlign w:val="center"/>
            <w:hideMark/>
          </w:tcPr>
          <w:p w14:paraId="14191D37" w14:textId="77777777" w:rsidR="00000000" w:rsidRDefault="00C1661D">
            <w:pPr>
              <w:spacing w:after="100"/>
              <w:rPr>
                <w:rFonts w:eastAsia="Times New Roman"/>
                <w:sz w:val="20"/>
                <w:szCs w:val="20"/>
              </w:rPr>
            </w:pPr>
          </w:p>
        </w:tc>
      </w:tr>
      <w:tr w:rsidR="00000000" w14:paraId="1D08F9BD" w14:textId="77777777">
        <w:trPr>
          <w:divId w:val="1993026245"/>
        </w:trPr>
        <w:tc>
          <w:tcPr>
            <w:tcW w:w="0" w:type="auto"/>
            <w:gridSpan w:val="3"/>
            <w:shd w:val="clear" w:color="auto" w:fill="CCEEFF"/>
            <w:tcMar>
              <w:top w:w="30" w:type="dxa"/>
              <w:left w:w="20" w:type="dxa"/>
              <w:bottom w:w="30" w:type="dxa"/>
              <w:right w:w="20" w:type="dxa"/>
            </w:tcMar>
            <w:vAlign w:val="bottom"/>
            <w:hideMark/>
          </w:tcPr>
          <w:p w14:paraId="04FF30E4" w14:textId="77777777" w:rsidR="00000000" w:rsidRDefault="00C1661D">
            <w:pPr>
              <w:spacing w:after="100"/>
              <w:rPr>
                <w:rFonts w:eastAsia="Times New Roman"/>
              </w:rPr>
            </w:pPr>
            <w:r>
              <w:rPr>
                <w:rFonts w:eastAsia="Times New Roman"/>
                <w:b/>
                <w:bCs/>
                <w:color w:val="000000"/>
                <w:sz w:val="20"/>
                <w:szCs w:val="20"/>
              </w:rPr>
              <w:t>Net Investment Hedges: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D035AAB"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4BA22AC" w14:textId="77777777" w:rsidR="00000000" w:rsidRDefault="00C1661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3D0DE13"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EE46495" w14:textId="77777777" w:rsidR="00000000" w:rsidRDefault="00C1661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AF36E43"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7D9DAC7" w14:textId="77777777" w:rsidR="00000000" w:rsidRDefault="00C1661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BAAE75A"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67A201E" w14:textId="77777777" w:rsidR="00000000" w:rsidRDefault="00C1661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62EF020"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1BEAB34" w14:textId="77777777" w:rsidR="00000000" w:rsidRDefault="00C1661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ABAD0D8"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BEAB7FA"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6A0AC90" w14:textId="77777777" w:rsidR="00000000" w:rsidRDefault="00C1661D">
            <w:pPr>
              <w:spacing w:after="100"/>
              <w:jc w:val="center"/>
              <w:rPr>
                <w:rFonts w:eastAsia="Times New Roman"/>
              </w:rPr>
            </w:pPr>
            <w:r>
              <w:rPr>
                <w:rFonts w:eastAsia="Times New Roman"/>
                <w:color w:val="000000"/>
                <w:sz w:val="20"/>
                <w:szCs w:val="20"/>
              </w:rPr>
              <w:t> </w:t>
            </w:r>
          </w:p>
        </w:tc>
      </w:tr>
      <w:tr w:rsidR="00000000" w14:paraId="701890B8" w14:textId="77777777">
        <w:trPr>
          <w:divId w:val="1993026245"/>
        </w:trPr>
        <w:tc>
          <w:tcPr>
            <w:tcW w:w="0" w:type="auto"/>
            <w:gridSpan w:val="3"/>
            <w:shd w:val="clear" w:color="auto" w:fill="FFFFFF"/>
            <w:tcMar>
              <w:top w:w="30" w:type="dxa"/>
              <w:left w:w="155" w:type="dxa"/>
              <w:bottom w:w="30" w:type="dxa"/>
              <w:right w:w="20" w:type="dxa"/>
            </w:tcMar>
            <w:vAlign w:val="bottom"/>
            <w:hideMark/>
          </w:tcPr>
          <w:p w14:paraId="7C6190F0" w14:textId="77777777" w:rsidR="00000000" w:rsidRDefault="00C1661D">
            <w:pPr>
              <w:spacing w:after="100"/>
              <w:rPr>
                <w:rFonts w:eastAsia="Times New Roman"/>
              </w:rPr>
            </w:pPr>
            <w:r>
              <w:rPr>
                <w:rFonts w:eastAsia="Times New Roman"/>
                <w:color w:val="000000"/>
                <w:sz w:val="20"/>
                <w:szCs w:val="20"/>
              </w:rPr>
              <w:t>Foreign currency contracts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460239C1" w14:textId="77777777" w:rsidR="00000000" w:rsidRDefault="00C1661D">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5E6E709C" w14:textId="77777777" w:rsidR="00000000" w:rsidRDefault="00C1661D">
            <w:pPr>
              <w:spacing w:after="100"/>
              <w:jc w:val="right"/>
              <w:rPr>
                <w:rFonts w:eastAsia="Times New Roman"/>
              </w:rPr>
            </w:pPr>
            <w:r>
              <w:rPr>
                <w:rFonts w:eastAsia="Times New Roman"/>
                <w:color w:val="000000"/>
                <w:sz w:val="20"/>
                <w:szCs w:val="20"/>
              </w:rPr>
              <w:t>69 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4DE3062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0258B" w14:textId="77777777" w:rsidR="00000000" w:rsidRDefault="00C1661D">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7E5D0661" w14:textId="77777777" w:rsidR="00000000" w:rsidRDefault="00C1661D">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51CAC2FB" w14:textId="77777777" w:rsidR="00000000" w:rsidRDefault="00C1661D">
            <w:pPr>
              <w:spacing w:after="100"/>
              <w:jc w:val="right"/>
              <w:rPr>
                <w:rFonts w:eastAsia="Times New Roman"/>
              </w:rPr>
            </w:pPr>
            <w:r>
              <w:rPr>
                <w:rFonts w:eastAsia="Times New Roman"/>
                <w:color w:val="000000"/>
                <w:sz w:val="20"/>
                <w:szCs w:val="20"/>
              </w:rPr>
              <w:t>4 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6AA6E7E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1A94A2" w14:textId="77777777" w:rsidR="00000000" w:rsidRDefault="00C1661D">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36C4C1ED" w14:textId="77777777" w:rsidR="00000000" w:rsidRDefault="00C1661D">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355067FB" w14:textId="77777777" w:rsidR="00000000" w:rsidRDefault="00C1661D">
            <w:pPr>
              <w:spacing w:after="100"/>
              <w:jc w:val="right"/>
              <w:rPr>
                <w:rFonts w:eastAsia="Times New Roman"/>
              </w:rPr>
            </w:pPr>
            <w:r>
              <w:rPr>
                <w:rFonts w:eastAsia="Times New Roman"/>
                <w:color w:val="000000"/>
                <w:sz w:val="20"/>
                <w:szCs w:val="20"/>
              </w:rPr>
              <w:t>(1)</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68B1DB9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419CFA" w14:textId="77777777" w:rsidR="00000000" w:rsidRDefault="00C1661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22FDEFE"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18A6447"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535E5DD"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FC0229B"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8FC6D8C"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7037A84"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B7FC795" w14:textId="77777777" w:rsidR="00000000" w:rsidRDefault="00C1661D">
            <w:pPr>
              <w:spacing w:after="100"/>
              <w:jc w:val="center"/>
              <w:rPr>
                <w:rFonts w:eastAsia="Times New Roman"/>
              </w:rPr>
            </w:pPr>
            <w:r>
              <w:rPr>
                <w:rFonts w:eastAsia="Times New Roman"/>
                <w:color w:val="000000"/>
                <w:sz w:val="20"/>
                <w:szCs w:val="20"/>
              </w:rPr>
              <w:t> </w:t>
            </w: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177"/>
        <w:gridCol w:w="144"/>
        <w:gridCol w:w="144"/>
        <w:gridCol w:w="576"/>
        <w:gridCol w:w="144"/>
        <w:gridCol w:w="144"/>
        <w:gridCol w:w="144"/>
        <w:gridCol w:w="144"/>
        <w:gridCol w:w="144"/>
        <w:gridCol w:w="576"/>
        <w:gridCol w:w="144"/>
        <w:gridCol w:w="144"/>
        <w:gridCol w:w="144"/>
        <w:gridCol w:w="144"/>
        <w:gridCol w:w="144"/>
        <w:gridCol w:w="576"/>
        <w:gridCol w:w="144"/>
        <w:gridCol w:w="144"/>
        <w:gridCol w:w="144"/>
        <w:gridCol w:w="144"/>
        <w:gridCol w:w="144"/>
        <w:gridCol w:w="3757"/>
        <w:gridCol w:w="144"/>
        <w:gridCol w:w="160"/>
        <w:gridCol w:w="160"/>
        <w:gridCol w:w="160"/>
      </w:tblGrid>
      <w:tr w:rsidR="00000000" w14:paraId="6E928C3C" w14:textId="77777777">
        <w:tc>
          <w:tcPr>
            <w:tcW w:w="50" w:type="pct"/>
            <w:vAlign w:val="center"/>
            <w:hideMark/>
          </w:tcPr>
          <w:p w14:paraId="7974CAC4" w14:textId="77777777" w:rsidR="00000000" w:rsidRDefault="00C1661D">
            <w:pPr>
              <w:rPr>
                <w:rFonts w:eastAsia="Times New Roman"/>
              </w:rPr>
            </w:pPr>
          </w:p>
        </w:tc>
        <w:tc>
          <w:tcPr>
            <w:tcW w:w="1311" w:type="pct"/>
            <w:vAlign w:val="center"/>
            <w:hideMark/>
          </w:tcPr>
          <w:p w14:paraId="1093BF03" w14:textId="77777777" w:rsidR="00000000" w:rsidRDefault="00C1661D">
            <w:pPr>
              <w:spacing w:after="100"/>
              <w:rPr>
                <w:rFonts w:eastAsia="Times New Roman"/>
                <w:sz w:val="20"/>
                <w:szCs w:val="20"/>
              </w:rPr>
            </w:pPr>
          </w:p>
        </w:tc>
        <w:tc>
          <w:tcPr>
            <w:tcW w:w="5" w:type="pct"/>
            <w:vAlign w:val="center"/>
            <w:hideMark/>
          </w:tcPr>
          <w:p w14:paraId="0F1388AB" w14:textId="77777777" w:rsidR="00000000" w:rsidRDefault="00C1661D">
            <w:pPr>
              <w:spacing w:after="100"/>
              <w:rPr>
                <w:rFonts w:eastAsia="Times New Roman"/>
                <w:sz w:val="20"/>
                <w:szCs w:val="20"/>
              </w:rPr>
            </w:pPr>
          </w:p>
        </w:tc>
        <w:tc>
          <w:tcPr>
            <w:tcW w:w="50" w:type="pct"/>
            <w:vAlign w:val="center"/>
            <w:hideMark/>
          </w:tcPr>
          <w:p w14:paraId="7B6ED2E5" w14:textId="77777777" w:rsidR="00000000" w:rsidRDefault="00C1661D">
            <w:pPr>
              <w:spacing w:after="100"/>
              <w:rPr>
                <w:rFonts w:eastAsia="Times New Roman"/>
                <w:sz w:val="20"/>
                <w:szCs w:val="20"/>
              </w:rPr>
            </w:pPr>
          </w:p>
        </w:tc>
        <w:tc>
          <w:tcPr>
            <w:tcW w:w="347" w:type="pct"/>
            <w:vAlign w:val="center"/>
            <w:hideMark/>
          </w:tcPr>
          <w:p w14:paraId="659DA608" w14:textId="77777777" w:rsidR="00000000" w:rsidRDefault="00C1661D">
            <w:pPr>
              <w:spacing w:after="100"/>
              <w:rPr>
                <w:rFonts w:eastAsia="Times New Roman"/>
                <w:sz w:val="20"/>
                <w:szCs w:val="20"/>
              </w:rPr>
            </w:pPr>
          </w:p>
        </w:tc>
        <w:tc>
          <w:tcPr>
            <w:tcW w:w="5" w:type="pct"/>
            <w:vAlign w:val="center"/>
            <w:hideMark/>
          </w:tcPr>
          <w:p w14:paraId="6BF77112" w14:textId="77777777" w:rsidR="00000000" w:rsidRDefault="00C1661D">
            <w:pPr>
              <w:spacing w:after="100"/>
              <w:rPr>
                <w:rFonts w:eastAsia="Times New Roman"/>
                <w:sz w:val="20"/>
                <w:szCs w:val="20"/>
              </w:rPr>
            </w:pPr>
          </w:p>
        </w:tc>
        <w:tc>
          <w:tcPr>
            <w:tcW w:w="5" w:type="pct"/>
            <w:vAlign w:val="center"/>
            <w:hideMark/>
          </w:tcPr>
          <w:p w14:paraId="0EB9BC86" w14:textId="77777777" w:rsidR="00000000" w:rsidRDefault="00C1661D">
            <w:pPr>
              <w:spacing w:after="100"/>
              <w:rPr>
                <w:rFonts w:eastAsia="Times New Roman"/>
                <w:sz w:val="20"/>
                <w:szCs w:val="20"/>
              </w:rPr>
            </w:pPr>
          </w:p>
        </w:tc>
        <w:tc>
          <w:tcPr>
            <w:tcW w:w="26" w:type="pct"/>
            <w:vAlign w:val="center"/>
            <w:hideMark/>
          </w:tcPr>
          <w:p w14:paraId="06821343" w14:textId="77777777" w:rsidR="00000000" w:rsidRDefault="00C1661D">
            <w:pPr>
              <w:spacing w:after="100"/>
              <w:rPr>
                <w:rFonts w:eastAsia="Times New Roman"/>
                <w:sz w:val="20"/>
                <w:szCs w:val="20"/>
              </w:rPr>
            </w:pPr>
          </w:p>
        </w:tc>
        <w:tc>
          <w:tcPr>
            <w:tcW w:w="5" w:type="pct"/>
            <w:vAlign w:val="center"/>
            <w:hideMark/>
          </w:tcPr>
          <w:p w14:paraId="472995C1" w14:textId="77777777" w:rsidR="00000000" w:rsidRDefault="00C1661D">
            <w:pPr>
              <w:spacing w:after="100"/>
              <w:rPr>
                <w:rFonts w:eastAsia="Times New Roman"/>
                <w:sz w:val="20"/>
                <w:szCs w:val="20"/>
              </w:rPr>
            </w:pPr>
          </w:p>
        </w:tc>
        <w:tc>
          <w:tcPr>
            <w:tcW w:w="50" w:type="pct"/>
            <w:vAlign w:val="center"/>
            <w:hideMark/>
          </w:tcPr>
          <w:p w14:paraId="2162F198" w14:textId="77777777" w:rsidR="00000000" w:rsidRDefault="00C1661D">
            <w:pPr>
              <w:spacing w:after="100"/>
              <w:rPr>
                <w:rFonts w:eastAsia="Times New Roman"/>
                <w:sz w:val="20"/>
                <w:szCs w:val="20"/>
              </w:rPr>
            </w:pPr>
          </w:p>
        </w:tc>
        <w:tc>
          <w:tcPr>
            <w:tcW w:w="347" w:type="pct"/>
            <w:vAlign w:val="center"/>
            <w:hideMark/>
          </w:tcPr>
          <w:p w14:paraId="6BDB1DF2" w14:textId="77777777" w:rsidR="00000000" w:rsidRDefault="00C1661D">
            <w:pPr>
              <w:spacing w:after="100"/>
              <w:rPr>
                <w:rFonts w:eastAsia="Times New Roman"/>
                <w:sz w:val="20"/>
                <w:szCs w:val="20"/>
              </w:rPr>
            </w:pPr>
          </w:p>
        </w:tc>
        <w:tc>
          <w:tcPr>
            <w:tcW w:w="5" w:type="pct"/>
            <w:vAlign w:val="center"/>
            <w:hideMark/>
          </w:tcPr>
          <w:p w14:paraId="5018C2ED" w14:textId="77777777" w:rsidR="00000000" w:rsidRDefault="00C1661D">
            <w:pPr>
              <w:spacing w:after="100"/>
              <w:rPr>
                <w:rFonts w:eastAsia="Times New Roman"/>
                <w:sz w:val="20"/>
                <w:szCs w:val="20"/>
              </w:rPr>
            </w:pPr>
          </w:p>
        </w:tc>
        <w:tc>
          <w:tcPr>
            <w:tcW w:w="5" w:type="pct"/>
            <w:vAlign w:val="center"/>
            <w:hideMark/>
          </w:tcPr>
          <w:p w14:paraId="60FADB3B" w14:textId="77777777" w:rsidR="00000000" w:rsidRDefault="00C1661D">
            <w:pPr>
              <w:spacing w:after="100"/>
              <w:rPr>
                <w:rFonts w:eastAsia="Times New Roman"/>
                <w:sz w:val="20"/>
                <w:szCs w:val="20"/>
              </w:rPr>
            </w:pPr>
          </w:p>
        </w:tc>
        <w:tc>
          <w:tcPr>
            <w:tcW w:w="26" w:type="pct"/>
            <w:vAlign w:val="center"/>
            <w:hideMark/>
          </w:tcPr>
          <w:p w14:paraId="12B95E2C" w14:textId="77777777" w:rsidR="00000000" w:rsidRDefault="00C1661D">
            <w:pPr>
              <w:spacing w:after="100"/>
              <w:rPr>
                <w:rFonts w:eastAsia="Times New Roman"/>
                <w:sz w:val="20"/>
                <w:szCs w:val="20"/>
              </w:rPr>
            </w:pPr>
          </w:p>
        </w:tc>
        <w:tc>
          <w:tcPr>
            <w:tcW w:w="5" w:type="pct"/>
            <w:vAlign w:val="center"/>
            <w:hideMark/>
          </w:tcPr>
          <w:p w14:paraId="6C5E7B80" w14:textId="77777777" w:rsidR="00000000" w:rsidRDefault="00C1661D">
            <w:pPr>
              <w:spacing w:after="100"/>
              <w:rPr>
                <w:rFonts w:eastAsia="Times New Roman"/>
                <w:sz w:val="20"/>
                <w:szCs w:val="20"/>
              </w:rPr>
            </w:pPr>
          </w:p>
        </w:tc>
        <w:tc>
          <w:tcPr>
            <w:tcW w:w="50" w:type="pct"/>
            <w:vAlign w:val="center"/>
            <w:hideMark/>
          </w:tcPr>
          <w:p w14:paraId="7FB4BC35" w14:textId="77777777" w:rsidR="00000000" w:rsidRDefault="00C1661D">
            <w:pPr>
              <w:spacing w:after="100"/>
              <w:rPr>
                <w:rFonts w:eastAsia="Times New Roman"/>
                <w:sz w:val="20"/>
                <w:szCs w:val="20"/>
              </w:rPr>
            </w:pPr>
          </w:p>
        </w:tc>
        <w:tc>
          <w:tcPr>
            <w:tcW w:w="347" w:type="pct"/>
            <w:vAlign w:val="center"/>
            <w:hideMark/>
          </w:tcPr>
          <w:p w14:paraId="53A52DDF" w14:textId="77777777" w:rsidR="00000000" w:rsidRDefault="00C1661D">
            <w:pPr>
              <w:spacing w:after="100"/>
              <w:rPr>
                <w:rFonts w:eastAsia="Times New Roman"/>
                <w:sz w:val="20"/>
                <w:szCs w:val="20"/>
              </w:rPr>
            </w:pPr>
          </w:p>
        </w:tc>
        <w:tc>
          <w:tcPr>
            <w:tcW w:w="5" w:type="pct"/>
            <w:vAlign w:val="center"/>
            <w:hideMark/>
          </w:tcPr>
          <w:p w14:paraId="02DD9E28" w14:textId="77777777" w:rsidR="00000000" w:rsidRDefault="00C1661D">
            <w:pPr>
              <w:spacing w:after="100"/>
              <w:rPr>
                <w:rFonts w:eastAsia="Times New Roman"/>
                <w:sz w:val="20"/>
                <w:szCs w:val="20"/>
              </w:rPr>
            </w:pPr>
          </w:p>
        </w:tc>
        <w:tc>
          <w:tcPr>
            <w:tcW w:w="5" w:type="pct"/>
            <w:vAlign w:val="center"/>
            <w:hideMark/>
          </w:tcPr>
          <w:p w14:paraId="0B09055A" w14:textId="77777777" w:rsidR="00000000" w:rsidRDefault="00C1661D">
            <w:pPr>
              <w:spacing w:after="100"/>
              <w:rPr>
                <w:rFonts w:eastAsia="Times New Roman"/>
                <w:sz w:val="20"/>
                <w:szCs w:val="20"/>
              </w:rPr>
            </w:pPr>
          </w:p>
        </w:tc>
        <w:tc>
          <w:tcPr>
            <w:tcW w:w="26" w:type="pct"/>
            <w:vAlign w:val="center"/>
            <w:hideMark/>
          </w:tcPr>
          <w:p w14:paraId="741F169A" w14:textId="77777777" w:rsidR="00000000" w:rsidRDefault="00C1661D">
            <w:pPr>
              <w:spacing w:after="100"/>
              <w:rPr>
                <w:rFonts w:eastAsia="Times New Roman"/>
                <w:sz w:val="20"/>
                <w:szCs w:val="20"/>
              </w:rPr>
            </w:pPr>
          </w:p>
        </w:tc>
        <w:tc>
          <w:tcPr>
            <w:tcW w:w="5" w:type="pct"/>
            <w:vAlign w:val="center"/>
            <w:hideMark/>
          </w:tcPr>
          <w:p w14:paraId="67B2F8A9" w14:textId="77777777" w:rsidR="00000000" w:rsidRDefault="00C1661D">
            <w:pPr>
              <w:spacing w:after="100"/>
              <w:rPr>
                <w:rFonts w:eastAsia="Times New Roman"/>
                <w:sz w:val="20"/>
                <w:szCs w:val="20"/>
              </w:rPr>
            </w:pPr>
          </w:p>
        </w:tc>
        <w:tc>
          <w:tcPr>
            <w:tcW w:w="50" w:type="pct"/>
            <w:vAlign w:val="center"/>
            <w:hideMark/>
          </w:tcPr>
          <w:p w14:paraId="57FA5D82" w14:textId="77777777" w:rsidR="00000000" w:rsidRDefault="00C1661D">
            <w:pPr>
              <w:spacing w:after="100"/>
              <w:rPr>
                <w:rFonts w:eastAsia="Times New Roman"/>
                <w:sz w:val="20"/>
                <w:szCs w:val="20"/>
              </w:rPr>
            </w:pPr>
          </w:p>
        </w:tc>
        <w:tc>
          <w:tcPr>
            <w:tcW w:w="2262" w:type="pct"/>
            <w:vAlign w:val="center"/>
            <w:hideMark/>
          </w:tcPr>
          <w:p w14:paraId="3AE23691" w14:textId="77777777" w:rsidR="00000000" w:rsidRDefault="00C1661D">
            <w:pPr>
              <w:spacing w:after="100"/>
              <w:rPr>
                <w:rFonts w:eastAsia="Times New Roman"/>
                <w:sz w:val="20"/>
                <w:szCs w:val="20"/>
              </w:rPr>
            </w:pPr>
          </w:p>
        </w:tc>
        <w:tc>
          <w:tcPr>
            <w:tcW w:w="5" w:type="pct"/>
            <w:vAlign w:val="center"/>
            <w:hideMark/>
          </w:tcPr>
          <w:p w14:paraId="13543990" w14:textId="77777777" w:rsidR="00000000" w:rsidRDefault="00C1661D">
            <w:pPr>
              <w:spacing w:after="100"/>
              <w:rPr>
                <w:rFonts w:eastAsia="Times New Roman"/>
                <w:sz w:val="20"/>
                <w:szCs w:val="20"/>
              </w:rPr>
            </w:pPr>
          </w:p>
        </w:tc>
        <w:tc>
          <w:tcPr>
            <w:tcW w:w="0" w:type="auto"/>
            <w:gridSpan w:val="3"/>
            <w:vAlign w:val="center"/>
            <w:hideMark/>
          </w:tcPr>
          <w:p w14:paraId="2130F778" w14:textId="77777777" w:rsidR="00000000" w:rsidRDefault="00C1661D">
            <w:pPr>
              <w:spacing w:after="100"/>
              <w:rPr>
                <w:rFonts w:eastAsia="Times New Roman"/>
                <w:sz w:val="20"/>
                <w:szCs w:val="20"/>
              </w:rPr>
            </w:pPr>
          </w:p>
        </w:tc>
      </w:tr>
      <w:tr w:rsidR="00000000" w14:paraId="2BDFF92D" w14:textId="77777777">
        <w:trPr>
          <w:trHeight w:val="480"/>
        </w:trPr>
        <w:tc>
          <w:tcPr>
            <w:tcW w:w="0" w:type="auto"/>
            <w:gridSpan w:val="3"/>
            <w:tcMar>
              <w:top w:w="0" w:type="dxa"/>
              <w:left w:w="20" w:type="dxa"/>
              <w:bottom w:w="0" w:type="dxa"/>
              <w:right w:w="20" w:type="dxa"/>
            </w:tcMar>
            <w:vAlign w:val="center"/>
            <w:hideMark/>
          </w:tcPr>
          <w:p w14:paraId="071ACB3E" w14:textId="77777777" w:rsidR="00000000" w:rsidRDefault="00C1661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29F3BD4D" w14:textId="77777777" w:rsidR="00000000" w:rsidRDefault="00C1661D">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Recognized in Income</w:t>
            </w:r>
          </w:p>
        </w:tc>
        <w:tc>
          <w:tcPr>
            <w:tcW w:w="0" w:type="auto"/>
            <w:gridSpan w:val="3"/>
            <w:tcMar>
              <w:top w:w="0" w:type="dxa"/>
              <w:left w:w="20" w:type="dxa"/>
              <w:bottom w:w="0" w:type="dxa"/>
              <w:right w:w="20" w:type="dxa"/>
            </w:tcMar>
            <w:vAlign w:val="center"/>
            <w:hideMark/>
          </w:tcPr>
          <w:p w14:paraId="06B1FA29" w14:textId="77777777" w:rsidR="00000000" w:rsidRDefault="00C1661D">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4D6996F" w14:textId="77777777" w:rsidR="00000000" w:rsidRDefault="00C1661D">
            <w:pPr>
              <w:spacing w:after="100"/>
              <w:jc w:val="center"/>
              <w:rPr>
                <w:rFonts w:eastAsia="Times New Roman"/>
              </w:rPr>
            </w:pPr>
            <w:r>
              <w:rPr>
                <w:rFonts w:eastAsia="Times New Roman"/>
                <w:color w:val="000000"/>
                <w:sz w:val="20"/>
                <w:szCs w:val="20"/>
              </w:rPr>
              <w:t xml:space="preserve">Location of </w:t>
            </w:r>
            <w:r>
              <w:rPr>
                <w:rFonts w:eastAsia="Times New Roman"/>
                <w:color w:val="000000"/>
                <w:sz w:val="20"/>
                <w:szCs w:val="20"/>
              </w:rPr>
              <w:br/>
              <w:t>Gain (Loss)</w:t>
            </w:r>
            <w:r>
              <w:rPr>
                <w:rFonts w:eastAsia="Times New Roman"/>
                <w:color w:val="000000"/>
                <w:sz w:val="20"/>
                <w:szCs w:val="20"/>
              </w:rPr>
              <w:br/>
              <w:t>Recognized in Income</w:t>
            </w:r>
          </w:p>
        </w:tc>
        <w:tc>
          <w:tcPr>
            <w:tcW w:w="0" w:type="auto"/>
            <w:gridSpan w:val="3"/>
            <w:vAlign w:val="center"/>
            <w:hideMark/>
          </w:tcPr>
          <w:p w14:paraId="67C92D69" w14:textId="77777777" w:rsidR="00000000" w:rsidRDefault="00C1661D">
            <w:pPr>
              <w:spacing w:after="100"/>
              <w:jc w:val="center"/>
              <w:rPr>
                <w:rFonts w:eastAsia="Times New Roman"/>
              </w:rPr>
            </w:pPr>
          </w:p>
        </w:tc>
      </w:tr>
      <w:tr w:rsidR="00000000" w14:paraId="16749BC8" w14:textId="77777777">
        <w:trPr>
          <w:trHeight w:val="300"/>
        </w:trPr>
        <w:tc>
          <w:tcPr>
            <w:tcW w:w="0" w:type="auto"/>
            <w:gridSpan w:val="3"/>
            <w:tcMar>
              <w:top w:w="30" w:type="dxa"/>
              <w:left w:w="20" w:type="dxa"/>
              <w:bottom w:w="30" w:type="dxa"/>
              <w:right w:w="20" w:type="dxa"/>
            </w:tcMar>
            <w:vAlign w:val="bottom"/>
            <w:hideMark/>
          </w:tcPr>
          <w:p w14:paraId="4A66F9A1"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B837DDC"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2E80621A"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40389E"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50C8CF94"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D033DC" w14:textId="77777777" w:rsidR="00000000" w:rsidRDefault="00C1661D">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14:paraId="4862699F" w14:textId="77777777" w:rsidR="00000000" w:rsidRDefault="00C1661D">
            <w:pPr>
              <w:spacing w:after="100"/>
              <w:jc w:val="center"/>
              <w:rPr>
                <w:rFonts w:eastAsia="Times New Roman"/>
              </w:rPr>
            </w:pPr>
          </w:p>
        </w:tc>
        <w:tc>
          <w:tcPr>
            <w:tcW w:w="0" w:type="auto"/>
            <w:gridSpan w:val="3"/>
            <w:vMerge/>
            <w:vAlign w:val="center"/>
            <w:hideMark/>
          </w:tcPr>
          <w:p w14:paraId="027AC56B" w14:textId="77777777" w:rsidR="00000000" w:rsidRDefault="00C1661D">
            <w:pPr>
              <w:spacing w:after="100"/>
              <w:rPr>
                <w:rFonts w:eastAsia="Times New Roman"/>
              </w:rPr>
            </w:pPr>
          </w:p>
        </w:tc>
        <w:tc>
          <w:tcPr>
            <w:tcW w:w="0" w:type="auto"/>
            <w:vAlign w:val="center"/>
            <w:hideMark/>
          </w:tcPr>
          <w:p w14:paraId="3AF44661" w14:textId="77777777" w:rsidR="00000000" w:rsidRDefault="00C1661D">
            <w:pPr>
              <w:spacing w:after="100"/>
              <w:rPr>
                <w:rFonts w:eastAsia="Times New Roman"/>
                <w:sz w:val="20"/>
                <w:szCs w:val="20"/>
              </w:rPr>
            </w:pPr>
          </w:p>
        </w:tc>
        <w:tc>
          <w:tcPr>
            <w:tcW w:w="0" w:type="auto"/>
            <w:vAlign w:val="center"/>
            <w:hideMark/>
          </w:tcPr>
          <w:p w14:paraId="483CCD09" w14:textId="77777777" w:rsidR="00000000" w:rsidRDefault="00C1661D">
            <w:pPr>
              <w:spacing w:after="100"/>
              <w:rPr>
                <w:rFonts w:eastAsia="Times New Roman"/>
                <w:sz w:val="20"/>
                <w:szCs w:val="20"/>
              </w:rPr>
            </w:pPr>
          </w:p>
        </w:tc>
        <w:tc>
          <w:tcPr>
            <w:tcW w:w="0" w:type="auto"/>
            <w:vAlign w:val="center"/>
            <w:hideMark/>
          </w:tcPr>
          <w:p w14:paraId="5F929BEC" w14:textId="77777777" w:rsidR="00000000" w:rsidRDefault="00C1661D">
            <w:pPr>
              <w:spacing w:after="100"/>
              <w:rPr>
                <w:rFonts w:eastAsia="Times New Roman"/>
                <w:sz w:val="20"/>
                <w:szCs w:val="20"/>
              </w:rPr>
            </w:pPr>
          </w:p>
        </w:tc>
      </w:tr>
      <w:tr w:rsidR="00000000" w14:paraId="003D2A9D" w14:textId="77777777">
        <w:tc>
          <w:tcPr>
            <w:tcW w:w="0" w:type="auto"/>
            <w:gridSpan w:val="3"/>
            <w:shd w:val="clear" w:color="auto" w:fill="CCEEFF"/>
            <w:tcMar>
              <w:top w:w="30" w:type="dxa"/>
              <w:left w:w="20" w:type="dxa"/>
              <w:bottom w:w="30" w:type="dxa"/>
              <w:right w:w="20" w:type="dxa"/>
            </w:tcMar>
            <w:vAlign w:val="bottom"/>
            <w:hideMark/>
          </w:tcPr>
          <w:p w14:paraId="1289027A" w14:textId="77777777" w:rsidR="00000000" w:rsidRDefault="00C1661D">
            <w:pPr>
              <w:spacing w:after="100"/>
              <w:rPr>
                <w:rFonts w:eastAsia="Times New Roman"/>
              </w:rPr>
            </w:pPr>
            <w:r>
              <w:rPr>
                <w:rFonts w:eastAsia="Times New Roman"/>
                <w:b/>
                <w:bCs/>
                <w:color w:val="000000"/>
                <w:sz w:val="20"/>
                <w:szCs w:val="20"/>
              </w:rPr>
              <w:t>Derivatives Not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30CC5A" w14:textId="77777777" w:rsidR="00000000" w:rsidRDefault="00C1661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1C5DDB"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49672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06759F"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DB0850"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DABDB3"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AC77A8" w14:textId="77777777" w:rsidR="00000000" w:rsidRDefault="00C1661D">
            <w:pPr>
              <w:spacing w:after="100"/>
              <w:rPr>
                <w:rFonts w:eastAsia="Times New Roman"/>
                <w:sz w:val="20"/>
                <w:szCs w:val="20"/>
              </w:rPr>
            </w:pPr>
          </w:p>
        </w:tc>
        <w:tc>
          <w:tcPr>
            <w:tcW w:w="0" w:type="auto"/>
            <w:gridSpan w:val="3"/>
            <w:vAlign w:val="center"/>
            <w:hideMark/>
          </w:tcPr>
          <w:p w14:paraId="6A775D24" w14:textId="77777777" w:rsidR="00000000" w:rsidRDefault="00C1661D">
            <w:pPr>
              <w:spacing w:after="100"/>
              <w:rPr>
                <w:rFonts w:eastAsia="Times New Roman"/>
                <w:sz w:val="20"/>
                <w:szCs w:val="20"/>
              </w:rPr>
            </w:pPr>
          </w:p>
        </w:tc>
      </w:tr>
      <w:tr w:rsidR="00000000" w14:paraId="3A5A2D41" w14:textId="77777777">
        <w:tc>
          <w:tcPr>
            <w:tcW w:w="0" w:type="auto"/>
            <w:gridSpan w:val="3"/>
            <w:shd w:val="clear" w:color="auto" w:fill="FFFFFF"/>
            <w:tcMar>
              <w:top w:w="30" w:type="dxa"/>
              <w:left w:w="20" w:type="dxa"/>
              <w:bottom w:w="30" w:type="dxa"/>
              <w:right w:w="20" w:type="dxa"/>
            </w:tcMar>
            <w:vAlign w:val="bottom"/>
            <w:hideMark/>
          </w:tcPr>
          <w:p w14:paraId="4598782A" w14:textId="77777777" w:rsidR="00000000" w:rsidRDefault="00C1661D">
            <w:pPr>
              <w:spacing w:after="100"/>
              <w:rPr>
                <w:rFonts w:eastAsia="Times New Roman"/>
              </w:rPr>
            </w:pPr>
            <w:r>
              <w:rPr>
                <w:rFonts w:eastAsia="Times New Roman"/>
                <w:color w:val="000000"/>
                <w:sz w:val="20"/>
                <w:szCs w:val="20"/>
              </w:rPr>
              <w:t>Commodity contracts</w:t>
            </w:r>
          </w:p>
        </w:tc>
        <w:tc>
          <w:tcPr>
            <w:tcW w:w="0" w:type="auto"/>
            <w:shd w:val="clear" w:color="auto" w:fill="FFFFFF"/>
            <w:tcMar>
              <w:top w:w="30" w:type="dxa"/>
              <w:left w:w="20" w:type="dxa"/>
              <w:bottom w:w="30" w:type="dxa"/>
              <w:right w:w="0" w:type="dxa"/>
            </w:tcMar>
            <w:vAlign w:val="bottom"/>
            <w:hideMark/>
          </w:tcPr>
          <w:p w14:paraId="0546C6C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7441776" w14:textId="77777777" w:rsidR="00000000" w:rsidRDefault="00C1661D">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14:paraId="5A44BD9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294A4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126CA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6DE9EEE" w14:textId="77777777" w:rsidR="00000000" w:rsidRDefault="00C1661D">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14:paraId="2583D1A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0EA83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657464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D30E465" w14:textId="77777777" w:rsidR="00000000" w:rsidRDefault="00C1661D">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77B6CA2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766E12" w14:textId="77777777" w:rsidR="00000000" w:rsidRDefault="00C1661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6C698705" w14:textId="77777777" w:rsidR="00000000" w:rsidRDefault="00C1661D">
            <w:pPr>
              <w:spacing w:after="100"/>
              <w:jc w:val="center"/>
              <w:rPr>
                <w:rFonts w:eastAsia="Times New Roman"/>
              </w:rPr>
            </w:pPr>
            <w:r>
              <w:rPr>
                <w:rFonts w:eastAsia="Times New Roman"/>
                <w:color w:val="000000"/>
                <w:sz w:val="20"/>
                <w:szCs w:val="20"/>
              </w:rPr>
              <w:t>Revenues</w:t>
            </w:r>
          </w:p>
        </w:tc>
        <w:tc>
          <w:tcPr>
            <w:tcW w:w="0" w:type="auto"/>
            <w:gridSpan w:val="3"/>
            <w:vAlign w:val="center"/>
            <w:hideMark/>
          </w:tcPr>
          <w:p w14:paraId="276DCCE5" w14:textId="77777777" w:rsidR="00000000" w:rsidRDefault="00C1661D">
            <w:pPr>
              <w:spacing w:after="100"/>
              <w:jc w:val="center"/>
              <w:rPr>
                <w:rFonts w:eastAsia="Times New Roman"/>
              </w:rPr>
            </w:pPr>
          </w:p>
        </w:tc>
      </w:tr>
      <w:tr w:rsidR="00000000" w14:paraId="23249815" w14:textId="77777777">
        <w:tc>
          <w:tcPr>
            <w:tcW w:w="0" w:type="auto"/>
            <w:gridSpan w:val="3"/>
            <w:shd w:val="clear" w:color="auto" w:fill="CCEEFF"/>
            <w:tcMar>
              <w:top w:w="30" w:type="dxa"/>
              <w:left w:w="20" w:type="dxa"/>
              <w:bottom w:w="30" w:type="dxa"/>
              <w:right w:w="20" w:type="dxa"/>
            </w:tcMar>
            <w:vAlign w:val="bottom"/>
            <w:hideMark/>
          </w:tcPr>
          <w:p w14:paraId="3086FC11" w14:textId="77777777" w:rsidR="00000000" w:rsidRDefault="00C1661D">
            <w:pPr>
              <w:spacing w:after="100"/>
              <w:rPr>
                <w:rFonts w:eastAsia="Times New Roman"/>
              </w:rPr>
            </w:pPr>
            <w:r>
              <w:rPr>
                <w:rFonts w:eastAsia="Times New Roman"/>
                <w:color w:val="000000"/>
                <w:sz w:val="20"/>
                <w:szCs w:val="20"/>
              </w:rPr>
              <w:t>Commodity contracts</w:t>
            </w:r>
          </w:p>
        </w:tc>
        <w:tc>
          <w:tcPr>
            <w:tcW w:w="0" w:type="auto"/>
            <w:gridSpan w:val="2"/>
            <w:shd w:val="clear" w:color="auto" w:fill="CCEEFF"/>
            <w:tcMar>
              <w:top w:w="30" w:type="dxa"/>
              <w:left w:w="20" w:type="dxa"/>
              <w:bottom w:w="30" w:type="dxa"/>
              <w:right w:w="0" w:type="dxa"/>
            </w:tcMar>
            <w:vAlign w:val="bottom"/>
            <w:hideMark/>
          </w:tcPr>
          <w:p w14:paraId="4580EFC4" w14:textId="77777777" w:rsidR="00000000" w:rsidRDefault="00C1661D">
            <w:pPr>
              <w:spacing w:after="100"/>
              <w:jc w:val="right"/>
              <w:rPr>
                <w:rFonts w:eastAsia="Times New Roman"/>
              </w:rPr>
            </w:pPr>
            <w:r>
              <w:rPr>
                <w:rFonts w:eastAsia="Times New Roman"/>
                <w:color w:val="000000"/>
                <w:sz w:val="20"/>
                <w:szCs w:val="20"/>
              </w:rPr>
              <w:t>1,181 </w:t>
            </w:r>
          </w:p>
        </w:tc>
        <w:tc>
          <w:tcPr>
            <w:tcW w:w="0" w:type="auto"/>
            <w:shd w:val="clear" w:color="auto" w:fill="CCEEFF"/>
            <w:tcMar>
              <w:top w:w="30" w:type="dxa"/>
              <w:left w:w="0" w:type="dxa"/>
              <w:bottom w:w="30" w:type="dxa"/>
              <w:right w:w="20" w:type="dxa"/>
            </w:tcMar>
            <w:vAlign w:val="bottom"/>
            <w:hideMark/>
          </w:tcPr>
          <w:p w14:paraId="7E7B190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7B1D4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1FAFAC" w14:textId="77777777" w:rsidR="00000000" w:rsidRDefault="00C1661D">
            <w:pPr>
              <w:spacing w:after="100"/>
              <w:jc w:val="right"/>
              <w:rPr>
                <w:rFonts w:eastAsia="Times New Roman"/>
              </w:rPr>
            </w:pPr>
            <w:r>
              <w:rPr>
                <w:rFonts w:eastAsia="Times New Roman"/>
                <w:color w:val="000000"/>
                <w:sz w:val="20"/>
                <w:szCs w:val="20"/>
              </w:rPr>
              <w:t>1,545 </w:t>
            </w:r>
          </w:p>
        </w:tc>
        <w:tc>
          <w:tcPr>
            <w:tcW w:w="0" w:type="auto"/>
            <w:shd w:val="clear" w:color="auto" w:fill="CCEEFF"/>
            <w:tcMar>
              <w:top w:w="30" w:type="dxa"/>
              <w:left w:w="0" w:type="dxa"/>
              <w:bottom w:w="30" w:type="dxa"/>
              <w:right w:w="20" w:type="dxa"/>
            </w:tcMar>
            <w:vAlign w:val="bottom"/>
            <w:hideMark/>
          </w:tcPr>
          <w:p w14:paraId="1BA322C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79856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FFB635" w14:textId="77777777" w:rsidR="00000000" w:rsidRDefault="00C1661D">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14:paraId="38FDD76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3DADE8" w14:textId="77777777" w:rsidR="00000000" w:rsidRDefault="00C1661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4245AA85" w14:textId="77777777" w:rsidR="00000000" w:rsidRDefault="00C1661D">
            <w:pPr>
              <w:spacing w:after="100"/>
              <w:jc w:val="center"/>
              <w:rPr>
                <w:rFonts w:eastAsia="Times New Roman"/>
              </w:rPr>
            </w:pPr>
            <w:r>
              <w:rPr>
                <w:rFonts w:eastAsia="Times New Roman"/>
                <w:color w:val="000000"/>
                <w:sz w:val="20"/>
                <w:szCs w:val="20"/>
              </w:rPr>
              <w:t>Cost of sales</w:t>
            </w:r>
          </w:p>
        </w:tc>
        <w:tc>
          <w:tcPr>
            <w:tcW w:w="0" w:type="auto"/>
            <w:gridSpan w:val="3"/>
            <w:vAlign w:val="center"/>
            <w:hideMark/>
          </w:tcPr>
          <w:p w14:paraId="05AB994B" w14:textId="77777777" w:rsidR="00000000" w:rsidRDefault="00C1661D">
            <w:pPr>
              <w:spacing w:after="100"/>
              <w:jc w:val="center"/>
              <w:rPr>
                <w:rFonts w:eastAsia="Times New Roman"/>
              </w:rPr>
            </w:pPr>
          </w:p>
        </w:tc>
      </w:tr>
      <w:tr w:rsidR="00000000" w14:paraId="08CF571D" w14:textId="77777777">
        <w:tc>
          <w:tcPr>
            <w:tcW w:w="0" w:type="auto"/>
            <w:gridSpan w:val="3"/>
            <w:vAlign w:val="center"/>
            <w:hideMark/>
          </w:tcPr>
          <w:p w14:paraId="4DEB1C32" w14:textId="77777777" w:rsidR="00000000" w:rsidRDefault="00C1661D">
            <w:pPr>
              <w:spacing w:after="100"/>
              <w:rPr>
                <w:rFonts w:eastAsia="Times New Roman"/>
                <w:sz w:val="20"/>
                <w:szCs w:val="20"/>
              </w:rPr>
            </w:pPr>
          </w:p>
        </w:tc>
        <w:tc>
          <w:tcPr>
            <w:tcW w:w="0" w:type="auto"/>
            <w:gridSpan w:val="3"/>
            <w:vAlign w:val="center"/>
            <w:hideMark/>
          </w:tcPr>
          <w:p w14:paraId="4FA57757" w14:textId="77777777" w:rsidR="00000000" w:rsidRDefault="00C1661D">
            <w:pPr>
              <w:spacing w:after="100"/>
              <w:rPr>
                <w:rFonts w:eastAsia="Times New Roman"/>
                <w:sz w:val="20"/>
                <w:szCs w:val="20"/>
              </w:rPr>
            </w:pPr>
          </w:p>
        </w:tc>
        <w:tc>
          <w:tcPr>
            <w:tcW w:w="0" w:type="auto"/>
            <w:gridSpan w:val="3"/>
            <w:vAlign w:val="center"/>
            <w:hideMark/>
          </w:tcPr>
          <w:p w14:paraId="19E021E5" w14:textId="77777777" w:rsidR="00000000" w:rsidRDefault="00C1661D">
            <w:pPr>
              <w:spacing w:after="100"/>
              <w:rPr>
                <w:rFonts w:eastAsia="Times New Roman"/>
                <w:sz w:val="20"/>
                <w:szCs w:val="20"/>
              </w:rPr>
            </w:pPr>
          </w:p>
        </w:tc>
        <w:tc>
          <w:tcPr>
            <w:tcW w:w="0" w:type="auto"/>
            <w:gridSpan w:val="3"/>
            <w:vAlign w:val="center"/>
            <w:hideMark/>
          </w:tcPr>
          <w:p w14:paraId="46810723" w14:textId="77777777" w:rsidR="00000000" w:rsidRDefault="00C1661D">
            <w:pPr>
              <w:spacing w:after="100"/>
              <w:rPr>
                <w:rFonts w:eastAsia="Times New Roman"/>
                <w:sz w:val="20"/>
                <w:szCs w:val="20"/>
              </w:rPr>
            </w:pPr>
          </w:p>
        </w:tc>
        <w:tc>
          <w:tcPr>
            <w:tcW w:w="0" w:type="auto"/>
            <w:gridSpan w:val="3"/>
            <w:vAlign w:val="center"/>
            <w:hideMark/>
          </w:tcPr>
          <w:p w14:paraId="5EFBA55A" w14:textId="77777777" w:rsidR="00000000" w:rsidRDefault="00C1661D">
            <w:pPr>
              <w:spacing w:after="100"/>
              <w:rPr>
                <w:rFonts w:eastAsia="Times New Roman"/>
                <w:sz w:val="20"/>
                <w:szCs w:val="20"/>
              </w:rPr>
            </w:pPr>
          </w:p>
        </w:tc>
        <w:tc>
          <w:tcPr>
            <w:tcW w:w="0" w:type="auto"/>
            <w:gridSpan w:val="3"/>
            <w:vAlign w:val="center"/>
            <w:hideMark/>
          </w:tcPr>
          <w:p w14:paraId="77034D27" w14:textId="77777777" w:rsidR="00000000" w:rsidRDefault="00C1661D">
            <w:pPr>
              <w:spacing w:after="100"/>
              <w:rPr>
                <w:rFonts w:eastAsia="Times New Roman"/>
                <w:sz w:val="20"/>
                <w:szCs w:val="20"/>
              </w:rPr>
            </w:pPr>
          </w:p>
        </w:tc>
        <w:tc>
          <w:tcPr>
            <w:tcW w:w="0" w:type="auto"/>
            <w:gridSpan w:val="3"/>
            <w:vAlign w:val="center"/>
            <w:hideMark/>
          </w:tcPr>
          <w:p w14:paraId="54B3BABE" w14:textId="77777777" w:rsidR="00000000" w:rsidRDefault="00C1661D">
            <w:pPr>
              <w:spacing w:after="100"/>
              <w:rPr>
                <w:rFonts w:eastAsia="Times New Roman"/>
                <w:sz w:val="20"/>
                <w:szCs w:val="20"/>
              </w:rPr>
            </w:pPr>
          </w:p>
        </w:tc>
        <w:tc>
          <w:tcPr>
            <w:tcW w:w="0" w:type="auto"/>
            <w:gridSpan w:val="3"/>
            <w:vAlign w:val="center"/>
            <w:hideMark/>
          </w:tcPr>
          <w:p w14:paraId="0E0FE251" w14:textId="77777777" w:rsidR="00000000" w:rsidRDefault="00C1661D">
            <w:pPr>
              <w:spacing w:after="100"/>
              <w:rPr>
                <w:rFonts w:eastAsia="Times New Roman"/>
                <w:sz w:val="20"/>
                <w:szCs w:val="20"/>
              </w:rPr>
            </w:pPr>
          </w:p>
        </w:tc>
        <w:tc>
          <w:tcPr>
            <w:tcW w:w="0" w:type="auto"/>
            <w:gridSpan w:val="3"/>
            <w:vAlign w:val="center"/>
            <w:hideMark/>
          </w:tcPr>
          <w:p w14:paraId="126A085B" w14:textId="77777777" w:rsidR="00000000" w:rsidRDefault="00C1661D">
            <w:pPr>
              <w:spacing w:after="100"/>
              <w:rPr>
                <w:rFonts w:eastAsia="Times New Roman"/>
                <w:sz w:val="20"/>
                <w:szCs w:val="20"/>
              </w:rPr>
            </w:pPr>
          </w:p>
        </w:tc>
      </w:tr>
      <w:tr w:rsidR="00000000" w14:paraId="7BFB0218" w14:textId="77777777">
        <w:tc>
          <w:tcPr>
            <w:tcW w:w="0" w:type="auto"/>
            <w:gridSpan w:val="3"/>
            <w:shd w:val="clear" w:color="auto" w:fill="FFFFFF"/>
            <w:tcMar>
              <w:top w:w="30" w:type="dxa"/>
              <w:left w:w="20" w:type="dxa"/>
              <w:bottom w:w="30" w:type="dxa"/>
              <w:right w:w="20" w:type="dxa"/>
            </w:tcMar>
            <w:vAlign w:val="bottom"/>
            <w:hideMark/>
          </w:tcPr>
          <w:p w14:paraId="154DB507" w14:textId="77777777" w:rsidR="00000000" w:rsidRDefault="00C1661D">
            <w:pPr>
              <w:spacing w:after="100"/>
              <w:rPr>
                <w:rFonts w:eastAsia="Times New Roman"/>
              </w:rPr>
            </w:pPr>
            <w:r>
              <w:rPr>
                <w:rFonts w:eastAsia="Times New Roman"/>
                <w:color w:val="000000"/>
                <w:sz w:val="20"/>
                <w:szCs w:val="20"/>
              </w:rPr>
              <w:t>Commodity contracts</w:t>
            </w:r>
          </w:p>
        </w:tc>
        <w:tc>
          <w:tcPr>
            <w:tcW w:w="0" w:type="auto"/>
            <w:gridSpan w:val="2"/>
            <w:shd w:val="clear" w:color="auto" w:fill="FFFFFF"/>
            <w:tcMar>
              <w:top w:w="30" w:type="dxa"/>
              <w:left w:w="20" w:type="dxa"/>
              <w:bottom w:w="30" w:type="dxa"/>
              <w:right w:w="0" w:type="dxa"/>
            </w:tcMar>
            <w:vAlign w:val="bottom"/>
            <w:hideMark/>
          </w:tcPr>
          <w:p w14:paraId="61267793" w14:textId="77777777" w:rsidR="00000000" w:rsidRDefault="00C1661D">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1BC63EC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636C9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492F26" w14:textId="77777777" w:rsidR="00000000" w:rsidRDefault="00C1661D">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46A2A64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D2246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CC1E45"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B2318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2060A" w14:textId="77777777" w:rsidR="00000000" w:rsidRDefault="00C1661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04EA837" w14:textId="77777777" w:rsidR="00000000" w:rsidRDefault="00C1661D">
            <w:pPr>
              <w:spacing w:after="100"/>
              <w:jc w:val="center"/>
              <w:rPr>
                <w:rFonts w:eastAsia="Times New Roman"/>
              </w:rPr>
            </w:pPr>
            <w:r>
              <w:rPr>
                <w:rFonts w:eastAsia="Times New Roman"/>
                <w:color w:val="000000"/>
                <w:sz w:val="20"/>
                <w:szCs w:val="20"/>
              </w:rPr>
              <w:t>Other operating income, net</w:t>
            </w:r>
          </w:p>
        </w:tc>
        <w:tc>
          <w:tcPr>
            <w:tcW w:w="0" w:type="auto"/>
            <w:gridSpan w:val="3"/>
            <w:vAlign w:val="center"/>
            <w:hideMark/>
          </w:tcPr>
          <w:p w14:paraId="2498261E" w14:textId="77777777" w:rsidR="00000000" w:rsidRDefault="00C1661D">
            <w:pPr>
              <w:spacing w:after="100"/>
              <w:jc w:val="center"/>
              <w:rPr>
                <w:rFonts w:eastAsia="Times New Roman"/>
              </w:rPr>
            </w:pPr>
          </w:p>
        </w:tc>
      </w:tr>
      <w:tr w:rsidR="00000000" w14:paraId="11F13857" w14:textId="77777777">
        <w:tc>
          <w:tcPr>
            <w:tcW w:w="0" w:type="auto"/>
            <w:gridSpan w:val="3"/>
            <w:shd w:val="clear" w:color="auto" w:fill="CCEEFF"/>
            <w:tcMar>
              <w:top w:w="30" w:type="dxa"/>
              <w:left w:w="20" w:type="dxa"/>
              <w:bottom w:w="30" w:type="dxa"/>
              <w:right w:w="20" w:type="dxa"/>
            </w:tcMar>
            <w:vAlign w:val="bottom"/>
            <w:hideMark/>
          </w:tcPr>
          <w:p w14:paraId="678C5192" w14:textId="77777777" w:rsidR="00000000" w:rsidRDefault="00C1661D">
            <w:pPr>
              <w:spacing w:after="100"/>
              <w:rPr>
                <w:rFonts w:eastAsia="Times New Roman"/>
              </w:rPr>
            </w:pPr>
            <w:r>
              <w:rPr>
                <w:rFonts w:eastAsia="Times New Roman"/>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14:paraId="0D223BD0" w14:textId="77777777" w:rsidR="00000000" w:rsidRDefault="00C1661D">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14:paraId="755D520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20007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BE2102" w14:textId="77777777" w:rsidR="00000000" w:rsidRDefault="00C1661D">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7F050C6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BA0B4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50B695" w14:textId="77777777" w:rsidR="00000000" w:rsidRDefault="00C1661D">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14:paraId="767946B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9B03D2" w14:textId="77777777" w:rsidR="00000000" w:rsidRDefault="00C1661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6EE563F" w14:textId="77777777" w:rsidR="00000000" w:rsidRDefault="00C1661D">
            <w:pPr>
              <w:spacing w:after="100"/>
              <w:jc w:val="center"/>
              <w:rPr>
                <w:rFonts w:eastAsia="Times New Roman"/>
              </w:rPr>
            </w:pPr>
            <w:r>
              <w:rPr>
                <w:rFonts w:eastAsia="Times New Roman"/>
                <w:color w:val="000000"/>
                <w:sz w:val="20"/>
                <w:szCs w:val="20"/>
              </w:rPr>
              <w:t>Other non-operating income (expense), net</w:t>
            </w:r>
          </w:p>
        </w:tc>
        <w:tc>
          <w:tcPr>
            <w:tcW w:w="0" w:type="auto"/>
            <w:gridSpan w:val="3"/>
            <w:vAlign w:val="center"/>
            <w:hideMark/>
          </w:tcPr>
          <w:p w14:paraId="406F8940" w14:textId="77777777" w:rsidR="00000000" w:rsidRDefault="00C1661D">
            <w:pPr>
              <w:spacing w:after="100"/>
              <w:jc w:val="center"/>
              <w:rPr>
                <w:rFonts w:eastAsia="Times New Roman"/>
              </w:rPr>
            </w:pPr>
          </w:p>
        </w:tc>
      </w:tr>
      <w:tr w:rsidR="00000000" w14:paraId="466D5644" w14:textId="77777777">
        <w:tc>
          <w:tcPr>
            <w:tcW w:w="0" w:type="auto"/>
            <w:gridSpan w:val="3"/>
            <w:shd w:val="clear" w:color="auto" w:fill="FFFFFF"/>
            <w:tcMar>
              <w:top w:w="30" w:type="dxa"/>
              <w:left w:w="155" w:type="dxa"/>
              <w:bottom w:w="30" w:type="dxa"/>
              <w:right w:w="20" w:type="dxa"/>
            </w:tcMar>
            <w:vAlign w:val="bottom"/>
            <w:hideMark/>
          </w:tcPr>
          <w:p w14:paraId="6E0B1E25" w14:textId="77777777" w:rsidR="00000000" w:rsidRDefault="00C1661D">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9068A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0BA835" w14:textId="77777777" w:rsidR="00000000" w:rsidRDefault="00C1661D">
            <w:pPr>
              <w:spacing w:after="100"/>
              <w:jc w:val="right"/>
              <w:rPr>
                <w:rFonts w:eastAsia="Times New Roman"/>
              </w:rPr>
            </w:pPr>
            <w:r>
              <w:rPr>
                <w:rFonts w:eastAsia="Times New Roman"/>
                <w:color w:val="000000"/>
                <w:sz w:val="20"/>
                <w:szCs w:val="20"/>
              </w:rPr>
              <w:t>1,236 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40D56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482D62"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601D55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61D15B" w14:textId="77777777" w:rsidR="00000000" w:rsidRDefault="00C1661D">
            <w:pPr>
              <w:spacing w:after="100"/>
              <w:jc w:val="right"/>
              <w:rPr>
                <w:rFonts w:eastAsia="Times New Roman"/>
              </w:rPr>
            </w:pPr>
            <w:r>
              <w:rPr>
                <w:rFonts w:eastAsia="Times New Roman"/>
                <w:color w:val="000000"/>
                <w:sz w:val="20"/>
                <w:szCs w:val="20"/>
              </w:rPr>
              <w:t>1,542 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A961B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171C52"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A66A7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B4EB6DD" w14:textId="77777777" w:rsidR="00000000" w:rsidRDefault="00C1661D">
            <w:pPr>
              <w:spacing w:after="100"/>
              <w:jc w:val="right"/>
              <w:rPr>
                <w:rFonts w:eastAsia="Times New Roman"/>
              </w:rPr>
            </w:pPr>
            <w:r>
              <w:rPr>
                <w:rFonts w:eastAsia="Times New Roman"/>
                <w:color w:val="000000"/>
                <w:sz w:val="20"/>
                <w:szCs w:val="20"/>
              </w:rPr>
              <w:t>(42)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CA042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0DBA56" w14:textId="77777777" w:rsidR="00000000" w:rsidRDefault="00C1661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B2463D" w14:textId="77777777" w:rsidR="00000000" w:rsidRDefault="00C1661D">
            <w:pPr>
              <w:spacing w:after="100"/>
              <w:rPr>
                <w:rFonts w:eastAsia="Times New Roman"/>
                <w:sz w:val="20"/>
                <w:szCs w:val="20"/>
              </w:rPr>
            </w:pPr>
          </w:p>
        </w:tc>
        <w:tc>
          <w:tcPr>
            <w:tcW w:w="0" w:type="auto"/>
            <w:gridSpan w:val="3"/>
            <w:vAlign w:val="center"/>
            <w:hideMark/>
          </w:tcPr>
          <w:p w14:paraId="793D798F" w14:textId="77777777" w:rsidR="00000000" w:rsidRDefault="00C1661D">
            <w:pPr>
              <w:spacing w:after="100"/>
              <w:rPr>
                <w:rFonts w:eastAsia="Times New Roman"/>
                <w:sz w:val="20"/>
                <w:szCs w:val="20"/>
              </w:rPr>
            </w:pPr>
          </w:p>
        </w:tc>
      </w:tr>
    </w:tbl>
    <w:p w14:paraId="6B933728" w14:textId="77777777" w:rsidR="00000000" w:rsidRDefault="00C1661D">
      <w:pPr>
        <w:jc w:val="both"/>
        <w:divId w:val="1573001311"/>
        <w:rPr>
          <w:rFonts w:eastAsia="Times New Roman"/>
        </w:rPr>
      </w:pPr>
      <w:r>
        <w:rPr>
          <w:rFonts w:eastAsia="Times New Roman"/>
          <w:color w:val="000000"/>
          <w:sz w:val="20"/>
          <w:szCs w:val="20"/>
        </w:rPr>
        <w:t>We are also a party to a number of other contracts that have elements of a derivative instrument. Ho</w:t>
      </w:r>
      <w:r>
        <w:rPr>
          <w:rFonts w:eastAsia="Times New Roman"/>
          <w:color w:val="000000"/>
          <w:sz w:val="20"/>
          <w:szCs w:val="20"/>
        </w:rPr>
        <w:t>wever, these contracts qualify for NPNS exception accounting because they provide for the delivery of products or services in quantities that are expected to be used in the normal course of operating our business and the price in the contract is based on a</w:t>
      </w:r>
      <w:r>
        <w:rPr>
          <w:rFonts w:eastAsia="Times New Roman"/>
          <w:color w:val="000000"/>
          <w:sz w:val="20"/>
          <w:szCs w:val="20"/>
        </w:rPr>
        <w:t>n underlying that is directly associated with the price of the product or service being purchased or sold. These contracts include, among others, binding purchase orders, contracts that provide for the purchase and delivery, or sale, of energy products, an</w:t>
      </w:r>
      <w:r>
        <w:rPr>
          <w:rFonts w:eastAsia="Times New Roman"/>
          <w:color w:val="000000"/>
          <w:sz w:val="20"/>
          <w:szCs w:val="20"/>
        </w:rPr>
        <w:t>d service contracts that require the counterparty to provide commodity storage, transportation or capacity service to meet our normal sales commitments.</w:t>
      </w:r>
    </w:p>
    <w:p w14:paraId="09B7EC2D" w14:textId="77777777" w:rsidR="00000000" w:rsidRDefault="00C1661D">
      <w:pPr>
        <w:jc w:val="both"/>
        <w:rPr>
          <w:rFonts w:eastAsia="Times New Roman"/>
        </w:rPr>
      </w:pPr>
    </w:p>
    <w:p w14:paraId="6FEC2A86" w14:textId="77777777" w:rsidR="00000000" w:rsidRDefault="00C1661D">
      <w:pPr>
        <w:divId w:val="131681998"/>
        <w:rPr>
          <w:rFonts w:eastAsia="Times New Roman"/>
        </w:rPr>
      </w:pPr>
      <w:r>
        <w:rPr>
          <w:rFonts w:eastAsia="Times New Roman"/>
          <w:b/>
          <w:bCs/>
          <w:color w:val="000000"/>
          <w:sz w:val="20"/>
          <w:szCs w:val="20"/>
          <w:u w:val="single"/>
        </w:rPr>
        <w:t xml:space="preserve">Note 20 — Accumulated Other Comprehensive Income (Loss) </w:t>
      </w:r>
    </w:p>
    <w:p w14:paraId="52284F04" w14:textId="77777777" w:rsidR="00000000" w:rsidRDefault="00C1661D">
      <w:pPr>
        <w:jc w:val="both"/>
        <w:divId w:val="1637834275"/>
        <w:rPr>
          <w:rFonts w:eastAsia="Times New Roman"/>
        </w:rPr>
      </w:pPr>
      <w:r>
        <w:rPr>
          <w:rFonts w:eastAsia="Times New Roman"/>
          <w:color w:val="000000"/>
          <w:sz w:val="20"/>
          <w:szCs w:val="20"/>
        </w:rPr>
        <w:t>Other comprehensive income (loss) principall</w:t>
      </w:r>
      <w:r>
        <w:rPr>
          <w:rFonts w:eastAsia="Times New Roman"/>
          <w:color w:val="000000"/>
          <w:sz w:val="20"/>
          <w:szCs w:val="20"/>
        </w:rPr>
        <w:t>y comprises (1) gains and losses on derivative instruments qualifying as cash flow hedges, net of reclassifications to net income; (2) actuarial gains and losses on postretirement benefit plans, net of associated amortization; and (3) foreign currency tran</w:t>
      </w:r>
      <w:r>
        <w:rPr>
          <w:rFonts w:eastAsia="Times New Roman"/>
          <w:color w:val="000000"/>
          <w:sz w:val="20"/>
          <w:szCs w:val="20"/>
        </w:rPr>
        <w:t>slation and long-term intra-company transaction adjustments.</w:t>
      </w:r>
    </w:p>
    <w:p w14:paraId="6F6C1B80" w14:textId="77777777" w:rsidR="00000000" w:rsidRDefault="00C1661D">
      <w:pPr>
        <w:jc w:val="center"/>
        <w:divId w:val="449711708"/>
        <w:rPr>
          <w:rFonts w:eastAsia="Times New Roman"/>
        </w:rPr>
      </w:pPr>
      <w:r>
        <w:rPr>
          <w:rFonts w:eastAsia="Times New Roman"/>
          <w:color w:val="000000"/>
          <w:sz w:val="20"/>
          <w:szCs w:val="20"/>
        </w:rPr>
        <w:t>F-56</w:t>
      </w:r>
    </w:p>
    <w:p w14:paraId="2167EF8B" w14:textId="77777777" w:rsidR="00000000" w:rsidRDefault="00C1661D">
      <w:pPr>
        <w:rPr>
          <w:rFonts w:eastAsia="Times New Roman"/>
        </w:rPr>
      </w:pPr>
      <w:r>
        <w:rPr>
          <w:rFonts w:eastAsia="Times New Roman"/>
        </w:rPr>
        <w:pict w14:anchorId="02403445">
          <v:rect id="_x0000_i1169" style="width:0;height:1.5pt" o:hralign="center" o:hrstd="t" o:hr="t" fillcolor="#a0a0a0" stroked="f"/>
        </w:pict>
      </w:r>
    </w:p>
    <w:p w14:paraId="2B5D6CA8" w14:textId="77777777" w:rsidR="00000000" w:rsidRDefault="00C1661D">
      <w:pPr>
        <w:divId w:val="1605652797"/>
        <w:rPr>
          <w:rFonts w:eastAsia="Times New Roman"/>
        </w:rPr>
      </w:pPr>
      <w:hyperlink w:anchor="i3850c3c6c0104e42b9951aac2f16098a_7" w:history="1">
        <w:r>
          <w:rPr>
            <w:rStyle w:val="a3"/>
            <w:rFonts w:eastAsia="Times New Roman"/>
            <w:sz w:val="20"/>
            <w:szCs w:val="20"/>
          </w:rPr>
          <w:t>Table of Contents</w:t>
        </w:r>
      </w:hyperlink>
    </w:p>
    <w:p w14:paraId="3A1E359C" w14:textId="77777777" w:rsidR="00000000" w:rsidRDefault="00C1661D">
      <w:pPr>
        <w:divId w:val="1148590229"/>
        <w:rPr>
          <w:rFonts w:eastAsia="Times New Roman"/>
        </w:rPr>
      </w:pPr>
      <w:r>
        <w:rPr>
          <w:rFonts w:eastAsia="Times New Roman"/>
          <w:b/>
          <w:bCs/>
          <w:color w:val="000000"/>
          <w:sz w:val="20"/>
          <w:szCs w:val="20"/>
        </w:rPr>
        <w:t>UGI Corporation and Subsidiaries</w:t>
      </w:r>
    </w:p>
    <w:p w14:paraId="33FB6D93" w14:textId="77777777" w:rsidR="00000000" w:rsidRDefault="00C1661D">
      <w:pPr>
        <w:divId w:val="695499223"/>
        <w:rPr>
          <w:rFonts w:eastAsia="Times New Roman"/>
        </w:rPr>
      </w:pPr>
      <w:r>
        <w:rPr>
          <w:rFonts w:eastAsia="Times New Roman"/>
          <w:b/>
          <w:bCs/>
          <w:color w:val="000000"/>
          <w:sz w:val="20"/>
          <w:szCs w:val="20"/>
        </w:rPr>
        <w:t>Notes to Consolidated Financial Statements</w:t>
      </w:r>
    </w:p>
    <w:p w14:paraId="4FA77A51" w14:textId="77777777" w:rsidR="00000000" w:rsidRDefault="00C1661D">
      <w:pPr>
        <w:divId w:val="1464499488"/>
        <w:rPr>
          <w:rFonts w:eastAsia="Times New Roman"/>
        </w:rPr>
      </w:pPr>
      <w:r>
        <w:rPr>
          <w:rFonts w:eastAsia="Times New Roman"/>
          <w:color w:val="000000"/>
          <w:sz w:val="20"/>
          <w:szCs w:val="20"/>
        </w:rPr>
        <w:t>(Currency in millions, except per share amounts and where indicated otherwise)</w:t>
      </w:r>
    </w:p>
    <w:p w14:paraId="670C4E10" w14:textId="77777777" w:rsidR="00000000" w:rsidRDefault="00C1661D">
      <w:pPr>
        <w:jc w:val="both"/>
        <w:divId w:val="2104299661"/>
        <w:rPr>
          <w:rFonts w:eastAsia="Times New Roman"/>
        </w:rPr>
      </w:pPr>
      <w:r>
        <w:rPr>
          <w:rFonts w:eastAsia="Times New Roman"/>
          <w:color w:val="000000"/>
          <w:sz w:val="20"/>
          <w:szCs w:val="20"/>
        </w:rPr>
        <w:t>The tables below present changes in AOCI, net of tax, during Fiscal 2022, Fiscal 2021 and Fiscal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959"/>
        <w:gridCol w:w="37"/>
        <w:gridCol w:w="121"/>
        <w:gridCol w:w="1107"/>
        <w:gridCol w:w="36"/>
        <w:gridCol w:w="36"/>
        <w:gridCol w:w="36"/>
        <w:gridCol w:w="36"/>
        <w:gridCol w:w="121"/>
        <w:gridCol w:w="888"/>
        <w:gridCol w:w="36"/>
        <w:gridCol w:w="36"/>
        <w:gridCol w:w="36"/>
        <w:gridCol w:w="36"/>
        <w:gridCol w:w="121"/>
        <w:gridCol w:w="711"/>
        <w:gridCol w:w="36"/>
        <w:gridCol w:w="36"/>
        <w:gridCol w:w="36"/>
        <w:gridCol w:w="36"/>
        <w:gridCol w:w="120"/>
        <w:gridCol w:w="615"/>
        <w:gridCol w:w="36"/>
      </w:tblGrid>
      <w:tr w:rsidR="00000000" w14:paraId="454A9AC2" w14:textId="77777777">
        <w:trPr>
          <w:divId w:val="600527907"/>
          <w:jc w:val="center"/>
        </w:trPr>
        <w:tc>
          <w:tcPr>
            <w:tcW w:w="50" w:type="pct"/>
            <w:vAlign w:val="center"/>
            <w:hideMark/>
          </w:tcPr>
          <w:p w14:paraId="5E1BB771" w14:textId="77777777" w:rsidR="00000000" w:rsidRDefault="00C1661D">
            <w:pPr>
              <w:jc w:val="both"/>
              <w:rPr>
                <w:rFonts w:eastAsia="Times New Roman"/>
              </w:rPr>
            </w:pPr>
          </w:p>
        </w:tc>
        <w:tc>
          <w:tcPr>
            <w:tcW w:w="2459" w:type="pct"/>
            <w:vAlign w:val="center"/>
            <w:hideMark/>
          </w:tcPr>
          <w:p w14:paraId="68595F03" w14:textId="77777777" w:rsidR="00000000" w:rsidRDefault="00C1661D">
            <w:pPr>
              <w:spacing w:after="100"/>
              <w:rPr>
                <w:rFonts w:eastAsia="Times New Roman"/>
                <w:sz w:val="20"/>
                <w:szCs w:val="20"/>
              </w:rPr>
            </w:pPr>
          </w:p>
        </w:tc>
        <w:tc>
          <w:tcPr>
            <w:tcW w:w="5" w:type="pct"/>
            <w:vAlign w:val="center"/>
            <w:hideMark/>
          </w:tcPr>
          <w:p w14:paraId="479EE4AF" w14:textId="77777777" w:rsidR="00000000" w:rsidRDefault="00C1661D">
            <w:pPr>
              <w:spacing w:after="100"/>
              <w:rPr>
                <w:rFonts w:eastAsia="Times New Roman"/>
                <w:sz w:val="20"/>
                <w:szCs w:val="20"/>
              </w:rPr>
            </w:pPr>
          </w:p>
        </w:tc>
        <w:tc>
          <w:tcPr>
            <w:tcW w:w="50" w:type="pct"/>
            <w:vAlign w:val="center"/>
            <w:hideMark/>
          </w:tcPr>
          <w:p w14:paraId="35B7EB4F" w14:textId="77777777" w:rsidR="00000000" w:rsidRDefault="00C1661D">
            <w:pPr>
              <w:spacing w:after="100"/>
              <w:rPr>
                <w:rFonts w:eastAsia="Times New Roman"/>
                <w:sz w:val="20"/>
                <w:szCs w:val="20"/>
              </w:rPr>
            </w:pPr>
          </w:p>
        </w:tc>
        <w:tc>
          <w:tcPr>
            <w:tcW w:w="610" w:type="pct"/>
            <w:vAlign w:val="center"/>
            <w:hideMark/>
          </w:tcPr>
          <w:p w14:paraId="6BCB1874" w14:textId="77777777" w:rsidR="00000000" w:rsidRDefault="00C1661D">
            <w:pPr>
              <w:spacing w:after="100"/>
              <w:rPr>
                <w:rFonts w:eastAsia="Times New Roman"/>
                <w:sz w:val="20"/>
                <w:szCs w:val="20"/>
              </w:rPr>
            </w:pPr>
          </w:p>
        </w:tc>
        <w:tc>
          <w:tcPr>
            <w:tcW w:w="5" w:type="pct"/>
            <w:vAlign w:val="center"/>
            <w:hideMark/>
          </w:tcPr>
          <w:p w14:paraId="6976036A" w14:textId="77777777" w:rsidR="00000000" w:rsidRDefault="00C1661D">
            <w:pPr>
              <w:spacing w:after="100"/>
              <w:rPr>
                <w:rFonts w:eastAsia="Times New Roman"/>
                <w:sz w:val="20"/>
                <w:szCs w:val="20"/>
              </w:rPr>
            </w:pPr>
          </w:p>
        </w:tc>
        <w:tc>
          <w:tcPr>
            <w:tcW w:w="5" w:type="pct"/>
            <w:vAlign w:val="center"/>
            <w:hideMark/>
          </w:tcPr>
          <w:p w14:paraId="6F6DDB49" w14:textId="77777777" w:rsidR="00000000" w:rsidRDefault="00C1661D">
            <w:pPr>
              <w:spacing w:after="100"/>
              <w:rPr>
                <w:rFonts w:eastAsia="Times New Roman"/>
                <w:sz w:val="20"/>
                <w:szCs w:val="20"/>
              </w:rPr>
            </w:pPr>
          </w:p>
        </w:tc>
        <w:tc>
          <w:tcPr>
            <w:tcW w:w="55" w:type="pct"/>
            <w:vAlign w:val="center"/>
            <w:hideMark/>
          </w:tcPr>
          <w:p w14:paraId="6482814B" w14:textId="77777777" w:rsidR="00000000" w:rsidRDefault="00C1661D">
            <w:pPr>
              <w:spacing w:after="100"/>
              <w:rPr>
                <w:rFonts w:eastAsia="Times New Roman"/>
                <w:sz w:val="20"/>
                <w:szCs w:val="20"/>
              </w:rPr>
            </w:pPr>
          </w:p>
        </w:tc>
        <w:tc>
          <w:tcPr>
            <w:tcW w:w="5" w:type="pct"/>
            <w:vAlign w:val="center"/>
            <w:hideMark/>
          </w:tcPr>
          <w:p w14:paraId="7DA70B29" w14:textId="77777777" w:rsidR="00000000" w:rsidRDefault="00C1661D">
            <w:pPr>
              <w:spacing w:after="100"/>
              <w:rPr>
                <w:rFonts w:eastAsia="Times New Roman"/>
                <w:sz w:val="20"/>
                <w:szCs w:val="20"/>
              </w:rPr>
            </w:pPr>
          </w:p>
        </w:tc>
        <w:tc>
          <w:tcPr>
            <w:tcW w:w="50" w:type="pct"/>
            <w:vAlign w:val="center"/>
            <w:hideMark/>
          </w:tcPr>
          <w:p w14:paraId="0C6419D6" w14:textId="77777777" w:rsidR="00000000" w:rsidRDefault="00C1661D">
            <w:pPr>
              <w:spacing w:after="100"/>
              <w:rPr>
                <w:rFonts w:eastAsia="Times New Roman"/>
                <w:sz w:val="20"/>
                <w:szCs w:val="20"/>
              </w:rPr>
            </w:pPr>
          </w:p>
        </w:tc>
        <w:tc>
          <w:tcPr>
            <w:tcW w:w="500" w:type="pct"/>
            <w:vAlign w:val="center"/>
            <w:hideMark/>
          </w:tcPr>
          <w:p w14:paraId="773FD69E" w14:textId="77777777" w:rsidR="00000000" w:rsidRDefault="00C1661D">
            <w:pPr>
              <w:spacing w:after="100"/>
              <w:rPr>
                <w:rFonts w:eastAsia="Times New Roman"/>
                <w:sz w:val="20"/>
                <w:szCs w:val="20"/>
              </w:rPr>
            </w:pPr>
          </w:p>
        </w:tc>
        <w:tc>
          <w:tcPr>
            <w:tcW w:w="5" w:type="pct"/>
            <w:vAlign w:val="center"/>
            <w:hideMark/>
          </w:tcPr>
          <w:p w14:paraId="67196E39" w14:textId="77777777" w:rsidR="00000000" w:rsidRDefault="00C1661D">
            <w:pPr>
              <w:spacing w:after="100"/>
              <w:rPr>
                <w:rFonts w:eastAsia="Times New Roman"/>
                <w:sz w:val="20"/>
                <w:szCs w:val="20"/>
              </w:rPr>
            </w:pPr>
          </w:p>
        </w:tc>
        <w:tc>
          <w:tcPr>
            <w:tcW w:w="5" w:type="pct"/>
            <w:vAlign w:val="center"/>
            <w:hideMark/>
          </w:tcPr>
          <w:p w14:paraId="55A6603D" w14:textId="77777777" w:rsidR="00000000" w:rsidRDefault="00C1661D">
            <w:pPr>
              <w:spacing w:after="100"/>
              <w:rPr>
                <w:rFonts w:eastAsia="Times New Roman"/>
                <w:sz w:val="20"/>
                <w:szCs w:val="20"/>
              </w:rPr>
            </w:pPr>
          </w:p>
        </w:tc>
        <w:tc>
          <w:tcPr>
            <w:tcW w:w="26" w:type="pct"/>
            <w:vAlign w:val="center"/>
            <w:hideMark/>
          </w:tcPr>
          <w:p w14:paraId="6AC6F4B3" w14:textId="77777777" w:rsidR="00000000" w:rsidRDefault="00C1661D">
            <w:pPr>
              <w:spacing w:after="100"/>
              <w:rPr>
                <w:rFonts w:eastAsia="Times New Roman"/>
                <w:sz w:val="20"/>
                <w:szCs w:val="20"/>
              </w:rPr>
            </w:pPr>
          </w:p>
        </w:tc>
        <w:tc>
          <w:tcPr>
            <w:tcW w:w="5" w:type="pct"/>
            <w:vAlign w:val="center"/>
            <w:hideMark/>
          </w:tcPr>
          <w:p w14:paraId="6DA6707C" w14:textId="77777777" w:rsidR="00000000" w:rsidRDefault="00C1661D">
            <w:pPr>
              <w:spacing w:after="100"/>
              <w:rPr>
                <w:rFonts w:eastAsia="Times New Roman"/>
                <w:sz w:val="20"/>
                <w:szCs w:val="20"/>
              </w:rPr>
            </w:pPr>
          </w:p>
        </w:tc>
        <w:tc>
          <w:tcPr>
            <w:tcW w:w="50" w:type="pct"/>
            <w:vAlign w:val="center"/>
            <w:hideMark/>
          </w:tcPr>
          <w:p w14:paraId="25362FD2" w14:textId="77777777" w:rsidR="00000000" w:rsidRDefault="00C1661D">
            <w:pPr>
              <w:spacing w:after="100"/>
              <w:rPr>
                <w:rFonts w:eastAsia="Times New Roman"/>
                <w:sz w:val="20"/>
                <w:szCs w:val="20"/>
              </w:rPr>
            </w:pPr>
          </w:p>
        </w:tc>
        <w:tc>
          <w:tcPr>
            <w:tcW w:w="529" w:type="pct"/>
            <w:vAlign w:val="center"/>
            <w:hideMark/>
          </w:tcPr>
          <w:p w14:paraId="2AD55EFC" w14:textId="77777777" w:rsidR="00000000" w:rsidRDefault="00C1661D">
            <w:pPr>
              <w:spacing w:after="100"/>
              <w:rPr>
                <w:rFonts w:eastAsia="Times New Roman"/>
                <w:sz w:val="20"/>
                <w:szCs w:val="20"/>
              </w:rPr>
            </w:pPr>
          </w:p>
        </w:tc>
        <w:tc>
          <w:tcPr>
            <w:tcW w:w="5" w:type="pct"/>
            <w:vAlign w:val="center"/>
            <w:hideMark/>
          </w:tcPr>
          <w:p w14:paraId="56A9BF44" w14:textId="77777777" w:rsidR="00000000" w:rsidRDefault="00C1661D">
            <w:pPr>
              <w:spacing w:after="100"/>
              <w:rPr>
                <w:rFonts w:eastAsia="Times New Roman"/>
                <w:sz w:val="20"/>
                <w:szCs w:val="20"/>
              </w:rPr>
            </w:pPr>
          </w:p>
        </w:tc>
        <w:tc>
          <w:tcPr>
            <w:tcW w:w="5" w:type="pct"/>
            <w:vAlign w:val="center"/>
            <w:hideMark/>
          </w:tcPr>
          <w:p w14:paraId="491B65C0" w14:textId="77777777" w:rsidR="00000000" w:rsidRDefault="00C1661D">
            <w:pPr>
              <w:spacing w:after="100"/>
              <w:rPr>
                <w:rFonts w:eastAsia="Times New Roman"/>
                <w:sz w:val="20"/>
                <w:szCs w:val="20"/>
              </w:rPr>
            </w:pPr>
          </w:p>
        </w:tc>
        <w:tc>
          <w:tcPr>
            <w:tcW w:w="48" w:type="pct"/>
            <w:vAlign w:val="center"/>
            <w:hideMark/>
          </w:tcPr>
          <w:p w14:paraId="3B1B4C9E" w14:textId="77777777" w:rsidR="00000000" w:rsidRDefault="00C1661D">
            <w:pPr>
              <w:spacing w:after="100"/>
              <w:rPr>
                <w:rFonts w:eastAsia="Times New Roman"/>
                <w:sz w:val="20"/>
                <w:szCs w:val="20"/>
              </w:rPr>
            </w:pPr>
          </w:p>
        </w:tc>
        <w:tc>
          <w:tcPr>
            <w:tcW w:w="5" w:type="pct"/>
            <w:vAlign w:val="center"/>
            <w:hideMark/>
          </w:tcPr>
          <w:p w14:paraId="21572962" w14:textId="77777777" w:rsidR="00000000" w:rsidRDefault="00C1661D">
            <w:pPr>
              <w:spacing w:after="100"/>
              <w:rPr>
                <w:rFonts w:eastAsia="Times New Roman"/>
                <w:sz w:val="20"/>
                <w:szCs w:val="20"/>
              </w:rPr>
            </w:pPr>
          </w:p>
        </w:tc>
        <w:tc>
          <w:tcPr>
            <w:tcW w:w="50" w:type="pct"/>
            <w:vAlign w:val="center"/>
            <w:hideMark/>
          </w:tcPr>
          <w:p w14:paraId="27DB623B" w14:textId="77777777" w:rsidR="00000000" w:rsidRDefault="00C1661D">
            <w:pPr>
              <w:spacing w:after="100"/>
              <w:rPr>
                <w:rFonts w:eastAsia="Times New Roman"/>
                <w:sz w:val="20"/>
                <w:szCs w:val="20"/>
              </w:rPr>
            </w:pPr>
          </w:p>
        </w:tc>
        <w:tc>
          <w:tcPr>
            <w:tcW w:w="464" w:type="pct"/>
            <w:vAlign w:val="center"/>
            <w:hideMark/>
          </w:tcPr>
          <w:p w14:paraId="26542BCE" w14:textId="77777777" w:rsidR="00000000" w:rsidRDefault="00C1661D">
            <w:pPr>
              <w:spacing w:after="100"/>
              <w:rPr>
                <w:rFonts w:eastAsia="Times New Roman"/>
                <w:sz w:val="20"/>
                <w:szCs w:val="20"/>
              </w:rPr>
            </w:pPr>
          </w:p>
        </w:tc>
        <w:tc>
          <w:tcPr>
            <w:tcW w:w="5" w:type="pct"/>
            <w:vAlign w:val="center"/>
            <w:hideMark/>
          </w:tcPr>
          <w:p w14:paraId="0621446C" w14:textId="77777777" w:rsidR="00000000" w:rsidRDefault="00C1661D">
            <w:pPr>
              <w:spacing w:after="100"/>
              <w:rPr>
                <w:rFonts w:eastAsia="Times New Roman"/>
                <w:sz w:val="20"/>
                <w:szCs w:val="20"/>
              </w:rPr>
            </w:pPr>
          </w:p>
        </w:tc>
      </w:tr>
      <w:tr w:rsidR="00000000" w14:paraId="65B51D37" w14:textId="77777777">
        <w:trPr>
          <w:divId w:val="600527907"/>
          <w:jc w:val="center"/>
        </w:trPr>
        <w:tc>
          <w:tcPr>
            <w:tcW w:w="0" w:type="auto"/>
            <w:gridSpan w:val="3"/>
            <w:tcMar>
              <w:top w:w="0" w:type="dxa"/>
              <w:left w:w="20" w:type="dxa"/>
              <w:bottom w:w="0" w:type="dxa"/>
              <w:right w:w="20" w:type="dxa"/>
            </w:tcMar>
            <w:vAlign w:val="center"/>
            <w:hideMark/>
          </w:tcPr>
          <w:p w14:paraId="5A1FCECE"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14D95DF" w14:textId="77777777" w:rsidR="00000000" w:rsidRDefault="00C1661D">
            <w:pPr>
              <w:spacing w:after="100"/>
              <w:jc w:val="center"/>
              <w:rPr>
                <w:rFonts w:eastAsia="Times New Roman"/>
              </w:rPr>
            </w:pPr>
            <w:r>
              <w:rPr>
                <w:rFonts w:eastAsia="Times New Roman"/>
                <w:color w:val="000000"/>
                <w:sz w:val="20"/>
                <w:szCs w:val="20"/>
              </w:rPr>
              <w:t>Postretirement</w:t>
            </w:r>
            <w:r>
              <w:rPr>
                <w:rFonts w:eastAsia="Times New Roman"/>
                <w:color w:val="000000"/>
                <w:sz w:val="20"/>
                <w:szCs w:val="20"/>
              </w:rPr>
              <w:br/>
              <w:t>Benefit</w:t>
            </w:r>
            <w:r>
              <w:rPr>
                <w:rFonts w:eastAsia="Times New Roman"/>
                <w:color w:val="000000"/>
                <w:sz w:val="20"/>
                <w:szCs w:val="20"/>
              </w:rPr>
              <w:br/>
              <w:t>Plans</w:t>
            </w:r>
          </w:p>
        </w:tc>
        <w:tc>
          <w:tcPr>
            <w:tcW w:w="0" w:type="auto"/>
            <w:gridSpan w:val="3"/>
            <w:tcMar>
              <w:top w:w="0" w:type="dxa"/>
              <w:left w:w="20" w:type="dxa"/>
              <w:bottom w:w="0" w:type="dxa"/>
              <w:right w:w="20" w:type="dxa"/>
            </w:tcMar>
            <w:vAlign w:val="center"/>
            <w:hideMark/>
          </w:tcPr>
          <w:p w14:paraId="687B481A"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C8A0135" w14:textId="77777777" w:rsidR="00000000" w:rsidRDefault="00C1661D">
            <w:pPr>
              <w:spacing w:after="100"/>
              <w:jc w:val="center"/>
              <w:rPr>
                <w:rFonts w:eastAsia="Times New Roman"/>
              </w:rPr>
            </w:pPr>
            <w:r>
              <w:rPr>
                <w:rFonts w:eastAsia="Times New Roman"/>
                <w:color w:val="000000"/>
                <w:sz w:val="20"/>
                <w:szCs w:val="20"/>
              </w:rPr>
              <w:t>Derivative</w:t>
            </w:r>
            <w:r>
              <w:rPr>
                <w:rFonts w:eastAsia="Times New Roman"/>
                <w:color w:val="000000"/>
                <w:sz w:val="20"/>
                <w:szCs w:val="20"/>
              </w:rPr>
              <w:br/>
              <w:t>Instruments</w:t>
            </w:r>
          </w:p>
        </w:tc>
        <w:tc>
          <w:tcPr>
            <w:tcW w:w="0" w:type="auto"/>
            <w:gridSpan w:val="3"/>
            <w:tcMar>
              <w:top w:w="0" w:type="dxa"/>
              <w:left w:w="20" w:type="dxa"/>
              <w:bottom w:w="0" w:type="dxa"/>
              <w:right w:w="20" w:type="dxa"/>
            </w:tcMar>
            <w:vAlign w:val="center"/>
            <w:hideMark/>
          </w:tcPr>
          <w:p w14:paraId="355D4072"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7E285C" w14:textId="77777777" w:rsidR="00000000" w:rsidRDefault="00C1661D">
            <w:pPr>
              <w:spacing w:after="100"/>
              <w:jc w:val="center"/>
              <w:rPr>
                <w:rFonts w:eastAsia="Times New Roman"/>
              </w:rPr>
            </w:pPr>
            <w:r>
              <w:rPr>
                <w:rFonts w:eastAsia="Times New Roman"/>
                <w:color w:val="000000"/>
                <w:sz w:val="20"/>
                <w:szCs w:val="20"/>
              </w:rPr>
              <w:t>Foreign</w:t>
            </w:r>
            <w:r>
              <w:rPr>
                <w:rFonts w:eastAsia="Times New Roman"/>
                <w:color w:val="000000"/>
                <w:sz w:val="20"/>
                <w:szCs w:val="20"/>
              </w:rPr>
              <w:br/>
              <w:t>Currency</w:t>
            </w:r>
          </w:p>
        </w:tc>
        <w:tc>
          <w:tcPr>
            <w:tcW w:w="0" w:type="auto"/>
            <w:gridSpan w:val="3"/>
            <w:tcMar>
              <w:top w:w="0" w:type="dxa"/>
              <w:left w:w="20" w:type="dxa"/>
              <w:bottom w:w="0" w:type="dxa"/>
              <w:right w:w="20" w:type="dxa"/>
            </w:tcMar>
            <w:vAlign w:val="center"/>
            <w:hideMark/>
          </w:tcPr>
          <w:p w14:paraId="63DF2E2E"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3FB95F9" w14:textId="77777777" w:rsidR="00000000" w:rsidRDefault="00C1661D">
            <w:pPr>
              <w:spacing w:after="100"/>
              <w:jc w:val="center"/>
              <w:rPr>
                <w:rFonts w:eastAsia="Times New Roman"/>
              </w:rPr>
            </w:pPr>
            <w:r>
              <w:rPr>
                <w:rFonts w:eastAsia="Times New Roman"/>
                <w:color w:val="000000"/>
                <w:sz w:val="20"/>
                <w:szCs w:val="20"/>
              </w:rPr>
              <w:t>Total</w:t>
            </w:r>
          </w:p>
        </w:tc>
      </w:tr>
      <w:tr w:rsidR="00000000" w14:paraId="27C03752" w14:textId="77777777">
        <w:trPr>
          <w:divId w:val="600527907"/>
          <w:jc w:val="center"/>
        </w:trPr>
        <w:tc>
          <w:tcPr>
            <w:tcW w:w="0" w:type="auto"/>
            <w:gridSpan w:val="3"/>
            <w:shd w:val="clear" w:color="auto" w:fill="CCEEFF"/>
            <w:tcMar>
              <w:top w:w="30" w:type="dxa"/>
              <w:left w:w="20" w:type="dxa"/>
              <w:bottom w:w="30" w:type="dxa"/>
              <w:right w:w="20" w:type="dxa"/>
            </w:tcMar>
            <w:vAlign w:val="bottom"/>
            <w:hideMark/>
          </w:tcPr>
          <w:p w14:paraId="702EA3D0" w14:textId="77777777" w:rsidR="00000000" w:rsidRDefault="00C1661D">
            <w:pPr>
              <w:spacing w:after="100"/>
              <w:rPr>
                <w:rFonts w:eastAsia="Times New Roman"/>
              </w:rPr>
            </w:pPr>
            <w:r>
              <w:rPr>
                <w:rFonts w:eastAsia="Times New Roman"/>
                <w:b/>
                <w:bCs/>
                <w:color w:val="000000"/>
                <w:sz w:val="20"/>
                <w:szCs w:val="20"/>
              </w:rPr>
              <w:t>AOCI - September 30, 2019</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4F64CA"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DA6789" w14:textId="77777777" w:rsidR="00000000" w:rsidRDefault="00C1661D">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C2B78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0892B0"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F0241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A511AC" w14:textId="77777777" w:rsidR="00000000" w:rsidRDefault="00C1661D">
            <w:pPr>
              <w:spacing w:after="100"/>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A3B77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16096"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A341F9"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269B17" w14:textId="77777777" w:rsidR="00000000" w:rsidRDefault="00C1661D">
            <w:pPr>
              <w:spacing w:after="100"/>
              <w:jc w:val="right"/>
              <w:rPr>
                <w:rFonts w:eastAsia="Times New Roman"/>
              </w:rPr>
            </w:pPr>
            <w:r>
              <w:rPr>
                <w:rFonts w:eastAsia="Times New Roman"/>
                <w:color w:val="000000"/>
                <w:sz w:val="20"/>
                <w:szCs w:val="20"/>
              </w:rPr>
              <w:t>(166)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188C9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D6180D"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65A87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FC3C30" w14:textId="77777777" w:rsidR="00000000" w:rsidRDefault="00C1661D">
            <w:pPr>
              <w:spacing w:after="100"/>
              <w:jc w:val="right"/>
              <w:rPr>
                <w:rFonts w:eastAsia="Times New Roman"/>
              </w:rPr>
            </w:pPr>
            <w:r>
              <w:rPr>
                <w:rFonts w:eastAsia="Times New Roman"/>
                <w:color w:val="000000"/>
                <w:sz w:val="20"/>
                <w:szCs w:val="20"/>
              </w:rPr>
              <w:t>(217)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9DD34F" w14:textId="77777777" w:rsidR="00000000" w:rsidRDefault="00C1661D">
            <w:pPr>
              <w:spacing w:after="100"/>
              <w:jc w:val="right"/>
              <w:rPr>
                <w:rFonts w:eastAsia="Times New Roman"/>
              </w:rPr>
            </w:pPr>
          </w:p>
        </w:tc>
      </w:tr>
      <w:tr w:rsidR="00000000" w14:paraId="4B58D520" w14:textId="77777777">
        <w:trPr>
          <w:divId w:val="600527907"/>
          <w:jc w:val="center"/>
        </w:trPr>
        <w:tc>
          <w:tcPr>
            <w:tcW w:w="0" w:type="auto"/>
            <w:gridSpan w:val="3"/>
            <w:shd w:val="clear" w:color="auto" w:fill="FFFFFF"/>
            <w:tcMar>
              <w:top w:w="30" w:type="dxa"/>
              <w:left w:w="20" w:type="dxa"/>
              <w:bottom w:w="30" w:type="dxa"/>
              <w:right w:w="20" w:type="dxa"/>
            </w:tcMar>
            <w:vAlign w:val="bottom"/>
            <w:hideMark/>
          </w:tcPr>
          <w:p w14:paraId="1417126B" w14:textId="77777777" w:rsidR="00000000" w:rsidRDefault="00C1661D">
            <w:pPr>
              <w:spacing w:after="100"/>
              <w:rPr>
                <w:rFonts w:eastAsia="Times New Roman"/>
              </w:rPr>
            </w:pPr>
            <w:r>
              <w:rPr>
                <w:rFonts w:eastAsia="Times New Roman"/>
                <w:color w:val="000000"/>
                <w:sz w:val="20"/>
                <w:szCs w:val="20"/>
              </w:rPr>
              <w:t>Other comprehensive (loss) income before reclassification adjustments</w:t>
            </w:r>
          </w:p>
        </w:tc>
        <w:tc>
          <w:tcPr>
            <w:tcW w:w="0" w:type="auto"/>
            <w:gridSpan w:val="2"/>
            <w:shd w:val="clear" w:color="auto" w:fill="FFFFFF"/>
            <w:tcMar>
              <w:top w:w="30" w:type="dxa"/>
              <w:left w:w="20" w:type="dxa"/>
              <w:bottom w:w="30" w:type="dxa"/>
              <w:right w:w="0" w:type="dxa"/>
            </w:tcMar>
            <w:vAlign w:val="bottom"/>
            <w:hideMark/>
          </w:tcPr>
          <w:p w14:paraId="542A4D3D" w14:textId="77777777" w:rsidR="00000000" w:rsidRDefault="00C1661D">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75E20A1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A8BB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BDF611" w14:textId="77777777" w:rsidR="00000000" w:rsidRDefault="00C1661D">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14:paraId="0A95D24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AFC68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60FF3D" w14:textId="77777777" w:rsidR="00000000" w:rsidRDefault="00C1661D">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14:paraId="3E2CB63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56CA1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9304EF" w14:textId="77777777" w:rsidR="00000000" w:rsidRDefault="00C1661D">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14:paraId="433109FC" w14:textId="77777777" w:rsidR="00000000" w:rsidRDefault="00C1661D">
            <w:pPr>
              <w:spacing w:after="100"/>
              <w:jc w:val="right"/>
              <w:rPr>
                <w:rFonts w:eastAsia="Times New Roman"/>
              </w:rPr>
            </w:pPr>
          </w:p>
        </w:tc>
      </w:tr>
      <w:tr w:rsidR="00000000" w14:paraId="36948755" w14:textId="77777777">
        <w:trPr>
          <w:divId w:val="600527907"/>
          <w:jc w:val="center"/>
        </w:trPr>
        <w:tc>
          <w:tcPr>
            <w:tcW w:w="0" w:type="auto"/>
            <w:gridSpan w:val="3"/>
            <w:shd w:val="clear" w:color="auto" w:fill="CCEEFF"/>
            <w:tcMar>
              <w:top w:w="30" w:type="dxa"/>
              <w:left w:w="20" w:type="dxa"/>
              <w:bottom w:w="30" w:type="dxa"/>
              <w:right w:w="20" w:type="dxa"/>
            </w:tcMar>
            <w:vAlign w:val="bottom"/>
            <w:hideMark/>
          </w:tcPr>
          <w:p w14:paraId="29F4F887" w14:textId="77777777" w:rsidR="00000000" w:rsidRDefault="00C1661D">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14:paraId="35EF2CF5"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339C8BA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A60E3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7BFC37" w14:textId="77777777" w:rsidR="00000000" w:rsidRDefault="00C1661D">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2787B89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C0BD2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24CA79"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37846D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43945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9F3B81" w14:textId="77777777" w:rsidR="00000000" w:rsidRDefault="00C1661D">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5EBA9289" w14:textId="77777777" w:rsidR="00000000" w:rsidRDefault="00C1661D">
            <w:pPr>
              <w:spacing w:after="100"/>
              <w:jc w:val="right"/>
              <w:rPr>
                <w:rFonts w:eastAsia="Times New Roman"/>
              </w:rPr>
            </w:pPr>
          </w:p>
        </w:tc>
      </w:tr>
      <w:tr w:rsidR="00000000" w14:paraId="6634191A" w14:textId="77777777">
        <w:trPr>
          <w:divId w:val="600527907"/>
          <w:jc w:val="center"/>
        </w:trPr>
        <w:tc>
          <w:tcPr>
            <w:tcW w:w="0" w:type="auto"/>
            <w:gridSpan w:val="3"/>
            <w:shd w:val="clear" w:color="auto" w:fill="FFFFFF"/>
            <w:tcMar>
              <w:top w:w="30" w:type="dxa"/>
              <w:left w:w="20" w:type="dxa"/>
              <w:bottom w:w="30" w:type="dxa"/>
              <w:right w:w="20" w:type="dxa"/>
            </w:tcMar>
            <w:vAlign w:val="bottom"/>
            <w:hideMark/>
          </w:tcPr>
          <w:p w14:paraId="7B18A17D" w14:textId="77777777" w:rsidR="00000000" w:rsidRDefault="00C1661D">
            <w:pPr>
              <w:spacing w:after="100"/>
              <w:rPr>
                <w:rFonts w:eastAsia="Times New Roman"/>
              </w:rPr>
            </w:pPr>
            <w:r>
              <w:rPr>
                <w:rFonts w:eastAsia="Times New Roman"/>
                <w:color w:val="000000"/>
                <w:sz w:val="20"/>
                <w:szCs w:val="20"/>
              </w:rPr>
              <w:t xml:space="preserve">Other comprehensive (loss) income attributable to UGI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F841E6" w14:textId="77777777" w:rsidR="00000000" w:rsidRDefault="00C1661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0520B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C61388"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E82192" w14:textId="77777777" w:rsidR="00000000" w:rsidRDefault="00C1661D">
            <w:pPr>
              <w:spacing w:after="100"/>
              <w:jc w:val="right"/>
              <w:rPr>
                <w:rFonts w:eastAsia="Times New Roman"/>
              </w:rPr>
            </w:pPr>
            <w:r>
              <w:rPr>
                <w:rFonts w:eastAsia="Times New Roman"/>
                <w:color w:val="000000"/>
                <w:sz w:val="20"/>
                <w:szCs w:val="20"/>
              </w:rPr>
              <w:t>(29)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5CBDB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E73A52"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B54D01" w14:textId="77777777" w:rsidR="00000000" w:rsidRDefault="00C1661D">
            <w:pPr>
              <w:spacing w:after="100"/>
              <w:jc w:val="right"/>
              <w:rPr>
                <w:rFonts w:eastAsia="Times New Roman"/>
              </w:rPr>
            </w:pPr>
            <w:r>
              <w:rPr>
                <w:rFonts w:eastAsia="Times New Roman"/>
                <w:color w:val="000000"/>
                <w:sz w:val="20"/>
                <w:szCs w:val="20"/>
              </w:rPr>
              <w:t>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580AE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A6730A"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9838E7" w14:textId="77777777" w:rsidR="00000000" w:rsidRDefault="00C1661D">
            <w:pPr>
              <w:spacing w:after="100"/>
              <w:jc w:val="right"/>
              <w:rPr>
                <w:rFonts w:eastAsia="Times New Roman"/>
              </w:rPr>
            </w:pPr>
            <w:r>
              <w:rPr>
                <w:rFonts w:eastAsia="Times New Roman"/>
                <w:color w:val="000000"/>
                <w:sz w:val="20"/>
                <w:szCs w:val="20"/>
              </w:rPr>
              <w:t>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CBA98A" w14:textId="77777777" w:rsidR="00000000" w:rsidRDefault="00C1661D">
            <w:pPr>
              <w:spacing w:after="100"/>
              <w:jc w:val="right"/>
              <w:rPr>
                <w:rFonts w:eastAsia="Times New Roman"/>
              </w:rPr>
            </w:pPr>
          </w:p>
        </w:tc>
      </w:tr>
      <w:tr w:rsidR="00000000" w14:paraId="48C08552" w14:textId="77777777">
        <w:trPr>
          <w:divId w:val="600527907"/>
          <w:jc w:val="center"/>
        </w:trPr>
        <w:tc>
          <w:tcPr>
            <w:tcW w:w="0" w:type="auto"/>
            <w:gridSpan w:val="3"/>
            <w:vAlign w:val="center"/>
            <w:hideMark/>
          </w:tcPr>
          <w:p w14:paraId="77B3F1F4" w14:textId="77777777" w:rsidR="00000000" w:rsidRDefault="00C1661D">
            <w:pPr>
              <w:spacing w:after="100"/>
              <w:jc w:val="right"/>
              <w:rPr>
                <w:rFonts w:eastAsia="Times New Roman"/>
                <w:sz w:val="20"/>
                <w:szCs w:val="20"/>
              </w:rPr>
            </w:pPr>
          </w:p>
        </w:tc>
        <w:tc>
          <w:tcPr>
            <w:tcW w:w="0" w:type="auto"/>
            <w:gridSpan w:val="3"/>
            <w:vAlign w:val="center"/>
            <w:hideMark/>
          </w:tcPr>
          <w:p w14:paraId="4D5612FA" w14:textId="77777777" w:rsidR="00000000" w:rsidRDefault="00C1661D">
            <w:pPr>
              <w:spacing w:after="100"/>
              <w:rPr>
                <w:rFonts w:eastAsia="Times New Roman"/>
                <w:sz w:val="20"/>
                <w:szCs w:val="20"/>
              </w:rPr>
            </w:pPr>
          </w:p>
        </w:tc>
        <w:tc>
          <w:tcPr>
            <w:tcW w:w="0" w:type="auto"/>
            <w:gridSpan w:val="3"/>
            <w:vAlign w:val="center"/>
            <w:hideMark/>
          </w:tcPr>
          <w:p w14:paraId="7A22EC0A" w14:textId="77777777" w:rsidR="00000000" w:rsidRDefault="00C1661D">
            <w:pPr>
              <w:spacing w:after="100"/>
              <w:rPr>
                <w:rFonts w:eastAsia="Times New Roman"/>
                <w:sz w:val="20"/>
                <w:szCs w:val="20"/>
              </w:rPr>
            </w:pPr>
          </w:p>
        </w:tc>
        <w:tc>
          <w:tcPr>
            <w:tcW w:w="0" w:type="auto"/>
            <w:gridSpan w:val="3"/>
            <w:vAlign w:val="center"/>
            <w:hideMark/>
          </w:tcPr>
          <w:p w14:paraId="28C63911" w14:textId="77777777" w:rsidR="00000000" w:rsidRDefault="00C1661D">
            <w:pPr>
              <w:spacing w:after="100"/>
              <w:rPr>
                <w:rFonts w:eastAsia="Times New Roman"/>
                <w:sz w:val="20"/>
                <w:szCs w:val="20"/>
              </w:rPr>
            </w:pPr>
          </w:p>
        </w:tc>
        <w:tc>
          <w:tcPr>
            <w:tcW w:w="0" w:type="auto"/>
            <w:gridSpan w:val="3"/>
            <w:vAlign w:val="center"/>
            <w:hideMark/>
          </w:tcPr>
          <w:p w14:paraId="5787F759" w14:textId="77777777" w:rsidR="00000000" w:rsidRDefault="00C1661D">
            <w:pPr>
              <w:spacing w:after="100"/>
              <w:rPr>
                <w:rFonts w:eastAsia="Times New Roman"/>
                <w:sz w:val="20"/>
                <w:szCs w:val="20"/>
              </w:rPr>
            </w:pPr>
          </w:p>
        </w:tc>
        <w:tc>
          <w:tcPr>
            <w:tcW w:w="0" w:type="auto"/>
            <w:gridSpan w:val="3"/>
            <w:vAlign w:val="center"/>
            <w:hideMark/>
          </w:tcPr>
          <w:p w14:paraId="1628F7B0" w14:textId="77777777" w:rsidR="00000000" w:rsidRDefault="00C1661D">
            <w:pPr>
              <w:spacing w:after="100"/>
              <w:rPr>
                <w:rFonts w:eastAsia="Times New Roman"/>
                <w:sz w:val="20"/>
                <w:szCs w:val="20"/>
              </w:rPr>
            </w:pPr>
          </w:p>
        </w:tc>
        <w:tc>
          <w:tcPr>
            <w:tcW w:w="0" w:type="auto"/>
            <w:gridSpan w:val="3"/>
            <w:vAlign w:val="center"/>
            <w:hideMark/>
          </w:tcPr>
          <w:p w14:paraId="3CB2D30F" w14:textId="77777777" w:rsidR="00000000" w:rsidRDefault="00C1661D">
            <w:pPr>
              <w:spacing w:after="100"/>
              <w:rPr>
                <w:rFonts w:eastAsia="Times New Roman"/>
                <w:sz w:val="20"/>
                <w:szCs w:val="20"/>
              </w:rPr>
            </w:pPr>
          </w:p>
        </w:tc>
        <w:tc>
          <w:tcPr>
            <w:tcW w:w="0" w:type="auto"/>
            <w:gridSpan w:val="3"/>
            <w:vAlign w:val="center"/>
            <w:hideMark/>
          </w:tcPr>
          <w:p w14:paraId="3357C22A" w14:textId="77777777" w:rsidR="00000000" w:rsidRDefault="00C1661D">
            <w:pPr>
              <w:spacing w:after="100"/>
              <w:rPr>
                <w:rFonts w:eastAsia="Times New Roman"/>
                <w:sz w:val="20"/>
                <w:szCs w:val="20"/>
              </w:rPr>
            </w:pPr>
          </w:p>
        </w:tc>
      </w:tr>
      <w:tr w:rsidR="00000000" w14:paraId="45876D61" w14:textId="77777777">
        <w:trPr>
          <w:divId w:val="600527907"/>
          <w:jc w:val="center"/>
        </w:trPr>
        <w:tc>
          <w:tcPr>
            <w:tcW w:w="0" w:type="auto"/>
            <w:gridSpan w:val="3"/>
            <w:shd w:val="clear" w:color="auto" w:fill="CCEEFF"/>
            <w:tcMar>
              <w:top w:w="30" w:type="dxa"/>
              <w:left w:w="20" w:type="dxa"/>
              <w:bottom w:w="30" w:type="dxa"/>
              <w:right w:w="20" w:type="dxa"/>
            </w:tcMar>
            <w:vAlign w:val="bottom"/>
            <w:hideMark/>
          </w:tcPr>
          <w:p w14:paraId="1CC7803F" w14:textId="77777777" w:rsidR="00000000" w:rsidRDefault="00C1661D">
            <w:pPr>
              <w:spacing w:after="100"/>
              <w:rPr>
                <w:rFonts w:eastAsia="Times New Roman"/>
              </w:rPr>
            </w:pPr>
            <w:r>
              <w:rPr>
                <w:rFonts w:eastAsia="Times New Roman"/>
                <w:b/>
                <w:bCs/>
                <w:color w:val="000000"/>
                <w:sz w:val="20"/>
                <w:szCs w:val="20"/>
              </w:rPr>
              <w:t>AOCI - September 30,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8FA21E"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4B1957" w14:textId="77777777" w:rsidR="00000000" w:rsidRDefault="00C1661D">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17DA2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19B355"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01AC8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4593E8" w14:textId="77777777" w:rsidR="00000000" w:rsidRDefault="00C1661D">
            <w:pPr>
              <w:spacing w:after="100"/>
              <w:jc w:val="right"/>
              <w:rPr>
                <w:rFonts w:eastAsia="Times New Roman"/>
              </w:rPr>
            </w:pPr>
            <w:r>
              <w:rPr>
                <w:rFonts w:eastAsia="Times New Roman"/>
                <w:color w:val="000000"/>
                <w:sz w:val="20"/>
                <w:szCs w:val="20"/>
              </w:rPr>
              <w:t>(54)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4820B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1B186B"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848CD9"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1C41B6" w14:textId="77777777" w:rsidR="00000000" w:rsidRDefault="00C1661D">
            <w:pPr>
              <w:spacing w:after="100"/>
              <w:jc w:val="right"/>
              <w:rPr>
                <w:rFonts w:eastAsia="Times New Roman"/>
              </w:rPr>
            </w:pPr>
            <w:r>
              <w:rPr>
                <w:rFonts w:eastAsia="Times New Roman"/>
                <w:color w:val="000000"/>
                <w:sz w:val="20"/>
                <w:szCs w:val="20"/>
              </w:rPr>
              <w:t>(67)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11DDF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7E7BA5"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5A3419"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8D5DAC" w14:textId="77777777" w:rsidR="00000000" w:rsidRDefault="00C1661D">
            <w:pPr>
              <w:spacing w:after="100"/>
              <w:jc w:val="right"/>
              <w:rPr>
                <w:rFonts w:eastAsia="Times New Roman"/>
              </w:rPr>
            </w:pPr>
            <w:r>
              <w:rPr>
                <w:rFonts w:eastAsia="Times New Roman"/>
                <w:color w:val="000000"/>
                <w:sz w:val="20"/>
                <w:szCs w:val="20"/>
              </w:rPr>
              <w:t>(147)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4F9156" w14:textId="77777777" w:rsidR="00000000" w:rsidRDefault="00C1661D">
            <w:pPr>
              <w:spacing w:after="100"/>
              <w:jc w:val="right"/>
              <w:rPr>
                <w:rFonts w:eastAsia="Times New Roman"/>
              </w:rPr>
            </w:pPr>
          </w:p>
        </w:tc>
      </w:tr>
      <w:tr w:rsidR="00000000" w14:paraId="6B97ED76" w14:textId="77777777">
        <w:trPr>
          <w:divId w:val="600527907"/>
          <w:jc w:val="center"/>
        </w:trPr>
        <w:tc>
          <w:tcPr>
            <w:tcW w:w="0" w:type="auto"/>
            <w:gridSpan w:val="3"/>
            <w:shd w:val="clear" w:color="auto" w:fill="FFFFFF"/>
            <w:tcMar>
              <w:top w:w="30" w:type="dxa"/>
              <w:left w:w="20" w:type="dxa"/>
              <w:bottom w:w="30" w:type="dxa"/>
              <w:right w:w="20" w:type="dxa"/>
            </w:tcMar>
            <w:vAlign w:val="bottom"/>
            <w:hideMark/>
          </w:tcPr>
          <w:p w14:paraId="777BF39B" w14:textId="77777777" w:rsidR="00000000" w:rsidRDefault="00C1661D">
            <w:pPr>
              <w:spacing w:after="100"/>
              <w:rPr>
                <w:rFonts w:eastAsia="Times New Roman"/>
              </w:rPr>
            </w:pPr>
            <w:r>
              <w:rPr>
                <w:rFonts w:eastAsia="Times New Roman"/>
                <w:color w:val="000000"/>
                <w:sz w:val="20"/>
                <w:szCs w:val="20"/>
              </w:rPr>
              <w:t>Other comprehensive income (loss) before reclassification adjustments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3D8B8D" w14:textId="77777777" w:rsidR="00000000" w:rsidRDefault="00C1661D">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1F7F0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5840F3"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C08037" w14:textId="77777777" w:rsidR="00000000" w:rsidRDefault="00C1661D">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03CB4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9AEC44"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66B562" w14:textId="77777777" w:rsidR="00000000" w:rsidRDefault="00C1661D">
            <w:pPr>
              <w:spacing w:after="100"/>
              <w:jc w:val="right"/>
              <w:rPr>
                <w:rFonts w:eastAsia="Times New Roman"/>
              </w:rPr>
            </w:pPr>
            <w:r>
              <w:rPr>
                <w:rFonts w:eastAsia="Times New Roman"/>
                <w:color w:val="000000"/>
                <w:sz w:val="20"/>
                <w:szCs w:val="20"/>
              </w:rPr>
              <w:t>(23)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495F9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E5AE26"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56D6C6" w14:textId="77777777" w:rsidR="00000000" w:rsidRDefault="00C1661D">
            <w:pPr>
              <w:spacing w:after="100"/>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7A4439" w14:textId="77777777" w:rsidR="00000000" w:rsidRDefault="00C1661D">
            <w:pPr>
              <w:spacing w:after="100"/>
              <w:jc w:val="right"/>
              <w:rPr>
                <w:rFonts w:eastAsia="Times New Roman"/>
              </w:rPr>
            </w:pPr>
          </w:p>
        </w:tc>
      </w:tr>
      <w:tr w:rsidR="00000000" w14:paraId="3D29B467" w14:textId="77777777">
        <w:trPr>
          <w:divId w:val="600527907"/>
          <w:jc w:val="center"/>
        </w:trPr>
        <w:tc>
          <w:tcPr>
            <w:tcW w:w="0" w:type="auto"/>
            <w:gridSpan w:val="3"/>
            <w:shd w:val="clear" w:color="auto" w:fill="CCEEFF"/>
            <w:tcMar>
              <w:top w:w="30" w:type="dxa"/>
              <w:left w:w="20" w:type="dxa"/>
              <w:bottom w:w="30" w:type="dxa"/>
              <w:right w:w="20" w:type="dxa"/>
            </w:tcMar>
            <w:vAlign w:val="bottom"/>
            <w:hideMark/>
          </w:tcPr>
          <w:p w14:paraId="3E7DAEE5" w14:textId="77777777" w:rsidR="00000000" w:rsidRDefault="00C1661D">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14:paraId="76AB57BC"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2651D19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E359D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FB475B" w14:textId="77777777" w:rsidR="00000000" w:rsidRDefault="00C1661D">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01ED404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C6E16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C29D9D"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25756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15D81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10DFBA" w14:textId="77777777" w:rsidR="00000000" w:rsidRDefault="00C1661D">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39639A78" w14:textId="77777777" w:rsidR="00000000" w:rsidRDefault="00C1661D">
            <w:pPr>
              <w:spacing w:after="100"/>
              <w:jc w:val="right"/>
              <w:rPr>
                <w:rFonts w:eastAsia="Times New Roman"/>
              </w:rPr>
            </w:pPr>
          </w:p>
        </w:tc>
      </w:tr>
      <w:tr w:rsidR="00000000" w14:paraId="4A08851C" w14:textId="77777777">
        <w:trPr>
          <w:divId w:val="600527907"/>
          <w:jc w:val="center"/>
        </w:trPr>
        <w:tc>
          <w:tcPr>
            <w:tcW w:w="0" w:type="auto"/>
            <w:gridSpan w:val="3"/>
            <w:shd w:val="clear" w:color="auto" w:fill="FFFFFF"/>
            <w:tcMar>
              <w:top w:w="30" w:type="dxa"/>
              <w:left w:w="20" w:type="dxa"/>
              <w:bottom w:w="30" w:type="dxa"/>
              <w:right w:w="20" w:type="dxa"/>
            </w:tcMar>
            <w:vAlign w:val="bottom"/>
            <w:hideMark/>
          </w:tcPr>
          <w:p w14:paraId="03FAB6DA" w14:textId="77777777" w:rsidR="00000000" w:rsidRDefault="00C1661D">
            <w:pPr>
              <w:spacing w:after="100"/>
              <w:rPr>
                <w:rFonts w:eastAsia="Times New Roman"/>
              </w:rPr>
            </w:pPr>
            <w:r>
              <w:rPr>
                <w:rFonts w:eastAsia="Times New Roman"/>
                <w:color w:val="000000"/>
                <w:sz w:val="20"/>
                <w:szCs w:val="20"/>
              </w:rPr>
              <w:t xml:space="preserve">Other comprehensive income (loss) attributable to UGI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457E18" w14:textId="77777777" w:rsidR="00000000" w:rsidRDefault="00C1661D">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0341B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FC47D8"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5CFED1" w14:textId="77777777" w:rsidR="00000000" w:rsidRDefault="00C1661D">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A8472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BDA776"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CE37FA" w14:textId="77777777" w:rsidR="00000000" w:rsidRDefault="00C1661D">
            <w:pPr>
              <w:spacing w:after="100"/>
              <w:jc w:val="right"/>
              <w:rPr>
                <w:rFonts w:eastAsia="Times New Roman"/>
              </w:rPr>
            </w:pPr>
            <w:r>
              <w:rPr>
                <w:rFonts w:eastAsia="Times New Roman"/>
                <w:color w:val="000000"/>
                <w:sz w:val="20"/>
                <w:szCs w:val="20"/>
              </w:rPr>
              <w:t>(23)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46510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A05AC0"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C681B2" w14:textId="77777777" w:rsidR="00000000" w:rsidRDefault="00C1661D">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6A4C93" w14:textId="77777777" w:rsidR="00000000" w:rsidRDefault="00C1661D">
            <w:pPr>
              <w:spacing w:after="100"/>
              <w:jc w:val="right"/>
              <w:rPr>
                <w:rFonts w:eastAsia="Times New Roman"/>
              </w:rPr>
            </w:pPr>
          </w:p>
        </w:tc>
      </w:tr>
      <w:tr w:rsidR="00000000" w14:paraId="31F129DE" w14:textId="77777777">
        <w:trPr>
          <w:divId w:val="600527907"/>
          <w:jc w:val="center"/>
        </w:trPr>
        <w:tc>
          <w:tcPr>
            <w:tcW w:w="0" w:type="auto"/>
            <w:gridSpan w:val="3"/>
            <w:vAlign w:val="center"/>
            <w:hideMark/>
          </w:tcPr>
          <w:p w14:paraId="43E7579E" w14:textId="77777777" w:rsidR="00000000" w:rsidRDefault="00C1661D">
            <w:pPr>
              <w:spacing w:after="100"/>
              <w:jc w:val="right"/>
              <w:rPr>
                <w:rFonts w:eastAsia="Times New Roman"/>
                <w:sz w:val="20"/>
                <w:szCs w:val="20"/>
              </w:rPr>
            </w:pPr>
          </w:p>
        </w:tc>
        <w:tc>
          <w:tcPr>
            <w:tcW w:w="0" w:type="auto"/>
            <w:gridSpan w:val="3"/>
            <w:vAlign w:val="center"/>
            <w:hideMark/>
          </w:tcPr>
          <w:p w14:paraId="1D191713" w14:textId="77777777" w:rsidR="00000000" w:rsidRDefault="00C1661D">
            <w:pPr>
              <w:spacing w:after="100"/>
              <w:rPr>
                <w:rFonts w:eastAsia="Times New Roman"/>
                <w:sz w:val="20"/>
                <w:szCs w:val="20"/>
              </w:rPr>
            </w:pPr>
          </w:p>
        </w:tc>
        <w:tc>
          <w:tcPr>
            <w:tcW w:w="0" w:type="auto"/>
            <w:gridSpan w:val="3"/>
            <w:vAlign w:val="center"/>
            <w:hideMark/>
          </w:tcPr>
          <w:p w14:paraId="66970319" w14:textId="77777777" w:rsidR="00000000" w:rsidRDefault="00C1661D">
            <w:pPr>
              <w:spacing w:after="100"/>
              <w:rPr>
                <w:rFonts w:eastAsia="Times New Roman"/>
                <w:sz w:val="20"/>
                <w:szCs w:val="20"/>
              </w:rPr>
            </w:pPr>
          </w:p>
        </w:tc>
        <w:tc>
          <w:tcPr>
            <w:tcW w:w="0" w:type="auto"/>
            <w:gridSpan w:val="3"/>
            <w:vAlign w:val="center"/>
            <w:hideMark/>
          </w:tcPr>
          <w:p w14:paraId="4A5ED60F" w14:textId="77777777" w:rsidR="00000000" w:rsidRDefault="00C1661D">
            <w:pPr>
              <w:spacing w:after="100"/>
              <w:rPr>
                <w:rFonts w:eastAsia="Times New Roman"/>
                <w:sz w:val="20"/>
                <w:szCs w:val="20"/>
              </w:rPr>
            </w:pPr>
          </w:p>
        </w:tc>
        <w:tc>
          <w:tcPr>
            <w:tcW w:w="0" w:type="auto"/>
            <w:gridSpan w:val="3"/>
            <w:vAlign w:val="center"/>
            <w:hideMark/>
          </w:tcPr>
          <w:p w14:paraId="3346E095" w14:textId="77777777" w:rsidR="00000000" w:rsidRDefault="00C1661D">
            <w:pPr>
              <w:spacing w:after="100"/>
              <w:rPr>
                <w:rFonts w:eastAsia="Times New Roman"/>
                <w:sz w:val="20"/>
                <w:szCs w:val="20"/>
              </w:rPr>
            </w:pPr>
          </w:p>
        </w:tc>
        <w:tc>
          <w:tcPr>
            <w:tcW w:w="0" w:type="auto"/>
            <w:gridSpan w:val="3"/>
            <w:vAlign w:val="center"/>
            <w:hideMark/>
          </w:tcPr>
          <w:p w14:paraId="41227385" w14:textId="77777777" w:rsidR="00000000" w:rsidRDefault="00C1661D">
            <w:pPr>
              <w:spacing w:after="100"/>
              <w:rPr>
                <w:rFonts w:eastAsia="Times New Roman"/>
                <w:sz w:val="20"/>
                <w:szCs w:val="20"/>
              </w:rPr>
            </w:pPr>
          </w:p>
        </w:tc>
        <w:tc>
          <w:tcPr>
            <w:tcW w:w="0" w:type="auto"/>
            <w:gridSpan w:val="3"/>
            <w:vAlign w:val="center"/>
            <w:hideMark/>
          </w:tcPr>
          <w:p w14:paraId="61B6826A" w14:textId="77777777" w:rsidR="00000000" w:rsidRDefault="00C1661D">
            <w:pPr>
              <w:spacing w:after="100"/>
              <w:rPr>
                <w:rFonts w:eastAsia="Times New Roman"/>
                <w:sz w:val="20"/>
                <w:szCs w:val="20"/>
              </w:rPr>
            </w:pPr>
          </w:p>
        </w:tc>
        <w:tc>
          <w:tcPr>
            <w:tcW w:w="0" w:type="auto"/>
            <w:gridSpan w:val="3"/>
            <w:vAlign w:val="center"/>
            <w:hideMark/>
          </w:tcPr>
          <w:p w14:paraId="31B61931" w14:textId="77777777" w:rsidR="00000000" w:rsidRDefault="00C1661D">
            <w:pPr>
              <w:spacing w:after="100"/>
              <w:rPr>
                <w:rFonts w:eastAsia="Times New Roman"/>
                <w:sz w:val="20"/>
                <w:szCs w:val="20"/>
              </w:rPr>
            </w:pPr>
          </w:p>
        </w:tc>
      </w:tr>
      <w:tr w:rsidR="00000000" w14:paraId="40F820E6" w14:textId="77777777">
        <w:trPr>
          <w:divId w:val="600527907"/>
          <w:jc w:val="center"/>
        </w:trPr>
        <w:tc>
          <w:tcPr>
            <w:tcW w:w="0" w:type="auto"/>
            <w:gridSpan w:val="3"/>
            <w:shd w:val="clear" w:color="auto" w:fill="CCEEFF"/>
            <w:tcMar>
              <w:top w:w="30" w:type="dxa"/>
              <w:left w:w="20" w:type="dxa"/>
              <w:bottom w:w="30" w:type="dxa"/>
              <w:right w:w="20" w:type="dxa"/>
            </w:tcMar>
            <w:vAlign w:val="bottom"/>
            <w:hideMark/>
          </w:tcPr>
          <w:p w14:paraId="0BE004EA" w14:textId="77777777" w:rsidR="00000000" w:rsidRDefault="00C1661D">
            <w:pPr>
              <w:spacing w:after="100"/>
              <w:rPr>
                <w:rFonts w:eastAsia="Times New Roman"/>
              </w:rPr>
            </w:pPr>
            <w:r>
              <w:rPr>
                <w:rFonts w:eastAsia="Times New Roman"/>
                <w:b/>
                <w:bCs/>
                <w:color w:val="000000"/>
                <w:sz w:val="20"/>
                <w:szCs w:val="20"/>
              </w:rPr>
              <w:t>AOCI - September 30,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2941A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C76EF1" w14:textId="77777777" w:rsidR="00000000" w:rsidRDefault="00C1661D">
            <w:pPr>
              <w:spacing w:after="100"/>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F7E8E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E6EC2"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DBF2F3"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043263" w14:textId="77777777" w:rsidR="00000000" w:rsidRDefault="00C1661D">
            <w:pPr>
              <w:spacing w:after="100"/>
              <w:jc w:val="right"/>
              <w:rPr>
                <w:rFonts w:eastAsia="Times New Roman"/>
              </w:rPr>
            </w:pPr>
            <w:r>
              <w:rPr>
                <w:rFonts w:eastAsia="Times New Roman"/>
                <w:color w:val="000000"/>
                <w:sz w:val="20"/>
                <w:szCs w:val="20"/>
              </w:rPr>
              <w:t>(33)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0DDF3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387C33"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016DBF"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DBFB39" w14:textId="77777777" w:rsidR="00000000" w:rsidRDefault="00C1661D">
            <w:pPr>
              <w:spacing w:after="100"/>
              <w:jc w:val="right"/>
              <w:rPr>
                <w:rFonts w:eastAsia="Times New Roman"/>
              </w:rPr>
            </w:pPr>
            <w:r>
              <w:rPr>
                <w:rFonts w:eastAsia="Times New Roman"/>
                <w:color w:val="000000"/>
                <w:sz w:val="20"/>
                <w:szCs w:val="20"/>
              </w:rPr>
              <w:t>(90)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41947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E8B1FB"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00B8A3"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B7FF83" w14:textId="77777777" w:rsidR="00000000" w:rsidRDefault="00C1661D">
            <w:pPr>
              <w:spacing w:after="100"/>
              <w:jc w:val="right"/>
              <w:rPr>
                <w:rFonts w:eastAsia="Times New Roman"/>
              </w:rPr>
            </w:pPr>
            <w:r>
              <w:rPr>
                <w:rFonts w:eastAsia="Times New Roman"/>
                <w:color w:val="000000"/>
                <w:sz w:val="20"/>
                <w:szCs w:val="20"/>
              </w:rPr>
              <w:t>(140)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D20435" w14:textId="77777777" w:rsidR="00000000" w:rsidRDefault="00C1661D">
            <w:pPr>
              <w:spacing w:after="100"/>
              <w:jc w:val="right"/>
              <w:rPr>
                <w:rFonts w:eastAsia="Times New Roman"/>
              </w:rPr>
            </w:pPr>
          </w:p>
        </w:tc>
      </w:tr>
      <w:tr w:rsidR="00000000" w14:paraId="5E73CF2D" w14:textId="77777777">
        <w:trPr>
          <w:divId w:val="600527907"/>
          <w:jc w:val="center"/>
        </w:trPr>
        <w:tc>
          <w:tcPr>
            <w:tcW w:w="0" w:type="auto"/>
            <w:gridSpan w:val="3"/>
            <w:shd w:val="clear" w:color="auto" w:fill="FFFFFF"/>
            <w:tcMar>
              <w:top w:w="30" w:type="dxa"/>
              <w:left w:w="20" w:type="dxa"/>
              <w:bottom w:w="30" w:type="dxa"/>
              <w:right w:w="20" w:type="dxa"/>
            </w:tcMar>
            <w:vAlign w:val="bottom"/>
            <w:hideMark/>
          </w:tcPr>
          <w:p w14:paraId="0A12E183" w14:textId="77777777" w:rsidR="00000000" w:rsidRDefault="00C1661D">
            <w:pPr>
              <w:spacing w:after="100"/>
              <w:rPr>
                <w:rFonts w:eastAsia="Times New Roman"/>
              </w:rPr>
            </w:pPr>
            <w:r>
              <w:rPr>
                <w:rFonts w:eastAsia="Times New Roman"/>
                <w:color w:val="000000"/>
                <w:sz w:val="20"/>
                <w:szCs w:val="20"/>
              </w:rPr>
              <w:t>Other comprehensive income (loss) before reclassification adjustments</w:t>
            </w:r>
          </w:p>
        </w:tc>
        <w:tc>
          <w:tcPr>
            <w:tcW w:w="0" w:type="auto"/>
            <w:gridSpan w:val="2"/>
            <w:shd w:val="clear" w:color="auto" w:fill="FFFFFF"/>
            <w:tcMar>
              <w:top w:w="30" w:type="dxa"/>
              <w:left w:w="20" w:type="dxa"/>
              <w:bottom w:w="30" w:type="dxa"/>
              <w:right w:w="0" w:type="dxa"/>
            </w:tcMar>
            <w:vAlign w:val="bottom"/>
            <w:hideMark/>
          </w:tcPr>
          <w:p w14:paraId="11621CC9" w14:textId="77777777" w:rsidR="00000000" w:rsidRDefault="00C1661D">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14:paraId="7BF6F55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2F6F9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D8AAED" w14:textId="77777777" w:rsidR="00000000" w:rsidRDefault="00C1661D">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14:paraId="5D22335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188A5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80F1FE" w14:textId="77777777" w:rsidR="00000000" w:rsidRDefault="00C1661D">
            <w:pPr>
              <w:spacing w:after="100"/>
              <w:jc w:val="right"/>
              <w:rPr>
                <w:rFonts w:eastAsia="Times New Roman"/>
              </w:rPr>
            </w:pPr>
            <w:r>
              <w:rPr>
                <w:rFonts w:eastAsia="Times New Roman"/>
                <w:color w:val="000000"/>
                <w:sz w:val="20"/>
                <w:szCs w:val="20"/>
              </w:rPr>
              <w:t>(341)</w:t>
            </w:r>
          </w:p>
        </w:tc>
        <w:tc>
          <w:tcPr>
            <w:tcW w:w="0" w:type="auto"/>
            <w:shd w:val="clear" w:color="auto" w:fill="FFFFFF"/>
            <w:tcMar>
              <w:top w:w="30" w:type="dxa"/>
              <w:left w:w="0" w:type="dxa"/>
              <w:bottom w:w="30" w:type="dxa"/>
              <w:right w:w="20" w:type="dxa"/>
            </w:tcMar>
            <w:vAlign w:val="bottom"/>
            <w:hideMark/>
          </w:tcPr>
          <w:p w14:paraId="39D07FC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C3D63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FD76F7" w14:textId="77777777" w:rsidR="00000000" w:rsidRDefault="00C1661D">
            <w:pPr>
              <w:spacing w:after="100"/>
              <w:jc w:val="right"/>
              <w:rPr>
                <w:rFonts w:eastAsia="Times New Roman"/>
              </w:rPr>
            </w:pPr>
            <w:r>
              <w:rPr>
                <w:rFonts w:eastAsia="Times New Roman"/>
                <w:color w:val="000000"/>
                <w:sz w:val="20"/>
                <w:szCs w:val="20"/>
              </w:rPr>
              <w:t>(249)</w:t>
            </w:r>
          </w:p>
        </w:tc>
        <w:tc>
          <w:tcPr>
            <w:tcW w:w="0" w:type="auto"/>
            <w:shd w:val="clear" w:color="auto" w:fill="FFFFFF"/>
            <w:tcMar>
              <w:top w:w="30" w:type="dxa"/>
              <w:left w:w="0" w:type="dxa"/>
              <w:bottom w:w="30" w:type="dxa"/>
              <w:right w:w="20" w:type="dxa"/>
            </w:tcMar>
            <w:vAlign w:val="bottom"/>
            <w:hideMark/>
          </w:tcPr>
          <w:p w14:paraId="5BC98EB0" w14:textId="77777777" w:rsidR="00000000" w:rsidRDefault="00C1661D">
            <w:pPr>
              <w:spacing w:after="100"/>
              <w:jc w:val="right"/>
              <w:rPr>
                <w:rFonts w:eastAsia="Times New Roman"/>
              </w:rPr>
            </w:pPr>
          </w:p>
        </w:tc>
      </w:tr>
      <w:tr w:rsidR="00000000" w14:paraId="0CD33DD9" w14:textId="77777777">
        <w:trPr>
          <w:divId w:val="600527907"/>
          <w:jc w:val="center"/>
        </w:trPr>
        <w:tc>
          <w:tcPr>
            <w:tcW w:w="0" w:type="auto"/>
            <w:gridSpan w:val="3"/>
            <w:shd w:val="clear" w:color="auto" w:fill="CCEEFF"/>
            <w:tcMar>
              <w:top w:w="30" w:type="dxa"/>
              <w:left w:w="20" w:type="dxa"/>
              <w:bottom w:w="30" w:type="dxa"/>
              <w:right w:w="20" w:type="dxa"/>
            </w:tcMar>
            <w:vAlign w:val="bottom"/>
            <w:hideMark/>
          </w:tcPr>
          <w:p w14:paraId="1BDFD800" w14:textId="77777777" w:rsidR="00000000" w:rsidRDefault="00C1661D">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14:paraId="756E4BFE" w14:textId="77777777" w:rsidR="00000000" w:rsidRDefault="00C1661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236640D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D3463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395CFC" w14:textId="77777777" w:rsidR="00000000" w:rsidRDefault="00C1661D">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2BB1017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913A5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782A32"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2F78D0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AA06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18A593" w14:textId="77777777" w:rsidR="00000000" w:rsidRDefault="00C1661D">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1594E99F" w14:textId="77777777" w:rsidR="00000000" w:rsidRDefault="00C1661D">
            <w:pPr>
              <w:spacing w:after="100"/>
              <w:jc w:val="right"/>
              <w:rPr>
                <w:rFonts w:eastAsia="Times New Roman"/>
              </w:rPr>
            </w:pPr>
          </w:p>
        </w:tc>
      </w:tr>
      <w:tr w:rsidR="00000000" w14:paraId="099D5E2A" w14:textId="77777777">
        <w:trPr>
          <w:divId w:val="600527907"/>
          <w:jc w:val="center"/>
        </w:trPr>
        <w:tc>
          <w:tcPr>
            <w:tcW w:w="0" w:type="auto"/>
            <w:gridSpan w:val="3"/>
            <w:shd w:val="clear" w:color="auto" w:fill="FFFFFF"/>
            <w:tcMar>
              <w:top w:w="30" w:type="dxa"/>
              <w:left w:w="20" w:type="dxa"/>
              <w:bottom w:w="30" w:type="dxa"/>
              <w:right w:w="20" w:type="dxa"/>
            </w:tcMar>
            <w:vAlign w:val="bottom"/>
            <w:hideMark/>
          </w:tcPr>
          <w:p w14:paraId="1EF87371" w14:textId="77777777" w:rsidR="00000000" w:rsidRDefault="00C1661D">
            <w:pPr>
              <w:spacing w:after="100"/>
              <w:rPr>
                <w:rFonts w:eastAsia="Times New Roman"/>
              </w:rPr>
            </w:pPr>
            <w:r>
              <w:rPr>
                <w:rFonts w:eastAsia="Times New Roman"/>
                <w:color w:val="000000"/>
                <w:sz w:val="20"/>
                <w:szCs w:val="20"/>
              </w:rPr>
              <w:t xml:space="preserve">Other comprehensive income (loss) attributable to UGI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718613" w14:textId="77777777" w:rsidR="00000000" w:rsidRDefault="00C1661D">
            <w:pPr>
              <w:spacing w:after="100"/>
              <w:jc w:val="right"/>
              <w:rPr>
                <w:rFonts w:eastAsia="Times New Roman"/>
              </w:rPr>
            </w:pPr>
            <w:r>
              <w:rPr>
                <w:rFonts w:eastAsia="Times New Roman"/>
                <w:color w:val="000000"/>
                <w:sz w:val="20"/>
                <w:szCs w:val="20"/>
              </w:rPr>
              <w:t>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31607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4DAB37"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AE207D" w14:textId="77777777" w:rsidR="00000000" w:rsidRDefault="00C1661D">
            <w:pPr>
              <w:spacing w:after="100"/>
              <w:jc w:val="right"/>
              <w:rPr>
                <w:rFonts w:eastAsia="Times New Roman"/>
              </w:rPr>
            </w:pPr>
            <w:r>
              <w:rPr>
                <w:rFonts w:eastAsia="Times New Roman"/>
                <w:color w:val="000000"/>
                <w:sz w:val="20"/>
                <w:szCs w:val="20"/>
              </w:rPr>
              <w:t>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214E8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CD7557"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1B7993" w14:textId="77777777" w:rsidR="00000000" w:rsidRDefault="00C1661D">
            <w:pPr>
              <w:spacing w:after="100"/>
              <w:jc w:val="right"/>
              <w:rPr>
                <w:rFonts w:eastAsia="Times New Roman"/>
              </w:rPr>
            </w:pPr>
            <w:r>
              <w:rPr>
                <w:rFonts w:eastAsia="Times New Roman"/>
                <w:color w:val="000000"/>
                <w:sz w:val="20"/>
                <w:szCs w:val="20"/>
              </w:rPr>
              <w:t>(341)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13D69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D398C"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359B02" w14:textId="77777777" w:rsidR="00000000" w:rsidRDefault="00C1661D">
            <w:pPr>
              <w:spacing w:after="100"/>
              <w:jc w:val="right"/>
              <w:rPr>
                <w:rFonts w:eastAsia="Times New Roman"/>
              </w:rPr>
            </w:pPr>
            <w:r>
              <w:rPr>
                <w:rFonts w:eastAsia="Times New Roman"/>
                <w:color w:val="000000"/>
                <w:sz w:val="20"/>
                <w:szCs w:val="20"/>
              </w:rPr>
              <w:t>(240)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886BD4" w14:textId="77777777" w:rsidR="00000000" w:rsidRDefault="00C1661D">
            <w:pPr>
              <w:spacing w:after="100"/>
              <w:jc w:val="right"/>
              <w:rPr>
                <w:rFonts w:eastAsia="Times New Roman"/>
              </w:rPr>
            </w:pPr>
          </w:p>
        </w:tc>
      </w:tr>
      <w:tr w:rsidR="00000000" w14:paraId="286273D2" w14:textId="77777777">
        <w:trPr>
          <w:divId w:val="600527907"/>
          <w:jc w:val="center"/>
        </w:trPr>
        <w:tc>
          <w:tcPr>
            <w:tcW w:w="0" w:type="auto"/>
            <w:gridSpan w:val="3"/>
            <w:vAlign w:val="center"/>
            <w:hideMark/>
          </w:tcPr>
          <w:p w14:paraId="753222EF" w14:textId="77777777" w:rsidR="00000000" w:rsidRDefault="00C1661D">
            <w:pPr>
              <w:spacing w:after="100"/>
              <w:jc w:val="right"/>
              <w:rPr>
                <w:rFonts w:eastAsia="Times New Roman"/>
                <w:sz w:val="20"/>
                <w:szCs w:val="20"/>
              </w:rPr>
            </w:pPr>
          </w:p>
        </w:tc>
        <w:tc>
          <w:tcPr>
            <w:tcW w:w="0" w:type="auto"/>
            <w:gridSpan w:val="3"/>
            <w:vAlign w:val="center"/>
            <w:hideMark/>
          </w:tcPr>
          <w:p w14:paraId="1F731513" w14:textId="77777777" w:rsidR="00000000" w:rsidRDefault="00C1661D">
            <w:pPr>
              <w:spacing w:after="100"/>
              <w:rPr>
                <w:rFonts w:eastAsia="Times New Roman"/>
                <w:sz w:val="20"/>
                <w:szCs w:val="20"/>
              </w:rPr>
            </w:pPr>
          </w:p>
        </w:tc>
        <w:tc>
          <w:tcPr>
            <w:tcW w:w="0" w:type="auto"/>
            <w:gridSpan w:val="3"/>
            <w:vAlign w:val="center"/>
            <w:hideMark/>
          </w:tcPr>
          <w:p w14:paraId="1CFC4342" w14:textId="77777777" w:rsidR="00000000" w:rsidRDefault="00C1661D">
            <w:pPr>
              <w:spacing w:after="100"/>
              <w:rPr>
                <w:rFonts w:eastAsia="Times New Roman"/>
                <w:sz w:val="20"/>
                <w:szCs w:val="20"/>
              </w:rPr>
            </w:pPr>
          </w:p>
        </w:tc>
        <w:tc>
          <w:tcPr>
            <w:tcW w:w="0" w:type="auto"/>
            <w:gridSpan w:val="3"/>
            <w:vAlign w:val="center"/>
            <w:hideMark/>
          </w:tcPr>
          <w:p w14:paraId="14AD0E26" w14:textId="77777777" w:rsidR="00000000" w:rsidRDefault="00C1661D">
            <w:pPr>
              <w:spacing w:after="100"/>
              <w:rPr>
                <w:rFonts w:eastAsia="Times New Roman"/>
                <w:sz w:val="20"/>
                <w:szCs w:val="20"/>
              </w:rPr>
            </w:pPr>
          </w:p>
        </w:tc>
        <w:tc>
          <w:tcPr>
            <w:tcW w:w="0" w:type="auto"/>
            <w:gridSpan w:val="3"/>
            <w:vAlign w:val="center"/>
            <w:hideMark/>
          </w:tcPr>
          <w:p w14:paraId="4E04931B" w14:textId="77777777" w:rsidR="00000000" w:rsidRDefault="00C1661D">
            <w:pPr>
              <w:spacing w:after="100"/>
              <w:rPr>
                <w:rFonts w:eastAsia="Times New Roman"/>
                <w:sz w:val="20"/>
                <w:szCs w:val="20"/>
              </w:rPr>
            </w:pPr>
          </w:p>
        </w:tc>
        <w:tc>
          <w:tcPr>
            <w:tcW w:w="0" w:type="auto"/>
            <w:gridSpan w:val="3"/>
            <w:vAlign w:val="center"/>
            <w:hideMark/>
          </w:tcPr>
          <w:p w14:paraId="208C61B4" w14:textId="77777777" w:rsidR="00000000" w:rsidRDefault="00C1661D">
            <w:pPr>
              <w:spacing w:after="100"/>
              <w:rPr>
                <w:rFonts w:eastAsia="Times New Roman"/>
                <w:sz w:val="20"/>
                <w:szCs w:val="20"/>
              </w:rPr>
            </w:pPr>
          </w:p>
        </w:tc>
        <w:tc>
          <w:tcPr>
            <w:tcW w:w="0" w:type="auto"/>
            <w:gridSpan w:val="3"/>
            <w:vAlign w:val="center"/>
            <w:hideMark/>
          </w:tcPr>
          <w:p w14:paraId="448D09A3" w14:textId="77777777" w:rsidR="00000000" w:rsidRDefault="00C1661D">
            <w:pPr>
              <w:spacing w:after="100"/>
              <w:rPr>
                <w:rFonts w:eastAsia="Times New Roman"/>
                <w:sz w:val="20"/>
                <w:szCs w:val="20"/>
              </w:rPr>
            </w:pPr>
          </w:p>
        </w:tc>
        <w:tc>
          <w:tcPr>
            <w:tcW w:w="0" w:type="auto"/>
            <w:gridSpan w:val="3"/>
            <w:vAlign w:val="center"/>
            <w:hideMark/>
          </w:tcPr>
          <w:p w14:paraId="71B7847C" w14:textId="77777777" w:rsidR="00000000" w:rsidRDefault="00C1661D">
            <w:pPr>
              <w:spacing w:after="100"/>
              <w:rPr>
                <w:rFonts w:eastAsia="Times New Roman"/>
                <w:sz w:val="20"/>
                <w:szCs w:val="20"/>
              </w:rPr>
            </w:pPr>
          </w:p>
        </w:tc>
      </w:tr>
      <w:tr w:rsidR="00000000" w14:paraId="4CCE95B8" w14:textId="77777777">
        <w:trPr>
          <w:divId w:val="600527907"/>
          <w:jc w:val="center"/>
        </w:trPr>
        <w:tc>
          <w:tcPr>
            <w:tcW w:w="0" w:type="auto"/>
            <w:gridSpan w:val="3"/>
            <w:shd w:val="clear" w:color="auto" w:fill="CCEEFF"/>
            <w:tcMar>
              <w:top w:w="30" w:type="dxa"/>
              <w:left w:w="20" w:type="dxa"/>
              <w:bottom w:w="30" w:type="dxa"/>
              <w:right w:w="20" w:type="dxa"/>
            </w:tcMar>
            <w:vAlign w:val="bottom"/>
            <w:hideMark/>
          </w:tcPr>
          <w:p w14:paraId="640212FB" w14:textId="77777777" w:rsidR="00000000" w:rsidRDefault="00C1661D">
            <w:pPr>
              <w:spacing w:after="100"/>
              <w:rPr>
                <w:rFonts w:eastAsia="Times New Roman"/>
              </w:rPr>
            </w:pPr>
            <w:r>
              <w:rPr>
                <w:rFonts w:eastAsia="Times New Roman"/>
                <w:b/>
                <w:bCs/>
                <w:color w:val="000000"/>
                <w:sz w:val="20"/>
                <w:szCs w:val="20"/>
              </w:rPr>
              <w:t>AOCI - September 30,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9F234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A18B9BF" w14:textId="77777777" w:rsidR="00000000" w:rsidRDefault="00C1661D">
            <w:pPr>
              <w:spacing w:after="100"/>
              <w:jc w:val="right"/>
              <w:rPr>
                <w:rFonts w:eastAsia="Times New Roman"/>
              </w:rPr>
            </w:pPr>
            <w:r>
              <w:rPr>
                <w:rFonts w:eastAsia="Times New Roman"/>
                <w:color w:val="000000"/>
                <w:sz w:val="20"/>
                <w:szCs w:val="20"/>
              </w:rPr>
              <w:t>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9AD09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421D88"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73C5F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E7E9395" w14:textId="77777777" w:rsidR="00000000" w:rsidRDefault="00C1661D">
            <w:pPr>
              <w:spacing w:after="100"/>
              <w:jc w:val="right"/>
              <w:rPr>
                <w:rFonts w:eastAsia="Times New Roman"/>
              </w:rPr>
            </w:pPr>
            <w:r>
              <w:rPr>
                <w:rFonts w:eastAsia="Times New Roman"/>
                <w:color w:val="000000"/>
                <w:sz w:val="20"/>
                <w:szCs w:val="20"/>
              </w:rPr>
              <w:t>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8F0A8D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897D7F"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A0389F"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A8EA2D" w14:textId="77777777" w:rsidR="00000000" w:rsidRDefault="00C1661D">
            <w:pPr>
              <w:spacing w:after="100"/>
              <w:jc w:val="right"/>
              <w:rPr>
                <w:rFonts w:eastAsia="Times New Roman"/>
              </w:rPr>
            </w:pPr>
            <w:r>
              <w:rPr>
                <w:rFonts w:eastAsia="Times New Roman"/>
                <w:color w:val="000000"/>
                <w:sz w:val="20"/>
                <w:szCs w:val="20"/>
              </w:rPr>
              <w:t>(431)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2CA5F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740CD"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ADFD7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E1CE51" w14:textId="77777777" w:rsidR="00000000" w:rsidRDefault="00C1661D">
            <w:pPr>
              <w:spacing w:after="100"/>
              <w:jc w:val="right"/>
              <w:rPr>
                <w:rFonts w:eastAsia="Times New Roman"/>
              </w:rPr>
            </w:pPr>
            <w:r>
              <w:rPr>
                <w:rFonts w:eastAsia="Times New Roman"/>
                <w:color w:val="000000"/>
                <w:sz w:val="20"/>
                <w:szCs w:val="20"/>
              </w:rPr>
              <w:t>(380)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B4DEA8" w14:textId="77777777" w:rsidR="00000000" w:rsidRDefault="00C1661D">
            <w:pPr>
              <w:spacing w:after="100"/>
              <w:jc w:val="right"/>
              <w:rPr>
                <w:rFonts w:eastAsia="Times New Roman"/>
              </w:rPr>
            </w:pPr>
          </w:p>
        </w:tc>
      </w:tr>
    </w:tbl>
    <w:p w14:paraId="2C5280A6" w14:textId="77777777" w:rsidR="00000000" w:rsidRDefault="00C1661D">
      <w:pPr>
        <w:jc w:val="both"/>
        <w:divId w:val="1446537210"/>
        <w:rPr>
          <w:rFonts w:eastAsia="Times New Roman"/>
        </w:rPr>
      </w:pPr>
    </w:p>
    <w:p w14:paraId="741E1ABF" w14:textId="77777777" w:rsidR="00000000" w:rsidRDefault="00C1661D">
      <w:pPr>
        <w:jc w:val="both"/>
        <w:rPr>
          <w:rFonts w:eastAsia="Times New Roman"/>
        </w:rPr>
      </w:pPr>
      <w:r>
        <w:rPr>
          <w:rFonts w:eastAsia="Times New Roman"/>
          <w:b/>
          <w:bCs/>
          <w:color w:val="000000"/>
          <w:sz w:val="20"/>
          <w:szCs w:val="20"/>
          <w:u w:val="single"/>
        </w:rPr>
        <w:t xml:space="preserve">Note 21 — Other Operating Income, Net and Other Non-Operating Income (Expense), Net </w:t>
      </w:r>
    </w:p>
    <w:p w14:paraId="41F5054D" w14:textId="77777777" w:rsidR="00000000" w:rsidRDefault="00C1661D">
      <w:pPr>
        <w:jc w:val="both"/>
        <w:divId w:val="314335696"/>
        <w:rPr>
          <w:rFonts w:eastAsia="Times New Roman"/>
        </w:rPr>
      </w:pPr>
      <w:r>
        <w:rPr>
          <w:rFonts w:eastAsia="Times New Roman"/>
          <w:b/>
          <w:bCs/>
          <w:color w:val="000000"/>
          <w:sz w:val="20"/>
          <w:szCs w:val="20"/>
        </w:rPr>
        <w:t>Other Operating Income, Net</w:t>
      </w:r>
    </w:p>
    <w:p w14:paraId="6FD934CF" w14:textId="77777777" w:rsidR="00000000" w:rsidRDefault="00C1661D">
      <w:pPr>
        <w:jc w:val="both"/>
        <w:divId w:val="367142761"/>
        <w:rPr>
          <w:rFonts w:eastAsia="Times New Roman"/>
        </w:rPr>
      </w:pPr>
      <w:r>
        <w:rPr>
          <w:rFonts w:eastAsia="Times New Roman"/>
          <w:color w:val="000000"/>
          <w:sz w:val="20"/>
          <w:szCs w:val="20"/>
        </w:rPr>
        <w:t>Other operating income, net, comprises the following:</w:t>
      </w:r>
    </w:p>
    <w:tbl>
      <w:tblPr>
        <w:tblW w:w="4992" w:type="pct"/>
        <w:tblCellMar>
          <w:top w:w="15" w:type="dxa"/>
          <w:left w:w="15" w:type="dxa"/>
          <w:bottom w:w="15" w:type="dxa"/>
          <w:right w:w="15" w:type="dxa"/>
        </w:tblCellMar>
        <w:tblLook w:val="04A0" w:firstRow="1" w:lastRow="0" w:firstColumn="1" w:lastColumn="0" w:noHBand="0" w:noVBand="1"/>
      </w:tblPr>
      <w:tblGrid>
        <w:gridCol w:w="38"/>
        <w:gridCol w:w="4863"/>
        <w:gridCol w:w="37"/>
        <w:gridCol w:w="121"/>
        <w:gridCol w:w="916"/>
        <w:gridCol w:w="36"/>
        <w:gridCol w:w="36"/>
        <w:gridCol w:w="36"/>
        <w:gridCol w:w="36"/>
        <w:gridCol w:w="121"/>
        <w:gridCol w:w="875"/>
        <w:gridCol w:w="36"/>
        <w:gridCol w:w="36"/>
        <w:gridCol w:w="36"/>
        <w:gridCol w:w="36"/>
        <w:gridCol w:w="121"/>
        <w:gridCol w:w="877"/>
        <w:gridCol w:w="36"/>
      </w:tblGrid>
      <w:tr w:rsidR="00000000" w14:paraId="73F26641" w14:textId="77777777">
        <w:trPr>
          <w:divId w:val="1782728132"/>
        </w:trPr>
        <w:tc>
          <w:tcPr>
            <w:tcW w:w="50" w:type="pct"/>
            <w:vAlign w:val="center"/>
            <w:hideMark/>
          </w:tcPr>
          <w:p w14:paraId="7ACBE13B" w14:textId="77777777" w:rsidR="00000000" w:rsidRDefault="00C1661D">
            <w:pPr>
              <w:jc w:val="both"/>
              <w:rPr>
                <w:rFonts w:eastAsia="Times New Roman"/>
              </w:rPr>
            </w:pPr>
          </w:p>
        </w:tc>
        <w:tc>
          <w:tcPr>
            <w:tcW w:w="2961" w:type="pct"/>
            <w:vAlign w:val="center"/>
            <w:hideMark/>
          </w:tcPr>
          <w:p w14:paraId="7A8C9455" w14:textId="77777777" w:rsidR="00000000" w:rsidRDefault="00C1661D">
            <w:pPr>
              <w:spacing w:after="100"/>
              <w:rPr>
                <w:rFonts w:eastAsia="Times New Roman"/>
                <w:sz w:val="20"/>
                <w:szCs w:val="20"/>
              </w:rPr>
            </w:pPr>
          </w:p>
        </w:tc>
        <w:tc>
          <w:tcPr>
            <w:tcW w:w="5" w:type="pct"/>
            <w:vAlign w:val="center"/>
            <w:hideMark/>
          </w:tcPr>
          <w:p w14:paraId="7E23837A" w14:textId="77777777" w:rsidR="00000000" w:rsidRDefault="00C1661D">
            <w:pPr>
              <w:spacing w:after="100"/>
              <w:rPr>
                <w:rFonts w:eastAsia="Times New Roman"/>
                <w:sz w:val="20"/>
                <w:szCs w:val="20"/>
              </w:rPr>
            </w:pPr>
          </w:p>
        </w:tc>
        <w:tc>
          <w:tcPr>
            <w:tcW w:w="50" w:type="pct"/>
            <w:vAlign w:val="center"/>
            <w:hideMark/>
          </w:tcPr>
          <w:p w14:paraId="3377D03D" w14:textId="77777777" w:rsidR="00000000" w:rsidRDefault="00C1661D">
            <w:pPr>
              <w:spacing w:after="100"/>
              <w:rPr>
                <w:rFonts w:eastAsia="Times New Roman"/>
                <w:sz w:val="20"/>
                <w:szCs w:val="20"/>
              </w:rPr>
            </w:pPr>
          </w:p>
        </w:tc>
        <w:tc>
          <w:tcPr>
            <w:tcW w:w="581" w:type="pct"/>
            <w:vAlign w:val="center"/>
            <w:hideMark/>
          </w:tcPr>
          <w:p w14:paraId="167C83D0" w14:textId="77777777" w:rsidR="00000000" w:rsidRDefault="00C1661D">
            <w:pPr>
              <w:spacing w:after="100"/>
              <w:rPr>
                <w:rFonts w:eastAsia="Times New Roman"/>
                <w:sz w:val="20"/>
                <w:szCs w:val="20"/>
              </w:rPr>
            </w:pPr>
          </w:p>
        </w:tc>
        <w:tc>
          <w:tcPr>
            <w:tcW w:w="5" w:type="pct"/>
            <w:vAlign w:val="center"/>
            <w:hideMark/>
          </w:tcPr>
          <w:p w14:paraId="41D97943" w14:textId="77777777" w:rsidR="00000000" w:rsidRDefault="00C1661D">
            <w:pPr>
              <w:spacing w:after="100"/>
              <w:rPr>
                <w:rFonts w:eastAsia="Times New Roman"/>
                <w:sz w:val="20"/>
                <w:szCs w:val="20"/>
              </w:rPr>
            </w:pPr>
          </w:p>
        </w:tc>
        <w:tc>
          <w:tcPr>
            <w:tcW w:w="5" w:type="pct"/>
            <w:vAlign w:val="center"/>
            <w:hideMark/>
          </w:tcPr>
          <w:p w14:paraId="4F0DC9BE" w14:textId="77777777" w:rsidR="00000000" w:rsidRDefault="00C1661D">
            <w:pPr>
              <w:spacing w:after="100"/>
              <w:rPr>
                <w:rFonts w:eastAsia="Times New Roman"/>
                <w:sz w:val="20"/>
                <w:szCs w:val="20"/>
              </w:rPr>
            </w:pPr>
          </w:p>
        </w:tc>
        <w:tc>
          <w:tcPr>
            <w:tcW w:w="26" w:type="pct"/>
            <w:vAlign w:val="center"/>
            <w:hideMark/>
          </w:tcPr>
          <w:p w14:paraId="5F016606" w14:textId="77777777" w:rsidR="00000000" w:rsidRDefault="00C1661D">
            <w:pPr>
              <w:spacing w:after="100"/>
              <w:rPr>
                <w:rFonts w:eastAsia="Times New Roman"/>
                <w:sz w:val="20"/>
                <w:szCs w:val="20"/>
              </w:rPr>
            </w:pPr>
          </w:p>
        </w:tc>
        <w:tc>
          <w:tcPr>
            <w:tcW w:w="5" w:type="pct"/>
            <w:vAlign w:val="center"/>
            <w:hideMark/>
          </w:tcPr>
          <w:p w14:paraId="53B3D283" w14:textId="77777777" w:rsidR="00000000" w:rsidRDefault="00C1661D">
            <w:pPr>
              <w:spacing w:after="100"/>
              <w:rPr>
                <w:rFonts w:eastAsia="Times New Roman"/>
                <w:sz w:val="20"/>
                <w:szCs w:val="20"/>
              </w:rPr>
            </w:pPr>
          </w:p>
        </w:tc>
        <w:tc>
          <w:tcPr>
            <w:tcW w:w="50" w:type="pct"/>
            <w:vAlign w:val="center"/>
            <w:hideMark/>
          </w:tcPr>
          <w:p w14:paraId="349FDFBB" w14:textId="77777777" w:rsidR="00000000" w:rsidRDefault="00C1661D">
            <w:pPr>
              <w:spacing w:after="100"/>
              <w:rPr>
                <w:rFonts w:eastAsia="Times New Roman"/>
                <w:sz w:val="20"/>
                <w:szCs w:val="20"/>
              </w:rPr>
            </w:pPr>
          </w:p>
        </w:tc>
        <w:tc>
          <w:tcPr>
            <w:tcW w:w="581" w:type="pct"/>
            <w:vAlign w:val="center"/>
            <w:hideMark/>
          </w:tcPr>
          <w:p w14:paraId="7456D13D" w14:textId="77777777" w:rsidR="00000000" w:rsidRDefault="00C1661D">
            <w:pPr>
              <w:spacing w:after="100"/>
              <w:rPr>
                <w:rFonts w:eastAsia="Times New Roman"/>
                <w:sz w:val="20"/>
                <w:szCs w:val="20"/>
              </w:rPr>
            </w:pPr>
          </w:p>
        </w:tc>
        <w:tc>
          <w:tcPr>
            <w:tcW w:w="5" w:type="pct"/>
            <w:vAlign w:val="center"/>
            <w:hideMark/>
          </w:tcPr>
          <w:p w14:paraId="41A5F5DD" w14:textId="77777777" w:rsidR="00000000" w:rsidRDefault="00C1661D">
            <w:pPr>
              <w:spacing w:after="100"/>
              <w:rPr>
                <w:rFonts w:eastAsia="Times New Roman"/>
                <w:sz w:val="20"/>
                <w:szCs w:val="20"/>
              </w:rPr>
            </w:pPr>
          </w:p>
        </w:tc>
        <w:tc>
          <w:tcPr>
            <w:tcW w:w="5" w:type="pct"/>
            <w:vAlign w:val="center"/>
            <w:hideMark/>
          </w:tcPr>
          <w:p w14:paraId="16D5FDEC" w14:textId="77777777" w:rsidR="00000000" w:rsidRDefault="00C1661D">
            <w:pPr>
              <w:spacing w:after="100"/>
              <w:rPr>
                <w:rFonts w:eastAsia="Times New Roman"/>
                <w:sz w:val="20"/>
                <w:szCs w:val="20"/>
              </w:rPr>
            </w:pPr>
          </w:p>
        </w:tc>
        <w:tc>
          <w:tcPr>
            <w:tcW w:w="26" w:type="pct"/>
            <w:vAlign w:val="center"/>
            <w:hideMark/>
          </w:tcPr>
          <w:p w14:paraId="2A7B0A06" w14:textId="77777777" w:rsidR="00000000" w:rsidRDefault="00C1661D">
            <w:pPr>
              <w:spacing w:after="100"/>
              <w:rPr>
                <w:rFonts w:eastAsia="Times New Roman"/>
                <w:sz w:val="20"/>
                <w:szCs w:val="20"/>
              </w:rPr>
            </w:pPr>
          </w:p>
        </w:tc>
        <w:tc>
          <w:tcPr>
            <w:tcW w:w="5" w:type="pct"/>
            <w:vAlign w:val="center"/>
            <w:hideMark/>
          </w:tcPr>
          <w:p w14:paraId="4D3C4000" w14:textId="77777777" w:rsidR="00000000" w:rsidRDefault="00C1661D">
            <w:pPr>
              <w:spacing w:after="100"/>
              <w:rPr>
                <w:rFonts w:eastAsia="Times New Roman"/>
                <w:sz w:val="20"/>
                <w:szCs w:val="20"/>
              </w:rPr>
            </w:pPr>
          </w:p>
        </w:tc>
        <w:tc>
          <w:tcPr>
            <w:tcW w:w="50" w:type="pct"/>
            <w:vAlign w:val="center"/>
            <w:hideMark/>
          </w:tcPr>
          <w:p w14:paraId="1B702634" w14:textId="77777777" w:rsidR="00000000" w:rsidRDefault="00C1661D">
            <w:pPr>
              <w:spacing w:after="100"/>
              <w:rPr>
                <w:rFonts w:eastAsia="Times New Roman"/>
                <w:sz w:val="20"/>
                <w:szCs w:val="20"/>
              </w:rPr>
            </w:pPr>
          </w:p>
        </w:tc>
        <w:tc>
          <w:tcPr>
            <w:tcW w:w="582" w:type="pct"/>
            <w:vAlign w:val="center"/>
            <w:hideMark/>
          </w:tcPr>
          <w:p w14:paraId="38766970" w14:textId="77777777" w:rsidR="00000000" w:rsidRDefault="00C1661D">
            <w:pPr>
              <w:spacing w:after="100"/>
              <w:rPr>
                <w:rFonts w:eastAsia="Times New Roman"/>
                <w:sz w:val="20"/>
                <w:szCs w:val="20"/>
              </w:rPr>
            </w:pPr>
          </w:p>
        </w:tc>
        <w:tc>
          <w:tcPr>
            <w:tcW w:w="5" w:type="pct"/>
            <w:vAlign w:val="center"/>
            <w:hideMark/>
          </w:tcPr>
          <w:p w14:paraId="31B7D1A5" w14:textId="77777777" w:rsidR="00000000" w:rsidRDefault="00C1661D">
            <w:pPr>
              <w:spacing w:after="100"/>
              <w:rPr>
                <w:rFonts w:eastAsia="Times New Roman"/>
                <w:sz w:val="20"/>
                <w:szCs w:val="20"/>
              </w:rPr>
            </w:pPr>
          </w:p>
        </w:tc>
      </w:tr>
      <w:tr w:rsidR="00000000" w14:paraId="52E5571C" w14:textId="77777777">
        <w:trPr>
          <w:divId w:val="1782728132"/>
        </w:trPr>
        <w:tc>
          <w:tcPr>
            <w:tcW w:w="0" w:type="auto"/>
            <w:gridSpan w:val="3"/>
            <w:tcMar>
              <w:top w:w="0" w:type="dxa"/>
              <w:left w:w="20" w:type="dxa"/>
              <w:bottom w:w="0" w:type="dxa"/>
              <w:right w:w="20" w:type="dxa"/>
            </w:tcMar>
            <w:vAlign w:val="center"/>
            <w:hideMark/>
          </w:tcPr>
          <w:p w14:paraId="3549B81C"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828E49C"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03D717BB"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DB6195A"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7DF78947"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C5A651A" w14:textId="77777777" w:rsidR="00000000" w:rsidRDefault="00C1661D">
            <w:pPr>
              <w:spacing w:after="100"/>
              <w:jc w:val="center"/>
              <w:rPr>
                <w:rFonts w:eastAsia="Times New Roman"/>
              </w:rPr>
            </w:pPr>
            <w:r>
              <w:rPr>
                <w:rFonts w:eastAsia="Times New Roman"/>
                <w:color w:val="000000"/>
                <w:sz w:val="20"/>
                <w:szCs w:val="20"/>
              </w:rPr>
              <w:t>2020</w:t>
            </w:r>
          </w:p>
        </w:tc>
      </w:tr>
      <w:tr w:rsidR="00000000" w14:paraId="02FCC596" w14:textId="77777777">
        <w:trPr>
          <w:divId w:val="1782728132"/>
        </w:trPr>
        <w:tc>
          <w:tcPr>
            <w:tcW w:w="0" w:type="auto"/>
            <w:gridSpan w:val="3"/>
            <w:shd w:val="clear" w:color="auto" w:fill="CCEEFF"/>
            <w:tcMar>
              <w:top w:w="30" w:type="dxa"/>
              <w:left w:w="20" w:type="dxa"/>
              <w:bottom w:w="30" w:type="dxa"/>
              <w:right w:w="20" w:type="dxa"/>
            </w:tcMar>
            <w:vAlign w:val="bottom"/>
            <w:hideMark/>
          </w:tcPr>
          <w:p w14:paraId="434B9DA5" w14:textId="77777777" w:rsidR="00000000" w:rsidRDefault="00C1661D">
            <w:pPr>
              <w:spacing w:after="100"/>
              <w:rPr>
                <w:rFonts w:eastAsia="Times New Roman"/>
              </w:rPr>
            </w:pPr>
            <w:r>
              <w:rPr>
                <w:rFonts w:eastAsia="Times New Roman"/>
                <w:color w:val="000000"/>
                <w:sz w:val="20"/>
                <w:szCs w:val="20"/>
              </w:rPr>
              <w:t>Finance charges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EB9FE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6330E5" w14:textId="77777777" w:rsidR="00000000" w:rsidRDefault="00C1661D">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57AD4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0B405"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271BA1"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5BB40C" w14:textId="77777777" w:rsidR="00000000" w:rsidRDefault="00C1661D">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1711E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172AE2"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D4D0A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558B7C" w14:textId="77777777" w:rsidR="00000000" w:rsidRDefault="00C1661D">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D4CE57" w14:textId="77777777" w:rsidR="00000000" w:rsidRDefault="00C1661D">
            <w:pPr>
              <w:spacing w:after="100"/>
              <w:jc w:val="right"/>
              <w:rPr>
                <w:rFonts w:eastAsia="Times New Roman"/>
              </w:rPr>
            </w:pPr>
          </w:p>
        </w:tc>
      </w:tr>
      <w:tr w:rsidR="00000000" w14:paraId="03B34596" w14:textId="77777777">
        <w:trPr>
          <w:divId w:val="1782728132"/>
        </w:trPr>
        <w:tc>
          <w:tcPr>
            <w:tcW w:w="0" w:type="auto"/>
            <w:gridSpan w:val="3"/>
            <w:vAlign w:val="center"/>
            <w:hideMark/>
          </w:tcPr>
          <w:p w14:paraId="3634C723" w14:textId="77777777" w:rsidR="00000000" w:rsidRDefault="00C1661D">
            <w:pPr>
              <w:spacing w:after="100"/>
              <w:jc w:val="right"/>
              <w:rPr>
                <w:rFonts w:eastAsia="Times New Roman"/>
                <w:sz w:val="20"/>
                <w:szCs w:val="20"/>
              </w:rPr>
            </w:pPr>
          </w:p>
        </w:tc>
        <w:tc>
          <w:tcPr>
            <w:tcW w:w="0" w:type="auto"/>
            <w:gridSpan w:val="3"/>
            <w:vAlign w:val="center"/>
            <w:hideMark/>
          </w:tcPr>
          <w:p w14:paraId="21C853AC" w14:textId="77777777" w:rsidR="00000000" w:rsidRDefault="00C1661D">
            <w:pPr>
              <w:spacing w:after="100"/>
              <w:rPr>
                <w:rFonts w:eastAsia="Times New Roman"/>
                <w:sz w:val="20"/>
                <w:szCs w:val="20"/>
              </w:rPr>
            </w:pPr>
          </w:p>
        </w:tc>
        <w:tc>
          <w:tcPr>
            <w:tcW w:w="0" w:type="auto"/>
            <w:gridSpan w:val="3"/>
            <w:vAlign w:val="center"/>
            <w:hideMark/>
          </w:tcPr>
          <w:p w14:paraId="1D3EC2AE" w14:textId="77777777" w:rsidR="00000000" w:rsidRDefault="00C1661D">
            <w:pPr>
              <w:spacing w:after="100"/>
              <w:rPr>
                <w:rFonts w:eastAsia="Times New Roman"/>
                <w:sz w:val="20"/>
                <w:szCs w:val="20"/>
              </w:rPr>
            </w:pPr>
          </w:p>
        </w:tc>
        <w:tc>
          <w:tcPr>
            <w:tcW w:w="0" w:type="auto"/>
            <w:gridSpan w:val="3"/>
            <w:vAlign w:val="center"/>
            <w:hideMark/>
          </w:tcPr>
          <w:p w14:paraId="0BBF54D9" w14:textId="77777777" w:rsidR="00000000" w:rsidRDefault="00C1661D">
            <w:pPr>
              <w:spacing w:after="100"/>
              <w:rPr>
                <w:rFonts w:eastAsia="Times New Roman"/>
                <w:sz w:val="20"/>
                <w:szCs w:val="20"/>
              </w:rPr>
            </w:pPr>
          </w:p>
        </w:tc>
        <w:tc>
          <w:tcPr>
            <w:tcW w:w="0" w:type="auto"/>
            <w:gridSpan w:val="3"/>
            <w:vAlign w:val="center"/>
            <w:hideMark/>
          </w:tcPr>
          <w:p w14:paraId="4626AED2" w14:textId="77777777" w:rsidR="00000000" w:rsidRDefault="00C1661D">
            <w:pPr>
              <w:spacing w:after="100"/>
              <w:rPr>
                <w:rFonts w:eastAsia="Times New Roman"/>
                <w:sz w:val="20"/>
                <w:szCs w:val="20"/>
              </w:rPr>
            </w:pPr>
          </w:p>
        </w:tc>
        <w:tc>
          <w:tcPr>
            <w:tcW w:w="0" w:type="auto"/>
            <w:gridSpan w:val="3"/>
            <w:vAlign w:val="center"/>
            <w:hideMark/>
          </w:tcPr>
          <w:p w14:paraId="550D8BA6" w14:textId="77777777" w:rsidR="00000000" w:rsidRDefault="00C1661D">
            <w:pPr>
              <w:spacing w:after="100"/>
              <w:rPr>
                <w:rFonts w:eastAsia="Times New Roman"/>
                <w:sz w:val="20"/>
                <w:szCs w:val="20"/>
              </w:rPr>
            </w:pPr>
          </w:p>
        </w:tc>
      </w:tr>
      <w:tr w:rsidR="00000000" w14:paraId="42D11157" w14:textId="77777777">
        <w:trPr>
          <w:divId w:val="1782728132"/>
        </w:trPr>
        <w:tc>
          <w:tcPr>
            <w:tcW w:w="0" w:type="auto"/>
            <w:gridSpan w:val="3"/>
            <w:shd w:val="clear" w:color="auto" w:fill="FFFFFF"/>
            <w:tcMar>
              <w:top w:w="30" w:type="dxa"/>
              <w:left w:w="20" w:type="dxa"/>
              <w:bottom w:w="30" w:type="dxa"/>
              <w:right w:w="20" w:type="dxa"/>
            </w:tcMar>
            <w:vAlign w:val="bottom"/>
            <w:hideMark/>
          </w:tcPr>
          <w:p w14:paraId="0F813CA6" w14:textId="77777777" w:rsidR="00000000" w:rsidRDefault="00C1661D">
            <w:pPr>
              <w:spacing w:after="100"/>
              <w:rPr>
                <w:rFonts w:eastAsia="Times New Roman"/>
              </w:rPr>
            </w:pPr>
            <w:r>
              <w:rPr>
                <w:rFonts w:eastAsia="Times New Roman"/>
                <w:color w:val="000000"/>
                <w:sz w:val="20"/>
                <w:szCs w:val="20"/>
              </w:rPr>
              <w:t>Gains on sales of fixed assets, net</w:t>
            </w:r>
          </w:p>
        </w:tc>
        <w:tc>
          <w:tcPr>
            <w:tcW w:w="0" w:type="auto"/>
            <w:gridSpan w:val="2"/>
            <w:shd w:val="clear" w:color="auto" w:fill="FFFFFF"/>
            <w:tcMar>
              <w:top w:w="30" w:type="dxa"/>
              <w:left w:w="20" w:type="dxa"/>
              <w:bottom w:w="30" w:type="dxa"/>
              <w:right w:w="0" w:type="dxa"/>
            </w:tcMar>
            <w:vAlign w:val="bottom"/>
            <w:hideMark/>
          </w:tcPr>
          <w:p w14:paraId="6C0065C6" w14:textId="77777777" w:rsidR="00000000" w:rsidRDefault="00C1661D">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664D42F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0F804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BA2A79" w14:textId="77777777" w:rsidR="00000000" w:rsidRDefault="00C1661D">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7EFC1A4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90A1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549DDF" w14:textId="77777777" w:rsidR="00000000" w:rsidRDefault="00C1661D">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45395079" w14:textId="77777777" w:rsidR="00000000" w:rsidRDefault="00C1661D">
            <w:pPr>
              <w:spacing w:after="100"/>
              <w:jc w:val="right"/>
              <w:rPr>
                <w:rFonts w:eastAsia="Times New Roman"/>
              </w:rPr>
            </w:pPr>
          </w:p>
        </w:tc>
      </w:tr>
      <w:tr w:rsidR="00000000" w14:paraId="5FD7D02A" w14:textId="77777777">
        <w:trPr>
          <w:divId w:val="1782728132"/>
        </w:trPr>
        <w:tc>
          <w:tcPr>
            <w:tcW w:w="0" w:type="auto"/>
            <w:gridSpan w:val="3"/>
            <w:shd w:val="clear" w:color="auto" w:fill="CCEEFF"/>
            <w:tcMar>
              <w:top w:w="30" w:type="dxa"/>
              <w:left w:w="20" w:type="dxa"/>
              <w:bottom w:w="30" w:type="dxa"/>
              <w:right w:w="20" w:type="dxa"/>
            </w:tcMar>
            <w:vAlign w:val="bottom"/>
            <w:hideMark/>
          </w:tcPr>
          <w:p w14:paraId="69931935" w14:textId="77777777" w:rsidR="00000000" w:rsidRDefault="00C1661D">
            <w:pPr>
              <w:spacing w:after="100"/>
              <w:rPr>
                <w:rFonts w:eastAsia="Times New Roman"/>
              </w:rPr>
            </w:pPr>
            <w:r>
              <w:rPr>
                <w:rFonts w:eastAsia="Times New Roman"/>
                <w:color w:val="000000"/>
                <w:sz w:val="20"/>
                <w:szCs w:val="20"/>
              </w:rPr>
              <w:t>Gain on early derivative termination</w:t>
            </w:r>
          </w:p>
        </w:tc>
        <w:tc>
          <w:tcPr>
            <w:tcW w:w="0" w:type="auto"/>
            <w:gridSpan w:val="2"/>
            <w:shd w:val="clear" w:color="auto" w:fill="CCEEFF"/>
            <w:tcMar>
              <w:top w:w="30" w:type="dxa"/>
              <w:left w:w="20" w:type="dxa"/>
              <w:bottom w:w="30" w:type="dxa"/>
              <w:right w:w="0" w:type="dxa"/>
            </w:tcMar>
            <w:vAlign w:val="bottom"/>
            <w:hideMark/>
          </w:tcPr>
          <w:p w14:paraId="4B3B07F4"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2AD059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C458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C507F0" w14:textId="77777777" w:rsidR="00000000" w:rsidRDefault="00C1661D">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50CE7A9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42158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409CA2"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C5BC5A" w14:textId="77777777" w:rsidR="00000000" w:rsidRDefault="00C1661D">
            <w:pPr>
              <w:spacing w:after="100"/>
              <w:jc w:val="right"/>
              <w:rPr>
                <w:rFonts w:eastAsia="Times New Roman"/>
              </w:rPr>
            </w:pPr>
          </w:p>
        </w:tc>
      </w:tr>
      <w:tr w:rsidR="00000000" w14:paraId="22FB169E" w14:textId="77777777">
        <w:trPr>
          <w:divId w:val="1782728132"/>
        </w:trPr>
        <w:tc>
          <w:tcPr>
            <w:tcW w:w="0" w:type="auto"/>
            <w:gridSpan w:val="3"/>
            <w:shd w:val="clear" w:color="auto" w:fill="FFFFFF"/>
            <w:tcMar>
              <w:top w:w="30" w:type="dxa"/>
              <w:left w:w="20" w:type="dxa"/>
              <w:bottom w:w="30" w:type="dxa"/>
              <w:right w:w="20" w:type="dxa"/>
            </w:tcMar>
            <w:vAlign w:val="bottom"/>
            <w:hideMark/>
          </w:tcPr>
          <w:p w14:paraId="7559C4AE" w14:textId="77777777" w:rsidR="00000000" w:rsidRDefault="00C1661D">
            <w:pPr>
              <w:spacing w:after="100"/>
              <w:rPr>
                <w:rFonts w:eastAsia="Times New Roman"/>
              </w:rPr>
            </w:pPr>
            <w:r>
              <w:rPr>
                <w:rFonts w:eastAsia="Times New Roman"/>
                <w:color w:val="000000"/>
                <w:sz w:val="20"/>
                <w:szCs w:val="20"/>
              </w:rPr>
              <w:t>Interest and interest-related income</w:t>
            </w:r>
          </w:p>
        </w:tc>
        <w:tc>
          <w:tcPr>
            <w:tcW w:w="0" w:type="auto"/>
            <w:gridSpan w:val="2"/>
            <w:shd w:val="clear" w:color="auto" w:fill="FFFFFF"/>
            <w:tcMar>
              <w:top w:w="30" w:type="dxa"/>
              <w:left w:w="20" w:type="dxa"/>
              <w:bottom w:w="30" w:type="dxa"/>
              <w:right w:w="0" w:type="dxa"/>
            </w:tcMar>
            <w:vAlign w:val="bottom"/>
            <w:hideMark/>
          </w:tcPr>
          <w:p w14:paraId="0FDB36DB" w14:textId="77777777" w:rsidR="00000000" w:rsidRDefault="00C1661D">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67D43BE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B370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4A07A4"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C13F61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D4D68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37C546"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2A97F768" w14:textId="77777777" w:rsidR="00000000" w:rsidRDefault="00C1661D">
            <w:pPr>
              <w:spacing w:after="100"/>
              <w:jc w:val="right"/>
              <w:rPr>
                <w:rFonts w:eastAsia="Times New Roman"/>
              </w:rPr>
            </w:pPr>
          </w:p>
        </w:tc>
      </w:tr>
      <w:tr w:rsidR="00000000" w14:paraId="37D862FB" w14:textId="77777777">
        <w:trPr>
          <w:divId w:val="1782728132"/>
        </w:trPr>
        <w:tc>
          <w:tcPr>
            <w:tcW w:w="0" w:type="auto"/>
            <w:gridSpan w:val="3"/>
            <w:vAlign w:val="center"/>
            <w:hideMark/>
          </w:tcPr>
          <w:p w14:paraId="159F69F7" w14:textId="77777777" w:rsidR="00000000" w:rsidRDefault="00C1661D">
            <w:pPr>
              <w:spacing w:after="100"/>
              <w:jc w:val="right"/>
              <w:rPr>
                <w:rFonts w:eastAsia="Times New Roman"/>
                <w:sz w:val="20"/>
                <w:szCs w:val="20"/>
              </w:rPr>
            </w:pPr>
          </w:p>
        </w:tc>
        <w:tc>
          <w:tcPr>
            <w:tcW w:w="0" w:type="auto"/>
            <w:gridSpan w:val="3"/>
            <w:vAlign w:val="center"/>
            <w:hideMark/>
          </w:tcPr>
          <w:p w14:paraId="1FB0F5E9" w14:textId="77777777" w:rsidR="00000000" w:rsidRDefault="00C1661D">
            <w:pPr>
              <w:spacing w:after="100"/>
              <w:rPr>
                <w:rFonts w:eastAsia="Times New Roman"/>
                <w:sz w:val="20"/>
                <w:szCs w:val="20"/>
              </w:rPr>
            </w:pPr>
          </w:p>
        </w:tc>
        <w:tc>
          <w:tcPr>
            <w:tcW w:w="0" w:type="auto"/>
            <w:gridSpan w:val="3"/>
            <w:vAlign w:val="center"/>
            <w:hideMark/>
          </w:tcPr>
          <w:p w14:paraId="62D6A291" w14:textId="77777777" w:rsidR="00000000" w:rsidRDefault="00C1661D">
            <w:pPr>
              <w:spacing w:after="100"/>
              <w:rPr>
                <w:rFonts w:eastAsia="Times New Roman"/>
                <w:sz w:val="20"/>
                <w:szCs w:val="20"/>
              </w:rPr>
            </w:pPr>
          </w:p>
        </w:tc>
        <w:tc>
          <w:tcPr>
            <w:tcW w:w="0" w:type="auto"/>
            <w:gridSpan w:val="3"/>
            <w:vAlign w:val="center"/>
            <w:hideMark/>
          </w:tcPr>
          <w:p w14:paraId="5F2773FC" w14:textId="77777777" w:rsidR="00000000" w:rsidRDefault="00C1661D">
            <w:pPr>
              <w:spacing w:after="100"/>
              <w:rPr>
                <w:rFonts w:eastAsia="Times New Roman"/>
                <w:sz w:val="20"/>
                <w:szCs w:val="20"/>
              </w:rPr>
            </w:pPr>
          </w:p>
        </w:tc>
        <w:tc>
          <w:tcPr>
            <w:tcW w:w="0" w:type="auto"/>
            <w:gridSpan w:val="3"/>
            <w:vAlign w:val="center"/>
            <w:hideMark/>
          </w:tcPr>
          <w:p w14:paraId="07996630" w14:textId="77777777" w:rsidR="00000000" w:rsidRDefault="00C1661D">
            <w:pPr>
              <w:spacing w:after="100"/>
              <w:rPr>
                <w:rFonts w:eastAsia="Times New Roman"/>
                <w:sz w:val="20"/>
                <w:szCs w:val="20"/>
              </w:rPr>
            </w:pPr>
          </w:p>
        </w:tc>
        <w:tc>
          <w:tcPr>
            <w:tcW w:w="0" w:type="auto"/>
            <w:gridSpan w:val="3"/>
            <w:vAlign w:val="center"/>
            <w:hideMark/>
          </w:tcPr>
          <w:p w14:paraId="22F1F889" w14:textId="77777777" w:rsidR="00000000" w:rsidRDefault="00C1661D">
            <w:pPr>
              <w:spacing w:after="100"/>
              <w:rPr>
                <w:rFonts w:eastAsia="Times New Roman"/>
                <w:sz w:val="20"/>
                <w:szCs w:val="20"/>
              </w:rPr>
            </w:pPr>
          </w:p>
        </w:tc>
      </w:tr>
      <w:tr w:rsidR="00000000" w14:paraId="79BB4C6C" w14:textId="77777777">
        <w:trPr>
          <w:divId w:val="1782728132"/>
        </w:trPr>
        <w:tc>
          <w:tcPr>
            <w:tcW w:w="0" w:type="auto"/>
            <w:gridSpan w:val="3"/>
            <w:vAlign w:val="center"/>
            <w:hideMark/>
          </w:tcPr>
          <w:p w14:paraId="035A0E67" w14:textId="77777777" w:rsidR="00000000" w:rsidRDefault="00C1661D">
            <w:pPr>
              <w:spacing w:after="100"/>
              <w:rPr>
                <w:rFonts w:eastAsia="Times New Roman"/>
                <w:sz w:val="20"/>
                <w:szCs w:val="20"/>
              </w:rPr>
            </w:pPr>
          </w:p>
        </w:tc>
        <w:tc>
          <w:tcPr>
            <w:tcW w:w="0" w:type="auto"/>
            <w:gridSpan w:val="3"/>
            <w:vAlign w:val="center"/>
            <w:hideMark/>
          </w:tcPr>
          <w:p w14:paraId="30E74961" w14:textId="77777777" w:rsidR="00000000" w:rsidRDefault="00C1661D">
            <w:pPr>
              <w:spacing w:after="100"/>
              <w:rPr>
                <w:rFonts w:eastAsia="Times New Roman"/>
                <w:sz w:val="20"/>
                <w:szCs w:val="20"/>
              </w:rPr>
            </w:pPr>
          </w:p>
        </w:tc>
        <w:tc>
          <w:tcPr>
            <w:tcW w:w="0" w:type="auto"/>
            <w:gridSpan w:val="3"/>
            <w:vAlign w:val="center"/>
            <w:hideMark/>
          </w:tcPr>
          <w:p w14:paraId="33F6DE6A" w14:textId="77777777" w:rsidR="00000000" w:rsidRDefault="00C1661D">
            <w:pPr>
              <w:spacing w:after="100"/>
              <w:rPr>
                <w:rFonts w:eastAsia="Times New Roman"/>
                <w:sz w:val="20"/>
                <w:szCs w:val="20"/>
              </w:rPr>
            </w:pPr>
          </w:p>
        </w:tc>
        <w:tc>
          <w:tcPr>
            <w:tcW w:w="0" w:type="auto"/>
            <w:gridSpan w:val="3"/>
            <w:vAlign w:val="center"/>
            <w:hideMark/>
          </w:tcPr>
          <w:p w14:paraId="20BF499F" w14:textId="77777777" w:rsidR="00000000" w:rsidRDefault="00C1661D">
            <w:pPr>
              <w:spacing w:after="100"/>
              <w:rPr>
                <w:rFonts w:eastAsia="Times New Roman"/>
                <w:sz w:val="20"/>
                <w:szCs w:val="20"/>
              </w:rPr>
            </w:pPr>
          </w:p>
        </w:tc>
        <w:tc>
          <w:tcPr>
            <w:tcW w:w="0" w:type="auto"/>
            <w:gridSpan w:val="3"/>
            <w:vAlign w:val="center"/>
            <w:hideMark/>
          </w:tcPr>
          <w:p w14:paraId="65782CAE" w14:textId="77777777" w:rsidR="00000000" w:rsidRDefault="00C1661D">
            <w:pPr>
              <w:spacing w:after="100"/>
              <w:rPr>
                <w:rFonts w:eastAsia="Times New Roman"/>
                <w:sz w:val="20"/>
                <w:szCs w:val="20"/>
              </w:rPr>
            </w:pPr>
          </w:p>
        </w:tc>
        <w:tc>
          <w:tcPr>
            <w:tcW w:w="0" w:type="auto"/>
            <w:gridSpan w:val="3"/>
            <w:vAlign w:val="center"/>
            <w:hideMark/>
          </w:tcPr>
          <w:p w14:paraId="4E56F9D5" w14:textId="77777777" w:rsidR="00000000" w:rsidRDefault="00C1661D">
            <w:pPr>
              <w:spacing w:after="100"/>
              <w:rPr>
                <w:rFonts w:eastAsia="Times New Roman"/>
                <w:sz w:val="20"/>
                <w:szCs w:val="20"/>
              </w:rPr>
            </w:pPr>
          </w:p>
        </w:tc>
      </w:tr>
      <w:tr w:rsidR="00000000" w14:paraId="398AA339" w14:textId="77777777">
        <w:trPr>
          <w:divId w:val="1782728132"/>
        </w:trPr>
        <w:tc>
          <w:tcPr>
            <w:tcW w:w="0" w:type="auto"/>
            <w:gridSpan w:val="3"/>
            <w:vAlign w:val="center"/>
            <w:hideMark/>
          </w:tcPr>
          <w:p w14:paraId="216FC897" w14:textId="77777777" w:rsidR="00000000" w:rsidRDefault="00C1661D">
            <w:pPr>
              <w:spacing w:after="100"/>
              <w:rPr>
                <w:rFonts w:eastAsia="Times New Roman"/>
                <w:sz w:val="20"/>
                <w:szCs w:val="20"/>
              </w:rPr>
            </w:pPr>
          </w:p>
        </w:tc>
        <w:tc>
          <w:tcPr>
            <w:tcW w:w="0" w:type="auto"/>
            <w:gridSpan w:val="3"/>
            <w:vAlign w:val="center"/>
            <w:hideMark/>
          </w:tcPr>
          <w:p w14:paraId="586F1E59" w14:textId="77777777" w:rsidR="00000000" w:rsidRDefault="00C1661D">
            <w:pPr>
              <w:spacing w:after="100"/>
              <w:rPr>
                <w:rFonts w:eastAsia="Times New Roman"/>
                <w:sz w:val="20"/>
                <w:szCs w:val="20"/>
              </w:rPr>
            </w:pPr>
          </w:p>
        </w:tc>
        <w:tc>
          <w:tcPr>
            <w:tcW w:w="0" w:type="auto"/>
            <w:gridSpan w:val="3"/>
            <w:vAlign w:val="center"/>
            <w:hideMark/>
          </w:tcPr>
          <w:p w14:paraId="39EC1FD6" w14:textId="77777777" w:rsidR="00000000" w:rsidRDefault="00C1661D">
            <w:pPr>
              <w:spacing w:after="100"/>
              <w:rPr>
                <w:rFonts w:eastAsia="Times New Roman"/>
                <w:sz w:val="20"/>
                <w:szCs w:val="20"/>
              </w:rPr>
            </w:pPr>
          </w:p>
        </w:tc>
        <w:tc>
          <w:tcPr>
            <w:tcW w:w="0" w:type="auto"/>
            <w:gridSpan w:val="3"/>
            <w:vAlign w:val="center"/>
            <w:hideMark/>
          </w:tcPr>
          <w:p w14:paraId="328E36F9" w14:textId="77777777" w:rsidR="00000000" w:rsidRDefault="00C1661D">
            <w:pPr>
              <w:spacing w:after="100"/>
              <w:rPr>
                <w:rFonts w:eastAsia="Times New Roman"/>
                <w:sz w:val="20"/>
                <w:szCs w:val="20"/>
              </w:rPr>
            </w:pPr>
          </w:p>
        </w:tc>
        <w:tc>
          <w:tcPr>
            <w:tcW w:w="0" w:type="auto"/>
            <w:gridSpan w:val="3"/>
            <w:vAlign w:val="center"/>
            <w:hideMark/>
          </w:tcPr>
          <w:p w14:paraId="14DFCD52" w14:textId="77777777" w:rsidR="00000000" w:rsidRDefault="00C1661D">
            <w:pPr>
              <w:spacing w:after="100"/>
              <w:rPr>
                <w:rFonts w:eastAsia="Times New Roman"/>
                <w:sz w:val="20"/>
                <w:szCs w:val="20"/>
              </w:rPr>
            </w:pPr>
          </w:p>
        </w:tc>
        <w:tc>
          <w:tcPr>
            <w:tcW w:w="0" w:type="auto"/>
            <w:gridSpan w:val="3"/>
            <w:vAlign w:val="center"/>
            <w:hideMark/>
          </w:tcPr>
          <w:p w14:paraId="68D4749D" w14:textId="77777777" w:rsidR="00000000" w:rsidRDefault="00C1661D">
            <w:pPr>
              <w:spacing w:after="100"/>
              <w:rPr>
                <w:rFonts w:eastAsia="Times New Roman"/>
                <w:sz w:val="20"/>
                <w:szCs w:val="20"/>
              </w:rPr>
            </w:pPr>
          </w:p>
        </w:tc>
      </w:tr>
      <w:tr w:rsidR="00000000" w14:paraId="7BD03A32" w14:textId="77777777">
        <w:trPr>
          <w:divId w:val="1782728132"/>
        </w:trPr>
        <w:tc>
          <w:tcPr>
            <w:tcW w:w="0" w:type="auto"/>
            <w:gridSpan w:val="3"/>
            <w:shd w:val="clear" w:color="auto" w:fill="CCEEFF"/>
            <w:tcMar>
              <w:top w:w="30" w:type="dxa"/>
              <w:left w:w="20" w:type="dxa"/>
              <w:bottom w:w="30" w:type="dxa"/>
              <w:right w:w="20" w:type="dxa"/>
            </w:tcMar>
            <w:vAlign w:val="bottom"/>
            <w:hideMark/>
          </w:tcPr>
          <w:p w14:paraId="16A482AC" w14:textId="77777777" w:rsidR="00000000" w:rsidRDefault="00C1661D">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14:paraId="4035C678" w14:textId="77777777" w:rsidR="00000000" w:rsidRDefault="00C1661D">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14:paraId="6A0BB61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55A20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35517E"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8400A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1AC5A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1CE16B" w14:textId="77777777" w:rsidR="00000000" w:rsidRDefault="00C1661D">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7E00B297" w14:textId="77777777" w:rsidR="00000000" w:rsidRDefault="00C1661D">
            <w:pPr>
              <w:spacing w:after="100"/>
              <w:jc w:val="right"/>
              <w:rPr>
                <w:rFonts w:eastAsia="Times New Roman"/>
              </w:rPr>
            </w:pPr>
          </w:p>
        </w:tc>
      </w:tr>
      <w:tr w:rsidR="00000000" w14:paraId="324DDDE0" w14:textId="77777777">
        <w:trPr>
          <w:divId w:val="1782728132"/>
        </w:trPr>
        <w:tc>
          <w:tcPr>
            <w:tcW w:w="0" w:type="auto"/>
            <w:gridSpan w:val="3"/>
            <w:shd w:val="clear" w:color="auto" w:fill="FFFFFF"/>
            <w:tcMar>
              <w:top w:w="30" w:type="dxa"/>
              <w:left w:w="20" w:type="dxa"/>
              <w:bottom w:w="30" w:type="dxa"/>
              <w:right w:w="20" w:type="dxa"/>
            </w:tcMar>
            <w:vAlign w:val="bottom"/>
            <w:hideMark/>
          </w:tcPr>
          <w:p w14:paraId="7E558D5E" w14:textId="77777777" w:rsidR="00000000" w:rsidRDefault="00C1661D">
            <w:pPr>
              <w:spacing w:after="100"/>
              <w:rPr>
                <w:rFonts w:eastAsia="Times New Roman"/>
              </w:rPr>
            </w:pPr>
            <w:r>
              <w:rPr>
                <w:rFonts w:eastAsia="Times New Roman"/>
                <w:color w:val="000000"/>
                <w:sz w:val="20"/>
                <w:szCs w:val="20"/>
              </w:rPr>
              <w:t>Total other operating income,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1D3D1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3BCA100" w14:textId="77777777" w:rsidR="00000000" w:rsidRDefault="00C1661D">
            <w:pPr>
              <w:spacing w:after="100"/>
              <w:jc w:val="right"/>
              <w:rPr>
                <w:rFonts w:eastAsia="Times New Roman"/>
              </w:rPr>
            </w:pPr>
            <w:r>
              <w:rPr>
                <w:rFonts w:eastAsia="Times New Roman"/>
                <w:color w:val="000000"/>
                <w:sz w:val="20"/>
                <w:szCs w:val="20"/>
              </w:rPr>
              <w:t>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793F1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7610C7"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6E576A"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41C7566" w14:textId="77777777" w:rsidR="00000000" w:rsidRDefault="00C1661D">
            <w:pPr>
              <w:spacing w:after="100"/>
              <w:jc w:val="right"/>
              <w:rPr>
                <w:rFonts w:eastAsia="Times New Roman"/>
              </w:rPr>
            </w:pPr>
            <w:r>
              <w:rPr>
                <w:rFonts w:eastAsia="Times New Roman"/>
                <w:color w:val="000000"/>
                <w:sz w:val="20"/>
                <w:szCs w:val="20"/>
              </w:rPr>
              <w:t>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D06F2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44B4E9"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3DD19A5"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2DC854" w14:textId="77777777" w:rsidR="00000000" w:rsidRDefault="00C1661D">
            <w:pPr>
              <w:spacing w:after="100"/>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6AFBE1" w14:textId="77777777" w:rsidR="00000000" w:rsidRDefault="00C1661D">
            <w:pPr>
              <w:spacing w:after="100"/>
              <w:jc w:val="right"/>
              <w:rPr>
                <w:rFonts w:eastAsia="Times New Roman"/>
              </w:rPr>
            </w:pPr>
          </w:p>
        </w:tc>
      </w:tr>
    </w:tbl>
    <w:p w14:paraId="7045ACDE" w14:textId="77777777" w:rsidR="00000000" w:rsidRDefault="00C1661D">
      <w:pPr>
        <w:divId w:val="364794832"/>
        <w:rPr>
          <w:rFonts w:eastAsia="Times New Roman"/>
        </w:rPr>
      </w:pPr>
    </w:p>
    <w:p w14:paraId="3C05C054" w14:textId="77777777" w:rsidR="00000000" w:rsidRDefault="00C1661D">
      <w:pPr>
        <w:divId w:val="50274443"/>
        <w:rPr>
          <w:rFonts w:eastAsia="Times New Roman"/>
        </w:rPr>
      </w:pPr>
      <w:r>
        <w:rPr>
          <w:rFonts w:eastAsia="Times New Roman"/>
          <w:b/>
          <w:bCs/>
          <w:color w:val="000000"/>
          <w:sz w:val="20"/>
          <w:szCs w:val="20"/>
        </w:rPr>
        <w:t xml:space="preserve">Other Non-Operating Income (Expense), Net </w:t>
      </w:r>
    </w:p>
    <w:p w14:paraId="43B01DC6" w14:textId="77777777" w:rsidR="00000000" w:rsidRDefault="00C1661D">
      <w:pPr>
        <w:jc w:val="both"/>
        <w:divId w:val="229459211"/>
        <w:rPr>
          <w:rFonts w:eastAsia="Times New Roman"/>
        </w:rPr>
      </w:pPr>
      <w:r>
        <w:rPr>
          <w:rFonts w:eastAsia="Times New Roman"/>
          <w:color w:val="000000"/>
          <w:sz w:val="20"/>
          <w:szCs w:val="20"/>
        </w:rPr>
        <w:t>Other non-operating income (expense), net comprises the following:</w:t>
      </w:r>
    </w:p>
    <w:tbl>
      <w:tblPr>
        <w:tblW w:w="4970" w:type="pct"/>
        <w:jc w:val="center"/>
        <w:tblCellMar>
          <w:top w:w="15" w:type="dxa"/>
          <w:left w:w="15" w:type="dxa"/>
          <w:bottom w:w="15" w:type="dxa"/>
          <w:right w:w="15" w:type="dxa"/>
        </w:tblCellMar>
        <w:tblLook w:val="04A0" w:firstRow="1" w:lastRow="0" w:firstColumn="1" w:lastColumn="0" w:noHBand="0" w:noVBand="1"/>
      </w:tblPr>
      <w:tblGrid>
        <w:gridCol w:w="39"/>
        <w:gridCol w:w="4826"/>
        <w:gridCol w:w="38"/>
        <w:gridCol w:w="121"/>
        <w:gridCol w:w="916"/>
        <w:gridCol w:w="36"/>
        <w:gridCol w:w="36"/>
        <w:gridCol w:w="36"/>
        <w:gridCol w:w="36"/>
        <w:gridCol w:w="121"/>
        <w:gridCol w:w="875"/>
        <w:gridCol w:w="36"/>
        <w:gridCol w:w="36"/>
        <w:gridCol w:w="36"/>
        <w:gridCol w:w="36"/>
        <w:gridCol w:w="120"/>
        <w:gridCol w:w="876"/>
        <w:gridCol w:w="36"/>
      </w:tblGrid>
      <w:tr w:rsidR="00000000" w14:paraId="324EB551" w14:textId="77777777">
        <w:trPr>
          <w:divId w:val="1965118508"/>
          <w:jc w:val="center"/>
        </w:trPr>
        <w:tc>
          <w:tcPr>
            <w:tcW w:w="50" w:type="pct"/>
            <w:vAlign w:val="center"/>
            <w:hideMark/>
          </w:tcPr>
          <w:p w14:paraId="567304CD" w14:textId="77777777" w:rsidR="00000000" w:rsidRDefault="00C1661D">
            <w:pPr>
              <w:jc w:val="both"/>
              <w:rPr>
                <w:rFonts w:eastAsia="Times New Roman"/>
              </w:rPr>
            </w:pPr>
          </w:p>
        </w:tc>
        <w:tc>
          <w:tcPr>
            <w:tcW w:w="2952" w:type="pct"/>
            <w:vAlign w:val="center"/>
            <w:hideMark/>
          </w:tcPr>
          <w:p w14:paraId="158C1E71" w14:textId="77777777" w:rsidR="00000000" w:rsidRDefault="00C1661D">
            <w:pPr>
              <w:spacing w:after="100"/>
              <w:rPr>
                <w:rFonts w:eastAsia="Times New Roman"/>
                <w:sz w:val="20"/>
                <w:szCs w:val="20"/>
              </w:rPr>
            </w:pPr>
          </w:p>
        </w:tc>
        <w:tc>
          <w:tcPr>
            <w:tcW w:w="5" w:type="pct"/>
            <w:vAlign w:val="center"/>
            <w:hideMark/>
          </w:tcPr>
          <w:p w14:paraId="3B789318" w14:textId="77777777" w:rsidR="00000000" w:rsidRDefault="00C1661D">
            <w:pPr>
              <w:spacing w:after="100"/>
              <w:rPr>
                <w:rFonts w:eastAsia="Times New Roman"/>
                <w:sz w:val="20"/>
                <w:szCs w:val="20"/>
              </w:rPr>
            </w:pPr>
          </w:p>
        </w:tc>
        <w:tc>
          <w:tcPr>
            <w:tcW w:w="50" w:type="pct"/>
            <w:vAlign w:val="center"/>
            <w:hideMark/>
          </w:tcPr>
          <w:p w14:paraId="1BAFC27B" w14:textId="77777777" w:rsidR="00000000" w:rsidRDefault="00C1661D">
            <w:pPr>
              <w:spacing w:after="100"/>
              <w:rPr>
                <w:rFonts w:eastAsia="Times New Roman"/>
                <w:sz w:val="20"/>
                <w:szCs w:val="20"/>
              </w:rPr>
            </w:pPr>
          </w:p>
        </w:tc>
        <w:tc>
          <w:tcPr>
            <w:tcW w:w="584" w:type="pct"/>
            <w:vAlign w:val="center"/>
            <w:hideMark/>
          </w:tcPr>
          <w:p w14:paraId="40C4BC74" w14:textId="77777777" w:rsidR="00000000" w:rsidRDefault="00C1661D">
            <w:pPr>
              <w:spacing w:after="100"/>
              <w:rPr>
                <w:rFonts w:eastAsia="Times New Roman"/>
                <w:sz w:val="20"/>
                <w:szCs w:val="20"/>
              </w:rPr>
            </w:pPr>
          </w:p>
        </w:tc>
        <w:tc>
          <w:tcPr>
            <w:tcW w:w="5" w:type="pct"/>
            <w:vAlign w:val="center"/>
            <w:hideMark/>
          </w:tcPr>
          <w:p w14:paraId="567E8AD3" w14:textId="77777777" w:rsidR="00000000" w:rsidRDefault="00C1661D">
            <w:pPr>
              <w:spacing w:after="100"/>
              <w:rPr>
                <w:rFonts w:eastAsia="Times New Roman"/>
                <w:sz w:val="20"/>
                <w:szCs w:val="20"/>
              </w:rPr>
            </w:pPr>
          </w:p>
        </w:tc>
        <w:tc>
          <w:tcPr>
            <w:tcW w:w="5" w:type="pct"/>
            <w:vAlign w:val="center"/>
            <w:hideMark/>
          </w:tcPr>
          <w:p w14:paraId="4FA0B4F1" w14:textId="77777777" w:rsidR="00000000" w:rsidRDefault="00C1661D">
            <w:pPr>
              <w:spacing w:after="100"/>
              <w:rPr>
                <w:rFonts w:eastAsia="Times New Roman"/>
                <w:sz w:val="20"/>
                <w:szCs w:val="20"/>
              </w:rPr>
            </w:pPr>
          </w:p>
        </w:tc>
        <w:tc>
          <w:tcPr>
            <w:tcW w:w="26" w:type="pct"/>
            <w:vAlign w:val="center"/>
            <w:hideMark/>
          </w:tcPr>
          <w:p w14:paraId="634A57CB" w14:textId="77777777" w:rsidR="00000000" w:rsidRDefault="00C1661D">
            <w:pPr>
              <w:spacing w:after="100"/>
              <w:rPr>
                <w:rFonts w:eastAsia="Times New Roman"/>
                <w:sz w:val="20"/>
                <w:szCs w:val="20"/>
              </w:rPr>
            </w:pPr>
          </w:p>
        </w:tc>
        <w:tc>
          <w:tcPr>
            <w:tcW w:w="5" w:type="pct"/>
            <w:vAlign w:val="center"/>
            <w:hideMark/>
          </w:tcPr>
          <w:p w14:paraId="3616E335" w14:textId="77777777" w:rsidR="00000000" w:rsidRDefault="00C1661D">
            <w:pPr>
              <w:spacing w:after="100"/>
              <w:rPr>
                <w:rFonts w:eastAsia="Times New Roman"/>
                <w:sz w:val="20"/>
                <w:szCs w:val="20"/>
              </w:rPr>
            </w:pPr>
          </w:p>
        </w:tc>
        <w:tc>
          <w:tcPr>
            <w:tcW w:w="50" w:type="pct"/>
            <w:vAlign w:val="center"/>
            <w:hideMark/>
          </w:tcPr>
          <w:p w14:paraId="271747A4" w14:textId="77777777" w:rsidR="00000000" w:rsidRDefault="00C1661D">
            <w:pPr>
              <w:spacing w:after="100"/>
              <w:rPr>
                <w:rFonts w:eastAsia="Times New Roman"/>
                <w:sz w:val="20"/>
                <w:szCs w:val="20"/>
              </w:rPr>
            </w:pPr>
          </w:p>
        </w:tc>
        <w:tc>
          <w:tcPr>
            <w:tcW w:w="584" w:type="pct"/>
            <w:vAlign w:val="center"/>
            <w:hideMark/>
          </w:tcPr>
          <w:p w14:paraId="43241AD2" w14:textId="77777777" w:rsidR="00000000" w:rsidRDefault="00C1661D">
            <w:pPr>
              <w:spacing w:after="100"/>
              <w:rPr>
                <w:rFonts w:eastAsia="Times New Roman"/>
                <w:sz w:val="20"/>
                <w:szCs w:val="20"/>
              </w:rPr>
            </w:pPr>
          </w:p>
        </w:tc>
        <w:tc>
          <w:tcPr>
            <w:tcW w:w="5" w:type="pct"/>
            <w:vAlign w:val="center"/>
            <w:hideMark/>
          </w:tcPr>
          <w:p w14:paraId="5B25C5A0" w14:textId="77777777" w:rsidR="00000000" w:rsidRDefault="00C1661D">
            <w:pPr>
              <w:spacing w:after="100"/>
              <w:rPr>
                <w:rFonts w:eastAsia="Times New Roman"/>
                <w:sz w:val="20"/>
                <w:szCs w:val="20"/>
              </w:rPr>
            </w:pPr>
          </w:p>
        </w:tc>
        <w:tc>
          <w:tcPr>
            <w:tcW w:w="5" w:type="pct"/>
            <w:vAlign w:val="center"/>
            <w:hideMark/>
          </w:tcPr>
          <w:p w14:paraId="531B7513" w14:textId="77777777" w:rsidR="00000000" w:rsidRDefault="00C1661D">
            <w:pPr>
              <w:spacing w:after="100"/>
              <w:rPr>
                <w:rFonts w:eastAsia="Times New Roman"/>
                <w:sz w:val="20"/>
                <w:szCs w:val="20"/>
              </w:rPr>
            </w:pPr>
          </w:p>
        </w:tc>
        <w:tc>
          <w:tcPr>
            <w:tcW w:w="26" w:type="pct"/>
            <w:vAlign w:val="center"/>
            <w:hideMark/>
          </w:tcPr>
          <w:p w14:paraId="5F672D98" w14:textId="77777777" w:rsidR="00000000" w:rsidRDefault="00C1661D">
            <w:pPr>
              <w:spacing w:after="100"/>
              <w:rPr>
                <w:rFonts w:eastAsia="Times New Roman"/>
                <w:sz w:val="20"/>
                <w:szCs w:val="20"/>
              </w:rPr>
            </w:pPr>
          </w:p>
        </w:tc>
        <w:tc>
          <w:tcPr>
            <w:tcW w:w="5" w:type="pct"/>
            <w:vAlign w:val="center"/>
            <w:hideMark/>
          </w:tcPr>
          <w:p w14:paraId="144D1C4E" w14:textId="77777777" w:rsidR="00000000" w:rsidRDefault="00C1661D">
            <w:pPr>
              <w:spacing w:after="100"/>
              <w:rPr>
                <w:rFonts w:eastAsia="Times New Roman"/>
                <w:sz w:val="20"/>
                <w:szCs w:val="20"/>
              </w:rPr>
            </w:pPr>
          </w:p>
        </w:tc>
        <w:tc>
          <w:tcPr>
            <w:tcW w:w="50" w:type="pct"/>
            <w:vAlign w:val="center"/>
            <w:hideMark/>
          </w:tcPr>
          <w:p w14:paraId="6D438804" w14:textId="77777777" w:rsidR="00000000" w:rsidRDefault="00C1661D">
            <w:pPr>
              <w:spacing w:after="100"/>
              <w:rPr>
                <w:rFonts w:eastAsia="Times New Roman"/>
                <w:sz w:val="20"/>
                <w:szCs w:val="20"/>
              </w:rPr>
            </w:pPr>
          </w:p>
        </w:tc>
        <w:tc>
          <w:tcPr>
            <w:tcW w:w="584" w:type="pct"/>
            <w:vAlign w:val="center"/>
            <w:hideMark/>
          </w:tcPr>
          <w:p w14:paraId="52C5FDAF" w14:textId="77777777" w:rsidR="00000000" w:rsidRDefault="00C1661D">
            <w:pPr>
              <w:spacing w:after="100"/>
              <w:rPr>
                <w:rFonts w:eastAsia="Times New Roman"/>
                <w:sz w:val="20"/>
                <w:szCs w:val="20"/>
              </w:rPr>
            </w:pPr>
          </w:p>
        </w:tc>
        <w:tc>
          <w:tcPr>
            <w:tcW w:w="5" w:type="pct"/>
            <w:vAlign w:val="center"/>
            <w:hideMark/>
          </w:tcPr>
          <w:p w14:paraId="10A202B6" w14:textId="77777777" w:rsidR="00000000" w:rsidRDefault="00C1661D">
            <w:pPr>
              <w:spacing w:after="100"/>
              <w:rPr>
                <w:rFonts w:eastAsia="Times New Roman"/>
                <w:sz w:val="20"/>
                <w:szCs w:val="20"/>
              </w:rPr>
            </w:pPr>
          </w:p>
        </w:tc>
      </w:tr>
      <w:tr w:rsidR="00000000" w14:paraId="263C39FB" w14:textId="77777777">
        <w:trPr>
          <w:divId w:val="1965118508"/>
          <w:jc w:val="center"/>
        </w:trPr>
        <w:tc>
          <w:tcPr>
            <w:tcW w:w="0" w:type="auto"/>
            <w:gridSpan w:val="3"/>
            <w:tcMar>
              <w:top w:w="0" w:type="dxa"/>
              <w:left w:w="20" w:type="dxa"/>
              <w:bottom w:w="0" w:type="dxa"/>
              <w:right w:w="20" w:type="dxa"/>
            </w:tcMar>
            <w:vAlign w:val="center"/>
            <w:hideMark/>
          </w:tcPr>
          <w:p w14:paraId="108EBCEB"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EF24AB4"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4028B23C"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44A6F47"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14:paraId="669BDB92"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44355B9" w14:textId="77777777" w:rsidR="00000000" w:rsidRDefault="00C1661D">
            <w:pPr>
              <w:spacing w:after="100"/>
              <w:jc w:val="center"/>
              <w:rPr>
                <w:rFonts w:eastAsia="Times New Roman"/>
              </w:rPr>
            </w:pPr>
            <w:r>
              <w:rPr>
                <w:rFonts w:eastAsia="Times New Roman"/>
                <w:color w:val="000000"/>
                <w:sz w:val="20"/>
                <w:szCs w:val="20"/>
              </w:rPr>
              <w:t>2020</w:t>
            </w:r>
          </w:p>
        </w:tc>
      </w:tr>
      <w:tr w:rsidR="00000000" w14:paraId="43EF8370" w14:textId="77777777">
        <w:trPr>
          <w:divId w:val="1965118508"/>
          <w:jc w:val="center"/>
        </w:trPr>
        <w:tc>
          <w:tcPr>
            <w:tcW w:w="0" w:type="auto"/>
            <w:gridSpan w:val="3"/>
            <w:shd w:val="clear" w:color="auto" w:fill="CCEEFF"/>
            <w:tcMar>
              <w:top w:w="30" w:type="dxa"/>
              <w:left w:w="20" w:type="dxa"/>
              <w:bottom w:w="30" w:type="dxa"/>
              <w:right w:w="20" w:type="dxa"/>
            </w:tcMar>
            <w:vAlign w:val="bottom"/>
            <w:hideMark/>
          </w:tcPr>
          <w:p w14:paraId="6F890642" w14:textId="77777777" w:rsidR="00000000" w:rsidRDefault="00C1661D">
            <w:pPr>
              <w:spacing w:after="100"/>
              <w:rPr>
                <w:rFonts w:eastAsia="Times New Roman"/>
              </w:rPr>
            </w:pPr>
            <w:r>
              <w:rPr>
                <w:rFonts w:eastAsia="Times New Roman"/>
                <w:color w:val="000000"/>
                <w:sz w:val="20"/>
                <w:szCs w:val="20"/>
              </w:rPr>
              <w:t>Gains (losses) on foreign currency contracts, net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C1F50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E212D8" w14:textId="77777777" w:rsidR="00000000" w:rsidRDefault="00C1661D">
            <w:pPr>
              <w:spacing w:after="100"/>
              <w:jc w:val="right"/>
              <w:rPr>
                <w:rFonts w:eastAsia="Times New Roman"/>
              </w:rPr>
            </w:pPr>
            <w:r>
              <w:rPr>
                <w:rFonts w:eastAsia="Times New Roman"/>
                <w:color w:val="000000"/>
                <w:sz w:val="20"/>
                <w:szCs w:val="20"/>
              </w:rPr>
              <w:t>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F9A15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AF5B46"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4D7003"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CEE5EC" w14:textId="77777777" w:rsidR="00000000" w:rsidRDefault="00C1661D">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578FD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5DD62"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7ACDDF"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38B29C" w14:textId="77777777" w:rsidR="00000000" w:rsidRDefault="00C1661D">
            <w:pPr>
              <w:spacing w:after="100"/>
              <w:jc w:val="right"/>
              <w:rPr>
                <w:rFonts w:eastAsia="Times New Roman"/>
              </w:rPr>
            </w:pPr>
            <w:r>
              <w:rPr>
                <w:rFonts w:eastAsia="Times New Roman"/>
                <w:color w:val="00000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28F944" w14:textId="77777777" w:rsidR="00000000" w:rsidRDefault="00C1661D">
            <w:pPr>
              <w:spacing w:after="100"/>
              <w:jc w:val="right"/>
              <w:rPr>
                <w:rFonts w:eastAsia="Times New Roman"/>
              </w:rPr>
            </w:pPr>
          </w:p>
        </w:tc>
      </w:tr>
      <w:tr w:rsidR="00000000" w14:paraId="1DE5A02C" w14:textId="77777777">
        <w:trPr>
          <w:divId w:val="1965118508"/>
          <w:jc w:val="center"/>
        </w:trPr>
        <w:tc>
          <w:tcPr>
            <w:tcW w:w="0" w:type="auto"/>
            <w:gridSpan w:val="3"/>
            <w:shd w:val="clear" w:color="auto" w:fill="FFFFFF"/>
            <w:tcMar>
              <w:top w:w="30" w:type="dxa"/>
              <w:left w:w="20" w:type="dxa"/>
              <w:bottom w:w="30" w:type="dxa"/>
              <w:right w:w="20" w:type="dxa"/>
            </w:tcMar>
            <w:vAlign w:val="bottom"/>
            <w:hideMark/>
          </w:tcPr>
          <w:p w14:paraId="56924271" w14:textId="77777777" w:rsidR="00000000" w:rsidRDefault="00C1661D">
            <w:pPr>
              <w:spacing w:after="100"/>
              <w:jc w:val="both"/>
              <w:rPr>
                <w:rFonts w:eastAsia="Times New Roman"/>
              </w:rPr>
            </w:pPr>
            <w:r>
              <w:rPr>
                <w:rFonts w:eastAsia="Times New Roman"/>
                <w:color w:val="000000"/>
                <w:sz w:val="20"/>
                <w:szCs w:val="20"/>
              </w:rPr>
              <w:t xml:space="preserve">Amortization of excluded components of certain net investment hedges </w:t>
            </w:r>
          </w:p>
        </w:tc>
        <w:tc>
          <w:tcPr>
            <w:tcW w:w="0" w:type="auto"/>
            <w:gridSpan w:val="2"/>
            <w:shd w:val="clear" w:color="auto" w:fill="FFFFFF"/>
            <w:tcMar>
              <w:top w:w="30" w:type="dxa"/>
              <w:left w:w="20" w:type="dxa"/>
              <w:bottom w:w="30" w:type="dxa"/>
              <w:right w:w="0" w:type="dxa"/>
            </w:tcMar>
            <w:vAlign w:val="bottom"/>
            <w:hideMark/>
          </w:tcPr>
          <w:p w14:paraId="440BD253" w14:textId="77777777" w:rsidR="00000000" w:rsidRDefault="00C1661D">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14909BD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81B5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FEB3D2"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6D4574D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A0A8D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78F054"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CA8AC44" w14:textId="77777777" w:rsidR="00000000" w:rsidRDefault="00C1661D">
            <w:pPr>
              <w:spacing w:after="100"/>
              <w:jc w:val="right"/>
              <w:rPr>
                <w:rFonts w:eastAsia="Times New Roman"/>
              </w:rPr>
            </w:pPr>
          </w:p>
        </w:tc>
      </w:tr>
      <w:tr w:rsidR="00000000" w14:paraId="3F8D0F21" w14:textId="77777777">
        <w:trPr>
          <w:divId w:val="1965118508"/>
          <w:jc w:val="center"/>
        </w:trPr>
        <w:tc>
          <w:tcPr>
            <w:tcW w:w="0" w:type="auto"/>
            <w:gridSpan w:val="3"/>
            <w:shd w:val="clear" w:color="auto" w:fill="CCEEFF"/>
            <w:tcMar>
              <w:top w:w="30" w:type="dxa"/>
              <w:left w:w="20" w:type="dxa"/>
              <w:bottom w:w="30" w:type="dxa"/>
              <w:right w:w="20" w:type="dxa"/>
            </w:tcMar>
            <w:vAlign w:val="bottom"/>
            <w:hideMark/>
          </w:tcPr>
          <w:p w14:paraId="0D3E6804" w14:textId="77777777" w:rsidR="00000000" w:rsidRDefault="00C1661D">
            <w:pPr>
              <w:spacing w:after="100"/>
              <w:rPr>
                <w:rFonts w:eastAsia="Times New Roman"/>
              </w:rPr>
            </w:pPr>
            <w:r>
              <w:rPr>
                <w:rFonts w:eastAsia="Times New Roman"/>
                <w:color w:val="000000"/>
                <w:sz w:val="20"/>
                <w:szCs w:val="20"/>
              </w:rPr>
              <w:t>Pension and other postretirement plans non-service income, net</w:t>
            </w:r>
          </w:p>
        </w:tc>
        <w:tc>
          <w:tcPr>
            <w:tcW w:w="0" w:type="auto"/>
            <w:gridSpan w:val="2"/>
            <w:shd w:val="clear" w:color="auto" w:fill="CCEEFF"/>
            <w:tcMar>
              <w:top w:w="30" w:type="dxa"/>
              <w:left w:w="20" w:type="dxa"/>
              <w:bottom w:w="30" w:type="dxa"/>
              <w:right w:w="0" w:type="dxa"/>
            </w:tcMar>
            <w:vAlign w:val="bottom"/>
            <w:hideMark/>
          </w:tcPr>
          <w:p w14:paraId="2E29257D" w14:textId="77777777" w:rsidR="00000000" w:rsidRDefault="00C1661D">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7B90038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E51B9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5FD136" w14:textId="77777777" w:rsidR="00000000" w:rsidRDefault="00C1661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74E9D34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5BB37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FFF61A"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F912D8B" w14:textId="77777777" w:rsidR="00000000" w:rsidRDefault="00C1661D">
            <w:pPr>
              <w:spacing w:after="100"/>
              <w:jc w:val="right"/>
              <w:rPr>
                <w:rFonts w:eastAsia="Times New Roman"/>
              </w:rPr>
            </w:pPr>
          </w:p>
        </w:tc>
      </w:tr>
      <w:tr w:rsidR="00000000" w14:paraId="34BCA50F" w14:textId="77777777">
        <w:trPr>
          <w:divId w:val="1965118508"/>
          <w:jc w:val="center"/>
        </w:trPr>
        <w:tc>
          <w:tcPr>
            <w:tcW w:w="0" w:type="auto"/>
            <w:gridSpan w:val="3"/>
            <w:shd w:val="clear" w:color="auto" w:fill="FFFFFF"/>
            <w:tcMar>
              <w:top w:w="30" w:type="dxa"/>
              <w:left w:w="20" w:type="dxa"/>
              <w:bottom w:w="30" w:type="dxa"/>
              <w:right w:w="20" w:type="dxa"/>
            </w:tcMar>
            <w:vAlign w:val="bottom"/>
            <w:hideMark/>
          </w:tcPr>
          <w:p w14:paraId="218A3277" w14:textId="77777777" w:rsidR="00000000" w:rsidRDefault="00C1661D">
            <w:pPr>
              <w:spacing w:after="100"/>
              <w:rPr>
                <w:rFonts w:eastAsia="Times New Roman"/>
              </w:rPr>
            </w:pPr>
            <w:r>
              <w:rPr>
                <w:rFonts w:eastAsia="Times New Roman"/>
                <w:color w:val="000000"/>
                <w:sz w:val="20"/>
                <w:szCs w:val="20"/>
              </w:rPr>
              <w:t>Total other non-operating income (expense),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BED20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8C255E" w14:textId="77777777" w:rsidR="00000000" w:rsidRDefault="00C1661D">
            <w:pPr>
              <w:spacing w:after="100"/>
              <w:jc w:val="right"/>
              <w:rPr>
                <w:rFonts w:eastAsia="Times New Roman"/>
              </w:rPr>
            </w:pPr>
            <w:r>
              <w:rPr>
                <w:rFonts w:eastAsia="Times New Roman"/>
                <w:color w:val="000000"/>
                <w:sz w:val="20"/>
                <w:szCs w:val="20"/>
              </w:rPr>
              <w:t>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82644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4E15E5"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AAAFB5"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239178" w14:textId="77777777" w:rsidR="00000000" w:rsidRDefault="00C1661D">
            <w:pPr>
              <w:spacing w:after="100"/>
              <w:jc w:val="right"/>
              <w:rPr>
                <w:rFonts w:eastAsia="Times New Roman"/>
              </w:rPr>
            </w:pPr>
            <w:r>
              <w:rPr>
                <w:rFonts w:eastAsia="Times New Roman"/>
                <w:color w:val="000000"/>
                <w:sz w:val="20"/>
                <w:szCs w:val="20"/>
              </w:rPr>
              <w:t>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0905AD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FAF247"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2D82C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FE14C8" w14:textId="77777777" w:rsidR="00000000" w:rsidRDefault="00C1661D">
            <w:pPr>
              <w:spacing w:after="100"/>
              <w:jc w:val="right"/>
              <w:rPr>
                <w:rFonts w:eastAsia="Times New Roman"/>
              </w:rPr>
            </w:pPr>
            <w:r>
              <w:rPr>
                <w:rFonts w:eastAsia="Times New Roman"/>
                <w:color w:val="000000"/>
                <w:sz w:val="20"/>
                <w:szCs w:val="20"/>
              </w:rPr>
              <w:t>(20)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70215C" w14:textId="77777777" w:rsidR="00000000" w:rsidRDefault="00C1661D">
            <w:pPr>
              <w:spacing w:after="100"/>
              <w:jc w:val="right"/>
              <w:rPr>
                <w:rFonts w:eastAsia="Times New Roman"/>
              </w:rPr>
            </w:pPr>
          </w:p>
        </w:tc>
      </w:tr>
    </w:tbl>
    <w:p w14:paraId="4414F3BC" w14:textId="77777777" w:rsidR="00000000" w:rsidRDefault="00C1661D">
      <w:pPr>
        <w:jc w:val="both"/>
        <w:divId w:val="1044409796"/>
        <w:rPr>
          <w:rFonts w:eastAsia="Times New Roman"/>
        </w:rPr>
      </w:pPr>
    </w:p>
    <w:p w14:paraId="72D7517B" w14:textId="77777777" w:rsidR="00000000" w:rsidRDefault="00C1661D">
      <w:pPr>
        <w:jc w:val="center"/>
        <w:divId w:val="834029531"/>
        <w:rPr>
          <w:rFonts w:eastAsia="Times New Roman"/>
        </w:rPr>
      </w:pPr>
      <w:r>
        <w:rPr>
          <w:rFonts w:eastAsia="Times New Roman"/>
          <w:color w:val="000000"/>
          <w:sz w:val="20"/>
          <w:szCs w:val="20"/>
        </w:rPr>
        <w:t>F-57</w:t>
      </w:r>
    </w:p>
    <w:p w14:paraId="495DC1E3" w14:textId="77777777" w:rsidR="00000000" w:rsidRDefault="00C1661D">
      <w:pPr>
        <w:rPr>
          <w:rFonts w:eastAsia="Times New Roman"/>
        </w:rPr>
      </w:pPr>
      <w:r>
        <w:rPr>
          <w:rFonts w:eastAsia="Times New Roman"/>
        </w:rPr>
        <w:pict w14:anchorId="7421FA61">
          <v:rect id="_x0000_i1170" style="width:0;height:1.5pt" o:hralign="center" o:hrstd="t" o:hr="t" fillcolor="#a0a0a0" stroked="f"/>
        </w:pict>
      </w:r>
    </w:p>
    <w:p w14:paraId="2CE3F204" w14:textId="77777777" w:rsidR="00000000" w:rsidRDefault="00C1661D">
      <w:pPr>
        <w:divId w:val="1530871068"/>
        <w:rPr>
          <w:rFonts w:eastAsia="Times New Roman"/>
        </w:rPr>
      </w:pPr>
      <w:hyperlink w:anchor="i3850c3c6c0104e42b9951aac2f16098a_7" w:history="1">
        <w:r>
          <w:rPr>
            <w:rStyle w:val="a3"/>
            <w:rFonts w:eastAsia="Times New Roman"/>
            <w:sz w:val="20"/>
            <w:szCs w:val="20"/>
          </w:rPr>
          <w:t>Table of Contents</w:t>
        </w:r>
      </w:hyperlink>
    </w:p>
    <w:p w14:paraId="3FC8410B" w14:textId="77777777" w:rsidR="00000000" w:rsidRDefault="00C1661D">
      <w:pPr>
        <w:divId w:val="91903908"/>
        <w:rPr>
          <w:rFonts w:eastAsia="Times New Roman"/>
        </w:rPr>
      </w:pPr>
      <w:r>
        <w:rPr>
          <w:rFonts w:eastAsia="Times New Roman"/>
          <w:b/>
          <w:bCs/>
          <w:color w:val="000000"/>
          <w:sz w:val="20"/>
          <w:szCs w:val="20"/>
        </w:rPr>
        <w:t>UGI Corporation and Subsidiaries</w:t>
      </w:r>
    </w:p>
    <w:p w14:paraId="007428AE" w14:textId="77777777" w:rsidR="00000000" w:rsidRDefault="00C1661D">
      <w:pPr>
        <w:divId w:val="1646663354"/>
        <w:rPr>
          <w:rFonts w:eastAsia="Times New Roman"/>
        </w:rPr>
      </w:pPr>
      <w:r>
        <w:rPr>
          <w:rFonts w:eastAsia="Times New Roman"/>
          <w:b/>
          <w:bCs/>
          <w:color w:val="000000"/>
          <w:sz w:val="20"/>
          <w:szCs w:val="20"/>
        </w:rPr>
        <w:t>Notes to Consolidated Financial Statements</w:t>
      </w:r>
    </w:p>
    <w:p w14:paraId="03493AFC" w14:textId="77777777" w:rsidR="00000000" w:rsidRDefault="00C1661D">
      <w:pPr>
        <w:divId w:val="1870143831"/>
        <w:rPr>
          <w:rFonts w:eastAsia="Times New Roman"/>
        </w:rPr>
      </w:pPr>
      <w:r>
        <w:rPr>
          <w:rFonts w:eastAsia="Times New Roman"/>
          <w:color w:val="000000"/>
          <w:sz w:val="20"/>
          <w:szCs w:val="20"/>
        </w:rPr>
        <w:t>(Currency in millions, except per share amounts and where indicated otherwise)</w:t>
      </w:r>
    </w:p>
    <w:p w14:paraId="2B6889A0" w14:textId="77777777" w:rsidR="00000000" w:rsidRDefault="00C1661D">
      <w:pPr>
        <w:jc w:val="both"/>
        <w:rPr>
          <w:rFonts w:eastAsia="Times New Roman"/>
        </w:rPr>
      </w:pPr>
      <w:r>
        <w:rPr>
          <w:rFonts w:eastAsia="Times New Roman"/>
          <w:b/>
          <w:bCs/>
          <w:color w:val="000000"/>
          <w:sz w:val="20"/>
          <w:szCs w:val="20"/>
          <w:u w:val="single"/>
        </w:rPr>
        <w:t xml:space="preserve">Note 22 — Equity Method Investments </w:t>
      </w:r>
    </w:p>
    <w:p w14:paraId="64748750" w14:textId="77777777" w:rsidR="00000000" w:rsidRDefault="00C1661D">
      <w:pPr>
        <w:jc w:val="both"/>
        <w:rPr>
          <w:rFonts w:eastAsia="Times New Roman"/>
        </w:rPr>
      </w:pPr>
    </w:p>
    <w:p w14:paraId="657804DB" w14:textId="77777777" w:rsidR="00000000" w:rsidRDefault="00C1661D">
      <w:pPr>
        <w:jc w:val="both"/>
        <w:rPr>
          <w:rFonts w:eastAsia="Times New Roman"/>
        </w:rPr>
      </w:pPr>
      <w:r>
        <w:rPr>
          <w:rFonts w:eastAsia="Times New Roman"/>
          <w:color w:val="000000"/>
          <w:sz w:val="20"/>
          <w:szCs w:val="20"/>
        </w:rPr>
        <w:t>During Fiscal 2022 and Fiscal 2021, the Company’s principal equity method investments comprised Pine Run, Pennant and PennEast which are r</w:t>
      </w:r>
      <w:r>
        <w:rPr>
          <w:rFonts w:eastAsia="Times New Roman"/>
          <w:color w:val="000000"/>
          <w:sz w:val="20"/>
          <w:szCs w:val="20"/>
        </w:rPr>
        <w:t>eflected in our Midstream and Marketing Segment. Our equity method investments are included within “Other assets” on the Consolidated Balance Sheets and totaled $130 and $174 at September 30, 2022 and 2021, respectively.</w:t>
      </w:r>
    </w:p>
    <w:p w14:paraId="485F2039" w14:textId="77777777" w:rsidR="00000000" w:rsidRDefault="00C1661D">
      <w:pPr>
        <w:jc w:val="both"/>
        <w:rPr>
          <w:rFonts w:eastAsia="Times New Roman"/>
        </w:rPr>
      </w:pPr>
    </w:p>
    <w:p w14:paraId="0463FC4F" w14:textId="77777777" w:rsidR="00000000" w:rsidRDefault="00C1661D">
      <w:pPr>
        <w:jc w:val="both"/>
        <w:rPr>
          <w:rFonts w:eastAsia="Times New Roman"/>
        </w:rPr>
      </w:pPr>
      <w:r>
        <w:rPr>
          <w:rFonts w:eastAsia="Times New Roman"/>
          <w:i/>
          <w:iCs/>
          <w:color w:val="000000"/>
          <w:sz w:val="20"/>
          <w:szCs w:val="20"/>
          <w:u w:val="single"/>
          <w:shd w:val="clear" w:color="auto" w:fill="FFFFFF"/>
        </w:rPr>
        <w:t>Pine Run.</w:t>
      </w:r>
      <w:r>
        <w:rPr>
          <w:rFonts w:eastAsia="Times New Roman"/>
          <w:color w:val="000000"/>
          <w:sz w:val="20"/>
          <w:szCs w:val="20"/>
          <w:shd w:val="clear" w:color="auto" w:fill="FFFFFF"/>
        </w:rPr>
        <w:t xml:space="preserve"> The Company has an appr</w:t>
      </w:r>
      <w:r>
        <w:rPr>
          <w:rFonts w:eastAsia="Times New Roman"/>
          <w:color w:val="000000"/>
          <w:sz w:val="20"/>
          <w:szCs w:val="20"/>
          <w:shd w:val="clear" w:color="auto" w:fill="FFFFFF"/>
        </w:rPr>
        <w:t xml:space="preserve">oximately 49% interest in Pine Run, a company jointly owned by Stonehenge Energy Resources and UGI Pine Run, LLC. </w:t>
      </w:r>
      <w:r>
        <w:rPr>
          <w:rFonts w:eastAsia="Times New Roman"/>
          <w:color w:val="000000"/>
          <w:sz w:val="20"/>
          <w:szCs w:val="20"/>
        </w:rPr>
        <w:t>In February 2021, Pine Run, completed the acquisition of Pine Run Midstream, an affiliate of PennEnergy, and minority partners for approximate</w:t>
      </w:r>
      <w:r>
        <w:rPr>
          <w:rFonts w:eastAsia="Times New Roman"/>
          <w:color w:val="000000"/>
          <w:sz w:val="20"/>
          <w:szCs w:val="20"/>
        </w:rPr>
        <w:t>ly $205. The acquisition was funded by cash contributions by UGI Pine Run, LLC and Stonehenge Energy Resources totaling approximately $115, and the issuance by Pine Run of $90 of long-term debt. Pine Run Midstream operates dry gas gathering pipelines and c</w:t>
      </w:r>
      <w:r>
        <w:rPr>
          <w:rFonts w:eastAsia="Times New Roman"/>
          <w:color w:val="000000"/>
          <w:sz w:val="20"/>
          <w:szCs w:val="20"/>
        </w:rPr>
        <w:t xml:space="preserve">ompression assets in western Pennsylvania. Pine Run is accounted for as an equity method investment as we have the ability to exercise significant influence, but not control, over the entity. </w:t>
      </w:r>
      <w:r>
        <w:rPr>
          <w:rFonts w:eastAsia="Times New Roman"/>
          <w:color w:val="000000"/>
          <w:sz w:val="20"/>
          <w:szCs w:val="20"/>
          <w:shd w:val="clear" w:color="auto" w:fill="FFFFFF"/>
        </w:rPr>
        <w:t>The carrying value of our investment in Pine Run at September 30</w:t>
      </w:r>
      <w:r>
        <w:rPr>
          <w:rFonts w:eastAsia="Times New Roman"/>
          <w:color w:val="000000"/>
          <w:sz w:val="20"/>
          <w:szCs w:val="20"/>
          <w:shd w:val="clear" w:color="auto" w:fill="FFFFFF"/>
        </w:rPr>
        <w:t>, 2022 and 2021 was $68 and $60, respectively.</w:t>
      </w:r>
    </w:p>
    <w:p w14:paraId="0AD30EC3" w14:textId="77777777" w:rsidR="00000000" w:rsidRDefault="00C1661D">
      <w:pPr>
        <w:divId w:val="63067477"/>
        <w:rPr>
          <w:rFonts w:eastAsia="Times New Roman"/>
        </w:rPr>
      </w:pPr>
    </w:p>
    <w:p w14:paraId="5DE9FAD2" w14:textId="77777777" w:rsidR="00000000" w:rsidRDefault="00C1661D">
      <w:pPr>
        <w:jc w:val="both"/>
        <w:rPr>
          <w:rFonts w:eastAsia="Times New Roman"/>
        </w:rPr>
      </w:pPr>
      <w:r>
        <w:rPr>
          <w:rFonts w:eastAsia="Times New Roman"/>
          <w:i/>
          <w:iCs/>
          <w:color w:val="000000"/>
          <w:sz w:val="20"/>
          <w:szCs w:val="20"/>
          <w:u w:val="single"/>
          <w:shd w:val="clear" w:color="auto" w:fill="FFFFFF"/>
        </w:rPr>
        <w:t>Pennant</w:t>
      </w:r>
      <w:r>
        <w:rPr>
          <w:rFonts w:eastAsia="Times New Roman"/>
          <w:color w:val="000000"/>
          <w:sz w:val="20"/>
          <w:szCs w:val="20"/>
          <w:u w:val="single"/>
          <w:shd w:val="clear" w:color="auto" w:fill="FFFFFF"/>
        </w:rPr>
        <w:t>.</w:t>
      </w:r>
      <w:r>
        <w:rPr>
          <w:rFonts w:eastAsia="Times New Roman"/>
          <w:color w:val="000000"/>
          <w:sz w:val="20"/>
          <w:szCs w:val="20"/>
          <w:shd w:val="clear" w:color="auto" w:fill="FFFFFF"/>
        </w:rPr>
        <w:t xml:space="preserve"> As of September 30, 2021, Energy Services held a 47% membership interest in Pennant, a natural gas gathering system located in northeast Ohio and western Pennsylvania. In Fiscal 2022, relating to th</w:t>
      </w:r>
      <w:r>
        <w:rPr>
          <w:rFonts w:eastAsia="Times New Roman"/>
          <w:color w:val="000000"/>
          <w:sz w:val="20"/>
          <w:szCs w:val="20"/>
          <w:shd w:val="clear" w:color="auto" w:fill="FFFFFF"/>
        </w:rPr>
        <w:t>e Company’s acquisition of a controlling interest in Pennant, the Company recognized an other-than-temporary pre-tax impairment charge of $44 related to its 47% membership interest, which was recorded in “(Loss) income from equity investees” in the Consoli</w:t>
      </w:r>
      <w:r>
        <w:rPr>
          <w:rFonts w:eastAsia="Times New Roman"/>
          <w:color w:val="000000"/>
          <w:sz w:val="20"/>
          <w:szCs w:val="20"/>
          <w:shd w:val="clear" w:color="auto" w:fill="FFFFFF"/>
        </w:rPr>
        <w:t>dated Statements of Income. The Company acquired the outstanding interest in Pennant d</w:t>
      </w:r>
      <w:r>
        <w:rPr>
          <w:rFonts w:eastAsia="Times New Roman"/>
          <w:color w:val="000000"/>
          <w:sz w:val="20"/>
          <w:szCs w:val="20"/>
        </w:rPr>
        <w:t>uring the fourth quarter of Fiscal 2022. See Note 5 for additional information related to the acquired interest in Pennant. The carrying value of our investment in Pennan</w:t>
      </w:r>
      <w:r>
        <w:rPr>
          <w:rFonts w:eastAsia="Times New Roman"/>
          <w:color w:val="000000"/>
          <w:sz w:val="20"/>
          <w:szCs w:val="20"/>
        </w:rPr>
        <w:t>t at September 30, 2021 was $93.</w:t>
      </w:r>
    </w:p>
    <w:p w14:paraId="74483C07" w14:textId="77777777" w:rsidR="00000000" w:rsidRDefault="00C1661D">
      <w:pPr>
        <w:jc w:val="both"/>
        <w:rPr>
          <w:rFonts w:eastAsia="Times New Roman"/>
        </w:rPr>
      </w:pPr>
    </w:p>
    <w:p w14:paraId="1233CE69" w14:textId="77777777" w:rsidR="00000000" w:rsidRDefault="00C1661D">
      <w:pPr>
        <w:jc w:val="both"/>
        <w:rPr>
          <w:rFonts w:eastAsia="Times New Roman"/>
        </w:rPr>
      </w:pPr>
      <w:r>
        <w:rPr>
          <w:rFonts w:eastAsia="Times New Roman"/>
          <w:i/>
          <w:iCs/>
          <w:color w:val="000000"/>
          <w:sz w:val="20"/>
          <w:szCs w:val="20"/>
          <w:u w:val="single"/>
          <w:shd w:val="clear" w:color="auto" w:fill="FFFFFF"/>
        </w:rPr>
        <w:t>PennEast</w:t>
      </w:r>
      <w:r>
        <w:rPr>
          <w:rFonts w:eastAsia="Times New Roman"/>
          <w:color w:val="000000"/>
          <w:sz w:val="20"/>
          <w:szCs w:val="20"/>
          <w:u w:val="single"/>
          <w:shd w:val="clear" w:color="auto" w:fill="FFFFFF"/>
        </w:rPr>
        <w:t>.</w:t>
      </w:r>
      <w:r>
        <w:rPr>
          <w:rFonts w:eastAsia="Times New Roman"/>
          <w:color w:val="000000"/>
          <w:sz w:val="20"/>
          <w:szCs w:val="20"/>
          <w:shd w:val="clear" w:color="auto" w:fill="FFFFFF"/>
        </w:rPr>
        <w:t xml:space="preserve"> UGI PennEast, LLC and four other members comprising wholly owned subsidiaries of Southern Company, New Jersey Resources, South Jersey Industries, and Enbridge, Inc., each hold a 20% membership interest in PennEa</w:t>
      </w:r>
      <w:r>
        <w:rPr>
          <w:rFonts w:eastAsia="Times New Roman"/>
          <w:color w:val="000000"/>
          <w:sz w:val="20"/>
          <w:szCs w:val="20"/>
          <w:shd w:val="clear" w:color="auto" w:fill="FFFFFF"/>
        </w:rPr>
        <w:t>st. PennEast was formed to construct an approximate 120-mile natural gas pipeline from Luzerne County, Pennsylvania to the Trenton-Woodbury interconnection in New Jersey. PennEast is accounted for as an equity method investment as we have the ability to ex</w:t>
      </w:r>
      <w:r>
        <w:rPr>
          <w:rFonts w:eastAsia="Times New Roman"/>
          <w:color w:val="000000"/>
          <w:sz w:val="20"/>
          <w:szCs w:val="20"/>
          <w:shd w:val="clear" w:color="auto" w:fill="FFFFFF"/>
        </w:rPr>
        <w:t>ercise significant influence, but not control, over PennEast. In September 2019, a panel of the U.S. Court of Appeals for the Third Circuit ruled that New Jersey’s Eleventh Amendment immunity barred PennEast from bringing an eminent domain lawsuit in feder</w:t>
      </w:r>
      <w:r>
        <w:rPr>
          <w:rFonts w:eastAsia="Times New Roman"/>
          <w:color w:val="000000"/>
          <w:sz w:val="20"/>
          <w:szCs w:val="20"/>
          <w:shd w:val="clear" w:color="auto" w:fill="FFFFFF"/>
        </w:rPr>
        <w:t>al court, under the Natural Gas Act, against New Jersey or its agencies. On February 3, 2021, the U.S. Supreme Court issued an order granting PennEast’s petition for a writ of certiorari and the case was argued on April 28, 2021. On June 29, 2021, the U.S.</w:t>
      </w:r>
      <w:r>
        <w:rPr>
          <w:rFonts w:eastAsia="Times New Roman"/>
          <w:color w:val="000000"/>
          <w:sz w:val="20"/>
          <w:szCs w:val="20"/>
          <w:shd w:val="clear" w:color="auto" w:fill="FFFFFF"/>
        </w:rPr>
        <w:t xml:space="preserve"> Supreme Court ruled in favor of PennEast, overturning the Third Circuit’s decision that blocked PennEast from exercising federal eminent domain authority over lands in which a state has property rights interests.</w:t>
      </w:r>
    </w:p>
    <w:p w14:paraId="68823AFA" w14:textId="77777777" w:rsidR="00000000" w:rsidRDefault="00C1661D">
      <w:pPr>
        <w:divId w:val="1320310855"/>
        <w:rPr>
          <w:rFonts w:eastAsia="Times New Roman"/>
        </w:rPr>
      </w:pPr>
    </w:p>
    <w:p w14:paraId="671D88CC" w14:textId="77777777" w:rsidR="00000000" w:rsidRDefault="00C1661D">
      <w:pPr>
        <w:jc w:val="both"/>
        <w:rPr>
          <w:rFonts w:eastAsia="Times New Roman"/>
        </w:rPr>
      </w:pPr>
      <w:r>
        <w:rPr>
          <w:rFonts w:eastAsia="Times New Roman"/>
          <w:color w:val="000000"/>
          <w:sz w:val="20"/>
          <w:szCs w:val="20"/>
          <w:shd w:val="clear" w:color="auto" w:fill="FFFFFF"/>
        </w:rPr>
        <w:t>Following the favorable Supreme Court de</w:t>
      </w:r>
      <w:r>
        <w:rPr>
          <w:rFonts w:eastAsia="Times New Roman"/>
          <w:color w:val="000000"/>
          <w:sz w:val="20"/>
          <w:szCs w:val="20"/>
          <w:shd w:val="clear" w:color="auto" w:fill="FFFFFF"/>
        </w:rPr>
        <w:t>cision, the partners of the PennEast project re-assessed the remaining legal and regulatory contingencies which needed to be resolved before construction could commence. Based on the significant remaining legal challenges and the expected further delays in</w:t>
      </w:r>
      <w:r>
        <w:rPr>
          <w:rFonts w:eastAsia="Times New Roman"/>
          <w:color w:val="000000"/>
          <w:sz w:val="20"/>
          <w:szCs w:val="20"/>
          <w:shd w:val="clear" w:color="auto" w:fill="FFFFFF"/>
        </w:rPr>
        <w:t xml:space="preserve"> obtaining the necessary regulatory approvals, which were preventing the commencement of construction and commercial operation of the project, the Company concluded that its investment in PennEast was impaired at June 30, 2021, and that such impairment was</w:t>
      </w:r>
      <w:r>
        <w:rPr>
          <w:rFonts w:eastAsia="Times New Roman"/>
          <w:color w:val="000000"/>
          <w:sz w:val="20"/>
          <w:szCs w:val="20"/>
          <w:shd w:val="clear" w:color="auto" w:fill="FFFFFF"/>
        </w:rPr>
        <w:t xml:space="preserve"> other-than-temporary. The estimated fair value of the Company’s investment in PennEast was measured using probability-weighted cash flows under an expected present value technique based on management's estimates and assumptions regarding the likelihood of</w:t>
      </w:r>
      <w:r>
        <w:rPr>
          <w:rFonts w:eastAsia="Times New Roman"/>
          <w:color w:val="000000"/>
          <w:sz w:val="20"/>
          <w:szCs w:val="20"/>
          <w:shd w:val="clear" w:color="auto" w:fill="FFFFFF"/>
        </w:rPr>
        <w:t xml:space="preserve"> certain outcomes (and the related timing) that would be used by market participants at the time. </w:t>
      </w:r>
      <w:r>
        <w:rPr>
          <w:rFonts w:eastAsia="Times New Roman"/>
          <w:color w:val="000000"/>
          <w:sz w:val="20"/>
          <w:szCs w:val="20"/>
        </w:rPr>
        <w:t>Based upon this analysis, the Company recognized an other-than-temporary pre-tax impairment charge of $93 in June 2021, which is recorded in “(Loss) income fr</w:t>
      </w:r>
      <w:r>
        <w:rPr>
          <w:rFonts w:eastAsia="Times New Roman"/>
          <w:color w:val="000000"/>
          <w:sz w:val="20"/>
          <w:szCs w:val="20"/>
        </w:rPr>
        <w:t>om equity investees” in the Consolidated Statements of Income.</w:t>
      </w:r>
    </w:p>
    <w:p w14:paraId="7315DD3D" w14:textId="77777777" w:rsidR="00000000" w:rsidRDefault="00C1661D">
      <w:pPr>
        <w:jc w:val="both"/>
        <w:rPr>
          <w:rFonts w:eastAsia="Times New Roman"/>
        </w:rPr>
      </w:pPr>
    </w:p>
    <w:p w14:paraId="28D552EA" w14:textId="77777777" w:rsidR="00000000" w:rsidRDefault="00C1661D">
      <w:pPr>
        <w:jc w:val="both"/>
        <w:rPr>
          <w:rFonts w:eastAsia="Times New Roman"/>
        </w:rPr>
      </w:pPr>
      <w:r>
        <w:rPr>
          <w:rFonts w:eastAsia="Times New Roman"/>
          <w:color w:val="000000"/>
          <w:sz w:val="20"/>
          <w:szCs w:val="20"/>
        </w:rPr>
        <w:t>On September 27, 2021, the PennEast partners announced that further development of the project is no longer supported. Following this announcement, the estimated fair value was assessed using</w:t>
      </w:r>
      <w:r>
        <w:rPr>
          <w:rFonts w:eastAsia="Times New Roman"/>
          <w:color w:val="000000"/>
          <w:sz w:val="20"/>
          <w:szCs w:val="20"/>
        </w:rPr>
        <w:t xml:space="preserve"> the liquidation value of equipment held by PennEast and did not result in a significant change compared to June 30, 2021 and no further impairment loss was recognized.</w:t>
      </w:r>
      <w:r>
        <w:rPr>
          <w:rFonts w:eastAsia="Times New Roman"/>
          <w:color w:val="000000"/>
        </w:rPr>
        <w:t xml:space="preserve"> </w:t>
      </w:r>
      <w:r>
        <w:rPr>
          <w:rFonts w:eastAsia="Times New Roman"/>
          <w:color w:val="000000"/>
          <w:sz w:val="20"/>
          <w:szCs w:val="20"/>
        </w:rPr>
        <w:t>The estimated fair value of the Company’s investment in PennEast was determined to be a</w:t>
      </w:r>
      <w:r>
        <w:rPr>
          <w:rFonts w:eastAsia="Times New Roman"/>
          <w:color w:val="000000"/>
          <w:sz w:val="20"/>
          <w:szCs w:val="20"/>
        </w:rPr>
        <w:t xml:space="preserve"> Level 2 measurement within the fair value hierarchy. During the fourth quarter of Fiscal 2022, the Company recognized $9 of equity earnings related to the ongoing liquidation of PennEast assets. The carrying value of our investment in PennEast at Septembe</w:t>
      </w:r>
      <w:r>
        <w:rPr>
          <w:rFonts w:eastAsia="Times New Roman"/>
          <w:color w:val="000000"/>
          <w:sz w:val="20"/>
          <w:szCs w:val="20"/>
        </w:rPr>
        <w:t>r 30, 2022 and 2021 was not material.</w:t>
      </w:r>
    </w:p>
    <w:p w14:paraId="1ADAA843" w14:textId="77777777" w:rsidR="00000000" w:rsidRDefault="00C1661D">
      <w:pPr>
        <w:jc w:val="both"/>
        <w:rPr>
          <w:rFonts w:eastAsia="Times New Roman"/>
        </w:rPr>
      </w:pPr>
    </w:p>
    <w:p w14:paraId="5175D03B" w14:textId="77777777" w:rsidR="00000000" w:rsidRDefault="00C1661D">
      <w:pPr>
        <w:jc w:val="both"/>
        <w:rPr>
          <w:rFonts w:eastAsia="Times New Roman"/>
        </w:rPr>
      </w:pPr>
      <w:r>
        <w:rPr>
          <w:rFonts w:eastAsia="Times New Roman"/>
          <w:i/>
          <w:iCs/>
          <w:color w:val="000000"/>
          <w:sz w:val="20"/>
          <w:szCs w:val="20"/>
          <w:u w:val="single"/>
          <w:shd w:val="clear" w:color="auto" w:fill="FFFFFF"/>
        </w:rPr>
        <w:t>Other Equity Investment</w:t>
      </w:r>
      <w:r>
        <w:rPr>
          <w:rFonts w:eastAsia="Times New Roman"/>
          <w:i/>
          <w:iCs/>
          <w:color w:val="000000"/>
          <w:sz w:val="20"/>
          <w:szCs w:val="20"/>
          <w:u w:val="single"/>
        </w:rPr>
        <w:t>s.</w:t>
      </w:r>
      <w:r>
        <w:rPr>
          <w:rFonts w:eastAsia="Times New Roman"/>
          <w:color w:val="000000"/>
          <w:sz w:val="20"/>
          <w:szCs w:val="20"/>
        </w:rPr>
        <w:t xml:space="preserve"> Our other equity investments totaled $62 and $21 </w:t>
      </w:r>
      <w:r>
        <w:rPr>
          <w:rFonts w:eastAsia="Times New Roman"/>
          <w:color w:val="000000"/>
          <w:sz w:val="20"/>
          <w:szCs w:val="20"/>
        </w:rPr>
        <w:t>at September 30, 2022 and 2021, respectively, and principally comprise investments in biomass and other renewable energy projects at Midstream and Marketing and, in Fiscal 2022, an investment in a renewable energy joint venture at UGI International.</w:t>
      </w:r>
    </w:p>
    <w:p w14:paraId="2FC2429F" w14:textId="77777777" w:rsidR="00000000" w:rsidRDefault="00C1661D">
      <w:pPr>
        <w:jc w:val="center"/>
        <w:divId w:val="908619051"/>
        <w:rPr>
          <w:rFonts w:eastAsia="Times New Roman"/>
        </w:rPr>
      </w:pPr>
      <w:r>
        <w:rPr>
          <w:rFonts w:eastAsia="Times New Roman"/>
          <w:color w:val="000000"/>
          <w:sz w:val="20"/>
          <w:szCs w:val="20"/>
        </w:rPr>
        <w:t>F-58</w:t>
      </w:r>
    </w:p>
    <w:p w14:paraId="4A82A9C6" w14:textId="77777777" w:rsidR="00000000" w:rsidRDefault="00C1661D">
      <w:pPr>
        <w:rPr>
          <w:rFonts w:eastAsia="Times New Roman"/>
        </w:rPr>
      </w:pPr>
      <w:r>
        <w:rPr>
          <w:rFonts w:eastAsia="Times New Roman"/>
        </w:rPr>
        <w:pict w14:anchorId="568F47BC">
          <v:rect id="_x0000_i1171" style="width:0;height:1.5pt" o:hralign="center" o:hrstd="t" o:hr="t" fillcolor="#a0a0a0" stroked="f"/>
        </w:pict>
      </w:r>
    </w:p>
    <w:p w14:paraId="11B7ECDF" w14:textId="77777777" w:rsidR="00000000" w:rsidRDefault="00C1661D">
      <w:pPr>
        <w:divId w:val="164982626"/>
        <w:rPr>
          <w:rFonts w:eastAsia="Times New Roman"/>
        </w:rPr>
      </w:pPr>
      <w:hyperlink w:anchor="i3850c3c6c0104e42b9951aac2f16098a_7" w:history="1">
        <w:r>
          <w:rPr>
            <w:rStyle w:val="a3"/>
            <w:rFonts w:eastAsia="Times New Roman"/>
            <w:sz w:val="20"/>
            <w:szCs w:val="20"/>
          </w:rPr>
          <w:t>Table of Contents</w:t>
        </w:r>
      </w:hyperlink>
    </w:p>
    <w:p w14:paraId="5806D59E" w14:textId="77777777" w:rsidR="00000000" w:rsidRDefault="00C1661D">
      <w:pPr>
        <w:divId w:val="447163922"/>
        <w:rPr>
          <w:rFonts w:eastAsia="Times New Roman"/>
        </w:rPr>
      </w:pPr>
      <w:r>
        <w:rPr>
          <w:rFonts w:eastAsia="Times New Roman"/>
          <w:b/>
          <w:bCs/>
          <w:color w:val="000000"/>
          <w:sz w:val="20"/>
          <w:szCs w:val="20"/>
        </w:rPr>
        <w:t>UGI Corporation and Subsidiaries</w:t>
      </w:r>
    </w:p>
    <w:p w14:paraId="193DE77E" w14:textId="77777777" w:rsidR="00000000" w:rsidRDefault="00C1661D">
      <w:pPr>
        <w:divId w:val="1961374134"/>
        <w:rPr>
          <w:rFonts w:eastAsia="Times New Roman"/>
        </w:rPr>
      </w:pPr>
      <w:r>
        <w:rPr>
          <w:rFonts w:eastAsia="Times New Roman"/>
          <w:b/>
          <w:bCs/>
          <w:color w:val="000000"/>
          <w:sz w:val="20"/>
          <w:szCs w:val="20"/>
        </w:rPr>
        <w:t>Notes to Consolidated Financial Statements</w:t>
      </w:r>
    </w:p>
    <w:p w14:paraId="76E67F1F" w14:textId="77777777" w:rsidR="00000000" w:rsidRDefault="00C1661D">
      <w:pPr>
        <w:divId w:val="560675727"/>
        <w:rPr>
          <w:rFonts w:eastAsia="Times New Roman"/>
        </w:rPr>
      </w:pPr>
      <w:r>
        <w:rPr>
          <w:rFonts w:eastAsia="Times New Roman"/>
          <w:color w:val="000000"/>
          <w:sz w:val="20"/>
          <w:szCs w:val="20"/>
        </w:rPr>
        <w:t>(Currency in millions, except per share amounts and where indicated otherwise)</w:t>
      </w:r>
    </w:p>
    <w:p w14:paraId="03A7CADE" w14:textId="77777777" w:rsidR="00000000" w:rsidRDefault="00C1661D">
      <w:pPr>
        <w:jc w:val="both"/>
        <w:rPr>
          <w:rFonts w:eastAsia="Times New Roman"/>
        </w:rPr>
      </w:pPr>
      <w:r>
        <w:rPr>
          <w:rFonts w:eastAsia="Times New Roman"/>
          <w:b/>
          <w:bCs/>
          <w:color w:val="000000"/>
          <w:sz w:val="20"/>
          <w:szCs w:val="20"/>
          <w:u w:val="single"/>
        </w:rPr>
        <w:t xml:space="preserve">Note 23 — Segment Information </w:t>
      </w:r>
    </w:p>
    <w:p w14:paraId="571E4AD6" w14:textId="77777777" w:rsidR="00000000" w:rsidRDefault="00C1661D">
      <w:pPr>
        <w:jc w:val="both"/>
        <w:divId w:val="1531410299"/>
        <w:rPr>
          <w:rFonts w:eastAsia="Times New Roman"/>
        </w:rPr>
      </w:pPr>
      <w:r>
        <w:rPr>
          <w:rFonts w:eastAsia="Times New Roman"/>
          <w:color w:val="000000"/>
          <w:sz w:val="20"/>
          <w:szCs w:val="20"/>
        </w:rPr>
        <w:t>Our operations comprise four reportable segments generally based upon products or services sold, geographic location and regulatory environment: (</w:t>
      </w:r>
      <w:r>
        <w:rPr>
          <w:rFonts w:eastAsia="Times New Roman"/>
          <w:color w:val="000000"/>
          <w:sz w:val="20"/>
          <w:szCs w:val="20"/>
        </w:rPr>
        <w:t>1) AmeriGas Propane; (2) UGI International; (3) Midstream &amp; Marketing; and (4) Utilities.</w:t>
      </w:r>
    </w:p>
    <w:p w14:paraId="4029E9AE" w14:textId="77777777" w:rsidR="00000000" w:rsidRDefault="00C1661D">
      <w:pPr>
        <w:jc w:val="both"/>
        <w:rPr>
          <w:rFonts w:eastAsia="Times New Roman"/>
        </w:rPr>
      </w:pPr>
    </w:p>
    <w:p w14:paraId="22F68E4E" w14:textId="77777777" w:rsidR="00000000" w:rsidRDefault="00C1661D">
      <w:pPr>
        <w:jc w:val="both"/>
        <w:rPr>
          <w:rFonts w:eastAsia="Times New Roman"/>
        </w:rPr>
      </w:pPr>
      <w:r>
        <w:rPr>
          <w:rFonts w:eastAsia="Times New Roman"/>
          <w:color w:val="000000"/>
          <w:sz w:val="20"/>
          <w:szCs w:val="20"/>
        </w:rPr>
        <w:t>AmeriGas Propane derives its revenues principally from the sale of propane and related equipment and supplies to retail customers in all 50 states. UGI Internationa</w:t>
      </w:r>
      <w:r>
        <w:rPr>
          <w:rFonts w:eastAsia="Times New Roman"/>
          <w:color w:val="000000"/>
          <w:sz w:val="20"/>
          <w:szCs w:val="20"/>
        </w:rPr>
        <w:t>l derives its revenues principally from the distribution of LPG to retail customers throughout much of Europe.  In addition, UGI International derives revenue from natural gas marketing businesses in France, Belgium and the United Kingdom and a natural gas</w:t>
      </w:r>
      <w:r>
        <w:rPr>
          <w:rFonts w:eastAsia="Times New Roman"/>
          <w:color w:val="000000"/>
          <w:sz w:val="20"/>
          <w:szCs w:val="20"/>
        </w:rPr>
        <w:t xml:space="preserve"> and electricity marketing business in the Netherlands. See Note 25 for additional information regarding the October 2022 sale of the United Kingdom energy marketing business and the November 2022 announcement related to the France energy marketing busines</w:t>
      </w:r>
      <w:r>
        <w:rPr>
          <w:rFonts w:eastAsia="Times New Roman"/>
          <w:color w:val="000000"/>
          <w:sz w:val="20"/>
          <w:szCs w:val="20"/>
        </w:rPr>
        <w:t>s. Midstream &amp; Marketing derives its revenues principally from the sale of natural gas, liquid fuels and electricity as well as revenues and fees from storage, pipeline transportation, natural gas gathering, natural gas and RNG production activities primar</w:t>
      </w:r>
      <w:r>
        <w:rPr>
          <w:rFonts w:eastAsia="Times New Roman"/>
          <w:color w:val="000000"/>
          <w:sz w:val="20"/>
          <w:szCs w:val="20"/>
        </w:rPr>
        <w:t>ily in the Mid-Atlantic region of the U.S. eastern Ohio, the panhandle of West Virginia and California. Midstream &amp; Marketing also derives revenues from the sale of electricity through PJM, a regional electricity transmission organization in the eastern U.</w:t>
      </w:r>
      <w:r>
        <w:rPr>
          <w:rFonts w:eastAsia="Times New Roman"/>
          <w:color w:val="000000"/>
          <w:sz w:val="20"/>
          <w:szCs w:val="20"/>
        </w:rPr>
        <w:t>S., and, prior to its sale on September 30, 2020, also from contracting services provided by HVAC to customers in portions of eastern and central Pennsylvania (see Note 5). Our Utilities segment primarily derives its revenues from the sale and distribution</w:t>
      </w:r>
      <w:r>
        <w:rPr>
          <w:rFonts w:eastAsia="Times New Roman"/>
          <w:color w:val="000000"/>
          <w:sz w:val="20"/>
          <w:szCs w:val="20"/>
        </w:rPr>
        <w:t xml:space="preserve"> of natural gas to customers in eastern and central Pennsylvania and subsequent to the Mountaineer Acquisition in September 2021, in West Virginia (see Note 5). To a much lesser extent, Utilities also derives revenues from the sale and distribution of elec</w:t>
      </w:r>
      <w:r>
        <w:rPr>
          <w:rFonts w:eastAsia="Times New Roman"/>
          <w:color w:val="000000"/>
          <w:sz w:val="20"/>
          <w:szCs w:val="20"/>
        </w:rPr>
        <w:t xml:space="preserve">tricity in two northeastern Pennsylvania counties. </w:t>
      </w:r>
    </w:p>
    <w:p w14:paraId="67BE14DC" w14:textId="77777777" w:rsidR="00000000" w:rsidRDefault="00C1661D">
      <w:pPr>
        <w:jc w:val="both"/>
        <w:rPr>
          <w:rFonts w:eastAsia="Times New Roman"/>
        </w:rPr>
      </w:pPr>
    </w:p>
    <w:p w14:paraId="0233238D" w14:textId="77777777" w:rsidR="00000000" w:rsidRDefault="00C1661D">
      <w:pPr>
        <w:jc w:val="both"/>
        <w:rPr>
          <w:rFonts w:eastAsia="Times New Roman"/>
        </w:rPr>
      </w:pPr>
      <w:r>
        <w:rPr>
          <w:rFonts w:eastAsia="Times New Roman"/>
          <w:color w:val="000000"/>
          <w:sz w:val="20"/>
          <w:szCs w:val="20"/>
        </w:rPr>
        <w:t>Corporate &amp; Other includes certain items that are excluded from our CODM’s assessment of segment performance (see below for further details on these items). Corporate &amp; Other also includes the net expen</w:t>
      </w:r>
      <w:r>
        <w:rPr>
          <w:rFonts w:eastAsia="Times New Roman"/>
          <w:color w:val="000000"/>
          <w:sz w:val="20"/>
          <w:szCs w:val="20"/>
        </w:rPr>
        <w:t>ses of UGI’s captive general liability insurance company, UGI’s corporate headquarters facility and UGI’s unallocated corporate and general expenses as well as interest expense on UGI debt that is not allocated. Corporate &amp; Other assets principally compris</w:t>
      </w:r>
      <w:r>
        <w:rPr>
          <w:rFonts w:eastAsia="Times New Roman"/>
          <w:color w:val="000000"/>
          <w:sz w:val="20"/>
          <w:szCs w:val="20"/>
        </w:rPr>
        <w:t xml:space="preserve">e cash and cash equivalents of UGI and its captive insurance company, and UGI corporate headquarters’ assets. </w:t>
      </w:r>
    </w:p>
    <w:p w14:paraId="7EE793B6" w14:textId="77777777" w:rsidR="00000000" w:rsidRDefault="00C1661D">
      <w:pPr>
        <w:jc w:val="both"/>
        <w:rPr>
          <w:rFonts w:eastAsia="Times New Roman"/>
        </w:rPr>
      </w:pPr>
    </w:p>
    <w:p w14:paraId="151AB5DE" w14:textId="77777777" w:rsidR="00000000" w:rsidRDefault="00C1661D">
      <w:pPr>
        <w:jc w:val="both"/>
        <w:rPr>
          <w:rFonts w:eastAsia="Times New Roman"/>
        </w:rPr>
      </w:pPr>
      <w:r>
        <w:rPr>
          <w:rFonts w:eastAsia="Times New Roman"/>
          <w:color w:val="000000"/>
          <w:sz w:val="20"/>
          <w:szCs w:val="20"/>
        </w:rPr>
        <w:t xml:space="preserve">The accounting policies of our reportable segments are the same as those described in Note 2. Our CODM evaluates the performance of all of our </w:t>
      </w:r>
      <w:r>
        <w:rPr>
          <w:rFonts w:eastAsia="Times New Roman"/>
          <w:color w:val="000000"/>
          <w:sz w:val="20"/>
          <w:szCs w:val="20"/>
        </w:rPr>
        <w:t>reportable segments based upon earnings before interest expense and income taxes, excluding the items noted below.</w:t>
      </w:r>
    </w:p>
    <w:p w14:paraId="3CBFBCB9" w14:textId="77777777" w:rsidR="00000000" w:rsidRDefault="00C1661D">
      <w:pPr>
        <w:jc w:val="both"/>
        <w:rPr>
          <w:rFonts w:eastAsia="Times New Roman"/>
        </w:rPr>
      </w:pPr>
    </w:p>
    <w:p w14:paraId="22B7CC17" w14:textId="77777777" w:rsidR="00000000" w:rsidRDefault="00C1661D">
      <w:pPr>
        <w:jc w:val="both"/>
        <w:rPr>
          <w:rFonts w:eastAsia="Times New Roman"/>
        </w:rPr>
      </w:pPr>
      <w:r>
        <w:rPr>
          <w:rFonts w:eastAsia="Times New Roman"/>
          <w:color w:val="000000"/>
          <w:sz w:val="20"/>
          <w:szCs w:val="20"/>
        </w:rPr>
        <w:t>No single customer represents more than ten percent of our consolidated revenues. In addition, all of our reportable segments’ revenues, ot</w:t>
      </w:r>
      <w:r>
        <w:rPr>
          <w:rFonts w:eastAsia="Times New Roman"/>
          <w:color w:val="000000"/>
          <w:sz w:val="20"/>
          <w:szCs w:val="20"/>
        </w:rPr>
        <w:t>her than those of UGI International, are derived from sources within the United States, and all of our reportable segments’ long-lived assets, other than those of UGI International, are located in the United States. The amounts of revenues and long-lived a</w:t>
      </w:r>
      <w:r>
        <w:rPr>
          <w:rFonts w:eastAsia="Times New Roman"/>
          <w:color w:val="000000"/>
          <w:sz w:val="20"/>
          <w:szCs w:val="20"/>
        </w:rPr>
        <w:t>ssets associated with our operations in France represent approximately 20% and 10% of the respective consolidated amounts.</w:t>
      </w:r>
    </w:p>
    <w:tbl>
      <w:tblPr>
        <w:tblW w:w="5000" w:type="pct"/>
        <w:tblCellMar>
          <w:top w:w="15" w:type="dxa"/>
          <w:left w:w="15" w:type="dxa"/>
          <w:bottom w:w="15" w:type="dxa"/>
          <w:right w:w="15" w:type="dxa"/>
        </w:tblCellMar>
        <w:tblLook w:val="04A0" w:firstRow="1" w:lastRow="0" w:firstColumn="1" w:lastColumn="0" w:noHBand="0" w:noVBand="1"/>
      </w:tblPr>
      <w:tblGrid>
        <w:gridCol w:w="40"/>
        <w:gridCol w:w="2420"/>
        <w:gridCol w:w="38"/>
        <w:gridCol w:w="100"/>
        <w:gridCol w:w="480"/>
        <w:gridCol w:w="36"/>
        <w:gridCol w:w="36"/>
        <w:gridCol w:w="36"/>
        <w:gridCol w:w="36"/>
        <w:gridCol w:w="101"/>
        <w:gridCol w:w="451"/>
        <w:gridCol w:w="36"/>
        <w:gridCol w:w="37"/>
        <w:gridCol w:w="210"/>
        <w:gridCol w:w="36"/>
        <w:gridCol w:w="101"/>
        <w:gridCol w:w="613"/>
        <w:gridCol w:w="36"/>
        <w:gridCol w:w="36"/>
        <w:gridCol w:w="36"/>
        <w:gridCol w:w="36"/>
        <w:gridCol w:w="101"/>
        <w:gridCol w:w="754"/>
        <w:gridCol w:w="36"/>
        <w:gridCol w:w="36"/>
        <w:gridCol w:w="36"/>
        <w:gridCol w:w="36"/>
        <w:gridCol w:w="101"/>
        <w:gridCol w:w="644"/>
        <w:gridCol w:w="36"/>
        <w:gridCol w:w="36"/>
        <w:gridCol w:w="36"/>
        <w:gridCol w:w="36"/>
        <w:gridCol w:w="101"/>
        <w:gridCol w:w="488"/>
        <w:gridCol w:w="36"/>
        <w:gridCol w:w="36"/>
        <w:gridCol w:w="36"/>
        <w:gridCol w:w="36"/>
        <w:gridCol w:w="101"/>
        <w:gridCol w:w="597"/>
        <w:gridCol w:w="36"/>
      </w:tblGrid>
      <w:tr w:rsidR="00000000" w14:paraId="6D1FC978" w14:textId="77777777">
        <w:trPr>
          <w:divId w:val="636765284"/>
        </w:trPr>
        <w:tc>
          <w:tcPr>
            <w:tcW w:w="50" w:type="pct"/>
            <w:vAlign w:val="center"/>
            <w:hideMark/>
          </w:tcPr>
          <w:p w14:paraId="001D61C1" w14:textId="77777777" w:rsidR="00000000" w:rsidRDefault="00C1661D">
            <w:pPr>
              <w:jc w:val="both"/>
              <w:rPr>
                <w:rFonts w:eastAsia="Times New Roman"/>
              </w:rPr>
            </w:pPr>
          </w:p>
        </w:tc>
        <w:tc>
          <w:tcPr>
            <w:tcW w:w="1582" w:type="pct"/>
            <w:vAlign w:val="center"/>
            <w:hideMark/>
          </w:tcPr>
          <w:p w14:paraId="023BE2F6" w14:textId="77777777" w:rsidR="00000000" w:rsidRDefault="00C1661D">
            <w:pPr>
              <w:spacing w:after="100"/>
              <w:rPr>
                <w:rFonts w:eastAsia="Times New Roman"/>
                <w:sz w:val="20"/>
                <w:szCs w:val="20"/>
              </w:rPr>
            </w:pPr>
          </w:p>
        </w:tc>
        <w:tc>
          <w:tcPr>
            <w:tcW w:w="5" w:type="pct"/>
            <w:vAlign w:val="center"/>
            <w:hideMark/>
          </w:tcPr>
          <w:p w14:paraId="4E7EB389" w14:textId="77777777" w:rsidR="00000000" w:rsidRDefault="00C1661D">
            <w:pPr>
              <w:spacing w:after="100"/>
              <w:rPr>
                <w:rFonts w:eastAsia="Times New Roman"/>
                <w:sz w:val="20"/>
                <w:szCs w:val="20"/>
              </w:rPr>
            </w:pPr>
          </w:p>
        </w:tc>
        <w:tc>
          <w:tcPr>
            <w:tcW w:w="50" w:type="pct"/>
            <w:vAlign w:val="center"/>
            <w:hideMark/>
          </w:tcPr>
          <w:p w14:paraId="6DBA7183" w14:textId="77777777" w:rsidR="00000000" w:rsidRDefault="00C1661D">
            <w:pPr>
              <w:spacing w:after="100"/>
              <w:rPr>
                <w:rFonts w:eastAsia="Times New Roman"/>
                <w:sz w:val="20"/>
                <w:szCs w:val="20"/>
              </w:rPr>
            </w:pPr>
          </w:p>
        </w:tc>
        <w:tc>
          <w:tcPr>
            <w:tcW w:w="354" w:type="pct"/>
            <w:vAlign w:val="center"/>
            <w:hideMark/>
          </w:tcPr>
          <w:p w14:paraId="24A197F1" w14:textId="77777777" w:rsidR="00000000" w:rsidRDefault="00C1661D">
            <w:pPr>
              <w:spacing w:after="100"/>
              <w:rPr>
                <w:rFonts w:eastAsia="Times New Roman"/>
                <w:sz w:val="20"/>
                <w:szCs w:val="20"/>
              </w:rPr>
            </w:pPr>
          </w:p>
        </w:tc>
        <w:tc>
          <w:tcPr>
            <w:tcW w:w="5" w:type="pct"/>
            <w:vAlign w:val="center"/>
            <w:hideMark/>
          </w:tcPr>
          <w:p w14:paraId="664EBB03" w14:textId="77777777" w:rsidR="00000000" w:rsidRDefault="00C1661D">
            <w:pPr>
              <w:spacing w:after="100"/>
              <w:rPr>
                <w:rFonts w:eastAsia="Times New Roman"/>
                <w:sz w:val="20"/>
                <w:szCs w:val="20"/>
              </w:rPr>
            </w:pPr>
          </w:p>
        </w:tc>
        <w:tc>
          <w:tcPr>
            <w:tcW w:w="5" w:type="pct"/>
            <w:vAlign w:val="center"/>
            <w:hideMark/>
          </w:tcPr>
          <w:p w14:paraId="75694059" w14:textId="77777777" w:rsidR="00000000" w:rsidRDefault="00C1661D">
            <w:pPr>
              <w:spacing w:after="100"/>
              <w:rPr>
                <w:rFonts w:eastAsia="Times New Roman"/>
                <w:sz w:val="20"/>
                <w:szCs w:val="20"/>
              </w:rPr>
            </w:pPr>
          </w:p>
        </w:tc>
        <w:tc>
          <w:tcPr>
            <w:tcW w:w="48" w:type="pct"/>
            <w:vAlign w:val="center"/>
            <w:hideMark/>
          </w:tcPr>
          <w:p w14:paraId="61D68380" w14:textId="77777777" w:rsidR="00000000" w:rsidRDefault="00C1661D">
            <w:pPr>
              <w:spacing w:after="100"/>
              <w:rPr>
                <w:rFonts w:eastAsia="Times New Roman"/>
                <w:sz w:val="20"/>
                <w:szCs w:val="20"/>
              </w:rPr>
            </w:pPr>
          </w:p>
        </w:tc>
        <w:tc>
          <w:tcPr>
            <w:tcW w:w="5" w:type="pct"/>
            <w:vAlign w:val="center"/>
            <w:hideMark/>
          </w:tcPr>
          <w:p w14:paraId="7D7FB85D" w14:textId="77777777" w:rsidR="00000000" w:rsidRDefault="00C1661D">
            <w:pPr>
              <w:spacing w:after="100"/>
              <w:rPr>
                <w:rFonts w:eastAsia="Times New Roman"/>
                <w:sz w:val="20"/>
                <w:szCs w:val="20"/>
              </w:rPr>
            </w:pPr>
          </w:p>
        </w:tc>
        <w:tc>
          <w:tcPr>
            <w:tcW w:w="50" w:type="pct"/>
            <w:vAlign w:val="center"/>
            <w:hideMark/>
          </w:tcPr>
          <w:p w14:paraId="27D0B316" w14:textId="77777777" w:rsidR="00000000" w:rsidRDefault="00C1661D">
            <w:pPr>
              <w:spacing w:after="100"/>
              <w:rPr>
                <w:rFonts w:eastAsia="Times New Roman"/>
                <w:sz w:val="20"/>
                <w:szCs w:val="20"/>
              </w:rPr>
            </w:pPr>
          </w:p>
        </w:tc>
        <w:tc>
          <w:tcPr>
            <w:tcW w:w="259" w:type="pct"/>
            <w:vAlign w:val="center"/>
            <w:hideMark/>
          </w:tcPr>
          <w:p w14:paraId="0C730AAB" w14:textId="77777777" w:rsidR="00000000" w:rsidRDefault="00C1661D">
            <w:pPr>
              <w:spacing w:after="100"/>
              <w:rPr>
                <w:rFonts w:eastAsia="Times New Roman"/>
                <w:sz w:val="20"/>
                <w:szCs w:val="20"/>
              </w:rPr>
            </w:pPr>
          </w:p>
        </w:tc>
        <w:tc>
          <w:tcPr>
            <w:tcW w:w="5" w:type="pct"/>
            <w:vAlign w:val="center"/>
            <w:hideMark/>
          </w:tcPr>
          <w:p w14:paraId="346CF406" w14:textId="77777777" w:rsidR="00000000" w:rsidRDefault="00C1661D">
            <w:pPr>
              <w:spacing w:after="100"/>
              <w:rPr>
                <w:rFonts w:eastAsia="Times New Roman"/>
                <w:sz w:val="20"/>
                <w:szCs w:val="20"/>
              </w:rPr>
            </w:pPr>
          </w:p>
        </w:tc>
        <w:tc>
          <w:tcPr>
            <w:tcW w:w="5" w:type="pct"/>
            <w:vAlign w:val="center"/>
            <w:hideMark/>
          </w:tcPr>
          <w:p w14:paraId="52DA62F8" w14:textId="77777777" w:rsidR="00000000" w:rsidRDefault="00C1661D">
            <w:pPr>
              <w:spacing w:after="100"/>
              <w:rPr>
                <w:rFonts w:eastAsia="Times New Roman"/>
                <w:sz w:val="20"/>
                <w:szCs w:val="20"/>
              </w:rPr>
            </w:pPr>
          </w:p>
        </w:tc>
        <w:tc>
          <w:tcPr>
            <w:tcW w:w="128" w:type="pct"/>
            <w:vAlign w:val="center"/>
            <w:hideMark/>
          </w:tcPr>
          <w:p w14:paraId="1F13A74D" w14:textId="77777777" w:rsidR="00000000" w:rsidRDefault="00C1661D">
            <w:pPr>
              <w:spacing w:after="100"/>
              <w:rPr>
                <w:rFonts w:eastAsia="Times New Roman"/>
                <w:sz w:val="20"/>
                <w:szCs w:val="20"/>
              </w:rPr>
            </w:pPr>
          </w:p>
        </w:tc>
        <w:tc>
          <w:tcPr>
            <w:tcW w:w="5" w:type="pct"/>
            <w:vAlign w:val="center"/>
            <w:hideMark/>
          </w:tcPr>
          <w:p w14:paraId="5005FB54" w14:textId="77777777" w:rsidR="00000000" w:rsidRDefault="00C1661D">
            <w:pPr>
              <w:spacing w:after="100"/>
              <w:rPr>
                <w:rFonts w:eastAsia="Times New Roman"/>
                <w:sz w:val="20"/>
                <w:szCs w:val="20"/>
              </w:rPr>
            </w:pPr>
          </w:p>
        </w:tc>
        <w:tc>
          <w:tcPr>
            <w:tcW w:w="50" w:type="pct"/>
            <w:vAlign w:val="center"/>
            <w:hideMark/>
          </w:tcPr>
          <w:p w14:paraId="1087B4DD" w14:textId="77777777" w:rsidR="00000000" w:rsidRDefault="00C1661D">
            <w:pPr>
              <w:spacing w:after="100"/>
              <w:rPr>
                <w:rFonts w:eastAsia="Times New Roman"/>
                <w:sz w:val="20"/>
                <w:szCs w:val="20"/>
              </w:rPr>
            </w:pPr>
          </w:p>
        </w:tc>
        <w:tc>
          <w:tcPr>
            <w:tcW w:w="398" w:type="pct"/>
            <w:vAlign w:val="center"/>
            <w:hideMark/>
          </w:tcPr>
          <w:p w14:paraId="4132329D" w14:textId="77777777" w:rsidR="00000000" w:rsidRDefault="00C1661D">
            <w:pPr>
              <w:spacing w:after="100"/>
              <w:rPr>
                <w:rFonts w:eastAsia="Times New Roman"/>
                <w:sz w:val="20"/>
                <w:szCs w:val="20"/>
              </w:rPr>
            </w:pPr>
          </w:p>
        </w:tc>
        <w:tc>
          <w:tcPr>
            <w:tcW w:w="5" w:type="pct"/>
            <w:vAlign w:val="center"/>
            <w:hideMark/>
          </w:tcPr>
          <w:p w14:paraId="3DCC90F2" w14:textId="77777777" w:rsidR="00000000" w:rsidRDefault="00C1661D">
            <w:pPr>
              <w:spacing w:after="100"/>
              <w:rPr>
                <w:rFonts w:eastAsia="Times New Roman"/>
                <w:sz w:val="20"/>
                <w:szCs w:val="20"/>
              </w:rPr>
            </w:pPr>
          </w:p>
        </w:tc>
        <w:tc>
          <w:tcPr>
            <w:tcW w:w="5" w:type="pct"/>
            <w:vAlign w:val="center"/>
            <w:hideMark/>
          </w:tcPr>
          <w:p w14:paraId="6BE15A92" w14:textId="77777777" w:rsidR="00000000" w:rsidRDefault="00C1661D">
            <w:pPr>
              <w:spacing w:after="100"/>
              <w:rPr>
                <w:rFonts w:eastAsia="Times New Roman"/>
                <w:sz w:val="20"/>
                <w:szCs w:val="20"/>
              </w:rPr>
            </w:pPr>
          </w:p>
        </w:tc>
        <w:tc>
          <w:tcPr>
            <w:tcW w:w="48" w:type="pct"/>
            <w:vAlign w:val="center"/>
            <w:hideMark/>
          </w:tcPr>
          <w:p w14:paraId="3F5C77E5" w14:textId="77777777" w:rsidR="00000000" w:rsidRDefault="00C1661D">
            <w:pPr>
              <w:spacing w:after="100"/>
              <w:rPr>
                <w:rFonts w:eastAsia="Times New Roman"/>
                <w:sz w:val="20"/>
                <w:szCs w:val="20"/>
              </w:rPr>
            </w:pPr>
          </w:p>
        </w:tc>
        <w:tc>
          <w:tcPr>
            <w:tcW w:w="5" w:type="pct"/>
            <w:vAlign w:val="center"/>
            <w:hideMark/>
          </w:tcPr>
          <w:p w14:paraId="5970528C" w14:textId="77777777" w:rsidR="00000000" w:rsidRDefault="00C1661D">
            <w:pPr>
              <w:spacing w:after="100"/>
              <w:rPr>
                <w:rFonts w:eastAsia="Times New Roman"/>
                <w:sz w:val="20"/>
                <w:szCs w:val="20"/>
              </w:rPr>
            </w:pPr>
          </w:p>
        </w:tc>
        <w:tc>
          <w:tcPr>
            <w:tcW w:w="50" w:type="pct"/>
            <w:vAlign w:val="center"/>
            <w:hideMark/>
          </w:tcPr>
          <w:p w14:paraId="451BB434" w14:textId="77777777" w:rsidR="00000000" w:rsidRDefault="00C1661D">
            <w:pPr>
              <w:spacing w:after="100"/>
              <w:rPr>
                <w:rFonts w:eastAsia="Times New Roman"/>
                <w:sz w:val="20"/>
                <w:szCs w:val="20"/>
              </w:rPr>
            </w:pPr>
          </w:p>
        </w:tc>
        <w:tc>
          <w:tcPr>
            <w:tcW w:w="398" w:type="pct"/>
            <w:vAlign w:val="center"/>
            <w:hideMark/>
          </w:tcPr>
          <w:p w14:paraId="52DD0595" w14:textId="77777777" w:rsidR="00000000" w:rsidRDefault="00C1661D">
            <w:pPr>
              <w:spacing w:after="100"/>
              <w:rPr>
                <w:rFonts w:eastAsia="Times New Roman"/>
                <w:sz w:val="20"/>
                <w:szCs w:val="20"/>
              </w:rPr>
            </w:pPr>
          </w:p>
        </w:tc>
        <w:tc>
          <w:tcPr>
            <w:tcW w:w="5" w:type="pct"/>
            <w:vAlign w:val="center"/>
            <w:hideMark/>
          </w:tcPr>
          <w:p w14:paraId="042C050B" w14:textId="77777777" w:rsidR="00000000" w:rsidRDefault="00C1661D">
            <w:pPr>
              <w:spacing w:after="100"/>
              <w:rPr>
                <w:rFonts w:eastAsia="Times New Roman"/>
                <w:sz w:val="20"/>
                <w:szCs w:val="20"/>
              </w:rPr>
            </w:pPr>
          </w:p>
        </w:tc>
        <w:tc>
          <w:tcPr>
            <w:tcW w:w="5" w:type="pct"/>
            <w:vAlign w:val="center"/>
            <w:hideMark/>
          </w:tcPr>
          <w:p w14:paraId="27CA174B" w14:textId="77777777" w:rsidR="00000000" w:rsidRDefault="00C1661D">
            <w:pPr>
              <w:spacing w:after="100"/>
              <w:rPr>
                <w:rFonts w:eastAsia="Times New Roman"/>
                <w:sz w:val="20"/>
                <w:szCs w:val="20"/>
              </w:rPr>
            </w:pPr>
          </w:p>
        </w:tc>
        <w:tc>
          <w:tcPr>
            <w:tcW w:w="19" w:type="pct"/>
            <w:vAlign w:val="center"/>
            <w:hideMark/>
          </w:tcPr>
          <w:p w14:paraId="0EEC56BD" w14:textId="77777777" w:rsidR="00000000" w:rsidRDefault="00C1661D">
            <w:pPr>
              <w:spacing w:after="100"/>
              <w:rPr>
                <w:rFonts w:eastAsia="Times New Roman"/>
                <w:sz w:val="20"/>
                <w:szCs w:val="20"/>
              </w:rPr>
            </w:pPr>
          </w:p>
        </w:tc>
        <w:tc>
          <w:tcPr>
            <w:tcW w:w="5" w:type="pct"/>
            <w:vAlign w:val="center"/>
            <w:hideMark/>
          </w:tcPr>
          <w:p w14:paraId="1BC856DF" w14:textId="77777777" w:rsidR="00000000" w:rsidRDefault="00C1661D">
            <w:pPr>
              <w:spacing w:after="100"/>
              <w:rPr>
                <w:rFonts w:eastAsia="Times New Roman"/>
                <w:sz w:val="20"/>
                <w:szCs w:val="20"/>
              </w:rPr>
            </w:pPr>
          </w:p>
        </w:tc>
        <w:tc>
          <w:tcPr>
            <w:tcW w:w="50" w:type="pct"/>
            <w:vAlign w:val="center"/>
            <w:hideMark/>
          </w:tcPr>
          <w:p w14:paraId="6FB9640D" w14:textId="77777777" w:rsidR="00000000" w:rsidRDefault="00C1661D">
            <w:pPr>
              <w:spacing w:after="100"/>
              <w:rPr>
                <w:rFonts w:eastAsia="Times New Roman"/>
                <w:sz w:val="20"/>
                <w:szCs w:val="20"/>
              </w:rPr>
            </w:pPr>
          </w:p>
        </w:tc>
        <w:tc>
          <w:tcPr>
            <w:tcW w:w="398" w:type="pct"/>
            <w:vAlign w:val="center"/>
            <w:hideMark/>
          </w:tcPr>
          <w:p w14:paraId="36404C05" w14:textId="77777777" w:rsidR="00000000" w:rsidRDefault="00C1661D">
            <w:pPr>
              <w:spacing w:after="100"/>
              <w:rPr>
                <w:rFonts w:eastAsia="Times New Roman"/>
                <w:sz w:val="20"/>
                <w:szCs w:val="20"/>
              </w:rPr>
            </w:pPr>
          </w:p>
        </w:tc>
        <w:tc>
          <w:tcPr>
            <w:tcW w:w="5" w:type="pct"/>
            <w:vAlign w:val="center"/>
            <w:hideMark/>
          </w:tcPr>
          <w:p w14:paraId="5BB13B0D" w14:textId="77777777" w:rsidR="00000000" w:rsidRDefault="00C1661D">
            <w:pPr>
              <w:spacing w:after="100"/>
              <w:rPr>
                <w:rFonts w:eastAsia="Times New Roman"/>
                <w:sz w:val="20"/>
                <w:szCs w:val="20"/>
              </w:rPr>
            </w:pPr>
          </w:p>
        </w:tc>
        <w:tc>
          <w:tcPr>
            <w:tcW w:w="5" w:type="pct"/>
            <w:vAlign w:val="center"/>
            <w:hideMark/>
          </w:tcPr>
          <w:p w14:paraId="39333664" w14:textId="77777777" w:rsidR="00000000" w:rsidRDefault="00C1661D">
            <w:pPr>
              <w:spacing w:after="100"/>
              <w:rPr>
                <w:rFonts w:eastAsia="Times New Roman"/>
                <w:sz w:val="20"/>
                <w:szCs w:val="20"/>
              </w:rPr>
            </w:pPr>
          </w:p>
        </w:tc>
        <w:tc>
          <w:tcPr>
            <w:tcW w:w="19" w:type="pct"/>
            <w:vAlign w:val="center"/>
            <w:hideMark/>
          </w:tcPr>
          <w:p w14:paraId="7CBA7DE8" w14:textId="77777777" w:rsidR="00000000" w:rsidRDefault="00C1661D">
            <w:pPr>
              <w:spacing w:after="100"/>
              <w:rPr>
                <w:rFonts w:eastAsia="Times New Roman"/>
                <w:sz w:val="20"/>
                <w:szCs w:val="20"/>
              </w:rPr>
            </w:pPr>
          </w:p>
        </w:tc>
        <w:tc>
          <w:tcPr>
            <w:tcW w:w="5" w:type="pct"/>
            <w:vAlign w:val="center"/>
            <w:hideMark/>
          </w:tcPr>
          <w:p w14:paraId="197D167C" w14:textId="77777777" w:rsidR="00000000" w:rsidRDefault="00C1661D">
            <w:pPr>
              <w:spacing w:after="100"/>
              <w:rPr>
                <w:rFonts w:eastAsia="Times New Roman"/>
                <w:sz w:val="20"/>
                <w:szCs w:val="20"/>
              </w:rPr>
            </w:pPr>
          </w:p>
        </w:tc>
        <w:tc>
          <w:tcPr>
            <w:tcW w:w="50" w:type="pct"/>
            <w:vAlign w:val="center"/>
            <w:hideMark/>
          </w:tcPr>
          <w:p w14:paraId="6ED4476B" w14:textId="77777777" w:rsidR="00000000" w:rsidRDefault="00C1661D">
            <w:pPr>
              <w:spacing w:after="100"/>
              <w:rPr>
                <w:rFonts w:eastAsia="Times New Roman"/>
                <w:sz w:val="20"/>
                <w:szCs w:val="20"/>
              </w:rPr>
            </w:pPr>
          </w:p>
        </w:tc>
        <w:tc>
          <w:tcPr>
            <w:tcW w:w="398" w:type="pct"/>
            <w:vAlign w:val="center"/>
            <w:hideMark/>
          </w:tcPr>
          <w:p w14:paraId="60C4D2CC" w14:textId="77777777" w:rsidR="00000000" w:rsidRDefault="00C1661D">
            <w:pPr>
              <w:spacing w:after="100"/>
              <w:rPr>
                <w:rFonts w:eastAsia="Times New Roman"/>
                <w:sz w:val="20"/>
                <w:szCs w:val="20"/>
              </w:rPr>
            </w:pPr>
          </w:p>
        </w:tc>
        <w:tc>
          <w:tcPr>
            <w:tcW w:w="5" w:type="pct"/>
            <w:vAlign w:val="center"/>
            <w:hideMark/>
          </w:tcPr>
          <w:p w14:paraId="79D7D0EB" w14:textId="77777777" w:rsidR="00000000" w:rsidRDefault="00C1661D">
            <w:pPr>
              <w:spacing w:after="100"/>
              <w:rPr>
                <w:rFonts w:eastAsia="Times New Roman"/>
                <w:sz w:val="20"/>
                <w:szCs w:val="20"/>
              </w:rPr>
            </w:pPr>
          </w:p>
        </w:tc>
        <w:tc>
          <w:tcPr>
            <w:tcW w:w="5" w:type="pct"/>
            <w:vAlign w:val="center"/>
            <w:hideMark/>
          </w:tcPr>
          <w:p w14:paraId="6776CE64" w14:textId="77777777" w:rsidR="00000000" w:rsidRDefault="00C1661D">
            <w:pPr>
              <w:spacing w:after="100"/>
              <w:rPr>
                <w:rFonts w:eastAsia="Times New Roman"/>
                <w:sz w:val="20"/>
                <w:szCs w:val="20"/>
              </w:rPr>
            </w:pPr>
          </w:p>
        </w:tc>
        <w:tc>
          <w:tcPr>
            <w:tcW w:w="48" w:type="pct"/>
            <w:vAlign w:val="center"/>
            <w:hideMark/>
          </w:tcPr>
          <w:p w14:paraId="53D8B874" w14:textId="77777777" w:rsidR="00000000" w:rsidRDefault="00C1661D">
            <w:pPr>
              <w:spacing w:after="100"/>
              <w:rPr>
                <w:rFonts w:eastAsia="Times New Roman"/>
                <w:sz w:val="20"/>
                <w:szCs w:val="20"/>
              </w:rPr>
            </w:pPr>
          </w:p>
        </w:tc>
        <w:tc>
          <w:tcPr>
            <w:tcW w:w="5" w:type="pct"/>
            <w:vAlign w:val="center"/>
            <w:hideMark/>
          </w:tcPr>
          <w:p w14:paraId="3C292A16" w14:textId="77777777" w:rsidR="00000000" w:rsidRDefault="00C1661D">
            <w:pPr>
              <w:spacing w:after="100"/>
              <w:rPr>
                <w:rFonts w:eastAsia="Times New Roman"/>
                <w:sz w:val="20"/>
                <w:szCs w:val="20"/>
              </w:rPr>
            </w:pPr>
          </w:p>
        </w:tc>
        <w:tc>
          <w:tcPr>
            <w:tcW w:w="50" w:type="pct"/>
            <w:vAlign w:val="center"/>
            <w:hideMark/>
          </w:tcPr>
          <w:p w14:paraId="12404FB5" w14:textId="77777777" w:rsidR="00000000" w:rsidRDefault="00C1661D">
            <w:pPr>
              <w:spacing w:after="100"/>
              <w:rPr>
                <w:rFonts w:eastAsia="Times New Roman"/>
                <w:sz w:val="20"/>
                <w:szCs w:val="20"/>
              </w:rPr>
            </w:pPr>
          </w:p>
        </w:tc>
        <w:tc>
          <w:tcPr>
            <w:tcW w:w="398" w:type="pct"/>
            <w:vAlign w:val="center"/>
            <w:hideMark/>
          </w:tcPr>
          <w:p w14:paraId="483E91B2" w14:textId="77777777" w:rsidR="00000000" w:rsidRDefault="00C1661D">
            <w:pPr>
              <w:spacing w:after="100"/>
              <w:rPr>
                <w:rFonts w:eastAsia="Times New Roman"/>
                <w:sz w:val="20"/>
                <w:szCs w:val="20"/>
              </w:rPr>
            </w:pPr>
          </w:p>
        </w:tc>
        <w:tc>
          <w:tcPr>
            <w:tcW w:w="5" w:type="pct"/>
            <w:vAlign w:val="center"/>
            <w:hideMark/>
          </w:tcPr>
          <w:p w14:paraId="23682352" w14:textId="77777777" w:rsidR="00000000" w:rsidRDefault="00C1661D">
            <w:pPr>
              <w:spacing w:after="100"/>
              <w:rPr>
                <w:rFonts w:eastAsia="Times New Roman"/>
                <w:sz w:val="20"/>
                <w:szCs w:val="20"/>
              </w:rPr>
            </w:pPr>
          </w:p>
        </w:tc>
      </w:tr>
      <w:tr w:rsidR="00000000" w14:paraId="6E4A640D" w14:textId="77777777">
        <w:trPr>
          <w:divId w:val="636765284"/>
        </w:trPr>
        <w:tc>
          <w:tcPr>
            <w:tcW w:w="0" w:type="auto"/>
            <w:gridSpan w:val="3"/>
            <w:tcMar>
              <w:top w:w="0" w:type="dxa"/>
              <w:left w:w="20" w:type="dxa"/>
              <w:bottom w:w="0" w:type="dxa"/>
              <w:right w:w="20" w:type="dxa"/>
            </w:tcMar>
            <w:vAlign w:val="center"/>
            <w:hideMark/>
          </w:tcPr>
          <w:p w14:paraId="7780E1C6" w14:textId="77777777" w:rsidR="00000000" w:rsidRDefault="00C1661D">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26625966" w14:textId="77777777" w:rsidR="00000000" w:rsidRDefault="00C1661D">
            <w:pPr>
              <w:spacing w:after="100"/>
              <w:jc w:val="center"/>
              <w:rPr>
                <w:rFonts w:eastAsia="Times New Roman"/>
              </w:rPr>
            </w:pP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14:paraId="260C6A42"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5553567" w14:textId="77777777" w:rsidR="00000000" w:rsidRDefault="00C1661D">
            <w:pPr>
              <w:spacing w:after="100"/>
              <w:jc w:val="center"/>
              <w:rPr>
                <w:rFonts w:eastAsia="Times New Roman"/>
              </w:rPr>
            </w:pPr>
            <w:r>
              <w:rPr>
                <w:rFonts w:eastAsia="Times New Roman"/>
                <w:color w:val="000000"/>
                <w:sz w:val="16"/>
                <w:szCs w:val="16"/>
              </w:rPr>
              <w:t>Elim-</w:t>
            </w:r>
            <w:r>
              <w:rPr>
                <w:rFonts w:eastAsia="Times New Roman"/>
                <w:color w:val="000000"/>
                <w:sz w:val="16"/>
                <w:szCs w:val="16"/>
              </w:rPr>
              <w:br/>
              <w:t>inations</w:t>
            </w:r>
          </w:p>
        </w:tc>
        <w:tc>
          <w:tcPr>
            <w:tcW w:w="0" w:type="auto"/>
            <w:gridSpan w:val="3"/>
            <w:tcMar>
              <w:top w:w="0" w:type="dxa"/>
              <w:left w:w="20" w:type="dxa"/>
              <w:bottom w:w="0" w:type="dxa"/>
              <w:right w:w="20" w:type="dxa"/>
            </w:tcMar>
            <w:vAlign w:val="center"/>
            <w:hideMark/>
          </w:tcPr>
          <w:p w14:paraId="70EE7892"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794762C" w14:textId="77777777" w:rsidR="00000000" w:rsidRDefault="00C1661D">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14:paraId="658636A5"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8EB4EC7" w14:textId="77777777" w:rsidR="00000000" w:rsidRDefault="00C1661D">
            <w:pPr>
              <w:spacing w:after="100"/>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14:paraId="263A0548"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AE95E98" w14:textId="77777777" w:rsidR="00000000" w:rsidRDefault="00C1661D">
            <w:pPr>
              <w:spacing w:after="100"/>
              <w:jc w:val="center"/>
              <w:rPr>
                <w:rFonts w:eastAsia="Times New Roman"/>
              </w:rPr>
            </w:pPr>
            <w:r>
              <w:rPr>
                <w:rFonts w:eastAsia="Times New Roman"/>
                <w:color w:val="000000"/>
                <w:sz w:val="16"/>
                <w:szCs w:val="16"/>
              </w:rPr>
              <w:t>Midstream</w:t>
            </w:r>
            <w:r>
              <w:rPr>
                <w:rFonts w:eastAsia="Times New Roman"/>
                <w:color w:val="000000"/>
                <w:sz w:val="16"/>
                <w:szCs w:val="16"/>
              </w:rPr>
              <w:br/>
              <w:t>&amp; Marketing</w:t>
            </w:r>
          </w:p>
        </w:tc>
        <w:tc>
          <w:tcPr>
            <w:tcW w:w="0" w:type="auto"/>
            <w:gridSpan w:val="3"/>
            <w:tcMar>
              <w:top w:w="0" w:type="dxa"/>
              <w:left w:w="20" w:type="dxa"/>
              <w:bottom w:w="0" w:type="dxa"/>
              <w:right w:w="20" w:type="dxa"/>
            </w:tcMar>
            <w:vAlign w:val="center"/>
            <w:hideMark/>
          </w:tcPr>
          <w:p w14:paraId="05DEB2FB"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B84FEC8" w14:textId="77777777" w:rsidR="00000000" w:rsidRDefault="00C1661D">
            <w:pPr>
              <w:spacing w:after="100"/>
              <w:jc w:val="center"/>
              <w:rPr>
                <w:rFonts w:eastAsia="Times New Roman"/>
              </w:rPr>
            </w:pPr>
            <w:r>
              <w:rPr>
                <w:rFonts w:eastAsia="Times New Roman"/>
                <w:color w:val="000000"/>
                <w:sz w:val="16"/>
                <w:szCs w:val="16"/>
              </w:rPr>
              <w:t>Utilities</w:t>
            </w:r>
          </w:p>
        </w:tc>
        <w:tc>
          <w:tcPr>
            <w:tcW w:w="0" w:type="auto"/>
            <w:gridSpan w:val="3"/>
            <w:tcMar>
              <w:top w:w="0" w:type="dxa"/>
              <w:left w:w="20" w:type="dxa"/>
              <w:bottom w:w="0" w:type="dxa"/>
              <w:right w:w="20" w:type="dxa"/>
            </w:tcMar>
            <w:vAlign w:val="center"/>
            <w:hideMark/>
          </w:tcPr>
          <w:p w14:paraId="482F0FF4"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083E08D" w14:textId="77777777" w:rsidR="00000000" w:rsidRDefault="00C1661D">
            <w:pPr>
              <w:spacing w:after="100"/>
              <w:jc w:val="center"/>
              <w:rPr>
                <w:rFonts w:eastAsia="Times New Roman"/>
              </w:rPr>
            </w:pPr>
            <w:r>
              <w:rPr>
                <w:rFonts w:eastAsia="Times New Roman"/>
                <w:color w:val="000000"/>
                <w:sz w:val="16"/>
                <w:szCs w:val="16"/>
              </w:rPr>
              <w:t>Corporate &amp;</w:t>
            </w:r>
            <w:r>
              <w:rPr>
                <w:rFonts w:eastAsia="Times New Roman"/>
                <w:color w:val="000000"/>
                <w:sz w:val="16"/>
                <w:szCs w:val="16"/>
              </w:rPr>
              <w:br/>
              <w:t>Other (a)</w:t>
            </w:r>
          </w:p>
        </w:tc>
      </w:tr>
      <w:tr w:rsidR="00000000" w14:paraId="2DAB3334" w14:textId="77777777">
        <w:trPr>
          <w:divId w:val="636765284"/>
        </w:trPr>
        <w:tc>
          <w:tcPr>
            <w:tcW w:w="0" w:type="auto"/>
            <w:gridSpan w:val="3"/>
            <w:shd w:val="clear" w:color="auto" w:fill="FFFFFF"/>
            <w:tcMar>
              <w:top w:w="30" w:type="dxa"/>
              <w:left w:w="20" w:type="dxa"/>
              <w:bottom w:w="30" w:type="dxa"/>
              <w:right w:w="20" w:type="dxa"/>
            </w:tcMar>
            <w:vAlign w:val="bottom"/>
            <w:hideMark/>
          </w:tcPr>
          <w:p w14:paraId="36ED36F7" w14:textId="77777777" w:rsidR="00000000" w:rsidRDefault="00C1661D">
            <w:pPr>
              <w:spacing w:after="100"/>
              <w:rPr>
                <w:rFonts w:eastAsia="Times New Roman"/>
              </w:rPr>
            </w:pPr>
            <w:r>
              <w:rPr>
                <w:rFonts w:eastAsia="Times New Roman"/>
                <w:color w:val="000000"/>
                <w:sz w:val="16"/>
                <w:szCs w:val="16"/>
              </w:rPr>
              <w:t>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5627F77" w14:textId="77777777" w:rsidR="00000000" w:rsidRDefault="00C1661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6EC0DAFC"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79DDED1" w14:textId="77777777" w:rsidR="00000000" w:rsidRDefault="00C1661D">
            <w:pPr>
              <w:spacing w:after="100"/>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14:paraId="7E7A0011" w14:textId="77777777" w:rsidR="00000000" w:rsidRDefault="00C1661D">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9618E07" w14:textId="77777777" w:rsidR="00000000" w:rsidRDefault="00C1661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E927424"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37E5B7F" w14:textId="77777777" w:rsidR="00000000" w:rsidRDefault="00C1661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51890FD8"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231C34A" w14:textId="77777777" w:rsidR="00000000" w:rsidRDefault="00C1661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A1D9DFD"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D42BDE9" w14:textId="77777777" w:rsidR="00000000" w:rsidRDefault="00C1661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047C8D08" w14:textId="77777777" w:rsidR="00000000" w:rsidRDefault="00C1661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93B2946" w14:textId="77777777" w:rsidR="00000000" w:rsidRDefault="00C1661D">
            <w:pPr>
              <w:spacing w:after="100"/>
              <w:rPr>
                <w:rFonts w:eastAsia="Times New Roman"/>
              </w:rPr>
            </w:pPr>
            <w:r>
              <w:rPr>
                <w:rFonts w:eastAsia="Times New Roman"/>
                <w:color w:val="000000"/>
                <w:sz w:val="16"/>
                <w:szCs w:val="16"/>
              </w:rPr>
              <w:t> </w:t>
            </w:r>
          </w:p>
        </w:tc>
      </w:tr>
      <w:tr w:rsidR="00C1661D" w14:paraId="088249C5" w14:textId="77777777">
        <w:trPr>
          <w:divId w:val="636765284"/>
        </w:trPr>
        <w:tc>
          <w:tcPr>
            <w:tcW w:w="0" w:type="auto"/>
            <w:gridSpan w:val="3"/>
            <w:shd w:val="clear" w:color="auto" w:fill="CCEEFF"/>
            <w:tcMar>
              <w:top w:w="30" w:type="dxa"/>
              <w:left w:w="155" w:type="dxa"/>
              <w:bottom w:w="30" w:type="dxa"/>
              <w:right w:w="20" w:type="dxa"/>
            </w:tcMar>
            <w:vAlign w:val="bottom"/>
            <w:hideMark/>
          </w:tcPr>
          <w:p w14:paraId="1BD82464" w14:textId="77777777" w:rsidR="00000000" w:rsidRDefault="00C1661D">
            <w:pPr>
              <w:spacing w:after="100"/>
              <w:rPr>
                <w:rFonts w:eastAsia="Times New Roman"/>
              </w:rPr>
            </w:pPr>
            <w:r>
              <w:rPr>
                <w:rFonts w:eastAsia="Times New Roman"/>
                <w:color w:val="000000"/>
                <w:sz w:val="16"/>
                <w:szCs w:val="16"/>
              </w:rPr>
              <w:t>Revenues from external customers</w:t>
            </w:r>
          </w:p>
        </w:tc>
        <w:tc>
          <w:tcPr>
            <w:tcW w:w="0" w:type="auto"/>
            <w:shd w:val="clear" w:color="auto" w:fill="CCEEFF"/>
            <w:tcMar>
              <w:top w:w="30" w:type="dxa"/>
              <w:left w:w="20" w:type="dxa"/>
              <w:bottom w:w="30" w:type="dxa"/>
              <w:right w:w="0" w:type="dxa"/>
            </w:tcMar>
            <w:vAlign w:val="bottom"/>
            <w:hideMark/>
          </w:tcPr>
          <w:p w14:paraId="4DF8C347"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B686869" w14:textId="77777777" w:rsidR="00000000" w:rsidRDefault="00C1661D">
            <w:pPr>
              <w:spacing w:after="100"/>
              <w:jc w:val="right"/>
              <w:rPr>
                <w:rFonts w:eastAsia="Times New Roman"/>
              </w:rPr>
            </w:pPr>
            <w:r>
              <w:rPr>
                <w:rFonts w:eastAsia="Times New Roman"/>
                <w:color w:val="000000"/>
                <w:sz w:val="16"/>
                <w:szCs w:val="16"/>
              </w:rPr>
              <w:t>10,106 </w:t>
            </w:r>
          </w:p>
        </w:tc>
        <w:tc>
          <w:tcPr>
            <w:tcW w:w="0" w:type="auto"/>
            <w:shd w:val="clear" w:color="auto" w:fill="CCEEFF"/>
            <w:tcMar>
              <w:top w:w="30" w:type="dxa"/>
              <w:left w:w="0" w:type="dxa"/>
              <w:bottom w:w="30" w:type="dxa"/>
              <w:right w:w="20" w:type="dxa"/>
            </w:tcMar>
            <w:vAlign w:val="bottom"/>
            <w:hideMark/>
          </w:tcPr>
          <w:p w14:paraId="4F7A7A6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5CD35"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8E284B"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5ACAE5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CAA464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5714D7"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6C77078"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C3288CF" w14:textId="77777777" w:rsidR="00000000" w:rsidRDefault="00C1661D">
            <w:pPr>
              <w:spacing w:after="100"/>
              <w:jc w:val="right"/>
              <w:rPr>
                <w:rFonts w:eastAsia="Times New Roman"/>
              </w:rPr>
            </w:pPr>
            <w:r>
              <w:rPr>
                <w:rFonts w:eastAsia="Times New Roman"/>
                <w:color w:val="000000"/>
                <w:sz w:val="16"/>
                <w:szCs w:val="16"/>
              </w:rPr>
              <w:t>2,943 </w:t>
            </w:r>
          </w:p>
        </w:tc>
        <w:tc>
          <w:tcPr>
            <w:tcW w:w="0" w:type="auto"/>
            <w:shd w:val="clear" w:color="auto" w:fill="CCEEFF"/>
            <w:tcMar>
              <w:top w:w="30" w:type="dxa"/>
              <w:left w:w="0" w:type="dxa"/>
              <w:bottom w:w="30" w:type="dxa"/>
              <w:right w:w="20" w:type="dxa"/>
            </w:tcMar>
            <w:vAlign w:val="bottom"/>
            <w:hideMark/>
          </w:tcPr>
          <w:p w14:paraId="59B71F2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33E11B"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E4FA7E5"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0E8C2EC" w14:textId="77777777" w:rsidR="00000000" w:rsidRDefault="00C1661D">
            <w:pPr>
              <w:spacing w:after="100"/>
              <w:jc w:val="right"/>
              <w:rPr>
                <w:rFonts w:eastAsia="Times New Roman"/>
              </w:rPr>
            </w:pPr>
            <w:r>
              <w:rPr>
                <w:rFonts w:eastAsia="Times New Roman"/>
                <w:color w:val="000000"/>
                <w:sz w:val="16"/>
                <w:szCs w:val="16"/>
              </w:rPr>
              <w:t>3,686 </w:t>
            </w:r>
          </w:p>
        </w:tc>
        <w:tc>
          <w:tcPr>
            <w:tcW w:w="0" w:type="auto"/>
            <w:shd w:val="clear" w:color="auto" w:fill="CCEEFF"/>
            <w:tcMar>
              <w:top w:w="30" w:type="dxa"/>
              <w:left w:w="0" w:type="dxa"/>
              <w:bottom w:w="30" w:type="dxa"/>
              <w:right w:w="20" w:type="dxa"/>
            </w:tcMar>
            <w:vAlign w:val="bottom"/>
            <w:hideMark/>
          </w:tcPr>
          <w:p w14:paraId="2C8AC38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7D071C"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186A5EB"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5982606" w14:textId="77777777" w:rsidR="00000000" w:rsidRDefault="00C1661D">
            <w:pPr>
              <w:spacing w:after="100"/>
              <w:jc w:val="right"/>
              <w:rPr>
                <w:rFonts w:eastAsia="Times New Roman"/>
              </w:rPr>
            </w:pPr>
            <w:r>
              <w:rPr>
                <w:rFonts w:eastAsia="Times New Roman"/>
                <w:color w:val="000000"/>
                <w:sz w:val="16"/>
                <w:szCs w:val="16"/>
              </w:rPr>
              <w:t>1,957 </w:t>
            </w:r>
          </w:p>
        </w:tc>
        <w:tc>
          <w:tcPr>
            <w:tcW w:w="0" w:type="auto"/>
            <w:shd w:val="clear" w:color="auto" w:fill="CCEEFF"/>
            <w:tcMar>
              <w:top w:w="30" w:type="dxa"/>
              <w:left w:w="0" w:type="dxa"/>
              <w:bottom w:w="30" w:type="dxa"/>
              <w:right w:w="20" w:type="dxa"/>
            </w:tcMar>
            <w:vAlign w:val="bottom"/>
            <w:hideMark/>
          </w:tcPr>
          <w:p w14:paraId="48F7A58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96BEE1"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525A178"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FB0495D" w14:textId="77777777" w:rsidR="00000000" w:rsidRDefault="00C1661D">
            <w:pPr>
              <w:spacing w:after="100"/>
              <w:jc w:val="right"/>
              <w:rPr>
                <w:rFonts w:eastAsia="Times New Roman"/>
              </w:rPr>
            </w:pPr>
            <w:r>
              <w:rPr>
                <w:rFonts w:eastAsia="Times New Roman"/>
                <w:color w:val="000000"/>
                <w:sz w:val="16"/>
                <w:szCs w:val="16"/>
              </w:rPr>
              <w:t>1,515 </w:t>
            </w:r>
          </w:p>
        </w:tc>
        <w:tc>
          <w:tcPr>
            <w:tcW w:w="0" w:type="auto"/>
            <w:shd w:val="clear" w:color="auto" w:fill="CCEEFF"/>
            <w:tcMar>
              <w:top w:w="30" w:type="dxa"/>
              <w:left w:w="0" w:type="dxa"/>
              <w:bottom w:w="30" w:type="dxa"/>
              <w:right w:w="20" w:type="dxa"/>
            </w:tcMar>
            <w:vAlign w:val="bottom"/>
            <w:hideMark/>
          </w:tcPr>
          <w:p w14:paraId="28FB6DA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AA2C55"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73871B"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A12E291" w14:textId="77777777" w:rsidR="00000000" w:rsidRDefault="00C1661D">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14:paraId="118A7A4B" w14:textId="77777777" w:rsidR="00000000" w:rsidRDefault="00C1661D">
            <w:pPr>
              <w:spacing w:after="100"/>
              <w:jc w:val="right"/>
              <w:rPr>
                <w:rFonts w:eastAsia="Times New Roman"/>
              </w:rPr>
            </w:pPr>
          </w:p>
        </w:tc>
      </w:tr>
      <w:tr w:rsidR="00C1661D" w14:paraId="2FAD8DE8" w14:textId="77777777">
        <w:trPr>
          <w:divId w:val="636765284"/>
        </w:trPr>
        <w:tc>
          <w:tcPr>
            <w:tcW w:w="0" w:type="auto"/>
            <w:gridSpan w:val="3"/>
            <w:shd w:val="clear" w:color="auto" w:fill="FFFFFF"/>
            <w:tcMar>
              <w:top w:w="30" w:type="dxa"/>
              <w:left w:w="155" w:type="dxa"/>
              <w:bottom w:w="30" w:type="dxa"/>
              <w:right w:w="20" w:type="dxa"/>
            </w:tcMar>
            <w:vAlign w:val="bottom"/>
            <w:hideMark/>
          </w:tcPr>
          <w:p w14:paraId="0954B8BA" w14:textId="77777777" w:rsidR="00000000" w:rsidRDefault="00C1661D">
            <w:pPr>
              <w:spacing w:after="100"/>
              <w:rPr>
                <w:rFonts w:eastAsia="Times New Roman"/>
              </w:rPr>
            </w:pPr>
            <w:r>
              <w:rPr>
                <w:rFonts w:eastAsia="Times New Roman"/>
                <w:color w:val="000000"/>
                <w:sz w:val="16"/>
                <w:szCs w:val="16"/>
              </w:rPr>
              <w:t>Intersegment revenues</w:t>
            </w:r>
          </w:p>
        </w:tc>
        <w:tc>
          <w:tcPr>
            <w:tcW w:w="0" w:type="auto"/>
            <w:shd w:val="clear" w:color="auto" w:fill="FFFFFF"/>
            <w:tcMar>
              <w:top w:w="30" w:type="dxa"/>
              <w:left w:w="20" w:type="dxa"/>
              <w:bottom w:w="30" w:type="dxa"/>
              <w:right w:w="0" w:type="dxa"/>
            </w:tcMar>
            <w:vAlign w:val="bottom"/>
            <w:hideMark/>
          </w:tcPr>
          <w:p w14:paraId="123F66DA"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5598447"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6344B6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3E277B"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7D6AD5"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C783C5A" w14:textId="77777777" w:rsidR="00000000" w:rsidRDefault="00C1661D">
            <w:pPr>
              <w:spacing w:after="100"/>
              <w:jc w:val="right"/>
              <w:rPr>
                <w:rFonts w:eastAsia="Times New Roman"/>
              </w:rPr>
            </w:pPr>
            <w:r>
              <w:rPr>
                <w:rFonts w:eastAsia="Times New Roman"/>
                <w:color w:val="000000"/>
                <w:sz w:val="16"/>
                <w:szCs w:val="16"/>
              </w:rPr>
              <w:t>(477)</w:t>
            </w:r>
          </w:p>
        </w:tc>
        <w:tc>
          <w:tcPr>
            <w:tcW w:w="0" w:type="auto"/>
            <w:shd w:val="clear" w:color="auto" w:fill="FFFFFF"/>
            <w:tcMar>
              <w:top w:w="30" w:type="dxa"/>
              <w:left w:w="0" w:type="dxa"/>
              <w:bottom w:w="30" w:type="dxa"/>
              <w:right w:w="20" w:type="dxa"/>
            </w:tcMar>
            <w:vAlign w:val="bottom"/>
            <w:hideMark/>
          </w:tcPr>
          <w:p w14:paraId="3BB033C5"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1BED5B2" w14:textId="77777777" w:rsidR="00000000" w:rsidRDefault="00C1661D">
            <w:pPr>
              <w:spacing w:after="100"/>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14:paraId="4118F24B"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513FEFC"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B29FE4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0D105C"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396B18"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2CE511C"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00A6D6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13ADD0"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CFFAA2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730613B" w14:textId="77777777" w:rsidR="00000000" w:rsidRDefault="00C1661D">
            <w:pPr>
              <w:spacing w:after="100"/>
              <w:jc w:val="right"/>
              <w:rPr>
                <w:rFonts w:eastAsia="Times New Roman"/>
              </w:rPr>
            </w:pPr>
            <w:r>
              <w:rPr>
                <w:rFonts w:eastAsia="Times New Roman"/>
                <w:color w:val="000000"/>
                <w:sz w:val="16"/>
                <w:szCs w:val="16"/>
              </w:rPr>
              <w:t>369 </w:t>
            </w:r>
          </w:p>
        </w:tc>
        <w:tc>
          <w:tcPr>
            <w:tcW w:w="0" w:type="auto"/>
            <w:shd w:val="clear" w:color="auto" w:fill="FFFFFF"/>
            <w:tcMar>
              <w:top w:w="30" w:type="dxa"/>
              <w:left w:w="0" w:type="dxa"/>
              <w:bottom w:w="30" w:type="dxa"/>
              <w:right w:w="20" w:type="dxa"/>
            </w:tcMar>
            <w:vAlign w:val="bottom"/>
            <w:hideMark/>
          </w:tcPr>
          <w:p w14:paraId="260EE8F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0BAE4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C29F199"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0265493" w14:textId="77777777" w:rsidR="00000000" w:rsidRDefault="00C1661D">
            <w:pPr>
              <w:spacing w:after="100"/>
              <w:jc w:val="right"/>
              <w:rPr>
                <w:rFonts w:eastAsia="Times New Roman"/>
              </w:rPr>
            </w:pPr>
            <w:r>
              <w:rPr>
                <w:rFonts w:eastAsia="Times New Roman"/>
                <w:color w:val="000000"/>
                <w:sz w:val="16"/>
                <w:szCs w:val="16"/>
              </w:rPr>
              <w:t>105 </w:t>
            </w:r>
          </w:p>
        </w:tc>
        <w:tc>
          <w:tcPr>
            <w:tcW w:w="0" w:type="auto"/>
            <w:shd w:val="clear" w:color="auto" w:fill="FFFFFF"/>
            <w:tcMar>
              <w:top w:w="30" w:type="dxa"/>
              <w:left w:w="0" w:type="dxa"/>
              <w:bottom w:w="30" w:type="dxa"/>
              <w:right w:w="20" w:type="dxa"/>
            </w:tcMar>
            <w:vAlign w:val="bottom"/>
            <w:hideMark/>
          </w:tcPr>
          <w:p w14:paraId="598744A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16574"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7DF080"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E8044C8" w14:textId="77777777" w:rsidR="00000000" w:rsidRDefault="00C1661D">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14:paraId="39DB5DE3" w14:textId="77777777" w:rsidR="00000000" w:rsidRDefault="00C1661D">
            <w:pPr>
              <w:spacing w:after="100"/>
              <w:jc w:val="right"/>
              <w:rPr>
                <w:rFonts w:eastAsia="Times New Roman"/>
              </w:rPr>
            </w:pPr>
          </w:p>
        </w:tc>
      </w:tr>
      <w:tr w:rsidR="00C1661D" w14:paraId="0DB5F133" w14:textId="77777777">
        <w:trPr>
          <w:divId w:val="636765284"/>
        </w:trPr>
        <w:tc>
          <w:tcPr>
            <w:tcW w:w="0" w:type="auto"/>
            <w:gridSpan w:val="3"/>
            <w:shd w:val="clear" w:color="auto" w:fill="CCEEFF"/>
            <w:tcMar>
              <w:top w:w="30" w:type="dxa"/>
              <w:left w:w="155" w:type="dxa"/>
              <w:bottom w:w="30" w:type="dxa"/>
              <w:right w:w="20" w:type="dxa"/>
            </w:tcMar>
            <w:vAlign w:val="bottom"/>
            <w:hideMark/>
          </w:tcPr>
          <w:p w14:paraId="3029B8DA" w14:textId="77777777" w:rsidR="00000000" w:rsidRDefault="00C1661D">
            <w:pPr>
              <w:spacing w:after="100"/>
              <w:rPr>
                <w:rFonts w:eastAsia="Times New Roman"/>
              </w:rPr>
            </w:pPr>
            <w:r>
              <w:rPr>
                <w:rFonts w:eastAsia="Times New Roman"/>
                <w:color w:val="000000"/>
                <w:sz w:val="16"/>
                <w:szCs w:val="16"/>
              </w:rPr>
              <w:t>Cost of sales</w:t>
            </w:r>
          </w:p>
        </w:tc>
        <w:tc>
          <w:tcPr>
            <w:tcW w:w="0" w:type="auto"/>
            <w:shd w:val="clear" w:color="auto" w:fill="CCEEFF"/>
            <w:tcMar>
              <w:top w:w="30" w:type="dxa"/>
              <w:left w:w="20" w:type="dxa"/>
              <w:bottom w:w="30" w:type="dxa"/>
              <w:right w:w="0" w:type="dxa"/>
            </w:tcMar>
            <w:vAlign w:val="bottom"/>
            <w:hideMark/>
          </w:tcPr>
          <w:p w14:paraId="4BA5462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E823B63" w14:textId="77777777" w:rsidR="00000000" w:rsidRDefault="00C1661D">
            <w:pPr>
              <w:spacing w:after="100"/>
              <w:jc w:val="right"/>
              <w:rPr>
                <w:rFonts w:eastAsia="Times New Roman"/>
              </w:rPr>
            </w:pPr>
            <w:r>
              <w:rPr>
                <w:rFonts w:eastAsia="Times New Roman"/>
                <w:color w:val="000000"/>
                <w:sz w:val="16"/>
                <w:szCs w:val="16"/>
              </w:rPr>
              <w:t>5,973 </w:t>
            </w:r>
          </w:p>
        </w:tc>
        <w:tc>
          <w:tcPr>
            <w:tcW w:w="0" w:type="auto"/>
            <w:shd w:val="clear" w:color="auto" w:fill="CCEEFF"/>
            <w:tcMar>
              <w:top w:w="30" w:type="dxa"/>
              <w:left w:w="0" w:type="dxa"/>
              <w:bottom w:w="30" w:type="dxa"/>
              <w:right w:w="20" w:type="dxa"/>
            </w:tcMar>
            <w:vAlign w:val="bottom"/>
            <w:hideMark/>
          </w:tcPr>
          <w:p w14:paraId="052D154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9686EF"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C34A81"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90DFBE0" w14:textId="77777777" w:rsidR="00000000" w:rsidRDefault="00C1661D">
            <w:pPr>
              <w:spacing w:after="100"/>
              <w:jc w:val="right"/>
              <w:rPr>
                <w:rFonts w:eastAsia="Times New Roman"/>
              </w:rPr>
            </w:pPr>
            <w:r>
              <w:rPr>
                <w:rFonts w:eastAsia="Times New Roman"/>
                <w:color w:val="000000"/>
                <w:sz w:val="16"/>
                <w:szCs w:val="16"/>
              </w:rPr>
              <w:t>(474)</w:t>
            </w:r>
          </w:p>
        </w:tc>
        <w:tc>
          <w:tcPr>
            <w:tcW w:w="0" w:type="auto"/>
            <w:shd w:val="clear" w:color="auto" w:fill="CCEEFF"/>
            <w:tcMar>
              <w:top w:w="30" w:type="dxa"/>
              <w:left w:w="0" w:type="dxa"/>
              <w:bottom w:w="30" w:type="dxa"/>
              <w:right w:w="20" w:type="dxa"/>
            </w:tcMar>
            <w:vAlign w:val="bottom"/>
            <w:hideMark/>
          </w:tcPr>
          <w:p w14:paraId="48847F04"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E09A79A" w14:textId="77777777" w:rsidR="00000000" w:rsidRDefault="00C1661D">
            <w:pPr>
              <w:spacing w:after="100"/>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14:paraId="736F8F0A"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9CF7982" w14:textId="77777777" w:rsidR="00000000" w:rsidRDefault="00C1661D">
            <w:pPr>
              <w:spacing w:after="100"/>
              <w:jc w:val="right"/>
              <w:rPr>
                <w:rFonts w:eastAsia="Times New Roman"/>
              </w:rPr>
            </w:pPr>
            <w:r>
              <w:rPr>
                <w:rFonts w:eastAsia="Times New Roman"/>
                <w:color w:val="000000"/>
                <w:sz w:val="16"/>
                <w:szCs w:val="16"/>
              </w:rPr>
              <w:t>1,613 </w:t>
            </w:r>
          </w:p>
        </w:tc>
        <w:tc>
          <w:tcPr>
            <w:tcW w:w="0" w:type="auto"/>
            <w:shd w:val="clear" w:color="auto" w:fill="CCEEFF"/>
            <w:tcMar>
              <w:top w:w="30" w:type="dxa"/>
              <w:left w:w="0" w:type="dxa"/>
              <w:bottom w:w="30" w:type="dxa"/>
              <w:right w:w="20" w:type="dxa"/>
            </w:tcMar>
            <w:vAlign w:val="bottom"/>
            <w:hideMark/>
          </w:tcPr>
          <w:p w14:paraId="477521E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A2852A"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DB8BD4"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D900953" w14:textId="77777777" w:rsidR="00000000" w:rsidRDefault="00C1661D">
            <w:pPr>
              <w:spacing w:after="100"/>
              <w:jc w:val="right"/>
              <w:rPr>
                <w:rFonts w:eastAsia="Times New Roman"/>
              </w:rPr>
            </w:pPr>
            <w:r>
              <w:rPr>
                <w:rFonts w:eastAsia="Times New Roman"/>
                <w:color w:val="000000"/>
                <w:sz w:val="16"/>
                <w:szCs w:val="16"/>
              </w:rPr>
              <w:t>2,751 </w:t>
            </w:r>
          </w:p>
        </w:tc>
        <w:tc>
          <w:tcPr>
            <w:tcW w:w="0" w:type="auto"/>
            <w:shd w:val="clear" w:color="auto" w:fill="CCEEFF"/>
            <w:tcMar>
              <w:top w:w="30" w:type="dxa"/>
              <w:left w:w="0" w:type="dxa"/>
              <w:bottom w:w="30" w:type="dxa"/>
              <w:right w:w="20" w:type="dxa"/>
            </w:tcMar>
            <w:vAlign w:val="bottom"/>
            <w:hideMark/>
          </w:tcPr>
          <w:p w14:paraId="29C28FA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0E56C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241152"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7B94864" w14:textId="77777777" w:rsidR="00000000" w:rsidRDefault="00C1661D">
            <w:pPr>
              <w:spacing w:after="100"/>
              <w:jc w:val="right"/>
              <w:rPr>
                <w:rFonts w:eastAsia="Times New Roman"/>
              </w:rPr>
            </w:pPr>
            <w:r>
              <w:rPr>
                <w:rFonts w:eastAsia="Times New Roman"/>
                <w:color w:val="000000"/>
                <w:sz w:val="16"/>
                <w:szCs w:val="16"/>
              </w:rPr>
              <w:t>1,876 </w:t>
            </w:r>
          </w:p>
        </w:tc>
        <w:tc>
          <w:tcPr>
            <w:tcW w:w="0" w:type="auto"/>
            <w:shd w:val="clear" w:color="auto" w:fill="CCEEFF"/>
            <w:tcMar>
              <w:top w:w="30" w:type="dxa"/>
              <w:left w:w="0" w:type="dxa"/>
              <w:bottom w:w="30" w:type="dxa"/>
              <w:right w:w="20" w:type="dxa"/>
            </w:tcMar>
            <w:vAlign w:val="bottom"/>
            <w:hideMark/>
          </w:tcPr>
          <w:p w14:paraId="6A1AD06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B93850"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9B22070"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1935E8D" w14:textId="77777777" w:rsidR="00000000" w:rsidRDefault="00C1661D">
            <w:pPr>
              <w:spacing w:after="100"/>
              <w:jc w:val="right"/>
              <w:rPr>
                <w:rFonts w:eastAsia="Times New Roman"/>
              </w:rPr>
            </w:pPr>
            <w:r>
              <w:rPr>
                <w:rFonts w:eastAsia="Times New Roman"/>
                <w:color w:val="000000"/>
                <w:sz w:val="16"/>
                <w:szCs w:val="16"/>
              </w:rPr>
              <w:t>798 </w:t>
            </w:r>
          </w:p>
        </w:tc>
        <w:tc>
          <w:tcPr>
            <w:tcW w:w="0" w:type="auto"/>
            <w:shd w:val="clear" w:color="auto" w:fill="CCEEFF"/>
            <w:tcMar>
              <w:top w:w="30" w:type="dxa"/>
              <w:left w:w="0" w:type="dxa"/>
              <w:bottom w:w="30" w:type="dxa"/>
              <w:right w:w="20" w:type="dxa"/>
            </w:tcMar>
            <w:vAlign w:val="bottom"/>
            <w:hideMark/>
          </w:tcPr>
          <w:p w14:paraId="2D9F165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2926FA"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4C92C13"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4AC93EB" w14:textId="77777777" w:rsidR="00000000" w:rsidRDefault="00C1661D">
            <w:pPr>
              <w:spacing w:after="100"/>
              <w:jc w:val="right"/>
              <w:rPr>
                <w:rFonts w:eastAsia="Times New Roman"/>
              </w:rPr>
            </w:pPr>
            <w:r>
              <w:rPr>
                <w:rFonts w:eastAsia="Times New Roman"/>
                <w:color w:val="000000"/>
                <w:sz w:val="16"/>
                <w:szCs w:val="16"/>
              </w:rPr>
              <w:t>(591)</w:t>
            </w:r>
          </w:p>
        </w:tc>
        <w:tc>
          <w:tcPr>
            <w:tcW w:w="0" w:type="auto"/>
            <w:shd w:val="clear" w:color="auto" w:fill="CCEEFF"/>
            <w:tcMar>
              <w:top w:w="30" w:type="dxa"/>
              <w:left w:w="0" w:type="dxa"/>
              <w:bottom w:w="30" w:type="dxa"/>
              <w:right w:w="20" w:type="dxa"/>
            </w:tcMar>
            <w:vAlign w:val="bottom"/>
            <w:hideMark/>
          </w:tcPr>
          <w:p w14:paraId="5BB36EFE" w14:textId="77777777" w:rsidR="00000000" w:rsidRDefault="00C1661D">
            <w:pPr>
              <w:spacing w:after="100"/>
              <w:jc w:val="right"/>
              <w:rPr>
                <w:rFonts w:eastAsia="Times New Roman"/>
              </w:rPr>
            </w:pPr>
          </w:p>
        </w:tc>
      </w:tr>
      <w:tr w:rsidR="00C1661D" w14:paraId="3CD93DF8" w14:textId="77777777">
        <w:trPr>
          <w:divId w:val="636765284"/>
        </w:trPr>
        <w:tc>
          <w:tcPr>
            <w:tcW w:w="0" w:type="auto"/>
            <w:gridSpan w:val="3"/>
            <w:shd w:val="clear" w:color="auto" w:fill="FFFFFF"/>
            <w:tcMar>
              <w:top w:w="30" w:type="dxa"/>
              <w:left w:w="155" w:type="dxa"/>
              <w:bottom w:w="30" w:type="dxa"/>
              <w:right w:w="20" w:type="dxa"/>
            </w:tcMar>
            <w:vAlign w:val="bottom"/>
            <w:hideMark/>
          </w:tcPr>
          <w:p w14:paraId="17F2ECB9" w14:textId="77777777" w:rsidR="00000000" w:rsidRDefault="00C1661D">
            <w:pPr>
              <w:spacing w:after="100"/>
              <w:rPr>
                <w:rFonts w:eastAsia="Times New Roman"/>
              </w:rPr>
            </w:pPr>
            <w:r>
              <w:rPr>
                <w:rFonts w:eastAsia="Times New Roman"/>
                <w:color w:val="000000"/>
                <w:sz w:val="16"/>
                <w:szCs w:val="16"/>
              </w:rPr>
              <w:t xml:space="preserve">Operating income </w:t>
            </w:r>
          </w:p>
        </w:tc>
        <w:tc>
          <w:tcPr>
            <w:tcW w:w="0" w:type="auto"/>
            <w:shd w:val="clear" w:color="auto" w:fill="FFFFFF"/>
            <w:tcMar>
              <w:top w:w="30" w:type="dxa"/>
              <w:left w:w="20" w:type="dxa"/>
              <w:bottom w:w="30" w:type="dxa"/>
              <w:right w:w="0" w:type="dxa"/>
            </w:tcMar>
            <w:vAlign w:val="bottom"/>
            <w:hideMark/>
          </w:tcPr>
          <w:p w14:paraId="5D703BB7"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5AFB266" w14:textId="77777777" w:rsidR="00000000" w:rsidRDefault="00C1661D">
            <w:pPr>
              <w:spacing w:after="100"/>
              <w:jc w:val="right"/>
              <w:rPr>
                <w:rFonts w:eastAsia="Times New Roman"/>
              </w:rPr>
            </w:pPr>
            <w:r>
              <w:rPr>
                <w:rFonts w:eastAsia="Times New Roman"/>
                <w:color w:val="000000"/>
                <w:sz w:val="16"/>
                <w:szCs w:val="16"/>
              </w:rPr>
              <w:t>1,666 </w:t>
            </w:r>
          </w:p>
        </w:tc>
        <w:tc>
          <w:tcPr>
            <w:tcW w:w="0" w:type="auto"/>
            <w:shd w:val="clear" w:color="auto" w:fill="FFFFFF"/>
            <w:tcMar>
              <w:top w:w="30" w:type="dxa"/>
              <w:left w:w="0" w:type="dxa"/>
              <w:bottom w:w="30" w:type="dxa"/>
              <w:right w:w="20" w:type="dxa"/>
            </w:tcMar>
            <w:vAlign w:val="bottom"/>
            <w:hideMark/>
          </w:tcPr>
          <w:p w14:paraId="305BC18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1B5285"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399E4B"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77A8541"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256D892"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8BF173A" w14:textId="77777777" w:rsidR="00000000" w:rsidRDefault="00C1661D">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14:paraId="55EB0321"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3E3FAF5" w14:textId="77777777" w:rsidR="00000000" w:rsidRDefault="00C1661D">
            <w:pPr>
              <w:spacing w:after="100"/>
              <w:jc w:val="right"/>
              <w:rPr>
                <w:rFonts w:eastAsia="Times New Roman"/>
              </w:rPr>
            </w:pPr>
            <w:r>
              <w:rPr>
                <w:rFonts w:eastAsia="Times New Roman"/>
                <w:color w:val="000000"/>
                <w:sz w:val="16"/>
                <w:szCs w:val="16"/>
              </w:rPr>
              <w:t>307 </w:t>
            </w:r>
          </w:p>
        </w:tc>
        <w:tc>
          <w:tcPr>
            <w:tcW w:w="0" w:type="auto"/>
            <w:shd w:val="clear" w:color="auto" w:fill="FFFFFF"/>
            <w:tcMar>
              <w:top w:w="30" w:type="dxa"/>
              <w:left w:w="0" w:type="dxa"/>
              <w:bottom w:w="30" w:type="dxa"/>
              <w:right w:w="20" w:type="dxa"/>
            </w:tcMar>
            <w:vAlign w:val="bottom"/>
            <w:hideMark/>
          </w:tcPr>
          <w:p w14:paraId="4C1F470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55A1E"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8F2B07"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872AE98" w14:textId="77777777" w:rsidR="00000000" w:rsidRDefault="00C1661D">
            <w:pPr>
              <w:spacing w:after="100"/>
              <w:jc w:val="right"/>
              <w:rPr>
                <w:rFonts w:eastAsia="Times New Roman"/>
              </w:rPr>
            </w:pPr>
            <w:r>
              <w:rPr>
                <w:rFonts w:eastAsia="Times New Roman"/>
                <w:color w:val="000000"/>
                <w:sz w:val="16"/>
                <w:szCs w:val="16"/>
              </w:rPr>
              <w:t>237 </w:t>
            </w:r>
          </w:p>
        </w:tc>
        <w:tc>
          <w:tcPr>
            <w:tcW w:w="0" w:type="auto"/>
            <w:shd w:val="clear" w:color="auto" w:fill="FFFFFF"/>
            <w:tcMar>
              <w:top w:w="30" w:type="dxa"/>
              <w:left w:w="0" w:type="dxa"/>
              <w:bottom w:w="30" w:type="dxa"/>
              <w:right w:w="20" w:type="dxa"/>
            </w:tcMar>
            <w:vAlign w:val="bottom"/>
            <w:hideMark/>
          </w:tcPr>
          <w:p w14:paraId="52A0CB3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A1008D"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9F1FE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798A6EF" w14:textId="77777777" w:rsidR="00000000" w:rsidRDefault="00C1661D">
            <w:pPr>
              <w:spacing w:after="100"/>
              <w:jc w:val="right"/>
              <w:rPr>
                <w:rFonts w:eastAsia="Times New Roman"/>
              </w:rPr>
            </w:pPr>
            <w:r>
              <w:rPr>
                <w:rFonts w:eastAsia="Times New Roman"/>
                <w:color w:val="000000"/>
                <w:sz w:val="16"/>
                <w:szCs w:val="16"/>
              </w:rPr>
              <w:t>246 </w:t>
            </w:r>
          </w:p>
        </w:tc>
        <w:tc>
          <w:tcPr>
            <w:tcW w:w="0" w:type="auto"/>
            <w:shd w:val="clear" w:color="auto" w:fill="FFFFFF"/>
            <w:tcMar>
              <w:top w:w="30" w:type="dxa"/>
              <w:left w:w="0" w:type="dxa"/>
              <w:bottom w:w="30" w:type="dxa"/>
              <w:right w:w="20" w:type="dxa"/>
            </w:tcMar>
            <w:vAlign w:val="bottom"/>
            <w:hideMark/>
          </w:tcPr>
          <w:p w14:paraId="0648DE8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8D309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78CF083"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4F39027" w14:textId="77777777" w:rsidR="00000000" w:rsidRDefault="00C1661D">
            <w:pPr>
              <w:spacing w:after="100"/>
              <w:jc w:val="right"/>
              <w:rPr>
                <w:rFonts w:eastAsia="Times New Roman"/>
              </w:rPr>
            </w:pPr>
            <w:r>
              <w:rPr>
                <w:rFonts w:eastAsia="Times New Roman"/>
                <w:color w:val="000000"/>
                <w:sz w:val="16"/>
                <w:szCs w:val="16"/>
              </w:rPr>
              <w:t>327 </w:t>
            </w:r>
          </w:p>
        </w:tc>
        <w:tc>
          <w:tcPr>
            <w:tcW w:w="0" w:type="auto"/>
            <w:shd w:val="clear" w:color="auto" w:fill="FFFFFF"/>
            <w:tcMar>
              <w:top w:w="30" w:type="dxa"/>
              <w:left w:w="0" w:type="dxa"/>
              <w:bottom w:w="30" w:type="dxa"/>
              <w:right w:w="20" w:type="dxa"/>
            </w:tcMar>
            <w:vAlign w:val="bottom"/>
            <w:hideMark/>
          </w:tcPr>
          <w:p w14:paraId="6EEE1BB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9CC0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057B04"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D4D2B10" w14:textId="77777777" w:rsidR="00000000" w:rsidRDefault="00C1661D">
            <w:pPr>
              <w:spacing w:after="100"/>
              <w:jc w:val="right"/>
              <w:rPr>
                <w:rFonts w:eastAsia="Times New Roman"/>
              </w:rPr>
            </w:pPr>
            <w:r>
              <w:rPr>
                <w:rFonts w:eastAsia="Times New Roman"/>
                <w:color w:val="000000"/>
                <w:sz w:val="16"/>
                <w:szCs w:val="16"/>
              </w:rPr>
              <w:t>549 </w:t>
            </w:r>
          </w:p>
        </w:tc>
        <w:tc>
          <w:tcPr>
            <w:tcW w:w="0" w:type="auto"/>
            <w:shd w:val="clear" w:color="auto" w:fill="FFFFFF"/>
            <w:tcMar>
              <w:top w:w="30" w:type="dxa"/>
              <w:left w:w="0" w:type="dxa"/>
              <w:bottom w:w="30" w:type="dxa"/>
              <w:right w:w="20" w:type="dxa"/>
            </w:tcMar>
            <w:vAlign w:val="bottom"/>
            <w:hideMark/>
          </w:tcPr>
          <w:p w14:paraId="3479B9CA" w14:textId="77777777" w:rsidR="00000000" w:rsidRDefault="00C1661D">
            <w:pPr>
              <w:spacing w:after="100"/>
              <w:jc w:val="right"/>
              <w:rPr>
                <w:rFonts w:eastAsia="Times New Roman"/>
              </w:rPr>
            </w:pPr>
          </w:p>
        </w:tc>
      </w:tr>
      <w:tr w:rsidR="00000000" w14:paraId="5E885314" w14:textId="77777777">
        <w:trPr>
          <w:divId w:val="636765284"/>
        </w:trPr>
        <w:tc>
          <w:tcPr>
            <w:tcW w:w="0" w:type="auto"/>
            <w:gridSpan w:val="3"/>
            <w:shd w:val="clear" w:color="auto" w:fill="CCEEFF"/>
            <w:tcMar>
              <w:top w:w="30" w:type="dxa"/>
              <w:left w:w="155" w:type="dxa"/>
              <w:bottom w:w="30" w:type="dxa"/>
              <w:right w:w="20" w:type="dxa"/>
            </w:tcMar>
            <w:vAlign w:val="bottom"/>
            <w:hideMark/>
          </w:tcPr>
          <w:p w14:paraId="752B26C9" w14:textId="77777777" w:rsidR="00000000" w:rsidRDefault="00C1661D">
            <w:pPr>
              <w:spacing w:after="100"/>
              <w:rPr>
                <w:rFonts w:eastAsia="Times New Roman"/>
              </w:rPr>
            </w:pPr>
            <w:r>
              <w:rPr>
                <w:rFonts w:eastAsia="Times New Roman"/>
                <w:color w:val="000000"/>
                <w:sz w:val="16"/>
                <w:szCs w:val="16"/>
              </w:rPr>
              <w:t>(Loss) income from equity investees</w:t>
            </w:r>
          </w:p>
        </w:tc>
        <w:tc>
          <w:tcPr>
            <w:tcW w:w="0" w:type="auto"/>
            <w:gridSpan w:val="2"/>
            <w:shd w:val="clear" w:color="auto" w:fill="CCEEFF"/>
            <w:tcMar>
              <w:top w:w="30" w:type="dxa"/>
              <w:left w:w="20" w:type="dxa"/>
              <w:bottom w:w="30" w:type="dxa"/>
              <w:right w:w="0" w:type="dxa"/>
            </w:tcMar>
            <w:vAlign w:val="bottom"/>
            <w:hideMark/>
          </w:tcPr>
          <w:p w14:paraId="137BE91B" w14:textId="77777777" w:rsidR="00000000" w:rsidRDefault="00C1661D">
            <w:pPr>
              <w:spacing w:after="100"/>
              <w:jc w:val="right"/>
              <w:rPr>
                <w:rFonts w:eastAsia="Times New Roman"/>
              </w:rPr>
            </w:pPr>
            <w:r>
              <w:rPr>
                <w:rFonts w:eastAsia="Times New Roman"/>
                <w:color w:val="000000"/>
                <w:sz w:val="16"/>
                <w:szCs w:val="16"/>
              </w:rPr>
              <w:t>(14)</w:t>
            </w:r>
          </w:p>
        </w:tc>
        <w:tc>
          <w:tcPr>
            <w:tcW w:w="0" w:type="auto"/>
            <w:shd w:val="clear" w:color="auto" w:fill="CCEEFF"/>
            <w:tcMar>
              <w:top w:w="30" w:type="dxa"/>
              <w:left w:w="0" w:type="dxa"/>
              <w:bottom w:w="30" w:type="dxa"/>
              <w:right w:w="20" w:type="dxa"/>
            </w:tcMar>
            <w:vAlign w:val="bottom"/>
            <w:hideMark/>
          </w:tcPr>
          <w:p w14:paraId="13AA5C7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B23A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832A91"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404A3F1"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1120EEC" w14:textId="77777777" w:rsidR="00000000" w:rsidRDefault="00C1661D">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14:paraId="7CD33A5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E71134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FEAE7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77F33B" w14:textId="77777777" w:rsidR="00000000" w:rsidRDefault="00C1661D">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14:paraId="17BAFCC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7FDF5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A7FB46" w14:textId="77777777" w:rsidR="00000000" w:rsidRDefault="00C1661D">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14:paraId="0E5F913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5283F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9C2DF6"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59BEA7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7DEB1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B166F6" w14:textId="77777777" w:rsidR="00000000" w:rsidRDefault="00C1661D">
            <w:pPr>
              <w:spacing w:after="100"/>
              <w:jc w:val="right"/>
              <w:rPr>
                <w:rFonts w:eastAsia="Times New Roman"/>
              </w:rPr>
            </w:pPr>
            <w:r>
              <w:rPr>
                <w:rFonts w:eastAsia="Times New Roman"/>
                <w:color w:val="000000"/>
                <w:sz w:val="16"/>
                <w:szCs w:val="16"/>
              </w:rPr>
              <w:t>(35)</w:t>
            </w:r>
          </w:p>
        </w:tc>
        <w:tc>
          <w:tcPr>
            <w:tcW w:w="0" w:type="auto"/>
            <w:shd w:val="clear" w:color="auto" w:fill="CCEEFF"/>
            <w:tcMar>
              <w:top w:w="30" w:type="dxa"/>
              <w:left w:w="0" w:type="dxa"/>
              <w:bottom w:w="30" w:type="dxa"/>
              <w:right w:w="20" w:type="dxa"/>
            </w:tcMar>
            <w:vAlign w:val="bottom"/>
            <w:hideMark/>
          </w:tcPr>
          <w:p w14:paraId="26C7EAD2" w14:textId="77777777" w:rsidR="00000000" w:rsidRDefault="00C1661D">
            <w:pPr>
              <w:spacing w:after="100"/>
              <w:jc w:val="right"/>
              <w:rPr>
                <w:rFonts w:eastAsia="Times New Roman"/>
              </w:rPr>
            </w:pPr>
          </w:p>
        </w:tc>
      </w:tr>
      <w:tr w:rsidR="00000000" w14:paraId="1C006BFC" w14:textId="77777777">
        <w:trPr>
          <w:divId w:val="636765284"/>
        </w:trPr>
        <w:tc>
          <w:tcPr>
            <w:tcW w:w="0" w:type="auto"/>
            <w:gridSpan w:val="3"/>
            <w:shd w:val="clear" w:color="auto" w:fill="FFFFFF"/>
            <w:tcMar>
              <w:top w:w="30" w:type="dxa"/>
              <w:left w:w="155" w:type="dxa"/>
              <w:bottom w:w="30" w:type="dxa"/>
              <w:right w:w="20" w:type="dxa"/>
            </w:tcMar>
            <w:vAlign w:val="bottom"/>
            <w:hideMark/>
          </w:tcPr>
          <w:p w14:paraId="2EE80979" w14:textId="77777777" w:rsidR="00000000" w:rsidRDefault="00C1661D">
            <w:pPr>
              <w:spacing w:after="100"/>
              <w:rPr>
                <w:rFonts w:eastAsia="Times New Roman"/>
              </w:rPr>
            </w:pPr>
            <w:r>
              <w:rPr>
                <w:rFonts w:eastAsia="Times New Roman"/>
                <w:color w:val="000000"/>
                <w:sz w:val="16"/>
                <w:szCs w:val="16"/>
              </w:rPr>
              <w:t>Loss on extinguishments of debt</w:t>
            </w:r>
          </w:p>
        </w:tc>
        <w:tc>
          <w:tcPr>
            <w:tcW w:w="0" w:type="auto"/>
            <w:gridSpan w:val="2"/>
            <w:shd w:val="clear" w:color="auto" w:fill="FFFFFF"/>
            <w:tcMar>
              <w:top w:w="30" w:type="dxa"/>
              <w:left w:w="20" w:type="dxa"/>
              <w:bottom w:w="30" w:type="dxa"/>
              <w:right w:w="0" w:type="dxa"/>
            </w:tcMar>
            <w:vAlign w:val="bottom"/>
            <w:hideMark/>
          </w:tcPr>
          <w:p w14:paraId="16C02D51" w14:textId="77777777" w:rsidR="00000000" w:rsidRDefault="00C1661D">
            <w:pPr>
              <w:spacing w:after="100"/>
              <w:jc w:val="right"/>
              <w:rPr>
                <w:rFonts w:eastAsia="Times New Roman"/>
              </w:rPr>
            </w:pPr>
            <w:r>
              <w:rPr>
                <w:rFonts w:eastAsia="Times New Roman"/>
                <w:color w:val="000000"/>
                <w:sz w:val="16"/>
                <w:szCs w:val="16"/>
              </w:rPr>
              <w:t>(11)</w:t>
            </w:r>
          </w:p>
        </w:tc>
        <w:tc>
          <w:tcPr>
            <w:tcW w:w="0" w:type="auto"/>
            <w:shd w:val="clear" w:color="auto" w:fill="FFFFFF"/>
            <w:tcMar>
              <w:top w:w="30" w:type="dxa"/>
              <w:left w:w="0" w:type="dxa"/>
              <w:bottom w:w="30" w:type="dxa"/>
              <w:right w:w="20" w:type="dxa"/>
            </w:tcMar>
            <w:vAlign w:val="bottom"/>
            <w:hideMark/>
          </w:tcPr>
          <w:p w14:paraId="6597456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E7D7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306ADE"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1808D4E"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BB9CE30" w14:textId="77777777" w:rsidR="00000000" w:rsidRDefault="00C1661D">
            <w:pPr>
              <w:spacing w:after="100"/>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14:paraId="5227F428"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1CE91F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C1F4F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DE76F9"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C871BD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445B8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782203"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6BD8A0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643C0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60A9F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764800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917C7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5FCF58" w14:textId="77777777" w:rsidR="00000000" w:rsidRDefault="00C1661D">
            <w:pPr>
              <w:spacing w:after="100"/>
              <w:jc w:val="right"/>
              <w:rPr>
                <w:rFonts w:eastAsia="Times New Roman"/>
              </w:rPr>
            </w:pPr>
            <w:r>
              <w:rPr>
                <w:rFonts w:eastAsia="Times New Roman"/>
                <w:color w:val="000000"/>
                <w:sz w:val="16"/>
                <w:szCs w:val="16"/>
              </w:rPr>
              <w:t>(11)</w:t>
            </w:r>
          </w:p>
        </w:tc>
        <w:tc>
          <w:tcPr>
            <w:tcW w:w="0" w:type="auto"/>
            <w:shd w:val="clear" w:color="auto" w:fill="FFFFFF"/>
            <w:tcMar>
              <w:top w:w="30" w:type="dxa"/>
              <w:left w:w="0" w:type="dxa"/>
              <w:bottom w:w="30" w:type="dxa"/>
              <w:right w:w="20" w:type="dxa"/>
            </w:tcMar>
            <w:vAlign w:val="bottom"/>
            <w:hideMark/>
          </w:tcPr>
          <w:p w14:paraId="7BA24A11" w14:textId="77777777" w:rsidR="00000000" w:rsidRDefault="00C1661D">
            <w:pPr>
              <w:spacing w:after="100"/>
              <w:jc w:val="right"/>
              <w:rPr>
                <w:rFonts w:eastAsia="Times New Roman"/>
              </w:rPr>
            </w:pPr>
          </w:p>
        </w:tc>
      </w:tr>
      <w:tr w:rsidR="00000000" w14:paraId="204F87D6" w14:textId="77777777">
        <w:trPr>
          <w:divId w:val="636765284"/>
        </w:trPr>
        <w:tc>
          <w:tcPr>
            <w:tcW w:w="0" w:type="auto"/>
            <w:gridSpan w:val="3"/>
            <w:shd w:val="clear" w:color="auto" w:fill="CCEEFF"/>
            <w:tcMar>
              <w:top w:w="30" w:type="dxa"/>
              <w:left w:w="155" w:type="dxa"/>
              <w:bottom w:w="30" w:type="dxa"/>
              <w:right w:w="20" w:type="dxa"/>
            </w:tcMar>
            <w:vAlign w:val="bottom"/>
            <w:hideMark/>
          </w:tcPr>
          <w:p w14:paraId="573B551F" w14:textId="77777777" w:rsidR="00000000" w:rsidRDefault="00C1661D">
            <w:pPr>
              <w:spacing w:after="100"/>
              <w:rPr>
                <w:rFonts w:eastAsia="Times New Roman"/>
              </w:rPr>
            </w:pPr>
            <w:r>
              <w:rPr>
                <w:rFonts w:eastAsia="Times New Roman"/>
                <w:color w:val="000000"/>
                <w:sz w:val="16"/>
                <w:szCs w:val="16"/>
              </w:rPr>
              <w:t>Other non-operating income, net</w:t>
            </w:r>
          </w:p>
        </w:tc>
        <w:tc>
          <w:tcPr>
            <w:tcW w:w="0" w:type="auto"/>
            <w:gridSpan w:val="2"/>
            <w:shd w:val="clear" w:color="auto" w:fill="CCEEFF"/>
            <w:tcMar>
              <w:top w:w="30" w:type="dxa"/>
              <w:left w:w="20" w:type="dxa"/>
              <w:bottom w:w="30" w:type="dxa"/>
              <w:right w:w="0" w:type="dxa"/>
            </w:tcMar>
            <w:vAlign w:val="bottom"/>
            <w:hideMark/>
          </w:tcPr>
          <w:p w14:paraId="1A3D7768" w14:textId="77777777" w:rsidR="00000000" w:rsidRDefault="00C1661D">
            <w:pPr>
              <w:spacing w:after="100"/>
              <w:jc w:val="right"/>
              <w:rPr>
                <w:rFonts w:eastAsia="Times New Roman"/>
              </w:rPr>
            </w:pPr>
            <w:r>
              <w:rPr>
                <w:rFonts w:eastAsia="Times New Roman"/>
                <w:color w:val="000000"/>
                <w:sz w:val="16"/>
                <w:szCs w:val="16"/>
              </w:rPr>
              <w:t>75 </w:t>
            </w:r>
          </w:p>
        </w:tc>
        <w:tc>
          <w:tcPr>
            <w:tcW w:w="0" w:type="auto"/>
            <w:shd w:val="clear" w:color="auto" w:fill="CCEEFF"/>
            <w:tcMar>
              <w:top w:w="30" w:type="dxa"/>
              <w:left w:w="0" w:type="dxa"/>
              <w:bottom w:w="30" w:type="dxa"/>
              <w:right w:w="20" w:type="dxa"/>
            </w:tcMar>
            <w:vAlign w:val="bottom"/>
            <w:hideMark/>
          </w:tcPr>
          <w:p w14:paraId="431A8EE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E8D74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97DB2B"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BBFDDC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AB2CD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E464B6"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BF878D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40274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2F5C21" w14:textId="77777777" w:rsidR="00000000" w:rsidRDefault="00C1661D">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14:paraId="21EE449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C93BB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0437BD"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FDB353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95338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E5C25E" w14:textId="77777777" w:rsidR="00000000" w:rsidRDefault="00C1661D">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14:paraId="365E563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1E02B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5B5A63" w14:textId="77777777" w:rsidR="00000000" w:rsidRDefault="00C1661D">
            <w:pPr>
              <w:spacing w:after="100"/>
              <w:jc w:val="right"/>
              <w:rPr>
                <w:rFonts w:eastAsia="Times New Roman"/>
              </w:rPr>
            </w:pPr>
            <w:r>
              <w:rPr>
                <w:rFonts w:eastAsia="Times New Roman"/>
                <w:color w:val="000000"/>
                <w:sz w:val="16"/>
                <w:szCs w:val="16"/>
              </w:rPr>
              <w:t>47 </w:t>
            </w:r>
          </w:p>
        </w:tc>
        <w:tc>
          <w:tcPr>
            <w:tcW w:w="0" w:type="auto"/>
            <w:shd w:val="clear" w:color="auto" w:fill="CCEEFF"/>
            <w:tcMar>
              <w:top w:w="30" w:type="dxa"/>
              <w:left w:w="0" w:type="dxa"/>
              <w:bottom w:w="30" w:type="dxa"/>
              <w:right w:w="20" w:type="dxa"/>
            </w:tcMar>
            <w:vAlign w:val="bottom"/>
            <w:hideMark/>
          </w:tcPr>
          <w:p w14:paraId="79A74002" w14:textId="77777777" w:rsidR="00000000" w:rsidRDefault="00C1661D">
            <w:pPr>
              <w:spacing w:after="100"/>
              <w:jc w:val="right"/>
              <w:rPr>
                <w:rFonts w:eastAsia="Times New Roman"/>
              </w:rPr>
            </w:pPr>
          </w:p>
        </w:tc>
      </w:tr>
      <w:tr w:rsidR="00000000" w14:paraId="7F09F88F" w14:textId="77777777">
        <w:trPr>
          <w:divId w:val="636765284"/>
        </w:trPr>
        <w:tc>
          <w:tcPr>
            <w:tcW w:w="0" w:type="auto"/>
            <w:gridSpan w:val="3"/>
            <w:shd w:val="clear" w:color="auto" w:fill="FFFFFF"/>
            <w:tcMar>
              <w:top w:w="30" w:type="dxa"/>
              <w:left w:w="155" w:type="dxa"/>
              <w:bottom w:w="30" w:type="dxa"/>
              <w:right w:w="20" w:type="dxa"/>
            </w:tcMar>
            <w:vAlign w:val="bottom"/>
            <w:hideMark/>
          </w:tcPr>
          <w:p w14:paraId="261AE101" w14:textId="77777777" w:rsidR="00000000" w:rsidRDefault="00C1661D">
            <w:pPr>
              <w:spacing w:after="100"/>
              <w:rPr>
                <w:rFonts w:eastAsia="Times New Roman"/>
              </w:rPr>
            </w:pPr>
            <w:r>
              <w:rPr>
                <w:rFonts w:eastAsia="Times New Roman"/>
                <w:color w:val="000000"/>
                <w:sz w:val="16"/>
                <w:szCs w:val="16"/>
              </w:rPr>
              <w:t>Earnings before interest expense and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36A90B" w14:textId="77777777" w:rsidR="00000000" w:rsidRDefault="00C1661D">
            <w:pPr>
              <w:spacing w:after="100"/>
              <w:jc w:val="right"/>
              <w:rPr>
                <w:rFonts w:eastAsia="Times New Roman"/>
              </w:rPr>
            </w:pPr>
            <w:r>
              <w:rPr>
                <w:rFonts w:eastAsia="Times New Roman"/>
                <w:color w:val="000000"/>
                <w:sz w:val="16"/>
                <w:szCs w:val="16"/>
              </w:rPr>
              <w:t>1,716 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00085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4D3A31"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BE2705"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EBADA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71BA69"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09005A" w14:textId="77777777" w:rsidR="00000000" w:rsidRDefault="00C1661D">
            <w:pPr>
              <w:spacing w:after="100"/>
              <w:jc w:val="right"/>
              <w:rPr>
                <w:rFonts w:eastAsia="Times New Roman"/>
              </w:rPr>
            </w:pPr>
            <w:r>
              <w:rPr>
                <w:rFonts w:eastAsia="Times New Roman"/>
                <w:color w:val="000000"/>
                <w:sz w:val="16"/>
                <w:szCs w:val="16"/>
              </w:rPr>
              <w:t>307 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5F24A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D2D92"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9A2843" w14:textId="77777777" w:rsidR="00000000" w:rsidRDefault="00C1661D">
            <w:pPr>
              <w:spacing w:after="100"/>
              <w:jc w:val="right"/>
              <w:rPr>
                <w:rFonts w:eastAsia="Times New Roman"/>
              </w:rPr>
            </w:pPr>
            <w:r>
              <w:rPr>
                <w:rFonts w:eastAsia="Times New Roman"/>
                <w:color w:val="000000"/>
                <w:sz w:val="16"/>
                <w:szCs w:val="16"/>
              </w:rPr>
              <w:t>254 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074D5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2DA7AA"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860809" w14:textId="77777777" w:rsidR="00000000" w:rsidRDefault="00C1661D">
            <w:pPr>
              <w:spacing w:after="100"/>
              <w:jc w:val="right"/>
              <w:rPr>
                <w:rFonts w:eastAsia="Times New Roman"/>
              </w:rPr>
            </w:pPr>
            <w:r>
              <w:rPr>
                <w:rFonts w:eastAsia="Times New Roman"/>
                <w:color w:val="000000"/>
                <w:sz w:val="16"/>
                <w:szCs w:val="16"/>
              </w:rPr>
              <w:t>269 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EF34F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CF863A"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5D3635" w14:textId="77777777" w:rsidR="00000000" w:rsidRDefault="00C1661D">
            <w:pPr>
              <w:spacing w:after="100"/>
              <w:jc w:val="right"/>
              <w:rPr>
                <w:rFonts w:eastAsia="Times New Roman"/>
              </w:rPr>
            </w:pPr>
            <w:r>
              <w:rPr>
                <w:rFonts w:eastAsia="Times New Roman"/>
                <w:color w:val="000000"/>
                <w:sz w:val="16"/>
                <w:szCs w:val="16"/>
              </w:rPr>
              <w:t>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F598F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FA5CE6"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CAD897" w14:textId="77777777" w:rsidR="00000000" w:rsidRDefault="00C1661D">
            <w:pPr>
              <w:spacing w:after="100"/>
              <w:jc w:val="right"/>
              <w:rPr>
                <w:rFonts w:eastAsia="Times New Roman"/>
              </w:rPr>
            </w:pPr>
            <w:r>
              <w:rPr>
                <w:rFonts w:eastAsia="Times New Roman"/>
                <w:color w:val="000000"/>
                <w:sz w:val="16"/>
                <w:szCs w:val="16"/>
              </w:rPr>
              <w:t>550 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E40E6C" w14:textId="77777777" w:rsidR="00000000" w:rsidRDefault="00C1661D">
            <w:pPr>
              <w:spacing w:after="100"/>
              <w:jc w:val="right"/>
              <w:rPr>
                <w:rFonts w:eastAsia="Times New Roman"/>
              </w:rPr>
            </w:pPr>
          </w:p>
        </w:tc>
      </w:tr>
      <w:tr w:rsidR="00000000" w14:paraId="78B1DA34" w14:textId="77777777">
        <w:trPr>
          <w:divId w:val="636765284"/>
        </w:trPr>
        <w:tc>
          <w:tcPr>
            <w:tcW w:w="0" w:type="auto"/>
            <w:gridSpan w:val="3"/>
            <w:shd w:val="clear" w:color="auto" w:fill="CCEEFF"/>
            <w:tcMar>
              <w:top w:w="30" w:type="dxa"/>
              <w:left w:w="155" w:type="dxa"/>
              <w:bottom w:w="30" w:type="dxa"/>
              <w:right w:w="20" w:type="dxa"/>
            </w:tcMar>
            <w:vAlign w:val="bottom"/>
            <w:hideMark/>
          </w:tcPr>
          <w:p w14:paraId="3C91700C" w14:textId="77777777" w:rsidR="00000000" w:rsidRDefault="00C1661D">
            <w:pPr>
              <w:spacing w:after="100"/>
              <w:rPr>
                <w:rFonts w:eastAsia="Times New Roman"/>
              </w:rPr>
            </w:pPr>
            <w:r>
              <w:rPr>
                <w:rFonts w:eastAsia="Times New Roman"/>
                <w:color w:val="000000"/>
                <w:sz w:val="16"/>
                <w:szCs w:val="16"/>
              </w:rPr>
              <w:t>Interest expense</w:t>
            </w:r>
          </w:p>
        </w:tc>
        <w:tc>
          <w:tcPr>
            <w:tcW w:w="0" w:type="auto"/>
            <w:gridSpan w:val="2"/>
            <w:shd w:val="clear" w:color="auto" w:fill="CCEEFF"/>
            <w:tcMar>
              <w:top w:w="30" w:type="dxa"/>
              <w:left w:w="20" w:type="dxa"/>
              <w:bottom w:w="30" w:type="dxa"/>
              <w:right w:w="0" w:type="dxa"/>
            </w:tcMar>
            <w:vAlign w:val="bottom"/>
            <w:hideMark/>
          </w:tcPr>
          <w:p w14:paraId="32845DFE" w14:textId="77777777" w:rsidR="00000000" w:rsidRDefault="00C1661D">
            <w:pPr>
              <w:spacing w:after="100"/>
              <w:jc w:val="right"/>
              <w:rPr>
                <w:rFonts w:eastAsia="Times New Roman"/>
              </w:rPr>
            </w:pPr>
            <w:r>
              <w:rPr>
                <w:rFonts w:eastAsia="Times New Roman"/>
                <w:color w:val="000000"/>
                <w:sz w:val="16"/>
                <w:szCs w:val="16"/>
              </w:rPr>
              <w:t>(329)</w:t>
            </w:r>
          </w:p>
        </w:tc>
        <w:tc>
          <w:tcPr>
            <w:tcW w:w="0" w:type="auto"/>
            <w:shd w:val="clear" w:color="auto" w:fill="CCEEFF"/>
            <w:tcMar>
              <w:top w:w="30" w:type="dxa"/>
              <w:left w:w="0" w:type="dxa"/>
              <w:bottom w:w="30" w:type="dxa"/>
              <w:right w:w="20" w:type="dxa"/>
            </w:tcMar>
            <w:vAlign w:val="bottom"/>
            <w:hideMark/>
          </w:tcPr>
          <w:p w14:paraId="1B16A6C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7E68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2457AE"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644B1B5"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4626490" w14:textId="77777777" w:rsidR="00000000" w:rsidRDefault="00C1661D">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14:paraId="0DB8D33D" w14:textId="77777777" w:rsidR="00000000" w:rsidRDefault="00C1661D">
            <w:pPr>
              <w:spacing w:after="100"/>
              <w:jc w:val="right"/>
              <w:rPr>
                <w:rFonts w:eastAsia="Times New Roman"/>
              </w:rPr>
            </w:pPr>
            <w:r>
              <w:rPr>
                <w:rFonts w:eastAsia="Times New Roman"/>
                <w:color w:val="000000"/>
                <w:sz w:val="16"/>
                <w:szCs w:val="16"/>
              </w:rPr>
              <w:t>(</w:t>
            </w:r>
            <w:r>
              <w:rPr>
                <w:rFonts w:eastAsia="Times New Roman"/>
                <w:color w:val="000000"/>
                <w:sz w:val="16"/>
                <w:szCs w:val="16"/>
              </w:rPr>
              <w:t>160)</w:t>
            </w:r>
          </w:p>
        </w:tc>
        <w:tc>
          <w:tcPr>
            <w:tcW w:w="0" w:type="auto"/>
            <w:shd w:val="clear" w:color="auto" w:fill="CCEEFF"/>
            <w:tcMar>
              <w:top w:w="30" w:type="dxa"/>
              <w:left w:w="0" w:type="dxa"/>
              <w:bottom w:w="30" w:type="dxa"/>
              <w:right w:w="20" w:type="dxa"/>
            </w:tcMar>
            <w:vAlign w:val="bottom"/>
            <w:hideMark/>
          </w:tcPr>
          <w:p w14:paraId="068C865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0B179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93EC98" w14:textId="77777777" w:rsidR="00000000" w:rsidRDefault="00C1661D">
            <w:pPr>
              <w:spacing w:after="100"/>
              <w:jc w:val="right"/>
              <w:rPr>
                <w:rFonts w:eastAsia="Times New Roman"/>
              </w:rPr>
            </w:pPr>
            <w:r>
              <w:rPr>
                <w:rFonts w:eastAsia="Times New Roman"/>
                <w:color w:val="000000"/>
                <w:sz w:val="16"/>
                <w:szCs w:val="16"/>
              </w:rPr>
              <w:t>(28)</w:t>
            </w:r>
          </w:p>
        </w:tc>
        <w:tc>
          <w:tcPr>
            <w:tcW w:w="0" w:type="auto"/>
            <w:shd w:val="clear" w:color="auto" w:fill="CCEEFF"/>
            <w:tcMar>
              <w:top w:w="30" w:type="dxa"/>
              <w:left w:w="0" w:type="dxa"/>
              <w:bottom w:w="30" w:type="dxa"/>
              <w:right w:w="20" w:type="dxa"/>
            </w:tcMar>
            <w:vAlign w:val="bottom"/>
            <w:hideMark/>
          </w:tcPr>
          <w:p w14:paraId="11E851A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1EDC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5BD146" w14:textId="77777777" w:rsidR="00000000" w:rsidRDefault="00C1661D">
            <w:pPr>
              <w:spacing w:after="100"/>
              <w:jc w:val="right"/>
              <w:rPr>
                <w:rFonts w:eastAsia="Times New Roman"/>
              </w:rPr>
            </w:pPr>
            <w:r>
              <w:rPr>
                <w:rFonts w:eastAsia="Times New Roman"/>
                <w:color w:val="000000"/>
                <w:sz w:val="16"/>
                <w:szCs w:val="16"/>
              </w:rPr>
              <w:t>(41)</w:t>
            </w:r>
          </w:p>
        </w:tc>
        <w:tc>
          <w:tcPr>
            <w:tcW w:w="0" w:type="auto"/>
            <w:shd w:val="clear" w:color="auto" w:fill="CCEEFF"/>
            <w:tcMar>
              <w:top w:w="30" w:type="dxa"/>
              <w:left w:w="0" w:type="dxa"/>
              <w:bottom w:w="30" w:type="dxa"/>
              <w:right w:w="20" w:type="dxa"/>
            </w:tcMar>
            <w:vAlign w:val="bottom"/>
            <w:hideMark/>
          </w:tcPr>
          <w:p w14:paraId="2A78261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5970D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4B661D" w14:textId="77777777" w:rsidR="00000000" w:rsidRDefault="00C1661D">
            <w:pPr>
              <w:spacing w:after="100"/>
              <w:jc w:val="right"/>
              <w:rPr>
                <w:rFonts w:eastAsia="Times New Roman"/>
              </w:rPr>
            </w:pPr>
            <w:r>
              <w:rPr>
                <w:rFonts w:eastAsia="Times New Roman"/>
                <w:color w:val="000000"/>
                <w:sz w:val="16"/>
                <w:szCs w:val="16"/>
              </w:rPr>
              <w:t>(65)</w:t>
            </w:r>
          </w:p>
        </w:tc>
        <w:tc>
          <w:tcPr>
            <w:tcW w:w="0" w:type="auto"/>
            <w:shd w:val="clear" w:color="auto" w:fill="CCEEFF"/>
            <w:tcMar>
              <w:top w:w="30" w:type="dxa"/>
              <w:left w:w="0" w:type="dxa"/>
              <w:bottom w:w="30" w:type="dxa"/>
              <w:right w:w="20" w:type="dxa"/>
            </w:tcMar>
            <w:vAlign w:val="bottom"/>
            <w:hideMark/>
          </w:tcPr>
          <w:p w14:paraId="6F99373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E8C45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C08196" w14:textId="77777777" w:rsidR="00000000" w:rsidRDefault="00C1661D">
            <w:pPr>
              <w:spacing w:after="100"/>
              <w:jc w:val="right"/>
              <w:rPr>
                <w:rFonts w:eastAsia="Times New Roman"/>
              </w:rPr>
            </w:pPr>
            <w:r>
              <w:rPr>
                <w:rFonts w:eastAsia="Times New Roman"/>
                <w:color w:val="000000"/>
                <w:sz w:val="16"/>
                <w:szCs w:val="16"/>
              </w:rPr>
              <w:t>(35)</w:t>
            </w:r>
          </w:p>
        </w:tc>
        <w:tc>
          <w:tcPr>
            <w:tcW w:w="0" w:type="auto"/>
            <w:shd w:val="clear" w:color="auto" w:fill="CCEEFF"/>
            <w:tcMar>
              <w:top w:w="30" w:type="dxa"/>
              <w:left w:w="0" w:type="dxa"/>
              <w:bottom w:w="30" w:type="dxa"/>
              <w:right w:w="20" w:type="dxa"/>
            </w:tcMar>
            <w:vAlign w:val="bottom"/>
            <w:hideMark/>
          </w:tcPr>
          <w:p w14:paraId="3B3844BD" w14:textId="77777777" w:rsidR="00000000" w:rsidRDefault="00C1661D">
            <w:pPr>
              <w:spacing w:after="100"/>
              <w:jc w:val="right"/>
              <w:rPr>
                <w:rFonts w:eastAsia="Times New Roman"/>
              </w:rPr>
            </w:pPr>
          </w:p>
        </w:tc>
      </w:tr>
      <w:tr w:rsidR="00000000" w14:paraId="00C8E8C3" w14:textId="77777777">
        <w:trPr>
          <w:divId w:val="636765284"/>
        </w:trPr>
        <w:tc>
          <w:tcPr>
            <w:tcW w:w="0" w:type="auto"/>
            <w:gridSpan w:val="3"/>
            <w:shd w:val="clear" w:color="auto" w:fill="FFFFFF"/>
            <w:tcMar>
              <w:top w:w="30" w:type="dxa"/>
              <w:left w:w="155" w:type="dxa"/>
              <w:bottom w:w="30" w:type="dxa"/>
              <w:right w:w="20" w:type="dxa"/>
            </w:tcMar>
            <w:vAlign w:val="bottom"/>
            <w:hideMark/>
          </w:tcPr>
          <w:p w14:paraId="5A0CEB09" w14:textId="77777777" w:rsidR="00000000" w:rsidRDefault="00C1661D">
            <w:pPr>
              <w:spacing w:after="100"/>
              <w:rPr>
                <w:rFonts w:eastAsia="Times New Roman"/>
              </w:rPr>
            </w:pPr>
            <w:r>
              <w:rPr>
                <w:rFonts w:eastAsia="Times New Roman"/>
                <w:color w:val="000000"/>
                <w:sz w:val="16"/>
                <w:szCs w:val="16"/>
              </w:rPr>
              <w:t>Income tax expense</w:t>
            </w:r>
          </w:p>
        </w:tc>
        <w:tc>
          <w:tcPr>
            <w:tcW w:w="0" w:type="auto"/>
            <w:gridSpan w:val="2"/>
            <w:shd w:val="clear" w:color="auto" w:fill="FFFFFF"/>
            <w:tcMar>
              <w:top w:w="30" w:type="dxa"/>
              <w:left w:w="20" w:type="dxa"/>
              <w:bottom w:w="30" w:type="dxa"/>
              <w:right w:w="0" w:type="dxa"/>
            </w:tcMar>
            <w:vAlign w:val="bottom"/>
            <w:hideMark/>
          </w:tcPr>
          <w:p w14:paraId="3CA192B5" w14:textId="77777777" w:rsidR="00000000" w:rsidRDefault="00C1661D">
            <w:pPr>
              <w:spacing w:after="100"/>
              <w:jc w:val="right"/>
              <w:rPr>
                <w:rFonts w:eastAsia="Times New Roman"/>
              </w:rPr>
            </w:pPr>
            <w:r>
              <w:rPr>
                <w:rFonts w:eastAsia="Times New Roman"/>
                <w:color w:val="000000"/>
                <w:sz w:val="16"/>
                <w:szCs w:val="16"/>
              </w:rPr>
              <w:t>(313)</w:t>
            </w:r>
          </w:p>
        </w:tc>
        <w:tc>
          <w:tcPr>
            <w:tcW w:w="0" w:type="auto"/>
            <w:shd w:val="clear" w:color="auto" w:fill="FFFFFF"/>
            <w:tcMar>
              <w:top w:w="30" w:type="dxa"/>
              <w:left w:w="0" w:type="dxa"/>
              <w:bottom w:w="30" w:type="dxa"/>
              <w:right w:w="20" w:type="dxa"/>
            </w:tcMar>
            <w:vAlign w:val="bottom"/>
            <w:hideMark/>
          </w:tcPr>
          <w:p w14:paraId="1D860CD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63FF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F177C6"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88C9682"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476E02D" w14:textId="77777777" w:rsidR="00000000" w:rsidRDefault="00C1661D">
            <w:pPr>
              <w:spacing w:after="100"/>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14:paraId="6F830E37" w14:textId="77777777" w:rsidR="00000000" w:rsidRDefault="00C1661D">
            <w:pPr>
              <w:spacing w:after="100"/>
              <w:jc w:val="right"/>
              <w:rPr>
                <w:rFonts w:eastAsia="Times New Roman"/>
              </w:rPr>
            </w:pPr>
            <w:r>
              <w:rPr>
                <w:rFonts w:eastAsia="Times New Roman"/>
                <w:color w:val="000000"/>
                <w:sz w:val="16"/>
                <w:szCs w:val="16"/>
              </w:rPr>
              <w:t>(35)</w:t>
            </w:r>
          </w:p>
        </w:tc>
        <w:tc>
          <w:tcPr>
            <w:tcW w:w="0" w:type="auto"/>
            <w:shd w:val="clear" w:color="auto" w:fill="FFFFFF"/>
            <w:tcMar>
              <w:top w:w="30" w:type="dxa"/>
              <w:left w:w="0" w:type="dxa"/>
              <w:bottom w:w="30" w:type="dxa"/>
              <w:right w:w="20" w:type="dxa"/>
            </w:tcMar>
            <w:vAlign w:val="bottom"/>
            <w:hideMark/>
          </w:tcPr>
          <w:p w14:paraId="11C5351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92766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D5B026" w14:textId="77777777" w:rsidR="00000000" w:rsidRDefault="00C1661D">
            <w:pPr>
              <w:spacing w:after="100"/>
              <w:jc w:val="right"/>
              <w:rPr>
                <w:rFonts w:eastAsia="Times New Roman"/>
              </w:rPr>
            </w:pPr>
            <w:r>
              <w:rPr>
                <w:rFonts w:eastAsia="Times New Roman"/>
                <w:color w:val="000000"/>
                <w:sz w:val="16"/>
                <w:szCs w:val="16"/>
              </w:rPr>
              <w:t>(50)</w:t>
            </w:r>
          </w:p>
        </w:tc>
        <w:tc>
          <w:tcPr>
            <w:tcW w:w="0" w:type="auto"/>
            <w:shd w:val="clear" w:color="auto" w:fill="FFFFFF"/>
            <w:tcMar>
              <w:top w:w="30" w:type="dxa"/>
              <w:left w:w="0" w:type="dxa"/>
              <w:bottom w:w="30" w:type="dxa"/>
              <w:right w:w="20" w:type="dxa"/>
            </w:tcMar>
            <w:vAlign w:val="bottom"/>
            <w:hideMark/>
          </w:tcPr>
          <w:p w14:paraId="16D3945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EFD00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0BD238" w14:textId="77777777" w:rsidR="00000000" w:rsidRDefault="00C1661D">
            <w:pPr>
              <w:spacing w:after="100"/>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14:paraId="548C5AA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7D936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8BAF41" w14:textId="77777777" w:rsidR="00000000" w:rsidRDefault="00C1661D">
            <w:pPr>
              <w:spacing w:after="100"/>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14:paraId="64CF213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AE5B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8BA566" w14:textId="77777777" w:rsidR="00000000" w:rsidRDefault="00C1661D">
            <w:pPr>
              <w:spacing w:after="100"/>
              <w:jc w:val="right"/>
              <w:rPr>
                <w:rFonts w:eastAsia="Times New Roman"/>
              </w:rPr>
            </w:pPr>
            <w:r>
              <w:rPr>
                <w:rFonts w:eastAsia="Times New Roman"/>
                <w:color w:val="000000"/>
                <w:sz w:val="16"/>
                <w:szCs w:val="16"/>
              </w:rPr>
              <w:t>(98)</w:t>
            </w:r>
          </w:p>
        </w:tc>
        <w:tc>
          <w:tcPr>
            <w:tcW w:w="0" w:type="auto"/>
            <w:shd w:val="clear" w:color="auto" w:fill="FFFFFF"/>
            <w:tcMar>
              <w:top w:w="30" w:type="dxa"/>
              <w:left w:w="0" w:type="dxa"/>
              <w:bottom w:w="30" w:type="dxa"/>
              <w:right w:w="20" w:type="dxa"/>
            </w:tcMar>
            <w:vAlign w:val="bottom"/>
            <w:hideMark/>
          </w:tcPr>
          <w:p w14:paraId="7F552712" w14:textId="77777777" w:rsidR="00000000" w:rsidRDefault="00C1661D">
            <w:pPr>
              <w:spacing w:after="100"/>
              <w:jc w:val="right"/>
              <w:rPr>
                <w:rFonts w:eastAsia="Times New Roman"/>
              </w:rPr>
            </w:pPr>
          </w:p>
        </w:tc>
      </w:tr>
      <w:tr w:rsidR="00000000" w14:paraId="6FB0CEEA" w14:textId="77777777">
        <w:trPr>
          <w:divId w:val="636765284"/>
        </w:trPr>
        <w:tc>
          <w:tcPr>
            <w:tcW w:w="0" w:type="auto"/>
            <w:gridSpan w:val="3"/>
            <w:shd w:val="clear" w:color="auto" w:fill="CCEEFF"/>
            <w:tcMar>
              <w:top w:w="30" w:type="dxa"/>
              <w:left w:w="155" w:type="dxa"/>
              <w:bottom w:w="30" w:type="dxa"/>
              <w:right w:w="20" w:type="dxa"/>
            </w:tcMar>
            <w:vAlign w:val="bottom"/>
            <w:hideMark/>
          </w:tcPr>
          <w:p w14:paraId="369620D6" w14:textId="77777777" w:rsidR="00000000" w:rsidRDefault="00C1661D">
            <w:pPr>
              <w:spacing w:after="100"/>
              <w:rPr>
                <w:rFonts w:eastAsia="Times New Roman"/>
              </w:rPr>
            </w:pPr>
            <w:r>
              <w:rPr>
                <w:rFonts w:eastAsia="Times New Roman"/>
                <w:color w:val="000000"/>
                <w:sz w:val="16"/>
                <w:szCs w:val="16"/>
              </w:rPr>
              <w:t>Noncontrolling interests’ net (income) loss</w:t>
            </w:r>
          </w:p>
        </w:tc>
        <w:tc>
          <w:tcPr>
            <w:tcW w:w="0" w:type="auto"/>
            <w:gridSpan w:val="2"/>
            <w:shd w:val="clear" w:color="auto" w:fill="CCEEFF"/>
            <w:tcMar>
              <w:top w:w="30" w:type="dxa"/>
              <w:left w:w="20" w:type="dxa"/>
              <w:bottom w:w="30" w:type="dxa"/>
              <w:right w:w="0" w:type="dxa"/>
            </w:tcMar>
            <w:vAlign w:val="bottom"/>
            <w:hideMark/>
          </w:tcPr>
          <w:p w14:paraId="38767AB9" w14:textId="77777777" w:rsidR="00000000" w:rsidRDefault="00C1661D">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14:paraId="344EED5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4E0A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5C292A"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5A3DB5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22837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19D3BA"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EDC779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E3A5D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5E9489" w14:textId="77777777" w:rsidR="00000000" w:rsidRDefault="00C1661D">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14:paraId="6974F47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D2F82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87E816"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6DF52A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71E50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6AE3CE"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BB20F2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FC5527"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5B6C4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556D833" w14:textId="77777777" w:rsidR="00000000" w:rsidRDefault="00C1661D">
            <w:pPr>
              <w:spacing w:after="100"/>
              <w:jc w:val="right"/>
              <w:rPr>
                <w:rFonts w:eastAsia="Times New Roman"/>
              </w:rPr>
            </w:pPr>
          </w:p>
        </w:tc>
      </w:tr>
      <w:tr w:rsidR="00C1661D" w14:paraId="1FDAEEE4" w14:textId="77777777">
        <w:trPr>
          <w:divId w:val="636765284"/>
        </w:trPr>
        <w:tc>
          <w:tcPr>
            <w:tcW w:w="0" w:type="auto"/>
            <w:gridSpan w:val="3"/>
            <w:shd w:val="clear" w:color="auto" w:fill="FFFFFF"/>
            <w:tcMar>
              <w:top w:w="30" w:type="dxa"/>
              <w:left w:w="155" w:type="dxa"/>
              <w:bottom w:w="30" w:type="dxa"/>
              <w:right w:w="20" w:type="dxa"/>
            </w:tcMar>
            <w:vAlign w:val="bottom"/>
            <w:hideMark/>
          </w:tcPr>
          <w:p w14:paraId="6CFED9E8" w14:textId="77777777" w:rsidR="00000000" w:rsidRDefault="00C1661D">
            <w:pPr>
              <w:spacing w:after="100"/>
              <w:rPr>
                <w:rFonts w:eastAsia="Times New Roman"/>
              </w:rPr>
            </w:pPr>
            <w:r>
              <w:rPr>
                <w:rFonts w:eastAsia="Times New Roman"/>
                <w:color w:val="000000"/>
                <w:sz w:val="16"/>
                <w:szCs w:val="16"/>
              </w:rPr>
              <w:t>Net income attributable to UGI</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FA9B49"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23F8B1" w14:textId="77777777" w:rsidR="00000000" w:rsidRDefault="00C1661D">
            <w:pPr>
              <w:spacing w:after="100"/>
              <w:jc w:val="right"/>
              <w:rPr>
                <w:rFonts w:eastAsia="Times New Roman"/>
              </w:rPr>
            </w:pPr>
            <w:r>
              <w:rPr>
                <w:rFonts w:eastAsia="Times New Roman"/>
                <w:color w:val="000000"/>
                <w:sz w:val="16"/>
                <w:szCs w:val="16"/>
              </w:rPr>
              <w:t>1,073 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08687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9D09C7"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8D01FE"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9239EC"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C50BF7"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568FEE2" w14:textId="77777777" w:rsidR="00000000" w:rsidRDefault="00C1661D">
            <w:pPr>
              <w:spacing w:after="100"/>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807238E"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EBD761" w14:textId="77777777" w:rsidR="00000000" w:rsidRDefault="00C1661D">
            <w:pPr>
              <w:spacing w:after="100"/>
              <w:jc w:val="right"/>
              <w:rPr>
                <w:rFonts w:eastAsia="Times New Roman"/>
              </w:rPr>
            </w:pPr>
            <w:r>
              <w:rPr>
                <w:rFonts w:eastAsia="Times New Roman"/>
                <w:color w:val="000000"/>
                <w:sz w:val="16"/>
                <w:szCs w:val="16"/>
              </w:rPr>
              <w:t>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B2611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4328FE"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F883AE5"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8481385" w14:textId="77777777" w:rsidR="00000000" w:rsidRDefault="00C1661D">
            <w:pPr>
              <w:spacing w:after="100"/>
              <w:jc w:val="right"/>
              <w:rPr>
                <w:rFonts w:eastAsia="Times New Roman"/>
              </w:rPr>
            </w:pPr>
            <w:r>
              <w:rPr>
                <w:rFonts w:eastAsia="Times New Roman"/>
                <w:color w:val="000000"/>
                <w:sz w:val="16"/>
                <w:szCs w:val="16"/>
              </w:rPr>
              <w:t>175 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21B53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3238B9"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B71C6D"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0CA47F5" w14:textId="77777777" w:rsidR="00000000" w:rsidRDefault="00C1661D">
            <w:pPr>
              <w:spacing w:after="100"/>
              <w:jc w:val="right"/>
              <w:rPr>
                <w:rFonts w:eastAsia="Times New Roman"/>
              </w:rPr>
            </w:pPr>
            <w:r>
              <w:rPr>
                <w:rFonts w:eastAsia="Times New Roman"/>
                <w:color w:val="000000"/>
                <w:sz w:val="16"/>
                <w:szCs w:val="16"/>
              </w:rPr>
              <w:t>163 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374AF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447C3E"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55F1011"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F84933" w14:textId="77777777" w:rsidR="00000000" w:rsidRDefault="00C1661D">
            <w:pPr>
              <w:spacing w:after="100"/>
              <w:jc w:val="right"/>
              <w:rPr>
                <w:rFonts w:eastAsia="Times New Roman"/>
              </w:rPr>
            </w:pPr>
            <w:r>
              <w:rPr>
                <w:rFonts w:eastAsia="Times New Roman"/>
                <w:color w:val="000000"/>
                <w:sz w:val="16"/>
                <w:szCs w:val="16"/>
              </w:rPr>
              <w:t>206 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1CFF0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704653"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7469A06"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A8FA7AD" w14:textId="77777777" w:rsidR="00000000" w:rsidRDefault="00C1661D">
            <w:pPr>
              <w:spacing w:after="100"/>
              <w:jc w:val="right"/>
              <w:rPr>
                <w:rFonts w:eastAsia="Times New Roman"/>
              </w:rPr>
            </w:pPr>
            <w:r>
              <w:rPr>
                <w:rFonts w:eastAsia="Times New Roman"/>
                <w:color w:val="000000"/>
                <w:sz w:val="16"/>
                <w:szCs w:val="16"/>
              </w:rPr>
              <w:t>417 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208D55" w14:textId="77777777" w:rsidR="00000000" w:rsidRDefault="00C1661D">
            <w:pPr>
              <w:spacing w:after="100"/>
              <w:jc w:val="right"/>
              <w:rPr>
                <w:rFonts w:eastAsia="Times New Roman"/>
              </w:rPr>
            </w:pPr>
          </w:p>
        </w:tc>
      </w:tr>
      <w:tr w:rsidR="00C1661D" w14:paraId="49602771" w14:textId="77777777">
        <w:trPr>
          <w:divId w:val="636765284"/>
        </w:trPr>
        <w:tc>
          <w:tcPr>
            <w:tcW w:w="0" w:type="auto"/>
            <w:gridSpan w:val="3"/>
            <w:shd w:val="clear" w:color="auto" w:fill="CCEEFF"/>
            <w:tcMar>
              <w:top w:w="30" w:type="dxa"/>
              <w:left w:w="155" w:type="dxa"/>
              <w:bottom w:w="30" w:type="dxa"/>
              <w:right w:w="20" w:type="dxa"/>
            </w:tcMar>
            <w:vAlign w:val="bottom"/>
            <w:hideMark/>
          </w:tcPr>
          <w:p w14:paraId="2D0B61CB" w14:textId="77777777" w:rsidR="00000000" w:rsidRDefault="00C1661D">
            <w:pPr>
              <w:spacing w:after="100"/>
              <w:rPr>
                <w:rFonts w:eastAsia="Times New Roman"/>
              </w:rPr>
            </w:pPr>
            <w:r>
              <w:rPr>
                <w:rFonts w:eastAsia="Times New Roman"/>
                <w:color w:val="000000"/>
                <w:sz w:val="16"/>
                <w:szCs w:val="16"/>
              </w:rPr>
              <w:t>Depreciation and amortization</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8B36EBB"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6ABC870" w14:textId="77777777" w:rsidR="00000000" w:rsidRDefault="00C1661D">
            <w:pPr>
              <w:spacing w:after="100"/>
              <w:jc w:val="right"/>
              <w:rPr>
                <w:rFonts w:eastAsia="Times New Roman"/>
              </w:rPr>
            </w:pPr>
            <w:r>
              <w:rPr>
                <w:rFonts w:eastAsia="Times New Roman"/>
                <w:color w:val="000000"/>
                <w:sz w:val="16"/>
                <w:szCs w:val="16"/>
              </w:rPr>
              <w:t>518 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73535A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56F2CD"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5AD545F"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58ABFAA"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6E7BFF6"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3BC2D17" w14:textId="77777777" w:rsidR="00000000" w:rsidRDefault="00C1661D">
            <w:pPr>
              <w:spacing w:after="100"/>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51A9469"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7BC5DCD" w14:textId="77777777" w:rsidR="00000000" w:rsidRDefault="00C1661D">
            <w:pPr>
              <w:spacing w:after="100"/>
              <w:jc w:val="right"/>
              <w:rPr>
                <w:rFonts w:eastAsia="Times New Roman"/>
              </w:rPr>
            </w:pPr>
            <w:r>
              <w:rPr>
                <w:rFonts w:eastAsia="Times New Roman"/>
                <w:color w:val="000000"/>
                <w:sz w:val="16"/>
                <w:szCs w:val="16"/>
              </w:rPr>
              <w:t>177 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06783A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31583B"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612B7BB"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71F7B24" w14:textId="77777777" w:rsidR="00000000" w:rsidRDefault="00C1661D">
            <w:pPr>
              <w:spacing w:after="100"/>
              <w:jc w:val="right"/>
              <w:rPr>
                <w:rFonts w:eastAsia="Times New Roman"/>
              </w:rPr>
            </w:pPr>
            <w:r>
              <w:rPr>
                <w:rFonts w:eastAsia="Times New Roman"/>
                <w:color w:val="000000"/>
                <w:sz w:val="16"/>
                <w:szCs w:val="16"/>
              </w:rPr>
              <w:t>116 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DC3F7C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690FA"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0F472F4"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CEAD3F5" w14:textId="77777777" w:rsidR="00000000" w:rsidRDefault="00C1661D">
            <w:pPr>
              <w:spacing w:after="100"/>
              <w:jc w:val="right"/>
              <w:rPr>
                <w:rFonts w:eastAsia="Times New Roman"/>
              </w:rPr>
            </w:pPr>
            <w:r>
              <w:rPr>
                <w:rFonts w:eastAsia="Times New Roman"/>
                <w:color w:val="000000"/>
                <w:sz w:val="16"/>
                <w:szCs w:val="16"/>
              </w:rPr>
              <w:t>79 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7D23C4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5EC384"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97F4504"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2878EC9" w14:textId="77777777" w:rsidR="00000000" w:rsidRDefault="00C1661D">
            <w:pPr>
              <w:spacing w:after="100"/>
              <w:jc w:val="right"/>
              <w:rPr>
                <w:rFonts w:eastAsia="Times New Roman"/>
              </w:rPr>
            </w:pPr>
            <w:r>
              <w:rPr>
                <w:rFonts w:eastAsia="Times New Roman"/>
                <w:color w:val="000000"/>
                <w:sz w:val="16"/>
                <w:szCs w:val="16"/>
              </w:rPr>
              <w:t>144 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57D70D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5DB374"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DBA5C75"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179BCE3" w14:textId="77777777" w:rsidR="00000000" w:rsidRDefault="00C1661D">
            <w:pPr>
              <w:spacing w:after="100"/>
              <w:jc w:val="right"/>
              <w:rPr>
                <w:rFonts w:eastAsia="Times New Roman"/>
              </w:rPr>
            </w:pPr>
            <w:r>
              <w:rPr>
                <w:rFonts w:eastAsia="Times New Roman"/>
                <w:color w:val="000000"/>
                <w:sz w:val="16"/>
                <w:szCs w:val="16"/>
              </w:rPr>
              <w:t>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65015C7" w14:textId="77777777" w:rsidR="00000000" w:rsidRDefault="00C1661D">
            <w:pPr>
              <w:spacing w:after="100"/>
              <w:jc w:val="right"/>
              <w:rPr>
                <w:rFonts w:eastAsia="Times New Roman"/>
              </w:rPr>
            </w:pPr>
          </w:p>
        </w:tc>
      </w:tr>
      <w:tr w:rsidR="00C1661D" w14:paraId="75F4BAA2" w14:textId="77777777">
        <w:trPr>
          <w:divId w:val="636765284"/>
        </w:trPr>
        <w:tc>
          <w:tcPr>
            <w:tcW w:w="0" w:type="auto"/>
            <w:gridSpan w:val="3"/>
            <w:shd w:val="clear" w:color="auto" w:fill="FFFFFF"/>
            <w:tcMar>
              <w:top w:w="30" w:type="dxa"/>
              <w:left w:w="155" w:type="dxa"/>
              <w:bottom w:w="30" w:type="dxa"/>
              <w:right w:w="20" w:type="dxa"/>
            </w:tcMar>
            <w:vAlign w:val="bottom"/>
            <w:hideMark/>
          </w:tcPr>
          <w:p w14:paraId="08D60414" w14:textId="77777777" w:rsidR="00000000" w:rsidRDefault="00C1661D">
            <w:pPr>
              <w:spacing w:after="100"/>
              <w:rPr>
                <w:rFonts w:eastAsia="Times New Roman"/>
              </w:rPr>
            </w:pPr>
            <w:r>
              <w:rPr>
                <w:rFonts w:eastAsia="Times New Roman"/>
                <w:color w:val="000000"/>
                <w:sz w:val="16"/>
                <w:szCs w:val="16"/>
              </w:rPr>
              <w:t>Total assets</w:t>
            </w:r>
          </w:p>
        </w:tc>
        <w:tc>
          <w:tcPr>
            <w:tcW w:w="0" w:type="auto"/>
            <w:shd w:val="clear" w:color="auto" w:fill="FFFFFF"/>
            <w:tcMar>
              <w:top w:w="30" w:type="dxa"/>
              <w:left w:w="20" w:type="dxa"/>
              <w:bottom w:w="30" w:type="dxa"/>
              <w:right w:w="0" w:type="dxa"/>
            </w:tcMar>
            <w:vAlign w:val="bottom"/>
            <w:hideMark/>
          </w:tcPr>
          <w:p w14:paraId="15672792"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165B746" w14:textId="77777777" w:rsidR="00000000" w:rsidRDefault="00C1661D">
            <w:pPr>
              <w:spacing w:after="100"/>
              <w:jc w:val="right"/>
              <w:rPr>
                <w:rFonts w:eastAsia="Times New Roman"/>
              </w:rPr>
            </w:pPr>
            <w:r>
              <w:rPr>
                <w:rFonts w:eastAsia="Times New Roman"/>
                <w:color w:val="000000"/>
                <w:sz w:val="16"/>
                <w:szCs w:val="16"/>
              </w:rPr>
              <w:t>17,575 </w:t>
            </w:r>
          </w:p>
        </w:tc>
        <w:tc>
          <w:tcPr>
            <w:tcW w:w="0" w:type="auto"/>
            <w:shd w:val="clear" w:color="auto" w:fill="FFFFFF"/>
            <w:tcMar>
              <w:top w:w="30" w:type="dxa"/>
              <w:left w:w="0" w:type="dxa"/>
              <w:bottom w:w="30" w:type="dxa"/>
              <w:right w:w="20" w:type="dxa"/>
            </w:tcMar>
            <w:vAlign w:val="bottom"/>
            <w:hideMark/>
          </w:tcPr>
          <w:p w14:paraId="2634CAD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6DF8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9CAA2DF"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DD73AE0" w14:textId="77777777" w:rsidR="00000000" w:rsidRDefault="00C1661D">
            <w:pPr>
              <w:spacing w:after="100"/>
              <w:jc w:val="right"/>
              <w:rPr>
                <w:rFonts w:eastAsia="Times New Roman"/>
              </w:rPr>
            </w:pPr>
            <w:r>
              <w:rPr>
                <w:rFonts w:eastAsia="Times New Roman"/>
                <w:color w:val="000000"/>
                <w:sz w:val="16"/>
                <w:szCs w:val="16"/>
              </w:rPr>
              <w:t>(203)</w:t>
            </w:r>
          </w:p>
        </w:tc>
        <w:tc>
          <w:tcPr>
            <w:tcW w:w="0" w:type="auto"/>
            <w:shd w:val="clear" w:color="auto" w:fill="FFFFFF"/>
            <w:tcMar>
              <w:top w:w="30" w:type="dxa"/>
              <w:left w:w="0" w:type="dxa"/>
              <w:bottom w:w="30" w:type="dxa"/>
              <w:right w:w="20" w:type="dxa"/>
            </w:tcMar>
            <w:vAlign w:val="bottom"/>
            <w:hideMark/>
          </w:tcPr>
          <w:p w14:paraId="64FA727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076B25"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A651B1"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198D8D3" w14:textId="77777777" w:rsidR="00000000" w:rsidRDefault="00C1661D">
            <w:pPr>
              <w:spacing w:after="100"/>
              <w:jc w:val="right"/>
              <w:rPr>
                <w:rFonts w:eastAsia="Times New Roman"/>
              </w:rPr>
            </w:pPr>
            <w:r>
              <w:rPr>
                <w:rFonts w:eastAsia="Times New Roman"/>
                <w:color w:val="000000"/>
                <w:sz w:val="16"/>
                <w:szCs w:val="16"/>
              </w:rPr>
              <w:t>4,332 </w:t>
            </w:r>
          </w:p>
        </w:tc>
        <w:tc>
          <w:tcPr>
            <w:tcW w:w="0" w:type="auto"/>
            <w:shd w:val="clear" w:color="auto" w:fill="FFFFFF"/>
            <w:tcMar>
              <w:top w:w="30" w:type="dxa"/>
              <w:left w:w="0" w:type="dxa"/>
              <w:bottom w:w="30" w:type="dxa"/>
              <w:right w:w="20" w:type="dxa"/>
            </w:tcMar>
            <w:vAlign w:val="bottom"/>
            <w:hideMark/>
          </w:tcPr>
          <w:p w14:paraId="0FC31BA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089907"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E386B3"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AB33CBE" w14:textId="77777777" w:rsidR="00000000" w:rsidRDefault="00C1661D">
            <w:pPr>
              <w:spacing w:after="100"/>
              <w:jc w:val="right"/>
              <w:rPr>
                <w:rFonts w:eastAsia="Times New Roman"/>
              </w:rPr>
            </w:pPr>
            <w:r>
              <w:rPr>
                <w:rFonts w:eastAsia="Times New Roman"/>
                <w:color w:val="000000"/>
                <w:sz w:val="16"/>
                <w:szCs w:val="16"/>
              </w:rPr>
              <w:t>4,610 </w:t>
            </w:r>
          </w:p>
        </w:tc>
        <w:tc>
          <w:tcPr>
            <w:tcW w:w="0" w:type="auto"/>
            <w:shd w:val="clear" w:color="auto" w:fill="FFFFFF"/>
            <w:tcMar>
              <w:top w:w="30" w:type="dxa"/>
              <w:left w:w="0" w:type="dxa"/>
              <w:bottom w:w="30" w:type="dxa"/>
              <w:right w:w="20" w:type="dxa"/>
            </w:tcMar>
            <w:vAlign w:val="bottom"/>
            <w:hideMark/>
          </w:tcPr>
          <w:p w14:paraId="792E3C4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CC832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CF8080"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8817D8D" w14:textId="77777777" w:rsidR="00000000" w:rsidRDefault="00C1661D">
            <w:pPr>
              <w:spacing w:after="100"/>
              <w:jc w:val="right"/>
              <w:rPr>
                <w:rFonts w:eastAsia="Times New Roman"/>
              </w:rPr>
            </w:pPr>
            <w:r>
              <w:rPr>
                <w:rFonts w:eastAsia="Times New Roman"/>
                <w:color w:val="000000"/>
                <w:sz w:val="16"/>
                <w:szCs w:val="16"/>
              </w:rPr>
              <w:t>3,286 </w:t>
            </w:r>
          </w:p>
        </w:tc>
        <w:tc>
          <w:tcPr>
            <w:tcW w:w="0" w:type="auto"/>
            <w:shd w:val="clear" w:color="auto" w:fill="FFFFFF"/>
            <w:tcMar>
              <w:top w:w="30" w:type="dxa"/>
              <w:left w:w="0" w:type="dxa"/>
              <w:bottom w:w="30" w:type="dxa"/>
              <w:right w:w="20" w:type="dxa"/>
            </w:tcMar>
            <w:vAlign w:val="bottom"/>
            <w:hideMark/>
          </w:tcPr>
          <w:p w14:paraId="3ABA55E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E43EE"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00C01A"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3D67997" w14:textId="77777777" w:rsidR="00000000" w:rsidRDefault="00C1661D">
            <w:pPr>
              <w:spacing w:after="100"/>
              <w:jc w:val="right"/>
              <w:rPr>
                <w:rFonts w:eastAsia="Times New Roman"/>
              </w:rPr>
            </w:pPr>
            <w:r>
              <w:rPr>
                <w:rFonts w:eastAsia="Times New Roman"/>
                <w:color w:val="000000"/>
                <w:sz w:val="16"/>
                <w:szCs w:val="16"/>
              </w:rPr>
              <w:t>5,354 </w:t>
            </w:r>
          </w:p>
        </w:tc>
        <w:tc>
          <w:tcPr>
            <w:tcW w:w="0" w:type="auto"/>
            <w:shd w:val="clear" w:color="auto" w:fill="FFFFFF"/>
            <w:tcMar>
              <w:top w:w="30" w:type="dxa"/>
              <w:left w:w="0" w:type="dxa"/>
              <w:bottom w:w="30" w:type="dxa"/>
              <w:right w:w="20" w:type="dxa"/>
            </w:tcMar>
            <w:vAlign w:val="bottom"/>
            <w:hideMark/>
          </w:tcPr>
          <w:p w14:paraId="36036F0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C6F280"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751F09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D88A840" w14:textId="77777777" w:rsidR="00000000" w:rsidRDefault="00C1661D">
            <w:pPr>
              <w:spacing w:after="100"/>
              <w:jc w:val="right"/>
              <w:rPr>
                <w:rFonts w:eastAsia="Times New Roman"/>
              </w:rPr>
            </w:pPr>
            <w:r>
              <w:rPr>
                <w:rFonts w:eastAsia="Times New Roman"/>
                <w:color w:val="000000"/>
                <w:sz w:val="16"/>
                <w:szCs w:val="16"/>
              </w:rPr>
              <w:t>196 </w:t>
            </w:r>
          </w:p>
        </w:tc>
        <w:tc>
          <w:tcPr>
            <w:tcW w:w="0" w:type="auto"/>
            <w:shd w:val="clear" w:color="auto" w:fill="FFFFFF"/>
            <w:tcMar>
              <w:top w:w="30" w:type="dxa"/>
              <w:left w:w="0" w:type="dxa"/>
              <w:bottom w:w="30" w:type="dxa"/>
              <w:right w:w="20" w:type="dxa"/>
            </w:tcMar>
            <w:vAlign w:val="bottom"/>
            <w:hideMark/>
          </w:tcPr>
          <w:p w14:paraId="5EAB8AB2" w14:textId="77777777" w:rsidR="00000000" w:rsidRDefault="00C1661D">
            <w:pPr>
              <w:spacing w:after="100"/>
              <w:jc w:val="right"/>
              <w:rPr>
                <w:rFonts w:eastAsia="Times New Roman"/>
              </w:rPr>
            </w:pPr>
          </w:p>
        </w:tc>
      </w:tr>
      <w:tr w:rsidR="00C1661D" w14:paraId="1411A736" w14:textId="77777777">
        <w:trPr>
          <w:divId w:val="636765284"/>
        </w:trPr>
        <w:tc>
          <w:tcPr>
            <w:tcW w:w="0" w:type="auto"/>
            <w:gridSpan w:val="3"/>
            <w:shd w:val="clear" w:color="auto" w:fill="CCEEFF"/>
            <w:tcMar>
              <w:top w:w="30" w:type="dxa"/>
              <w:left w:w="155" w:type="dxa"/>
              <w:bottom w:w="30" w:type="dxa"/>
              <w:right w:w="20" w:type="dxa"/>
            </w:tcMar>
            <w:vAlign w:val="bottom"/>
            <w:hideMark/>
          </w:tcPr>
          <w:p w14:paraId="48A8CF3D" w14:textId="77777777" w:rsidR="00000000" w:rsidRDefault="00C1661D">
            <w:pPr>
              <w:spacing w:after="100"/>
              <w:rPr>
                <w:rFonts w:eastAsia="Times New Roman"/>
              </w:rPr>
            </w:pPr>
            <w:r>
              <w:rPr>
                <w:rFonts w:eastAsia="Times New Roman"/>
                <w:color w:val="000000"/>
                <w:sz w:val="16"/>
                <w:szCs w:val="16"/>
              </w:rPr>
              <w:t>Short-term borrowings</w:t>
            </w:r>
          </w:p>
        </w:tc>
        <w:tc>
          <w:tcPr>
            <w:tcW w:w="0" w:type="auto"/>
            <w:shd w:val="clear" w:color="auto" w:fill="CCEEFF"/>
            <w:tcMar>
              <w:top w:w="30" w:type="dxa"/>
              <w:left w:w="20" w:type="dxa"/>
              <w:bottom w:w="30" w:type="dxa"/>
              <w:right w:w="0" w:type="dxa"/>
            </w:tcMar>
            <w:vAlign w:val="bottom"/>
            <w:hideMark/>
          </w:tcPr>
          <w:p w14:paraId="0F2330B4"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4101F30" w14:textId="77777777" w:rsidR="00000000" w:rsidRDefault="00C1661D">
            <w:pPr>
              <w:spacing w:after="100"/>
              <w:jc w:val="right"/>
              <w:rPr>
                <w:rFonts w:eastAsia="Times New Roman"/>
              </w:rPr>
            </w:pPr>
            <w:r>
              <w:rPr>
                <w:rFonts w:eastAsia="Times New Roman"/>
                <w:color w:val="000000"/>
                <w:sz w:val="16"/>
                <w:szCs w:val="16"/>
              </w:rPr>
              <w:t>368 </w:t>
            </w:r>
          </w:p>
        </w:tc>
        <w:tc>
          <w:tcPr>
            <w:tcW w:w="0" w:type="auto"/>
            <w:shd w:val="clear" w:color="auto" w:fill="CCEEFF"/>
            <w:tcMar>
              <w:top w:w="30" w:type="dxa"/>
              <w:left w:w="0" w:type="dxa"/>
              <w:bottom w:w="30" w:type="dxa"/>
              <w:right w:w="20" w:type="dxa"/>
            </w:tcMar>
            <w:vAlign w:val="bottom"/>
            <w:hideMark/>
          </w:tcPr>
          <w:p w14:paraId="09895E5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F3EFC9"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A42F239"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553467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6C2B080"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5F9E89B" w14:textId="77777777" w:rsidR="00000000" w:rsidRDefault="00C1661D">
            <w:pPr>
              <w:spacing w:after="100"/>
              <w:rPr>
                <w:rFonts w:eastAsia="Times New Roman"/>
              </w:rPr>
            </w:pPr>
            <w:r>
              <w:rPr>
                <w:rFonts w:eastAsia="Times New Roman"/>
                <w:color w:val="000000"/>
                <w:sz w:val="16"/>
                <w:szCs w:val="16"/>
              </w:rPr>
              <w:t> </w:t>
            </w:r>
          </w:p>
        </w:tc>
        <w:tc>
          <w:tcPr>
            <w:tcW w:w="0" w:type="auto"/>
            <w:shd w:val="clear" w:color="auto" w:fill="CCEEFF"/>
            <w:tcMar>
              <w:top w:w="30" w:type="dxa"/>
              <w:left w:w="20" w:type="dxa"/>
              <w:bottom w:w="30" w:type="dxa"/>
              <w:right w:w="0" w:type="dxa"/>
            </w:tcMar>
            <w:vAlign w:val="bottom"/>
            <w:hideMark/>
          </w:tcPr>
          <w:p w14:paraId="4F5D4E6F"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996E725" w14:textId="77777777" w:rsidR="00000000" w:rsidRDefault="00C1661D">
            <w:pPr>
              <w:spacing w:after="100"/>
              <w:jc w:val="right"/>
              <w:rPr>
                <w:rFonts w:eastAsia="Times New Roman"/>
              </w:rPr>
            </w:pPr>
            <w:r>
              <w:rPr>
                <w:rFonts w:eastAsia="Times New Roman"/>
                <w:color w:val="000000"/>
                <w:sz w:val="16"/>
                <w:szCs w:val="16"/>
              </w:rPr>
              <w:t>131 </w:t>
            </w:r>
          </w:p>
        </w:tc>
        <w:tc>
          <w:tcPr>
            <w:tcW w:w="0" w:type="auto"/>
            <w:shd w:val="clear" w:color="auto" w:fill="CCEEFF"/>
            <w:tcMar>
              <w:top w:w="30" w:type="dxa"/>
              <w:left w:w="0" w:type="dxa"/>
              <w:bottom w:w="30" w:type="dxa"/>
              <w:right w:w="20" w:type="dxa"/>
            </w:tcMar>
            <w:vAlign w:val="bottom"/>
            <w:hideMark/>
          </w:tcPr>
          <w:p w14:paraId="3D2E42B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C2633D"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65DF31"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D30584E" w14:textId="77777777" w:rsidR="00000000" w:rsidRDefault="00C1661D">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72B88BB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D3D9BF"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554323"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FFD6BE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820929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A4B4B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B5FF70"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A154A9E" w14:textId="77777777" w:rsidR="00000000" w:rsidRDefault="00C1661D">
            <w:pPr>
              <w:spacing w:after="100"/>
              <w:jc w:val="right"/>
              <w:rPr>
                <w:rFonts w:eastAsia="Times New Roman"/>
              </w:rPr>
            </w:pPr>
            <w:r>
              <w:rPr>
                <w:rFonts w:eastAsia="Times New Roman"/>
                <w:color w:val="000000"/>
                <w:sz w:val="16"/>
                <w:szCs w:val="16"/>
              </w:rPr>
              <w:t>236 </w:t>
            </w:r>
          </w:p>
        </w:tc>
        <w:tc>
          <w:tcPr>
            <w:tcW w:w="0" w:type="auto"/>
            <w:shd w:val="clear" w:color="auto" w:fill="CCEEFF"/>
            <w:tcMar>
              <w:top w:w="30" w:type="dxa"/>
              <w:left w:w="0" w:type="dxa"/>
              <w:bottom w:w="30" w:type="dxa"/>
              <w:right w:w="20" w:type="dxa"/>
            </w:tcMar>
            <w:vAlign w:val="bottom"/>
            <w:hideMark/>
          </w:tcPr>
          <w:p w14:paraId="1DDC94F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CCF62"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BCA6C9"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B575219"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FF56432" w14:textId="77777777" w:rsidR="00000000" w:rsidRDefault="00C1661D">
            <w:pPr>
              <w:spacing w:after="100"/>
              <w:jc w:val="right"/>
              <w:rPr>
                <w:rFonts w:eastAsia="Times New Roman"/>
              </w:rPr>
            </w:pPr>
          </w:p>
        </w:tc>
      </w:tr>
    </w:tbl>
    <w:p w14:paraId="04487C51" w14:textId="77777777" w:rsidR="00000000" w:rsidRDefault="00C1661D">
      <w:pPr>
        <w:jc w:val="center"/>
        <w:divId w:val="1165514595"/>
        <w:rPr>
          <w:rFonts w:eastAsia="Times New Roman"/>
        </w:rPr>
      </w:pPr>
      <w:r>
        <w:rPr>
          <w:rFonts w:eastAsia="Times New Roman"/>
          <w:color w:val="000000"/>
          <w:sz w:val="20"/>
          <w:szCs w:val="20"/>
        </w:rPr>
        <w:t>F-59</w:t>
      </w:r>
    </w:p>
    <w:p w14:paraId="6BD5DDA7" w14:textId="77777777" w:rsidR="00000000" w:rsidRDefault="00C1661D">
      <w:pPr>
        <w:rPr>
          <w:rFonts w:eastAsia="Times New Roman"/>
        </w:rPr>
      </w:pPr>
      <w:r>
        <w:rPr>
          <w:rFonts w:eastAsia="Times New Roman"/>
        </w:rPr>
        <w:pict w14:anchorId="51BFE8D0">
          <v:rect id="_x0000_i1172" style="width:0;height:1.5pt" o:hralign="center" o:hrstd="t" o:hr="t" fillcolor="#a0a0a0" stroked="f"/>
        </w:pict>
      </w:r>
    </w:p>
    <w:p w14:paraId="06A552A5" w14:textId="77777777" w:rsidR="00000000" w:rsidRDefault="00C1661D">
      <w:pPr>
        <w:divId w:val="460071986"/>
        <w:rPr>
          <w:rFonts w:eastAsia="Times New Roman"/>
        </w:rPr>
      </w:pPr>
      <w:hyperlink w:anchor="i3850c3c6c0104e42b9951aac2f16098a_7" w:history="1">
        <w:r>
          <w:rPr>
            <w:rStyle w:val="a3"/>
            <w:rFonts w:eastAsia="Times New Roman"/>
            <w:sz w:val="20"/>
            <w:szCs w:val="20"/>
          </w:rPr>
          <w:t>Table of Contents</w:t>
        </w:r>
      </w:hyperlink>
    </w:p>
    <w:p w14:paraId="0F604AE7" w14:textId="77777777" w:rsidR="00000000" w:rsidRDefault="00C1661D">
      <w:pPr>
        <w:divId w:val="828981192"/>
        <w:rPr>
          <w:rFonts w:eastAsia="Times New Roman"/>
        </w:rPr>
      </w:pPr>
      <w:r>
        <w:rPr>
          <w:rFonts w:eastAsia="Times New Roman"/>
          <w:b/>
          <w:bCs/>
          <w:color w:val="000000"/>
          <w:sz w:val="20"/>
          <w:szCs w:val="20"/>
        </w:rPr>
        <w:t>UGI Corporation and Subsidiaries</w:t>
      </w:r>
    </w:p>
    <w:p w14:paraId="7C2633EA" w14:textId="77777777" w:rsidR="00000000" w:rsidRDefault="00C1661D">
      <w:pPr>
        <w:divId w:val="22832172"/>
        <w:rPr>
          <w:rFonts w:eastAsia="Times New Roman"/>
        </w:rPr>
      </w:pPr>
      <w:r>
        <w:rPr>
          <w:rFonts w:eastAsia="Times New Roman"/>
          <w:b/>
          <w:bCs/>
          <w:color w:val="000000"/>
          <w:sz w:val="20"/>
          <w:szCs w:val="20"/>
        </w:rPr>
        <w:t>Notes to Consolidated Financial Statements</w:t>
      </w:r>
    </w:p>
    <w:p w14:paraId="60A29A75" w14:textId="77777777" w:rsidR="00000000" w:rsidRDefault="00C1661D">
      <w:pPr>
        <w:divId w:val="528226642"/>
        <w:rPr>
          <w:rFonts w:eastAsia="Times New Roman"/>
        </w:rPr>
      </w:pPr>
      <w:r>
        <w:rPr>
          <w:rFonts w:eastAsia="Times New Roman"/>
          <w:color w:val="000000"/>
          <w:sz w:val="20"/>
          <w:szCs w:val="20"/>
        </w:rPr>
        <w:t>(Currency in millions, except per share amounts and where indicated otherwise)</w:t>
      </w:r>
    </w:p>
    <w:tbl>
      <w:tblPr>
        <w:tblW w:w="5000" w:type="pct"/>
        <w:tblCellMar>
          <w:top w:w="15" w:type="dxa"/>
          <w:left w:w="15" w:type="dxa"/>
          <w:bottom w:w="15" w:type="dxa"/>
          <w:right w:w="15" w:type="dxa"/>
        </w:tblCellMar>
        <w:tblLook w:val="04A0" w:firstRow="1" w:lastRow="0" w:firstColumn="1" w:lastColumn="0" w:noHBand="0" w:noVBand="1"/>
      </w:tblPr>
      <w:tblGrid>
        <w:gridCol w:w="37"/>
        <w:gridCol w:w="2425"/>
        <w:gridCol w:w="36"/>
        <w:gridCol w:w="100"/>
        <w:gridCol w:w="480"/>
        <w:gridCol w:w="36"/>
        <w:gridCol w:w="36"/>
        <w:gridCol w:w="36"/>
        <w:gridCol w:w="36"/>
        <w:gridCol w:w="101"/>
        <w:gridCol w:w="451"/>
        <w:gridCol w:w="36"/>
        <w:gridCol w:w="37"/>
        <w:gridCol w:w="210"/>
        <w:gridCol w:w="36"/>
        <w:gridCol w:w="101"/>
        <w:gridCol w:w="613"/>
        <w:gridCol w:w="36"/>
        <w:gridCol w:w="36"/>
        <w:gridCol w:w="36"/>
        <w:gridCol w:w="36"/>
        <w:gridCol w:w="101"/>
        <w:gridCol w:w="754"/>
        <w:gridCol w:w="36"/>
        <w:gridCol w:w="36"/>
        <w:gridCol w:w="36"/>
        <w:gridCol w:w="36"/>
        <w:gridCol w:w="101"/>
        <w:gridCol w:w="644"/>
        <w:gridCol w:w="36"/>
        <w:gridCol w:w="36"/>
        <w:gridCol w:w="36"/>
        <w:gridCol w:w="36"/>
        <w:gridCol w:w="101"/>
        <w:gridCol w:w="488"/>
        <w:gridCol w:w="36"/>
        <w:gridCol w:w="36"/>
        <w:gridCol w:w="36"/>
        <w:gridCol w:w="36"/>
        <w:gridCol w:w="101"/>
        <w:gridCol w:w="597"/>
        <w:gridCol w:w="36"/>
      </w:tblGrid>
      <w:tr w:rsidR="00000000" w14:paraId="4776F7F9" w14:textId="77777777">
        <w:trPr>
          <w:divId w:val="610673252"/>
        </w:trPr>
        <w:tc>
          <w:tcPr>
            <w:tcW w:w="50" w:type="pct"/>
            <w:vAlign w:val="center"/>
            <w:hideMark/>
          </w:tcPr>
          <w:p w14:paraId="590C5D7C" w14:textId="77777777" w:rsidR="00000000" w:rsidRDefault="00C1661D">
            <w:pPr>
              <w:rPr>
                <w:rFonts w:eastAsia="Times New Roman"/>
              </w:rPr>
            </w:pPr>
          </w:p>
        </w:tc>
        <w:tc>
          <w:tcPr>
            <w:tcW w:w="1582" w:type="pct"/>
            <w:vAlign w:val="center"/>
            <w:hideMark/>
          </w:tcPr>
          <w:p w14:paraId="4A6B35DD" w14:textId="77777777" w:rsidR="00000000" w:rsidRDefault="00C1661D">
            <w:pPr>
              <w:spacing w:after="100"/>
              <w:rPr>
                <w:rFonts w:eastAsia="Times New Roman"/>
                <w:sz w:val="20"/>
                <w:szCs w:val="20"/>
              </w:rPr>
            </w:pPr>
          </w:p>
        </w:tc>
        <w:tc>
          <w:tcPr>
            <w:tcW w:w="5" w:type="pct"/>
            <w:vAlign w:val="center"/>
            <w:hideMark/>
          </w:tcPr>
          <w:p w14:paraId="0DFE34A2" w14:textId="77777777" w:rsidR="00000000" w:rsidRDefault="00C1661D">
            <w:pPr>
              <w:spacing w:after="100"/>
              <w:rPr>
                <w:rFonts w:eastAsia="Times New Roman"/>
                <w:sz w:val="20"/>
                <w:szCs w:val="20"/>
              </w:rPr>
            </w:pPr>
          </w:p>
        </w:tc>
        <w:tc>
          <w:tcPr>
            <w:tcW w:w="50" w:type="pct"/>
            <w:vAlign w:val="center"/>
            <w:hideMark/>
          </w:tcPr>
          <w:p w14:paraId="6C35DA0E" w14:textId="77777777" w:rsidR="00000000" w:rsidRDefault="00C1661D">
            <w:pPr>
              <w:spacing w:after="100"/>
              <w:rPr>
                <w:rFonts w:eastAsia="Times New Roman"/>
                <w:sz w:val="20"/>
                <w:szCs w:val="20"/>
              </w:rPr>
            </w:pPr>
          </w:p>
        </w:tc>
        <w:tc>
          <w:tcPr>
            <w:tcW w:w="354" w:type="pct"/>
            <w:vAlign w:val="center"/>
            <w:hideMark/>
          </w:tcPr>
          <w:p w14:paraId="68FB358F" w14:textId="77777777" w:rsidR="00000000" w:rsidRDefault="00C1661D">
            <w:pPr>
              <w:spacing w:after="100"/>
              <w:rPr>
                <w:rFonts w:eastAsia="Times New Roman"/>
                <w:sz w:val="20"/>
                <w:szCs w:val="20"/>
              </w:rPr>
            </w:pPr>
          </w:p>
        </w:tc>
        <w:tc>
          <w:tcPr>
            <w:tcW w:w="5" w:type="pct"/>
            <w:vAlign w:val="center"/>
            <w:hideMark/>
          </w:tcPr>
          <w:p w14:paraId="08428D23" w14:textId="77777777" w:rsidR="00000000" w:rsidRDefault="00C1661D">
            <w:pPr>
              <w:spacing w:after="100"/>
              <w:rPr>
                <w:rFonts w:eastAsia="Times New Roman"/>
                <w:sz w:val="20"/>
                <w:szCs w:val="20"/>
              </w:rPr>
            </w:pPr>
          </w:p>
        </w:tc>
        <w:tc>
          <w:tcPr>
            <w:tcW w:w="5" w:type="pct"/>
            <w:vAlign w:val="center"/>
            <w:hideMark/>
          </w:tcPr>
          <w:p w14:paraId="7C2D378D" w14:textId="77777777" w:rsidR="00000000" w:rsidRDefault="00C1661D">
            <w:pPr>
              <w:spacing w:after="100"/>
              <w:rPr>
                <w:rFonts w:eastAsia="Times New Roman"/>
                <w:sz w:val="20"/>
                <w:szCs w:val="20"/>
              </w:rPr>
            </w:pPr>
          </w:p>
        </w:tc>
        <w:tc>
          <w:tcPr>
            <w:tcW w:w="48" w:type="pct"/>
            <w:vAlign w:val="center"/>
            <w:hideMark/>
          </w:tcPr>
          <w:p w14:paraId="6DB91322" w14:textId="77777777" w:rsidR="00000000" w:rsidRDefault="00C1661D">
            <w:pPr>
              <w:spacing w:after="100"/>
              <w:rPr>
                <w:rFonts w:eastAsia="Times New Roman"/>
                <w:sz w:val="20"/>
                <w:szCs w:val="20"/>
              </w:rPr>
            </w:pPr>
          </w:p>
        </w:tc>
        <w:tc>
          <w:tcPr>
            <w:tcW w:w="5" w:type="pct"/>
            <w:vAlign w:val="center"/>
            <w:hideMark/>
          </w:tcPr>
          <w:p w14:paraId="701FE361" w14:textId="77777777" w:rsidR="00000000" w:rsidRDefault="00C1661D">
            <w:pPr>
              <w:spacing w:after="100"/>
              <w:rPr>
                <w:rFonts w:eastAsia="Times New Roman"/>
                <w:sz w:val="20"/>
                <w:szCs w:val="20"/>
              </w:rPr>
            </w:pPr>
          </w:p>
        </w:tc>
        <w:tc>
          <w:tcPr>
            <w:tcW w:w="50" w:type="pct"/>
            <w:vAlign w:val="center"/>
            <w:hideMark/>
          </w:tcPr>
          <w:p w14:paraId="1262ECF6" w14:textId="77777777" w:rsidR="00000000" w:rsidRDefault="00C1661D">
            <w:pPr>
              <w:spacing w:after="100"/>
              <w:rPr>
                <w:rFonts w:eastAsia="Times New Roman"/>
                <w:sz w:val="20"/>
                <w:szCs w:val="20"/>
              </w:rPr>
            </w:pPr>
          </w:p>
        </w:tc>
        <w:tc>
          <w:tcPr>
            <w:tcW w:w="259" w:type="pct"/>
            <w:vAlign w:val="center"/>
            <w:hideMark/>
          </w:tcPr>
          <w:p w14:paraId="7829626B" w14:textId="77777777" w:rsidR="00000000" w:rsidRDefault="00C1661D">
            <w:pPr>
              <w:spacing w:after="100"/>
              <w:rPr>
                <w:rFonts w:eastAsia="Times New Roman"/>
                <w:sz w:val="20"/>
                <w:szCs w:val="20"/>
              </w:rPr>
            </w:pPr>
          </w:p>
        </w:tc>
        <w:tc>
          <w:tcPr>
            <w:tcW w:w="5" w:type="pct"/>
            <w:vAlign w:val="center"/>
            <w:hideMark/>
          </w:tcPr>
          <w:p w14:paraId="66B1A6E5" w14:textId="77777777" w:rsidR="00000000" w:rsidRDefault="00C1661D">
            <w:pPr>
              <w:spacing w:after="100"/>
              <w:rPr>
                <w:rFonts w:eastAsia="Times New Roman"/>
                <w:sz w:val="20"/>
                <w:szCs w:val="20"/>
              </w:rPr>
            </w:pPr>
          </w:p>
        </w:tc>
        <w:tc>
          <w:tcPr>
            <w:tcW w:w="5" w:type="pct"/>
            <w:vAlign w:val="center"/>
            <w:hideMark/>
          </w:tcPr>
          <w:p w14:paraId="485C7B21" w14:textId="77777777" w:rsidR="00000000" w:rsidRDefault="00C1661D">
            <w:pPr>
              <w:spacing w:after="100"/>
              <w:rPr>
                <w:rFonts w:eastAsia="Times New Roman"/>
                <w:sz w:val="20"/>
                <w:szCs w:val="20"/>
              </w:rPr>
            </w:pPr>
          </w:p>
        </w:tc>
        <w:tc>
          <w:tcPr>
            <w:tcW w:w="128" w:type="pct"/>
            <w:vAlign w:val="center"/>
            <w:hideMark/>
          </w:tcPr>
          <w:p w14:paraId="1EEC75F6" w14:textId="77777777" w:rsidR="00000000" w:rsidRDefault="00C1661D">
            <w:pPr>
              <w:spacing w:after="100"/>
              <w:rPr>
                <w:rFonts w:eastAsia="Times New Roman"/>
                <w:sz w:val="20"/>
                <w:szCs w:val="20"/>
              </w:rPr>
            </w:pPr>
          </w:p>
        </w:tc>
        <w:tc>
          <w:tcPr>
            <w:tcW w:w="5" w:type="pct"/>
            <w:vAlign w:val="center"/>
            <w:hideMark/>
          </w:tcPr>
          <w:p w14:paraId="70761117" w14:textId="77777777" w:rsidR="00000000" w:rsidRDefault="00C1661D">
            <w:pPr>
              <w:spacing w:after="100"/>
              <w:rPr>
                <w:rFonts w:eastAsia="Times New Roman"/>
                <w:sz w:val="20"/>
                <w:szCs w:val="20"/>
              </w:rPr>
            </w:pPr>
          </w:p>
        </w:tc>
        <w:tc>
          <w:tcPr>
            <w:tcW w:w="50" w:type="pct"/>
            <w:vAlign w:val="center"/>
            <w:hideMark/>
          </w:tcPr>
          <w:p w14:paraId="7C7A9E6E" w14:textId="77777777" w:rsidR="00000000" w:rsidRDefault="00C1661D">
            <w:pPr>
              <w:spacing w:after="100"/>
              <w:rPr>
                <w:rFonts w:eastAsia="Times New Roman"/>
                <w:sz w:val="20"/>
                <w:szCs w:val="20"/>
              </w:rPr>
            </w:pPr>
          </w:p>
        </w:tc>
        <w:tc>
          <w:tcPr>
            <w:tcW w:w="398" w:type="pct"/>
            <w:vAlign w:val="center"/>
            <w:hideMark/>
          </w:tcPr>
          <w:p w14:paraId="071CE491" w14:textId="77777777" w:rsidR="00000000" w:rsidRDefault="00C1661D">
            <w:pPr>
              <w:spacing w:after="100"/>
              <w:rPr>
                <w:rFonts w:eastAsia="Times New Roman"/>
                <w:sz w:val="20"/>
                <w:szCs w:val="20"/>
              </w:rPr>
            </w:pPr>
          </w:p>
        </w:tc>
        <w:tc>
          <w:tcPr>
            <w:tcW w:w="5" w:type="pct"/>
            <w:vAlign w:val="center"/>
            <w:hideMark/>
          </w:tcPr>
          <w:p w14:paraId="7A7932DD" w14:textId="77777777" w:rsidR="00000000" w:rsidRDefault="00C1661D">
            <w:pPr>
              <w:spacing w:after="100"/>
              <w:rPr>
                <w:rFonts w:eastAsia="Times New Roman"/>
                <w:sz w:val="20"/>
                <w:szCs w:val="20"/>
              </w:rPr>
            </w:pPr>
          </w:p>
        </w:tc>
        <w:tc>
          <w:tcPr>
            <w:tcW w:w="5" w:type="pct"/>
            <w:vAlign w:val="center"/>
            <w:hideMark/>
          </w:tcPr>
          <w:p w14:paraId="16A13E3A" w14:textId="77777777" w:rsidR="00000000" w:rsidRDefault="00C1661D">
            <w:pPr>
              <w:spacing w:after="100"/>
              <w:rPr>
                <w:rFonts w:eastAsia="Times New Roman"/>
                <w:sz w:val="20"/>
                <w:szCs w:val="20"/>
              </w:rPr>
            </w:pPr>
          </w:p>
        </w:tc>
        <w:tc>
          <w:tcPr>
            <w:tcW w:w="48" w:type="pct"/>
            <w:vAlign w:val="center"/>
            <w:hideMark/>
          </w:tcPr>
          <w:p w14:paraId="42DCE6F3" w14:textId="77777777" w:rsidR="00000000" w:rsidRDefault="00C1661D">
            <w:pPr>
              <w:spacing w:after="100"/>
              <w:rPr>
                <w:rFonts w:eastAsia="Times New Roman"/>
                <w:sz w:val="20"/>
                <w:szCs w:val="20"/>
              </w:rPr>
            </w:pPr>
          </w:p>
        </w:tc>
        <w:tc>
          <w:tcPr>
            <w:tcW w:w="5" w:type="pct"/>
            <w:vAlign w:val="center"/>
            <w:hideMark/>
          </w:tcPr>
          <w:p w14:paraId="2F94D4BD" w14:textId="77777777" w:rsidR="00000000" w:rsidRDefault="00C1661D">
            <w:pPr>
              <w:spacing w:after="100"/>
              <w:rPr>
                <w:rFonts w:eastAsia="Times New Roman"/>
                <w:sz w:val="20"/>
                <w:szCs w:val="20"/>
              </w:rPr>
            </w:pPr>
          </w:p>
        </w:tc>
        <w:tc>
          <w:tcPr>
            <w:tcW w:w="50" w:type="pct"/>
            <w:vAlign w:val="center"/>
            <w:hideMark/>
          </w:tcPr>
          <w:p w14:paraId="7BB2360A" w14:textId="77777777" w:rsidR="00000000" w:rsidRDefault="00C1661D">
            <w:pPr>
              <w:spacing w:after="100"/>
              <w:rPr>
                <w:rFonts w:eastAsia="Times New Roman"/>
                <w:sz w:val="20"/>
                <w:szCs w:val="20"/>
              </w:rPr>
            </w:pPr>
          </w:p>
        </w:tc>
        <w:tc>
          <w:tcPr>
            <w:tcW w:w="398" w:type="pct"/>
            <w:vAlign w:val="center"/>
            <w:hideMark/>
          </w:tcPr>
          <w:p w14:paraId="7ED02699" w14:textId="77777777" w:rsidR="00000000" w:rsidRDefault="00C1661D">
            <w:pPr>
              <w:spacing w:after="100"/>
              <w:rPr>
                <w:rFonts w:eastAsia="Times New Roman"/>
                <w:sz w:val="20"/>
                <w:szCs w:val="20"/>
              </w:rPr>
            </w:pPr>
          </w:p>
        </w:tc>
        <w:tc>
          <w:tcPr>
            <w:tcW w:w="5" w:type="pct"/>
            <w:vAlign w:val="center"/>
            <w:hideMark/>
          </w:tcPr>
          <w:p w14:paraId="1265BD49" w14:textId="77777777" w:rsidR="00000000" w:rsidRDefault="00C1661D">
            <w:pPr>
              <w:spacing w:after="100"/>
              <w:rPr>
                <w:rFonts w:eastAsia="Times New Roman"/>
                <w:sz w:val="20"/>
                <w:szCs w:val="20"/>
              </w:rPr>
            </w:pPr>
          </w:p>
        </w:tc>
        <w:tc>
          <w:tcPr>
            <w:tcW w:w="5" w:type="pct"/>
            <w:vAlign w:val="center"/>
            <w:hideMark/>
          </w:tcPr>
          <w:p w14:paraId="641B5D2E" w14:textId="77777777" w:rsidR="00000000" w:rsidRDefault="00C1661D">
            <w:pPr>
              <w:spacing w:after="100"/>
              <w:rPr>
                <w:rFonts w:eastAsia="Times New Roman"/>
                <w:sz w:val="20"/>
                <w:szCs w:val="20"/>
              </w:rPr>
            </w:pPr>
          </w:p>
        </w:tc>
        <w:tc>
          <w:tcPr>
            <w:tcW w:w="19" w:type="pct"/>
            <w:vAlign w:val="center"/>
            <w:hideMark/>
          </w:tcPr>
          <w:p w14:paraId="08D28861" w14:textId="77777777" w:rsidR="00000000" w:rsidRDefault="00C1661D">
            <w:pPr>
              <w:spacing w:after="100"/>
              <w:rPr>
                <w:rFonts w:eastAsia="Times New Roman"/>
                <w:sz w:val="20"/>
                <w:szCs w:val="20"/>
              </w:rPr>
            </w:pPr>
          </w:p>
        </w:tc>
        <w:tc>
          <w:tcPr>
            <w:tcW w:w="5" w:type="pct"/>
            <w:vAlign w:val="center"/>
            <w:hideMark/>
          </w:tcPr>
          <w:p w14:paraId="0FC69C7A" w14:textId="77777777" w:rsidR="00000000" w:rsidRDefault="00C1661D">
            <w:pPr>
              <w:spacing w:after="100"/>
              <w:rPr>
                <w:rFonts w:eastAsia="Times New Roman"/>
                <w:sz w:val="20"/>
                <w:szCs w:val="20"/>
              </w:rPr>
            </w:pPr>
          </w:p>
        </w:tc>
        <w:tc>
          <w:tcPr>
            <w:tcW w:w="50" w:type="pct"/>
            <w:vAlign w:val="center"/>
            <w:hideMark/>
          </w:tcPr>
          <w:p w14:paraId="516DA061" w14:textId="77777777" w:rsidR="00000000" w:rsidRDefault="00C1661D">
            <w:pPr>
              <w:spacing w:after="100"/>
              <w:rPr>
                <w:rFonts w:eastAsia="Times New Roman"/>
                <w:sz w:val="20"/>
                <w:szCs w:val="20"/>
              </w:rPr>
            </w:pPr>
          </w:p>
        </w:tc>
        <w:tc>
          <w:tcPr>
            <w:tcW w:w="398" w:type="pct"/>
            <w:vAlign w:val="center"/>
            <w:hideMark/>
          </w:tcPr>
          <w:p w14:paraId="75AE7B95" w14:textId="77777777" w:rsidR="00000000" w:rsidRDefault="00C1661D">
            <w:pPr>
              <w:spacing w:after="100"/>
              <w:rPr>
                <w:rFonts w:eastAsia="Times New Roman"/>
                <w:sz w:val="20"/>
                <w:szCs w:val="20"/>
              </w:rPr>
            </w:pPr>
          </w:p>
        </w:tc>
        <w:tc>
          <w:tcPr>
            <w:tcW w:w="5" w:type="pct"/>
            <w:vAlign w:val="center"/>
            <w:hideMark/>
          </w:tcPr>
          <w:p w14:paraId="41C7F4DF" w14:textId="77777777" w:rsidR="00000000" w:rsidRDefault="00C1661D">
            <w:pPr>
              <w:spacing w:after="100"/>
              <w:rPr>
                <w:rFonts w:eastAsia="Times New Roman"/>
                <w:sz w:val="20"/>
                <w:szCs w:val="20"/>
              </w:rPr>
            </w:pPr>
          </w:p>
        </w:tc>
        <w:tc>
          <w:tcPr>
            <w:tcW w:w="5" w:type="pct"/>
            <w:vAlign w:val="center"/>
            <w:hideMark/>
          </w:tcPr>
          <w:p w14:paraId="2F09DEA9" w14:textId="77777777" w:rsidR="00000000" w:rsidRDefault="00C1661D">
            <w:pPr>
              <w:spacing w:after="100"/>
              <w:rPr>
                <w:rFonts w:eastAsia="Times New Roman"/>
                <w:sz w:val="20"/>
                <w:szCs w:val="20"/>
              </w:rPr>
            </w:pPr>
          </w:p>
        </w:tc>
        <w:tc>
          <w:tcPr>
            <w:tcW w:w="19" w:type="pct"/>
            <w:vAlign w:val="center"/>
            <w:hideMark/>
          </w:tcPr>
          <w:p w14:paraId="28AFD675" w14:textId="77777777" w:rsidR="00000000" w:rsidRDefault="00C1661D">
            <w:pPr>
              <w:spacing w:after="100"/>
              <w:rPr>
                <w:rFonts w:eastAsia="Times New Roman"/>
                <w:sz w:val="20"/>
                <w:szCs w:val="20"/>
              </w:rPr>
            </w:pPr>
          </w:p>
        </w:tc>
        <w:tc>
          <w:tcPr>
            <w:tcW w:w="5" w:type="pct"/>
            <w:vAlign w:val="center"/>
            <w:hideMark/>
          </w:tcPr>
          <w:p w14:paraId="7CC310E8" w14:textId="77777777" w:rsidR="00000000" w:rsidRDefault="00C1661D">
            <w:pPr>
              <w:spacing w:after="100"/>
              <w:rPr>
                <w:rFonts w:eastAsia="Times New Roman"/>
                <w:sz w:val="20"/>
                <w:szCs w:val="20"/>
              </w:rPr>
            </w:pPr>
          </w:p>
        </w:tc>
        <w:tc>
          <w:tcPr>
            <w:tcW w:w="50" w:type="pct"/>
            <w:vAlign w:val="center"/>
            <w:hideMark/>
          </w:tcPr>
          <w:p w14:paraId="626C7C48" w14:textId="77777777" w:rsidR="00000000" w:rsidRDefault="00C1661D">
            <w:pPr>
              <w:spacing w:after="100"/>
              <w:rPr>
                <w:rFonts w:eastAsia="Times New Roman"/>
                <w:sz w:val="20"/>
                <w:szCs w:val="20"/>
              </w:rPr>
            </w:pPr>
          </w:p>
        </w:tc>
        <w:tc>
          <w:tcPr>
            <w:tcW w:w="398" w:type="pct"/>
            <w:vAlign w:val="center"/>
            <w:hideMark/>
          </w:tcPr>
          <w:p w14:paraId="76E8B47D" w14:textId="77777777" w:rsidR="00000000" w:rsidRDefault="00C1661D">
            <w:pPr>
              <w:spacing w:after="100"/>
              <w:rPr>
                <w:rFonts w:eastAsia="Times New Roman"/>
                <w:sz w:val="20"/>
                <w:szCs w:val="20"/>
              </w:rPr>
            </w:pPr>
          </w:p>
        </w:tc>
        <w:tc>
          <w:tcPr>
            <w:tcW w:w="5" w:type="pct"/>
            <w:vAlign w:val="center"/>
            <w:hideMark/>
          </w:tcPr>
          <w:p w14:paraId="5861138C" w14:textId="77777777" w:rsidR="00000000" w:rsidRDefault="00C1661D">
            <w:pPr>
              <w:spacing w:after="100"/>
              <w:rPr>
                <w:rFonts w:eastAsia="Times New Roman"/>
                <w:sz w:val="20"/>
                <w:szCs w:val="20"/>
              </w:rPr>
            </w:pPr>
          </w:p>
        </w:tc>
        <w:tc>
          <w:tcPr>
            <w:tcW w:w="5" w:type="pct"/>
            <w:vAlign w:val="center"/>
            <w:hideMark/>
          </w:tcPr>
          <w:p w14:paraId="1F37D0AE" w14:textId="77777777" w:rsidR="00000000" w:rsidRDefault="00C1661D">
            <w:pPr>
              <w:spacing w:after="100"/>
              <w:rPr>
                <w:rFonts w:eastAsia="Times New Roman"/>
                <w:sz w:val="20"/>
                <w:szCs w:val="20"/>
              </w:rPr>
            </w:pPr>
          </w:p>
        </w:tc>
        <w:tc>
          <w:tcPr>
            <w:tcW w:w="48" w:type="pct"/>
            <w:vAlign w:val="center"/>
            <w:hideMark/>
          </w:tcPr>
          <w:p w14:paraId="3B4D6F7D" w14:textId="77777777" w:rsidR="00000000" w:rsidRDefault="00C1661D">
            <w:pPr>
              <w:spacing w:after="100"/>
              <w:rPr>
                <w:rFonts w:eastAsia="Times New Roman"/>
                <w:sz w:val="20"/>
                <w:szCs w:val="20"/>
              </w:rPr>
            </w:pPr>
          </w:p>
        </w:tc>
        <w:tc>
          <w:tcPr>
            <w:tcW w:w="5" w:type="pct"/>
            <w:vAlign w:val="center"/>
            <w:hideMark/>
          </w:tcPr>
          <w:p w14:paraId="24BAE4CE" w14:textId="77777777" w:rsidR="00000000" w:rsidRDefault="00C1661D">
            <w:pPr>
              <w:spacing w:after="100"/>
              <w:rPr>
                <w:rFonts w:eastAsia="Times New Roman"/>
                <w:sz w:val="20"/>
                <w:szCs w:val="20"/>
              </w:rPr>
            </w:pPr>
          </w:p>
        </w:tc>
        <w:tc>
          <w:tcPr>
            <w:tcW w:w="50" w:type="pct"/>
            <w:vAlign w:val="center"/>
            <w:hideMark/>
          </w:tcPr>
          <w:p w14:paraId="30E876DF" w14:textId="77777777" w:rsidR="00000000" w:rsidRDefault="00C1661D">
            <w:pPr>
              <w:spacing w:after="100"/>
              <w:rPr>
                <w:rFonts w:eastAsia="Times New Roman"/>
                <w:sz w:val="20"/>
                <w:szCs w:val="20"/>
              </w:rPr>
            </w:pPr>
          </w:p>
        </w:tc>
        <w:tc>
          <w:tcPr>
            <w:tcW w:w="398" w:type="pct"/>
            <w:vAlign w:val="center"/>
            <w:hideMark/>
          </w:tcPr>
          <w:p w14:paraId="61252027" w14:textId="77777777" w:rsidR="00000000" w:rsidRDefault="00C1661D">
            <w:pPr>
              <w:spacing w:after="100"/>
              <w:rPr>
                <w:rFonts w:eastAsia="Times New Roman"/>
                <w:sz w:val="20"/>
                <w:szCs w:val="20"/>
              </w:rPr>
            </w:pPr>
          </w:p>
        </w:tc>
        <w:tc>
          <w:tcPr>
            <w:tcW w:w="5" w:type="pct"/>
            <w:vAlign w:val="center"/>
            <w:hideMark/>
          </w:tcPr>
          <w:p w14:paraId="684F5B85" w14:textId="77777777" w:rsidR="00000000" w:rsidRDefault="00C1661D">
            <w:pPr>
              <w:spacing w:after="100"/>
              <w:rPr>
                <w:rFonts w:eastAsia="Times New Roman"/>
                <w:sz w:val="20"/>
                <w:szCs w:val="20"/>
              </w:rPr>
            </w:pPr>
          </w:p>
        </w:tc>
      </w:tr>
      <w:tr w:rsidR="00000000" w14:paraId="36A59EF6" w14:textId="77777777">
        <w:trPr>
          <w:divId w:val="610673252"/>
        </w:trPr>
        <w:tc>
          <w:tcPr>
            <w:tcW w:w="0" w:type="auto"/>
            <w:gridSpan w:val="3"/>
            <w:tcMar>
              <w:top w:w="0" w:type="dxa"/>
              <w:left w:w="20" w:type="dxa"/>
              <w:bottom w:w="0" w:type="dxa"/>
              <w:right w:w="20" w:type="dxa"/>
            </w:tcMar>
            <w:vAlign w:val="center"/>
            <w:hideMark/>
          </w:tcPr>
          <w:p w14:paraId="3A13F28F" w14:textId="77777777" w:rsidR="00000000" w:rsidRDefault="00C1661D">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2A4D2F64" w14:textId="77777777" w:rsidR="00000000" w:rsidRDefault="00C1661D">
            <w:pPr>
              <w:spacing w:after="100"/>
              <w:jc w:val="center"/>
              <w:rPr>
                <w:rFonts w:eastAsia="Times New Roman"/>
              </w:rPr>
            </w:pP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14:paraId="6E1FE831"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91B89F9" w14:textId="77777777" w:rsidR="00000000" w:rsidRDefault="00C1661D">
            <w:pPr>
              <w:spacing w:after="100"/>
              <w:jc w:val="center"/>
              <w:rPr>
                <w:rFonts w:eastAsia="Times New Roman"/>
              </w:rPr>
            </w:pPr>
            <w:r>
              <w:rPr>
                <w:rFonts w:eastAsia="Times New Roman"/>
                <w:color w:val="000000"/>
                <w:sz w:val="16"/>
                <w:szCs w:val="16"/>
              </w:rPr>
              <w:t>Elim-</w:t>
            </w:r>
            <w:r>
              <w:rPr>
                <w:rFonts w:eastAsia="Times New Roman"/>
                <w:color w:val="000000"/>
                <w:sz w:val="16"/>
                <w:szCs w:val="16"/>
              </w:rPr>
              <w:br/>
              <w:t>inations</w:t>
            </w:r>
          </w:p>
        </w:tc>
        <w:tc>
          <w:tcPr>
            <w:tcW w:w="0" w:type="auto"/>
            <w:gridSpan w:val="3"/>
            <w:tcMar>
              <w:top w:w="0" w:type="dxa"/>
              <w:left w:w="20" w:type="dxa"/>
              <w:bottom w:w="0" w:type="dxa"/>
              <w:right w:w="20" w:type="dxa"/>
            </w:tcMar>
            <w:vAlign w:val="center"/>
            <w:hideMark/>
          </w:tcPr>
          <w:p w14:paraId="1088FE23"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28A2EAC" w14:textId="77777777" w:rsidR="00000000" w:rsidRDefault="00C1661D">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14:paraId="3A2D71E6"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C77504E" w14:textId="77777777" w:rsidR="00000000" w:rsidRDefault="00C1661D">
            <w:pPr>
              <w:spacing w:after="100"/>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14:paraId="0850B2AE"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AE377E2" w14:textId="77777777" w:rsidR="00000000" w:rsidRDefault="00C1661D">
            <w:pPr>
              <w:spacing w:after="100"/>
              <w:jc w:val="center"/>
              <w:rPr>
                <w:rFonts w:eastAsia="Times New Roman"/>
              </w:rPr>
            </w:pPr>
            <w:r>
              <w:rPr>
                <w:rFonts w:eastAsia="Times New Roman"/>
                <w:color w:val="000000"/>
                <w:sz w:val="16"/>
                <w:szCs w:val="16"/>
              </w:rPr>
              <w:t>Midstream</w:t>
            </w:r>
            <w:r>
              <w:rPr>
                <w:rFonts w:eastAsia="Times New Roman"/>
                <w:color w:val="000000"/>
                <w:sz w:val="16"/>
                <w:szCs w:val="16"/>
              </w:rPr>
              <w:br/>
              <w:t>&amp; Marketing</w:t>
            </w:r>
          </w:p>
        </w:tc>
        <w:tc>
          <w:tcPr>
            <w:tcW w:w="0" w:type="auto"/>
            <w:gridSpan w:val="3"/>
            <w:tcMar>
              <w:top w:w="0" w:type="dxa"/>
              <w:left w:w="20" w:type="dxa"/>
              <w:bottom w:w="0" w:type="dxa"/>
              <w:right w:w="20" w:type="dxa"/>
            </w:tcMar>
            <w:vAlign w:val="center"/>
            <w:hideMark/>
          </w:tcPr>
          <w:p w14:paraId="237AD532"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A51AC91" w14:textId="77777777" w:rsidR="00000000" w:rsidRDefault="00C1661D">
            <w:pPr>
              <w:spacing w:after="100"/>
              <w:jc w:val="center"/>
              <w:rPr>
                <w:rFonts w:eastAsia="Times New Roman"/>
              </w:rPr>
            </w:pPr>
            <w:r>
              <w:rPr>
                <w:rFonts w:eastAsia="Times New Roman"/>
                <w:color w:val="000000"/>
                <w:sz w:val="16"/>
                <w:szCs w:val="16"/>
              </w:rPr>
              <w:t>Utilities</w:t>
            </w:r>
          </w:p>
        </w:tc>
        <w:tc>
          <w:tcPr>
            <w:tcW w:w="0" w:type="auto"/>
            <w:gridSpan w:val="3"/>
            <w:tcMar>
              <w:top w:w="0" w:type="dxa"/>
              <w:left w:w="20" w:type="dxa"/>
              <w:bottom w:w="0" w:type="dxa"/>
              <w:right w:w="20" w:type="dxa"/>
            </w:tcMar>
            <w:vAlign w:val="center"/>
            <w:hideMark/>
          </w:tcPr>
          <w:p w14:paraId="6A560280" w14:textId="77777777" w:rsidR="00000000" w:rsidRDefault="00C1661D">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0AAE1D0" w14:textId="77777777" w:rsidR="00000000" w:rsidRDefault="00C1661D">
            <w:pPr>
              <w:spacing w:after="100"/>
              <w:jc w:val="center"/>
              <w:rPr>
                <w:rFonts w:eastAsia="Times New Roman"/>
              </w:rPr>
            </w:pPr>
            <w:r>
              <w:rPr>
                <w:rFonts w:eastAsia="Times New Roman"/>
                <w:color w:val="000000"/>
                <w:sz w:val="16"/>
                <w:szCs w:val="16"/>
              </w:rPr>
              <w:t>Corporate &amp;</w:t>
            </w:r>
            <w:r>
              <w:rPr>
                <w:rFonts w:eastAsia="Times New Roman"/>
                <w:color w:val="000000"/>
                <w:sz w:val="16"/>
                <w:szCs w:val="16"/>
              </w:rPr>
              <w:br/>
              <w:t>Other (a)</w:t>
            </w:r>
          </w:p>
        </w:tc>
      </w:tr>
      <w:tr w:rsidR="00C1661D" w14:paraId="74776218" w14:textId="77777777">
        <w:trPr>
          <w:divId w:val="610673252"/>
        </w:trPr>
        <w:tc>
          <w:tcPr>
            <w:tcW w:w="0" w:type="auto"/>
            <w:gridSpan w:val="3"/>
            <w:shd w:val="clear" w:color="auto" w:fill="FFFFFF"/>
            <w:tcMar>
              <w:top w:w="30" w:type="dxa"/>
              <w:left w:w="155" w:type="dxa"/>
              <w:bottom w:w="30" w:type="dxa"/>
              <w:right w:w="20" w:type="dxa"/>
            </w:tcMar>
            <w:vAlign w:val="bottom"/>
            <w:hideMark/>
          </w:tcPr>
          <w:p w14:paraId="0AD01844" w14:textId="77777777" w:rsidR="00000000" w:rsidRDefault="00C1661D">
            <w:pPr>
              <w:spacing w:after="100"/>
              <w:rPr>
                <w:rFonts w:eastAsia="Times New Roman"/>
              </w:rPr>
            </w:pPr>
            <w:r>
              <w:rPr>
                <w:rFonts w:eastAsia="Times New Roman"/>
                <w:color w:val="000000"/>
                <w:sz w:val="16"/>
                <w:szCs w:val="16"/>
              </w:rPr>
              <w:t>Capital expenditures (including the effects of accruals)</w:t>
            </w:r>
          </w:p>
        </w:tc>
        <w:tc>
          <w:tcPr>
            <w:tcW w:w="0" w:type="auto"/>
            <w:shd w:val="clear" w:color="auto" w:fill="FFFFFF"/>
            <w:tcMar>
              <w:top w:w="30" w:type="dxa"/>
              <w:left w:w="20" w:type="dxa"/>
              <w:bottom w:w="30" w:type="dxa"/>
              <w:right w:w="0" w:type="dxa"/>
            </w:tcMar>
            <w:vAlign w:val="bottom"/>
            <w:hideMark/>
          </w:tcPr>
          <w:p w14:paraId="6C3F9FE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FE71BEA" w14:textId="77777777" w:rsidR="00000000" w:rsidRDefault="00C1661D">
            <w:pPr>
              <w:spacing w:after="100"/>
              <w:jc w:val="right"/>
              <w:rPr>
                <w:rFonts w:eastAsia="Times New Roman"/>
              </w:rPr>
            </w:pPr>
            <w:r>
              <w:rPr>
                <w:rFonts w:eastAsia="Times New Roman"/>
                <w:color w:val="000000"/>
                <w:sz w:val="16"/>
                <w:szCs w:val="16"/>
              </w:rPr>
              <w:t>835 </w:t>
            </w:r>
          </w:p>
        </w:tc>
        <w:tc>
          <w:tcPr>
            <w:tcW w:w="0" w:type="auto"/>
            <w:shd w:val="clear" w:color="auto" w:fill="FFFFFF"/>
            <w:tcMar>
              <w:top w:w="30" w:type="dxa"/>
              <w:left w:w="0" w:type="dxa"/>
              <w:bottom w:w="30" w:type="dxa"/>
              <w:right w:w="20" w:type="dxa"/>
            </w:tcMar>
            <w:vAlign w:val="bottom"/>
            <w:hideMark/>
          </w:tcPr>
          <w:p w14:paraId="4026D18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40E2A3"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04362B4"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42E64EA"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2E23076"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A69F555" w14:textId="77777777" w:rsidR="00000000" w:rsidRDefault="00C1661D">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14:paraId="4DF5AF3F"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550D6FB" w14:textId="77777777" w:rsidR="00000000" w:rsidRDefault="00C1661D">
            <w:pPr>
              <w:spacing w:after="100"/>
              <w:jc w:val="right"/>
              <w:rPr>
                <w:rFonts w:eastAsia="Times New Roman"/>
              </w:rPr>
            </w:pPr>
            <w:r>
              <w:rPr>
                <w:rFonts w:eastAsia="Times New Roman"/>
                <w:color w:val="000000"/>
                <w:sz w:val="16"/>
                <w:szCs w:val="16"/>
              </w:rPr>
              <w:t>128 </w:t>
            </w:r>
          </w:p>
        </w:tc>
        <w:tc>
          <w:tcPr>
            <w:tcW w:w="0" w:type="auto"/>
            <w:shd w:val="clear" w:color="auto" w:fill="FFFFFF"/>
            <w:tcMar>
              <w:top w:w="30" w:type="dxa"/>
              <w:left w:w="0" w:type="dxa"/>
              <w:bottom w:w="30" w:type="dxa"/>
              <w:right w:w="20" w:type="dxa"/>
            </w:tcMar>
            <w:vAlign w:val="bottom"/>
            <w:hideMark/>
          </w:tcPr>
          <w:p w14:paraId="695445E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9BBC0"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74ADF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0437258" w14:textId="77777777" w:rsidR="00000000" w:rsidRDefault="00C1661D">
            <w:pPr>
              <w:spacing w:after="100"/>
              <w:jc w:val="right"/>
              <w:rPr>
                <w:rFonts w:eastAsia="Times New Roman"/>
              </w:rPr>
            </w:pPr>
            <w:r>
              <w:rPr>
                <w:rFonts w:eastAsia="Times New Roman"/>
                <w:color w:val="000000"/>
                <w:sz w:val="16"/>
                <w:szCs w:val="16"/>
              </w:rPr>
              <w:t>107 </w:t>
            </w:r>
          </w:p>
        </w:tc>
        <w:tc>
          <w:tcPr>
            <w:tcW w:w="0" w:type="auto"/>
            <w:shd w:val="clear" w:color="auto" w:fill="FFFFFF"/>
            <w:tcMar>
              <w:top w:w="30" w:type="dxa"/>
              <w:left w:w="0" w:type="dxa"/>
              <w:bottom w:w="30" w:type="dxa"/>
              <w:right w:w="20" w:type="dxa"/>
            </w:tcMar>
            <w:vAlign w:val="bottom"/>
            <w:hideMark/>
          </w:tcPr>
          <w:p w14:paraId="06864CA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364182"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17BF895"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BFC5C98" w14:textId="77777777" w:rsidR="00000000" w:rsidRDefault="00C1661D">
            <w:pPr>
              <w:spacing w:after="100"/>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bottom"/>
            <w:hideMark/>
          </w:tcPr>
          <w:p w14:paraId="4B7925B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A87F94"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32F6A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62E479B" w14:textId="77777777" w:rsidR="00000000" w:rsidRDefault="00C1661D">
            <w:pPr>
              <w:spacing w:after="100"/>
              <w:jc w:val="right"/>
              <w:rPr>
                <w:rFonts w:eastAsia="Times New Roman"/>
              </w:rPr>
            </w:pPr>
            <w:r>
              <w:rPr>
                <w:rFonts w:eastAsia="Times New Roman"/>
                <w:color w:val="000000"/>
                <w:sz w:val="16"/>
                <w:szCs w:val="16"/>
              </w:rPr>
              <w:t>562 </w:t>
            </w:r>
          </w:p>
        </w:tc>
        <w:tc>
          <w:tcPr>
            <w:tcW w:w="0" w:type="auto"/>
            <w:shd w:val="clear" w:color="auto" w:fill="FFFFFF"/>
            <w:tcMar>
              <w:top w:w="30" w:type="dxa"/>
              <w:left w:w="0" w:type="dxa"/>
              <w:bottom w:w="30" w:type="dxa"/>
              <w:right w:w="20" w:type="dxa"/>
            </w:tcMar>
            <w:vAlign w:val="bottom"/>
            <w:hideMark/>
          </w:tcPr>
          <w:p w14:paraId="087DD4D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59D852"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7CCBACD"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4270B5C"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8EBADCD" w14:textId="77777777" w:rsidR="00000000" w:rsidRDefault="00C1661D">
            <w:pPr>
              <w:spacing w:after="100"/>
              <w:jc w:val="right"/>
              <w:rPr>
                <w:rFonts w:eastAsia="Times New Roman"/>
              </w:rPr>
            </w:pPr>
          </w:p>
        </w:tc>
      </w:tr>
      <w:tr w:rsidR="00C1661D" w14:paraId="30230F5B" w14:textId="77777777">
        <w:trPr>
          <w:divId w:val="610673252"/>
        </w:trPr>
        <w:tc>
          <w:tcPr>
            <w:tcW w:w="0" w:type="auto"/>
            <w:gridSpan w:val="3"/>
            <w:shd w:val="clear" w:color="auto" w:fill="CCEEFF"/>
            <w:tcMar>
              <w:top w:w="30" w:type="dxa"/>
              <w:left w:w="155" w:type="dxa"/>
              <w:bottom w:w="30" w:type="dxa"/>
              <w:right w:w="20" w:type="dxa"/>
            </w:tcMar>
            <w:vAlign w:val="bottom"/>
            <w:hideMark/>
          </w:tcPr>
          <w:p w14:paraId="22FB1DA5" w14:textId="77777777" w:rsidR="00000000" w:rsidRDefault="00C1661D">
            <w:pPr>
              <w:spacing w:after="100"/>
              <w:rPr>
                <w:rFonts w:eastAsia="Times New Roman"/>
              </w:rPr>
            </w:pPr>
            <w:r>
              <w:rPr>
                <w:rFonts w:eastAsia="Times New Roman"/>
                <w:color w:val="000000"/>
                <w:sz w:val="16"/>
                <w:szCs w:val="16"/>
              </w:rPr>
              <w:t>Investments in equity investees</w:t>
            </w:r>
          </w:p>
        </w:tc>
        <w:tc>
          <w:tcPr>
            <w:tcW w:w="0" w:type="auto"/>
            <w:shd w:val="clear" w:color="auto" w:fill="CCEEFF"/>
            <w:tcMar>
              <w:top w:w="30" w:type="dxa"/>
              <w:left w:w="20" w:type="dxa"/>
              <w:bottom w:w="30" w:type="dxa"/>
              <w:right w:w="0" w:type="dxa"/>
            </w:tcMar>
            <w:vAlign w:val="bottom"/>
            <w:hideMark/>
          </w:tcPr>
          <w:p w14:paraId="16ACFE36"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5A12B19" w14:textId="77777777" w:rsidR="00000000" w:rsidRDefault="00C1661D">
            <w:pPr>
              <w:spacing w:after="100"/>
              <w:jc w:val="right"/>
              <w:rPr>
                <w:rFonts w:eastAsia="Times New Roman"/>
              </w:rPr>
            </w:pPr>
            <w:r>
              <w:rPr>
                <w:rFonts w:eastAsia="Times New Roman"/>
                <w:color w:val="000000"/>
                <w:sz w:val="16"/>
                <w:szCs w:val="16"/>
              </w:rPr>
              <w:t>130 </w:t>
            </w:r>
          </w:p>
        </w:tc>
        <w:tc>
          <w:tcPr>
            <w:tcW w:w="0" w:type="auto"/>
            <w:shd w:val="clear" w:color="auto" w:fill="CCEEFF"/>
            <w:tcMar>
              <w:top w:w="30" w:type="dxa"/>
              <w:left w:w="0" w:type="dxa"/>
              <w:bottom w:w="30" w:type="dxa"/>
              <w:right w:w="20" w:type="dxa"/>
            </w:tcMar>
            <w:vAlign w:val="bottom"/>
            <w:hideMark/>
          </w:tcPr>
          <w:p w14:paraId="12FF0A8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4338C7"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6E6076D"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1B7D855"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4F318E9"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D0F6900" w14:textId="77777777" w:rsidR="00000000" w:rsidRDefault="00C1661D">
            <w:pPr>
              <w:spacing w:after="100"/>
              <w:rPr>
                <w:rFonts w:eastAsia="Times New Roman"/>
              </w:rPr>
            </w:pPr>
            <w:r>
              <w:rPr>
                <w:rFonts w:eastAsia="Times New Roman"/>
                <w:color w:val="000000"/>
                <w:sz w:val="16"/>
                <w:szCs w:val="16"/>
              </w:rPr>
              <w:t> </w:t>
            </w:r>
          </w:p>
        </w:tc>
        <w:tc>
          <w:tcPr>
            <w:tcW w:w="0" w:type="auto"/>
            <w:shd w:val="clear" w:color="auto" w:fill="CCEEFF"/>
            <w:tcMar>
              <w:top w:w="30" w:type="dxa"/>
              <w:left w:w="20" w:type="dxa"/>
              <w:bottom w:w="30" w:type="dxa"/>
              <w:right w:w="0" w:type="dxa"/>
            </w:tcMar>
            <w:vAlign w:val="bottom"/>
            <w:hideMark/>
          </w:tcPr>
          <w:p w14:paraId="033C1459"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2E54AD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173D50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102C6"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E9468D4"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E867372" w14:textId="77777777" w:rsidR="00000000" w:rsidRDefault="00C1661D">
            <w:pPr>
              <w:spacing w:after="100"/>
              <w:jc w:val="right"/>
              <w:rPr>
                <w:rFonts w:eastAsia="Times New Roman"/>
              </w:rPr>
            </w:pPr>
            <w:r>
              <w:rPr>
                <w:rFonts w:eastAsia="Times New Roman"/>
                <w:color w:val="000000"/>
                <w:sz w:val="16"/>
                <w:szCs w:val="16"/>
              </w:rPr>
              <w:t>20 </w:t>
            </w:r>
          </w:p>
        </w:tc>
        <w:tc>
          <w:tcPr>
            <w:tcW w:w="0" w:type="auto"/>
            <w:shd w:val="clear" w:color="auto" w:fill="CCEEFF"/>
            <w:tcMar>
              <w:top w:w="30" w:type="dxa"/>
              <w:left w:w="0" w:type="dxa"/>
              <w:bottom w:w="30" w:type="dxa"/>
              <w:right w:w="20" w:type="dxa"/>
            </w:tcMar>
            <w:vAlign w:val="bottom"/>
            <w:hideMark/>
          </w:tcPr>
          <w:p w14:paraId="77079B8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E57B74"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3BDF804"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9E09A6D" w14:textId="77777777" w:rsidR="00000000" w:rsidRDefault="00C1661D">
            <w:pPr>
              <w:spacing w:after="100"/>
              <w:jc w:val="right"/>
              <w:rPr>
                <w:rFonts w:eastAsia="Times New Roman"/>
              </w:rPr>
            </w:pPr>
            <w:r>
              <w:rPr>
                <w:rFonts w:eastAsia="Times New Roman"/>
                <w:color w:val="000000"/>
                <w:sz w:val="16"/>
                <w:szCs w:val="16"/>
              </w:rPr>
              <w:t>109 </w:t>
            </w:r>
          </w:p>
        </w:tc>
        <w:tc>
          <w:tcPr>
            <w:tcW w:w="0" w:type="auto"/>
            <w:shd w:val="clear" w:color="auto" w:fill="CCEEFF"/>
            <w:tcMar>
              <w:top w:w="30" w:type="dxa"/>
              <w:left w:w="0" w:type="dxa"/>
              <w:bottom w:w="30" w:type="dxa"/>
              <w:right w:w="20" w:type="dxa"/>
            </w:tcMar>
            <w:vAlign w:val="bottom"/>
            <w:hideMark/>
          </w:tcPr>
          <w:p w14:paraId="189133D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7FB78C"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B13EEA"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DC774AB"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7D39FE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AA74AD"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24AF22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039A6C0" w14:textId="77777777" w:rsidR="00000000" w:rsidRDefault="00C1661D">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6EBEFDFF" w14:textId="77777777" w:rsidR="00000000" w:rsidRDefault="00C1661D">
            <w:pPr>
              <w:spacing w:after="100"/>
              <w:jc w:val="right"/>
              <w:rPr>
                <w:rFonts w:eastAsia="Times New Roman"/>
              </w:rPr>
            </w:pPr>
          </w:p>
        </w:tc>
      </w:tr>
      <w:tr w:rsidR="00000000" w14:paraId="5009E6FE" w14:textId="77777777">
        <w:trPr>
          <w:divId w:val="610673252"/>
        </w:trPr>
        <w:tc>
          <w:tcPr>
            <w:tcW w:w="0" w:type="auto"/>
            <w:gridSpan w:val="3"/>
            <w:vAlign w:val="center"/>
            <w:hideMark/>
          </w:tcPr>
          <w:p w14:paraId="4C10E94E" w14:textId="77777777" w:rsidR="00000000" w:rsidRDefault="00C1661D">
            <w:pPr>
              <w:spacing w:after="100"/>
              <w:jc w:val="right"/>
              <w:rPr>
                <w:rFonts w:eastAsia="Times New Roman"/>
                <w:sz w:val="20"/>
                <w:szCs w:val="20"/>
              </w:rPr>
            </w:pPr>
          </w:p>
        </w:tc>
        <w:tc>
          <w:tcPr>
            <w:tcW w:w="0" w:type="auto"/>
            <w:gridSpan w:val="3"/>
            <w:vAlign w:val="center"/>
            <w:hideMark/>
          </w:tcPr>
          <w:p w14:paraId="3FD3279C" w14:textId="77777777" w:rsidR="00000000" w:rsidRDefault="00C1661D">
            <w:pPr>
              <w:spacing w:after="100"/>
              <w:rPr>
                <w:rFonts w:eastAsia="Times New Roman"/>
                <w:sz w:val="20"/>
                <w:szCs w:val="20"/>
              </w:rPr>
            </w:pPr>
          </w:p>
        </w:tc>
        <w:tc>
          <w:tcPr>
            <w:tcW w:w="0" w:type="auto"/>
            <w:gridSpan w:val="3"/>
            <w:vAlign w:val="center"/>
            <w:hideMark/>
          </w:tcPr>
          <w:p w14:paraId="22A35015" w14:textId="77777777" w:rsidR="00000000" w:rsidRDefault="00C1661D">
            <w:pPr>
              <w:spacing w:after="100"/>
              <w:rPr>
                <w:rFonts w:eastAsia="Times New Roman"/>
                <w:sz w:val="20"/>
                <w:szCs w:val="20"/>
              </w:rPr>
            </w:pPr>
          </w:p>
        </w:tc>
        <w:tc>
          <w:tcPr>
            <w:tcW w:w="0" w:type="auto"/>
            <w:gridSpan w:val="3"/>
            <w:vAlign w:val="center"/>
            <w:hideMark/>
          </w:tcPr>
          <w:p w14:paraId="6E44093F" w14:textId="77777777" w:rsidR="00000000" w:rsidRDefault="00C1661D">
            <w:pPr>
              <w:spacing w:after="100"/>
              <w:rPr>
                <w:rFonts w:eastAsia="Times New Roman"/>
                <w:sz w:val="20"/>
                <w:szCs w:val="20"/>
              </w:rPr>
            </w:pPr>
          </w:p>
        </w:tc>
        <w:tc>
          <w:tcPr>
            <w:tcW w:w="0" w:type="auto"/>
            <w:gridSpan w:val="3"/>
            <w:vAlign w:val="center"/>
            <w:hideMark/>
          </w:tcPr>
          <w:p w14:paraId="4323AB00" w14:textId="77777777" w:rsidR="00000000" w:rsidRDefault="00C1661D">
            <w:pPr>
              <w:spacing w:after="100"/>
              <w:rPr>
                <w:rFonts w:eastAsia="Times New Roman"/>
                <w:sz w:val="20"/>
                <w:szCs w:val="20"/>
              </w:rPr>
            </w:pPr>
          </w:p>
        </w:tc>
        <w:tc>
          <w:tcPr>
            <w:tcW w:w="0" w:type="auto"/>
            <w:gridSpan w:val="3"/>
            <w:vAlign w:val="center"/>
            <w:hideMark/>
          </w:tcPr>
          <w:p w14:paraId="4A63F53E" w14:textId="77777777" w:rsidR="00000000" w:rsidRDefault="00C1661D">
            <w:pPr>
              <w:spacing w:after="100"/>
              <w:rPr>
                <w:rFonts w:eastAsia="Times New Roman"/>
                <w:sz w:val="20"/>
                <w:szCs w:val="20"/>
              </w:rPr>
            </w:pPr>
          </w:p>
        </w:tc>
        <w:tc>
          <w:tcPr>
            <w:tcW w:w="0" w:type="auto"/>
            <w:gridSpan w:val="3"/>
            <w:vAlign w:val="center"/>
            <w:hideMark/>
          </w:tcPr>
          <w:p w14:paraId="77C427FB" w14:textId="77777777" w:rsidR="00000000" w:rsidRDefault="00C1661D">
            <w:pPr>
              <w:spacing w:after="100"/>
              <w:rPr>
                <w:rFonts w:eastAsia="Times New Roman"/>
                <w:sz w:val="20"/>
                <w:szCs w:val="20"/>
              </w:rPr>
            </w:pPr>
          </w:p>
        </w:tc>
        <w:tc>
          <w:tcPr>
            <w:tcW w:w="0" w:type="auto"/>
            <w:gridSpan w:val="3"/>
            <w:vAlign w:val="center"/>
            <w:hideMark/>
          </w:tcPr>
          <w:p w14:paraId="3B3ECDEE" w14:textId="77777777" w:rsidR="00000000" w:rsidRDefault="00C1661D">
            <w:pPr>
              <w:spacing w:after="100"/>
              <w:rPr>
                <w:rFonts w:eastAsia="Times New Roman"/>
                <w:sz w:val="20"/>
                <w:szCs w:val="20"/>
              </w:rPr>
            </w:pPr>
          </w:p>
        </w:tc>
        <w:tc>
          <w:tcPr>
            <w:tcW w:w="0" w:type="auto"/>
            <w:gridSpan w:val="3"/>
            <w:vAlign w:val="center"/>
            <w:hideMark/>
          </w:tcPr>
          <w:p w14:paraId="736F0624" w14:textId="77777777" w:rsidR="00000000" w:rsidRDefault="00C1661D">
            <w:pPr>
              <w:spacing w:after="100"/>
              <w:rPr>
                <w:rFonts w:eastAsia="Times New Roman"/>
                <w:sz w:val="20"/>
                <w:szCs w:val="20"/>
              </w:rPr>
            </w:pPr>
          </w:p>
        </w:tc>
        <w:tc>
          <w:tcPr>
            <w:tcW w:w="0" w:type="auto"/>
            <w:gridSpan w:val="3"/>
            <w:vAlign w:val="center"/>
            <w:hideMark/>
          </w:tcPr>
          <w:p w14:paraId="054B7563" w14:textId="77777777" w:rsidR="00000000" w:rsidRDefault="00C1661D">
            <w:pPr>
              <w:spacing w:after="100"/>
              <w:rPr>
                <w:rFonts w:eastAsia="Times New Roman"/>
                <w:sz w:val="20"/>
                <w:szCs w:val="20"/>
              </w:rPr>
            </w:pPr>
          </w:p>
        </w:tc>
        <w:tc>
          <w:tcPr>
            <w:tcW w:w="0" w:type="auto"/>
            <w:gridSpan w:val="3"/>
            <w:vAlign w:val="center"/>
            <w:hideMark/>
          </w:tcPr>
          <w:p w14:paraId="3AE3166E" w14:textId="77777777" w:rsidR="00000000" w:rsidRDefault="00C1661D">
            <w:pPr>
              <w:spacing w:after="100"/>
              <w:rPr>
                <w:rFonts w:eastAsia="Times New Roman"/>
                <w:sz w:val="20"/>
                <w:szCs w:val="20"/>
              </w:rPr>
            </w:pPr>
          </w:p>
        </w:tc>
        <w:tc>
          <w:tcPr>
            <w:tcW w:w="0" w:type="auto"/>
            <w:gridSpan w:val="3"/>
            <w:vAlign w:val="center"/>
            <w:hideMark/>
          </w:tcPr>
          <w:p w14:paraId="34E04E08" w14:textId="77777777" w:rsidR="00000000" w:rsidRDefault="00C1661D">
            <w:pPr>
              <w:spacing w:after="100"/>
              <w:rPr>
                <w:rFonts w:eastAsia="Times New Roman"/>
                <w:sz w:val="20"/>
                <w:szCs w:val="20"/>
              </w:rPr>
            </w:pPr>
          </w:p>
        </w:tc>
        <w:tc>
          <w:tcPr>
            <w:tcW w:w="0" w:type="auto"/>
            <w:gridSpan w:val="3"/>
            <w:vAlign w:val="center"/>
            <w:hideMark/>
          </w:tcPr>
          <w:p w14:paraId="1C1E5B1B" w14:textId="77777777" w:rsidR="00000000" w:rsidRDefault="00C1661D">
            <w:pPr>
              <w:spacing w:after="100"/>
              <w:rPr>
                <w:rFonts w:eastAsia="Times New Roman"/>
                <w:sz w:val="20"/>
                <w:szCs w:val="20"/>
              </w:rPr>
            </w:pPr>
          </w:p>
        </w:tc>
        <w:tc>
          <w:tcPr>
            <w:tcW w:w="0" w:type="auto"/>
            <w:gridSpan w:val="3"/>
            <w:vAlign w:val="center"/>
            <w:hideMark/>
          </w:tcPr>
          <w:p w14:paraId="5399D840" w14:textId="77777777" w:rsidR="00000000" w:rsidRDefault="00C1661D">
            <w:pPr>
              <w:spacing w:after="100"/>
              <w:rPr>
                <w:rFonts w:eastAsia="Times New Roman"/>
                <w:sz w:val="20"/>
                <w:szCs w:val="20"/>
              </w:rPr>
            </w:pPr>
          </w:p>
        </w:tc>
      </w:tr>
      <w:tr w:rsidR="00000000" w14:paraId="1153316E" w14:textId="77777777">
        <w:trPr>
          <w:divId w:val="610673252"/>
          <w:trHeight w:val="240"/>
        </w:trPr>
        <w:tc>
          <w:tcPr>
            <w:tcW w:w="0" w:type="auto"/>
            <w:gridSpan w:val="3"/>
            <w:shd w:val="clear" w:color="auto" w:fill="FFFFFF"/>
            <w:tcMar>
              <w:top w:w="0" w:type="dxa"/>
              <w:left w:w="20" w:type="dxa"/>
              <w:bottom w:w="0" w:type="dxa"/>
              <w:right w:w="20" w:type="dxa"/>
            </w:tcMar>
            <w:vAlign w:val="center"/>
            <w:hideMark/>
          </w:tcPr>
          <w:p w14:paraId="26EF6CA6"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27F5FE"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14FB5E"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FC4D25"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2851FF"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DE570B"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BDE555"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13F1C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2E528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1FED16"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D7571C"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359939"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44078E"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E2C959" w14:textId="77777777" w:rsidR="00000000" w:rsidRDefault="00C1661D">
            <w:pPr>
              <w:spacing w:after="100"/>
              <w:rPr>
                <w:rFonts w:eastAsia="Times New Roman"/>
                <w:sz w:val="20"/>
                <w:szCs w:val="20"/>
              </w:rPr>
            </w:pPr>
          </w:p>
        </w:tc>
      </w:tr>
      <w:tr w:rsidR="00000000" w14:paraId="599FB6CB" w14:textId="77777777">
        <w:trPr>
          <w:divId w:val="610673252"/>
        </w:trPr>
        <w:tc>
          <w:tcPr>
            <w:tcW w:w="0" w:type="auto"/>
            <w:gridSpan w:val="3"/>
            <w:tcMar>
              <w:top w:w="30" w:type="dxa"/>
              <w:left w:w="20" w:type="dxa"/>
              <w:bottom w:w="30" w:type="dxa"/>
              <w:right w:w="20" w:type="dxa"/>
            </w:tcMar>
            <w:vAlign w:val="bottom"/>
            <w:hideMark/>
          </w:tcPr>
          <w:p w14:paraId="3F9BF11F" w14:textId="77777777" w:rsidR="00000000" w:rsidRDefault="00C1661D">
            <w:pPr>
              <w:spacing w:after="100"/>
              <w:rPr>
                <w:rFonts w:eastAsia="Times New Roman"/>
              </w:rPr>
            </w:pPr>
            <w:r>
              <w:rPr>
                <w:rFonts w:eastAsia="Times New Roman"/>
                <w:color w:val="000000"/>
                <w:sz w:val="16"/>
                <w:szCs w:val="16"/>
              </w:rPr>
              <w:t>2021</w:t>
            </w:r>
          </w:p>
        </w:tc>
        <w:tc>
          <w:tcPr>
            <w:tcW w:w="0" w:type="auto"/>
            <w:gridSpan w:val="3"/>
            <w:tcMar>
              <w:top w:w="30" w:type="dxa"/>
              <w:left w:w="20" w:type="dxa"/>
              <w:bottom w:w="30" w:type="dxa"/>
              <w:right w:w="20" w:type="dxa"/>
            </w:tcMar>
            <w:vAlign w:val="bottom"/>
            <w:hideMark/>
          </w:tcPr>
          <w:p w14:paraId="5C7E19E3" w14:textId="77777777" w:rsidR="00000000" w:rsidRDefault="00C1661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CB3FB52"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4FBD5B2B" w14:textId="77777777" w:rsidR="00000000" w:rsidRDefault="00C1661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E5F6D7E" w14:textId="77777777" w:rsidR="00000000" w:rsidRDefault="00C1661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DF851B1" w14:textId="77777777" w:rsidR="00000000" w:rsidRDefault="00C1661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A62C1C0"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19AFC369" w14:textId="77777777" w:rsidR="00000000" w:rsidRDefault="00C1661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6E852C3"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19BBBE7C" w14:textId="77777777" w:rsidR="00000000" w:rsidRDefault="00C1661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2876500"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2F3A958E" w14:textId="77777777" w:rsidR="00000000" w:rsidRDefault="00C1661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5883948"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060A710D" w14:textId="77777777" w:rsidR="00000000" w:rsidRDefault="00C1661D">
            <w:pPr>
              <w:spacing w:after="100"/>
              <w:rPr>
                <w:rFonts w:eastAsia="Times New Roman"/>
              </w:rPr>
            </w:pPr>
            <w:r>
              <w:rPr>
                <w:rFonts w:eastAsia="Times New Roman"/>
                <w:color w:val="000000"/>
                <w:sz w:val="16"/>
                <w:szCs w:val="16"/>
              </w:rPr>
              <w:t> </w:t>
            </w:r>
          </w:p>
        </w:tc>
      </w:tr>
      <w:tr w:rsidR="00C1661D" w14:paraId="55514BFF" w14:textId="77777777">
        <w:trPr>
          <w:divId w:val="610673252"/>
        </w:trPr>
        <w:tc>
          <w:tcPr>
            <w:tcW w:w="0" w:type="auto"/>
            <w:gridSpan w:val="3"/>
            <w:shd w:val="clear" w:color="auto" w:fill="CCEEFF"/>
            <w:tcMar>
              <w:top w:w="30" w:type="dxa"/>
              <w:left w:w="155" w:type="dxa"/>
              <w:bottom w:w="30" w:type="dxa"/>
              <w:right w:w="20" w:type="dxa"/>
            </w:tcMar>
            <w:vAlign w:val="bottom"/>
            <w:hideMark/>
          </w:tcPr>
          <w:p w14:paraId="5F3476FD" w14:textId="77777777" w:rsidR="00000000" w:rsidRDefault="00C1661D">
            <w:pPr>
              <w:spacing w:after="100"/>
              <w:rPr>
                <w:rFonts w:eastAsia="Times New Roman"/>
              </w:rPr>
            </w:pPr>
            <w:r>
              <w:rPr>
                <w:rFonts w:eastAsia="Times New Roman"/>
                <w:color w:val="000000"/>
                <w:sz w:val="16"/>
                <w:szCs w:val="16"/>
              </w:rPr>
              <w:t>Revenues from external customers</w:t>
            </w:r>
          </w:p>
        </w:tc>
        <w:tc>
          <w:tcPr>
            <w:tcW w:w="0" w:type="auto"/>
            <w:shd w:val="clear" w:color="auto" w:fill="CCEEFF"/>
            <w:tcMar>
              <w:top w:w="30" w:type="dxa"/>
              <w:left w:w="20" w:type="dxa"/>
              <w:bottom w:w="30" w:type="dxa"/>
              <w:right w:w="0" w:type="dxa"/>
            </w:tcMar>
            <w:vAlign w:val="bottom"/>
            <w:hideMark/>
          </w:tcPr>
          <w:p w14:paraId="7AC5C1AA"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FA39D55" w14:textId="77777777" w:rsidR="00000000" w:rsidRDefault="00C1661D">
            <w:pPr>
              <w:spacing w:after="100"/>
              <w:jc w:val="right"/>
              <w:rPr>
                <w:rFonts w:eastAsia="Times New Roman"/>
              </w:rPr>
            </w:pPr>
            <w:r>
              <w:rPr>
                <w:rFonts w:eastAsia="Times New Roman"/>
                <w:color w:val="000000"/>
                <w:sz w:val="16"/>
                <w:szCs w:val="16"/>
              </w:rPr>
              <w:t>7,447 </w:t>
            </w:r>
          </w:p>
        </w:tc>
        <w:tc>
          <w:tcPr>
            <w:tcW w:w="0" w:type="auto"/>
            <w:shd w:val="clear" w:color="auto" w:fill="CCEEFF"/>
            <w:tcMar>
              <w:top w:w="30" w:type="dxa"/>
              <w:left w:w="0" w:type="dxa"/>
              <w:bottom w:w="30" w:type="dxa"/>
              <w:right w:w="20" w:type="dxa"/>
            </w:tcMar>
            <w:vAlign w:val="bottom"/>
            <w:hideMark/>
          </w:tcPr>
          <w:p w14:paraId="12D7820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A4DABA"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67FFA3"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3C709F9"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5D675B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6FBD2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B89E24"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197B986" w14:textId="77777777" w:rsidR="00000000" w:rsidRDefault="00C1661D">
            <w:pPr>
              <w:spacing w:after="100"/>
              <w:jc w:val="right"/>
              <w:rPr>
                <w:rFonts w:eastAsia="Times New Roman"/>
              </w:rPr>
            </w:pPr>
            <w:r>
              <w:rPr>
                <w:rFonts w:eastAsia="Times New Roman"/>
                <w:color w:val="000000"/>
                <w:sz w:val="16"/>
                <w:szCs w:val="16"/>
              </w:rPr>
              <w:t>2,614 </w:t>
            </w:r>
          </w:p>
        </w:tc>
        <w:tc>
          <w:tcPr>
            <w:tcW w:w="0" w:type="auto"/>
            <w:shd w:val="clear" w:color="auto" w:fill="CCEEFF"/>
            <w:tcMar>
              <w:top w:w="30" w:type="dxa"/>
              <w:left w:w="0" w:type="dxa"/>
              <w:bottom w:w="30" w:type="dxa"/>
              <w:right w:w="20" w:type="dxa"/>
            </w:tcMar>
            <w:vAlign w:val="bottom"/>
            <w:hideMark/>
          </w:tcPr>
          <w:p w14:paraId="24B5197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F4851"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A633F3"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A23DA07" w14:textId="77777777" w:rsidR="00000000" w:rsidRDefault="00C1661D">
            <w:pPr>
              <w:spacing w:after="100"/>
              <w:jc w:val="right"/>
              <w:rPr>
                <w:rFonts w:eastAsia="Times New Roman"/>
              </w:rPr>
            </w:pPr>
            <w:r>
              <w:rPr>
                <w:rFonts w:eastAsia="Times New Roman"/>
                <w:color w:val="000000"/>
                <w:sz w:val="16"/>
                <w:szCs w:val="16"/>
              </w:rPr>
              <w:t>2,651 </w:t>
            </w:r>
          </w:p>
        </w:tc>
        <w:tc>
          <w:tcPr>
            <w:tcW w:w="0" w:type="auto"/>
            <w:shd w:val="clear" w:color="auto" w:fill="CCEEFF"/>
            <w:tcMar>
              <w:top w:w="30" w:type="dxa"/>
              <w:left w:w="0" w:type="dxa"/>
              <w:bottom w:w="30" w:type="dxa"/>
              <w:right w:w="20" w:type="dxa"/>
            </w:tcMar>
            <w:vAlign w:val="bottom"/>
            <w:hideMark/>
          </w:tcPr>
          <w:p w14:paraId="2C7015D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027DAB"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19BFB89"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80D9EA0" w14:textId="77777777" w:rsidR="00000000" w:rsidRDefault="00C1661D">
            <w:pPr>
              <w:spacing w:after="100"/>
              <w:jc w:val="right"/>
              <w:rPr>
                <w:rFonts w:eastAsia="Times New Roman"/>
              </w:rPr>
            </w:pPr>
            <w:r>
              <w:rPr>
                <w:rFonts w:eastAsia="Times New Roman"/>
                <w:color w:val="000000"/>
                <w:sz w:val="16"/>
                <w:szCs w:val="16"/>
              </w:rPr>
              <w:t>1,182 </w:t>
            </w:r>
          </w:p>
        </w:tc>
        <w:tc>
          <w:tcPr>
            <w:tcW w:w="0" w:type="auto"/>
            <w:shd w:val="clear" w:color="auto" w:fill="CCEEFF"/>
            <w:tcMar>
              <w:top w:w="30" w:type="dxa"/>
              <w:left w:w="0" w:type="dxa"/>
              <w:bottom w:w="30" w:type="dxa"/>
              <w:right w:w="20" w:type="dxa"/>
            </w:tcMar>
            <w:vAlign w:val="bottom"/>
            <w:hideMark/>
          </w:tcPr>
          <w:p w14:paraId="0D8B0A5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175CA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D4A5858"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82C1478" w14:textId="77777777" w:rsidR="00000000" w:rsidRDefault="00C1661D">
            <w:pPr>
              <w:spacing w:after="100"/>
              <w:jc w:val="right"/>
              <w:rPr>
                <w:rFonts w:eastAsia="Times New Roman"/>
              </w:rPr>
            </w:pPr>
            <w:r>
              <w:rPr>
                <w:rFonts w:eastAsia="Times New Roman"/>
                <w:color w:val="000000"/>
                <w:sz w:val="16"/>
                <w:szCs w:val="16"/>
              </w:rPr>
              <w:t>1,015 </w:t>
            </w:r>
          </w:p>
        </w:tc>
        <w:tc>
          <w:tcPr>
            <w:tcW w:w="0" w:type="auto"/>
            <w:shd w:val="clear" w:color="auto" w:fill="CCEEFF"/>
            <w:tcMar>
              <w:top w:w="30" w:type="dxa"/>
              <w:left w:w="0" w:type="dxa"/>
              <w:bottom w:w="30" w:type="dxa"/>
              <w:right w:w="20" w:type="dxa"/>
            </w:tcMar>
            <w:vAlign w:val="bottom"/>
            <w:hideMark/>
          </w:tcPr>
          <w:p w14:paraId="1E19F3A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A5CA2D"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49FF22"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CCD8C92" w14:textId="77777777" w:rsidR="00000000" w:rsidRDefault="00C1661D">
            <w:pPr>
              <w:spacing w:after="100"/>
              <w:jc w:val="right"/>
              <w:rPr>
                <w:rFonts w:eastAsia="Times New Roman"/>
              </w:rPr>
            </w:pPr>
            <w:r>
              <w:rPr>
                <w:rFonts w:eastAsia="Times New Roman"/>
                <w:color w:val="000000"/>
                <w:sz w:val="16"/>
                <w:szCs w:val="16"/>
              </w:rPr>
              <w:t>(</w:t>
            </w: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14:paraId="7496B958" w14:textId="77777777" w:rsidR="00000000" w:rsidRDefault="00C1661D">
            <w:pPr>
              <w:spacing w:after="100"/>
              <w:jc w:val="right"/>
              <w:rPr>
                <w:rFonts w:eastAsia="Times New Roman"/>
              </w:rPr>
            </w:pPr>
          </w:p>
        </w:tc>
      </w:tr>
      <w:tr w:rsidR="00C1661D" w14:paraId="392F36FA" w14:textId="77777777">
        <w:trPr>
          <w:divId w:val="610673252"/>
        </w:trPr>
        <w:tc>
          <w:tcPr>
            <w:tcW w:w="0" w:type="auto"/>
            <w:gridSpan w:val="3"/>
            <w:shd w:val="clear" w:color="auto" w:fill="FFFFFF"/>
            <w:tcMar>
              <w:top w:w="30" w:type="dxa"/>
              <w:left w:w="155" w:type="dxa"/>
              <w:bottom w:w="30" w:type="dxa"/>
              <w:right w:w="20" w:type="dxa"/>
            </w:tcMar>
            <w:vAlign w:val="bottom"/>
            <w:hideMark/>
          </w:tcPr>
          <w:p w14:paraId="2ADD4630" w14:textId="77777777" w:rsidR="00000000" w:rsidRDefault="00C1661D">
            <w:pPr>
              <w:spacing w:after="100"/>
              <w:rPr>
                <w:rFonts w:eastAsia="Times New Roman"/>
              </w:rPr>
            </w:pPr>
            <w:r>
              <w:rPr>
                <w:rFonts w:eastAsia="Times New Roman"/>
                <w:color w:val="000000"/>
                <w:sz w:val="16"/>
                <w:szCs w:val="16"/>
              </w:rPr>
              <w:t>Intersegment revenues</w:t>
            </w:r>
          </w:p>
        </w:tc>
        <w:tc>
          <w:tcPr>
            <w:tcW w:w="0" w:type="auto"/>
            <w:shd w:val="clear" w:color="auto" w:fill="FFFFFF"/>
            <w:tcMar>
              <w:top w:w="30" w:type="dxa"/>
              <w:left w:w="20" w:type="dxa"/>
              <w:bottom w:w="30" w:type="dxa"/>
              <w:right w:w="0" w:type="dxa"/>
            </w:tcMar>
            <w:vAlign w:val="bottom"/>
            <w:hideMark/>
          </w:tcPr>
          <w:p w14:paraId="05DA5D08"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52FBB39"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32E3FD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53F58C"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FFFB88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057D803" w14:textId="77777777" w:rsidR="00000000" w:rsidRDefault="00C1661D">
            <w:pPr>
              <w:spacing w:after="100"/>
              <w:jc w:val="right"/>
              <w:rPr>
                <w:rFonts w:eastAsia="Times New Roman"/>
              </w:rPr>
            </w:pPr>
            <w:r>
              <w:rPr>
                <w:rFonts w:eastAsia="Times New Roman"/>
                <w:color w:val="000000"/>
                <w:sz w:val="16"/>
                <w:szCs w:val="16"/>
              </w:rPr>
              <w:t>(291)</w:t>
            </w:r>
          </w:p>
        </w:tc>
        <w:tc>
          <w:tcPr>
            <w:tcW w:w="0" w:type="auto"/>
            <w:shd w:val="clear" w:color="auto" w:fill="FFFFFF"/>
            <w:tcMar>
              <w:top w:w="30" w:type="dxa"/>
              <w:left w:w="0" w:type="dxa"/>
              <w:bottom w:w="30" w:type="dxa"/>
              <w:right w:w="20" w:type="dxa"/>
            </w:tcMar>
            <w:vAlign w:val="bottom"/>
            <w:hideMark/>
          </w:tcPr>
          <w:p w14:paraId="15069607"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8B64117" w14:textId="77777777" w:rsidR="00000000" w:rsidRDefault="00C1661D">
            <w:pPr>
              <w:spacing w:after="100"/>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14:paraId="42EBF230"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0B6E55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388320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371FD"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68A2AB"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13556F6"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655D0D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AA2A5"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7E9783"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4877B4B" w14:textId="77777777" w:rsidR="00000000" w:rsidRDefault="00C1661D">
            <w:pPr>
              <w:spacing w:after="100"/>
              <w:jc w:val="right"/>
              <w:rPr>
                <w:rFonts w:eastAsia="Times New Roman"/>
              </w:rPr>
            </w:pPr>
            <w:r>
              <w:rPr>
                <w:rFonts w:eastAsia="Times New Roman"/>
                <w:color w:val="000000"/>
                <w:sz w:val="16"/>
                <w:szCs w:val="16"/>
              </w:rPr>
              <w:t>224 </w:t>
            </w:r>
          </w:p>
        </w:tc>
        <w:tc>
          <w:tcPr>
            <w:tcW w:w="0" w:type="auto"/>
            <w:shd w:val="clear" w:color="auto" w:fill="FFFFFF"/>
            <w:tcMar>
              <w:top w:w="30" w:type="dxa"/>
              <w:left w:w="0" w:type="dxa"/>
              <w:bottom w:w="30" w:type="dxa"/>
              <w:right w:w="20" w:type="dxa"/>
            </w:tcMar>
            <w:vAlign w:val="bottom"/>
            <w:hideMark/>
          </w:tcPr>
          <w:p w14:paraId="1C91CC0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4C2173"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ABFF83"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8760A0D" w14:textId="77777777" w:rsidR="00000000" w:rsidRDefault="00C1661D">
            <w:pPr>
              <w:spacing w:after="100"/>
              <w:jc w:val="right"/>
              <w:rPr>
                <w:rFonts w:eastAsia="Times New Roman"/>
              </w:rPr>
            </w:pPr>
            <w:r>
              <w:rPr>
                <w:rFonts w:eastAsia="Times New Roman"/>
                <w:color w:val="000000"/>
                <w:sz w:val="16"/>
                <w:szCs w:val="16"/>
              </w:rPr>
              <w:t>64 </w:t>
            </w:r>
          </w:p>
        </w:tc>
        <w:tc>
          <w:tcPr>
            <w:tcW w:w="0" w:type="auto"/>
            <w:shd w:val="clear" w:color="auto" w:fill="FFFFFF"/>
            <w:tcMar>
              <w:top w:w="30" w:type="dxa"/>
              <w:left w:w="0" w:type="dxa"/>
              <w:bottom w:w="30" w:type="dxa"/>
              <w:right w:w="20" w:type="dxa"/>
            </w:tcMar>
            <w:vAlign w:val="bottom"/>
            <w:hideMark/>
          </w:tcPr>
          <w:p w14:paraId="036C56D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4B24F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3D68C98"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8DC9422" w14:textId="77777777" w:rsidR="00000000" w:rsidRDefault="00C1661D">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14:paraId="712BD249" w14:textId="77777777" w:rsidR="00000000" w:rsidRDefault="00C1661D">
            <w:pPr>
              <w:spacing w:after="100"/>
              <w:jc w:val="right"/>
              <w:rPr>
                <w:rFonts w:eastAsia="Times New Roman"/>
              </w:rPr>
            </w:pPr>
          </w:p>
        </w:tc>
      </w:tr>
      <w:tr w:rsidR="00C1661D" w14:paraId="62E97B43" w14:textId="77777777">
        <w:trPr>
          <w:divId w:val="610673252"/>
        </w:trPr>
        <w:tc>
          <w:tcPr>
            <w:tcW w:w="0" w:type="auto"/>
            <w:gridSpan w:val="3"/>
            <w:shd w:val="clear" w:color="auto" w:fill="CCEEFF"/>
            <w:tcMar>
              <w:top w:w="30" w:type="dxa"/>
              <w:left w:w="155" w:type="dxa"/>
              <w:bottom w:w="30" w:type="dxa"/>
              <w:right w:w="20" w:type="dxa"/>
            </w:tcMar>
            <w:vAlign w:val="bottom"/>
            <w:hideMark/>
          </w:tcPr>
          <w:p w14:paraId="635CE36B" w14:textId="77777777" w:rsidR="00000000" w:rsidRDefault="00C1661D">
            <w:pPr>
              <w:spacing w:after="100"/>
              <w:rPr>
                <w:rFonts w:eastAsia="Times New Roman"/>
              </w:rPr>
            </w:pPr>
            <w:r>
              <w:rPr>
                <w:rFonts w:eastAsia="Times New Roman"/>
                <w:color w:val="000000"/>
                <w:sz w:val="16"/>
                <w:szCs w:val="16"/>
              </w:rPr>
              <w:t>Cost of sales</w:t>
            </w:r>
          </w:p>
        </w:tc>
        <w:tc>
          <w:tcPr>
            <w:tcW w:w="0" w:type="auto"/>
            <w:shd w:val="clear" w:color="auto" w:fill="CCEEFF"/>
            <w:tcMar>
              <w:top w:w="30" w:type="dxa"/>
              <w:left w:w="20" w:type="dxa"/>
              <w:bottom w:w="30" w:type="dxa"/>
              <w:right w:w="0" w:type="dxa"/>
            </w:tcMar>
            <w:vAlign w:val="bottom"/>
            <w:hideMark/>
          </w:tcPr>
          <w:p w14:paraId="7D8D6E76"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5D3A8F7" w14:textId="77777777" w:rsidR="00000000" w:rsidRDefault="00C1661D">
            <w:pPr>
              <w:spacing w:after="100"/>
              <w:jc w:val="right"/>
              <w:rPr>
                <w:rFonts w:eastAsia="Times New Roman"/>
              </w:rPr>
            </w:pPr>
            <w:r>
              <w:rPr>
                <w:rFonts w:eastAsia="Times New Roman"/>
                <w:color w:val="000000"/>
                <w:sz w:val="16"/>
                <w:szCs w:val="16"/>
              </w:rPr>
              <w:t>2,614 </w:t>
            </w:r>
          </w:p>
        </w:tc>
        <w:tc>
          <w:tcPr>
            <w:tcW w:w="0" w:type="auto"/>
            <w:shd w:val="clear" w:color="auto" w:fill="CCEEFF"/>
            <w:tcMar>
              <w:top w:w="30" w:type="dxa"/>
              <w:left w:w="0" w:type="dxa"/>
              <w:bottom w:w="30" w:type="dxa"/>
              <w:right w:w="20" w:type="dxa"/>
            </w:tcMar>
            <w:vAlign w:val="bottom"/>
            <w:hideMark/>
          </w:tcPr>
          <w:p w14:paraId="1405EE9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9DD431"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E23963"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0C05FC8" w14:textId="77777777" w:rsidR="00000000" w:rsidRDefault="00C1661D">
            <w:pPr>
              <w:spacing w:after="100"/>
              <w:jc w:val="right"/>
              <w:rPr>
                <w:rFonts w:eastAsia="Times New Roman"/>
              </w:rPr>
            </w:pPr>
            <w:r>
              <w:rPr>
                <w:rFonts w:eastAsia="Times New Roman"/>
                <w:color w:val="000000"/>
                <w:sz w:val="16"/>
                <w:szCs w:val="16"/>
              </w:rPr>
              <w:t>(288)</w:t>
            </w:r>
          </w:p>
        </w:tc>
        <w:tc>
          <w:tcPr>
            <w:tcW w:w="0" w:type="auto"/>
            <w:shd w:val="clear" w:color="auto" w:fill="CCEEFF"/>
            <w:tcMar>
              <w:top w:w="30" w:type="dxa"/>
              <w:left w:w="0" w:type="dxa"/>
              <w:bottom w:w="30" w:type="dxa"/>
              <w:right w:w="20" w:type="dxa"/>
            </w:tcMar>
            <w:vAlign w:val="bottom"/>
            <w:hideMark/>
          </w:tcPr>
          <w:p w14:paraId="1F276D2D"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6941204" w14:textId="77777777" w:rsidR="00000000" w:rsidRDefault="00C1661D">
            <w:pPr>
              <w:spacing w:after="100"/>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14:paraId="398405E9"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8E3890C" w14:textId="77777777" w:rsidR="00000000" w:rsidRDefault="00C1661D">
            <w:pPr>
              <w:spacing w:after="100"/>
              <w:jc w:val="right"/>
              <w:rPr>
                <w:rFonts w:eastAsia="Times New Roman"/>
              </w:rPr>
            </w:pPr>
            <w:r>
              <w:rPr>
                <w:rFonts w:eastAsia="Times New Roman"/>
                <w:color w:val="000000"/>
                <w:sz w:val="16"/>
                <w:szCs w:val="16"/>
              </w:rPr>
              <w:t>1,217 </w:t>
            </w:r>
          </w:p>
        </w:tc>
        <w:tc>
          <w:tcPr>
            <w:tcW w:w="0" w:type="auto"/>
            <w:shd w:val="clear" w:color="auto" w:fill="CCEEFF"/>
            <w:tcMar>
              <w:top w:w="30" w:type="dxa"/>
              <w:left w:w="0" w:type="dxa"/>
              <w:bottom w:w="30" w:type="dxa"/>
              <w:right w:w="20" w:type="dxa"/>
            </w:tcMar>
            <w:vAlign w:val="bottom"/>
            <w:hideMark/>
          </w:tcPr>
          <w:p w14:paraId="6C0D5D2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BCCD62"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200571"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47D758D" w14:textId="77777777" w:rsidR="00000000" w:rsidRDefault="00C1661D">
            <w:pPr>
              <w:spacing w:after="100"/>
              <w:jc w:val="right"/>
              <w:rPr>
                <w:rFonts w:eastAsia="Times New Roman"/>
              </w:rPr>
            </w:pPr>
            <w:r>
              <w:rPr>
                <w:rFonts w:eastAsia="Times New Roman"/>
                <w:color w:val="000000"/>
                <w:sz w:val="16"/>
                <w:szCs w:val="16"/>
              </w:rPr>
              <w:t>1,598 </w:t>
            </w:r>
          </w:p>
        </w:tc>
        <w:tc>
          <w:tcPr>
            <w:tcW w:w="0" w:type="auto"/>
            <w:shd w:val="clear" w:color="auto" w:fill="CCEEFF"/>
            <w:tcMar>
              <w:top w:w="30" w:type="dxa"/>
              <w:left w:w="0" w:type="dxa"/>
              <w:bottom w:w="30" w:type="dxa"/>
              <w:right w:w="20" w:type="dxa"/>
            </w:tcMar>
            <w:vAlign w:val="bottom"/>
            <w:hideMark/>
          </w:tcPr>
          <w:p w14:paraId="1C13703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C52362"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EB36ED"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BA6F125" w14:textId="77777777" w:rsidR="00000000" w:rsidRDefault="00C1661D">
            <w:pPr>
              <w:spacing w:after="100"/>
              <w:jc w:val="right"/>
              <w:rPr>
                <w:rFonts w:eastAsia="Times New Roman"/>
              </w:rPr>
            </w:pPr>
            <w:r>
              <w:rPr>
                <w:rFonts w:eastAsia="Times New Roman"/>
                <w:color w:val="000000"/>
                <w:sz w:val="16"/>
                <w:szCs w:val="16"/>
              </w:rPr>
              <w:t>1,033 </w:t>
            </w:r>
          </w:p>
        </w:tc>
        <w:tc>
          <w:tcPr>
            <w:tcW w:w="0" w:type="auto"/>
            <w:shd w:val="clear" w:color="auto" w:fill="CCEEFF"/>
            <w:tcMar>
              <w:top w:w="30" w:type="dxa"/>
              <w:left w:w="0" w:type="dxa"/>
              <w:bottom w:w="30" w:type="dxa"/>
              <w:right w:w="20" w:type="dxa"/>
            </w:tcMar>
            <w:vAlign w:val="bottom"/>
            <w:hideMark/>
          </w:tcPr>
          <w:p w14:paraId="4E7E0A7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64FC34"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12C49D5"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B193C48" w14:textId="77777777" w:rsidR="00000000" w:rsidRDefault="00C1661D">
            <w:pPr>
              <w:spacing w:after="100"/>
              <w:jc w:val="right"/>
              <w:rPr>
                <w:rFonts w:eastAsia="Times New Roman"/>
              </w:rPr>
            </w:pPr>
            <w:r>
              <w:rPr>
                <w:rFonts w:eastAsia="Times New Roman"/>
                <w:color w:val="000000"/>
                <w:sz w:val="16"/>
                <w:szCs w:val="16"/>
              </w:rPr>
              <w:t>458 </w:t>
            </w:r>
          </w:p>
        </w:tc>
        <w:tc>
          <w:tcPr>
            <w:tcW w:w="0" w:type="auto"/>
            <w:shd w:val="clear" w:color="auto" w:fill="CCEEFF"/>
            <w:tcMar>
              <w:top w:w="30" w:type="dxa"/>
              <w:left w:w="0" w:type="dxa"/>
              <w:bottom w:w="30" w:type="dxa"/>
              <w:right w:w="20" w:type="dxa"/>
            </w:tcMar>
            <w:vAlign w:val="bottom"/>
            <w:hideMark/>
          </w:tcPr>
          <w:p w14:paraId="722A701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1A3B2D"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65D290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EFCD3A7" w14:textId="77777777" w:rsidR="00000000" w:rsidRDefault="00C1661D">
            <w:pPr>
              <w:spacing w:after="100"/>
              <w:jc w:val="right"/>
              <w:rPr>
                <w:rFonts w:eastAsia="Times New Roman"/>
              </w:rPr>
            </w:pPr>
            <w:r>
              <w:rPr>
                <w:rFonts w:eastAsia="Times New Roman"/>
                <w:color w:val="000000"/>
                <w:sz w:val="16"/>
                <w:szCs w:val="16"/>
              </w:rPr>
              <w:t>(1,404)</w:t>
            </w:r>
          </w:p>
        </w:tc>
        <w:tc>
          <w:tcPr>
            <w:tcW w:w="0" w:type="auto"/>
            <w:shd w:val="clear" w:color="auto" w:fill="CCEEFF"/>
            <w:tcMar>
              <w:top w:w="30" w:type="dxa"/>
              <w:left w:w="0" w:type="dxa"/>
              <w:bottom w:w="30" w:type="dxa"/>
              <w:right w:w="20" w:type="dxa"/>
            </w:tcMar>
            <w:vAlign w:val="bottom"/>
            <w:hideMark/>
          </w:tcPr>
          <w:p w14:paraId="44509824" w14:textId="77777777" w:rsidR="00000000" w:rsidRDefault="00C1661D">
            <w:pPr>
              <w:spacing w:after="100"/>
              <w:jc w:val="right"/>
              <w:rPr>
                <w:rFonts w:eastAsia="Times New Roman"/>
              </w:rPr>
            </w:pPr>
          </w:p>
        </w:tc>
      </w:tr>
      <w:tr w:rsidR="00C1661D" w14:paraId="63BE3B8B" w14:textId="77777777">
        <w:trPr>
          <w:divId w:val="610673252"/>
        </w:trPr>
        <w:tc>
          <w:tcPr>
            <w:tcW w:w="0" w:type="auto"/>
            <w:gridSpan w:val="3"/>
            <w:shd w:val="clear" w:color="auto" w:fill="FFFFFF"/>
            <w:tcMar>
              <w:top w:w="30" w:type="dxa"/>
              <w:left w:w="155" w:type="dxa"/>
              <w:bottom w:w="30" w:type="dxa"/>
              <w:right w:w="20" w:type="dxa"/>
            </w:tcMar>
            <w:vAlign w:val="bottom"/>
            <w:hideMark/>
          </w:tcPr>
          <w:p w14:paraId="322A9F8B" w14:textId="77777777" w:rsidR="00000000" w:rsidRDefault="00C1661D">
            <w:pPr>
              <w:spacing w:after="100"/>
              <w:rPr>
                <w:rFonts w:eastAsia="Times New Roman"/>
              </w:rPr>
            </w:pPr>
            <w:r>
              <w:rPr>
                <w:rFonts w:eastAsia="Times New Roman"/>
                <w:color w:val="000000"/>
                <w:sz w:val="16"/>
                <w:szCs w:val="16"/>
              </w:rPr>
              <w:t>Operating income</w:t>
            </w:r>
          </w:p>
        </w:tc>
        <w:tc>
          <w:tcPr>
            <w:tcW w:w="0" w:type="auto"/>
            <w:shd w:val="clear" w:color="auto" w:fill="FFFFFF"/>
            <w:tcMar>
              <w:top w:w="30" w:type="dxa"/>
              <w:left w:w="20" w:type="dxa"/>
              <w:bottom w:w="30" w:type="dxa"/>
              <w:right w:w="0" w:type="dxa"/>
            </w:tcMar>
            <w:vAlign w:val="bottom"/>
            <w:hideMark/>
          </w:tcPr>
          <w:p w14:paraId="2837680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09F51F3" w14:textId="77777777" w:rsidR="00000000" w:rsidRDefault="00C1661D">
            <w:pPr>
              <w:spacing w:after="100"/>
              <w:jc w:val="right"/>
              <w:rPr>
                <w:rFonts w:eastAsia="Times New Roman"/>
              </w:rPr>
            </w:pPr>
            <w:r>
              <w:rPr>
                <w:rFonts w:eastAsia="Times New Roman"/>
                <w:color w:val="000000"/>
                <w:sz w:val="16"/>
                <w:szCs w:val="16"/>
              </w:rPr>
              <w:t>2,350 </w:t>
            </w:r>
          </w:p>
        </w:tc>
        <w:tc>
          <w:tcPr>
            <w:tcW w:w="0" w:type="auto"/>
            <w:shd w:val="clear" w:color="auto" w:fill="FFFFFF"/>
            <w:tcMar>
              <w:top w:w="30" w:type="dxa"/>
              <w:left w:w="0" w:type="dxa"/>
              <w:bottom w:w="30" w:type="dxa"/>
              <w:right w:w="20" w:type="dxa"/>
            </w:tcMar>
            <w:vAlign w:val="bottom"/>
            <w:hideMark/>
          </w:tcPr>
          <w:p w14:paraId="2B17BCF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B8C936"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0BFE05"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B1D0B1E"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44036C4"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E81F83C" w14:textId="77777777" w:rsidR="00000000" w:rsidRDefault="00C1661D">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14:paraId="3B1CF987"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19D80D0" w14:textId="77777777" w:rsidR="00000000" w:rsidRDefault="00C1661D">
            <w:pPr>
              <w:spacing w:after="100"/>
              <w:jc w:val="right"/>
              <w:rPr>
                <w:rFonts w:eastAsia="Times New Roman"/>
              </w:rPr>
            </w:pPr>
            <w:r>
              <w:rPr>
                <w:rFonts w:eastAsia="Times New Roman"/>
                <w:color w:val="000000"/>
                <w:sz w:val="16"/>
                <w:szCs w:val="16"/>
              </w:rPr>
              <w:t>385 </w:t>
            </w:r>
          </w:p>
        </w:tc>
        <w:tc>
          <w:tcPr>
            <w:tcW w:w="0" w:type="auto"/>
            <w:shd w:val="clear" w:color="auto" w:fill="FFFFFF"/>
            <w:tcMar>
              <w:top w:w="30" w:type="dxa"/>
              <w:left w:w="0" w:type="dxa"/>
              <w:bottom w:w="30" w:type="dxa"/>
              <w:right w:w="20" w:type="dxa"/>
            </w:tcMar>
            <w:vAlign w:val="bottom"/>
            <w:hideMark/>
          </w:tcPr>
          <w:p w14:paraId="7263A46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A79C8C"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2D947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FA602A1" w14:textId="77777777" w:rsidR="00000000" w:rsidRDefault="00C1661D">
            <w:pPr>
              <w:spacing w:after="100"/>
              <w:jc w:val="right"/>
              <w:rPr>
                <w:rFonts w:eastAsia="Times New Roman"/>
              </w:rPr>
            </w:pPr>
            <w:r>
              <w:rPr>
                <w:rFonts w:eastAsia="Times New Roman"/>
                <w:color w:val="000000"/>
                <w:sz w:val="16"/>
                <w:szCs w:val="16"/>
              </w:rPr>
              <w:t>314 </w:t>
            </w:r>
          </w:p>
        </w:tc>
        <w:tc>
          <w:tcPr>
            <w:tcW w:w="0" w:type="auto"/>
            <w:shd w:val="clear" w:color="auto" w:fill="FFFFFF"/>
            <w:tcMar>
              <w:top w:w="30" w:type="dxa"/>
              <w:left w:w="0" w:type="dxa"/>
              <w:bottom w:w="30" w:type="dxa"/>
              <w:right w:w="20" w:type="dxa"/>
            </w:tcMar>
            <w:vAlign w:val="bottom"/>
            <w:hideMark/>
          </w:tcPr>
          <w:p w14:paraId="4EBFD36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EC4E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774B6A0"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38ED065" w14:textId="77777777" w:rsidR="00000000" w:rsidRDefault="00C1661D">
            <w:pPr>
              <w:spacing w:after="100"/>
              <w:jc w:val="right"/>
              <w:rPr>
                <w:rFonts w:eastAsia="Times New Roman"/>
              </w:rPr>
            </w:pPr>
            <w:r>
              <w:rPr>
                <w:rFonts w:eastAsia="Times New Roman"/>
                <w:color w:val="000000"/>
                <w:sz w:val="16"/>
                <w:szCs w:val="16"/>
              </w:rPr>
              <w:t>160 </w:t>
            </w:r>
          </w:p>
        </w:tc>
        <w:tc>
          <w:tcPr>
            <w:tcW w:w="0" w:type="auto"/>
            <w:shd w:val="clear" w:color="auto" w:fill="FFFFFF"/>
            <w:tcMar>
              <w:top w:w="30" w:type="dxa"/>
              <w:left w:w="0" w:type="dxa"/>
              <w:bottom w:w="30" w:type="dxa"/>
              <w:right w:w="20" w:type="dxa"/>
            </w:tcMar>
            <w:vAlign w:val="bottom"/>
            <w:hideMark/>
          </w:tcPr>
          <w:p w14:paraId="58DD9C5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393C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099297"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449550B" w14:textId="77777777" w:rsidR="00000000" w:rsidRDefault="00C1661D">
            <w:pPr>
              <w:spacing w:after="100"/>
              <w:jc w:val="right"/>
              <w:rPr>
                <w:rFonts w:eastAsia="Times New Roman"/>
              </w:rPr>
            </w:pPr>
            <w:r>
              <w:rPr>
                <w:rFonts w:eastAsia="Times New Roman"/>
                <w:color w:val="000000"/>
                <w:sz w:val="16"/>
                <w:szCs w:val="16"/>
              </w:rPr>
              <w:t>241 </w:t>
            </w:r>
          </w:p>
        </w:tc>
        <w:tc>
          <w:tcPr>
            <w:tcW w:w="0" w:type="auto"/>
            <w:shd w:val="clear" w:color="auto" w:fill="FFFFFF"/>
            <w:tcMar>
              <w:top w:w="30" w:type="dxa"/>
              <w:left w:w="0" w:type="dxa"/>
              <w:bottom w:w="30" w:type="dxa"/>
              <w:right w:w="20" w:type="dxa"/>
            </w:tcMar>
            <w:vAlign w:val="bottom"/>
            <w:hideMark/>
          </w:tcPr>
          <w:p w14:paraId="5C50449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4142C"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066A21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C663356" w14:textId="77777777" w:rsidR="00000000" w:rsidRDefault="00C1661D">
            <w:pPr>
              <w:spacing w:after="100"/>
              <w:jc w:val="right"/>
              <w:rPr>
                <w:rFonts w:eastAsia="Times New Roman"/>
              </w:rPr>
            </w:pPr>
            <w:r>
              <w:rPr>
                <w:rFonts w:eastAsia="Times New Roman"/>
                <w:color w:val="000000"/>
                <w:sz w:val="16"/>
                <w:szCs w:val="16"/>
              </w:rPr>
              <w:t>1,250 </w:t>
            </w:r>
          </w:p>
        </w:tc>
        <w:tc>
          <w:tcPr>
            <w:tcW w:w="0" w:type="auto"/>
            <w:shd w:val="clear" w:color="auto" w:fill="FFFFFF"/>
            <w:tcMar>
              <w:top w:w="30" w:type="dxa"/>
              <w:left w:w="0" w:type="dxa"/>
              <w:bottom w:w="30" w:type="dxa"/>
              <w:right w:w="20" w:type="dxa"/>
            </w:tcMar>
            <w:vAlign w:val="bottom"/>
            <w:hideMark/>
          </w:tcPr>
          <w:p w14:paraId="27CC4D4D" w14:textId="77777777" w:rsidR="00000000" w:rsidRDefault="00C1661D">
            <w:pPr>
              <w:spacing w:after="100"/>
              <w:jc w:val="right"/>
              <w:rPr>
                <w:rFonts w:eastAsia="Times New Roman"/>
              </w:rPr>
            </w:pPr>
          </w:p>
        </w:tc>
      </w:tr>
      <w:tr w:rsidR="00000000" w14:paraId="6DEAFC19" w14:textId="77777777">
        <w:trPr>
          <w:divId w:val="610673252"/>
        </w:trPr>
        <w:tc>
          <w:tcPr>
            <w:tcW w:w="0" w:type="auto"/>
            <w:gridSpan w:val="3"/>
            <w:shd w:val="clear" w:color="auto" w:fill="CCEEFF"/>
            <w:tcMar>
              <w:top w:w="30" w:type="dxa"/>
              <w:left w:w="155" w:type="dxa"/>
              <w:bottom w:w="30" w:type="dxa"/>
              <w:right w:w="20" w:type="dxa"/>
            </w:tcMar>
            <w:vAlign w:val="bottom"/>
            <w:hideMark/>
          </w:tcPr>
          <w:p w14:paraId="13FF22A8" w14:textId="77777777" w:rsidR="00000000" w:rsidRDefault="00C1661D">
            <w:pPr>
              <w:spacing w:after="100"/>
              <w:rPr>
                <w:rFonts w:eastAsia="Times New Roman"/>
              </w:rPr>
            </w:pPr>
            <w:r>
              <w:rPr>
                <w:rFonts w:eastAsia="Times New Roman"/>
                <w:color w:val="000000"/>
                <w:sz w:val="16"/>
                <w:szCs w:val="16"/>
              </w:rPr>
              <w:t>(Loss) income from equity investees</w:t>
            </w:r>
          </w:p>
        </w:tc>
        <w:tc>
          <w:tcPr>
            <w:tcW w:w="0" w:type="auto"/>
            <w:gridSpan w:val="2"/>
            <w:shd w:val="clear" w:color="auto" w:fill="CCEEFF"/>
            <w:tcMar>
              <w:top w:w="30" w:type="dxa"/>
              <w:left w:w="20" w:type="dxa"/>
              <w:bottom w:w="30" w:type="dxa"/>
              <w:right w:w="0" w:type="dxa"/>
            </w:tcMar>
            <w:vAlign w:val="bottom"/>
            <w:hideMark/>
          </w:tcPr>
          <w:p w14:paraId="3DE154BB" w14:textId="77777777" w:rsidR="00000000" w:rsidRDefault="00C1661D">
            <w:pPr>
              <w:spacing w:after="100"/>
              <w:jc w:val="right"/>
              <w:rPr>
                <w:rFonts w:eastAsia="Times New Roman"/>
              </w:rPr>
            </w:pPr>
            <w:r>
              <w:rPr>
                <w:rFonts w:eastAsia="Times New Roman"/>
                <w:color w:val="000000"/>
                <w:sz w:val="16"/>
                <w:szCs w:val="16"/>
              </w:rPr>
              <w:t>(63)</w:t>
            </w:r>
          </w:p>
        </w:tc>
        <w:tc>
          <w:tcPr>
            <w:tcW w:w="0" w:type="auto"/>
            <w:shd w:val="clear" w:color="auto" w:fill="CCEEFF"/>
            <w:tcMar>
              <w:top w:w="30" w:type="dxa"/>
              <w:left w:w="0" w:type="dxa"/>
              <w:bottom w:w="30" w:type="dxa"/>
              <w:right w:w="20" w:type="dxa"/>
            </w:tcMar>
            <w:vAlign w:val="bottom"/>
            <w:hideMark/>
          </w:tcPr>
          <w:p w14:paraId="087C71A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203CA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C4971B"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4E5D3FB"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002109C" w14:textId="77777777" w:rsidR="00000000" w:rsidRDefault="00C1661D">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14:paraId="7A4414F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0E6832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426D92"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726449"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87E341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A11BA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AF2346" w14:textId="77777777" w:rsidR="00000000" w:rsidRDefault="00C1661D">
            <w:pPr>
              <w:spacing w:after="100"/>
              <w:jc w:val="right"/>
              <w:rPr>
                <w:rFonts w:eastAsia="Times New Roman"/>
              </w:rPr>
            </w:pPr>
            <w:r>
              <w:rPr>
                <w:rFonts w:eastAsia="Times New Roman"/>
                <w:color w:val="000000"/>
                <w:sz w:val="16"/>
                <w:szCs w:val="16"/>
              </w:rPr>
              <w:t>30 </w:t>
            </w:r>
          </w:p>
        </w:tc>
        <w:tc>
          <w:tcPr>
            <w:tcW w:w="0" w:type="auto"/>
            <w:shd w:val="clear" w:color="auto" w:fill="CCEEFF"/>
            <w:tcMar>
              <w:top w:w="30" w:type="dxa"/>
              <w:left w:w="0" w:type="dxa"/>
              <w:bottom w:w="30" w:type="dxa"/>
              <w:right w:w="20" w:type="dxa"/>
            </w:tcMar>
            <w:vAlign w:val="bottom"/>
            <w:hideMark/>
          </w:tcPr>
          <w:p w14:paraId="28E8F81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82650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6A426B"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482AEE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7DB2D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41860A" w14:textId="77777777" w:rsidR="00000000" w:rsidRDefault="00C1661D">
            <w:pPr>
              <w:spacing w:after="100"/>
              <w:jc w:val="right"/>
              <w:rPr>
                <w:rFonts w:eastAsia="Times New Roman"/>
              </w:rPr>
            </w:pPr>
            <w:r>
              <w:rPr>
                <w:rFonts w:eastAsia="Times New Roman"/>
                <w:color w:val="000000"/>
                <w:sz w:val="16"/>
                <w:szCs w:val="16"/>
              </w:rPr>
              <w:t>(93)</w:t>
            </w:r>
          </w:p>
        </w:tc>
        <w:tc>
          <w:tcPr>
            <w:tcW w:w="0" w:type="auto"/>
            <w:shd w:val="clear" w:color="auto" w:fill="CCEEFF"/>
            <w:tcMar>
              <w:top w:w="30" w:type="dxa"/>
              <w:left w:w="0" w:type="dxa"/>
              <w:bottom w:w="30" w:type="dxa"/>
              <w:right w:w="20" w:type="dxa"/>
            </w:tcMar>
            <w:vAlign w:val="bottom"/>
            <w:hideMark/>
          </w:tcPr>
          <w:p w14:paraId="1DC01B7B" w14:textId="77777777" w:rsidR="00000000" w:rsidRDefault="00C1661D">
            <w:pPr>
              <w:spacing w:after="100"/>
              <w:jc w:val="right"/>
              <w:rPr>
                <w:rFonts w:eastAsia="Times New Roman"/>
              </w:rPr>
            </w:pPr>
          </w:p>
        </w:tc>
      </w:tr>
      <w:tr w:rsidR="00000000" w14:paraId="0F9FBF1F" w14:textId="77777777">
        <w:trPr>
          <w:divId w:val="610673252"/>
        </w:trPr>
        <w:tc>
          <w:tcPr>
            <w:tcW w:w="0" w:type="auto"/>
            <w:gridSpan w:val="3"/>
            <w:vAlign w:val="center"/>
            <w:hideMark/>
          </w:tcPr>
          <w:p w14:paraId="6AD630AF" w14:textId="77777777" w:rsidR="00000000" w:rsidRDefault="00C1661D">
            <w:pPr>
              <w:spacing w:after="100"/>
              <w:jc w:val="right"/>
              <w:rPr>
                <w:rFonts w:eastAsia="Times New Roman"/>
                <w:sz w:val="20"/>
                <w:szCs w:val="20"/>
              </w:rPr>
            </w:pPr>
          </w:p>
        </w:tc>
        <w:tc>
          <w:tcPr>
            <w:tcW w:w="0" w:type="auto"/>
            <w:gridSpan w:val="3"/>
            <w:vAlign w:val="center"/>
            <w:hideMark/>
          </w:tcPr>
          <w:p w14:paraId="36168F1A" w14:textId="77777777" w:rsidR="00000000" w:rsidRDefault="00C1661D">
            <w:pPr>
              <w:spacing w:after="100"/>
              <w:rPr>
                <w:rFonts w:eastAsia="Times New Roman"/>
                <w:sz w:val="20"/>
                <w:szCs w:val="20"/>
              </w:rPr>
            </w:pPr>
          </w:p>
        </w:tc>
        <w:tc>
          <w:tcPr>
            <w:tcW w:w="0" w:type="auto"/>
            <w:gridSpan w:val="3"/>
            <w:vAlign w:val="center"/>
            <w:hideMark/>
          </w:tcPr>
          <w:p w14:paraId="1A7CB715" w14:textId="77777777" w:rsidR="00000000" w:rsidRDefault="00C1661D">
            <w:pPr>
              <w:spacing w:after="100"/>
              <w:rPr>
                <w:rFonts w:eastAsia="Times New Roman"/>
                <w:sz w:val="20"/>
                <w:szCs w:val="20"/>
              </w:rPr>
            </w:pPr>
          </w:p>
        </w:tc>
        <w:tc>
          <w:tcPr>
            <w:tcW w:w="0" w:type="auto"/>
            <w:gridSpan w:val="3"/>
            <w:vAlign w:val="center"/>
            <w:hideMark/>
          </w:tcPr>
          <w:p w14:paraId="3D8863EA" w14:textId="77777777" w:rsidR="00000000" w:rsidRDefault="00C1661D">
            <w:pPr>
              <w:spacing w:after="100"/>
              <w:rPr>
                <w:rFonts w:eastAsia="Times New Roman"/>
                <w:sz w:val="20"/>
                <w:szCs w:val="20"/>
              </w:rPr>
            </w:pPr>
          </w:p>
        </w:tc>
        <w:tc>
          <w:tcPr>
            <w:tcW w:w="0" w:type="auto"/>
            <w:gridSpan w:val="3"/>
            <w:vAlign w:val="center"/>
            <w:hideMark/>
          </w:tcPr>
          <w:p w14:paraId="346DE632" w14:textId="77777777" w:rsidR="00000000" w:rsidRDefault="00C1661D">
            <w:pPr>
              <w:spacing w:after="100"/>
              <w:rPr>
                <w:rFonts w:eastAsia="Times New Roman"/>
                <w:sz w:val="20"/>
                <w:szCs w:val="20"/>
              </w:rPr>
            </w:pPr>
          </w:p>
        </w:tc>
        <w:tc>
          <w:tcPr>
            <w:tcW w:w="0" w:type="auto"/>
            <w:gridSpan w:val="3"/>
            <w:vAlign w:val="center"/>
            <w:hideMark/>
          </w:tcPr>
          <w:p w14:paraId="7724CC00" w14:textId="77777777" w:rsidR="00000000" w:rsidRDefault="00C1661D">
            <w:pPr>
              <w:spacing w:after="100"/>
              <w:rPr>
                <w:rFonts w:eastAsia="Times New Roman"/>
                <w:sz w:val="20"/>
                <w:szCs w:val="20"/>
              </w:rPr>
            </w:pPr>
          </w:p>
        </w:tc>
        <w:tc>
          <w:tcPr>
            <w:tcW w:w="0" w:type="auto"/>
            <w:gridSpan w:val="3"/>
            <w:vAlign w:val="center"/>
            <w:hideMark/>
          </w:tcPr>
          <w:p w14:paraId="59B312E9" w14:textId="77777777" w:rsidR="00000000" w:rsidRDefault="00C1661D">
            <w:pPr>
              <w:spacing w:after="100"/>
              <w:rPr>
                <w:rFonts w:eastAsia="Times New Roman"/>
                <w:sz w:val="20"/>
                <w:szCs w:val="20"/>
              </w:rPr>
            </w:pPr>
          </w:p>
        </w:tc>
        <w:tc>
          <w:tcPr>
            <w:tcW w:w="0" w:type="auto"/>
            <w:gridSpan w:val="3"/>
            <w:vAlign w:val="center"/>
            <w:hideMark/>
          </w:tcPr>
          <w:p w14:paraId="45E958AC" w14:textId="77777777" w:rsidR="00000000" w:rsidRDefault="00C1661D">
            <w:pPr>
              <w:spacing w:after="100"/>
              <w:rPr>
                <w:rFonts w:eastAsia="Times New Roman"/>
                <w:sz w:val="20"/>
                <w:szCs w:val="20"/>
              </w:rPr>
            </w:pPr>
          </w:p>
        </w:tc>
        <w:tc>
          <w:tcPr>
            <w:tcW w:w="0" w:type="auto"/>
            <w:gridSpan w:val="3"/>
            <w:vAlign w:val="center"/>
            <w:hideMark/>
          </w:tcPr>
          <w:p w14:paraId="23FBAB22" w14:textId="77777777" w:rsidR="00000000" w:rsidRDefault="00C1661D">
            <w:pPr>
              <w:spacing w:after="100"/>
              <w:rPr>
                <w:rFonts w:eastAsia="Times New Roman"/>
                <w:sz w:val="20"/>
                <w:szCs w:val="20"/>
              </w:rPr>
            </w:pPr>
          </w:p>
        </w:tc>
        <w:tc>
          <w:tcPr>
            <w:tcW w:w="0" w:type="auto"/>
            <w:gridSpan w:val="3"/>
            <w:vAlign w:val="center"/>
            <w:hideMark/>
          </w:tcPr>
          <w:p w14:paraId="08E0F95E" w14:textId="77777777" w:rsidR="00000000" w:rsidRDefault="00C1661D">
            <w:pPr>
              <w:spacing w:after="100"/>
              <w:rPr>
                <w:rFonts w:eastAsia="Times New Roman"/>
                <w:sz w:val="20"/>
                <w:szCs w:val="20"/>
              </w:rPr>
            </w:pPr>
          </w:p>
        </w:tc>
        <w:tc>
          <w:tcPr>
            <w:tcW w:w="0" w:type="auto"/>
            <w:gridSpan w:val="3"/>
            <w:vAlign w:val="center"/>
            <w:hideMark/>
          </w:tcPr>
          <w:p w14:paraId="39CB3F99" w14:textId="77777777" w:rsidR="00000000" w:rsidRDefault="00C1661D">
            <w:pPr>
              <w:spacing w:after="100"/>
              <w:rPr>
                <w:rFonts w:eastAsia="Times New Roman"/>
                <w:sz w:val="20"/>
                <w:szCs w:val="20"/>
              </w:rPr>
            </w:pPr>
          </w:p>
        </w:tc>
        <w:tc>
          <w:tcPr>
            <w:tcW w:w="0" w:type="auto"/>
            <w:gridSpan w:val="3"/>
            <w:vAlign w:val="center"/>
            <w:hideMark/>
          </w:tcPr>
          <w:p w14:paraId="4553B01E" w14:textId="77777777" w:rsidR="00000000" w:rsidRDefault="00C1661D">
            <w:pPr>
              <w:spacing w:after="100"/>
              <w:rPr>
                <w:rFonts w:eastAsia="Times New Roman"/>
                <w:sz w:val="20"/>
                <w:szCs w:val="20"/>
              </w:rPr>
            </w:pPr>
          </w:p>
        </w:tc>
        <w:tc>
          <w:tcPr>
            <w:tcW w:w="0" w:type="auto"/>
            <w:gridSpan w:val="3"/>
            <w:vAlign w:val="center"/>
            <w:hideMark/>
          </w:tcPr>
          <w:p w14:paraId="36983914" w14:textId="77777777" w:rsidR="00000000" w:rsidRDefault="00C1661D">
            <w:pPr>
              <w:spacing w:after="100"/>
              <w:rPr>
                <w:rFonts w:eastAsia="Times New Roman"/>
                <w:sz w:val="20"/>
                <w:szCs w:val="20"/>
              </w:rPr>
            </w:pPr>
          </w:p>
        </w:tc>
        <w:tc>
          <w:tcPr>
            <w:tcW w:w="0" w:type="auto"/>
            <w:gridSpan w:val="3"/>
            <w:vAlign w:val="center"/>
            <w:hideMark/>
          </w:tcPr>
          <w:p w14:paraId="08D2875D" w14:textId="77777777" w:rsidR="00000000" w:rsidRDefault="00C1661D">
            <w:pPr>
              <w:spacing w:after="100"/>
              <w:rPr>
                <w:rFonts w:eastAsia="Times New Roman"/>
                <w:sz w:val="20"/>
                <w:szCs w:val="20"/>
              </w:rPr>
            </w:pPr>
          </w:p>
        </w:tc>
      </w:tr>
      <w:tr w:rsidR="00000000" w14:paraId="2AE01459" w14:textId="77777777">
        <w:trPr>
          <w:divId w:val="610673252"/>
        </w:trPr>
        <w:tc>
          <w:tcPr>
            <w:tcW w:w="0" w:type="auto"/>
            <w:gridSpan w:val="3"/>
            <w:shd w:val="clear" w:color="auto" w:fill="FFFFFF"/>
            <w:tcMar>
              <w:top w:w="30" w:type="dxa"/>
              <w:left w:w="155" w:type="dxa"/>
              <w:bottom w:w="30" w:type="dxa"/>
              <w:right w:w="20" w:type="dxa"/>
            </w:tcMar>
            <w:vAlign w:val="bottom"/>
            <w:hideMark/>
          </w:tcPr>
          <w:p w14:paraId="7E73D4E9" w14:textId="77777777" w:rsidR="00000000" w:rsidRDefault="00C1661D">
            <w:pPr>
              <w:spacing w:after="100"/>
              <w:rPr>
                <w:rFonts w:eastAsia="Times New Roman"/>
              </w:rPr>
            </w:pPr>
            <w:r>
              <w:rPr>
                <w:rFonts w:eastAsia="Times New Roman"/>
                <w:color w:val="000000"/>
                <w:sz w:val="16"/>
                <w:szCs w:val="16"/>
              </w:rPr>
              <w:t>Other non-operating income, net</w:t>
            </w:r>
          </w:p>
        </w:tc>
        <w:tc>
          <w:tcPr>
            <w:tcW w:w="0" w:type="auto"/>
            <w:gridSpan w:val="2"/>
            <w:shd w:val="clear" w:color="auto" w:fill="FFFFFF"/>
            <w:tcMar>
              <w:top w:w="30" w:type="dxa"/>
              <w:left w:w="20" w:type="dxa"/>
              <w:bottom w:w="30" w:type="dxa"/>
              <w:right w:w="0" w:type="dxa"/>
            </w:tcMar>
            <w:vAlign w:val="bottom"/>
            <w:hideMark/>
          </w:tcPr>
          <w:p w14:paraId="3CBBE7E1" w14:textId="77777777" w:rsidR="00000000" w:rsidRDefault="00C1661D">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14:paraId="0FBB78A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11922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211EC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0A5FFF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58D05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3D62E3"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3076AA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3F18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A65004" w14:textId="77777777" w:rsidR="00000000" w:rsidRDefault="00C1661D">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14:paraId="2358803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3BCB3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F00C3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1128BC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82DCD"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51DE46" w14:textId="77777777" w:rsidR="00000000" w:rsidRDefault="00C1661D">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14:paraId="4DC9043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465B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AED0E2" w14:textId="77777777" w:rsidR="00000000" w:rsidRDefault="00C1661D">
            <w:pPr>
              <w:spacing w:after="100"/>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14:paraId="0F9038CF" w14:textId="77777777" w:rsidR="00000000" w:rsidRDefault="00C1661D">
            <w:pPr>
              <w:spacing w:after="100"/>
              <w:jc w:val="right"/>
              <w:rPr>
                <w:rFonts w:eastAsia="Times New Roman"/>
              </w:rPr>
            </w:pPr>
          </w:p>
        </w:tc>
      </w:tr>
      <w:tr w:rsidR="00000000" w14:paraId="196FFFAF" w14:textId="77777777">
        <w:trPr>
          <w:divId w:val="610673252"/>
        </w:trPr>
        <w:tc>
          <w:tcPr>
            <w:tcW w:w="0" w:type="auto"/>
            <w:gridSpan w:val="3"/>
            <w:vAlign w:val="center"/>
            <w:hideMark/>
          </w:tcPr>
          <w:p w14:paraId="7179682E" w14:textId="77777777" w:rsidR="00000000" w:rsidRDefault="00C1661D">
            <w:pPr>
              <w:spacing w:after="100"/>
              <w:jc w:val="right"/>
              <w:rPr>
                <w:rFonts w:eastAsia="Times New Roman"/>
                <w:sz w:val="20"/>
                <w:szCs w:val="20"/>
              </w:rPr>
            </w:pPr>
          </w:p>
        </w:tc>
        <w:tc>
          <w:tcPr>
            <w:tcW w:w="0" w:type="auto"/>
            <w:gridSpan w:val="3"/>
            <w:vAlign w:val="center"/>
            <w:hideMark/>
          </w:tcPr>
          <w:p w14:paraId="599EA259" w14:textId="77777777" w:rsidR="00000000" w:rsidRDefault="00C1661D">
            <w:pPr>
              <w:spacing w:after="100"/>
              <w:rPr>
                <w:rFonts w:eastAsia="Times New Roman"/>
                <w:sz w:val="20"/>
                <w:szCs w:val="20"/>
              </w:rPr>
            </w:pPr>
          </w:p>
        </w:tc>
        <w:tc>
          <w:tcPr>
            <w:tcW w:w="0" w:type="auto"/>
            <w:gridSpan w:val="3"/>
            <w:vAlign w:val="center"/>
            <w:hideMark/>
          </w:tcPr>
          <w:p w14:paraId="35C71111" w14:textId="77777777" w:rsidR="00000000" w:rsidRDefault="00C1661D">
            <w:pPr>
              <w:spacing w:after="100"/>
              <w:rPr>
                <w:rFonts w:eastAsia="Times New Roman"/>
                <w:sz w:val="20"/>
                <w:szCs w:val="20"/>
              </w:rPr>
            </w:pPr>
          </w:p>
        </w:tc>
        <w:tc>
          <w:tcPr>
            <w:tcW w:w="0" w:type="auto"/>
            <w:gridSpan w:val="3"/>
            <w:vAlign w:val="center"/>
            <w:hideMark/>
          </w:tcPr>
          <w:p w14:paraId="30E67FC2" w14:textId="77777777" w:rsidR="00000000" w:rsidRDefault="00C1661D">
            <w:pPr>
              <w:spacing w:after="100"/>
              <w:rPr>
                <w:rFonts w:eastAsia="Times New Roman"/>
                <w:sz w:val="20"/>
                <w:szCs w:val="20"/>
              </w:rPr>
            </w:pPr>
          </w:p>
        </w:tc>
        <w:tc>
          <w:tcPr>
            <w:tcW w:w="0" w:type="auto"/>
            <w:gridSpan w:val="3"/>
            <w:vAlign w:val="center"/>
            <w:hideMark/>
          </w:tcPr>
          <w:p w14:paraId="15C0135D" w14:textId="77777777" w:rsidR="00000000" w:rsidRDefault="00C1661D">
            <w:pPr>
              <w:spacing w:after="100"/>
              <w:rPr>
                <w:rFonts w:eastAsia="Times New Roman"/>
                <w:sz w:val="20"/>
                <w:szCs w:val="20"/>
              </w:rPr>
            </w:pPr>
          </w:p>
        </w:tc>
        <w:tc>
          <w:tcPr>
            <w:tcW w:w="0" w:type="auto"/>
            <w:gridSpan w:val="3"/>
            <w:vAlign w:val="center"/>
            <w:hideMark/>
          </w:tcPr>
          <w:p w14:paraId="04B3A11E" w14:textId="77777777" w:rsidR="00000000" w:rsidRDefault="00C1661D">
            <w:pPr>
              <w:spacing w:after="100"/>
              <w:rPr>
                <w:rFonts w:eastAsia="Times New Roman"/>
                <w:sz w:val="20"/>
                <w:szCs w:val="20"/>
              </w:rPr>
            </w:pPr>
          </w:p>
        </w:tc>
        <w:tc>
          <w:tcPr>
            <w:tcW w:w="0" w:type="auto"/>
            <w:gridSpan w:val="3"/>
            <w:vAlign w:val="center"/>
            <w:hideMark/>
          </w:tcPr>
          <w:p w14:paraId="7A38B690" w14:textId="77777777" w:rsidR="00000000" w:rsidRDefault="00C1661D">
            <w:pPr>
              <w:spacing w:after="100"/>
              <w:rPr>
                <w:rFonts w:eastAsia="Times New Roman"/>
                <w:sz w:val="20"/>
                <w:szCs w:val="20"/>
              </w:rPr>
            </w:pPr>
          </w:p>
        </w:tc>
        <w:tc>
          <w:tcPr>
            <w:tcW w:w="0" w:type="auto"/>
            <w:gridSpan w:val="3"/>
            <w:vAlign w:val="center"/>
            <w:hideMark/>
          </w:tcPr>
          <w:p w14:paraId="6CC0BB21" w14:textId="77777777" w:rsidR="00000000" w:rsidRDefault="00C1661D">
            <w:pPr>
              <w:spacing w:after="100"/>
              <w:rPr>
                <w:rFonts w:eastAsia="Times New Roman"/>
                <w:sz w:val="20"/>
                <w:szCs w:val="20"/>
              </w:rPr>
            </w:pPr>
          </w:p>
        </w:tc>
        <w:tc>
          <w:tcPr>
            <w:tcW w:w="0" w:type="auto"/>
            <w:gridSpan w:val="3"/>
            <w:vAlign w:val="center"/>
            <w:hideMark/>
          </w:tcPr>
          <w:p w14:paraId="38D7D4E7" w14:textId="77777777" w:rsidR="00000000" w:rsidRDefault="00C1661D">
            <w:pPr>
              <w:spacing w:after="100"/>
              <w:rPr>
                <w:rFonts w:eastAsia="Times New Roman"/>
                <w:sz w:val="20"/>
                <w:szCs w:val="20"/>
              </w:rPr>
            </w:pPr>
          </w:p>
        </w:tc>
        <w:tc>
          <w:tcPr>
            <w:tcW w:w="0" w:type="auto"/>
            <w:gridSpan w:val="3"/>
            <w:vAlign w:val="center"/>
            <w:hideMark/>
          </w:tcPr>
          <w:p w14:paraId="4B0F7BC2" w14:textId="77777777" w:rsidR="00000000" w:rsidRDefault="00C1661D">
            <w:pPr>
              <w:spacing w:after="100"/>
              <w:rPr>
                <w:rFonts w:eastAsia="Times New Roman"/>
                <w:sz w:val="20"/>
                <w:szCs w:val="20"/>
              </w:rPr>
            </w:pPr>
          </w:p>
        </w:tc>
        <w:tc>
          <w:tcPr>
            <w:tcW w:w="0" w:type="auto"/>
            <w:gridSpan w:val="3"/>
            <w:vAlign w:val="center"/>
            <w:hideMark/>
          </w:tcPr>
          <w:p w14:paraId="2C0B9326" w14:textId="77777777" w:rsidR="00000000" w:rsidRDefault="00C1661D">
            <w:pPr>
              <w:spacing w:after="100"/>
              <w:rPr>
                <w:rFonts w:eastAsia="Times New Roman"/>
                <w:sz w:val="20"/>
                <w:szCs w:val="20"/>
              </w:rPr>
            </w:pPr>
          </w:p>
        </w:tc>
        <w:tc>
          <w:tcPr>
            <w:tcW w:w="0" w:type="auto"/>
            <w:gridSpan w:val="3"/>
            <w:vAlign w:val="center"/>
            <w:hideMark/>
          </w:tcPr>
          <w:p w14:paraId="5318F231" w14:textId="77777777" w:rsidR="00000000" w:rsidRDefault="00C1661D">
            <w:pPr>
              <w:spacing w:after="100"/>
              <w:rPr>
                <w:rFonts w:eastAsia="Times New Roman"/>
                <w:sz w:val="20"/>
                <w:szCs w:val="20"/>
              </w:rPr>
            </w:pPr>
          </w:p>
        </w:tc>
        <w:tc>
          <w:tcPr>
            <w:tcW w:w="0" w:type="auto"/>
            <w:gridSpan w:val="3"/>
            <w:vAlign w:val="center"/>
            <w:hideMark/>
          </w:tcPr>
          <w:p w14:paraId="7F103663" w14:textId="77777777" w:rsidR="00000000" w:rsidRDefault="00C1661D">
            <w:pPr>
              <w:spacing w:after="100"/>
              <w:rPr>
                <w:rFonts w:eastAsia="Times New Roman"/>
                <w:sz w:val="20"/>
                <w:szCs w:val="20"/>
              </w:rPr>
            </w:pPr>
          </w:p>
        </w:tc>
        <w:tc>
          <w:tcPr>
            <w:tcW w:w="0" w:type="auto"/>
            <w:gridSpan w:val="3"/>
            <w:vAlign w:val="center"/>
            <w:hideMark/>
          </w:tcPr>
          <w:p w14:paraId="2C036615" w14:textId="77777777" w:rsidR="00000000" w:rsidRDefault="00C1661D">
            <w:pPr>
              <w:spacing w:after="100"/>
              <w:rPr>
                <w:rFonts w:eastAsia="Times New Roman"/>
                <w:sz w:val="20"/>
                <w:szCs w:val="20"/>
              </w:rPr>
            </w:pPr>
          </w:p>
        </w:tc>
      </w:tr>
      <w:tr w:rsidR="00000000" w14:paraId="3E298956" w14:textId="77777777">
        <w:trPr>
          <w:divId w:val="610673252"/>
        </w:trPr>
        <w:tc>
          <w:tcPr>
            <w:tcW w:w="0" w:type="auto"/>
            <w:gridSpan w:val="3"/>
            <w:shd w:val="clear" w:color="auto" w:fill="CCEEFF"/>
            <w:tcMar>
              <w:top w:w="30" w:type="dxa"/>
              <w:left w:w="155" w:type="dxa"/>
              <w:bottom w:w="30" w:type="dxa"/>
              <w:right w:w="20" w:type="dxa"/>
            </w:tcMar>
            <w:vAlign w:val="bottom"/>
            <w:hideMark/>
          </w:tcPr>
          <w:p w14:paraId="78B09E0F" w14:textId="77777777" w:rsidR="00000000" w:rsidRDefault="00C1661D">
            <w:pPr>
              <w:spacing w:after="100"/>
              <w:rPr>
                <w:rFonts w:eastAsia="Times New Roman"/>
              </w:rPr>
            </w:pPr>
            <w:r>
              <w:rPr>
                <w:rFonts w:eastAsia="Times New Roman"/>
                <w:color w:val="000000"/>
                <w:sz w:val="16"/>
                <w:szCs w:val="16"/>
              </w:rPr>
              <w:t>Earnings before interest expense and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AC9C36" w14:textId="77777777" w:rsidR="00000000" w:rsidRDefault="00C1661D">
            <w:pPr>
              <w:spacing w:after="100"/>
              <w:jc w:val="right"/>
              <w:rPr>
                <w:rFonts w:eastAsia="Times New Roman"/>
              </w:rPr>
            </w:pPr>
            <w:r>
              <w:rPr>
                <w:rFonts w:eastAsia="Times New Roman"/>
                <w:color w:val="000000"/>
                <w:sz w:val="16"/>
                <w:szCs w:val="16"/>
              </w:rPr>
              <w:t>2,299 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F199B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A2A9A4"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52E034"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700CB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A5DDC5"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3994FF" w14:textId="77777777" w:rsidR="00000000" w:rsidRDefault="00C1661D">
            <w:pPr>
              <w:spacing w:after="100"/>
              <w:jc w:val="right"/>
              <w:rPr>
                <w:rFonts w:eastAsia="Times New Roman"/>
              </w:rPr>
            </w:pPr>
            <w:r>
              <w:rPr>
                <w:rFonts w:eastAsia="Times New Roman"/>
                <w:color w:val="000000"/>
                <w:sz w:val="16"/>
                <w:szCs w:val="16"/>
              </w:rPr>
              <w:t>385 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15F0F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C96CED"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6480FD" w14:textId="77777777" w:rsidR="00000000" w:rsidRDefault="00C1661D">
            <w:pPr>
              <w:spacing w:after="100"/>
              <w:jc w:val="right"/>
              <w:rPr>
                <w:rFonts w:eastAsia="Times New Roman"/>
              </w:rPr>
            </w:pPr>
            <w:r>
              <w:rPr>
                <w:rFonts w:eastAsia="Times New Roman"/>
                <w:color w:val="000000"/>
                <w:sz w:val="16"/>
                <w:szCs w:val="16"/>
              </w:rPr>
              <w:t>317 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B528E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EFDCB8"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F369C4" w14:textId="77777777" w:rsidR="00000000" w:rsidRDefault="00C1661D">
            <w:pPr>
              <w:spacing w:after="100"/>
              <w:jc w:val="right"/>
              <w:rPr>
                <w:rFonts w:eastAsia="Times New Roman"/>
              </w:rPr>
            </w:pPr>
            <w:r>
              <w:rPr>
                <w:rFonts w:eastAsia="Times New Roman"/>
                <w:color w:val="000000"/>
                <w:sz w:val="16"/>
                <w:szCs w:val="16"/>
              </w:rPr>
              <w:t>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2D65C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A5B059"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6B1D53" w14:textId="77777777" w:rsidR="00000000" w:rsidRDefault="00C1661D">
            <w:pPr>
              <w:spacing w:after="100"/>
              <w:jc w:val="right"/>
              <w:rPr>
                <w:rFonts w:eastAsia="Times New Roman"/>
              </w:rPr>
            </w:pPr>
            <w:r>
              <w:rPr>
                <w:rFonts w:eastAsia="Times New Roman"/>
                <w:color w:val="000000"/>
                <w:sz w:val="16"/>
                <w:szCs w:val="16"/>
              </w:rPr>
              <w:t>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50CE9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119393"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5754D4" w14:textId="77777777" w:rsidR="00000000" w:rsidRDefault="00C1661D">
            <w:pPr>
              <w:spacing w:after="100"/>
              <w:jc w:val="right"/>
              <w:rPr>
                <w:rFonts w:eastAsia="Times New Roman"/>
              </w:rPr>
            </w:pPr>
            <w:r>
              <w:rPr>
                <w:rFonts w:eastAsia="Times New Roman"/>
                <w:color w:val="000000"/>
                <w:sz w:val="16"/>
                <w:szCs w:val="16"/>
              </w:rPr>
              <w:t>1,165 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5E2E78" w14:textId="77777777" w:rsidR="00000000" w:rsidRDefault="00C1661D">
            <w:pPr>
              <w:spacing w:after="100"/>
              <w:jc w:val="right"/>
              <w:rPr>
                <w:rFonts w:eastAsia="Times New Roman"/>
              </w:rPr>
            </w:pPr>
          </w:p>
        </w:tc>
      </w:tr>
      <w:tr w:rsidR="00000000" w14:paraId="3063B430" w14:textId="77777777">
        <w:trPr>
          <w:divId w:val="610673252"/>
        </w:trPr>
        <w:tc>
          <w:tcPr>
            <w:tcW w:w="0" w:type="auto"/>
            <w:gridSpan w:val="3"/>
            <w:shd w:val="clear" w:color="auto" w:fill="FFFFFF"/>
            <w:tcMar>
              <w:top w:w="30" w:type="dxa"/>
              <w:left w:w="155" w:type="dxa"/>
              <w:bottom w:w="30" w:type="dxa"/>
              <w:right w:w="20" w:type="dxa"/>
            </w:tcMar>
            <w:vAlign w:val="bottom"/>
            <w:hideMark/>
          </w:tcPr>
          <w:p w14:paraId="5A86769E" w14:textId="77777777" w:rsidR="00000000" w:rsidRDefault="00C1661D">
            <w:pPr>
              <w:spacing w:after="100"/>
              <w:rPr>
                <w:rFonts w:eastAsia="Times New Roman"/>
              </w:rPr>
            </w:pPr>
            <w:r>
              <w:rPr>
                <w:rFonts w:eastAsia="Times New Roman"/>
                <w:color w:val="000000"/>
                <w:sz w:val="16"/>
                <w:szCs w:val="16"/>
              </w:rPr>
              <w:t>Interest expense</w:t>
            </w:r>
          </w:p>
        </w:tc>
        <w:tc>
          <w:tcPr>
            <w:tcW w:w="0" w:type="auto"/>
            <w:gridSpan w:val="2"/>
            <w:shd w:val="clear" w:color="auto" w:fill="FFFFFF"/>
            <w:tcMar>
              <w:top w:w="30" w:type="dxa"/>
              <w:left w:w="20" w:type="dxa"/>
              <w:bottom w:w="30" w:type="dxa"/>
              <w:right w:w="0" w:type="dxa"/>
            </w:tcMar>
            <w:vAlign w:val="bottom"/>
            <w:hideMark/>
          </w:tcPr>
          <w:p w14:paraId="73816516" w14:textId="77777777" w:rsidR="00000000" w:rsidRDefault="00C1661D">
            <w:pPr>
              <w:spacing w:after="100"/>
              <w:jc w:val="right"/>
              <w:rPr>
                <w:rFonts w:eastAsia="Times New Roman"/>
              </w:rPr>
            </w:pPr>
            <w:r>
              <w:rPr>
                <w:rFonts w:eastAsia="Times New Roman"/>
                <w:color w:val="000000"/>
                <w:sz w:val="16"/>
                <w:szCs w:val="16"/>
              </w:rPr>
              <w:t>(310)</w:t>
            </w:r>
          </w:p>
        </w:tc>
        <w:tc>
          <w:tcPr>
            <w:tcW w:w="0" w:type="auto"/>
            <w:shd w:val="clear" w:color="auto" w:fill="FFFFFF"/>
            <w:tcMar>
              <w:top w:w="30" w:type="dxa"/>
              <w:left w:w="0" w:type="dxa"/>
              <w:bottom w:w="30" w:type="dxa"/>
              <w:right w:w="20" w:type="dxa"/>
            </w:tcMar>
            <w:vAlign w:val="bottom"/>
            <w:hideMark/>
          </w:tcPr>
          <w:p w14:paraId="460FE71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213EF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7A3D6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D91D1E8"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E2EB47C" w14:textId="77777777" w:rsidR="00000000" w:rsidRDefault="00C1661D">
            <w:pPr>
              <w:spacing w:after="100"/>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14:paraId="30CEAE9F" w14:textId="77777777" w:rsidR="00000000" w:rsidRDefault="00C1661D">
            <w:pPr>
              <w:spacing w:after="100"/>
              <w:jc w:val="right"/>
              <w:rPr>
                <w:rFonts w:eastAsia="Times New Roman"/>
              </w:rPr>
            </w:pPr>
            <w:r>
              <w:rPr>
                <w:rFonts w:eastAsia="Times New Roman"/>
                <w:color w:val="000000"/>
                <w:sz w:val="16"/>
                <w:szCs w:val="16"/>
              </w:rPr>
              <w:t>(159)</w:t>
            </w:r>
          </w:p>
        </w:tc>
        <w:tc>
          <w:tcPr>
            <w:tcW w:w="0" w:type="auto"/>
            <w:shd w:val="clear" w:color="auto" w:fill="FFFFFF"/>
            <w:tcMar>
              <w:top w:w="30" w:type="dxa"/>
              <w:left w:w="0" w:type="dxa"/>
              <w:bottom w:w="30" w:type="dxa"/>
              <w:right w:w="20" w:type="dxa"/>
            </w:tcMar>
            <w:vAlign w:val="bottom"/>
            <w:hideMark/>
          </w:tcPr>
          <w:p w14:paraId="040DDEB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26850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CA0FE6" w14:textId="77777777" w:rsidR="00000000" w:rsidRDefault="00C1661D">
            <w:pPr>
              <w:spacing w:after="100"/>
              <w:jc w:val="right"/>
              <w:rPr>
                <w:rFonts w:eastAsia="Times New Roman"/>
              </w:rPr>
            </w:pPr>
            <w:r>
              <w:rPr>
                <w:rFonts w:eastAsia="Times New Roman"/>
                <w:color w:val="000000"/>
                <w:sz w:val="16"/>
                <w:szCs w:val="16"/>
              </w:rPr>
              <w:t>(27)</w:t>
            </w:r>
          </w:p>
        </w:tc>
        <w:tc>
          <w:tcPr>
            <w:tcW w:w="0" w:type="auto"/>
            <w:shd w:val="clear" w:color="auto" w:fill="FFFFFF"/>
            <w:tcMar>
              <w:top w:w="30" w:type="dxa"/>
              <w:left w:w="0" w:type="dxa"/>
              <w:bottom w:w="30" w:type="dxa"/>
              <w:right w:w="20" w:type="dxa"/>
            </w:tcMar>
            <w:vAlign w:val="bottom"/>
            <w:hideMark/>
          </w:tcPr>
          <w:p w14:paraId="3DD0A06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7667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11C5A8" w14:textId="77777777" w:rsidR="00000000" w:rsidRDefault="00C1661D">
            <w:pPr>
              <w:spacing w:after="100"/>
              <w:jc w:val="right"/>
              <w:rPr>
                <w:rFonts w:eastAsia="Times New Roman"/>
              </w:rPr>
            </w:pPr>
            <w:r>
              <w:rPr>
                <w:rFonts w:eastAsia="Times New Roman"/>
                <w:color w:val="000000"/>
                <w:sz w:val="16"/>
                <w:szCs w:val="16"/>
              </w:rPr>
              <w:t>(42)</w:t>
            </w:r>
          </w:p>
        </w:tc>
        <w:tc>
          <w:tcPr>
            <w:tcW w:w="0" w:type="auto"/>
            <w:shd w:val="clear" w:color="auto" w:fill="FFFFFF"/>
            <w:tcMar>
              <w:top w:w="30" w:type="dxa"/>
              <w:left w:w="0" w:type="dxa"/>
              <w:bottom w:w="30" w:type="dxa"/>
              <w:right w:w="20" w:type="dxa"/>
            </w:tcMar>
            <w:vAlign w:val="bottom"/>
            <w:hideMark/>
          </w:tcPr>
          <w:p w14:paraId="10D8984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5770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C47F6B" w14:textId="77777777" w:rsidR="00000000" w:rsidRDefault="00C1661D">
            <w:pPr>
              <w:spacing w:after="100"/>
              <w:jc w:val="right"/>
              <w:rPr>
                <w:rFonts w:eastAsia="Times New Roman"/>
              </w:rPr>
            </w:pPr>
            <w:r>
              <w:rPr>
                <w:rFonts w:eastAsia="Times New Roman"/>
                <w:color w:val="000000"/>
                <w:sz w:val="16"/>
                <w:szCs w:val="16"/>
              </w:rPr>
              <w:t>(56)</w:t>
            </w:r>
          </w:p>
        </w:tc>
        <w:tc>
          <w:tcPr>
            <w:tcW w:w="0" w:type="auto"/>
            <w:shd w:val="clear" w:color="auto" w:fill="FFFFFF"/>
            <w:tcMar>
              <w:top w:w="30" w:type="dxa"/>
              <w:left w:w="0" w:type="dxa"/>
              <w:bottom w:w="30" w:type="dxa"/>
              <w:right w:w="20" w:type="dxa"/>
            </w:tcMar>
            <w:vAlign w:val="bottom"/>
            <w:hideMark/>
          </w:tcPr>
          <w:p w14:paraId="1258FBF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C7399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F9A0FC" w14:textId="77777777" w:rsidR="00000000" w:rsidRDefault="00C1661D">
            <w:pPr>
              <w:spacing w:after="100"/>
              <w:jc w:val="right"/>
              <w:rPr>
                <w:rFonts w:eastAsia="Times New Roman"/>
              </w:rPr>
            </w:pPr>
            <w:r>
              <w:rPr>
                <w:rFonts w:eastAsia="Times New Roman"/>
                <w:color w:val="000000"/>
                <w:sz w:val="16"/>
                <w:szCs w:val="16"/>
              </w:rPr>
              <w:t>(26)</w:t>
            </w:r>
          </w:p>
        </w:tc>
        <w:tc>
          <w:tcPr>
            <w:tcW w:w="0" w:type="auto"/>
            <w:shd w:val="clear" w:color="auto" w:fill="FFFFFF"/>
            <w:tcMar>
              <w:top w:w="30" w:type="dxa"/>
              <w:left w:w="0" w:type="dxa"/>
              <w:bottom w:w="30" w:type="dxa"/>
              <w:right w:w="20" w:type="dxa"/>
            </w:tcMar>
            <w:vAlign w:val="bottom"/>
            <w:hideMark/>
          </w:tcPr>
          <w:p w14:paraId="4EA1CDDF" w14:textId="77777777" w:rsidR="00000000" w:rsidRDefault="00C1661D">
            <w:pPr>
              <w:spacing w:after="100"/>
              <w:jc w:val="right"/>
              <w:rPr>
                <w:rFonts w:eastAsia="Times New Roman"/>
              </w:rPr>
            </w:pPr>
          </w:p>
        </w:tc>
      </w:tr>
      <w:tr w:rsidR="00000000" w14:paraId="4324C1F2" w14:textId="77777777">
        <w:trPr>
          <w:divId w:val="610673252"/>
        </w:trPr>
        <w:tc>
          <w:tcPr>
            <w:tcW w:w="0" w:type="auto"/>
            <w:gridSpan w:val="3"/>
            <w:shd w:val="clear" w:color="auto" w:fill="CCEEFF"/>
            <w:tcMar>
              <w:top w:w="30" w:type="dxa"/>
              <w:left w:w="155" w:type="dxa"/>
              <w:bottom w:w="30" w:type="dxa"/>
              <w:right w:w="20" w:type="dxa"/>
            </w:tcMar>
            <w:vAlign w:val="bottom"/>
            <w:hideMark/>
          </w:tcPr>
          <w:p w14:paraId="7C04568C" w14:textId="77777777" w:rsidR="00000000" w:rsidRDefault="00C1661D">
            <w:pPr>
              <w:spacing w:after="100"/>
              <w:rPr>
                <w:rFonts w:eastAsia="Times New Roman"/>
              </w:rPr>
            </w:pPr>
            <w:r>
              <w:rPr>
                <w:rFonts w:eastAsia="Times New Roman"/>
                <w:color w:val="000000"/>
                <w:sz w:val="16"/>
                <w:szCs w:val="16"/>
              </w:rPr>
              <w:t>Income tax expense</w:t>
            </w:r>
          </w:p>
        </w:tc>
        <w:tc>
          <w:tcPr>
            <w:tcW w:w="0" w:type="auto"/>
            <w:gridSpan w:val="2"/>
            <w:shd w:val="clear" w:color="auto" w:fill="CCEEFF"/>
            <w:tcMar>
              <w:top w:w="30" w:type="dxa"/>
              <w:left w:w="20" w:type="dxa"/>
              <w:bottom w:w="30" w:type="dxa"/>
              <w:right w:w="0" w:type="dxa"/>
            </w:tcMar>
            <w:vAlign w:val="bottom"/>
            <w:hideMark/>
          </w:tcPr>
          <w:p w14:paraId="4D793324" w14:textId="77777777" w:rsidR="00000000" w:rsidRDefault="00C1661D">
            <w:pPr>
              <w:spacing w:after="100"/>
              <w:jc w:val="right"/>
              <w:rPr>
                <w:rFonts w:eastAsia="Times New Roman"/>
              </w:rPr>
            </w:pPr>
            <w:r>
              <w:rPr>
                <w:rFonts w:eastAsia="Times New Roman"/>
                <w:color w:val="000000"/>
                <w:sz w:val="16"/>
                <w:szCs w:val="16"/>
              </w:rPr>
              <w:t>(522)</w:t>
            </w:r>
          </w:p>
        </w:tc>
        <w:tc>
          <w:tcPr>
            <w:tcW w:w="0" w:type="auto"/>
            <w:shd w:val="clear" w:color="auto" w:fill="CCEEFF"/>
            <w:tcMar>
              <w:top w:w="30" w:type="dxa"/>
              <w:left w:w="0" w:type="dxa"/>
              <w:bottom w:w="30" w:type="dxa"/>
              <w:right w:w="20" w:type="dxa"/>
            </w:tcMar>
            <w:vAlign w:val="bottom"/>
            <w:hideMark/>
          </w:tcPr>
          <w:p w14:paraId="3DABD6B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87D1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C318E5"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49EDE9C"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DCEE336" w14:textId="77777777" w:rsidR="00000000" w:rsidRDefault="00C1661D">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14:paraId="24EF4E9C" w14:textId="77777777" w:rsidR="00000000" w:rsidRDefault="00C1661D">
            <w:pPr>
              <w:spacing w:after="100"/>
              <w:jc w:val="right"/>
              <w:rPr>
                <w:rFonts w:eastAsia="Times New Roman"/>
              </w:rPr>
            </w:pPr>
            <w:r>
              <w:rPr>
                <w:rFonts w:eastAsia="Times New Roman"/>
                <w:color w:val="000000"/>
                <w:sz w:val="16"/>
                <w:szCs w:val="16"/>
              </w:rPr>
              <w:t>(58)</w:t>
            </w:r>
          </w:p>
        </w:tc>
        <w:tc>
          <w:tcPr>
            <w:tcW w:w="0" w:type="auto"/>
            <w:shd w:val="clear" w:color="auto" w:fill="CCEEFF"/>
            <w:tcMar>
              <w:top w:w="30" w:type="dxa"/>
              <w:left w:w="0" w:type="dxa"/>
              <w:bottom w:w="30" w:type="dxa"/>
              <w:right w:w="20" w:type="dxa"/>
            </w:tcMar>
            <w:vAlign w:val="bottom"/>
            <w:hideMark/>
          </w:tcPr>
          <w:p w14:paraId="0BA76EC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523D7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0C97EE" w14:textId="77777777" w:rsidR="00000000" w:rsidRDefault="00C1661D">
            <w:pPr>
              <w:spacing w:after="100"/>
              <w:jc w:val="right"/>
              <w:rPr>
                <w:rFonts w:eastAsia="Times New Roman"/>
              </w:rPr>
            </w:pPr>
            <w:r>
              <w:rPr>
                <w:rFonts w:eastAsia="Times New Roman"/>
                <w:color w:val="000000"/>
                <w:sz w:val="16"/>
                <w:szCs w:val="16"/>
              </w:rPr>
              <w:t>(69)</w:t>
            </w:r>
          </w:p>
        </w:tc>
        <w:tc>
          <w:tcPr>
            <w:tcW w:w="0" w:type="auto"/>
            <w:shd w:val="clear" w:color="auto" w:fill="CCEEFF"/>
            <w:tcMar>
              <w:top w:w="30" w:type="dxa"/>
              <w:left w:w="0" w:type="dxa"/>
              <w:bottom w:w="30" w:type="dxa"/>
              <w:right w:w="20" w:type="dxa"/>
            </w:tcMar>
            <w:vAlign w:val="bottom"/>
            <w:hideMark/>
          </w:tcPr>
          <w:p w14:paraId="6D2D6AE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6B6A9A"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E55675" w14:textId="77777777" w:rsidR="00000000" w:rsidRDefault="00C1661D">
            <w:pPr>
              <w:spacing w:after="100"/>
              <w:jc w:val="right"/>
              <w:rPr>
                <w:rFonts w:eastAsia="Times New Roman"/>
              </w:rPr>
            </w:pPr>
            <w:r>
              <w:rPr>
                <w:rFonts w:eastAsia="Times New Roman"/>
                <w:color w:val="000000"/>
                <w:sz w:val="16"/>
                <w:szCs w:val="16"/>
              </w:rPr>
              <w:t>(41)</w:t>
            </w:r>
          </w:p>
        </w:tc>
        <w:tc>
          <w:tcPr>
            <w:tcW w:w="0" w:type="auto"/>
            <w:shd w:val="clear" w:color="auto" w:fill="CCEEFF"/>
            <w:tcMar>
              <w:top w:w="30" w:type="dxa"/>
              <w:left w:w="0" w:type="dxa"/>
              <w:bottom w:w="30" w:type="dxa"/>
              <w:right w:w="20" w:type="dxa"/>
            </w:tcMar>
            <w:vAlign w:val="bottom"/>
            <w:hideMark/>
          </w:tcPr>
          <w:p w14:paraId="1232AF6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FFEB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5BE628" w14:textId="77777777" w:rsidR="00000000" w:rsidRDefault="00C1661D">
            <w:pPr>
              <w:spacing w:after="100"/>
              <w:jc w:val="right"/>
              <w:rPr>
                <w:rFonts w:eastAsia="Times New Roman"/>
              </w:rPr>
            </w:pPr>
            <w:r>
              <w:rPr>
                <w:rFonts w:eastAsia="Times New Roman"/>
                <w:color w:val="000000"/>
                <w:sz w:val="16"/>
                <w:szCs w:val="16"/>
              </w:rPr>
              <w:t>(42)</w:t>
            </w:r>
          </w:p>
        </w:tc>
        <w:tc>
          <w:tcPr>
            <w:tcW w:w="0" w:type="auto"/>
            <w:shd w:val="clear" w:color="auto" w:fill="CCEEFF"/>
            <w:tcMar>
              <w:top w:w="30" w:type="dxa"/>
              <w:left w:w="0" w:type="dxa"/>
              <w:bottom w:w="30" w:type="dxa"/>
              <w:right w:w="20" w:type="dxa"/>
            </w:tcMar>
            <w:vAlign w:val="bottom"/>
            <w:hideMark/>
          </w:tcPr>
          <w:p w14:paraId="4A997C6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46363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9B8C31" w14:textId="77777777" w:rsidR="00000000" w:rsidRDefault="00C1661D">
            <w:pPr>
              <w:spacing w:after="100"/>
              <w:jc w:val="right"/>
              <w:rPr>
                <w:rFonts w:eastAsia="Times New Roman"/>
              </w:rPr>
            </w:pPr>
            <w:r>
              <w:rPr>
                <w:rFonts w:eastAsia="Times New Roman"/>
                <w:color w:val="000000"/>
                <w:sz w:val="16"/>
                <w:szCs w:val="16"/>
              </w:rPr>
              <w:t>(312)</w:t>
            </w:r>
          </w:p>
        </w:tc>
        <w:tc>
          <w:tcPr>
            <w:tcW w:w="0" w:type="auto"/>
            <w:shd w:val="clear" w:color="auto" w:fill="CCEEFF"/>
            <w:tcMar>
              <w:top w:w="30" w:type="dxa"/>
              <w:left w:w="0" w:type="dxa"/>
              <w:bottom w:w="30" w:type="dxa"/>
              <w:right w:w="20" w:type="dxa"/>
            </w:tcMar>
            <w:vAlign w:val="bottom"/>
            <w:hideMark/>
          </w:tcPr>
          <w:p w14:paraId="2F5DF8F6" w14:textId="77777777" w:rsidR="00000000" w:rsidRDefault="00C1661D">
            <w:pPr>
              <w:spacing w:after="100"/>
              <w:jc w:val="right"/>
              <w:rPr>
                <w:rFonts w:eastAsia="Times New Roman"/>
              </w:rPr>
            </w:pPr>
          </w:p>
        </w:tc>
      </w:tr>
      <w:tr w:rsidR="00000000" w14:paraId="0B7F1E4F" w14:textId="77777777">
        <w:trPr>
          <w:divId w:val="610673252"/>
        </w:trPr>
        <w:tc>
          <w:tcPr>
            <w:tcW w:w="0" w:type="auto"/>
            <w:gridSpan w:val="3"/>
            <w:vAlign w:val="center"/>
            <w:hideMark/>
          </w:tcPr>
          <w:p w14:paraId="74312CD0" w14:textId="77777777" w:rsidR="00000000" w:rsidRDefault="00C1661D">
            <w:pPr>
              <w:spacing w:after="100"/>
              <w:jc w:val="right"/>
              <w:rPr>
                <w:rFonts w:eastAsia="Times New Roman"/>
                <w:sz w:val="20"/>
                <w:szCs w:val="20"/>
              </w:rPr>
            </w:pPr>
          </w:p>
        </w:tc>
        <w:tc>
          <w:tcPr>
            <w:tcW w:w="0" w:type="auto"/>
            <w:gridSpan w:val="3"/>
            <w:vAlign w:val="center"/>
            <w:hideMark/>
          </w:tcPr>
          <w:p w14:paraId="1D9127D8" w14:textId="77777777" w:rsidR="00000000" w:rsidRDefault="00C1661D">
            <w:pPr>
              <w:spacing w:after="100"/>
              <w:rPr>
                <w:rFonts w:eastAsia="Times New Roman"/>
                <w:sz w:val="20"/>
                <w:szCs w:val="20"/>
              </w:rPr>
            </w:pPr>
          </w:p>
        </w:tc>
        <w:tc>
          <w:tcPr>
            <w:tcW w:w="0" w:type="auto"/>
            <w:gridSpan w:val="3"/>
            <w:vAlign w:val="center"/>
            <w:hideMark/>
          </w:tcPr>
          <w:p w14:paraId="64B23BBE" w14:textId="77777777" w:rsidR="00000000" w:rsidRDefault="00C1661D">
            <w:pPr>
              <w:spacing w:after="100"/>
              <w:rPr>
                <w:rFonts w:eastAsia="Times New Roman"/>
                <w:sz w:val="20"/>
                <w:szCs w:val="20"/>
              </w:rPr>
            </w:pPr>
          </w:p>
        </w:tc>
        <w:tc>
          <w:tcPr>
            <w:tcW w:w="0" w:type="auto"/>
            <w:gridSpan w:val="3"/>
            <w:vAlign w:val="center"/>
            <w:hideMark/>
          </w:tcPr>
          <w:p w14:paraId="24AAE3A8" w14:textId="77777777" w:rsidR="00000000" w:rsidRDefault="00C1661D">
            <w:pPr>
              <w:spacing w:after="100"/>
              <w:rPr>
                <w:rFonts w:eastAsia="Times New Roman"/>
                <w:sz w:val="20"/>
                <w:szCs w:val="20"/>
              </w:rPr>
            </w:pPr>
          </w:p>
        </w:tc>
        <w:tc>
          <w:tcPr>
            <w:tcW w:w="0" w:type="auto"/>
            <w:gridSpan w:val="3"/>
            <w:vAlign w:val="center"/>
            <w:hideMark/>
          </w:tcPr>
          <w:p w14:paraId="4AEC72A1" w14:textId="77777777" w:rsidR="00000000" w:rsidRDefault="00C1661D">
            <w:pPr>
              <w:spacing w:after="100"/>
              <w:rPr>
                <w:rFonts w:eastAsia="Times New Roman"/>
                <w:sz w:val="20"/>
                <w:szCs w:val="20"/>
              </w:rPr>
            </w:pPr>
          </w:p>
        </w:tc>
        <w:tc>
          <w:tcPr>
            <w:tcW w:w="0" w:type="auto"/>
            <w:gridSpan w:val="3"/>
            <w:vAlign w:val="center"/>
            <w:hideMark/>
          </w:tcPr>
          <w:p w14:paraId="6BF67915" w14:textId="77777777" w:rsidR="00000000" w:rsidRDefault="00C1661D">
            <w:pPr>
              <w:spacing w:after="100"/>
              <w:rPr>
                <w:rFonts w:eastAsia="Times New Roman"/>
                <w:sz w:val="20"/>
                <w:szCs w:val="20"/>
              </w:rPr>
            </w:pPr>
          </w:p>
        </w:tc>
        <w:tc>
          <w:tcPr>
            <w:tcW w:w="0" w:type="auto"/>
            <w:gridSpan w:val="3"/>
            <w:vAlign w:val="center"/>
            <w:hideMark/>
          </w:tcPr>
          <w:p w14:paraId="698FF85D" w14:textId="77777777" w:rsidR="00000000" w:rsidRDefault="00C1661D">
            <w:pPr>
              <w:spacing w:after="100"/>
              <w:rPr>
                <w:rFonts w:eastAsia="Times New Roman"/>
                <w:sz w:val="20"/>
                <w:szCs w:val="20"/>
              </w:rPr>
            </w:pPr>
          </w:p>
        </w:tc>
        <w:tc>
          <w:tcPr>
            <w:tcW w:w="0" w:type="auto"/>
            <w:gridSpan w:val="3"/>
            <w:vAlign w:val="center"/>
            <w:hideMark/>
          </w:tcPr>
          <w:p w14:paraId="5337EA9D" w14:textId="77777777" w:rsidR="00000000" w:rsidRDefault="00C1661D">
            <w:pPr>
              <w:spacing w:after="100"/>
              <w:rPr>
                <w:rFonts w:eastAsia="Times New Roman"/>
                <w:sz w:val="20"/>
                <w:szCs w:val="20"/>
              </w:rPr>
            </w:pPr>
          </w:p>
        </w:tc>
        <w:tc>
          <w:tcPr>
            <w:tcW w:w="0" w:type="auto"/>
            <w:gridSpan w:val="3"/>
            <w:vAlign w:val="center"/>
            <w:hideMark/>
          </w:tcPr>
          <w:p w14:paraId="23307948" w14:textId="77777777" w:rsidR="00000000" w:rsidRDefault="00C1661D">
            <w:pPr>
              <w:spacing w:after="100"/>
              <w:rPr>
                <w:rFonts w:eastAsia="Times New Roman"/>
                <w:sz w:val="20"/>
                <w:szCs w:val="20"/>
              </w:rPr>
            </w:pPr>
          </w:p>
        </w:tc>
        <w:tc>
          <w:tcPr>
            <w:tcW w:w="0" w:type="auto"/>
            <w:gridSpan w:val="3"/>
            <w:vAlign w:val="center"/>
            <w:hideMark/>
          </w:tcPr>
          <w:p w14:paraId="15A97662" w14:textId="77777777" w:rsidR="00000000" w:rsidRDefault="00C1661D">
            <w:pPr>
              <w:spacing w:after="100"/>
              <w:rPr>
                <w:rFonts w:eastAsia="Times New Roman"/>
                <w:sz w:val="20"/>
                <w:szCs w:val="20"/>
              </w:rPr>
            </w:pPr>
          </w:p>
        </w:tc>
        <w:tc>
          <w:tcPr>
            <w:tcW w:w="0" w:type="auto"/>
            <w:gridSpan w:val="3"/>
            <w:vAlign w:val="center"/>
            <w:hideMark/>
          </w:tcPr>
          <w:p w14:paraId="212F3C0F" w14:textId="77777777" w:rsidR="00000000" w:rsidRDefault="00C1661D">
            <w:pPr>
              <w:spacing w:after="100"/>
              <w:rPr>
                <w:rFonts w:eastAsia="Times New Roman"/>
                <w:sz w:val="20"/>
                <w:szCs w:val="20"/>
              </w:rPr>
            </w:pPr>
          </w:p>
        </w:tc>
        <w:tc>
          <w:tcPr>
            <w:tcW w:w="0" w:type="auto"/>
            <w:gridSpan w:val="3"/>
            <w:vAlign w:val="center"/>
            <w:hideMark/>
          </w:tcPr>
          <w:p w14:paraId="2C1FD69B" w14:textId="77777777" w:rsidR="00000000" w:rsidRDefault="00C1661D">
            <w:pPr>
              <w:spacing w:after="100"/>
              <w:rPr>
                <w:rFonts w:eastAsia="Times New Roman"/>
                <w:sz w:val="20"/>
                <w:szCs w:val="20"/>
              </w:rPr>
            </w:pPr>
          </w:p>
        </w:tc>
        <w:tc>
          <w:tcPr>
            <w:tcW w:w="0" w:type="auto"/>
            <w:gridSpan w:val="3"/>
            <w:vAlign w:val="center"/>
            <w:hideMark/>
          </w:tcPr>
          <w:p w14:paraId="5C78B2E7" w14:textId="77777777" w:rsidR="00000000" w:rsidRDefault="00C1661D">
            <w:pPr>
              <w:spacing w:after="100"/>
              <w:rPr>
                <w:rFonts w:eastAsia="Times New Roman"/>
                <w:sz w:val="20"/>
                <w:szCs w:val="20"/>
              </w:rPr>
            </w:pPr>
          </w:p>
        </w:tc>
        <w:tc>
          <w:tcPr>
            <w:tcW w:w="0" w:type="auto"/>
            <w:gridSpan w:val="3"/>
            <w:vAlign w:val="center"/>
            <w:hideMark/>
          </w:tcPr>
          <w:p w14:paraId="1D742368" w14:textId="77777777" w:rsidR="00000000" w:rsidRDefault="00C1661D">
            <w:pPr>
              <w:spacing w:after="100"/>
              <w:rPr>
                <w:rFonts w:eastAsia="Times New Roman"/>
                <w:sz w:val="20"/>
                <w:szCs w:val="20"/>
              </w:rPr>
            </w:pPr>
          </w:p>
        </w:tc>
      </w:tr>
      <w:tr w:rsidR="00C1661D" w14:paraId="150D1C85" w14:textId="77777777">
        <w:trPr>
          <w:divId w:val="610673252"/>
        </w:trPr>
        <w:tc>
          <w:tcPr>
            <w:tcW w:w="0" w:type="auto"/>
            <w:gridSpan w:val="3"/>
            <w:shd w:val="clear" w:color="auto" w:fill="FFFFFF"/>
            <w:tcMar>
              <w:top w:w="30" w:type="dxa"/>
              <w:left w:w="155" w:type="dxa"/>
              <w:bottom w:w="30" w:type="dxa"/>
              <w:right w:w="20" w:type="dxa"/>
            </w:tcMar>
            <w:vAlign w:val="bottom"/>
            <w:hideMark/>
          </w:tcPr>
          <w:p w14:paraId="26BA61CA" w14:textId="77777777" w:rsidR="00000000" w:rsidRDefault="00C1661D">
            <w:pPr>
              <w:spacing w:after="100"/>
              <w:rPr>
                <w:rFonts w:eastAsia="Times New Roman"/>
              </w:rPr>
            </w:pPr>
            <w:r>
              <w:rPr>
                <w:rFonts w:eastAsia="Times New Roman"/>
                <w:color w:val="000000"/>
                <w:sz w:val="16"/>
                <w:szCs w:val="16"/>
              </w:rPr>
              <w:t>Net income attributable to UGI</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4658D9"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0CB6E33" w14:textId="77777777" w:rsidR="00000000" w:rsidRDefault="00C1661D">
            <w:pPr>
              <w:spacing w:after="100"/>
              <w:jc w:val="right"/>
              <w:rPr>
                <w:rFonts w:eastAsia="Times New Roman"/>
              </w:rPr>
            </w:pPr>
            <w:r>
              <w:rPr>
                <w:rFonts w:eastAsia="Times New Roman"/>
                <w:color w:val="000000"/>
                <w:sz w:val="16"/>
                <w:szCs w:val="16"/>
              </w:rPr>
              <w:t>1,467 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4F6D8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2A7797"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3AACA2"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FD6EFC"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9792DE"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4E9FB02" w14:textId="77777777" w:rsidR="00000000" w:rsidRDefault="00C1661D">
            <w:pPr>
              <w:spacing w:after="100"/>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4F4395"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EE08C62" w14:textId="77777777" w:rsidR="00000000" w:rsidRDefault="00C1661D">
            <w:pPr>
              <w:spacing w:after="100"/>
              <w:jc w:val="right"/>
              <w:rPr>
                <w:rFonts w:eastAsia="Times New Roman"/>
              </w:rPr>
            </w:pPr>
            <w:r>
              <w:rPr>
                <w:rFonts w:eastAsia="Times New Roman"/>
                <w:color w:val="000000"/>
                <w:sz w:val="16"/>
                <w:szCs w:val="16"/>
              </w:rPr>
              <w:t>168 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7682F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AFED7"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75F7864"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49A5896" w14:textId="77777777" w:rsidR="00000000" w:rsidRDefault="00C1661D">
            <w:pPr>
              <w:spacing w:after="100"/>
              <w:jc w:val="right"/>
              <w:rPr>
                <w:rFonts w:eastAsia="Times New Roman"/>
              </w:rPr>
            </w:pPr>
            <w:r>
              <w:rPr>
                <w:rFonts w:eastAsia="Times New Roman"/>
                <w:color w:val="000000"/>
                <w:sz w:val="16"/>
                <w:szCs w:val="16"/>
              </w:rPr>
              <w:t>221 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455E8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48AB20"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ED9C00C"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2A94288" w14:textId="77777777" w:rsidR="00000000" w:rsidRDefault="00C1661D">
            <w:pPr>
              <w:spacing w:after="100"/>
              <w:jc w:val="right"/>
              <w:rPr>
                <w:rFonts w:eastAsia="Times New Roman"/>
              </w:rPr>
            </w:pPr>
            <w:r>
              <w:rPr>
                <w:rFonts w:eastAsia="Times New Roman"/>
                <w:color w:val="000000"/>
                <w:sz w:val="16"/>
                <w:szCs w:val="16"/>
              </w:rPr>
              <w:t>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6A41C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98DF7"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977F214"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98ECFB2" w14:textId="77777777" w:rsidR="00000000" w:rsidRDefault="00C1661D">
            <w:pPr>
              <w:spacing w:after="100"/>
              <w:jc w:val="right"/>
              <w:rPr>
                <w:rFonts w:eastAsia="Times New Roman"/>
              </w:rPr>
            </w:pPr>
            <w:r>
              <w:rPr>
                <w:rFonts w:eastAsia="Times New Roman"/>
                <w:color w:val="000000"/>
                <w:sz w:val="16"/>
                <w:szCs w:val="16"/>
              </w:rPr>
              <w:t>144 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C2AA3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8F5EB"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CF0E78"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6AB9C2" w14:textId="77777777" w:rsidR="00000000" w:rsidRDefault="00C1661D">
            <w:pPr>
              <w:spacing w:after="100"/>
              <w:jc w:val="right"/>
              <w:rPr>
                <w:rFonts w:eastAsia="Times New Roman"/>
              </w:rPr>
            </w:pPr>
            <w:r>
              <w:rPr>
                <w:rFonts w:eastAsia="Times New Roman"/>
                <w:color w:val="000000"/>
                <w:sz w:val="16"/>
                <w:szCs w:val="16"/>
              </w:rPr>
              <w:t>827 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6508BD" w14:textId="77777777" w:rsidR="00000000" w:rsidRDefault="00C1661D">
            <w:pPr>
              <w:spacing w:after="100"/>
              <w:jc w:val="right"/>
              <w:rPr>
                <w:rFonts w:eastAsia="Times New Roman"/>
              </w:rPr>
            </w:pPr>
          </w:p>
        </w:tc>
      </w:tr>
      <w:tr w:rsidR="00C1661D" w14:paraId="528BA166" w14:textId="77777777">
        <w:trPr>
          <w:divId w:val="610673252"/>
        </w:trPr>
        <w:tc>
          <w:tcPr>
            <w:tcW w:w="0" w:type="auto"/>
            <w:gridSpan w:val="3"/>
            <w:shd w:val="clear" w:color="auto" w:fill="CCEEFF"/>
            <w:tcMar>
              <w:top w:w="30" w:type="dxa"/>
              <w:left w:w="155" w:type="dxa"/>
              <w:bottom w:w="30" w:type="dxa"/>
              <w:right w:w="20" w:type="dxa"/>
            </w:tcMar>
            <w:vAlign w:val="bottom"/>
            <w:hideMark/>
          </w:tcPr>
          <w:p w14:paraId="330BD656" w14:textId="77777777" w:rsidR="00000000" w:rsidRDefault="00C1661D">
            <w:pPr>
              <w:spacing w:after="100"/>
              <w:rPr>
                <w:rFonts w:eastAsia="Times New Roman"/>
              </w:rPr>
            </w:pPr>
            <w:r>
              <w:rPr>
                <w:rFonts w:eastAsia="Times New Roman"/>
                <w:color w:val="000000"/>
                <w:sz w:val="16"/>
                <w:szCs w:val="16"/>
              </w:rPr>
              <w:t>Depreciation and amortization</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82A67AC"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DD827CC" w14:textId="77777777" w:rsidR="00000000" w:rsidRDefault="00C1661D">
            <w:pPr>
              <w:spacing w:after="100"/>
              <w:jc w:val="right"/>
              <w:rPr>
                <w:rFonts w:eastAsia="Times New Roman"/>
              </w:rPr>
            </w:pPr>
            <w:r>
              <w:rPr>
                <w:rFonts w:eastAsia="Times New Roman"/>
                <w:color w:val="000000"/>
                <w:sz w:val="16"/>
                <w:szCs w:val="16"/>
              </w:rPr>
              <w:t>502 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87B8FA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43E67F"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2EE5945"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CE3A2AE"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3E4B55F"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80EADEA" w14:textId="77777777" w:rsidR="00000000" w:rsidRDefault="00C1661D">
            <w:pPr>
              <w:spacing w:after="100"/>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632D0E2"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6845713" w14:textId="77777777" w:rsidR="00000000" w:rsidRDefault="00C1661D">
            <w:pPr>
              <w:spacing w:after="100"/>
              <w:jc w:val="right"/>
              <w:rPr>
                <w:rFonts w:eastAsia="Times New Roman"/>
              </w:rPr>
            </w:pPr>
            <w:r>
              <w:rPr>
                <w:rFonts w:eastAsia="Times New Roman"/>
                <w:color w:val="000000"/>
                <w:sz w:val="16"/>
                <w:szCs w:val="16"/>
              </w:rPr>
              <w:t>173 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E0D601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2C8403"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0D13444"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4CEF1FD" w14:textId="77777777" w:rsidR="00000000" w:rsidRDefault="00C1661D">
            <w:pPr>
              <w:spacing w:after="100"/>
              <w:jc w:val="right"/>
              <w:rPr>
                <w:rFonts w:eastAsia="Times New Roman"/>
              </w:rPr>
            </w:pPr>
            <w:r>
              <w:rPr>
                <w:rFonts w:eastAsia="Times New Roman"/>
                <w:color w:val="000000"/>
                <w:sz w:val="16"/>
                <w:szCs w:val="16"/>
              </w:rPr>
              <w:t>134 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226563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67DFC"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0DBE5A5"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F05C528" w14:textId="77777777" w:rsidR="00000000" w:rsidRDefault="00C1661D">
            <w:pPr>
              <w:spacing w:after="100"/>
              <w:jc w:val="right"/>
              <w:rPr>
                <w:rFonts w:eastAsia="Times New Roman"/>
              </w:rPr>
            </w:pPr>
            <w:r>
              <w:rPr>
                <w:rFonts w:eastAsia="Times New Roman"/>
                <w:color w:val="000000"/>
                <w:sz w:val="16"/>
                <w:szCs w:val="16"/>
              </w:rPr>
              <w:t>76 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B695DA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3BC75D"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45BE486"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45AA2D3" w14:textId="77777777" w:rsidR="00000000" w:rsidRDefault="00C1661D">
            <w:pPr>
              <w:spacing w:after="100"/>
              <w:jc w:val="right"/>
              <w:rPr>
                <w:rFonts w:eastAsia="Times New Roman"/>
              </w:rPr>
            </w:pPr>
            <w:r>
              <w:rPr>
                <w:rFonts w:eastAsia="Times New Roman"/>
                <w:color w:val="000000"/>
                <w:sz w:val="16"/>
                <w:szCs w:val="16"/>
              </w:rPr>
              <w:t>119 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42550B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95808D"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0716A6F"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A0CC333"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6A928B5" w14:textId="77777777" w:rsidR="00000000" w:rsidRDefault="00C1661D">
            <w:pPr>
              <w:spacing w:after="100"/>
              <w:jc w:val="right"/>
              <w:rPr>
                <w:rFonts w:eastAsia="Times New Roman"/>
              </w:rPr>
            </w:pPr>
          </w:p>
        </w:tc>
      </w:tr>
      <w:tr w:rsidR="00C1661D" w14:paraId="184F44FC" w14:textId="77777777">
        <w:trPr>
          <w:divId w:val="610673252"/>
        </w:trPr>
        <w:tc>
          <w:tcPr>
            <w:tcW w:w="0" w:type="auto"/>
            <w:gridSpan w:val="3"/>
            <w:shd w:val="clear" w:color="auto" w:fill="FFFFFF"/>
            <w:tcMar>
              <w:top w:w="30" w:type="dxa"/>
              <w:left w:w="155" w:type="dxa"/>
              <w:bottom w:w="30" w:type="dxa"/>
              <w:right w:w="20" w:type="dxa"/>
            </w:tcMar>
            <w:vAlign w:val="bottom"/>
            <w:hideMark/>
          </w:tcPr>
          <w:p w14:paraId="51BBAF07" w14:textId="77777777" w:rsidR="00000000" w:rsidRDefault="00C1661D">
            <w:pPr>
              <w:spacing w:after="100"/>
              <w:rPr>
                <w:rFonts w:eastAsia="Times New Roman"/>
              </w:rPr>
            </w:pPr>
            <w:r>
              <w:rPr>
                <w:rFonts w:eastAsia="Times New Roman"/>
                <w:color w:val="000000"/>
                <w:sz w:val="16"/>
                <w:szCs w:val="16"/>
              </w:rPr>
              <w:t>Total assets</w:t>
            </w:r>
          </w:p>
        </w:tc>
        <w:tc>
          <w:tcPr>
            <w:tcW w:w="0" w:type="auto"/>
            <w:shd w:val="clear" w:color="auto" w:fill="FFFFFF"/>
            <w:tcMar>
              <w:top w:w="30" w:type="dxa"/>
              <w:left w:w="20" w:type="dxa"/>
              <w:bottom w:w="30" w:type="dxa"/>
              <w:right w:w="0" w:type="dxa"/>
            </w:tcMar>
            <w:vAlign w:val="bottom"/>
            <w:hideMark/>
          </w:tcPr>
          <w:p w14:paraId="28368BB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F9BB697" w14:textId="77777777" w:rsidR="00000000" w:rsidRDefault="00C1661D">
            <w:pPr>
              <w:spacing w:after="100"/>
              <w:jc w:val="right"/>
              <w:rPr>
                <w:rFonts w:eastAsia="Times New Roman"/>
              </w:rPr>
            </w:pPr>
            <w:r>
              <w:rPr>
                <w:rFonts w:eastAsia="Times New Roman"/>
                <w:color w:val="000000"/>
                <w:sz w:val="16"/>
                <w:szCs w:val="16"/>
              </w:rPr>
              <w:t>16,723 </w:t>
            </w:r>
          </w:p>
        </w:tc>
        <w:tc>
          <w:tcPr>
            <w:tcW w:w="0" w:type="auto"/>
            <w:shd w:val="clear" w:color="auto" w:fill="FFFFFF"/>
            <w:tcMar>
              <w:top w:w="30" w:type="dxa"/>
              <w:left w:w="0" w:type="dxa"/>
              <w:bottom w:w="30" w:type="dxa"/>
              <w:right w:w="20" w:type="dxa"/>
            </w:tcMar>
            <w:vAlign w:val="bottom"/>
            <w:hideMark/>
          </w:tcPr>
          <w:p w14:paraId="23B88C0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E0EC30"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4D1F31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56854CF" w14:textId="77777777" w:rsidR="00000000" w:rsidRDefault="00C1661D">
            <w:pPr>
              <w:spacing w:after="100"/>
              <w:jc w:val="right"/>
              <w:rPr>
                <w:rFonts w:eastAsia="Times New Roman"/>
              </w:rPr>
            </w:pPr>
            <w:r>
              <w:rPr>
                <w:rFonts w:eastAsia="Times New Roman"/>
                <w:color w:val="000000"/>
                <w:sz w:val="16"/>
                <w:szCs w:val="16"/>
              </w:rPr>
              <w:t>(241)</w:t>
            </w:r>
          </w:p>
        </w:tc>
        <w:tc>
          <w:tcPr>
            <w:tcW w:w="0" w:type="auto"/>
            <w:shd w:val="clear" w:color="auto" w:fill="FFFFFF"/>
            <w:tcMar>
              <w:top w:w="30" w:type="dxa"/>
              <w:left w:w="0" w:type="dxa"/>
              <w:bottom w:w="30" w:type="dxa"/>
              <w:right w:w="20" w:type="dxa"/>
            </w:tcMar>
            <w:vAlign w:val="bottom"/>
            <w:hideMark/>
          </w:tcPr>
          <w:p w14:paraId="4E8A68A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DDDE9B"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B1B787"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CDA7A02" w14:textId="77777777" w:rsidR="00000000" w:rsidRDefault="00C1661D">
            <w:pPr>
              <w:spacing w:after="100"/>
              <w:jc w:val="right"/>
              <w:rPr>
                <w:rFonts w:eastAsia="Times New Roman"/>
              </w:rPr>
            </w:pPr>
            <w:r>
              <w:rPr>
                <w:rFonts w:eastAsia="Times New Roman"/>
                <w:color w:val="000000"/>
                <w:sz w:val="16"/>
                <w:szCs w:val="16"/>
              </w:rPr>
              <w:t>4,485 </w:t>
            </w:r>
          </w:p>
        </w:tc>
        <w:tc>
          <w:tcPr>
            <w:tcW w:w="0" w:type="auto"/>
            <w:shd w:val="clear" w:color="auto" w:fill="FFFFFF"/>
            <w:tcMar>
              <w:top w:w="30" w:type="dxa"/>
              <w:left w:w="0" w:type="dxa"/>
              <w:bottom w:w="30" w:type="dxa"/>
              <w:right w:w="20" w:type="dxa"/>
            </w:tcMar>
            <w:vAlign w:val="bottom"/>
            <w:hideMark/>
          </w:tcPr>
          <w:p w14:paraId="3487488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F6973F"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151FC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C720C76" w14:textId="77777777" w:rsidR="00000000" w:rsidRDefault="00C1661D">
            <w:pPr>
              <w:spacing w:after="100"/>
              <w:jc w:val="right"/>
              <w:rPr>
                <w:rFonts w:eastAsia="Times New Roman"/>
              </w:rPr>
            </w:pPr>
            <w:r>
              <w:rPr>
                <w:rFonts w:eastAsia="Times New Roman"/>
                <w:color w:val="000000"/>
                <w:sz w:val="16"/>
                <w:szCs w:val="16"/>
              </w:rPr>
              <w:t>4,421 </w:t>
            </w:r>
          </w:p>
        </w:tc>
        <w:tc>
          <w:tcPr>
            <w:tcW w:w="0" w:type="auto"/>
            <w:shd w:val="clear" w:color="auto" w:fill="FFFFFF"/>
            <w:tcMar>
              <w:top w:w="30" w:type="dxa"/>
              <w:left w:w="0" w:type="dxa"/>
              <w:bottom w:w="30" w:type="dxa"/>
              <w:right w:w="20" w:type="dxa"/>
            </w:tcMar>
            <w:vAlign w:val="bottom"/>
            <w:hideMark/>
          </w:tcPr>
          <w:p w14:paraId="5E54D08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18836"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637B66"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681D498" w14:textId="77777777" w:rsidR="00000000" w:rsidRDefault="00C1661D">
            <w:pPr>
              <w:spacing w:after="100"/>
              <w:jc w:val="right"/>
              <w:rPr>
                <w:rFonts w:eastAsia="Times New Roman"/>
              </w:rPr>
            </w:pPr>
            <w:r>
              <w:rPr>
                <w:rFonts w:eastAsia="Times New Roman"/>
                <w:color w:val="000000"/>
                <w:sz w:val="16"/>
                <w:szCs w:val="16"/>
              </w:rPr>
              <w:t>3,010 </w:t>
            </w:r>
          </w:p>
        </w:tc>
        <w:tc>
          <w:tcPr>
            <w:tcW w:w="0" w:type="auto"/>
            <w:shd w:val="clear" w:color="auto" w:fill="FFFFFF"/>
            <w:tcMar>
              <w:top w:w="30" w:type="dxa"/>
              <w:left w:w="0" w:type="dxa"/>
              <w:bottom w:w="30" w:type="dxa"/>
              <w:right w:w="20" w:type="dxa"/>
            </w:tcMar>
            <w:vAlign w:val="bottom"/>
            <w:hideMark/>
          </w:tcPr>
          <w:p w14:paraId="3DC58B3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7A4EBD"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2B8460"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18216F0" w14:textId="77777777" w:rsidR="00000000" w:rsidRDefault="00C1661D">
            <w:pPr>
              <w:spacing w:after="100"/>
              <w:jc w:val="right"/>
              <w:rPr>
                <w:rFonts w:eastAsia="Times New Roman"/>
              </w:rPr>
            </w:pPr>
            <w:r>
              <w:rPr>
                <w:rFonts w:eastAsia="Times New Roman"/>
                <w:color w:val="000000"/>
                <w:sz w:val="16"/>
                <w:szCs w:val="16"/>
              </w:rPr>
              <w:t>4,859 </w:t>
            </w:r>
          </w:p>
        </w:tc>
        <w:tc>
          <w:tcPr>
            <w:tcW w:w="0" w:type="auto"/>
            <w:shd w:val="clear" w:color="auto" w:fill="FFFFFF"/>
            <w:tcMar>
              <w:top w:w="30" w:type="dxa"/>
              <w:left w:w="0" w:type="dxa"/>
              <w:bottom w:w="30" w:type="dxa"/>
              <w:right w:w="20" w:type="dxa"/>
            </w:tcMar>
            <w:vAlign w:val="bottom"/>
            <w:hideMark/>
          </w:tcPr>
          <w:p w14:paraId="36B6DAA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EE9D2C"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10616D"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F764E2B" w14:textId="77777777" w:rsidR="00000000" w:rsidRDefault="00C1661D">
            <w:pPr>
              <w:spacing w:after="100"/>
              <w:jc w:val="right"/>
              <w:rPr>
                <w:rFonts w:eastAsia="Times New Roman"/>
              </w:rPr>
            </w:pPr>
            <w:r>
              <w:rPr>
                <w:rFonts w:eastAsia="Times New Roman"/>
                <w:color w:val="000000"/>
                <w:sz w:val="16"/>
                <w:szCs w:val="16"/>
              </w:rPr>
              <w:t>189 </w:t>
            </w:r>
          </w:p>
        </w:tc>
        <w:tc>
          <w:tcPr>
            <w:tcW w:w="0" w:type="auto"/>
            <w:shd w:val="clear" w:color="auto" w:fill="FFFFFF"/>
            <w:tcMar>
              <w:top w:w="30" w:type="dxa"/>
              <w:left w:w="0" w:type="dxa"/>
              <w:bottom w:w="30" w:type="dxa"/>
              <w:right w:w="20" w:type="dxa"/>
            </w:tcMar>
            <w:vAlign w:val="bottom"/>
            <w:hideMark/>
          </w:tcPr>
          <w:p w14:paraId="68A18A9B" w14:textId="77777777" w:rsidR="00000000" w:rsidRDefault="00C1661D">
            <w:pPr>
              <w:spacing w:after="100"/>
              <w:jc w:val="right"/>
              <w:rPr>
                <w:rFonts w:eastAsia="Times New Roman"/>
              </w:rPr>
            </w:pPr>
          </w:p>
        </w:tc>
      </w:tr>
      <w:tr w:rsidR="00C1661D" w14:paraId="09828C62" w14:textId="77777777">
        <w:trPr>
          <w:divId w:val="610673252"/>
        </w:trPr>
        <w:tc>
          <w:tcPr>
            <w:tcW w:w="0" w:type="auto"/>
            <w:gridSpan w:val="3"/>
            <w:shd w:val="clear" w:color="auto" w:fill="CCEEFF"/>
            <w:tcMar>
              <w:top w:w="30" w:type="dxa"/>
              <w:left w:w="155" w:type="dxa"/>
              <w:bottom w:w="30" w:type="dxa"/>
              <w:right w:w="20" w:type="dxa"/>
            </w:tcMar>
            <w:vAlign w:val="bottom"/>
            <w:hideMark/>
          </w:tcPr>
          <w:p w14:paraId="341647DF" w14:textId="77777777" w:rsidR="00000000" w:rsidRDefault="00C1661D">
            <w:pPr>
              <w:spacing w:after="100"/>
              <w:rPr>
                <w:rFonts w:eastAsia="Times New Roman"/>
              </w:rPr>
            </w:pPr>
            <w:r>
              <w:rPr>
                <w:rFonts w:eastAsia="Times New Roman"/>
                <w:color w:val="000000"/>
                <w:sz w:val="16"/>
                <w:szCs w:val="16"/>
              </w:rPr>
              <w:t>Short-term borrowings</w:t>
            </w:r>
          </w:p>
        </w:tc>
        <w:tc>
          <w:tcPr>
            <w:tcW w:w="0" w:type="auto"/>
            <w:shd w:val="clear" w:color="auto" w:fill="CCEEFF"/>
            <w:tcMar>
              <w:top w:w="30" w:type="dxa"/>
              <w:left w:w="20" w:type="dxa"/>
              <w:bottom w:w="30" w:type="dxa"/>
              <w:right w:w="0" w:type="dxa"/>
            </w:tcMar>
            <w:vAlign w:val="bottom"/>
            <w:hideMark/>
          </w:tcPr>
          <w:p w14:paraId="55D0050F"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85F027E" w14:textId="77777777" w:rsidR="00000000" w:rsidRDefault="00C1661D">
            <w:pPr>
              <w:spacing w:after="100"/>
              <w:jc w:val="right"/>
              <w:rPr>
                <w:rFonts w:eastAsia="Times New Roman"/>
              </w:rPr>
            </w:pPr>
            <w:r>
              <w:rPr>
                <w:rFonts w:eastAsia="Times New Roman"/>
                <w:color w:val="000000"/>
                <w:sz w:val="16"/>
                <w:szCs w:val="16"/>
              </w:rPr>
              <w:t>367 </w:t>
            </w:r>
          </w:p>
        </w:tc>
        <w:tc>
          <w:tcPr>
            <w:tcW w:w="0" w:type="auto"/>
            <w:shd w:val="clear" w:color="auto" w:fill="CCEEFF"/>
            <w:tcMar>
              <w:top w:w="30" w:type="dxa"/>
              <w:left w:w="0" w:type="dxa"/>
              <w:bottom w:w="30" w:type="dxa"/>
              <w:right w:w="20" w:type="dxa"/>
            </w:tcMar>
            <w:vAlign w:val="bottom"/>
            <w:hideMark/>
          </w:tcPr>
          <w:p w14:paraId="5FEF60C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60BDA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58D08B"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145176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29E7E2A"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55AE541" w14:textId="77777777" w:rsidR="00000000" w:rsidRDefault="00C1661D">
            <w:pPr>
              <w:spacing w:after="100"/>
              <w:rPr>
                <w:rFonts w:eastAsia="Times New Roman"/>
              </w:rPr>
            </w:pPr>
            <w:r>
              <w:rPr>
                <w:rFonts w:eastAsia="Times New Roman"/>
                <w:color w:val="000000"/>
                <w:sz w:val="16"/>
                <w:szCs w:val="16"/>
              </w:rPr>
              <w:t> </w:t>
            </w:r>
          </w:p>
        </w:tc>
        <w:tc>
          <w:tcPr>
            <w:tcW w:w="0" w:type="auto"/>
            <w:shd w:val="clear" w:color="auto" w:fill="CCEEFF"/>
            <w:tcMar>
              <w:top w:w="30" w:type="dxa"/>
              <w:left w:w="20" w:type="dxa"/>
              <w:bottom w:w="30" w:type="dxa"/>
              <w:right w:w="0" w:type="dxa"/>
            </w:tcMar>
            <w:vAlign w:val="bottom"/>
            <w:hideMark/>
          </w:tcPr>
          <w:p w14:paraId="2B19C54F"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6B3213F" w14:textId="77777777" w:rsidR="00000000" w:rsidRDefault="00C1661D">
            <w:pPr>
              <w:spacing w:after="100"/>
              <w:jc w:val="right"/>
              <w:rPr>
                <w:rFonts w:eastAsia="Times New Roman"/>
              </w:rPr>
            </w:pPr>
            <w:r>
              <w:rPr>
                <w:rFonts w:eastAsia="Times New Roman"/>
                <w:color w:val="000000"/>
                <w:sz w:val="16"/>
                <w:szCs w:val="16"/>
              </w:rPr>
              <w:t>170 </w:t>
            </w:r>
          </w:p>
        </w:tc>
        <w:tc>
          <w:tcPr>
            <w:tcW w:w="0" w:type="auto"/>
            <w:shd w:val="clear" w:color="auto" w:fill="CCEEFF"/>
            <w:tcMar>
              <w:top w:w="30" w:type="dxa"/>
              <w:left w:w="0" w:type="dxa"/>
              <w:bottom w:w="30" w:type="dxa"/>
              <w:right w:w="20" w:type="dxa"/>
            </w:tcMar>
            <w:vAlign w:val="bottom"/>
            <w:hideMark/>
          </w:tcPr>
          <w:p w14:paraId="710F348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5F9D59"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244C0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5867E25"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3A208B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361672"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0800D0"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613E689"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47FC75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106ACA"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1DDBB13"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25E8CC4" w14:textId="77777777" w:rsidR="00000000" w:rsidRDefault="00C1661D">
            <w:pPr>
              <w:spacing w:after="100"/>
              <w:jc w:val="right"/>
              <w:rPr>
                <w:rFonts w:eastAsia="Times New Roman"/>
              </w:rPr>
            </w:pPr>
            <w:r>
              <w:rPr>
                <w:rFonts w:eastAsia="Times New Roman"/>
                <w:color w:val="000000"/>
                <w:sz w:val="16"/>
                <w:szCs w:val="16"/>
              </w:rPr>
              <w:t>197 </w:t>
            </w:r>
          </w:p>
        </w:tc>
        <w:tc>
          <w:tcPr>
            <w:tcW w:w="0" w:type="auto"/>
            <w:shd w:val="clear" w:color="auto" w:fill="CCEEFF"/>
            <w:tcMar>
              <w:top w:w="30" w:type="dxa"/>
              <w:left w:w="0" w:type="dxa"/>
              <w:bottom w:w="30" w:type="dxa"/>
              <w:right w:w="20" w:type="dxa"/>
            </w:tcMar>
            <w:vAlign w:val="bottom"/>
            <w:hideMark/>
          </w:tcPr>
          <w:p w14:paraId="004AEBE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48FFAB"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853288"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CF07F2C"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14B86E3" w14:textId="77777777" w:rsidR="00000000" w:rsidRDefault="00C1661D">
            <w:pPr>
              <w:spacing w:after="100"/>
              <w:jc w:val="right"/>
              <w:rPr>
                <w:rFonts w:eastAsia="Times New Roman"/>
              </w:rPr>
            </w:pPr>
          </w:p>
        </w:tc>
      </w:tr>
      <w:tr w:rsidR="00C1661D" w14:paraId="576702B7" w14:textId="77777777">
        <w:trPr>
          <w:divId w:val="610673252"/>
        </w:trPr>
        <w:tc>
          <w:tcPr>
            <w:tcW w:w="0" w:type="auto"/>
            <w:gridSpan w:val="3"/>
            <w:shd w:val="clear" w:color="auto" w:fill="FFFFFF"/>
            <w:tcMar>
              <w:top w:w="30" w:type="dxa"/>
              <w:left w:w="155" w:type="dxa"/>
              <w:bottom w:w="30" w:type="dxa"/>
              <w:right w:w="20" w:type="dxa"/>
            </w:tcMar>
            <w:vAlign w:val="bottom"/>
            <w:hideMark/>
          </w:tcPr>
          <w:p w14:paraId="70503DE0" w14:textId="77777777" w:rsidR="00000000" w:rsidRDefault="00C1661D">
            <w:pPr>
              <w:spacing w:after="100"/>
              <w:rPr>
                <w:rFonts w:eastAsia="Times New Roman"/>
              </w:rPr>
            </w:pPr>
            <w:r>
              <w:rPr>
                <w:rFonts w:eastAsia="Times New Roman"/>
                <w:color w:val="000000"/>
                <w:sz w:val="16"/>
                <w:szCs w:val="16"/>
              </w:rPr>
              <w:t>Capital expenditures (including the effects of accruals)</w:t>
            </w:r>
          </w:p>
        </w:tc>
        <w:tc>
          <w:tcPr>
            <w:tcW w:w="0" w:type="auto"/>
            <w:shd w:val="clear" w:color="auto" w:fill="FFFFFF"/>
            <w:tcMar>
              <w:top w:w="30" w:type="dxa"/>
              <w:left w:w="20" w:type="dxa"/>
              <w:bottom w:w="30" w:type="dxa"/>
              <w:right w:w="0" w:type="dxa"/>
            </w:tcMar>
            <w:vAlign w:val="bottom"/>
            <w:hideMark/>
          </w:tcPr>
          <w:p w14:paraId="5162B602"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2ED397A" w14:textId="77777777" w:rsidR="00000000" w:rsidRDefault="00C1661D">
            <w:pPr>
              <w:spacing w:after="100"/>
              <w:jc w:val="right"/>
              <w:rPr>
                <w:rFonts w:eastAsia="Times New Roman"/>
              </w:rPr>
            </w:pPr>
            <w:r>
              <w:rPr>
                <w:rFonts w:eastAsia="Times New Roman"/>
                <w:color w:val="000000"/>
                <w:sz w:val="16"/>
                <w:szCs w:val="16"/>
              </w:rPr>
              <w:t>674 </w:t>
            </w:r>
          </w:p>
        </w:tc>
        <w:tc>
          <w:tcPr>
            <w:tcW w:w="0" w:type="auto"/>
            <w:shd w:val="clear" w:color="auto" w:fill="FFFFFF"/>
            <w:tcMar>
              <w:top w:w="30" w:type="dxa"/>
              <w:left w:w="0" w:type="dxa"/>
              <w:bottom w:w="30" w:type="dxa"/>
              <w:right w:w="20" w:type="dxa"/>
            </w:tcMar>
            <w:vAlign w:val="bottom"/>
            <w:hideMark/>
          </w:tcPr>
          <w:p w14:paraId="71C2D37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3837E7"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C57C80"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845FD55"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014A6FB"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356C3C0" w14:textId="77777777" w:rsidR="00000000" w:rsidRDefault="00C1661D">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14:paraId="02A06B0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F37A471" w14:textId="77777777" w:rsidR="00000000" w:rsidRDefault="00C1661D">
            <w:pPr>
              <w:spacing w:after="100"/>
              <w:jc w:val="right"/>
              <w:rPr>
                <w:rFonts w:eastAsia="Times New Roman"/>
              </w:rPr>
            </w:pPr>
            <w:r>
              <w:rPr>
                <w:rFonts w:eastAsia="Times New Roman"/>
                <w:color w:val="000000"/>
                <w:sz w:val="16"/>
                <w:szCs w:val="16"/>
              </w:rPr>
              <w:t>130 </w:t>
            </w:r>
          </w:p>
        </w:tc>
        <w:tc>
          <w:tcPr>
            <w:tcW w:w="0" w:type="auto"/>
            <w:shd w:val="clear" w:color="auto" w:fill="FFFFFF"/>
            <w:tcMar>
              <w:top w:w="30" w:type="dxa"/>
              <w:left w:w="0" w:type="dxa"/>
              <w:bottom w:w="30" w:type="dxa"/>
              <w:right w:w="20" w:type="dxa"/>
            </w:tcMar>
            <w:vAlign w:val="bottom"/>
            <w:hideMark/>
          </w:tcPr>
          <w:p w14:paraId="74AC714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25C54"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21CCA86"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5923F83" w14:textId="77777777" w:rsidR="00000000" w:rsidRDefault="00C1661D">
            <w:pPr>
              <w:spacing w:after="100"/>
              <w:jc w:val="right"/>
              <w:rPr>
                <w:rFonts w:eastAsia="Times New Roman"/>
              </w:rPr>
            </w:pPr>
            <w:r>
              <w:rPr>
                <w:rFonts w:eastAsia="Times New Roman"/>
                <w:color w:val="000000"/>
                <w:sz w:val="16"/>
                <w:szCs w:val="16"/>
              </w:rPr>
              <w:t>107 </w:t>
            </w:r>
          </w:p>
        </w:tc>
        <w:tc>
          <w:tcPr>
            <w:tcW w:w="0" w:type="auto"/>
            <w:shd w:val="clear" w:color="auto" w:fill="FFFFFF"/>
            <w:tcMar>
              <w:top w:w="30" w:type="dxa"/>
              <w:left w:w="0" w:type="dxa"/>
              <w:bottom w:w="30" w:type="dxa"/>
              <w:right w:w="20" w:type="dxa"/>
            </w:tcMar>
            <w:vAlign w:val="bottom"/>
            <w:hideMark/>
          </w:tcPr>
          <w:p w14:paraId="169B4D5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F3111E"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E4982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5AE9585" w14:textId="77777777" w:rsidR="00000000" w:rsidRDefault="00C1661D">
            <w:pPr>
              <w:spacing w:after="100"/>
              <w:jc w:val="right"/>
              <w:rPr>
                <w:rFonts w:eastAsia="Times New Roman"/>
              </w:rPr>
            </w:pPr>
            <w:r>
              <w:rPr>
                <w:rFonts w:eastAsia="Times New Roman"/>
                <w:color w:val="000000"/>
                <w:sz w:val="16"/>
                <w:szCs w:val="16"/>
              </w:rPr>
              <w:t>43 </w:t>
            </w:r>
          </w:p>
        </w:tc>
        <w:tc>
          <w:tcPr>
            <w:tcW w:w="0" w:type="auto"/>
            <w:shd w:val="clear" w:color="auto" w:fill="FFFFFF"/>
            <w:tcMar>
              <w:top w:w="30" w:type="dxa"/>
              <w:left w:w="0" w:type="dxa"/>
              <w:bottom w:w="30" w:type="dxa"/>
              <w:right w:w="20" w:type="dxa"/>
            </w:tcMar>
            <w:vAlign w:val="bottom"/>
            <w:hideMark/>
          </w:tcPr>
          <w:p w14:paraId="05AAD86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3B922D"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637DC6"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1DCDBF7" w14:textId="77777777" w:rsidR="00000000" w:rsidRDefault="00C1661D">
            <w:pPr>
              <w:spacing w:after="100"/>
              <w:jc w:val="right"/>
              <w:rPr>
                <w:rFonts w:eastAsia="Times New Roman"/>
              </w:rPr>
            </w:pPr>
            <w:r>
              <w:rPr>
                <w:rFonts w:eastAsia="Times New Roman"/>
                <w:color w:val="000000"/>
                <w:sz w:val="16"/>
                <w:szCs w:val="16"/>
              </w:rPr>
              <w:t>394 </w:t>
            </w:r>
          </w:p>
        </w:tc>
        <w:tc>
          <w:tcPr>
            <w:tcW w:w="0" w:type="auto"/>
            <w:shd w:val="clear" w:color="auto" w:fill="FFFFFF"/>
            <w:tcMar>
              <w:top w:w="30" w:type="dxa"/>
              <w:left w:w="0" w:type="dxa"/>
              <w:bottom w:w="30" w:type="dxa"/>
              <w:right w:w="20" w:type="dxa"/>
            </w:tcMar>
            <w:vAlign w:val="bottom"/>
            <w:hideMark/>
          </w:tcPr>
          <w:p w14:paraId="30EF4DB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84A3FE"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942A8D"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D3156E9"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8E013DE" w14:textId="77777777" w:rsidR="00000000" w:rsidRDefault="00C1661D">
            <w:pPr>
              <w:spacing w:after="100"/>
              <w:jc w:val="right"/>
              <w:rPr>
                <w:rFonts w:eastAsia="Times New Roman"/>
              </w:rPr>
            </w:pPr>
          </w:p>
        </w:tc>
      </w:tr>
      <w:tr w:rsidR="00C1661D" w14:paraId="7C734C26" w14:textId="77777777">
        <w:trPr>
          <w:divId w:val="610673252"/>
        </w:trPr>
        <w:tc>
          <w:tcPr>
            <w:tcW w:w="0" w:type="auto"/>
            <w:gridSpan w:val="3"/>
            <w:shd w:val="clear" w:color="auto" w:fill="CCEEFF"/>
            <w:tcMar>
              <w:top w:w="30" w:type="dxa"/>
              <w:left w:w="155" w:type="dxa"/>
              <w:bottom w:w="30" w:type="dxa"/>
              <w:right w:w="20" w:type="dxa"/>
            </w:tcMar>
            <w:vAlign w:val="bottom"/>
            <w:hideMark/>
          </w:tcPr>
          <w:p w14:paraId="25E002DE" w14:textId="77777777" w:rsidR="00000000" w:rsidRDefault="00C1661D">
            <w:pPr>
              <w:spacing w:after="100"/>
              <w:rPr>
                <w:rFonts w:eastAsia="Times New Roman"/>
              </w:rPr>
            </w:pPr>
            <w:r>
              <w:rPr>
                <w:rFonts w:eastAsia="Times New Roman"/>
                <w:color w:val="000000"/>
                <w:sz w:val="16"/>
                <w:szCs w:val="16"/>
              </w:rPr>
              <w:t>Investments in equity investees</w:t>
            </w:r>
          </w:p>
        </w:tc>
        <w:tc>
          <w:tcPr>
            <w:tcW w:w="0" w:type="auto"/>
            <w:shd w:val="clear" w:color="auto" w:fill="CCEEFF"/>
            <w:tcMar>
              <w:top w:w="30" w:type="dxa"/>
              <w:left w:w="20" w:type="dxa"/>
              <w:bottom w:w="30" w:type="dxa"/>
              <w:right w:w="0" w:type="dxa"/>
            </w:tcMar>
            <w:vAlign w:val="bottom"/>
            <w:hideMark/>
          </w:tcPr>
          <w:p w14:paraId="1DDAD711"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F796789" w14:textId="77777777" w:rsidR="00000000" w:rsidRDefault="00C1661D">
            <w:pPr>
              <w:spacing w:after="100"/>
              <w:jc w:val="right"/>
              <w:rPr>
                <w:rFonts w:eastAsia="Times New Roman"/>
              </w:rPr>
            </w:pPr>
            <w:r>
              <w:rPr>
                <w:rFonts w:eastAsia="Times New Roman"/>
                <w:color w:val="000000"/>
                <w:sz w:val="16"/>
                <w:szCs w:val="16"/>
              </w:rPr>
              <w:t>174 </w:t>
            </w:r>
          </w:p>
        </w:tc>
        <w:tc>
          <w:tcPr>
            <w:tcW w:w="0" w:type="auto"/>
            <w:shd w:val="clear" w:color="auto" w:fill="CCEEFF"/>
            <w:tcMar>
              <w:top w:w="30" w:type="dxa"/>
              <w:left w:w="0" w:type="dxa"/>
              <w:bottom w:w="30" w:type="dxa"/>
              <w:right w:w="20" w:type="dxa"/>
            </w:tcMar>
            <w:vAlign w:val="bottom"/>
            <w:hideMark/>
          </w:tcPr>
          <w:p w14:paraId="1F85F41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F22A56"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4F1B7B"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6DE097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F1CD9AA"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0D72FA3" w14:textId="77777777" w:rsidR="00000000" w:rsidRDefault="00C1661D">
            <w:pPr>
              <w:spacing w:after="100"/>
              <w:rPr>
                <w:rFonts w:eastAsia="Times New Roman"/>
              </w:rPr>
            </w:pPr>
            <w:r>
              <w:rPr>
                <w:rFonts w:eastAsia="Times New Roman"/>
                <w:color w:val="000000"/>
                <w:sz w:val="16"/>
                <w:szCs w:val="16"/>
              </w:rPr>
              <w:t> </w:t>
            </w:r>
          </w:p>
        </w:tc>
        <w:tc>
          <w:tcPr>
            <w:tcW w:w="0" w:type="auto"/>
            <w:shd w:val="clear" w:color="auto" w:fill="CCEEFF"/>
            <w:tcMar>
              <w:top w:w="30" w:type="dxa"/>
              <w:left w:w="20" w:type="dxa"/>
              <w:bottom w:w="30" w:type="dxa"/>
              <w:right w:w="0" w:type="dxa"/>
            </w:tcMar>
            <w:vAlign w:val="bottom"/>
            <w:hideMark/>
          </w:tcPr>
          <w:p w14:paraId="0A4B7B1A"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CBE43BB"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A3901A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01174A"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E777E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6F0BDA7" w14:textId="77777777" w:rsidR="00000000" w:rsidRDefault="00C1661D">
            <w:pPr>
              <w:spacing w:after="100"/>
              <w:jc w:val="right"/>
              <w:rPr>
                <w:rFonts w:eastAsia="Times New Roman"/>
              </w:rPr>
            </w:pPr>
            <w:r>
              <w:rPr>
                <w:rFonts w:eastAsia="Times New Roman"/>
                <w:color w:val="000000"/>
                <w:sz w:val="16"/>
                <w:szCs w:val="16"/>
              </w:rPr>
              <w:t>11 </w:t>
            </w:r>
          </w:p>
        </w:tc>
        <w:tc>
          <w:tcPr>
            <w:tcW w:w="0" w:type="auto"/>
            <w:shd w:val="clear" w:color="auto" w:fill="CCEEFF"/>
            <w:tcMar>
              <w:top w:w="30" w:type="dxa"/>
              <w:left w:w="0" w:type="dxa"/>
              <w:bottom w:w="30" w:type="dxa"/>
              <w:right w:w="20" w:type="dxa"/>
            </w:tcMar>
            <w:vAlign w:val="bottom"/>
            <w:hideMark/>
          </w:tcPr>
          <w:p w14:paraId="4CA8817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7C7FBC"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E3D3BA4"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E25F599" w14:textId="77777777" w:rsidR="00000000" w:rsidRDefault="00C1661D">
            <w:pPr>
              <w:spacing w:after="100"/>
              <w:jc w:val="right"/>
              <w:rPr>
                <w:rFonts w:eastAsia="Times New Roman"/>
              </w:rPr>
            </w:pPr>
            <w:r>
              <w:rPr>
                <w:rFonts w:eastAsia="Times New Roman"/>
                <w:color w:val="000000"/>
                <w:sz w:val="16"/>
                <w:szCs w:val="16"/>
              </w:rPr>
              <w:t>163 </w:t>
            </w:r>
          </w:p>
        </w:tc>
        <w:tc>
          <w:tcPr>
            <w:tcW w:w="0" w:type="auto"/>
            <w:shd w:val="clear" w:color="auto" w:fill="CCEEFF"/>
            <w:tcMar>
              <w:top w:w="30" w:type="dxa"/>
              <w:left w:w="0" w:type="dxa"/>
              <w:bottom w:w="30" w:type="dxa"/>
              <w:right w:w="20" w:type="dxa"/>
            </w:tcMar>
            <w:vAlign w:val="bottom"/>
            <w:hideMark/>
          </w:tcPr>
          <w:p w14:paraId="614B9B2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8C7705"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BECFB6"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A334B3D"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CDA3FF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D5F57F"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37FD81"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104F4CA"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62FA254" w14:textId="77777777" w:rsidR="00000000" w:rsidRDefault="00C1661D">
            <w:pPr>
              <w:spacing w:after="100"/>
              <w:jc w:val="right"/>
              <w:rPr>
                <w:rFonts w:eastAsia="Times New Roman"/>
              </w:rPr>
            </w:pPr>
          </w:p>
        </w:tc>
      </w:tr>
      <w:tr w:rsidR="00000000" w14:paraId="11BBE074" w14:textId="77777777">
        <w:trPr>
          <w:divId w:val="610673252"/>
        </w:trPr>
        <w:tc>
          <w:tcPr>
            <w:tcW w:w="0" w:type="auto"/>
            <w:gridSpan w:val="3"/>
            <w:vAlign w:val="center"/>
            <w:hideMark/>
          </w:tcPr>
          <w:p w14:paraId="6E3D53A0" w14:textId="77777777" w:rsidR="00000000" w:rsidRDefault="00C1661D">
            <w:pPr>
              <w:spacing w:after="100"/>
              <w:jc w:val="right"/>
              <w:rPr>
                <w:rFonts w:eastAsia="Times New Roman"/>
                <w:sz w:val="20"/>
                <w:szCs w:val="20"/>
              </w:rPr>
            </w:pPr>
          </w:p>
        </w:tc>
        <w:tc>
          <w:tcPr>
            <w:tcW w:w="0" w:type="auto"/>
            <w:gridSpan w:val="3"/>
            <w:vAlign w:val="center"/>
            <w:hideMark/>
          </w:tcPr>
          <w:p w14:paraId="41BE0AD9" w14:textId="77777777" w:rsidR="00000000" w:rsidRDefault="00C1661D">
            <w:pPr>
              <w:spacing w:after="100"/>
              <w:rPr>
                <w:rFonts w:eastAsia="Times New Roman"/>
                <w:sz w:val="20"/>
                <w:szCs w:val="20"/>
              </w:rPr>
            </w:pPr>
          </w:p>
        </w:tc>
        <w:tc>
          <w:tcPr>
            <w:tcW w:w="0" w:type="auto"/>
            <w:gridSpan w:val="3"/>
            <w:vAlign w:val="center"/>
            <w:hideMark/>
          </w:tcPr>
          <w:p w14:paraId="32B30C10" w14:textId="77777777" w:rsidR="00000000" w:rsidRDefault="00C1661D">
            <w:pPr>
              <w:spacing w:after="100"/>
              <w:rPr>
                <w:rFonts w:eastAsia="Times New Roman"/>
                <w:sz w:val="20"/>
                <w:szCs w:val="20"/>
              </w:rPr>
            </w:pPr>
          </w:p>
        </w:tc>
        <w:tc>
          <w:tcPr>
            <w:tcW w:w="0" w:type="auto"/>
            <w:gridSpan w:val="3"/>
            <w:vAlign w:val="center"/>
            <w:hideMark/>
          </w:tcPr>
          <w:p w14:paraId="19E28480" w14:textId="77777777" w:rsidR="00000000" w:rsidRDefault="00C1661D">
            <w:pPr>
              <w:spacing w:after="100"/>
              <w:rPr>
                <w:rFonts w:eastAsia="Times New Roman"/>
                <w:sz w:val="20"/>
                <w:szCs w:val="20"/>
              </w:rPr>
            </w:pPr>
          </w:p>
        </w:tc>
        <w:tc>
          <w:tcPr>
            <w:tcW w:w="0" w:type="auto"/>
            <w:gridSpan w:val="3"/>
            <w:vAlign w:val="center"/>
            <w:hideMark/>
          </w:tcPr>
          <w:p w14:paraId="2201EF4E" w14:textId="77777777" w:rsidR="00000000" w:rsidRDefault="00C1661D">
            <w:pPr>
              <w:spacing w:after="100"/>
              <w:rPr>
                <w:rFonts w:eastAsia="Times New Roman"/>
                <w:sz w:val="20"/>
                <w:szCs w:val="20"/>
              </w:rPr>
            </w:pPr>
          </w:p>
        </w:tc>
        <w:tc>
          <w:tcPr>
            <w:tcW w:w="0" w:type="auto"/>
            <w:gridSpan w:val="3"/>
            <w:vAlign w:val="center"/>
            <w:hideMark/>
          </w:tcPr>
          <w:p w14:paraId="3F463DC8" w14:textId="77777777" w:rsidR="00000000" w:rsidRDefault="00C1661D">
            <w:pPr>
              <w:spacing w:after="100"/>
              <w:rPr>
                <w:rFonts w:eastAsia="Times New Roman"/>
                <w:sz w:val="20"/>
                <w:szCs w:val="20"/>
              </w:rPr>
            </w:pPr>
          </w:p>
        </w:tc>
        <w:tc>
          <w:tcPr>
            <w:tcW w:w="0" w:type="auto"/>
            <w:gridSpan w:val="3"/>
            <w:vAlign w:val="center"/>
            <w:hideMark/>
          </w:tcPr>
          <w:p w14:paraId="04BCEF36" w14:textId="77777777" w:rsidR="00000000" w:rsidRDefault="00C1661D">
            <w:pPr>
              <w:spacing w:after="100"/>
              <w:rPr>
                <w:rFonts w:eastAsia="Times New Roman"/>
                <w:sz w:val="20"/>
                <w:szCs w:val="20"/>
              </w:rPr>
            </w:pPr>
          </w:p>
        </w:tc>
        <w:tc>
          <w:tcPr>
            <w:tcW w:w="0" w:type="auto"/>
            <w:gridSpan w:val="3"/>
            <w:vAlign w:val="center"/>
            <w:hideMark/>
          </w:tcPr>
          <w:p w14:paraId="5F319E04" w14:textId="77777777" w:rsidR="00000000" w:rsidRDefault="00C1661D">
            <w:pPr>
              <w:spacing w:after="100"/>
              <w:rPr>
                <w:rFonts w:eastAsia="Times New Roman"/>
                <w:sz w:val="20"/>
                <w:szCs w:val="20"/>
              </w:rPr>
            </w:pPr>
          </w:p>
        </w:tc>
        <w:tc>
          <w:tcPr>
            <w:tcW w:w="0" w:type="auto"/>
            <w:gridSpan w:val="3"/>
            <w:vAlign w:val="center"/>
            <w:hideMark/>
          </w:tcPr>
          <w:p w14:paraId="0D87F086" w14:textId="77777777" w:rsidR="00000000" w:rsidRDefault="00C1661D">
            <w:pPr>
              <w:spacing w:after="100"/>
              <w:rPr>
                <w:rFonts w:eastAsia="Times New Roman"/>
                <w:sz w:val="20"/>
                <w:szCs w:val="20"/>
              </w:rPr>
            </w:pPr>
          </w:p>
        </w:tc>
        <w:tc>
          <w:tcPr>
            <w:tcW w:w="0" w:type="auto"/>
            <w:gridSpan w:val="3"/>
            <w:vAlign w:val="center"/>
            <w:hideMark/>
          </w:tcPr>
          <w:p w14:paraId="3322FBD4" w14:textId="77777777" w:rsidR="00000000" w:rsidRDefault="00C1661D">
            <w:pPr>
              <w:spacing w:after="100"/>
              <w:rPr>
                <w:rFonts w:eastAsia="Times New Roman"/>
                <w:sz w:val="20"/>
                <w:szCs w:val="20"/>
              </w:rPr>
            </w:pPr>
          </w:p>
        </w:tc>
        <w:tc>
          <w:tcPr>
            <w:tcW w:w="0" w:type="auto"/>
            <w:gridSpan w:val="3"/>
            <w:vAlign w:val="center"/>
            <w:hideMark/>
          </w:tcPr>
          <w:p w14:paraId="6023C1DD" w14:textId="77777777" w:rsidR="00000000" w:rsidRDefault="00C1661D">
            <w:pPr>
              <w:spacing w:after="100"/>
              <w:rPr>
                <w:rFonts w:eastAsia="Times New Roman"/>
                <w:sz w:val="20"/>
                <w:szCs w:val="20"/>
              </w:rPr>
            </w:pPr>
          </w:p>
        </w:tc>
        <w:tc>
          <w:tcPr>
            <w:tcW w:w="0" w:type="auto"/>
            <w:gridSpan w:val="3"/>
            <w:vAlign w:val="center"/>
            <w:hideMark/>
          </w:tcPr>
          <w:p w14:paraId="56D130EC" w14:textId="77777777" w:rsidR="00000000" w:rsidRDefault="00C1661D">
            <w:pPr>
              <w:spacing w:after="100"/>
              <w:rPr>
                <w:rFonts w:eastAsia="Times New Roman"/>
                <w:sz w:val="20"/>
                <w:szCs w:val="20"/>
              </w:rPr>
            </w:pPr>
          </w:p>
        </w:tc>
        <w:tc>
          <w:tcPr>
            <w:tcW w:w="0" w:type="auto"/>
            <w:gridSpan w:val="3"/>
            <w:vAlign w:val="center"/>
            <w:hideMark/>
          </w:tcPr>
          <w:p w14:paraId="324EAE51" w14:textId="77777777" w:rsidR="00000000" w:rsidRDefault="00C1661D">
            <w:pPr>
              <w:spacing w:after="100"/>
              <w:rPr>
                <w:rFonts w:eastAsia="Times New Roman"/>
                <w:sz w:val="20"/>
                <w:szCs w:val="20"/>
              </w:rPr>
            </w:pPr>
          </w:p>
        </w:tc>
        <w:tc>
          <w:tcPr>
            <w:tcW w:w="0" w:type="auto"/>
            <w:gridSpan w:val="3"/>
            <w:vAlign w:val="center"/>
            <w:hideMark/>
          </w:tcPr>
          <w:p w14:paraId="0F823870" w14:textId="77777777" w:rsidR="00000000" w:rsidRDefault="00C1661D">
            <w:pPr>
              <w:spacing w:after="100"/>
              <w:rPr>
                <w:rFonts w:eastAsia="Times New Roman"/>
                <w:sz w:val="20"/>
                <w:szCs w:val="20"/>
              </w:rPr>
            </w:pPr>
          </w:p>
        </w:tc>
      </w:tr>
      <w:tr w:rsidR="00000000" w14:paraId="13DF7C00" w14:textId="77777777">
        <w:trPr>
          <w:divId w:val="610673252"/>
          <w:trHeight w:val="240"/>
        </w:trPr>
        <w:tc>
          <w:tcPr>
            <w:tcW w:w="0" w:type="auto"/>
            <w:gridSpan w:val="3"/>
            <w:tcMar>
              <w:top w:w="0" w:type="dxa"/>
              <w:left w:w="20" w:type="dxa"/>
              <w:bottom w:w="0" w:type="dxa"/>
              <w:right w:w="20" w:type="dxa"/>
            </w:tcMar>
            <w:vAlign w:val="center"/>
            <w:hideMark/>
          </w:tcPr>
          <w:p w14:paraId="6F9E8BB8"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62F9EC"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1A91BF"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56435F"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637E6F"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F649F5"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80097B"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F8867B"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4BEB81"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96B75C"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053C3B"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E48E48"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333ABF"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617C05" w14:textId="77777777" w:rsidR="00000000" w:rsidRDefault="00C1661D">
            <w:pPr>
              <w:spacing w:after="100"/>
              <w:rPr>
                <w:rFonts w:eastAsia="Times New Roman"/>
                <w:sz w:val="20"/>
                <w:szCs w:val="20"/>
              </w:rPr>
            </w:pPr>
          </w:p>
        </w:tc>
      </w:tr>
      <w:tr w:rsidR="00000000" w14:paraId="53ED1734" w14:textId="77777777">
        <w:trPr>
          <w:divId w:val="610673252"/>
        </w:trPr>
        <w:tc>
          <w:tcPr>
            <w:tcW w:w="0" w:type="auto"/>
            <w:gridSpan w:val="3"/>
            <w:tcMar>
              <w:top w:w="30" w:type="dxa"/>
              <w:left w:w="20" w:type="dxa"/>
              <w:bottom w:w="30" w:type="dxa"/>
              <w:right w:w="20" w:type="dxa"/>
            </w:tcMar>
            <w:vAlign w:val="bottom"/>
            <w:hideMark/>
          </w:tcPr>
          <w:p w14:paraId="7FA4B79B" w14:textId="77777777" w:rsidR="00000000" w:rsidRDefault="00C1661D">
            <w:pPr>
              <w:spacing w:after="100"/>
              <w:rPr>
                <w:rFonts w:eastAsia="Times New Roman"/>
              </w:rPr>
            </w:pPr>
            <w:r>
              <w:rPr>
                <w:rFonts w:eastAsia="Times New Roman"/>
                <w:color w:val="000000"/>
                <w:sz w:val="16"/>
                <w:szCs w:val="16"/>
              </w:rPr>
              <w:t>2020</w:t>
            </w:r>
          </w:p>
        </w:tc>
        <w:tc>
          <w:tcPr>
            <w:tcW w:w="0" w:type="auto"/>
            <w:gridSpan w:val="3"/>
            <w:tcMar>
              <w:top w:w="30" w:type="dxa"/>
              <w:left w:w="20" w:type="dxa"/>
              <w:bottom w:w="30" w:type="dxa"/>
              <w:right w:w="20" w:type="dxa"/>
            </w:tcMar>
            <w:vAlign w:val="bottom"/>
            <w:hideMark/>
          </w:tcPr>
          <w:p w14:paraId="6D24B612" w14:textId="77777777" w:rsidR="00000000" w:rsidRDefault="00C1661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469C368"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587A31CA" w14:textId="77777777" w:rsidR="00000000" w:rsidRDefault="00C1661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62D4F762" w14:textId="77777777" w:rsidR="00000000" w:rsidRDefault="00C1661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F23651D" w14:textId="77777777" w:rsidR="00000000" w:rsidRDefault="00C1661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BEABC57"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67480EEC" w14:textId="77777777" w:rsidR="00000000" w:rsidRDefault="00C1661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2717236"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653772D5" w14:textId="77777777" w:rsidR="00000000" w:rsidRDefault="00C1661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B3D40D4"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17ECCAA0" w14:textId="77777777" w:rsidR="00000000" w:rsidRDefault="00C1661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2262C25" w14:textId="77777777" w:rsidR="00000000" w:rsidRDefault="00C1661D">
            <w:pPr>
              <w:spacing w:after="100"/>
              <w:rPr>
                <w:rFonts w:eastAsia="Times New Roman"/>
              </w:rPr>
            </w:pPr>
          </w:p>
        </w:tc>
        <w:tc>
          <w:tcPr>
            <w:tcW w:w="0" w:type="auto"/>
            <w:gridSpan w:val="3"/>
            <w:tcMar>
              <w:top w:w="30" w:type="dxa"/>
              <w:left w:w="20" w:type="dxa"/>
              <w:bottom w:w="30" w:type="dxa"/>
              <w:right w:w="20" w:type="dxa"/>
            </w:tcMar>
            <w:vAlign w:val="bottom"/>
            <w:hideMark/>
          </w:tcPr>
          <w:p w14:paraId="3D788758" w14:textId="77777777" w:rsidR="00000000" w:rsidRDefault="00C1661D">
            <w:pPr>
              <w:spacing w:after="100"/>
              <w:rPr>
                <w:rFonts w:eastAsia="Times New Roman"/>
              </w:rPr>
            </w:pPr>
            <w:r>
              <w:rPr>
                <w:rFonts w:eastAsia="Times New Roman"/>
                <w:color w:val="000000"/>
                <w:sz w:val="16"/>
                <w:szCs w:val="16"/>
              </w:rPr>
              <w:t> </w:t>
            </w:r>
          </w:p>
        </w:tc>
      </w:tr>
      <w:tr w:rsidR="00C1661D" w14:paraId="223177E3" w14:textId="77777777">
        <w:trPr>
          <w:divId w:val="610673252"/>
        </w:trPr>
        <w:tc>
          <w:tcPr>
            <w:tcW w:w="0" w:type="auto"/>
            <w:gridSpan w:val="3"/>
            <w:shd w:val="clear" w:color="auto" w:fill="CCEEFF"/>
            <w:tcMar>
              <w:top w:w="30" w:type="dxa"/>
              <w:left w:w="155" w:type="dxa"/>
              <w:bottom w:w="30" w:type="dxa"/>
              <w:right w:w="20" w:type="dxa"/>
            </w:tcMar>
            <w:vAlign w:val="bottom"/>
            <w:hideMark/>
          </w:tcPr>
          <w:p w14:paraId="49A016BB" w14:textId="77777777" w:rsidR="00000000" w:rsidRDefault="00C1661D">
            <w:pPr>
              <w:spacing w:after="100"/>
              <w:rPr>
                <w:rFonts w:eastAsia="Times New Roman"/>
              </w:rPr>
            </w:pPr>
            <w:r>
              <w:rPr>
                <w:rFonts w:eastAsia="Times New Roman"/>
                <w:color w:val="000000"/>
                <w:sz w:val="16"/>
                <w:szCs w:val="16"/>
              </w:rPr>
              <w:t>Revenues from external customers</w:t>
            </w:r>
          </w:p>
        </w:tc>
        <w:tc>
          <w:tcPr>
            <w:tcW w:w="0" w:type="auto"/>
            <w:shd w:val="clear" w:color="auto" w:fill="CCEEFF"/>
            <w:tcMar>
              <w:top w:w="30" w:type="dxa"/>
              <w:left w:w="20" w:type="dxa"/>
              <w:bottom w:w="30" w:type="dxa"/>
              <w:right w:w="0" w:type="dxa"/>
            </w:tcMar>
            <w:vAlign w:val="bottom"/>
            <w:hideMark/>
          </w:tcPr>
          <w:p w14:paraId="1D94F2E8"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6376221" w14:textId="77777777" w:rsidR="00000000" w:rsidRDefault="00C1661D">
            <w:pPr>
              <w:spacing w:after="100"/>
              <w:jc w:val="right"/>
              <w:rPr>
                <w:rFonts w:eastAsia="Times New Roman"/>
              </w:rPr>
            </w:pPr>
            <w:r>
              <w:rPr>
                <w:rFonts w:eastAsia="Times New Roman"/>
                <w:color w:val="000000"/>
                <w:sz w:val="16"/>
                <w:szCs w:val="16"/>
              </w:rPr>
              <w:t>6,559 </w:t>
            </w:r>
          </w:p>
        </w:tc>
        <w:tc>
          <w:tcPr>
            <w:tcW w:w="0" w:type="auto"/>
            <w:shd w:val="clear" w:color="auto" w:fill="CCEEFF"/>
            <w:tcMar>
              <w:top w:w="30" w:type="dxa"/>
              <w:left w:w="0" w:type="dxa"/>
              <w:bottom w:w="30" w:type="dxa"/>
              <w:right w:w="20" w:type="dxa"/>
            </w:tcMar>
            <w:vAlign w:val="bottom"/>
            <w:hideMark/>
          </w:tcPr>
          <w:p w14:paraId="45BC808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9A99B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5082547"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48ACAF7"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B994C1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08A01D"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F3543F"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DF3DB4F" w14:textId="77777777" w:rsidR="00000000" w:rsidRDefault="00C1661D">
            <w:pPr>
              <w:spacing w:after="100"/>
              <w:jc w:val="right"/>
              <w:rPr>
                <w:rFonts w:eastAsia="Times New Roman"/>
              </w:rPr>
            </w:pPr>
            <w:r>
              <w:rPr>
                <w:rFonts w:eastAsia="Times New Roman"/>
                <w:color w:val="000000"/>
                <w:sz w:val="16"/>
                <w:szCs w:val="16"/>
              </w:rPr>
              <w:t>2,381 </w:t>
            </w:r>
          </w:p>
        </w:tc>
        <w:tc>
          <w:tcPr>
            <w:tcW w:w="0" w:type="auto"/>
            <w:shd w:val="clear" w:color="auto" w:fill="CCEEFF"/>
            <w:tcMar>
              <w:top w:w="30" w:type="dxa"/>
              <w:left w:w="0" w:type="dxa"/>
              <w:bottom w:w="30" w:type="dxa"/>
              <w:right w:w="20" w:type="dxa"/>
            </w:tcMar>
            <w:vAlign w:val="bottom"/>
            <w:hideMark/>
          </w:tcPr>
          <w:p w14:paraId="0F31718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DCACB1"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D9F70B"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6E71478" w14:textId="77777777" w:rsidR="00000000" w:rsidRDefault="00C1661D">
            <w:pPr>
              <w:spacing w:after="100"/>
              <w:jc w:val="right"/>
              <w:rPr>
                <w:rFonts w:eastAsia="Times New Roman"/>
              </w:rPr>
            </w:pPr>
            <w:r>
              <w:rPr>
                <w:rFonts w:eastAsia="Times New Roman"/>
                <w:color w:val="000000"/>
                <w:sz w:val="16"/>
                <w:szCs w:val="16"/>
              </w:rPr>
              <w:t>2,127 </w:t>
            </w:r>
          </w:p>
        </w:tc>
        <w:tc>
          <w:tcPr>
            <w:tcW w:w="0" w:type="auto"/>
            <w:shd w:val="clear" w:color="auto" w:fill="CCEEFF"/>
            <w:tcMar>
              <w:top w:w="30" w:type="dxa"/>
              <w:left w:w="0" w:type="dxa"/>
              <w:bottom w:w="30" w:type="dxa"/>
              <w:right w:w="20" w:type="dxa"/>
            </w:tcMar>
            <w:vAlign w:val="bottom"/>
            <w:hideMark/>
          </w:tcPr>
          <w:p w14:paraId="4A0937A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A7F4E0"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6A29F6"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FD8B47C" w14:textId="77777777" w:rsidR="00000000" w:rsidRDefault="00C1661D">
            <w:pPr>
              <w:spacing w:after="100"/>
              <w:jc w:val="right"/>
              <w:rPr>
                <w:rFonts w:eastAsia="Times New Roman"/>
              </w:rPr>
            </w:pPr>
            <w:r>
              <w:rPr>
                <w:rFonts w:eastAsia="Times New Roman"/>
                <w:color w:val="000000"/>
                <w:sz w:val="16"/>
                <w:szCs w:val="16"/>
              </w:rPr>
              <w:t>1,065 </w:t>
            </w:r>
          </w:p>
        </w:tc>
        <w:tc>
          <w:tcPr>
            <w:tcW w:w="0" w:type="auto"/>
            <w:shd w:val="clear" w:color="auto" w:fill="CCEEFF"/>
            <w:tcMar>
              <w:top w:w="30" w:type="dxa"/>
              <w:left w:w="0" w:type="dxa"/>
              <w:bottom w:w="30" w:type="dxa"/>
              <w:right w:w="20" w:type="dxa"/>
            </w:tcMar>
            <w:vAlign w:val="bottom"/>
            <w:hideMark/>
          </w:tcPr>
          <w:p w14:paraId="7790C51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E637F0"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5FC9C60"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707CC77" w14:textId="77777777" w:rsidR="00000000" w:rsidRDefault="00C1661D">
            <w:pPr>
              <w:spacing w:after="100"/>
              <w:jc w:val="right"/>
              <w:rPr>
                <w:rFonts w:eastAsia="Times New Roman"/>
              </w:rPr>
            </w:pPr>
            <w:r>
              <w:rPr>
                <w:rFonts w:eastAsia="Times New Roman"/>
                <w:color w:val="000000"/>
                <w:sz w:val="16"/>
                <w:szCs w:val="16"/>
              </w:rPr>
              <w:t>983 </w:t>
            </w:r>
          </w:p>
        </w:tc>
        <w:tc>
          <w:tcPr>
            <w:tcW w:w="0" w:type="auto"/>
            <w:shd w:val="clear" w:color="auto" w:fill="CCEEFF"/>
            <w:tcMar>
              <w:top w:w="30" w:type="dxa"/>
              <w:left w:w="0" w:type="dxa"/>
              <w:bottom w:w="30" w:type="dxa"/>
              <w:right w:w="20" w:type="dxa"/>
            </w:tcMar>
            <w:vAlign w:val="bottom"/>
            <w:hideMark/>
          </w:tcPr>
          <w:p w14:paraId="313BD6E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B06EC7"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96A2B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3EDC2FD" w14:textId="77777777" w:rsidR="00000000" w:rsidRDefault="00C1661D">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14:paraId="135E42B3" w14:textId="77777777" w:rsidR="00000000" w:rsidRDefault="00C1661D">
            <w:pPr>
              <w:spacing w:after="100"/>
              <w:jc w:val="right"/>
              <w:rPr>
                <w:rFonts w:eastAsia="Times New Roman"/>
              </w:rPr>
            </w:pPr>
          </w:p>
        </w:tc>
      </w:tr>
      <w:tr w:rsidR="00C1661D" w14:paraId="18AD18CB" w14:textId="77777777">
        <w:trPr>
          <w:divId w:val="610673252"/>
        </w:trPr>
        <w:tc>
          <w:tcPr>
            <w:tcW w:w="0" w:type="auto"/>
            <w:gridSpan w:val="3"/>
            <w:shd w:val="clear" w:color="auto" w:fill="FFFFFF"/>
            <w:tcMar>
              <w:top w:w="30" w:type="dxa"/>
              <w:left w:w="155" w:type="dxa"/>
              <w:bottom w:w="30" w:type="dxa"/>
              <w:right w:w="20" w:type="dxa"/>
            </w:tcMar>
            <w:vAlign w:val="bottom"/>
            <w:hideMark/>
          </w:tcPr>
          <w:p w14:paraId="5ED11568" w14:textId="77777777" w:rsidR="00000000" w:rsidRDefault="00C1661D">
            <w:pPr>
              <w:spacing w:after="100"/>
              <w:rPr>
                <w:rFonts w:eastAsia="Times New Roman"/>
              </w:rPr>
            </w:pPr>
            <w:r>
              <w:rPr>
                <w:rFonts w:eastAsia="Times New Roman"/>
                <w:color w:val="000000"/>
                <w:sz w:val="16"/>
                <w:szCs w:val="16"/>
              </w:rPr>
              <w:t>Intersegment revenues</w:t>
            </w:r>
          </w:p>
        </w:tc>
        <w:tc>
          <w:tcPr>
            <w:tcW w:w="0" w:type="auto"/>
            <w:shd w:val="clear" w:color="auto" w:fill="FFFFFF"/>
            <w:tcMar>
              <w:top w:w="30" w:type="dxa"/>
              <w:left w:w="20" w:type="dxa"/>
              <w:bottom w:w="30" w:type="dxa"/>
              <w:right w:w="0" w:type="dxa"/>
            </w:tcMar>
            <w:vAlign w:val="bottom"/>
            <w:hideMark/>
          </w:tcPr>
          <w:p w14:paraId="162F1DB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8947ECE"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3D15F9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4C9A30"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FC41314"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01CD8FC" w14:textId="77777777" w:rsidR="00000000" w:rsidRDefault="00C1661D">
            <w:pPr>
              <w:spacing w:after="100"/>
              <w:jc w:val="right"/>
              <w:rPr>
                <w:rFonts w:eastAsia="Times New Roman"/>
              </w:rPr>
            </w:pPr>
            <w:r>
              <w:rPr>
                <w:rFonts w:eastAsia="Times New Roman"/>
                <w:color w:val="000000"/>
                <w:sz w:val="16"/>
                <w:szCs w:val="16"/>
              </w:rPr>
              <w:t>(232)</w:t>
            </w:r>
          </w:p>
        </w:tc>
        <w:tc>
          <w:tcPr>
            <w:tcW w:w="0" w:type="auto"/>
            <w:shd w:val="clear" w:color="auto" w:fill="FFFFFF"/>
            <w:tcMar>
              <w:top w:w="30" w:type="dxa"/>
              <w:left w:w="0" w:type="dxa"/>
              <w:bottom w:w="30" w:type="dxa"/>
              <w:right w:w="20" w:type="dxa"/>
            </w:tcMar>
            <w:vAlign w:val="bottom"/>
            <w:hideMark/>
          </w:tcPr>
          <w:p w14:paraId="0DBCF29F"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4B484A5" w14:textId="77777777" w:rsidR="00000000" w:rsidRDefault="00C1661D">
            <w:pPr>
              <w:spacing w:after="100"/>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14:paraId="3C518156"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DDBA07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DA73E5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E311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7D4740"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4230F35"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00B3D7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42F16D"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34B697"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24DB073" w14:textId="77777777" w:rsidR="00000000" w:rsidRDefault="00C1661D">
            <w:pPr>
              <w:spacing w:after="100"/>
              <w:jc w:val="right"/>
              <w:rPr>
                <w:rFonts w:eastAsia="Times New Roman"/>
              </w:rPr>
            </w:pPr>
            <w:r>
              <w:rPr>
                <w:rFonts w:eastAsia="Times New Roman"/>
                <w:color w:val="000000"/>
                <w:sz w:val="16"/>
                <w:szCs w:val="16"/>
              </w:rPr>
              <w:t>182 </w:t>
            </w:r>
          </w:p>
        </w:tc>
        <w:tc>
          <w:tcPr>
            <w:tcW w:w="0" w:type="auto"/>
            <w:shd w:val="clear" w:color="auto" w:fill="FFFFFF"/>
            <w:tcMar>
              <w:top w:w="30" w:type="dxa"/>
              <w:left w:w="0" w:type="dxa"/>
              <w:bottom w:w="30" w:type="dxa"/>
              <w:right w:w="20" w:type="dxa"/>
            </w:tcMar>
            <w:vAlign w:val="bottom"/>
            <w:hideMark/>
          </w:tcPr>
          <w:p w14:paraId="6976ED5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BF9F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31975B"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E8845FD" w14:textId="77777777" w:rsidR="00000000" w:rsidRDefault="00C1661D">
            <w:pPr>
              <w:spacing w:after="100"/>
              <w:jc w:val="right"/>
              <w:rPr>
                <w:rFonts w:eastAsia="Times New Roman"/>
              </w:rPr>
            </w:pPr>
            <w:r>
              <w:rPr>
                <w:rFonts w:eastAsia="Times New Roman"/>
                <w:color w:val="000000"/>
                <w:sz w:val="16"/>
                <w:szCs w:val="16"/>
              </w:rPr>
              <w:t>47 </w:t>
            </w:r>
          </w:p>
        </w:tc>
        <w:tc>
          <w:tcPr>
            <w:tcW w:w="0" w:type="auto"/>
            <w:shd w:val="clear" w:color="auto" w:fill="FFFFFF"/>
            <w:tcMar>
              <w:top w:w="30" w:type="dxa"/>
              <w:left w:w="0" w:type="dxa"/>
              <w:bottom w:w="30" w:type="dxa"/>
              <w:right w:w="20" w:type="dxa"/>
            </w:tcMar>
            <w:vAlign w:val="bottom"/>
            <w:hideMark/>
          </w:tcPr>
          <w:p w14:paraId="0CF1E32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3829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D5C2A2"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8988A48" w14:textId="77777777" w:rsidR="00000000" w:rsidRDefault="00C1661D">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14:paraId="6EFDC64B" w14:textId="77777777" w:rsidR="00000000" w:rsidRDefault="00C1661D">
            <w:pPr>
              <w:spacing w:after="100"/>
              <w:jc w:val="right"/>
              <w:rPr>
                <w:rFonts w:eastAsia="Times New Roman"/>
              </w:rPr>
            </w:pPr>
          </w:p>
        </w:tc>
      </w:tr>
      <w:tr w:rsidR="00C1661D" w14:paraId="162520F5" w14:textId="77777777">
        <w:trPr>
          <w:divId w:val="610673252"/>
        </w:trPr>
        <w:tc>
          <w:tcPr>
            <w:tcW w:w="0" w:type="auto"/>
            <w:gridSpan w:val="3"/>
            <w:shd w:val="clear" w:color="auto" w:fill="CCEEFF"/>
            <w:tcMar>
              <w:top w:w="30" w:type="dxa"/>
              <w:left w:w="155" w:type="dxa"/>
              <w:bottom w:w="30" w:type="dxa"/>
              <w:right w:w="20" w:type="dxa"/>
            </w:tcMar>
            <w:vAlign w:val="bottom"/>
            <w:hideMark/>
          </w:tcPr>
          <w:p w14:paraId="439CECCD" w14:textId="77777777" w:rsidR="00000000" w:rsidRDefault="00C1661D">
            <w:pPr>
              <w:spacing w:after="100"/>
              <w:rPr>
                <w:rFonts w:eastAsia="Times New Roman"/>
              </w:rPr>
            </w:pPr>
            <w:r>
              <w:rPr>
                <w:rFonts w:eastAsia="Times New Roman"/>
                <w:color w:val="000000"/>
                <w:sz w:val="16"/>
                <w:szCs w:val="16"/>
              </w:rPr>
              <w:t>Cost of sales</w:t>
            </w:r>
          </w:p>
        </w:tc>
        <w:tc>
          <w:tcPr>
            <w:tcW w:w="0" w:type="auto"/>
            <w:shd w:val="clear" w:color="auto" w:fill="CCEEFF"/>
            <w:tcMar>
              <w:top w:w="30" w:type="dxa"/>
              <w:left w:w="20" w:type="dxa"/>
              <w:bottom w:w="30" w:type="dxa"/>
              <w:right w:w="0" w:type="dxa"/>
            </w:tcMar>
            <w:vAlign w:val="bottom"/>
            <w:hideMark/>
          </w:tcPr>
          <w:p w14:paraId="76355221"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69CBE23" w14:textId="77777777" w:rsidR="00000000" w:rsidRDefault="00C1661D">
            <w:pPr>
              <w:spacing w:after="100"/>
              <w:jc w:val="right"/>
              <w:rPr>
                <w:rFonts w:eastAsia="Times New Roman"/>
              </w:rPr>
            </w:pPr>
            <w:r>
              <w:rPr>
                <w:rFonts w:eastAsia="Times New Roman"/>
                <w:color w:val="000000"/>
                <w:sz w:val="16"/>
                <w:szCs w:val="16"/>
              </w:rPr>
              <w:t>3,149 </w:t>
            </w:r>
          </w:p>
        </w:tc>
        <w:tc>
          <w:tcPr>
            <w:tcW w:w="0" w:type="auto"/>
            <w:shd w:val="clear" w:color="auto" w:fill="CCEEFF"/>
            <w:tcMar>
              <w:top w:w="30" w:type="dxa"/>
              <w:left w:w="0" w:type="dxa"/>
              <w:bottom w:w="30" w:type="dxa"/>
              <w:right w:w="20" w:type="dxa"/>
            </w:tcMar>
            <w:vAlign w:val="bottom"/>
            <w:hideMark/>
          </w:tcPr>
          <w:p w14:paraId="7637322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8D1D73"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6AF9FAA"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A8D2342" w14:textId="77777777" w:rsidR="00000000" w:rsidRDefault="00C1661D">
            <w:pPr>
              <w:spacing w:after="100"/>
              <w:jc w:val="right"/>
              <w:rPr>
                <w:rFonts w:eastAsia="Times New Roman"/>
              </w:rPr>
            </w:pPr>
            <w:r>
              <w:rPr>
                <w:rFonts w:eastAsia="Times New Roman"/>
                <w:color w:val="000000"/>
                <w:sz w:val="16"/>
                <w:szCs w:val="16"/>
              </w:rPr>
              <w:t>(229)</w:t>
            </w:r>
          </w:p>
        </w:tc>
        <w:tc>
          <w:tcPr>
            <w:tcW w:w="0" w:type="auto"/>
            <w:shd w:val="clear" w:color="auto" w:fill="CCEEFF"/>
            <w:tcMar>
              <w:top w:w="30" w:type="dxa"/>
              <w:left w:w="0" w:type="dxa"/>
              <w:bottom w:w="30" w:type="dxa"/>
              <w:right w:w="20" w:type="dxa"/>
            </w:tcMar>
            <w:vAlign w:val="bottom"/>
            <w:hideMark/>
          </w:tcPr>
          <w:p w14:paraId="738E8765"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DED2786" w14:textId="77777777" w:rsidR="00000000" w:rsidRDefault="00C1661D">
            <w:pPr>
              <w:spacing w:after="100"/>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14:paraId="4E122701"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96F3DB6" w14:textId="77777777" w:rsidR="00000000" w:rsidRDefault="00C1661D">
            <w:pPr>
              <w:spacing w:after="100"/>
              <w:jc w:val="right"/>
              <w:rPr>
                <w:rFonts w:eastAsia="Times New Roman"/>
              </w:rPr>
            </w:pPr>
            <w:r>
              <w:rPr>
                <w:rFonts w:eastAsia="Times New Roman"/>
                <w:color w:val="000000"/>
                <w:sz w:val="16"/>
                <w:szCs w:val="16"/>
              </w:rPr>
              <w:t>960 </w:t>
            </w:r>
          </w:p>
        </w:tc>
        <w:tc>
          <w:tcPr>
            <w:tcW w:w="0" w:type="auto"/>
            <w:shd w:val="clear" w:color="auto" w:fill="CCEEFF"/>
            <w:tcMar>
              <w:top w:w="30" w:type="dxa"/>
              <w:left w:w="0" w:type="dxa"/>
              <w:bottom w:w="30" w:type="dxa"/>
              <w:right w:w="20" w:type="dxa"/>
            </w:tcMar>
            <w:vAlign w:val="bottom"/>
            <w:hideMark/>
          </w:tcPr>
          <w:p w14:paraId="2B9F3B9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F07B3"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9715B3"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4284C4A" w14:textId="77777777" w:rsidR="00000000" w:rsidRDefault="00C1661D">
            <w:pPr>
              <w:spacing w:after="100"/>
              <w:jc w:val="right"/>
              <w:rPr>
                <w:rFonts w:eastAsia="Times New Roman"/>
              </w:rPr>
            </w:pPr>
            <w:r>
              <w:rPr>
                <w:rFonts w:eastAsia="Times New Roman"/>
                <w:color w:val="000000"/>
                <w:sz w:val="16"/>
                <w:szCs w:val="16"/>
              </w:rPr>
              <w:t>1,191 </w:t>
            </w:r>
          </w:p>
        </w:tc>
        <w:tc>
          <w:tcPr>
            <w:tcW w:w="0" w:type="auto"/>
            <w:shd w:val="clear" w:color="auto" w:fill="CCEEFF"/>
            <w:tcMar>
              <w:top w:w="30" w:type="dxa"/>
              <w:left w:w="0" w:type="dxa"/>
              <w:bottom w:w="30" w:type="dxa"/>
              <w:right w:w="20" w:type="dxa"/>
            </w:tcMar>
            <w:vAlign w:val="bottom"/>
            <w:hideMark/>
          </w:tcPr>
          <w:p w14:paraId="4903B20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D1E68D"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867C8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A64F216" w14:textId="77777777" w:rsidR="00000000" w:rsidRDefault="00C1661D">
            <w:pPr>
              <w:spacing w:after="100"/>
              <w:jc w:val="right"/>
              <w:rPr>
                <w:rFonts w:eastAsia="Times New Roman"/>
              </w:rPr>
            </w:pPr>
            <w:r>
              <w:rPr>
                <w:rFonts w:eastAsia="Times New Roman"/>
                <w:color w:val="000000"/>
                <w:sz w:val="16"/>
                <w:szCs w:val="16"/>
              </w:rPr>
              <w:t>892 </w:t>
            </w:r>
          </w:p>
        </w:tc>
        <w:tc>
          <w:tcPr>
            <w:tcW w:w="0" w:type="auto"/>
            <w:shd w:val="clear" w:color="auto" w:fill="CCEEFF"/>
            <w:tcMar>
              <w:top w:w="30" w:type="dxa"/>
              <w:left w:w="0" w:type="dxa"/>
              <w:bottom w:w="30" w:type="dxa"/>
              <w:right w:w="20" w:type="dxa"/>
            </w:tcMar>
            <w:vAlign w:val="bottom"/>
            <w:hideMark/>
          </w:tcPr>
          <w:p w14:paraId="5DA7E6B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4A170E"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E632623"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CBAF370" w14:textId="77777777" w:rsidR="00000000" w:rsidRDefault="00C1661D">
            <w:pPr>
              <w:spacing w:after="100"/>
              <w:jc w:val="right"/>
              <w:rPr>
                <w:rFonts w:eastAsia="Times New Roman"/>
              </w:rPr>
            </w:pPr>
            <w:r>
              <w:rPr>
                <w:rFonts w:eastAsia="Times New Roman"/>
                <w:color w:val="000000"/>
                <w:sz w:val="16"/>
                <w:szCs w:val="16"/>
              </w:rPr>
              <w:t>448 </w:t>
            </w:r>
          </w:p>
        </w:tc>
        <w:tc>
          <w:tcPr>
            <w:tcW w:w="0" w:type="auto"/>
            <w:shd w:val="clear" w:color="auto" w:fill="CCEEFF"/>
            <w:tcMar>
              <w:top w:w="30" w:type="dxa"/>
              <w:left w:w="0" w:type="dxa"/>
              <w:bottom w:w="30" w:type="dxa"/>
              <w:right w:w="20" w:type="dxa"/>
            </w:tcMar>
            <w:vAlign w:val="bottom"/>
            <w:hideMark/>
          </w:tcPr>
          <w:p w14:paraId="5B1A111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0E6D82"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E8BD903"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6111830" w14:textId="77777777" w:rsidR="00000000" w:rsidRDefault="00C1661D">
            <w:pPr>
              <w:spacing w:after="100"/>
              <w:jc w:val="right"/>
              <w:rPr>
                <w:rFonts w:eastAsia="Times New Roman"/>
              </w:rPr>
            </w:pPr>
            <w:r>
              <w:rPr>
                <w:rFonts w:eastAsia="Times New Roman"/>
                <w:color w:val="000000"/>
                <w:sz w:val="16"/>
                <w:szCs w:val="16"/>
              </w:rPr>
              <w:t>(113)</w:t>
            </w:r>
          </w:p>
        </w:tc>
        <w:tc>
          <w:tcPr>
            <w:tcW w:w="0" w:type="auto"/>
            <w:shd w:val="clear" w:color="auto" w:fill="CCEEFF"/>
            <w:tcMar>
              <w:top w:w="30" w:type="dxa"/>
              <w:left w:w="0" w:type="dxa"/>
              <w:bottom w:w="30" w:type="dxa"/>
              <w:right w:w="20" w:type="dxa"/>
            </w:tcMar>
            <w:vAlign w:val="bottom"/>
            <w:hideMark/>
          </w:tcPr>
          <w:p w14:paraId="38D9C9F2" w14:textId="77777777" w:rsidR="00000000" w:rsidRDefault="00C1661D">
            <w:pPr>
              <w:spacing w:after="100"/>
              <w:jc w:val="right"/>
              <w:rPr>
                <w:rFonts w:eastAsia="Times New Roman"/>
              </w:rPr>
            </w:pPr>
          </w:p>
        </w:tc>
      </w:tr>
      <w:tr w:rsidR="00C1661D" w14:paraId="08BC1A74" w14:textId="77777777">
        <w:trPr>
          <w:divId w:val="610673252"/>
        </w:trPr>
        <w:tc>
          <w:tcPr>
            <w:tcW w:w="0" w:type="auto"/>
            <w:gridSpan w:val="3"/>
            <w:shd w:val="clear" w:color="auto" w:fill="FFFFFF"/>
            <w:tcMar>
              <w:top w:w="30" w:type="dxa"/>
              <w:left w:w="155" w:type="dxa"/>
              <w:bottom w:w="30" w:type="dxa"/>
              <w:right w:w="20" w:type="dxa"/>
            </w:tcMar>
            <w:vAlign w:val="bottom"/>
            <w:hideMark/>
          </w:tcPr>
          <w:p w14:paraId="296E1AE4" w14:textId="77777777" w:rsidR="00000000" w:rsidRDefault="00C1661D">
            <w:pPr>
              <w:spacing w:after="100"/>
              <w:rPr>
                <w:rFonts w:eastAsia="Times New Roman"/>
              </w:rPr>
            </w:pPr>
            <w:r>
              <w:rPr>
                <w:rFonts w:eastAsia="Times New Roman"/>
                <w:color w:val="000000"/>
                <w:sz w:val="16"/>
                <w:szCs w:val="16"/>
              </w:rPr>
              <w:t>Operating income (loss)</w:t>
            </w:r>
          </w:p>
        </w:tc>
        <w:tc>
          <w:tcPr>
            <w:tcW w:w="0" w:type="auto"/>
            <w:shd w:val="clear" w:color="auto" w:fill="FFFFFF"/>
            <w:tcMar>
              <w:top w:w="30" w:type="dxa"/>
              <w:left w:w="20" w:type="dxa"/>
              <w:bottom w:w="30" w:type="dxa"/>
              <w:right w:w="0" w:type="dxa"/>
            </w:tcMar>
            <w:vAlign w:val="bottom"/>
            <w:hideMark/>
          </w:tcPr>
          <w:p w14:paraId="000A660A"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9F92C81" w14:textId="77777777" w:rsidR="00000000" w:rsidRDefault="00C1661D">
            <w:pPr>
              <w:spacing w:after="100"/>
              <w:jc w:val="right"/>
              <w:rPr>
                <w:rFonts w:eastAsia="Times New Roman"/>
              </w:rPr>
            </w:pPr>
            <w:r>
              <w:rPr>
                <w:rFonts w:eastAsia="Times New Roman"/>
                <w:color w:val="000000"/>
                <w:sz w:val="16"/>
                <w:szCs w:val="16"/>
              </w:rPr>
              <w:t>982 </w:t>
            </w:r>
          </w:p>
        </w:tc>
        <w:tc>
          <w:tcPr>
            <w:tcW w:w="0" w:type="auto"/>
            <w:shd w:val="clear" w:color="auto" w:fill="FFFFFF"/>
            <w:tcMar>
              <w:top w:w="30" w:type="dxa"/>
              <w:left w:w="0" w:type="dxa"/>
              <w:bottom w:w="30" w:type="dxa"/>
              <w:right w:w="20" w:type="dxa"/>
            </w:tcMar>
            <w:vAlign w:val="bottom"/>
            <w:hideMark/>
          </w:tcPr>
          <w:p w14:paraId="572D246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DAA58F"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0E61D9"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6CCA84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45FD16E"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AF2408D" w14:textId="77777777" w:rsidR="00000000" w:rsidRDefault="00C1661D">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14:paraId="1AA34807"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50EF01D" w14:textId="77777777" w:rsidR="00000000" w:rsidRDefault="00C1661D">
            <w:pPr>
              <w:spacing w:after="100"/>
              <w:jc w:val="right"/>
              <w:rPr>
                <w:rFonts w:eastAsia="Times New Roman"/>
              </w:rPr>
            </w:pPr>
            <w:r>
              <w:rPr>
                <w:rFonts w:eastAsia="Times New Roman"/>
                <w:color w:val="000000"/>
                <w:sz w:val="16"/>
                <w:szCs w:val="16"/>
              </w:rPr>
              <w:t>373 </w:t>
            </w:r>
          </w:p>
        </w:tc>
        <w:tc>
          <w:tcPr>
            <w:tcW w:w="0" w:type="auto"/>
            <w:shd w:val="clear" w:color="auto" w:fill="FFFFFF"/>
            <w:tcMar>
              <w:top w:w="30" w:type="dxa"/>
              <w:left w:w="0" w:type="dxa"/>
              <w:bottom w:w="30" w:type="dxa"/>
              <w:right w:w="20" w:type="dxa"/>
            </w:tcMar>
            <w:vAlign w:val="bottom"/>
            <w:hideMark/>
          </w:tcPr>
          <w:p w14:paraId="291E4B8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4415FF"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0C8198"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7D499A3" w14:textId="77777777" w:rsidR="00000000" w:rsidRDefault="00C1661D">
            <w:pPr>
              <w:spacing w:after="100"/>
              <w:jc w:val="right"/>
              <w:rPr>
                <w:rFonts w:eastAsia="Times New Roman"/>
              </w:rPr>
            </w:pPr>
            <w:r>
              <w:rPr>
                <w:rFonts w:eastAsia="Times New Roman"/>
                <w:color w:val="000000"/>
                <w:sz w:val="16"/>
                <w:szCs w:val="16"/>
              </w:rPr>
              <w:t>241 </w:t>
            </w:r>
          </w:p>
        </w:tc>
        <w:tc>
          <w:tcPr>
            <w:tcW w:w="0" w:type="auto"/>
            <w:shd w:val="clear" w:color="auto" w:fill="FFFFFF"/>
            <w:tcMar>
              <w:top w:w="30" w:type="dxa"/>
              <w:left w:w="0" w:type="dxa"/>
              <w:bottom w:w="30" w:type="dxa"/>
              <w:right w:w="20" w:type="dxa"/>
            </w:tcMar>
            <w:vAlign w:val="bottom"/>
            <w:hideMark/>
          </w:tcPr>
          <w:p w14:paraId="0216A79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8B14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6261E67"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F6940F1" w14:textId="77777777" w:rsidR="00000000" w:rsidRDefault="00C1661D">
            <w:pPr>
              <w:spacing w:after="100"/>
              <w:jc w:val="right"/>
              <w:rPr>
                <w:rFonts w:eastAsia="Times New Roman"/>
              </w:rPr>
            </w:pPr>
            <w:r>
              <w:rPr>
                <w:rFonts w:eastAsia="Times New Roman"/>
                <w:color w:val="000000"/>
                <w:sz w:val="16"/>
                <w:szCs w:val="16"/>
              </w:rPr>
              <w:t>140 </w:t>
            </w:r>
          </w:p>
        </w:tc>
        <w:tc>
          <w:tcPr>
            <w:tcW w:w="0" w:type="auto"/>
            <w:shd w:val="clear" w:color="auto" w:fill="FFFFFF"/>
            <w:tcMar>
              <w:top w:w="30" w:type="dxa"/>
              <w:left w:w="0" w:type="dxa"/>
              <w:bottom w:w="30" w:type="dxa"/>
              <w:right w:w="20" w:type="dxa"/>
            </w:tcMar>
            <w:vAlign w:val="bottom"/>
            <w:hideMark/>
          </w:tcPr>
          <w:p w14:paraId="43ED2A2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75FFE3"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5E6A7B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CBDFCAB" w14:textId="77777777" w:rsidR="00000000" w:rsidRDefault="00C1661D">
            <w:pPr>
              <w:spacing w:after="100"/>
              <w:jc w:val="right"/>
              <w:rPr>
                <w:rFonts w:eastAsia="Times New Roman"/>
              </w:rPr>
            </w:pPr>
            <w:r>
              <w:rPr>
                <w:rFonts w:eastAsia="Times New Roman"/>
                <w:color w:val="000000"/>
                <w:sz w:val="16"/>
                <w:szCs w:val="16"/>
              </w:rPr>
              <w:t>229 </w:t>
            </w:r>
          </w:p>
        </w:tc>
        <w:tc>
          <w:tcPr>
            <w:tcW w:w="0" w:type="auto"/>
            <w:shd w:val="clear" w:color="auto" w:fill="FFFFFF"/>
            <w:tcMar>
              <w:top w:w="30" w:type="dxa"/>
              <w:left w:w="0" w:type="dxa"/>
              <w:bottom w:w="30" w:type="dxa"/>
              <w:right w:w="20" w:type="dxa"/>
            </w:tcMar>
            <w:vAlign w:val="bottom"/>
            <w:hideMark/>
          </w:tcPr>
          <w:p w14:paraId="6F92DB0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E96A24"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99D5BF"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0A9E52A" w14:textId="77777777" w:rsidR="00000000" w:rsidRDefault="00C1661D">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14:paraId="40C961DC" w14:textId="77777777" w:rsidR="00000000" w:rsidRDefault="00C1661D">
            <w:pPr>
              <w:spacing w:after="100"/>
              <w:jc w:val="right"/>
              <w:rPr>
                <w:rFonts w:eastAsia="Times New Roman"/>
              </w:rPr>
            </w:pPr>
          </w:p>
        </w:tc>
      </w:tr>
      <w:tr w:rsidR="00000000" w14:paraId="36796735" w14:textId="77777777">
        <w:trPr>
          <w:divId w:val="610673252"/>
        </w:trPr>
        <w:tc>
          <w:tcPr>
            <w:tcW w:w="0" w:type="auto"/>
            <w:gridSpan w:val="3"/>
            <w:shd w:val="clear" w:color="auto" w:fill="CCEEFF"/>
            <w:tcMar>
              <w:top w:w="30" w:type="dxa"/>
              <w:left w:w="155" w:type="dxa"/>
              <w:bottom w:w="30" w:type="dxa"/>
              <w:right w:w="20" w:type="dxa"/>
            </w:tcMar>
            <w:vAlign w:val="bottom"/>
            <w:hideMark/>
          </w:tcPr>
          <w:p w14:paraId="334F8C57" w14:textId="77777777" w:rsidR="00000000" w:rsidRDefault="00C1661D">
            <w:pPr>
              <w:spacing w:after="100"/>
              <w:rPr>
                <w:rFonts w:eastAsia="Times New Roman"/>
              </w:rPr>
            </w:pPr>
            <w:r>
              <w:rPr>
                <w:rFonts w:eastAsia="Times New Roman"/>
                <w:color w:val="000000"/>
                <w:sz w:val="16"/>
                <w:szCs w:val="16"/>
              </w:rPr>
              <w:t>Income from equity investees</w:t>
            </w:r>
          </w:p>
        </w:tc>
        <w:tc>
          <w:tcPr>
            <w:tcW w:w="0" w:type="auto"/>
            <w:gridSpan w:val="2"/>
            <w:shd w:val="clear" w:color="auto" w:fill="CCEEFF"/>
            <w:tcMar>
              <w:top w:w="30" w:type="dxa"/>
              <w:left w:w="20" w:type="dxa"/>
              <w:bottom w:w="30" w:type="dxa"/>
              <w:right w:w="0" w:type="dxa"/>
            </w:tcMar>
            <w:vAlign w:val="bottom"/>
            <w:hideMark/>
          </w:tcPr>
          <w:p w14:paraId="0DC7A1ED" w14:textId="77777777" w:rsidR="00000000" w:rsidRDefault="00C1661D">
            <w:pPr>
              <w:spacing w:after="100"/>
              <w:jc w:val="right"/>
              <w:rPr>
                <w:rFonts w:eastAsia="Times New Roman"/>
              </w:rPr>
            </w:pPr>
            <w:r>
              <w:rPr>
                <w:rFonts w:eastAsia="Times New Roman"/>
                <w:color w:val="000000"/>
                <w:sz w:val="16"/>
                <w:szCs w:val="16"/>
              </w:rPr>
              <w:t>27 </w:t>
            </w:r>
          </w:p>
        </w:tc>
        <w:tc>
          <w:tcPr>
            <w:tcW w:w="0" w:type="auto"/>
            <w:shd w:val="clear" w:color="auto" w:fill="CCEEFF"/>
            <w:tcMar>
              <w:top w:w="30" w:type="dxa"/>
              <w:left w:w="0" w:type="dxa"/>
              <w:bottom w:w="30" w:type="dxa"/>
              <w:right w:w="20" w:type="dxa"/>
            </w:tcMar>
            <w:vAlign w:val="bottom"/>
            <w:hideMark/>
          </w:tcPr>
          <w:p w14:paraId="3E9BBD0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B00E7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2798F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2230188"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3FEB025" w14:textId="77777777" w:rsidR="00000000" w:rsidRDefault="00C1661D">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14:paraId="0CB8714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ADF8C8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1F3D6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82BBBC"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C68DAA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9A5F0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3CEFF3" w14:textId="77777777" w:rsidR="00000000" w:rsidRDefault="00C1661D">
            <w:pPr>
              <w:spacing w:after="100"/>
              <w:jc w:val="right"/>
              <w:rPr>
                <w:rFonts w:eastAsia="Times New Roman"/>
              </w:rPr>
            </w:pPr>
            <w:r>
              <w:rPr>
                <w:rFonts w:eastAsia="Times New Roman"/>
                <w:color w:val="000000"/>
                <w:sz w:val="16"/>
                <w:szCs w:val="16"/>
              </w:rPr>
              <w:t>27 </w:t>
            </w:r>
          </w:p>
        </w:tc>
        <w:tc>
          <w:tcPr>
            <w:tcW w:w="0" w:type="auto"/>
            <w:shd w:val="clear" w:color="auto" w:fill="CCEEFF"/>
            <w:tcMar>
              <w:top w:w="30" w:type="dxa"/>
              <w:left w:w="0" w:type="dxa"/>
              <w:bottom w:w="30" w:type="dxa"/>
              <w:right w:w="20" w:type="dxa"/>
            </w:tcMar>
            <w:vAlign w:val="bottom"/>
            <w:hideMark/>
          </w:tcPr>
          <w:p w14:paraId="1ACE3E0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2D889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DE466C"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0408C5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5540E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A86A9D"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40ECA73" w14:textId="77777777" w:rsidR="00000000" w:rsidRDefault="00C1661D">
            <w:pPr>
              <w:spacing w:after="100"/>
              <w:jc w:val="right"/>
              <w:rPr>
                <w:rFonts w:eastAsia="Times New Roman"/>
              </w:rPr>
            </w:pPr>
          </w:p>
        </w:tc>
      </w:tr>
      <w:tr w:rsidR="00000000" w14:paraId="6388EFE4" w14:textId="77777777">
        <w:trPr>
          <w:divId w:val="610673252"/>
        </w:trPr>
        <w:tc>
          <w:tcPr>
            <w:tcW w:w="0" w:type="auto"/>
            <w:gridSpan w:val="3"/>
            <w:vAlign w:val="center"/>
            <w:hideMark/>
          </w:tcPr>
          <w:p w14:paraId="6A793664" w14:textId="77777777" w:rsidR="00000000" w:rsidRDefault="00C1661D">
            <w:pPr>
              <w:spacing w:after="100"/>
              <w:jc w:val="right"/>
              <w:rPr>
                <w:rFonts w:eastAsia="Times New Roman"/>
                <w:sz w:val="20"/>
                <w:szCs w:val="20"/>
              </w:rPr>
            </w:pPr>
          </w:p>
        </w:tc>
        <w:tc>
          <w:tcPr>
            <w:tcW w:w="0" w:type="auto"/>
            <w:gridSpan w:val="3"/>
            <w:vAlign w:val="center"/>
            <w:hideMark/>
          </w:tcPr>
          <w:p w14:paraId="472887E0" w14:textId="77777777" w:rsidR="00000000" w:rsidRDefault="00C1661D">
            <w:pPr>
              <w:spacing w:after="100"/>
              <w:rPr>
                <w:rFonts w:eastAsia="Times New Roman"/>
                <w:sz w:val="20"/>
                <w:szCs w:val="20"/>
              </w:rPr>
            </w:pPr>
          </w:p>
        </w:tc>
        <w:tc>
          <w:tcPr>
            <w:tcW w:w="0" w:type="auto"/>
            <w:gridSpan w:val="3"/>
            <w:vAlign w:val="center"/>
            <w:hideMark/>
          </w:tcPr>
          <w:p w14:paraId="78F16547" w14:textId="77777777" w:rsidR="00000000" w:rsidRDefault="00C1661D">
            <w:pPr>
              <w:spacing w:after="100"/>
              <w:rPr>
                <w:rFonts w:eastAsia="Times New Roman"/>
                <w:sz w:val="20"/>
                <w:szCs w:val="20"/>
              </w:rPr>
            </w:pPr>
          </w:p>
        </w:tc>
        <w:tc>
          <w:tcPr>
            <w:tcW w:w="0" w:type="auto"/>
            <w:gridSpan w:val="3"/>
            <w:vAlign w:val="center"/>
            <w:hideMark/>
          </w:tcPr>
          <w:p w14:paraId="5FC74AE1" w14:textId="77777777" w:rsidR="00000000" w:rsidRDefault="00C1661D">
            <w:pPr>
              <w:spacing w:after="100"/>
              <w:rPr>
                <w:rFonts w:eastAsia="Times New Roman"/>
                <w:sz w:val="20"/>
                <w:szCs w:val="20"/>
              </w:rPr>
            </w:pPr>
          </w:p>
        </w:tc>
        <w:tc>
          <w:tcPr>
            <w:tcW w:w="0" w:type="auto"/>
            <w:gridSpan w:val="3"/>
            <w:vAlign w:val="center"/>
            <w:hideMark/>
          </w:tcPr>
          <w:p w14:paraId="7B907DC4" w14:textId="77777777" w:rsidR="00000000" w:rsidRDefault="00C1661D">
            <w:pPr>
              <w:spacing w:after="100"/>
              <w:rPr>
                <w:rFonts w:eastAsia="Times New Roman"/>
                <w:sz w:val="20"/>
                <w:szCs w:val="20"/>
              </w:rPr>
            </w:pPr>
          </w:p>
        </w:tc>
        <w:tc>
          <w:tcPr>
            <w:tcW w:w="0" w:type="auto"/>
            <w:gridSpan w:val="3"/>
            <w:vAlign w:val="center"/>
            <w:hideMark/>
          </w:tcPr>
          <w:p w14:paraId="7135B4D9" w14:textId="77777777" w:rsidR="00000000" w:rsidRDefault="00C1661D">
            <w:pPr>
              <w:spacing w:after="100"/>
              <w:rPr>
                <w:rFonts w:eastAsia="Times New Roman"/>
                <w:sz w:val="20"/>
                <w:szCs w:val="20"/>
              </w:rPr>
            </w:pPr>
          </w:p>
        </w:tc>
        <w:tc>
          <w:tcPr>
            <w:tcW w:w="0" w:type="auto"/>
            <w:gridSpan w:val="3"/>
            <w:vAlign w:val="center"/>
            <w:hideMark/>
          </w:tcPr>
          <w:p w14:paraId="3467D15C" w14:textId="77777777" w:rsidR="00000000" w:rsidRDefault="00C1661D">
            <w:pPr>
              <w:spacing w:after="100"/>
              <w:rPr>
                <w:rFonts w:eastAsia="Times New Roman"/>
                <w:sz w:val="20"/>
                <w:szCs w:val="20"/>
              </w:rPr>
            </w:pPr>
          </w:p>
        </w:tc>
        <w:tc>
          <w:tcPr>
            <w:tcW w:w="0" w:type="auto"/>
            <w:gridSpan w:val="3"/>
            <w:vAlign w:val="center"/>
            <w:hideMark/>
          </w:tcPr>
          <w:p w14:paraId="0DD778E3" w14:textId="77777777" w:rsidR="00000000" w:rsidRDefault="00C1661D">
            <w:pPr>
              <w:spacing w:after="100"/>
              <w:rPr>
                <w:rFonts w:eastAsia="Times New Roman"/>
                <w:sz w:val="20"/>
                <w:szCs w:val="20"/>
              </w:rPr>
            </w:pPr>
          </w:p>
        </w:tc>
        <w:tc>
          <w:tcPr>
            <w:tcW w:w="0" w:type="auto"/>
            <w:gridSpan w:val="3"/>
            <w:vAlign w:val="center"/>
            <w:hideMark/>
          </w:tcPr>
          <w:p w14:paraId="1E45545D" w14:textId="77777777" w:rsidR="00000000" w:rsidRDefault="00C1661D">
            <w:pPr>
              <w:spacing w:after="100"/>
              <w:rPr>
                <w:rFonts w:eastAsia="Times New Roman"/>
                <w:sz w:val="20"/>
                <w:szCs w:val="20"/>
              </w:rPr>
            </w:pPr>
          </w:p>
        </w:tc>
        <w:tc>
          <w:tcPr>
            <w:tcW w:w="0" w:type="auto"/>
            <w:gridSpan w:val="3"/>
            <w:vAlign w:val="center"/>
            <w:hideMark/>
          </w:tcPr>
          <w:p w14:paraId="64C23A97" w14:textId="77777777" w:rsidR="00000000" w:rsidRDefault="00C1661D">
            <w:pPr>
              <w:spacing w:after="100"/>
              <w:rPr>
                <w:rFonts w:eastAsia="Times New Roman"/>
                <w:sz w:val="20"/>
                <w:szCs w:val="20"/>
              </w:rPr>
            </w:pPr>
          </w:p>
        </w:tc>
        <w:tc>
          <w:tcPr>
            <w:tcW w:w="0" w:type="auto"/>
            <w:gridSpan w:val="3"/>
            <w:vAlign w:val="center"/>
            <w:hideMark/>
          </w:tcPr>
          <w:p w14:paraId="0A4EA5A6" w14:textId="77777777" w:rsidR="00000000" w:rsidRDefault="00C1661D">
            <w:pPr>
              <w:spacing w:after="100"/>
              <w:rPr>
                <w:rFonts w:eastAsia="Times New Roman"/>
                <w:sz w:val="20"/>
                <w:szCs w:val="20"/>
              </w:rPr>
            </w:pPr>
          </w:p>
        </w:tc>
        <w:tc>
          <w:tcPr>
            <w:tcW w:w="0" w:type="auto"/>
            <w:gridSpan w:val="3"/>
            <w:vAlign w:val="center"/>
            <w:hideMark/>
          </w:tcPr>
          <w:p w14:paraId="06358F46" w14:textId="77777777" w:rsidR="00000000" w:rsidRDefault="00C1661D">
            <w:pPr>
              <w:spacing w:after="100"/>
              <w:rPr>
                <w:rFonts w:eastAsia="Times New Roman"/>
                <w:sz w:val="20"/>
                <w:szCs w:val="20"/>
              </w:rPr>
            </w:pPr>
          </w:p>
        </w:tc>
        <w:tc>
          <w:tcPr>
            <w:tcW w:w="0" w:type="auto"/>
            <w:gridSpan w:val="3"/>
            <w:vAlign w:val="center"/>
            <w:hideMark/>
          </w:tcPr>
          <w:p w14:paraId="4FC62C39" w14:textId="77777777" w:rsidR="00000000" w:rsidRDefault="00C1661D">
            <w:pPr>
              <w:spacing w:after="100"/>
              <w:rPr>
                <w:rFonts w:eastAsia="Times New Roman"/>
                <w:sz w:val="20"/>
                <w:szCs w:val="20"/>
              </w:rPr>
            </w:pPr>
          </w:p>
        </w:tc>
        <w:tc>
          <w:tcPr>
            <w:tcW w:w="0" w:type="auto"/>
            <w:gridSpan w:val="3"/>
            <w:vAlign w:val="center"/>
            <w:hideMark/>
          </w:tcPr>
          <w:p w14:paraId="009B5E9A" w14:textId="77777777" w:rsidR="00000000" w:rsidRDefault="00C1661D">
            <w:pPr>
              <w:spacing w:after="100"/>
              <w:rPr>
                <w:rFonts w:eastAsia="Times New Roman"/>
                <w:sz w:val="20"/>
                <w:szCs w:val="20"/>
              </w:rPr>
            </w:pPr>
          </w:p>
        </w:tc>
      </w:tr>
      <w:tr w:rsidR="00000000" w14:paraId="789C54A1" w14:textId="77777777">
        <w:trPr>
          <w:divId w:val="610673252"/>
        </w:trPr>
        <w:tc>
          <w:tcPr>
            <w:tcW w:w="0" w:type="auto"/>
            <w:gridSpan w:val="3"/>
            <w:shd w:val="clear" w:color="auto" w:fill="FFFFFF"/>
            <w:tcMar>
              <w:top w:w="30" w:type="dxa"/>
              <w:left w:w="155" w:type="dxa"/>
              <w:bottom w:w="30" w:type="dxa"/>
              <w:right w:w="20" w:type="dxa"/>
            </w:tcMar>
            <w:vAlign w:val="bottom"/>
            <w:hideMark/>
          </w:tcPr>
          <w:p w14:paraId="1767F5A4" w14:textId="77777777" w:rsidR="00000000" w:rsidRDefault="00C1661D">
            <w:pPr>
              <w:spacing w:after="100"/>
              <w:rPr>
                <w:rFonts w:eastAsia="Times New Roman"/>
              </w:rPr>
            </w:pPr>
            <w:r>
              <w:rPr>
                <w:rFonts w:eastAsia="Times New Roman"/>
                <w:color w:val="000000"/>
                <w:sz w:val="16"/>
                <w:szCs w:val="16"/>
              </w:rPr>
              <w:t>Other non-operating (expense) income, net</w:t>
            </w:r>
          </w:p>
        </w:tc>
        <w:tc>
          <w:tcPr>
            <w:tcW w:w="0" w:type="auto"/>
            <w:gridSpan w:val="2"/>
            <w:shd w:val="clear" w:color="auto" w:fill="FFFFFF"/>
            <w:tcMar>
              <w:top w:w="30" w:type="dxa"/>
              <w:left w:w="20" w:type="dxa"/>
              <w:bottom w:w="30" w:type="dxa"/>
              <w:right w:w="0" w:type="dxa"/>
            </w:tcMar>
            <w:vAlign w:val="bottom"/>
            <w:hideMark/>
          </w:tcPr>
          <w:p w14:paraId="0A476488" w14:textId="77777777" w:rsidR="00000000" w:rsidRDefault="00C1661D">
            <w:pPr>
              <w:spacing w:after="100"/>
              <w:jc w:val="right"/>
              <w:rPr>
                <w:rFonts w:eastAsia="Times New Roman"/>
              </w:rPr>
            </w:pPr>
            <w:r>
              <w:rPr>
                <w:rFonts w:eastAsia="Times New Roman"/>
                <w:color w:val="000000"/>
                <w:sz w:val="16"/>
                <w:szCs w:val="16"/>
              </w:rPr>
              <w:t>(20)</w:t>
            </w:r>
          </w:p>
        </w:tc>
        <w:tc>
          <w:tcPr>
            <w:tcW w:w="0" w:type="auto"/>
            <w:shd w:val="clear" w:color="auto" w:fill="FFFFFF"/>
            <w:tcMar>
              <w:top w:w="30" w:type="dxa"/>
              <w:left w:w="0" w:type="dxa"/>
              <w:bottom w:w="30" w:type="dxa"/>
              <w:right w:w="20" w:type="dxa"/>
            </w:tcMar>
            <w:vAlign w:val="bottom"/>
            <w:hideMark/>
          </w:tcPr>
          <w:p w14:paraId="6FE8619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F5A45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ADA10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206543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D9AC4E"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B3FC8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7EAEEB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D4435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271852" w14:textId="77777777" w:rsidR="00000000" w:rsidRDefault="00C1661D">
            <w:pPr>
              <w:spacing w:after="100"/>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14:paraId="02DCEDD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9D01E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5E1E75" w14:textId="77777777" w:rsidR="00000000" w:rsidRDefault="00C1661D">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14:paraId="7FC359D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5BCB6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961C62"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9CBB4C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E2A2E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8FB695" w14:textId="77777777" w:rsidR="00000000" w:rsidRDefault="00C1661D">
            <w:pPr>
              <w:spacing w:after="100"/>
              <w:jc w:val="right"/>
              <w:rPr>
                <w:rFonts w:eastAsia="Times New Roman"/>
              </w:rPr>
            </w:pPr>
            <w:r>
              <w:rPr>
                <w:rFonts w:eastAsia="Times New Roman"/>
                <w:color w:val="000000"/>
                <w:sz w:val="16"/>
                <w:szCs w:val="16"/>
              </w:rPr>
              <w:t>(39)</w:t>
            </w:r>
          </w:p>
        </w:tc>
        <w:tc>
          <w:tcPr>
            <w:tcW w:w="0" w:type="auto"/>
            <w:shd w:val="clear" w:color="auto" w:fill="FFFFFF"/>
            <w:tcMar>
              <w:top w:w="30" w:type="dxa"/>
              <w:left w:w="0" w:type="dxa"/>
              <w:bottom w:w="30" w:type="dxa"/>
              <w:right w:w="20" w:type="dxa"/>
            </w:tcMar>
            <w:vAlign w:val="bottom"/>
            <w:hideMark/>
          </w:tcPr>
          <w:p w14:paraId="075C3CFC" w14:textId="77777777" w:rsidR="00000000" w:rsidRDefault="00C1661D">
            <w:pPr>
              <w:spacing w:after="100"/>
              <w:jc w:val="right"/>
              <w:rPr>
                <w:rFonts w:eastAsia="Times New Roman"/>
              </w:rPr>
            </w:pPr>
          </w:p>
        </w:tc>
      </w:tr>
      <w:tr w:rsidR="00000000" w14:paraId="26CB1806" w14:textId="77777777">
        <w:trPr>
          <w:divId w:val="610673252"/>
        </w:trPr>
        <w:tc>
          <w:tcPr>
            <w:tcW w:w="0" w:type="auto"/>
            <w:gridSpan w:val="3"/>
            <w:shd w:val="clear" w:color="auto" w:fill="CCEEFF"/>
            <w:tcMar>
              <w:top w:w="30" w:type="dxa"/>
              <w:left w:w="155" w:type="dxa"/>
              <w:bottom w:w="30" w:type="dxa"/>
              <w:right w:w="20" w:type="dxa"/>
            </w:tcMar>
            <w:vAlign w:val="bottom"/>
            <w:hideMark/>
          </w:tcPr>
          <w:p w14:paraId="20679076" w14:textId="77777777" w:rsidR="00000000" w:rsidRDefault="00C1661D">
            <w:pPr>
              <w:spacing w:after="100"/>
              <w:rPr>
                <w:rFonts w:eastAsia="Times New Roman"/>
              </w:rPr>
            </w:pPr>
            <w:r>
              <w:rPr>
                <w:rFonts w:eastAsia="Times New Roman"/>
                <w:color w:val="000000"/>
                <w:sz w:val="16"/>
                <w:szCs w:val="16"/>
              </w:rPr>
              <w:t>Earnings (loss) before interest expense and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1DCEF7" w14:textId="77777777" w:rsidR="00000000" w:rsidRDefault="00C1661D">
            <w:pPr>
              <w:spacing w:after="100"/>
              <w:jc w:val="right"/>
              <w:rPr>
                <w:rFonts w:eastAsia="Times New Roman"/>
              </w:rPr>
            </w:pPr>
            <w:r>
              <w:rPr>
                <w:rFonts w:eastAsia="Times New Roman"/>
                <w:color w:val="000000"/>
                <w:sz w:val="16"/>
                <w:szCs w:val="16"/>
              </w:rPr>
              <w:t>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99BA3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8A8E33"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7E24C6"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55AFA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40467A"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DC819F" w14:textId="77777777" w:rsidR="00000000" w:rsidRDefault="00C1661D">
            <w:pPr>
              <w:spacing w:after="100"/>
              <w:jc w:val="right"/>
              <w:rPr>
                <w:rFonts w:eastAsia="Times New Roman"/>
              </w:rPr>
            </w:pPr>
            <w:r>
              <w:rPr>
                <w:rFonts w:eastAsia="Times New Roman"/>
                <w:color w:val="000000"/>
                <w:sz w:val="16"/>
                <w:szCs w:val="16"/>
              </w:rPr>
              <w:t>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659FA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AAC346"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124D11" w14:textId="77777777" w:rsidR="00000000" w:rsidRDefault="00C1661D">
            <w:pPr>
              <w:spacing w:after="100"/>
              <w:jc w:val="right"/>
              <w:rPr>
                <w:rFonts w:eastAsia="Times New Roman"/>
              </w:rPr>
            </w:pPr>
            <w:r>
              <w:rPr>
                <w:rFonts w:eastAsia="Times New Roman"/>
                <w:color w:val="000000"/>
                <w:sz w:val="16"/>
                <w:szCs w:val="16"/>
              </w:rPr>
              <w:t>259 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23499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AD31C"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11CE49" w14:textId="77777777" w:rsidR="00000000" w:rsidRDefault="00C1661D">
            <w:pPr>
              <w:spacing w:after="100"/>
              <w:jc w:val="right"/>
              <w:rPr>
                <w:rFonts w:eastAsia="Times New Roman"/>
              </w:rPr>
            </w:pPr>
            <w:r>
              <w:rPr>
                <w:rFonts w:eastAsia="Times New Roman"/>
                <w:color w:val="000000"/>
                <w:sz w:val="16"/>
                <w:szCs w:val="16"/>
              </w:rPr>
              <w:t>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239CB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EE16F"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5B1C77" w14:textId="77777777" w:rsidR="00000000" w:rsidRDefault="00C1661D">
            <w:pPr>
              <w:spacing w:after="100"/>
              <w:jc w:val="right"/>
              <w:rPr>
                <w:rFonts w:eastAsia="Times New Roman"/>
              </w:rPr>
            </w:pPr>
            <w:r>
              <w:rPr>
                <w:rFonts w:eastAsia="Times New Roman"/>
                <w:color w:val="000000"/>
                <w:sz w:val="16"/>
                <w:szCs w:val="16"/>
              </w:rPr>
              <w:t>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5FE37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A604BA"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102BC4" w14:textId="77777777" w:rsidR="00000000" w:rsidRDefault="00C1661D">
            <w:pPr>
              <w:spacing w:after="100"/>
              <w:jc w:val="right"/>
              <w:rPr>
                <w:rFonts w:eastAsia="Times New Roman"/>
              </w:rPr>
            </w:pPr>
            <w:r>
              <w:rPr>
                <w:rFonts w:eastAsia="Times New Roman"/>
                <w:color w:val="000000"/>
                <w:sz w:val="16"/>
                <w:szCs w:val="16"/>
              </w:rPr>
              <w:t>(40)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6BC0AB" w14:textId="77777777" w:rsidR="00000000" w:rsidRDefault="00C1661D">
            <w:pPr>
              <w:spacing w:after="100"/>
              <w:jc w:val="right"/>
              <w:rPr>
                <w:rFonts w:eastAsia="Times New Roman"/>
              </w:rPr>
            </w:pPr>
          </w:p>
        </w:tc>
      </w:tr>
      <w:tr w:rsidR="00000000" w14:paraId="042A3FFC" w14:textId="77777777">
        <w:trPr>
          <w:divId w:val="610673252"/>
        </w:trPr>
        <w:tc>
          <w:tcPr>
            <w:tcW w:w="0" w:type="auto"/>
            <w:gridSpan w:val="3"/>
            <w:shd w:val="clear" w:color="auto" w:fill="FFFFFF"/>
            <w:tcMar>
              <w:top w:w="30" w:type="dxa"/>
              <w:left w:w="155" w:type="dxa"/>
              <w:bottom w:w="30" w:type="dxa"/>
              <w:right w:w="20" w:type="dxa"/>
            </w:tcMar>
            <w:vAlign w:val="bottom"/>
            <w:hideMark/>
          </w:tcPr>
          <w:p w14:paraId="586555A0" w14:textId="77777777" w:rsidR="00000000" w:rsidRDefault="00C1661D">
            <w:pPr>
              <w:spacing w:after="100"/>
              <w:rPr>
                <w:rFonts w:eastAsia="Times New Roman"/>
              </w:rPr>
            </w:pPr>
            <w:r>
              <w:rPr>
                <w:rFonts w:eastAsia="Times New Roman"/>
                <w:color w:val="000000"/>
                <w:sz w:val="16"/>
                <w:szCs w:val="16"/>
              </w:rPr>
              <w:t>Interest expense</w:t>
            </w:r>
          </w:p>
        </w:tc>
        <w:tc>
          <w:tcPr>
            <w:tcW w:w="0" w:type="auto"/>
            <w:gridSpan w:val="2"/>
            <w:shd w:val="clear" w:color="auto" w:fill="FFFFFF"/>
            <w:tcMar>
              <w:top w:w="30" w:type="dxa"/>
              <w:left w:w="20" w:type="dxa"/>
              <w:bottom w:w="30" w:type="dxa"/>
              <w:right w:w="0" w:type="dxa"/>
            </w:tcMar>
            <w:vAlign w:val="bottom"/>
            <w:hideMark/>
          </w:tcPr>
          <w:p w14:paraId="4292C4D9" w14:textId="77777777" w:rsidR="00000000" w:rsidRDefault="00C1661D">
            <w:pPr>
              <w:spacing w:after="100"/>
              <w:jc w:val="right"/>
              <w:rPr>
                <w:rFonts w:eastAsia="Times New Roman"/>
              </w:rPr>
            </w:pPr>
            <w:r>
              <w:rPr>
                <w:rFonts w:eastAsia="Times New Roman"/>
                <w:color w:val="000000"/>
                <w:sz w:val="16"/>
                <w:szCs w:val="16"/>
              </w:rPr>
              <w:t>(322)</w:t>
            </w:r>
          </w:p>
        </w:tc>
        <w:tc>
          <w:tcPr>
            <w:tcW w:w="0" w:type="auto"/>
            <w:shd w:val="clear" w:color="auto" w:fill="FFFFFF"/>
            <w:tcMar>
              <w:top w:w="30" w:type="dxa"/>
              <w:left w:w="0" w:type="dxa"/>
              <w:bottom w:w="30" w:type="dxa"/>
              <w:right w:w="20" w:type="dxa"/>
            </w:tcMar>
            <w:vAlign w:val="bottom"/>
            <w:hideMark/>
          </w:tcPr>
          <w:p w14:paraId="13969DF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37AEA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332769"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07BC794"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7A449D6" w14:textId="77777777" w:rsidR="00000000" w:rsidRDefault="00C1661D">
            <w:pPr>
              <w:spacing w:after="100"/>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14:paraId="24B1851D" w14:textId="77777777" w:rsidR="00000000" w:rsidRDefault="00C1661D">
            <w:pPr>
              <w:spacing w:after="100"/>
              <w:jc w:val="right"/>
              <w:rPr>
                <w:rFonts w:eastAsia="Times New Roman"/>
              </w:rPr>
            </w:pPr>
            <w:r>
              <w:rPr>
                <w:rFonts w:eastAsia="Times New Roman"/>
                <w:color w:val="000000"/>
                <w:sz w:val="16"/>
                <w:szCs w:val="16"/>
              </w:rPr>
              <w:t>(164)</w:t>
            </w:r>
          </w:p>
        </w:tc>
        <w:tc>
          <w:tcPr>
            <w:tcW w:w="0" w:type="auto"/>
            <w:shd w:val="clear" w:color="auto" w:fill="FFFFFF"/>
            <w:tcMar>
              <w:top w:w="30" w:type="dxa"/>
              <w:left w:w="0" w:type="dxa"/>
              <w:bottom w:w="30" w:type="dxa"/>
              <w:right w:w="20" w:type="dxa"/>
            </w:tcMar>
            <w:vAlign w:val="bottom"/>
            <w:hideMark/>
          </w:tcPr>
          <w:p w14:paraId="494C725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C48E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15AE11" w14:textId="77777777" w:rsidR="00000000" w:rsidRDefault="00C1661D">
            <w:pPr>
              <w:spacing w:after="100"/>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14:paraId="66C3AE7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8376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41A0FD" w14:textId="77777777" w:rsidR="00000000" w:rsidRDefault="00C1661D">
            <w:pPr>
              <w:spacing w:after="100"/>
              <w:jc w:val="right"/>
              <w:rPr>
                <w:rFonts w:eastAsia="Times New Roman"/>
              </w:rPr>
            </w:pPr>
            <w:r>
              <w:rPr>
                <w:rFonts w:eastAsia="Times New Roman"/>
                <w:color w:val="000000"/>
                <w:sz w:val="16"/>
                <w:szCs w:val="16"/>
              </w:rPr>
              <w:t>(42)</w:t>
            </w:r>
          </w:p>
        </w:tc>
        <w:tc>
          <w:tcPr>
            <w:tcW w:w="0" w:type="auto"/>
            <w:shd w:val="clear" w:color="auto" w:fill="FFFFFF"/>
            <w:tcMar>
              <w:top w:w="30" w:type="dxa"/>
              <w:left w:w="0" w:type="dxa"/>
              <w:bottom w:w="30" w:type="dxa"/>
              <w:right w:w="20" w:type="dxa"/>
            </w:tcMar>
            <w:vAlign w:val="bottom"/>
            <w:hideMark/>
          </w:tcPr>
          <w:p w14:paraId="0AC9E37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78EF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A37710" w14:textId="77777777" w:rsidR="00000000" w:rsidRDefault="00C1661D">
            <w:pPr>
              <w:spacing w:after="100"/>
              <w:jc w:val="right"/>
              <w:rPr>
                <w:rFonts w:eastAsia="Times New Roman"/>
              </w:rPr>
            </w:pPr>
            <w:r>
              <w:rPr>
                <w:rFonts w:eastAsia="Times New Roman"/>
                <w:color w:val="000000"/>
                <w:sz w:val="16"/>
                <w:szCs w:val="16"/>
              </w:rPr>
              <w:t>(54)</w:t>
            </w:r>
          </w:p>
        </w:tc>
        <w:tc>
          <w:tcPr>
            <w:tcW w:w="0" w:type="auto"/>
            <w:shd w:val="clear" w:color="auto" w:fill="FFFFFF"/>
            <w:tcMar>
              <w:top w:w="30" w:type="dxa"/>
              <w:left w:w="0" w:type="dxa"/>
              <w:bottom w:w="30" w:type="dxa"/>
              <w:right w:w="20" w:type="dxa"/>
            </w:tcMar>
            <w:vAlign w:val="bottom"/>
            <w:hideMark/>
          </w:tcPr>
          <w:p w14:paraId="701B6D9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4900D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B22C04" w14:textId="77777777" w:rsidR="00000000" w:rsidRDefault="00C1661D">
            <w:pPr>
              <w:spacing w:after="100"/>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14:paraId="2C4F9595" w14:textId="77777777" w:rsidR="00000000" w:rsidRDefault="00C1661D">
            <w:pPr>
              <w:spacing w:after="100"/>
              <w:jc w:val="right"/>
              <w:rPr>
                <w:rFonts w:eastAsia="Times New Roman"/>
              </w:rPr>
            </w:pPr>
          </w:p>
        </w:tc>
      </w:tr>
      <w:tr w:rsidR="00000000" w14:paraId="3DAAEE43" w14:textId="77777777">
        <w:trPr>
          <w:divId w:val="610673252"/>
        </w:trPr>
        <w:tc>
          <w:tcPr>
            <w:tcW w:w="0" w:type="auto"/>
            <w:gridSpan w:val="3"/>
            <w:shd w:val="clear" w:color="auto" w:fill="CCEEFF"/>
            <w:tcMar>
              <w:top w:w="30" w:type="dxa"/>
              <w:left w:w="155" w:type="dxa"/>
              <w:bottom w:w="30" w:type="dxa"/>
              <w:right w:w="20" w:type="dxa"/>
            </w:tcMar>
            <w:vAlign w:val="bottom"/>
            <w:hideMark/>
          </w:tcPr>
          <w:p w14:paraId="63E56BA1" w14:textId="77777777" w:rsidR="00000000" w:rsidRDefault="00C1661D">
            <w:pPr>
              <w:spacing w:after="100"/>
              <w:rPr>
                <w:rFonts w:eastAsia="Times New Roman"/>
              </w:rPr>
            </w:pPr>
            <w:r>
              <w:rPr>
                <w:rFonts w:eastAsia="Times New Roman"/>
                <w:color w:val="000000"/>
                <w:sz w:val="16"/>
                <w:szCs w:val="16"/>
              </w:rPr>
              <w:t>Income tax (expense) benefit</w:t>
            </w:r>
          </w:p>
        </w:tc>
        <w:tc>
          <w:tcPr>
            <w:tcW w:w="0" w:type="auto"/>
            <w:gridSpan w:val="2"/>
            <w:shd w:val="clear" w:color="auto" w:fill="CCEEFF"/>
            <w:tcMar>
              <w:top w:w="30" w:type="dxa"/>
              <w:left w:w="20" w:type="dxa"/>
              <w:bottom w:w="30" w:type="dxa"/>
              <w:right w:w="0" w:type="dxa"/>
            </w:tcMar>
            <w:vAlign w:val="bottom"/>
            <w:hideMark/>
          </w:tcPr>
          <w:p w14:paraId="735EEB75" w14:textId="77777777" w:rsidR="00000000" w:rsidRDefault="00C1661D">
            <w:pPr>
              <w:spacing w:after="100"/>
              <w:jc w:val="right"/>
              <w:rPr>
                <w:rFonts w:eastAsia="Times New Roman"/>
              </w:rPr>
            </w:pPr>
            <w:r>
              <w:rPr>
                <w:rFonts w:eastAsia="Times New Roman"/>
                <w:color w:val="000000"/>
                <w:sz w:val="16"/>
                <w:szCs w:val="16"/>
              </w:rPr>
              <w:t>(135)</w:t>
            </w:r>
          </w:p>
        </w:tc>
        <w:tc>
          <w:tcPr>
            <w:tcW w:w="0" w:type="auto"/>
            <w:shd w:val="clear" w:color="auto" w:fill="CCEEFF"/>
            <w:tcMar>
              <w:top w:w="30" w:type="dxa"/>
              <w:left w:w="0" w:type="dxa"/>
              <w:bottom w:w="30" w:type="dxa"/>
              <w:right w:w="20" w:type="dxa"/>
            </w:tcMar>
            <w:vAlign w:val="bottom"/>
            <w:hideMark/>
          </w:tcPr>
          <w:p w14:paraId="1B7BDDE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FC4D5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30EB4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2C01FB8"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F8DD6DF" w14:textId="77777777" w:rsidR="00000000" w:rsidRDefault="00C1661D">
            <w:pPr>
              <w:spacing w:after="100"/>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0F78FAC3" w14:textId="77777777" w:rsidR="00000000" w:rsidRDefault="00C1661D">
            <w:pPr>
              <w:spacing w:after="100"/>
              <w:jc w:val="right"/>
              <w:rPr>
                <w:rFonts w:eastAsia="Times New Roman"/>
              </w:rPr>
            </w:pPr>
            <w:r>
              <w:rPr>
                <w:rFonts w:eastAsia="Times New Roman"/>
                <w:color w:val="000000"/>
                <w:sz w:val="16"/>
                <w:szCs w:val="16"/>
              </w:rPr>
              <w:t>(53)</w:t>
            </w:r>
          </w:p>
        </w:tc>
        <w:tc>
          <w:tcPr>
            <w:tcW w:w="0" w:type="auto"/>
            <w:shd w:val="clear" w:color="auto" w:fill="CCEEFF"/>
            <w:tcMar>
              <w:top w:w="30" w:type="dxa"/>
              <w:left w:w="0" w:type="dxa"/>
              <w:bottom w:w="30" w:type="dxa"/>
              <w:right w:w="20" w:type="dxa"/>
            </w:tcMar>
            <w:vAlign w:val="bottom"/>
            <w:hideMark/>
          </w:tcPr>
          <w:p w14:paraId="2F38C4D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40FD9"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40C3F5" w14:textId="77777777" w:rsidR="00000000" w:rsidRDefault="00C1661D">
            <w:pPr>
              <w:spacing w:after="100"/>
              <w:jc w:val="right"/>
              <w:rPr>
                <w:rFonts w:eastAsia="Times New Roman"/>
              </w:rPr>
            </w:pPr>
            <w:r>
              <w:rPr>
                <w:rFonts w:eastAsia="Times New Roman"/>
                <w:color w:val="000000"/>
                <w:sz w:val="16"/>
                <w:szCs w:val="16"/>
              </w:rPr>
              <w:t>(55)</w:t>
            </w:r>
          </w:p>
        </w:tc>
        <w:tc>
          <w:tcPr>
            <w:tcW w:w="0" w:type="auto"/>
            <w:shd w:val="clear" w:color="auto" w:fill="CCEEFF"/>
            <w:tcMar>
              <w:top w:w="30" w:type="dxa"/>
              <w:left w:w="0" w:type="dxa"/>
              <w:bottom w:w="30" w:type="dxa"/>
              <w:right w:w="20" w:type="dxa"/>
            </w:tcMar>
            <w:vAlign w:val="bottom"/>
            <w:hideMark/>
          </w:tcPr>
          <w:p w14:paraId="5EAA7CD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8376E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765EDA" w14:textId="77777777" w:rsidR="00000000" w:rsidRDefault="00C1661D">
            <w:pPr>
              <w:spacing w:after="100"/>
              <w:jc w:val="right"/>
              <w:rPr>
                <w:rFonts w:eastAsia="Times New Roman"/>
              </w:rPr>
            </w:pPr>
            <w:r>
              <w:rPr>
                <w:rFonts w:eastAsia="Times New Roman"/>
                <w:color w:val="000000"/>
                <w:sz w:val="16"/>
                <w:szCs w:val="16"/>
              </w:rPr>
              <w:t>(34)</w:t>
            </w:r>
          </w:p>
        </w:tc>
        <w:tc>
          <w:tcPr>
            <w:tcW w:w="0" w:type="auto"/>
            <w:shd w:val="clear" w:color="auto" w:fill="CCEEFF"/>
            <w:tcMar>
              <w:top w:w="30" w:type="dxa"/>
              <w:left w:w="0" w:type="dxa"/>
              <w:bottom w:w="30" w:type="dxa"/>
              <w:right w:w="20" w:type="dxa"/>
            </w:tcMar>
            <w:vAlign w:val="bottom"/>
            <w:hideMark/>
          </w:tcPr>
          <w:p w14:paraId="2321BB9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268D5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09E5C7" w14:textId="77777777" w:rsidR="00000000" w:rsidRDefault="00C1661D">
            <w:pPr>
              <w:spacing w:after="100"/>
              <w:jc w:val="right"/>
              <w:rPr>
                <w:rFonts w:eastAsia="Times New Roman"/>
              </w:rPr>
            </w:pPr>
            <w:r>
              <w:rPr>
                <w:rFonts w:eastAsia="Times New Roman"/>
                <w:color w:val="000000"/>
                <w:sz w:val="16"/>
                <w:szCs w:val="16"/>
              </w:rPr>
              <w:t>(39)</w:t>
            </w:r>
          </w:p>
        </w:tc>
        <w:tc>
          <w:tcPr>
            <w:tcW w:w="0" w:type="auto"/>
            <w:shd w:val="clear" w:color="auto" w:fill="CCEEFF"/>
            <w:tcMar>
              <w:top w:w="30" w:type="dxa"/>
              <w:left w:w="0" w:type="dxa"/>
              <w:bottom w:w="30" w:type="dxa"/>
              <w:right w:w="20" w:type="dxa"/>
            </w:tcMar>
            <w:vAlign w:val="bottom"/>
            <w:hideMark/>
          </w:tcPr>
          <w:p w14:paraId="10C0D79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1B7C98" w14:textId="77777777" w:rsidR="00000000" w:rsidRDefault="00C1661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687AAA9" w14:textId="77777777" w:rsidR="00000000" w:rsidRDefault="00C1661D">
            <w:pPr>
              <w:spacing w:after="100"/>
              <w:jc w:val="right"/>
              <w:rPr>
                <w:rFonts w:eastAsia="Times New Roman"/>
              </w:rPr>
            </w:pPr>
            <w:r>
              <w:rPr>
                <w:rFonts w:eastAsia="Times New Roman"/>
                <w:color w:val="000000"/>
                <w:sz w:val="16"/>
                <w:szCs w:val="16"/>
              </w:rPr>
              <w:t>46</w:t>
            </w:r>
          </w:p>
        </w:tc>
      </w:tr>
      <w:tr w:rsidR="00000000" w14:paraId="47648073" w14:textId="77777777">
        <w:trPr>
          <w:divId w:val="610673252"/>
        </w:trPr>
        <w:tc>
          <w:tcPr>
            <w:tcW w:w="0" w:type="auto"/>
            <w:gridSpan w:val="3"/>
            <w:vAlign w:val="center"/>
            <w:hideMark/>
          </w:tcPr>
          <w:p w14:paraId="61834426" w14:textId="77777777" w:rsidR="00000000" w:rsidRDefault="00C1661D">
            <w:pPr>
              <w:spacing w:after="100"/>
              <w:jc w:val="right"/>
              <w:rPr>
                <w:rFonts w:eastAsia="Times New Roman"/>
              </w:rPr>
            </w:pPr>
          </w:p>
        </w:tc>
        <w:tc>
          <w:tcPr>
            <w:tcW w:w="0" w:type="auto"/>
            <w:gridSpan w:val="3"/>
            <w:vAlign w:val="center"/>
            <w:hideMark/>
          </w:tcPr>
          <w:p w14:paraId="03DA4E69" w14:textId="77777777" w:rsidR="00000000" w:rsidRDefault="00C1661D">
            <w:pPr>
              <w:spacing w:after="100"/>
              <w:rPr>
                <w:rFonts w:eastAsia="Times New Roman"/>
                <w:sz w:val="20"/>
                <w:szCs w:val="20"/>
              </w:rPr>
            </w:pPr>
          </w:p>
        </w:tc>
        <w:tc>
          <w:tcPr>
            <w:tcW w:w="0" w:type="auto"/>
            <w:gridSpan w:val="3"/>
            <w:vAlign w:val="center"/>
            <w:hideMark/>
          </w:tcPr>
          <w:p w14:paraId="68FEB522" w14:textId="77777777" w:rsidR="00000000" w:rsidRDefault="00C1661D">
            <w:pPr>
              <w:spacing w:after="100"/>
              <w:rPr>
                <w:rFonts w:eastAsia="Times New Roman"/>
                <w:sz w:val="20"/>
                <w:szCs w:val="20"/>
              </w:rPr>
            </w:pPr>
          </w:p>
        </w:tc>
        <w:tc>
          <w:tcPr>
            <w:tcW w:w="0" w:type="auto"/>
            <w:gridSpan w:val="3"/>
            <w:vAlign w:val="center"/>
            <w:hideMark/>
          </w:tcPr>
          <w:p w14:paraId="0E77D2E3" w14:textId="77777777" w:rsidR="00000000" w:rsidRDefault="00C1661D">
            <w:pPr>
              <w:spacing w:after="100"/>
              <w:rPr>
                <w:rFonts w:eastAsia="Times New Roman"/>
                <w:sz w:val="20"/>
                <w:szCs w:val="20"/>
              </w:rPr>
            </w:pPr>
          </w:p>
        </w:tc>
        <w:tc>
          <w:tcPr>
            <w:tcW w:w="0" w:type="auto"/>
            <w:gridSpan w:val="3"/>
            <w:vAlign w:val="center"/>
            <w:hideMark/>
          </w:tcPr>
          <w:p w14:paraId="25E219C5" w14:textId="77777777" w:rsidR="00000000" w:rsidRDefault="00C1661D">
            <w:pPr>
              <w:spacing w:after="100"/>
              <w:rPr>
                <w:rFonts w:eastAsia="Times New Roman"/>
                <w:sz w:val="20"/>
                <w:szCs w:val="20"/>
              </w:rPr>
            </w:pPr>
          </w:p>
        </w:tc>
        <w:tc>
          <w:tcPr>
            <w:tcW w:w="0" w:type="auto"/>
            <w:gridSpan w:val="3"/>
            <w:vAlign w:val="center"/>
            <w:hideMark/>
          </w:tcPr>
          <w:p w14:paraId="6E036318" w14:textId="77777777" w:rsidR="00000000" w:rsidRDefault="00C1661D">
            <w:pPr>
              <w:spacing w:after="100"/>
              <w:rPr>
                <w:rFonts w:eastAsia="Times New Roman"/>
                <w:sz w:val="20"/>
                <w:szCs w:val="20"/>
              </w:rPr>
            </w:pPr>
          </w:p>
        </w:tc>
        <w:tc>
          <w:tcPr>
            <w:tcW w:w="0" w:type="auto"/>
            <w:gridSpan w:val="3"/>
            <w:vAlign w:val="center"/>
            <w:hideMark/>
          </w:tcPr>
          <w:p w14:paraId="12FD8955" w14:textId="77777777" w:rsidR="00000000" w:rsidRDefault="00C1661D">
            <w:pPr>
              <w:spacing w:after="100"/>
              <w:rPr>
                <w:rFonts w:eastAsia="Times New Roman"/>
                <w:sz w:val="20"/>
                <w:szCs w:val="20"/>
              </w:rPr>
            </w:pPr>
          </w:p>
        </w:tc>
        <w:tc>
          <w:tcPr>
            <w:tcW w:w="0" w:type="auto"/>
            <w:gridSpan w:val="3"/>
            <w:vAlign w:val="center"/>
            <w:hideMark/>
          </w:tcPr>
          <w:p w14:paraId="238A2DDD" w14:textId="77777777" w:rsidR="00000000" w:rsidRDefault="00C1661D">
            <w:pPr>
              <w:spacing w:after="100"/>
              <w:rPr>
                <w:rFonts w:eastAsia="Times New Roman"/>
                <w:sz w:val="20"/>
                <w:szCs w:val="20"/>
              </w:rPr>
            </w:pPr>
          </w:p>
        </w:tc>
        <w:tc>
          <w:tcPr>
            <w:tcW w:w="0" w:type="auto"/>
            <w:gridSpan w:val="3"/>
            <w:vAlign w:val="center"/>
            <w:hideMark/>
          </w:tcPr>
          <w:p w14:paraId="070E42AB" w14:textId="77777777" w:rsidR="00000000" w:rsidRDefault="00C1661D">
            <w:pPr>
              <w:spacing w:after="100"/>
              <w:rPr>
                <w:rFonts w:eastAsia="Times New Roman"/>
                <w:sz w:val="20"/>
                <w:szCs w:val="20"/>
              </w:rPr>
            </w:pPr>
          </w:p>
        </w:tc>
        <w:tc>
          <w:tcPr>
            <w:tcW w:w="0" w:type="auto"/>
            <w:gridSpan w:val="3"/>
            <w:vAlign w:val="center"/>
            <w:hideMark/>
          </w:tcPr>
          <w:p w14:paraId="49204342" w14:textId="77777777" w:rsidR="00000000" w:rsidRDefault="00C1661D">
            <w:pPr>
              <w:spacing w:after="100"/>
              <w:rPr>
                <w:rFonts w:eastAsia="Times New Roman"/>
                <w:sz w:val="20"/>
                <w:szCs w:val="20"/>
              </w:rPr>
            </w:pPr>
          </w:p>
        </w:tc>
        <w:tc>
          <w:tcPr>
            <w:tcW w:w="0" w:type="auto"/>
            <w:gridSpan w:val="3"/>
            <w:vAlign w:val="center"/>
            <w:hideMark/>
          </w:tcPr>
          <w:p w14:paraId="75C10A19" w14:textId="77777777" w:rsidR="00000000" w:rsidRDefault="00C1661D">
            <w:pPr>
              <w:spacing w:after="100"/>
              <w:rPr>
                <w:rFonts w:eastAsia="Times New Roman"/>
                <w:sz w:val="20"/>
                <w:szCs w:val="20"/>
              </w:rPr>
            </w:pPr>
          </w:p>
        </w:tc>
        <w:tc>
          <w:tcPr>
            <w:tcW w:w="0" w:type="auto"/>
            <w:gridSpan w:val="3"/>
            <w:vAlign w:val="center"/>
            <w:hideMark/>
          </w:tcPr>
          <w:p w14:paraId="09AD5A18" w14:textId="77777777" w:rsidR="00000000" w:rsidRDefault="00C1661D">
            <w:pPr>
              <w:spacing w:after="100"/>
              <w:rPr>
                <w:rFonts w:eastAsia="Times New Roman"/>
                <w:sz w:val="20"/>
                <w:szCs w:val="20"/>
              </w:rPr>
            </w:pPr>
          </w:p>
        </w:tc>
        <w:tc>
          <w:tcPr>
            <w:tcW w:w="0" w:type="auto"/>
            <w:gridSpan w:val="3"/>
            <w:vAlign w:val="center"/>
            <w:hideMark/>
          </w:tcPr>
          <w:p w14:paraId="5A660BAE" w14:textId="77777777" w:rsidR="00000000" w:rsidRDefault="00C1661D">
            <w:pPr>
              <w:spacing w:after="100"/>
              <w:rPr>
                <w:rFonts w:eastAsia="Times New Roman"/>
                <w:sz w:val="20"/>
                <w:szCs w:val="20"/>
              </w:rPr>
            </w:pPr>
          </w:p>
        </w:tc>
        <w:tc>
          <w:tcPr>
            <w:tcW w:w="0" w:type="auto"/>
            <w:gridSpan w:val="3"/>
            <w:vAlign w:val="center"/>
            <w:hideMark/>
          </w:tcPr>
          <w:p w14:paraId="17DAFE8F" w14:textId="77777777" w:rsidR="00000000" w:rsidRDefault="00C1661D">
            <w:pPr>
              <w:spacing w:after="100"/>
              <w:rPr>
                <w:rFonts w:eastAsia="Times New Roman"/>
                <w:sz w:val="20"/>
                <w:szCs w:val="20"/>
              </w:rPr>
            </w:pPr>
          </w:p>
        </w:tc>
      </w:tr>
      <w:tr w:rsidR="00C1661D" w14:paraId="541AB223" w14:textId="77777777">
        <w:trPr>
          <w:divId w:val="610673252"/>
        </w:trPr>
        <w:tc>
          <w:tcPr>
            <w:tcW w:w="0" w:type="auto"/>
            <w:gridSpan w:val="3"/>
            <w:shd w:val="clear" w:color="auto" w:fill="FFFFFF"/>
            <w:tcMar>
              <w:top w:w="30" w:type="dxa"/>
              <w:left w:w="155" w:type="dxa"/>
              <w:bottom w:w="30" w:type="dxa"/>
              <w:right w:w="20" w:type="dxa"/>
            </w:tcMar>
            <w:vAlign w:val="bottom"/>
            <w:hideMark/>
          </w:tcPr>
          <w:p w14:paraId="75A0A712" w14:textId="77777777" w:rsidR="00000000" w:rsidRDefault="00C1661D">
            <w:pPr>
              <w:spacing w:after="100"/>
              <w:rPr>
                <w:rFonts w:eastAsia="Times New Roman"/>
              </w:rPr>
            </w:pPr>
            <w:r>
              <w:rPr>
                <w:rFonts w:eastAsia="Times New Roman"/>
                <w:color w:val="000000"/>
                <w:sz w:val="16"/>
                <w:szCs w:val="16"/>
              </w:rPr>
              <w:t>Net income (loss) attributable to UGI</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F3661F0"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580C87" w14:textId="77777777" w:rsidR="00000000" w:rsidRDefault="00C1661D">
            <w:pPr>
              <w:spacing w:after="100"/>
              <w:jc w:val="right"/>
              <w:rPr>
                <w:rFonts w:eastAsia="Times New Roman"/>
              </w:rPr>
            </w:pPr>
            <w:r>
              <w:rPr>
                <w:rFonts w:eastAsia="Times New Roman"/>
                <w:color w:val="000000"/>
                <w:sz w:val="16"/>
                <w:szCs w:val="16"/>
              </w:rPr>
              <w:t>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E576C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0B758F"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8A9B5AE"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1ABC008"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F2DB5B"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3D613D7" w14:textId="77777777" w:rsidR="00000000" w:rsidRDefault="00C1661D">
            <w:pPr>
              <w:spacing w:after="100"/>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6C3FA85"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6E8ADF" w14:textId="77777777" w:rsidR="00000000" w:rsidRDefault="00C1661D">
            <w:pPr>
              <w:spacing w:after="100"/>
              <w:jc w:val="right"/>
              <w:rPr>
                <w:rFonts w:eastAsia="Times New Roman"/>
              </w:rPr>
            </w:pPr>
            <w:r>
              <w:rPr>
                <w:rFonts w:eastAsia="Times New Roman"/>
                <w:color w:val="000000"/>
                <w:sz w:val="16"/>
                <w:szCs w:val="16"/>
              </w:rPr>
              <w:t>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D25C9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36BC96"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ED9505"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7AA215" w14:textId="77777777" w:rsidR="00000000" w:rsidRDefault="00C1661D">
            <w:pPr>
              <w:spacing w:after="100"/>
              <w:jc w:val="right"/>
              <w:rPr>
                <w:rFonts w:eastAsia="Times New Roman"/>
              </w:rPr>
            </w:pPr>
            <w:r>
              <w:rPr>
                <w:rFonts w:eastAsia="Times New Roman"/>
                <w:color w:val="000000"/>
                <w:sz w:val="16"/>
                <w:szCs w:val="16"/>
              </w:rPr>
              <w:t>173 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A8BB2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F8DA6"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689D6AC"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0FD5542" w14:textId="77777777" w:rsidR="00000000" w:rsidRDefault="00C1661D">
            <w:pPr>
              <w:spacing w:after="100"/>
              <w:jc w:val="right"/>
              <w:rPr>
                <w:rFonts w:eastAsia="Times New Roman"/>
              </w:rPr>
            </w:pPr>
            <w:r>
              <w:rPr>
                <w:rFonts w:eastAsia="Times New Roman"/>
                <w:color w:val="000000"/>
                <w:sz w:val="16"/>
                <w:szCs w:val="16"/>
              </w:rPr>
              <w:t>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BC977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0BD645"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2802B0"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FBE9D0" w14:textId="77777777" w:rsidR="00000000" w:rsidRDefault="00C1661D">
            <w:pPr>
              <w:spacing w:after="100"/>
              <w:jc w:val="right"/>
              <w:rPr>
                <w:rFonts w:eastAsia="Times New Roman"/>
              </w:rPr>
            </w:pPr>
            <w:r>
              <w:rPr>
                <w:rFonts w:eastAsia="Times New Roman"/>
                <w:color w:val="000000"/>
                <w:sz w:val="16"/>
                <w:szCs w:val="16"/>
              </w:rPr>
              <w:t>136 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459C2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4DBA9"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8EBCB85"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8EB8116" w14:textId="77777777" w:rsidR="00000000" w:rsidRDefault="00C1661D">
            <w:pPr>
              <w:spacing w:after="100"/>
              <w:jc w:val="right"/>
              <w:rPr>
                <w:rFonts w:eastAsia="Times New Roman"/>
              </w:rPr>
            </w:pPr>
            <w:r>
              <w:rPr>
                <w:rFonts w:eastAsia="Times New Roman"/>
                <w:color w:val="000000"/>
                <w:sz w:val="16"/>
                <w:szCs w:val="16"/>
              </w:rPr>
              <w:t>(25)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C405AE" w14:textId="77777777" w:rsidR="00000000" w:rsidRDefault="00C1661D">
            <w:pPr>
              <w:spacing w:after="100"/>
              <w:jc w:val="right"/>
              <w:rPr>
                <w:rFonts w:eastAsia="Times New Roman"/>
              </w:rPr>
            </w:pPr>
          </w:p>
        </w:tc>
      </w:tr>
      <w:tr w:rsidR="00C1661D" w14:paraId="55F4F409" w14:textId="77777777">
        <w:trPr>
          <w:divId w:val="610673252"/>
        </w:trPr>
        <w:tc>
          <w:tcPr>
            <w:tcW w:w="0" w:type="auto"/>
            <w:gridSpan w:val="3"/>
            <w:shd w:val="clear" w:color="auto" w:fill="CCEEFF"/>
            <w:tcMar>
              <w:top w:w="30" w:type="dxa"/>
              <w:left w:w="155" w:type="dxa"/>
              <w:bottom w:w="30" w:type="dxa"/>
              <w:right w:w="20" w:type="dxa"/>
            </w:tcMar>
            <w:vAlign w:val="bottom"/>
            <w:hideMark/>
          </w:tcPr>
          <w:p w14:paraId="1F30BEF6" w14:textId="77777777" w:rsidR="00000000" w:rsidRDefault="00C1661D">
            <w:pPr>
              <w:spacing w:after="100"/>
              <w:rPr>
                <w:rFonts w:eastAsia="Times New Roman"/>
              </w:rPr>
            </w:pPr>
            <w:r>
              <w:rPr>
                <w:rFonts w:eastAsia="Times New Roman"/>
                <w:color w:val="000000"/>
                <w:sz w:val="16"/>
                <w:szCs w:val="16"/>
              </w:rPr>
              <w:t>Depreciation and amortization</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C1A9978"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37E499E" w14:textId="77777777" w:rsidR="00000000" w:rsidRDefault="00C1661D">
            <w:pPr>
              <w:spacing w:after="100"/>
              <w:jc w:val="right"/>
              <w:rPr>
                <w:rFonts w:eastAsia="Times New Roman"/>
              </w:rPr>
            </w:pPr>
            <w:r>
              <w:rPr>
                <w:rFonts w:eastAsia="Times New Roman"/>
                <w:color w:val="000000"/>
                <w:sz w:val="16"/>
                <w:szCs w:val="16"/>
              </w:rPr>
              <w:t>484 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EDAEEA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01E4EA"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3B7CF08"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D8E4091" w14:textId="77777777" w:rsidR="00000000" w:rsidRDefault="00C1661D">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54FF2A3"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71C29B5" w14:textId="77777777" w:rsidR="00000000" w:rsidRDefault="00C1661D">
            <w:pPr>
              <w:spacing w:after="100"/>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E79046F"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3ABDD95" w14:textId="77777777" w:rsidR="00000000" w:rsidRDefault="00C1661D">
            <w:pPr>
              <w:spacing w:after="100"/>
              <w:jc w:val="right"/>
              <w:rPr>
                <w:rFonts w:eastAsia="Times New Roman"/>
              </w:rPr>
            </w:pPr>
            <w:r>
              <w:rPr>
                <w:rFonts w:eastAsia="Times New Roman"/>
                <w:color w:val="000000"/>
                <w:sz w:val="16"/>
                <w:szCs w:val="16"/>
              </w:rPr>
              <w:t>178 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3606D0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428AF8"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4DA0A23"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BC3A37A" w14:textId="77777777" w:rsidR="00000000" w:rsidRDefault="00C1661D">
            <w:pPr>
              <w:spacing w:after="100"/>
              <w:jc w:val="right"/>
              <w:rPr>
                <w:rFonts w:eastAsia="Times New Roman"/>
              </w:rPr>
            </w:pPr>
            <w:r>
              <w:rPr>
                <w:rFonts w:eastAsia="Times New Roman"/>
                <w:color w:val="000000"/>
                <w:sz w:val="16"/>
                <w:szCs w:val="16"/>
              </w:rPr>
              <w:t>125 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B63531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7760C"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DF851EC"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A6BA0FB" w14:textId="77777777" w:rsidR="00000000" w:rsidRDefault="00C1661D">
            <w:pPr>
              <w:spacing w:after="100"/>
              <w:jc w:val="right"/>
              <w:rPr>
                <w:rFonts w:eastAsia="Times New Roman"/>
              </w:rPr>
            </w:pPr>
            <w:r>
              <w:rPr>
                <w:rFonts w:eastAsia="Times New Roman"/>
                <w:color w:val="000000"/>
                <w:sz w:val="16"/>
                <w:szCs w:val="16"/>
              </w:rPr>
              <w:t>75 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E0B734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52708B"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DB440BD"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7246DFF" w14:textId="77777777" w:rsidR="00000000" w:rsidRDefault="00C1661D">
            <w:pPr>
              <w:spacing w:after="100"/>
              <w:jc w:val="right"/>
              <w:rPr>
                <w:rFonts w:eastAsia="Times New Roman"/>
              </w:rPr>
            </w:pPr>
            <w:r>
              <w:rPr>
                <w:rFonts w:eastAsia="Times New Roman"/>
                <w:color w:val="000000"/>
                <w:sz w:val="16"/>
                <w:szCs w:val="16"/>
              </w:rPr>
              <w:t>105 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B9CB99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888330"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E1D9E3A" w14:textId="77777777" w:rsidR="00000000" w:rsidRDefault="00C1661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14C1673" w14:textId="77777777" w:rsidR="00000000" w:rsidRDefault="00C1661D">
            <w:pPr>
              <w:spacing w:after="100"/>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F060B86" w14:textId="77777777" w:rsidR="00000000" w:rsidRDefault="00C1661D">
            <w:pPr>
              <w:spacing w:after="100"/>
              <w:jc w:val="right"/>
              <w:rPr>
                <w:rFonts w:eastAsia="Times New Roman"/>
              </w:rPr>
            </w:pPr>
          </w:p>
        </w:tc>
      </w:tr>
      <w:tr w:rsidR="00C1661D" w14:paraId="4FCB49B5" w14:textId="77777777">
        <w:trPr>
          <w:divId w:val="610673252"/>
        </w:trPr>
        <w:tc>
          <w:tcPr>
            <w:tcW w:w="0" w:type="auto"/>
            <w:gridSpan w:val="3"/>
            <w:shd w:val="clear" w:color="auto" w:fill="FFFFFF"/>
            <w:tcMar>
              <w:top w:w="30" w:type="dxa"/>
              <w:left w:w="155" w:type="dxa"/>
              <w:bottom w:w="30" w:type="dxa"/>
              <w:right w:w="20" w:type="dxa"/>
            </w:tcMar>
            <w:vAlign w:val="bottom"/>
            <w:hideMark/>
          </w:tcPr>
          <w:p w14:paraId="3142EDE3" w14:textId="77777777" w:rsidR="00000000" w:rsidRDefault="00C1661D">
            <w:pPr>
              <w:spacing w:after="100"/>
              <w:rPr>
                <w:rFonts w:eastAsia="Times New Roman"/>
              </w:rPr>
            </w:pPr>
            <w:r>
              <w:rPr>
                <w:rFonts w:eastAsia="Times New Roman"/>
                <w:color w:val="000000"/>
                <w:sz w:val="16"/>
                <w:szCs w:val="16"/>
              </w:rPr>
              <w:t>Total assets</w:t>
            </w:r>
          </w:p>
        </w:tc>
        <w:tc>
          <w:tcPr>
            <w:tcW w:w="0" w:type="auto"/>
            <w:shd w:val="clear" w:color="auto" w:fill="FFFFFF"/>
            <w:tcMar>
              <w:top w:w="30" w:type="dxa"/>
              <w:left w:w="20" w:type="dxa"/>
              <w:bottom w:w="30" w:type="dxa"/>
              <w:right w:w="0" w:type="dxa"/>
            </w:tcMar>
            <w:vAlign w:val="bottom"/>
            <w:hideMark/>
          </w:tcPr>
          <w:p w14:paraId="6FACF787"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9A0DC9E" w14:textId="77777777" w:rsidR="00000000" w:rsidRDefault="00C1661D">
            <w:pPr>
              <w:spacing w:after="100"/>
              <w:jc w:val="right"/>
              <w:rPr>
                <w:rFonts w:eastAsia="Times New Roman"/>
              </w:rPr>
            </w:pPr>
            <w:r>
              <w:rPr>
                <w:rFonts w:eastAsia="Times New Roman"/>
                <w:color w:val="000000"/>
                <w:sz w:val="16"/>
                <w:szCs w:val="16"/>
              </w:rPr>
              <w:t>13,985 </w:t>
            </w:r>
          </w:p>
        </w:tc>
        <w:tc>
          <w:tcPr>
            <w:tcW w:w="0" w:type="auto"/>
            <w:shd w:val="clear" w:color="auto" w:fill="FFFFFF"/>
            <w:tcMar>
              <w:top w:w="30" w:type="dxa"/>
              <w:left w:w="0" w:type="dxa"/>
              <w:bottom w:w="30" w:type="dxa"/>
              <w:right w:w="20" w:type="dxa"/>
            </w:tcMar>
            <w:vAlign w:val="bottom"/>
            <w:hideMark/>
          </w:tcPr>
          <w:p w14:paraId="0B3C8CD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F4D09B"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6F38760"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79D4924" w14:textId="77777777" w:rsidR="00000000" w:rsidRDefault="00C1661D">
            <w:pPr>
              <w:spacing w:after="100"/>
              <w:jc w:val="right"/>
              <w:rPr>
                <w:rFonts w:eastAsia="Times New Roman"/>
              </w:rPr>
            </w:pPr>
            <w:r>
              <w:rPr>
                <w:rFonts w:eastAsia="Times New Roman"/>
                <w:color w:val="000000"/>
                <w:sz w:val="16"/>
                <w:szCs w:val="16"/>
              </w:rPr>
              <w:t>(282)</w:t>
            </w:r>
          </w:p>
        </w:tc>
        <w:tc>
          <w:tcPr>
            <w:tcW w:w="0" w:type="auto"/>
            <w:shd w:val="clear" w:color="auto" w:fill="FFFFFF"/>
            <w:tcMar>
              <w:top w:w="30" w:type="dxa"/>
              <w:left w:w="0" w:type="dxa"/>
              <w:bottom w:w="30" w:type="dxa"/>
              <w:right w:w="20" w:type="dxa"/>
            </w:tcMar>
            <w:vAlign w:val="bottom"/>
            <w:hideMark/>
          </w:tcPr>
          <w:p w14:paraId="380BA6B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06D27B"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C58E07"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7E6781D" w14:textId="77777777" w:rsidR="00000000" w:rsidRDefault="00C1661D">
            <w:pPr>
              <w:spacing w:after="100"/>
              <w:jc w:val="right"/>
              <w:rPr>
                <w:rFonts w:eastAsia="Times New Roman"/>
              </w:rPr>
            </w:pPr>
            <w:r>
              <w:rPr>
                <w:rFonts w:eastAsia="Times New Roman"/>
                <w:color w:val="000000"/>
                <w:sz w:val="16"/>
                <w:szCs w:val="16"/>
              </w:rPr>
              <w:t>4,327 </w:t>
            </w:r>
          </w:p>
        </w:tc>
        <w:tc>
          <w:tcPr>
            <w:tcW w:w="0" w:type="auto"/>
            <w:shd w:val="clear" w:color="auto" w:fill="FFFFFF"/>
            <w:tcMar>
              <w:top w:w="30" w:type="dxa"/>
              <w:left w:w="0" w:type="dxa"/>
              <w:bottom w:w="30" w:type="dxa"/>
              <w:right w:w="20" w:type="dxa"/>
            </w:tcMar>
            <w:vAlign w:val="bottom"/>
            <w:hideMark/>
          </w:tcPr>
          <w:p w14:paraId="7F9AB4A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10FC0D"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FA25DF5"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2FB54BF" w14:textId="77777777" w:rsidR="00000000" w:rsidRDefault="00C1661D">
            <w:pPr>
              <w:spacing w:after="100"/>
              <w:jc w:val="right"/>
              <w:rPr>
                <w:rFonts w:eastAsia="Times New Roman"/>
              </w:rPr>
            </w:pPr>
            <w:r>
              <w:rPr>
                <w:rFonts w:eastAsia="Times New Roman"/>
                <w:color w:val="000000"/>
                <w:sz w:val="16"/>
                <w:szCs w:val="16"/>
              </w:rPr>
              <w:t>3,123 </w:t>
            </w:r>
          </w:p>
        </w:tc>
        <w:tc>
          <w:tcPr>
            <w:tcW w:w="0" w:type="auto"/>
            <w:shd w:val="clear" w:color="auto" w:fill="FFFFFF"/>
            <w:tcMar>
              <w:top w:w="30" w:type="dxa"/>
              <w:left w:w="0" w:type="dxa"/>
              <w:bottom w:w="30" w:type="dxa"/>
              <w:right w:w="20" w:type="dxa"/>
            </w:tcMar>
            <w:vAlign w:val="bottom"/>
            <w:hideMark/>
          </w:tcPr>
          <w:p w14:paraId="0EEF0DF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F66EE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096F08"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4F55AF4" w14:textId="77777777" w:rsidR="00000000" w:rsidRDefault="00C1661D">
            <w:pPr>
              <w:spacing w:after="100"/>
              <w:jc w:val="right"/>
              <w:rPr>
                <w:rFonts w:eastAsia="Times New Roman"/>
              </w:rPr>
            </w:pPr>
            <w:r>
              <w:rPr>
                <w:rFonts w:eastAsia="Times New Roman"/>
                <w:color w:val="000000"/>
                <w:sz w:val="16"/>
                <w:szCs w:val="16"/>
              </w:rPr>
              <w:t>2,775 </w:t>
            </w:r>
          </w:p>
        </w:tc>
        <w:tc>
          <w:tcPr>
            <w:tcW w:w="0" w:type="auto"/>
            <w:shd w:val="clear" w:color="auto" w:fill="FFFFFF"/>
            <w:tcMar>
              <w:top w:w="30" w:type="dxa"/>
              <w:left w:w="0" w:type="dxa"/>
              <w:bottom w:w="30" w:type="dxa"/>
              <w:right w:w="20" w:type="dxa"/>
            </w:tcMar>
            <w:vAlign w:val="bottom"/>
            <w:hideMark/>
          </w:tcPr>
          <w:p w14:paraId="73AEFC5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343D7"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1E456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D5A5AE4" w14:textId="77777777" w:rsidR="00000000" w:rsidRDefault="00C1661D">
            <w:pPr>
              <w:spacing w:after="100"/>
              <w:jc w:val="right"/>
              <w:rPr>
                <w:rFonts w:eastAsia="Times New Roman"/>
              </w:rPr>
            </w:pPr>
            <w:r>
              <w:rPr>
                <w:rFonts w:eastAsia="Times New Roman"/>
                <w:color w:val="000000"/>
                <w:sz w:val="16"/>
                <w:szCs w:val="16"/>
              </w:rPr>
              <w:t>3,809 </w:t>
            </w:r>
          </w:p>
        </w:tc>
        <w:tc>
          <w:tcPr>
            <w:tcW w:w="0" w:type="auto"/>
            <w:shd w:val="clear" w:color="auto" w:fill="FFFFFF"/>
            <w:tcMar>
              <w:top w:w="30" w:type="dxa"/>
              <w:left w:w="0" w:type="dxa"/>
              <w:bottom w:w="30" w:type="dxa"/>
              <w:right w:w="20" w:type="dxa"/>
            </w:tcMar>
            <w:vAlign w:val="bottom"/>
            <w:hideMark/>
          </w:tcPr>
          <w:p w14:paraId="2E5D8CB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EBD837"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3D2955D"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0B8F364" w14:textId="77777777" w:rsidR="00000000" w:rsidRDefault="00C1661D">
            <w:pPr>
              <w:spacing w:after="100"/>
              <w:jc w:val="right"/>
              <w:rPr>
                <w:rFonts w:eastAsia="Times New Roman"/>
              </w:rPr>
            </w:pPr>
            <w:r>
              <w:rPr>
                <w:rFonts w:eastAsia="Times New Roman"/>
                <w:color w:val="000000"/>
                <w:sz w:val="16"/>
                <w:szCs w:val="16"/>
              </w:rPr>
              <w:t>233 </w:t>
            </w:r>
          </w:p>
        </w:tc>
        <w:tc>
          <w:tcPr>
            <w:tcW w:w="0" w:type="auto"/>
            <w:shd w:val="clear" w:color="auto" w:fill="FFFFFF"/>
            <w:tcMar>
              <w:top w:w="30" w:type="dxa"/>
              <w:left w:w="0" w:type="dxa"/>
              <w:bottom w:w="30" w:type="dxa"/>
              <w:right w:w="20" w:type="dxa"/>
            </w:tcMar>
            <w:vAlign w:val="bottom"/>
            <w:hideMark/>
          </w:tcPr>
          <w:p w14:paraId="625E1EAA" w14:textId="77777777" w:rsidR="00000000" w:rsidRDefault="00C1661D">
            <w:pPr>
              <w:spacing w:after="100"/>
              <w:jc w:val="right"/>
              <w:rPr>
                <w:rFonts w:eastAsia="Times New Roman"/>
              </w:rPr>
            </w:pPr>
          </w:p>
        </w:tc>
      </w:tr>
      <w:tr w:rsidR="00C1661D" w14:paraId="73062EF4" w14:textId="77777777">
        <w:trPr>
          <w:divId w:val="610673252"/>
        </w:trPr>
        <w:tc>
          <w:tcPr>
            <w:tcW w:w="0" w:type="auto"/>
            <w:gridSpan w:val="3"/>
            <w:shd w:val="clear" w:color="auto" w:fill="CCEEFF"/>
            <w:tcMar>
              <w:top w:w="30" w:type="dxa"/>
              <w:left w:w="155" w:type="dxa"/>
              <w:bottom w:w="30" w:type="dxa"/>
              <w:right w:w="20" w:type="dxa"/>
            </w:tcMar>
            <w:vAlign w:val="bottom"/>
            <w:hideMark/>
          </w:tcPr>
          <w:p w14:paraId="44D77873" w14:textId="77777777" w:rsidR="00000000" w:rsidRDefault="00C1661D">
            <w:pPr>
              <w:spacing w:after="100"/>
              <w:rPr>
                <w:rFonts w:eastAsia="Times New Roman"/>
              </w:rPr>
            </w:pPr>
            <w:r>
              <w:rPr>
                <w:rFonts w:eastAsia="Times New Roman"/>
                <w:color w:val="000000"/>
                <w:sz w:val="16"/>
                <w:szCs w:val="16"/>
              </w:rPr>
              <w:t>Short-term borrowings</w:t>
            </w:r>
          </w:p>
        </w:tc>
        <w:tc>
          <w:tcPr>
            <w:tcW w:w="0" w:type="auto"/>
            <w:shd w:val="clear" w:color="auto" w:fill="CCEEFF"/>
            <w:tcMar>
              <w:top w:w="30" w:type="dxa"/>
              <w:left w:w="20" w:type="dxa"/>
              <w:bottom w:w="30" w:type="dxa"/>
              <w:right w:w="0" w:type="dxa"/>
            </w:tcMar>
            <w:vAlign w:val="bottom"/>
            <w:hideMark/>
          </w:tcPr>
          <w:p w14:paraId="1934A97F"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4573F30" w14:textId="77777777" w:rsidR="00000000" w:rsidRDefault="00C1661D">
            <w:pPr>
              <w:spacing w:after="100"/>
              <w:jc w:val="right"/>
              <w:rPr>
                <w:rFonts w:eastAsia="Times New Roman"/>
              </w:rPr>
            </w:pPr>
            <w:r>
              <w:rPr>
                <w:rFonts w:eastAsia="Times New Roman"/>
                <w:color w:val="000000"/>
                <w:sz w:val="16"/>
                <w:szCs w:val="16"/>
              </w:rPr>
              <w:t>347 </w:t>
            </w:r>
          </w:p>
        </w:tc>
        <w:tc>
          <w:tcPr>
            <w:tcW w:w="0" w:type="auto"/>
            <w:shd w:val="clear" w:color="auto" w:fill="CCEEFF"/>
            <w:tcMar>
              <w:top w:w="30" w:type="dxa"/>
              <w:left w:w="0" w:type="dxa"/>
              <w:bottom w:w="30" w:type="dxa"/>
              <w:right w:w="20" w:type="dxa"/>
            </w:tcMar>
            <w:vAlign w:val="bottom"/>
            <w:hideMark/>
          </w:tcPr>
          <w:p w14:paraId="721FC3F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ACD489"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C625978"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40F384B"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6EF7E1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456E0"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459D28"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0AAA97A" w14:textId="77777777" w:rsidR="00000000" w:rsidRDefault="00C1661D">
            <w:pPr>
              <w:spacing w:after="100"/>
              <w:jc w:val="right"/>
              <w:rPr>
                <w:rFonts w:eastAsia="Times New Roman"/>
              </w:rPr>
            </w:pPr>
            <w:r>
              <w:rPr>
                <w:rFonts w:eastAsia="Times New Roman"/>
                <w:color w:val="000000"/>
                <w:sz w:val="16"/>
                <w:szCs w:val="16"/>
              </w:rPr>
              <w:t>186 </w:t>
            </w:r>
          </w:p>
        </w:tc>
        <w:tc>
          <w:tcPr>
            <w:tcW w:w="0" w:type="auto"/>
            <w:shd w:val="clear" w:color="auto" w:fill="CCEEFF"/>
            <w:tcMar>
              <w:top w:w="30" w:type="dxa"/>
              <w:left w:w="0" w:type="dxa"/>
              <w:bottom w:w="30" w:type="dxa"/>
              <w:right w:w="20" w:type="dxa"/>
            </w:tcMar>
            <w:vAlign w:val="bottom"/>
            <w:hideMark/>
          </w:tcPr>
          <w:p w14:paraId="4E346BA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13280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F39B7E"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DA0E96B" w14:textId="77777777" w:rsidR="00000000" w:rsidRDefault="00C1661D">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612793F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658D94"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F54ED7"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DDE7369" w14:textId="77777777" w:rsidR="00000000" w:rsidRDefault="00C1661D">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14:paraId="79FE4CC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D51D2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CC4280"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C200078" w14:textId="77777777" w:rsidR="00000000" w:rsidRDefault="00C1661D">
            <w:pPr>
              <w:spacing w:after="100"/>
              <w:jc w:val="right"/>
              <w:rPr>
                <w:rFonts w:eastAsia="Times New Roman"/>
              </w:rPr>
            </w:pPr>
            <w:r>
              <w:rPr>
                <w:rFonts w:eastAsia="Times New Roman"/>
                <w:color w:val="000000"/>
                <w:sz w:val="16"/>
                <w:szCs w:val="16"/>
              </w:rPr>
              <w:t>141 </w:t>
            </w:r>
          </w:p>
        </w:tc>
        <w:tc>
          <w:tcPr>
            <w:tcW w:w="0" w:type="auto"/>
            <w:shd w:val="clear" w:color="auto" w:fill="CCEEFF"/>
            <w:tcMar>
              <w:top w:w="30" w:type="dxa"/>
              <w:left w:w="0" w:type="dxa"/>
              <w:bottom w:w="30" w:type="dxa"/>
              <w:right w:w="20" w:type="dxa"/>
            </w:tcMar>
            <w:vAlign w:val="bottom"/>
            <w:hideMark/>
          </w:tcPr>
          <w:p w14:paraId="12BEB88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B946EB"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3E26A3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012307F"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4DB7AE4" w14:textId="77777777" w:rsidR="00000000" w:rsidRDefault="00C1661D">
            <w:pPr>
              <w:spacing w:after="100"/>
              <w:jc w:val="right"/>
              <w:rPr>
                <w:rFonts w:eastAsia="Times New Roman"/>
              </w:rPr>
            </w:pPr>
          </w:p>
        </w:tc>
      </w:tr>
      <w:tr w:rsidR="00C1661D" w14:paraId="00CEB1B4" w14:textId="77777777">
        <w:trPr>
          <w:divId w:val="610673252"/>
        </w:trPr>
        <w:tc>
          <w:tcPr>
            <w:tcW w:w="0" w:type="auto"/>
            <w:gridSpan w:val="3"/>
            <w:shd w:val="clear" w:color="auto" w:fill="FFFFFF"/>
            <w:tcMar>
              <w:top w:w="30" w:type="dxa"/>
              <w:left w:w="155" w:type="dxa"/>
              <w:bottom w:w="30" w:type="dxa"/>
              <w:right w:w="20" w:type="dxa"/>
            </w:tcMar>
            <w:vAlign w:val="bottom"/>
            <w:hideMark/>
          </w:tcPr>
          <w:p w14:paraId="4F443456" w14:textId="77777777" w:rsidR="00000000" w:rsidRDefault="00C1661D">
            <w:pPr>
              <w:spacing w:after="100"/>
              <w:rPr>
                <w:rFonts w:eastAsia="Times New Roman"/>
              </w:rPr>
            </w:pPr>
            <w:r>
              <w:rPr>
                <w:rFonts w:eastAsia="Times New Roman"/>
                <w:color w:val="000000"/>
                <w:sz w:val="16"/>
                <w:szCs w:val="16"/>
              </w:rPr>
              <w:t>Capital expenditures (including the effects of accruals)</w:t>
            </w:r>
          </w:p>
        </w:tc>
        <w:tc>
          <w:tcPr>
            <w:tcW w:w="0" w:type="auto"/>
            <w:shd w:val="clear" w:color="auto" w:fill="FFFFFF"/>
            <w:tcMar>
              <w:top w:w="30" w:type="dxa"/>
              <w:left w:w="20" w:type="dxa"/>
              <w:bottom w:w="30" w:type="dxa"/>
              <w:right w:w="0" w:type="dxa"/>
            </w:tcMar>
            <w:vAlign w:val="bottom"/>
            <w:hideMark/>
          </w:tcPr>
          <w:p w14:paraId="06989E17"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7F5797A" w14:textId="77777777" w:rsidR="00000000" w:rsidRDefault="00C1661D">
            <w:pPr>
              <w:spacing w:after="100"/>
              <w:jc w:val="right"/>
              <w:rPr>
                <w:rFonts w:eastAsia="Times New Roman"/>
              </w:rPr>
            </w:pPr>
            <w:r>
              <w:rPr>
                <w:rFonts w:eastAsia="Times New Roman"/>
                <w:color w:val="000000"/>
                <w:sz w:val="16"/>
                <w:szCs w:val="16"/>
              </w:rPr>
              <w:t>665 </w:t>
            </w:r>
          </w:p>
        </w:tc>
        <w:tc>
          <w:tcPr>
            <w:tcW w:w="0" w:type="auto"/>
            <w:shd w:val="clear" w:color="auto" w:fill="FFFFFF"/>
            <w:tcMar>
              <w:top w:w="30" w:type="dxa"/>
              <w:left w:w="0" w:type="dxa"/>
              <w:bottom w:w="30" w:type="dxa"/>
              <w:right w:w="20" w:type="dxa"/>
            </w:tcMar>
            <w:vAlign w:val="bottom"/>
            <w:hideMark/>
          </w:tcPr>
          <w:p w14:paraId="0F41FBB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6340E6"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7BD9D16"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0400D44"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449ACF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E441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0732E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B395848" w14:textId="77777777" w:rsidR="00000000" w:rsidRDefault="00C1661D">
            <w:pPr>
              <w:spacing w:after="100"/>
              <w:jc w:val="right"/>
              <w:rPr>
                <w:rFonts w:eastAsia="Times New Roman"/>
              </w:rPr>
            </w:pPr>
            <w:r>
              <w:rPr>
                <w:rFonts w:eastAsia="Times New Roman"/>
                <w:color w:val="000000"/>
                <w:sz w:val="16"/>
                <w:szCs w:val="16"/>
              </w:rPr>
              <w:t>135 </w:t>
            </w:r>
          </w:p>
        </w:tc>
        <w:tc>
          <w:tcPr>
            <w:tcW w:w="0" w:type="auto"/>
            <w:shd w:val="clear" w:color="auto" w:fill="FFFFFF"/>
            <w:tcMar>
              <w:top w:w="30" w:type="dxa"/>
              <w:left w:w="0" w:type="dxa"/>
              <w:bottom w:w="30" w:type="dxa"/>
              <w:right w:w="20" w:type="dxa"/>
            </w:tcMar>
            <w:vAlign w:val="bottom"/>
            <w:hideMark/>
          </w:tcPr>
          <w:p w14:paraId="41FCA61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7D65D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B92254"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E66CAF4" w14:textId="77777777" w:rsidR="00000000" w:rsidRDefault="00C1661D">
            <w:pPr>
              <w:spacing w:after="100"/>
              <w:jc w:val="right"/>
              <w:rPr>
                <w:rFonts w:eastAsia="Times New Roman"/>
              </w:rPr>
            </w:pPr>
            <w:r>
              <w:rPr>
                <w:rFonts w:eastAsia="Times New Roman"/>
                <w:color w:val="000000"/>
                <w:sz w:val="16"/>
                <w:szCs w:val="16"/>
              </w:rPr>
              <w:t>89 </w:t>
            </w:r>
          </w:p>
        </w:tc>
        <w:tc>
          <w:tcPr>
            <w:tcW w:w="0" w:type="auto"/>
            <w:shd w:val="clear" w:color="auto" w:fill="FFFFFF"/>
            <w:tcMar>
              <w:top w:w="30" w:type="dxa"/>
              <w:left w:w="0" w:type="dxa"/>
              <w:bottom w:w="30" w:type="dxa"/>
              <w:right w:w="20" w:type="dxa"/>
            </w:tcMar>
            <w:vAlign w:val="bottom"/>
            <w:hideMark/>
          </w:tcPr>
          <w:p w14:paraId="0884D5B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06EC72"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A9C901"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390DAF2" w14:textId="77777777" w:rsidR="00000000" w:rsidRDefault="00C1661D">
            <w:pPr>
              <w:spacing w:after="100"/>
              <w:jc w:val="right"/>
              <w:rPr>
                <w:rFonts w:eastAsia="Times New Roman"/>
              </w:rPr>
            </w:pPr>
            <w:r>
              <w:rPr>
                <w:rFonts w:eastAsia="Times New Roman"/>
                <w:color w:val="000000"/>
                <w:sz w:val="16"/>
                <w:szCs w:val="16"/>
              </w:rPr>
              <w:t>93 </w:t>
            </w:r>
          </w:p>
        </w:tc>
        <w:tc>
          <w:tcPr>
            <w:tcW w:w="0" w:type="auto"/>
            <w:shd w:val="clear" w:color="auto" w:fill="FFFFFF"/>
            <w:tcMar>
              <w:top w:w="30" w:type="dxa"/>
              <w:left w:w="0" w:type="dxa"/>
              <w:bottom w:w="30" w:type="dxa"/>
              <w:right w:w="20" w:type="dxa"/>
            </w:tcMar>
            <w:vAlign w:val="bottom"/>
            <w:hideMark/>
          </w:tcPr>
          <w:p w14:paraId="072C368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33BC5E"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9CE4341"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8F6FE0B" w14:textId="77777777" w:rsidR="00000000" w:rsidRDefault="00C1661D">
            <w:pPr>
              <w:spacing w:after="100"/>
              <w:jc w:val="right"/>
              <w:rPr>
                <w:rFonts w:eastAsia="Times New Roman"/>
              </w:rPr>
            </w:pPr>
            <w:r>
              <w:rPr>
                <w:rFonts w:eastAsia="Times New Roman"/>
                <w:color w:val="000000"/>
                <w:sz w:val="16"/>
                <w:szCs w:val="16"/>
              </w:rPr>
              <w:t>348 </w:t>
            </w:r>
          </w:p>
        </w:tc>
        <w:tc>
          <w:tcPr>
            <w:tcW w:w="0" w:type="auto"/>
            <w:shd w:val="clear" w:color="auto" w:fill="FFFFFF"/>
            <w:tcMar>
              <w:top w:w="30" w:type="dxa"/>
              <w:left w:w="0" w:type="dxa"/>
              <w:bottom w:w="30" w:type="dxa"/>
              <w:right w:w="20" w:type="dxa"/>
            </w:tcMar>
            <w:vAlign w:val="bottom"/>
            <w:hideMark/>
          </w:tcPr>
          <w:p w14:paraId="067C8EE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37335"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4E7AE0B"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70CA428"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B0242EF" w14:textId="77777777" w:rsidR="00000000" w:rsidRDefault="00C1661D">
            <w:pPr>
              <w:spacing w:after="100"/>
              <w:jc w:val="right"/>
              <w:rPr>
                <w:rFonts w:eastAsia="Times New Roman"/>
              </w:rPr>
            </w:pPr>
          </w:p>
        </w:tc>
      </w:tr>
      <w:tr w:rsidR="00C1661D" w14:paraId="278AF4B5" w14:textId="77777777">
        <w:trPr>
          <w:divId w:val="610673252"/>
        </w:trPr>
        <w:tc>
          <w:tcPr>
            <w:tcW w:w="0" w:type="auto"/>
            <w:gridSpan w:val="3"/>
            <w:shd w:val="clear" w:color="auto" w:fill="CCEEFF"/>
            <w:tcMar>
              <w:top w:w="30" w:type="dxa"/>
              <w:left w:w="155" w:type="dxa"/>
              <w:bottom w:w="30" w:type="dxa"/>
              <w:right w:w="20" w:type="dxa"/>
            </w:tcMar>
            <w:vAlign w:val="bottom"/>
            <w:hideMark/>
          </w:tcPr>
          <w:p w14:paraId="148408EE" w14:textId="77777777" w:rsidR="00000000" w:rsidRDefault="00C1661D">
            <w:pPr>
              <w:spacing w:after="100"/>
              <w:rPr>
                <w:rFonts w:eastAsia="Times New Roman"/>
              </w:rPr>
            </w:pPr>
            <w:r>
              <w:rPr>
                <w:rFonts w:eastAsia="Times New Roman"/>
                <w:color w:val="000000"/>
                <w:sz w:val="16"/>
                <w:szCs w:val="16"/>
              </w:rPr>
              <w:t>Investments in equity investees</w:t>
            </w:r>
          </w:p>
        </w:tc>
        <w:tc>
          <w:tcPr>
            <w:tcW w:w="0" w:type="auto"/>
            <w:shd w:val="clear" w:color="auto" w:fill="CCEEFF"/>
            <w:tcMar>
              <w:top w:w="30" w:type="dxa"/>
              <w:left w:w="20" w:type="dxa"/>
              <w:bottom w:w="30" w:type="dxa"/>
              <w:right w:w="0" w:type="dxa"/>
            </w:tcMar>
            <w:vAlign w:val="bottom"/>
            <w:hideMark/>
          </w:tcPr>
          <w:p w14:paraId="28575154"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8D7D1B4" w14:textId="77777777" w:rsidR="00000000" w:rsidRDefault="00C1661D">
            <w:pPr>
              <w:spacing w:after="100"/>
              <w:jc w:val="right"/>
              <w:rPr>
                <w:rFonts w:eastAsia="Times New Roman"/>
              </w:rPr>
            </w:pPr>
            <w:r>
              <w:rPr>
                <w:rFonts w:eastAsia="Times New Roman"/>
                <w:color w:val="000000"/>
                <w:sz w:val="16"/>
                <w:szCs w:val="16"/>
              </w:rPr>
              <w:t>200 </w:t>
            </w:r>
          </w:p>
        </w:tc>
        <w:tc>
          <w:tcPr>
            <w:tcW w:w="0" w:type="auto"/>
            <w:shd w:val="clear" w:color="auto" w:fill="CCEEFF"/>
            <w:tcMar>
              <w:top w:w="30" w:type="dxa"/>
              <w:left w:w="0" w:type="dxa"/>
              <w:bottom w:w="30" w:type="dxa"/>
              <w:right w:w="20" w:type="dxa"/>
            </w:tcMar>
            <w:vAlign w:val="bottom"/>
            <w:hideMark/>
          </w:tcPr>
          <w:p w14:paraId="4A94C1D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DD365D"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7B5EC9"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3F0060E"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A253A6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3E49DF"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A4E2A7"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997F71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5EDE4D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712FF9"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B4A46D0"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B8B6DDB" w14:textId="77777777" w:rsidR="00000000" w:rsidRDefault="00C1661D">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14:paraId="3F0251A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0397D6"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E4C59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67DB57B" w14:textId="77777777" w:rsidR="00000000" w:rsidRDefault="00C1661D">
            <w:pPr>
              <w:spacing w:after="100"/>
              <w:jc w:val="right"/>
              <w:rPr>
                <w:rFonts w:eastAsia="Times New Roman"/>
              </w:rPr>
            </w:pPr>
            <w:r>
              <w:rPr>
                <w:rFonts w:eastAsia="Times New Roman"/>
                <w:color w:val="000000"/>
                <w:sz w:val="16"/>
                <w:szCs w:val="16"/>
              </w:rPr>
              <w:t>190 </w:t>
            </w:r>
          </w:p>
        </w:tc>
        <w:tc>
          <w:tcPr>
            <w:tcW w:w="0" w:type="auto"/>
            <w:shd w:val="clear" w:color="auto" w:fill="CCEEFF"/>
            <w:tcMar>
              <w:top w:w="30" w:type="dxa"/>
              <w:left w:w="0" w:type="dxa"/>
              <w:bottom w:w="30" w:type="dxa"/>
              <w:right w:w="20" w:type="dxa"/>
            </w:tcMar>
            <w:vAlign w:val="bottom"/>
            <w:hideMark/>
          </w:tcPr>
          <w:p w14:paraId="5FA8184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871E0"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4F5718C"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711D32A"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1DEBAC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0AAA2"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8EB4D5" w14:textId="77777777" w:rsidR="00000000" w:rsidRDefault="00C1661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9BC4120" w14:textId="77777777" w:rsidR="00000000" w:rsidRDefault="00C1661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61B11EA" w14:textId="77777777" w:rsidR="00000000" w:rsidRDefault="00C1661D">
            <w:pPr>
              <w:spacing w:after="100"/>
              <w:jc w:val="right"/>
              <w:rPr>
                <w:rFonts w:eastAsia="Times New Roman"/>
              </w:rPr>
            </w:pPr>
          </w:p>
        </w:tc>
      </w:tr>
      <w:tr w:rsidR="00000000" w14:paraId="39A2E7B0" w14:textId="77777777">
        <w:trPr>
          <w:divId w:val="610673252"/>
        </w:trPr>
        <w:tc>
          <w:tcPr>
            <w:tcW w:w="0" w:type="auto"/>
            <w:gridSpan w:val="3"/>
            <w:vAlign w:val="center"/>
            <w:hideMark/>
          </w:tcPr>
          <w:p w14:paraId="18DA8E29" w14:textId="77777777" w:rsidR="00000000" w:rsidRDefault="00C1661D">
            <w:pPr>
              <w:spacing w:after="100"/>
              <w:jc w:val="right"/>
              <w:rPr>
                <w:rFonts w:eastAsia="Times New Roman"/>
                <w:sz w:val="20"/>
                <w:szCs w:val="20"/>
              </w:rPr>
            </w:pPr>
          </w:p>
        </w:tc>
        <w:tc>
          <w:tcPr>
            <w:tcW w:w="0" w:type="auto"/>
            <w:gridSpan w:val="3"/>
            <w:vAlign w:val="center"/>
            <w:hideMark/>
          </w:tcPr>
          <w:p w14:paraId="138C7C89" w14:textId="77777777" w:rsidR="00000000" w:rsidRDefault="00C1661D">
            <w:pPr>
              <w:spacing w:after="100"/>
              <w:rPr>
                <w:rFonts w:eastAsia="Times New Roman"/>
                <w:sz w:val="20"/>
                <w:szCs w:val="20"/>
              </w:rPr>
            </w:pPr>
          </w:p>
        </w:tc>
        <w:tc>
          <w:tcPr>
            <w:tcW w:w="0" w:type="auto"/>
            <w:gridSpan w:val="3"/>
            <w:vAlign w:val="center"/>
            <w:hideMark/>
          </w:tcPr>
          <w:p w14:paraId="0F924BBF" w14:textId="77777777" w:rsidR="00000000" w:rsidRDefault="00C1661D">
            <w:pPr>
              <w:spacing w:after="100"/>
              <w:rPr>
                <w:rFonts w:eastAsia="Times New Roman"/>
                <w:sz w:val="20"/>
                <w:szCs w:val="20"/>
              </w:rPr>
            </w:pPr>
          </w:p>
        </w:tc>
        <w:tc>
          <w:tcPr>
            <w:tcW w:w="0" w:type="auto"/>
            <w:gridSpan w:val="3"/>
            <w:vAlign w:val="center"/>
            <w:hideMark/>
          </w:tcPr>
          <w:p w14:paraId="7A7085CC" w14:textId="77777777" w:rsidR="00000000" w:rsidRDefault="00C1661D">
            <w:pPr>
              <w:spacing w:after="100"/>
              <w:rPr>
                <w:rFonts w:eastAsia="Times New Roman"/>
                <w:sz w:val="20"/>
                <w:szCs w:val="20"/>
              </w:rPr>
            </w:pPr>
          </w:p>
        </w:tc>
        <w:tc>
          <w:tcPr>
            <w:tcW w:w="0" w:type="auto"/>
            <w:gridSpan w:val="3"/>
            <w:vAlign w:val="center"/>
            <w:hideMark/>
          </w:tcPr>
          <w:p w14:paraId="49C9D1C7" w14:textId="77777777" w:rsidR="00000000" w:rsidRDefault="00C1661D">
            <w:pPr>
              <w:spacing w:after="100"/>
              <w:rPr>
                <w:rFonts w:eastAsia="Times New Roman"/>
                <w:sz w:val="20"/>
                <w:szCs w:val="20"/>
              </w:rPr>
            </w:pPr>
          </w:p>
        </w:tc>
        <w:tc>
          <w:tcPr>
            <w:tcW w:w="0" w:type="auto"/>
            <w:gridSpan w:val="3"/>
            <w:vAlign w:val="center"/>
            <w:hideMark/>
          </w:tcPr>
          <w:p w14:paraId="5E81A412" w14:textId="77777777" w:rsidR="00000000" w:rsidRDefault="00C1661D">
            <w:pPr>
              <w:spacing w:after="100"/>
              <w:rPr>
                <w:rFonts w:eastAsia="Times New Roman"/>
                <w:sz w:val="20"/>
                <w:szCs w:val="20"/>
              </w:rPr>
            </w:pPr>
          </w:p>
        </w:tc>
        <w:tc>
          <w:tcPr>
            <w:tcW w:w="0" w:type="auto"/>
            <w:gridSpan w:val="3"/>
            <w:vAlign w:val="center"/>
            <w:hideMark/>
          </w:tcPr>
          <w:p w14:paraId="2E802C25" w14:textId="77777777" w:rsidR="00000000" w:rsidRDefault="00C1661D">
            <w:pPr>
              <w:spacing w:after="100"/>
              <w:rPr>
                <w:rFonts w:eastAsia="Times New Roman"/>
                <w:sz w:val="20"/>
                <w:szCs w:val="20"/>
              </w:rPr>
            </w:pPr>
          </w:p>
        </w:tc>
        <w:tc>
          <w:tcPr>
            <w:tcW w:w="0" w:type="auto"/>
            <w:gridSpan w:val="3"/>
            <w:vAlign w:val="center"/>
            <w:hideMark/>
          </w:tcPr>
          <w:p w14:paraId="062A469C" w14:textId="77777777" w:rsidR="00000000" w:rsidRDefault="00C1661D">
            <w:pPr>
              <w:spacing w:after="100"/>
              <w:rPr>
                <w:rFonts w:eastAsia="Times New Roman"/>
                <w:sz w:val="20"/>
                <w:szCs w:val="20"/>
              </w:rPr>
            </w:pPr>
          </w:p>
        </w:tc>
        <w:tc>
          <w:tcPr>
            <w:tcW w:w="0" w:type="auto"/>
            <w:gridSpan w:val="3"/>
            <w:vAlign w:val="center"/>
            <w:hideMark/>
          </w:tcPr>
          <w:p w14:paraId="1EE386DF" w14:textId="77777777" w:rsidR="00000000" w:rsidRDefault="00C1661D">
            <w:pPr>
              <w:spacing w:after="100"/>
              <w:rPr>
                <w:rFonts w:eastAsia="Times New Roman"/>
                <w:sz w:val="20"/>
                <w:szCs w:val="20"/>
              </w:rPr>
            </w:pPr>
          </w:p>
        </w:tc>
        <w:tc>
          <w:tcPr>
            <w:tcW w:w="0" w:type="auto"/>
            <w:gridSpan w:val="3"/>
            <w:vAlign w:val="center"/>
            <w:hideMark/>
          </w:tcPr>
          <w:p w14:paraId="19B9D555" w14:textId="77777777" w:rsidR="00000000" w:rsidRDefault="00C1661D">
            <w:pPr>
              <w:spacing w:after="100"/>
              <w:rPr>
                <w:rFonts w:eastAsia="Times New Roman"/>
                <w:sz w:val="20"/>
                <w:szCs w:val="20"/>
              </w:rPr>
            </w:pPr>
          </w:p>
        </w:tc>
        <w:tc>
          <w:tcPr>
            <w:tcW w:w="0" w:type="auto"/>
            <w:gridSpan w:val="3"/>
            <w:vAlign w:val="center"/>
            <w:hideMark/>
          </w:tcPr>
          <w:p w14:paraId="0939D9D3" w14:textId="77777777" w:rsidR="00000000" w:rsidRDefault="00C1661D">
            <w:pPr>
              <w:spacing w:after="100"/>
              <w:rPr>
                <w:rFonts w:eastAsia="Times New Roman"/>
                <w:sz w:val="20"/>
                <w:szCs w:val="20"/>
              </w:rPr>
            </w:pPr>
          </w:p>
        </w:tc>
        <w:tc>
          <w:tcPr>
            <w:tcW w:w="0" w:type="auto"/>
            <w:gridSpan w:val="3"/>
            <w:vAlign w:val="center"/>
            <w:hideMark/>
          </w:tcPr>
          <w:p w14:paraId="0B66331F" w14:textId="77777777" w:rsidR="00000000" w:rsidRDefault="00C1661D">
            <w:pPr>
              <w:spacing w:after="100"/>
              <w:rPr>
                <w:rFonts w:eastAsia="Times New Roman"/>
                <w:sz w:val="20"/>
                <w:szCs w:val="20"/>
              </w:rPr>
            </w:pPr>
          </w:p>
        </w:tc>
        <w:tc>
          <w:tcPr>
            <w:tcW w:w="0" w:type="auto"/>
            <w:gridSpan w:val="3"/>
            <w:vAlign w:val="center"/>
            <w:hideMark/>
          </w:tcPr>
          <w:p w14:paraId="6AC3D9F7" w14:textId="77777777" w:rsidR="00000000" w:rsidRDefault="00C1661D">
            <w:pPr>
              <w:spacing w:after="100"/>
              <w:rPr>
                <w:rFonts w:eastAsia="Times New Roman"/>
                <w:sz w:val="20"/>
                <w:szCs w:val="20"/>
              </w:rPr>
            </w:pPr>
          </w:p>
        </w:tc>
        <w:tc>
          <w:tcPr>
            <w:tcW w:w="0" w:type="auto"/>
            <w:gridSpan w:val="3"/>
            <w:vAlign w:val="center"/>
            <w:hideMark/>
          </w:tcPr>
          <w:p w14:paraId="768DD149" w14:textId="77777777" w:rsidR="00000000" w:rsidRDefault="00C1661D">
            <w:pPr>
              <w:spacing w:after="100"/>
              <w:rPr>
                <w:rFonts w:eastAsia="Times New Roman"/>
                <w:sz w:val="20"/>
                <w:szCs w:val="20"/>
              </w:rPr>
            </w:pPr>
          </w:p>
        </w:tc>
      </w:tr>
    </w:tbl>
    <w:p w14:paraId="399F22AE" w14:textId="77777777" w:rsidR="00000000" w:rsidRDefault="00C1661D">
      <w:pPr>
        <w:jc w:val="center"/>
        <w:divId w:val="2068063904"/>
        <w:rPr>
          <w:rFonts w:eastAsia="Times New Roman"/>
        </w:rPr>
      </w:pPr>
      <w:r>
        <w:rPr>
          <w:rFonts w:eastAsia="Times New Roman"/>
          <w:color w:val="000000"/>
          <w:sz w:val="20"/>
          <w:szCs w:val="20"/>
        </w:rPr>
        <w:t>F-60</w:t>
      </w:r>
    </w:p>
    <w:p w14:paraId="29023B96" w14:textId="77777777" w:rsidR="00000000" w:rsidRDefault="00C1661D">
      <w:pPr>
        <w:rPr>
          <w:rFonts w:eastAsia="Times New Roman"/>
        </w:rPr>
      </w:pPr>
      <w:r>
        <w:rPr>
          <w:rFonts w:eastAsia="Times New Roman"/>
        </w:rPr>
        <w:pict w14:anchorId="4A535485">
          <v:rect id="_x0000_i1173" style="width:0;height:1.5pt" o:hralign="center" o:hrstd="t" o:hr="t" fillcolor="#a0a0a0" stroked="f"/>
        </w:pict>
      </w:r>
    </w:p>
    <w:p w14:paraId="55B4C32E" w14:textId="77777777" w:rsidR="00000000" w:rsidRDefault="00C1661D">
      <w:pPr>
        <w:divId w:val="1446580427"/>
        <w:rPr>
          <w:rFonts w:eastAsia="Times New Roman"/>
        </w:rPr>
      </w:pPr>
      <w:hyperlink w:anchor="i3850c3c6c0104e42b9951aac2f16098a_7" w:history="1">
        <w:r>
          <w:rPr>
            <w:rStyle w:val="a3"/>
            <w:rFonts w:eastAsia="Times New Roman"/>
            <w:sz w:val="20"/>
            <w:szCs w:val="20"/>
          </w:rPr>
          <w:t>Table of Contents</w:t>
        </w:r>
      </w:hyperlink>
    </w:p>
    <w:p w14:paraId="12B0A5D0" w14:textId="77777777" w:rsidR="00000000" w:rsidRDefault="00C1661D">
      <w:pPr>
        <w:divId w:val="1361660259"/>
        <w:rPr>
          <w:rFonts w:eastAsia="Times New Roman"/>
        </w:rPr>
      </w:pPr>
      <w:r>
        <w:rPr>
          <w:rFonts w:eastAsia="Times New Roman"/>
          <w:b/>
          <w:bCs/>
          <w:color w:val="000000"/>
          <w:sz w:val="20"/>
          <w:szCs w:val="20"/>
        </w:rPr>
        <w:t>UGI Corporation and Subsid</w:t>
      </w:r>
      <w:r>
        <w:rPr>
          <w:rFonts w:eastAsia="Times New Roman"/>
          <w:b/>
          <w:bCs/>
          <w:color w:val="000000"/>
          <w:sz w:val="20"/>
          <w:szCs w:val="20"/>
        </w:rPr>
        <w:t>iaries</w:t>
      </w:r>
    </w:p>
    <w:p w14:paraId="1DD5D7D5" w14:textId="77777777" w:rsidR="00000000" w:rsidRDefault="00C1661D">
      <w:pPr>
        <w:divId w:val="1944220772"/>
        <w:rPr>
          <w:rFonts w:eastAsia="Times New Roman"/>
        </w:rPr>
      </w:pPr>
      <w:r>
        <w:rPr>
          <w:rFonts w:eastAsia="Times New Roman"/>
          <w:b/>
          <w:bCs/>
          <w:color w:val="000000"/>
          <w:sz w:val="20"/>
          <w:szCs w:val="20"/>
        </w:rPr>
        <w:t>Notes to Consolidated Financial Statements</w:t>
      </w:r>
    </w:p>
    <w:p w14:paraId="2FC5D3DB" w14:textId="77777777" w:rsidR="00000000" w:rsidRDefault="00C1661D">
      <w:pPr>
        <w:divId w:val="1257448156"/>
        <w:rPr>
          <w:rFonts w:eastAsia="Times New Roman"/>
        </w:rPr>
      </w:pPr>
      <w:r>
        <w:rPr>
          <w:rFonts w:eastAsia="Times New Roman"/>
          <w:color w:val="000000"/>
          <w:sz w:val="20"/>
          <w:szCs w:val="20"/>
        </w:rPr>
        <w:t>(Currency in millions, except per share amounts and where indicated otherwise)</w:t>
      </w:r>
    </w:p>
    <w:p w14:paraId="535D4B5A" w14:textId="77777777" w:rsidR="00000000" w:rsidRDefault="00C1661D">
      <w:pPr>
        <w:jc w:val="both"/>
        <w:rPr>
          <w:rFonts w:eastAsia="Times New Roman"/>
        </w:rPr>
      </w:pPr>
    </w:p>
    <w:p w14:paraId="3D20B0E2" w14:textId="77777777" w:rsidR="00000000" w:rsidRDefault="00C1661D">
      <w:pPr>
        <w:ind w:hanging="360"/>
        <w:jc w:val="both"/>
        <w:rPr>
          <w:rFonts w:eastAsia="Times New Roman"/>
        </w:rPr>
      </w:pPr>
      <w:r>
        <w:rPr>
          <w:rFonts w:eastAsia="Times New Roman"/>
          <w:color w:val="000000"/>
          <w:sz w:val="20"/>
          <w:szCs w:val="20"/>
        </w:rPr>
        <w:t>(a)Corporate &amp; Other includes specific items attributable to our reportable segments that are not included in the segment pro</w:t>
      </w:r>
      <w:r>
        <w:rPr>
          <w:rFonts w:eastAsia="Times New Roman"/>
          <w:color w:val="000000"/>
          <w:sz w:val="20"/>
          <w:szCs w:val="20"/>
        </w:rPr>
        <w:t>fit measures used by our CODM in assessing our reportable segments’ performance or allocating resources. The following table presents such pre-tax gains (losses) which have been included in Corporate &amp; Other, and the reportable segments to which they relat</w:t>
      </w:r>
      <w:r>
        <w:rPr>
          <w:rFonts w:eastAsia="Times New Roman"/>
          <w:color w:val="000000"/>
          <w:sz w:val="20"/>
          <w:szCs w:val="20"/>
        </w:rPr>
        <w:t>e, for Fiscal 2022, Fiscal 2021 and Fiscal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3142"/>
        <w:gridCol w:w="38"/>
        <w:gridCol w:w="36"/>
        <w:gridCol w:w="36"/>
        <w:gridCol w:w="36"/>
        <w:gridCol w:w="49"/>
        <w:gridCol w:w="1824"/>
        <w:gridCol w:w="38"/>
        <w:gridCol w:w="36"/>
        <w:gridCol w:w="36"/>
        <w:gridCol w:w="36"/>
        <w:gridCol w:w="111"/>
        <w:gridCol w:w="697"/>
        <w:gridCol w:w="36"/>
        <w:gridCol w:w="36"/>
        <w:gridCol w:w="36"/>
        <w:gridCol w:w="36"/>
        <w:gridCol w:w="111"/>
        <w:gridCol w:w="858"/>
        <w:gridCol w:w="36"/>
        <w:gridCol w:w="36"/>
        <w:gridCol w:w="36"/>
        <w:gridCol w:w="36"/>
        <w:gridCol w:w="111"/>
        <w:gridCol w:w="734"/>
        <w:gridCol w:w="36"/>
      </w:tblGrid>
      <w:tr w:rsidR="00000000" w14:paraId="65FEF765" w14:textId="77777777">
        <w:trPr>
          <w:divId w:val="703869585"/>
          <w:jc w:val="center"/>
        </w:trPr>
        <w:tc>
          <w:tcPr>
            <w:tcW w:w="50" w:type="pct"/>
            <w:vAlign w:val="center"/>
            <w:hideMark/>
          </w:tcPr>
          <w:p w14:paraId="2A2EAB3D" w14:textId="77777777" w:rsidR="00000000" w:rsidRDefault="00C1661D">
            <w:pPr>
              <w:ind w:hanging="360"/>
              <w:jc w:val="both"/>
              <w:rPr>
                <w:rFonts w:eastAsia="Times New Roman"/>
              </w:rPr>
            </w:pPr>
          </w:p>
        </w:tc>
        <w:tc>
          <w:tcPr>
            <w:tcW w:w="1972" w:type="pct"/>
            <w:vAlign w:val="center"/>
            <w:hideMark/>
          </w:tcPr>
          <w:p w14:paraId="5B6C1488" w14:textId="77777777" w:rsidR="00000000" w:rsidRDefault="00C1661D">
            <w:pPr>
              <w:spacing w:after="100"/>
              <w:rPr>
                <w:rFonts w:eastAsia="Times New Roman"/>
                <w:sz w:val="20"/>
                <w:szCs w:val="20"/>
              </w:rPr>
            </w:pPr>
          </w:p>
        </w:tc>
        <w:tc>
          <w:tcPr>
            <w:tcW w:w="5" w:type="pct"/>
            <w:vAlign w:val="center"/>
            <w:hideMark/>
          </w:tcPr>
          <w:p w14:paraId="5C5C8949" w14:textId="77777777" w:rsidR="00000000" w:rsidRDefault="00C1661D">
            <w:pPr>
              <w:spacing w:after="100"/>
              <w:rPr>
                <w:rFonts w:eastAsia="Times New Roman"/>
                <w:sz w:val="20"/>
                <w:szCs w:val="20"/>
              </w:rPr>
            </w:pPr>
          </w:p>
        </w:tc>
        <w:tc>
          <w:tcPr>
            <w:tcW w:w="5" w:type="pct"/>
            <w:vAlign w:val="center"/>
            <w:hideMark/>
          </w:tcPr>
          <w:p w14:paraId="650B943A" w14:textId="77777777" w:rsidR="00000000" w:rsidRDefault="00C1661D">
            <w:pPr>
              <w:spacing w:after="100"/>
              <w:rPr>
                <w:rFonts w:eastAsia="Times New Roman"/>
                <w:sz w:val="20"/>
                <w:szCs w:val="20"/>
              </w:rPr>
            </w:pPr>
          </w:p>
        </w:tc>
        <w:tc>
          <w:tcPr>
            <w:tcW w:w="26" w:type="pct"/>
            <w:vAlign w:val="center"/>
            <w:hideMark/>
          </w:tcPr>
          <w:p w14:paraId="084265B1" w14:textId="77777777" w:rsidR="00000000" w:rsidRDefault="00C1661D">
            <w:pPr>
              <w:spacing w:after="100"/>
              <w:rPr>
                <w:rFonts w:eastAsia="Times New Roman"/>
                <w:sz w:val="20"/>
                <w:szCs w:val="20"/>
              </w:rPr>
            </w:pPr>
          </w:p>
        </w:tc>
        <w:tc>
          <w:tcPr>
            <w:tcW w:w="5" w:type="pct"/>
            <w:vAlign w:val="center"/>
            <w:hideMark/>
          </w:tcPr>
          <w:p w14:paraId="7643EB00" w14:textId="77777777" w:rsidR="00000000" w:rsidRDefault="00C1661D">
            <w:pPr>
              <w:spacing w:after="100"/>
              <w:rPr>
                <w:rFonts w:eastAsia="Times New Roman"/>
                <w:sz w:val="20"/>
                <w:szCs w:val="20"/>
              </w:rPr>
            </w:pPr>
          </w:p>
        </w:tc>
        <w:tc>
          <w:tcPr>
            <w:tcW w:w="50" w:type="pct"/>
            <w:vAlign w:val="center"/>
            <w:hideMark/>
          </w:tcPr>
          <w:p w14:paraId="269B4594" w14:textId="77777777" w:rsidR="00000000" w:rsidRDefault="00C1661D">
            <w:pPr>
              <w:spacing w:after="100"/>
              <w:rPr>
                <w:rFonts w:eastAsia="Times New Roman"/>
                <w:sz w:val="20"/>
                <w:szCs w:val="20"/>
              </w:rPr>
            </w:pPr>
          </w:p>
        </w:tc>
        <w:tc>
          <w:tcPr>
            <w:tcW w:w="1211" w:type="pct"/>
            <w:vAlign w:val="center"/>
            <w:hideMark/>
          </w:tcPr>
          <w:p w14:paraId="2DC90BDE" w14:textId="77777777" w:rsidR="00000000" w:rsidRDefault="00C1661D">
            <w:pPr>
              <w:spacing w:after="100"/>
              <w:rPr>
                <w:rFonts w:eastAsia="Times New Roman"/>
                <w:sz w:val="20"/>
                <w:szCs w:val="20"/>
              </w:rPr>
            </w:pPr>
          </w:p>
        </w:tc>
        <w:tc>
          <w:tcPr>
            <w:tcW w:w="5" w:type="pct"/>
            <w:vAlign w:val="center"/>
            <w:hideMark/>
          </w:tcPr>
          <w:p w14:paraId="14D919F8" w14:textId="77777777" w:rsidR="00000000" w:rsidRDefault="00C1661D">
            <w:pPr>
              <w:spacing w:after="100"/>
              <w:rPr>
                <w:rFonts w:eastAsia="Times New Roman"/>
                <w:sz w:val="20"/>
                <w:szCs w:val="20"/>
              </w:rPr>
            </w:pPr>
          </w:p>
        </w:tc>
        <w:tc>
          <w:tcPr>
            <w:tcW w:w="5" w:type="pct"/>
            <w:vAlign w:val="center"/>
            <w:hideMark/>
          </w:tcPr>
          <w:p w14:paraId="67C5FC29" w14:textId="77777777" w:rsidR="00000000" w:rsidRDefault="00C1661D">
            <w:pPr>
              <w:spacing w:after="100"/>
              <w:rPr>
                <w:rFonts w:eastAsia="Times New Roman"/>
                <w:sz w:val="20"/>
                <w:szCs w:val="20"/>
              </w:rPr>
            </w:pPr>
          </w:p>
        </w:tc>
        <w:tc>
          <w:tcPr>
            <w:tcW w:w="26" w:type="pct"/>
            <w:vAlign w:val="center"/>
            <w:hideMark/>
          </w:tcPr>
          <w:p w14:paraId="31678C29" w14:textId="77777777" w:rsidR="00000000" w:rsidRDefault="00C1661D">
            <w:pPr>
              <w:spacing w:after="100"/>
              <w:rPr>
                <w:rFonts w:eastAsia="Times New Roman"/>
                <w:sz w:val="20"/>
                <w:szCs w:val="20"/>
              </w:rPr>
            </w:pPr>
          </w:p>
        </w:tc>
        <w:tc>
          <w:tcPr>
            <w:tcW w:w="5" w:type="pct"/>
            <w:vAlign w:val="center"/>
            <w:hideMark/>
          </w:tcPr>
          <w:p w14:paraId="6C78BD82" w14:textId="77777777" w:rsidR="00000000" w:rsidRDefault="00C1661D">
            <w:pPr>
              <w:spacing w:after="100"/>
              <w:rPr>
                <w:rFonts w:eastAsia="Times New Roman"/>
                <w:sz w:val="20"/>
                <w:szCs w:val="20"/>
              </w:rPr>
            </w:pPr>
          </w:p>
        </w:tc>
        <w:tc>
          <w:tcPr>
            <w:tcW w:w="50" w:type="pct"/>
            <w:vAlign w:val="center"/>
            <w:hideMark/>
          </w:tcPr>
          <w:p w14:paraId="6F0B2267" w14:textId="77777777" w:rsidR="00000000" w:rsidRDefault="00C1661D">
            <w:pPr>
              <w:spacing w:after="100"/>
              <w:rPr>
                <w:rFonts w:eastAsia="Times New Roman"/>
                <w:sz w:val="20"/>
                <w:szCs w:val="20"/>
              </w:rPr>
            </w:pPr>
          </w:p>
        </w:tc>
        <w:tc>
          <w:tcPr>
            <w:tcW w:w="464" w:type="pct"/>
            <w:vAlign w:val="center"/>
            <w:hideMark/>
          </w:tcPr>
          <w:p w14:paraId="1933C521" w14:textId="77777777" w:rsidR="00000000" w:rsidRDefault="00C1661D">
            <w:pPr>
              <w:spacing w:after="100"/>
              <w:rPr>
                <w:rFonts w:eastAsia="Times New Roman"/>
                <w:sz w:val="20"/>
                <w:szCs w:val="20"/>
              </w:rPr>
            </w:pPr>
          </w:p>
        </w:tc>
        <w:tc>
          <w:tcPr>
            <w:tcW w:w="5" w:type="pct"/>
            <w:vAlign w:val="center"/>
            <w:hideMark/>
          </w:tcPr>
          <w:p w14:paraId="721E3244" w14:textId="77777777" w:rsidR="00000000" w:rsidRDefault="00C1661D">
            <w:pPr>
              <w:spacing w:after="100"/>
              <w:rPr>
                <w:rFonts w:eastAsia="Times New Roman"/>
                <w:sz w:val="20"/>
                <w:szCs w:val="20"/>
              </w:rPr>
            </w:pPr>
          </w:p>
        </w:tc>
        <w:tc>
          <w:tcPr>
            <w:tcW w:w="5" w:type="pct"/>
            <w:vAlign w:val="center"/>
            <w:hideMark/>
          </w:tcPr>
          <w:p w14:paraId="0B7B4C26" w14:textId="77777777" w:rsidR="00000000" w:rsidRDefault="00C1661D">
            <w:pPr>
              <w:spacing w:after="100"/>
              <w:rPr>
                <w:rFonts w:eastAsia="Times New Roman"/>
                <w:sz w:val="20"/>
                <w:szCs w:val="20"/>
              </w:rPr>
            </w:pPr>
          </w:p>
        </w:tc>
        <w:tc>
          <w:tcPr>
            <w:tcW w:w="26" w:type="pct"/>
            <w:vAlign w:val="center"/>
            <w:hideMark/>
          </w:tcPr>
          <w:p w14:paraId="14250195" w14:textId="77777777" w:rsidR="00000000" w:rsidRDefault="00C1661D">
            <w:pPr>
              <w:spacing w:after="100"/>
              <w:rPr>
                <w:rFonts w:eastAsia="Times New Roman"/>
                <w:sz w:val="20"/>
                <w:szCs w:val="20"/>
              </w:rPr>
            </w:pPr>
          </w:p>
        </w:tc>
        <w:tc>
          <w:tcPr>
            <w:tcW w:w="5" w:type="pct"/>
            <w:vAlign w:val="center"/>
            <w:hideMark/>
          </w:tcPr>
          <w:p w14:paraId="6ABA784F" w14:textId="77777777" w:rsidR="00000000" w:rsidRDefault="00C1661D">
            <w:pPr>
              <w:spacing w:after="100"/>
              <w:rPr>
                <w:rFonts w:eastAsia="Times New Roman"/>
                <w:sz w:val="20"/>
                <w:szCs w:val="20"/>
              </w:rPr>
            </w:pPr>
          </w:p>
        </w:tc>
        <w:tc>
          <w:tcPr>
            <w:tcW w:w="50" w:type="pct"/>
            <w:vAlign w:val="center"/>
            <w:hideMark/>
          </w:tcPr>
          <w:p w14:paraId="0EA65DF9" w14:textId="77777777" w:rsidR="00000000" w:rsidRDefault="00C1661D">
            <w:pPr>
              <w:spacing w:after="100"/>
              <w:rPr>
                <w:rFonts w:eastAsia="Times New Roman"/>
                <w:sz w:val="20"/>
                <w:szCs w:val="20"/>
              </w:rPr>
            </w:pPr>
          </w:p>
        </w:tc>
        <w:tc>
          <w:tcPr>
            <w:tcW w:w="464" w:type="pct"/>
            <w:vAlign w:val="center"/>
            <w:hideMark/>
          </w:tcPr>
          <w:p w14:paraId="1F6FC2D2" w14:textId="77777777" w:rsidR="00000000" w:rsidRDefault="00C1661D">
            <w:pPr>
              <w:spacing w:after="100"/>
              <w:rPr>
                <w:rFonts w:eastAsia="Times New Roman"/>
                <w:sz w:val="20"/>
                <w:szCs w:val="20"/>
              </w:rPr>
            </w:pPr>
          </w:p>
        </w:tc>
        <w:tc>
          <w:tcPr>
            <w:tcW w:w="5" w:type="pct"/>
            <w:vAlign w:val="center"/>
            <w:hideMark/>
          </w:tcPr>
          <w:p w14:paraId="1D91AFF5" w14:textId="77777777" w:rsidR="00000000" w:rsidRDefault="00C1661D">
            <w:pPr>
              <w:spacing w:after="100"/>
              <w:rPr>
                <w:rFonts w:eastAsia="Times New Roman"/>
                <w:sz w:val="20"/>
                <w:szCs w:val="20"/>
              </w:rPr>
            </w:pPr>
          </w:p>
        </w:tc>
        <w:tc>
          <w:tcPr>
            <w:tcW w:w="5" w:type="pct"/>
            <w:vAlign w:val="center"/>
            <w:hideMark/>
          </w:tcPr>
          <w:p w14:paraId="79181049" w14:textId="77777777" w:rsidR="00000000" w:rsidRDefault="00C1661D">
            <w:pPr>
              <w:spacing w:after="100"/>
              <w:rPr>
                <w:rFonts w:eastAsia="Times New Roman"/>
                <w:sz w:val="20"/>
                <w:szCs w:val="20"/>
              </w:rPr>
            </w:pPr>
          </w:p>
        </w:tc>
        <w:tc>
          <w:tcPr>
            <w:tcW w:w="26" w:type="pct"/>
            <w:vAlign w:val="center"/>
            <w:hideMark/>
          </w:tcPr>
          <w:p w14:paraId="2B35A8E5" w14:textId="77777777" w:rsidR="00000000" w:rsidRDefault="00C1661D">
            <w:pPr>
              <w:spacing w:after="100"/>
              <w:rPr>
                <w:rFonts w:eastAsia="Times New Roman"/>
                <w:sz w:val="20"/>
                <w:szCs w:val="20"/>
              </w:rPr>
            </w:pPr>
          </w:p>
        </w:tc>
        <w:tc>
          <w:tcPr>
            <w:tcW w:w="5" w:type="pct"/>
            <w:vAlign w:val="center"/>
            <w:hideMark/>
          </w:tcPr>
          <w:p w14:paraId="449D3414" w14:textId="77777777" w:rsidR="00000000" w:rsidRDefault="00C1661D">
            <w:pPr>
              <w:spacing w:after="100"/>
              <w:rPr>
                <w:rFonts w:eastAsia="Times New Roman"/>
                <w:sz w:val="20"/>
                <w:szCs w:val="20"/>
              </w:rPr>
            </w:pPr>
          </w:p>
        </w:tc>
        <w:tc>
          <w:tcPr>
            <w:tcW w:w="50" w:type="pct"/>
            <w:vAlign w:val="center"/>
            <w:hideMark/>
          </w:tcPr>
          <w:p w14:paraId="5DE3C9C4" w14:textId="77777777" w:rsidR="00000000" w:rsidRDefault="00C1661D">
            <w:pPr>
              <w:spacing w:after="100"/>
              <w:rPr>
                <w:rFonts w:eastAsia="Times New Roman"/>
                <w:sz w:val="20"/>
                <w:szCs w:val="20"/>
              </w:rPr>
            </w:pPr>
          </w:p>
        </w:tc>
        <w:tc>
          <w:tcPr>
            <w:tcW w:w="464" w:type="pct"/>
            <w:vAlign w:val="center"/>
            <w:hideMark/>
          </w:tcPr>
          <w:p w14:paraId="06C050A1" w14:textId="77777777" w:rsidR="00000000" w:rsidRDefault="00C1661D">
            <w:pPr>
              <w:spacing w:after="100"/>
              <w:rPr>
                <w:rFonts w:eastAsia="Times New Roman"/>
                <w:sz w:val="20"/>
                <w:szCs w:val="20"/>
              </w:rPr>
            </w:pPr>
          </w:p>
        </w:tc>
        <w:tc>
          <w:tcPr>
            <w:tcW w:w="5" w:type="pct"/>
            <w:vAlign w:val="center"/>
            <w:hideMark/>
          </w:tcPr>
          <w:p w14:paraId="1AE1DD99" w14:textId="77777777" w:rsidR="00000000" w:rsidRDefault="00C1661D">
            <w:pPr>
              <w:spacing w:after="100"/>
              <w:rPr>
                <w:rFonts w:eastAsia="Times New Roman"/>
                <w:sz w:val="20"/>
                <w:szCs w:val="20"/>
              </w:rPr>
            </w:pPr>
          </w:p>
        </w:tc>
      </w:tr>
      <w:tr w:rsidR="00000000" w14:paraId="2D660275" w14:textId="77777777">
        <w:trPr>
          <w:divId w:val="703869585"/>
          <w:jc w:val="center"/>
        </w:trPr>
        <w:tc>
          <w:tcPr>
            <w:tcW w:w="0" w:type="auto"/>
            <w:gridSpan w:val="3"/>
            <w:tcMar>
              <w:top w:w="0" w:type="dxa"/>
              <w:left w:w="20" w:type="dxa"/>
              <w:bottom w:w="0" w:type="dxa"/>
              <w:right w:w="20" w:type="dxa"/>
            </w:tcMar>
            <w:vAlign w:val="center"/>
            <w:hideMark/>
          </w:tcPr>
          <w:p w14:paraId="0165BC1B" w14:textId="77777777" w:rsidR="00000000" w:rsidRDefault="00C1661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EE0631"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47049FC" w14:textId="77777777" w:rsidR="00000000" w:rsidRDefault="00C1661D">
            <w:pPr>
              <w:spacing w:after="100"/>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14:paraId="42D33917"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C41FA74" w14:textId="77777777" w:rsidR="00000000" w:rsidRDefault="00C1661D">
            <w:pPr>
              <w:spacing w:after="100"/>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14:paraId="4A31F87A"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A162CF8" w14:textId="77777777" w:rsidR="00000000" w:rsidRDefault="00C1661D">
            <w:pPr>
              <w:spacing w:after="100"/>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14:paraId="3FC81F54"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66AF74" w14:textId="77777777" w:rsidR="00000000" w:rsidRDefault="00C1661D">
            <w:pPr>
              <w:spacing w:after="100"/>
              <w:jc w:val="center"/>
              <w:rPr>
                <w:rFonts w:eastAsia="Times New Roman"/>
              </w:rPr>
            </w:pPr>
            <w:r>
              <w:rPr>
                <w:rFonts w:eastAsia="Times New Roman"/>
                <w:color w:val="000000"/>
                <w:sz w:val="18"/>
                <w:szCs w:val="18"/>
              </w:rPr>
              <w:t>Midstream &amp; Marketing</w:t>
            </w:r>
          </w:p>
        </w:tc>
      </w:tr>
      <w:tr w:rsidR="00000000" w14:paraId="6B68E4F4" w14:textId="77777777">
        <w:trPr>
          <w:divId w:val="703869585"/>
          <w:jc w:val="center"/>
        </w:trPr>
        <w:tc>
          <w:tcPr>
            <w:tcW w:w="0" w:type="auto"/>
            <w:gridSpan w:val="3"/>
            <w:shd w:val="clear" w:color="auto" w:fill="CCEEFF"/>
            <w:tcMar>
              <w:top w:w="30" w:type="dxa"/>
              <w:left w:w="20" w:type="dxa"/>
              <w:bottom w:w="30" w:type="dxa"/>
              <w:right w:w="20" w:type="dxa"/>
            </w:tcMar>
            <w:vAlign w:val="bottom"/>
            <w:hideMark/>
          </w:tcPr>
          <w:p w14:paraId="3D790C29" w14:textId="77777777" w:rsidR="00000000" w:rsidRDefault="00C1661D">
            <w:pPr>
              <w:spacing w:after="100"/>
              <w:rPr>
                <w:rFonts w:eastAsia="Times New Roman"/>
              </w:rPr>
            </w:pPr>
            <w:r>
              <w:rPr>
                <w:rFonts w:eastAsia="Times New Roman"/>
                <w:b/>
                <w:bCs/>
                <w:color w:val="000000"/>
                <w:sz w:val="18"/>
                <w:szCs w:val="18"/>
              </w:rPr>
              <w:t>2022</w:t>
            </w:r>
          </w:p>
        </w:tc>
        <w:tc>
          <w:tcPr>
            <w:tcW w:w="0" w:type="auto"/>
            <w:gridSpan w:val="3"/>
            <w:shd w:val="clear" w:color="auto" w:fill="CCEEFF"/>
            <w:tcMar>
              <w:top w:w="0" w:type="dxa"/>
              <w:left w:w="20" w:type="dxa"/>
              <w:bottom w:w="0" w:type="dxa"/>
              <w:right w:w="20" w:type="dxa"/>
            </w:tcMar>
            <w:vAlign w:val="center"/>
            <w:hideMark/>
          </w:tcPr>
          <w:p w14:paraId="67D44993"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176D9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D3DD85"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E622D6"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D35EAF"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E42B7B"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64C13C" w14:textId="77777777" w:rsidR="00000000" w:rsidRDefault="00C1661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55F370" w14:textId="77777777" w:rsidR="00000000" w:rsidRDefault="00C1661D">
            <w:pPr>
              <w:spacing w:after="100"/>
              <w:rPr>
                <w:rFonts w:eastAsia="Times New Roman"/>
                <w:sz w:val="20"/>
                <w:szCs w:val="20"/>
              </w:rPr>
            </w:pPr>
          </w:p>
        </w:tc>
      </w:tr>
      <w:tr w:rsidR="00000000" w14:paraId="4A670317" w14:textId="77777777">
        <w:trPr>
          <w:divId w:val="703869585"/>
          <w:jc w:val="center"/>
        </w:trPr>
        <w:tc>
          <w:tcPr>
            <w:tcW w:w="0" w:type="auto"/>
            <w:gridSpan w:val="3"/>
            <w:shd w:val="clear" w:color="auto" w:fill="FFFFFF"/>
            <w:tcMar>
              <w:top w:w="30" w:type="dxa"/>
              <w:left w:w="20" w:type="dxa"/>
              <w:bottom w:w="30" w:type="dxa"/>
              <w:right w:w="20" w:type="dxa"/>
            </w:tcMar>
            <w:vAlign w:val="bottom"/>
            <w:hideMark/>
          </w:tcPr>
          <w:p w14:paraId="3224599B" w14:textId="77777777" w:rsidR="00000000" w:rsidRDefault="00C1661D">
            <w:pPr>
              <w:spacing w:after="100"/>
              <w:rPr>
                <w:rFonts w:eastAsia="Times New Roman"/>
              </w:rPr>
            </w:pPr>
            <w:r>
              <w:rPr>
                <w:rFonts w:eastAsia="Times New Roman"/>
                <w:color w:val="000000"/>
                <w:sz w:val="18"/>
                <w:szCs w:val="18"/>
              </w:rPr>
              <w:t>Net gains (losses)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14:paraId="378E579E"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AC406BD" w14:textId="77777777" w:rsidR="00000000" w:rsidRDefault="00C1661D">
            <w:pPr>
              <w:spacing w:after="100"/>
              <w:rPr>
                <w:rFonts w:eastAsia="Times New Roman"/>
              </w:rPr>
            </w:pPr>
            <w:r>
              <w:rPr>
                <w:rFonts w:eastAsia="Times New Roman"/>
                <w:color w:val="000000"/>
                <w:sz w:val="18"/>
                <w:szCs w:val="18"/>
              </w:rPr>
              <w:t>Revenues</w:t>
            </w:r>
          </w:p>
        </w:tc>
        <w:tc>
          <w:tcPr>
            <w:tcW w:w="0" w:type="auto"/>
            <w:gridSpan w:val="3"/>
            <w:shd w:val="clear" w:color="auto" w:fill="FFFFFF"/>
            <w:tcMar>
              <w:top w:w="0" w:type="dxa"/>
              <w:left w:w="20" w:type="dxa"/>
              <w:bottom w:w="0" w:type="dxa"/>
              <w:right w:w="20" w:type="dxa"/>
            </w:tcMar>
            <w:vAlign w:val="center"/>
            <w:hideMark/>
          </w:tcPr>
          <w:p w14:paraId="7D435F4B"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CABA9E6"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0A19488"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CBCCD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D5C9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E562362"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9986394" w14:textId="77777777" w:rsidR="00000000" w:rsidRDefault="00C1661D">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14:paraId="6631241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19165"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7394C7"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91F5BE7" w14:textId="77777777" w:rsidR="00000000" w:rsidRDefault="00C1661D">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bottom"/>
            <w:hideMark/>
          </w:tcPr>
          <w:p w14:paraId="63157CF1" w14:textId="77777777" w:rsidR="00000000" w:rsidRDefault="00C1661D">
            <w:pPr>
              <w:spacing w:after="100"/>
              <w:jc w:val="right"/>
              <w:rPr>
                <w:rFonts w:eastAsia="Times New Roman"/>
              </w:rPr>
            </w:pPr>
          </w:p>
        </w:tc>
      </w:tr>
      <w:tr w:rsidR="00000000" w14:paraId="07A84862" w14:textId="77777777">
        <w:trPr>
          <w:divId w:val="703869585"/>
          <w:jc w:val="center"/>
        </w:trPr>
        <w:tc>
          <w:tcPr>
            <w:tcW w:w="0" w:type="auto"/>
            <w:gridSpan w:val="3"/>
            <w:shd w:val="clear" w:color="auto" w:fill="CCEEFF"/>
            <w:tcMar>
              <w:top w:w="30" w:type="dxa"/>
              <w:left w:w="20" w:type="dxa"/>
              <w:bottom w:w="30" w:type="dxa"/>
              <w:right w:w="20" w:type="dxa"/>
            </w:tcMar>
            <w:vAlign w:val="bottom"/>
            <w:hideMark/>
          </w:tcPr>
          <w:p w14:paraId="6CEE6584" w14:textId="77777777" w:rsidR="00000000" w:rsidRDefault="00C1661D">
            <w:pPr>
              <w:spacing w:after="100"/>
              <w:rPr>
                <w:rFonts w:eastAsia="Times New Roman"/>
              </w:rPr>
            </w:pPr>
            <w:r>
              <w:rPr>
                <w:rFonts w:eastAsia="Times New Roman"/>
                <w:color w:val="000000"/>
                <w:sz w:val="18"/>
                <w:szCs w:val="18"/>
              </w:rPr>
              <w:t>Net (losses)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14:paraId="10B962D4"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3112BD1" w14:textId="77777777" w:rsidR="00000000" w:rsidRDefault="00C1661D">
            <w:pPr>
              <w:spacing w:after="100"/>
              <w:rPr>
                <w:rFonts w:eastAsia="Times New Roman"/>
              </w:rPr>
            </w:pPr>
            <w:r>
              <w:rPr>
                <w:rFonts w:eastAsia="Times New Roman"/>
                <w:color w:val="000000"/>
                <w:sz w:val="18"/>
                <w:szCs w:val="18"/>
              </w:rPr>
              <w:t>Cost of Sales</w:t>
            </w:r>
          </w:p>
        </w:tc>
        <w:tc>
          <w:tcPr>
            <w:tcW w:w="0" w:type="auto"/>
            <w:gridSpan w:val="3"/>
            <w:shd w:val="clear" w:color="auto" w:fill="CCEEFF"/>
            <w:tcMar>
              <w:top w:w="0" w:type="dxa"/>
              <w:left w:w="20" w:type="dxa"/>
              <w:bottom w:w="0" w:type="dxa"/>
              <w:right w:w="20" w:type="dxa"/>
            </w:tcMar>
            <w:vAlign w:val="center"/>
            <w:hideMark/>
          </w:tcPr>
          <w:p w14:paraId="34CAD1BC"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3DCE6D9"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C90EC99" w14:textId="77777777" w:rsidR="00000000" w:rsidRDefault="00C1661D">
            <w:pPr>
              <w:spacing w:after="100"/>
              <w:jc w:val="right"/>
              <w:rPr>
                <w:rFonts w:eastAsia="Times New Roman"/>
              </w:rPr>
            </w:pPr>
            <w:r>
              <w:rPr>
                <w:rFonts w:eastAsia="Times New Roman"/>
                <w:color w:val="000000"/>
                <w:sz w:val="18"/>
                <w:szCs w:val="18"/>
              </w:rPr>
              <w:t>(185)</w:t>
            </w:r>
          </w:p>
        </w:tc>
        <w:tc>
          <w:tcPr>
            <w:tcW w:w="0" w:type="auto"/>
            <w:shd w:val="clear" w:color="auto" w:fill="CCEEFF"/>
            <w:tcMar>
              <w:top w:w="30" w:type="dxa"/>
              <w:left w:w="0" w:type="dxa"/>
              <w:bottom w:w="30" w:type="dxa"/>
              <w:right w:w="20" w:type="dxa"/>
            </w:tcMar>
            <w:vAlign w:val="bottom"/>
            <w:hideMark/>
          </w:tcPr>
          <w:p w14:paraId="4ED1744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66F207"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5FEAC3"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6BDE3C0" w14:textId="77777777" w:rsidR="00000000" w:rsidRDefault="00C1661D">
            <w:pPr>
              <w:spacing w:after="100"/>
              <w:jc w:val="right"/>
              <w:rPr>
                <w:rFonts w:eastAsia="Times New Roman"/>
              </w:rPr>
            </w:pPr>
            <w:r>
              <w:rPr>
                <w:rFonts w:eastAsia="Times New Roman"/>
                <w:color w:val="000000"/>
                <w:sz w:val="18"/>
                <w:szCs w:val="18"/>
              </w:rPr>
              <w:t>797 </w:t>
            </w:r>
          </w:p>
        </w:tc>
        <w:tc>
          <w:tcPr>
            <w:tcW w:w="0" w:type="auto"/>
            <w:shd w:val="clear" w:color="auto" w:fill="CCEEFF"/>
            <w:tcMar>
              <w:top w:w="30" w:type="dxa"/>
              <w:left w:w="0" w:type="dxa"/>
              <w:bottom w:w="30" w:type="dxa"/>
              <w:right w:w="20" w:type="dxa"/>
            </w:tcMar>
            <w:vAlign w:val="bottom"/>
            <w:hideMark/>
          </w:tcPr>
          <w:p w14:paraId="4DD71D5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8D24E3"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1CCFE97"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04FD6CC" w14:textId="77777777" w:rsidR="00000000" w:rsidRDefault="00C1661D">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14:paraId="51F0382F" w14:textId="77777777" w:rsidR="00000000" w:rsidRDefault="00C1661D">
            <w:pPr>
              <w:spacing w:after="100"/>
              <w:jc w:val="right"/>
              <w:rPr>
                <w:rFonts w:eastAsia="Times New Roman"/>
              </w:rPr>
            </w:pPr>
          </w:p>
        </w:tc>
      </w:tr>
      <w:tr w:rsidR="00000000" w14:paraId="26779623" w14:textId="77777777">
        <w:trPr>
          <w:divId w:val="703869585"/>
          <w:jc w:val="center"/>
        </w:trPr>
        <w:tc>
          <w:tcPr>
            <w:tcW w:w="0" w:type="auto"/>
            <w:gridSpan w:val="3"/>
            <w:shd w:val="clear" w:color="auto" w:fill="FFFFFF"/>
            <w:tcMar>
              <w:top w:w="30" w:type="dxa"/>
              <w:left w:w="20" w:type="dxa"/>
              <w:bottom w:w="30" w:type="dxa"/>
              <w:right w:w="20" w:type="dxa"/>
            </w:tcMar>
            <w:vAlign w:val="bottom"/>
            <w:hideMark/>
          </w:tcPr>
          <w:p w14:paraId="5DED7AE4" w14:textId="77777777" w:rsidR="00000000" w:rsidRDefault="00C1661D">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14:paraId="7A906BDE"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1872B32" w14:textId="77777777" w:rsidR="00000000" w:rsidRDefault="00C1661D">
            <w:pPr>
              <w:spacing w:after="100"/>
              <w:rPr>
                <w:rFonts w:eastAsia="Times New Roman"/>
              </w:rPr>
            </w:pPr>
            <w:r>
              <w:rPr>
                <w:rFonts w:eastAsia="Times New Roman"/>
                <w:color w:val="000000"/>
                <w:sz w:val="18"/>
                <w:szCs w:val="18"/>
              </w:rPr>
              <w:t>Other operating income, net</w:t>
            </w:r>
          </w:p>
        </w:tc>
        <w:tc>
          <w:tcPr>
            <w:tcW w:w="0" w:type="auto"/>
            <w:gridSpan w:val="3"/>
            <w:shd w:val="clear" w:color="auto" w:fill="FFFFFF"/>
            <w:tcMar>
              <w:top w:w="0" w:type="dxa"/>
              <w:left w:w="20" w:type="dxa"/>
              <w:bottom w:w="0" w:type="dxa"/>
              <w:right w:w="20" w:type="dxa"/>
            </w:tcMar>
            <w:vAlign w:val="center"/>
            <w:hideMark/>
          </w:tcPr>
          <w:p w14:paraId="0990E746"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7050E32"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7FE5C9F"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4340C0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BEB206"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C07A93"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C2B56E9" w14:textId="77777777" w:rsidR="00000000" w:rsidRDefault="00C1661D">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75B1E5B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C65261"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753365F"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E5999E7"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E720004" w14:textId="77777777" w:rsidR="00000000" w:rsidRDefault="00C1661D">
            <w:pPr>
              <w:spacing w:after="100"/>
              <w:jc w:val="right"/>
              <w:rPr>
                <w:rFonts w:eastAsia="Times New Roman"/>
              </w:rPr>
            </w:pPr>
          </w:p>
        </w:tc>
      </w:tr>
      <w:tr w:rsidR="00000000" w14:paraId="4BDE7174" w14:textId="77777777">
        <w:trPr>
          <w:divId w:val="703869585"/>
          <w:jc w:val="center"/>
        </w:trPr>
        <w:tc>
          <w:tcPr>
            <w:tcW w:w="0" w:type="auto"/>
            <w:gridSpan w:val="3"/>
            <w:vAlign w:val="center"/>
            <w:hideMark/>
          </w:tcPr>
          <w:p w14:paraId="54C779C8" w14:textId="77777777" w:rsidR="00000000" w:rsidRDefault="00C1661D">
            <w:pPr>
              <w:spacing w:after="100"/>
              <w:jc w:val="right"/>
              <w:rPr>
                <w:rFonts w:eastAsia="Times New Roman"/>
                <w:sz w:val="20"/>
                <w:szCs w:val="20"/>
              </w:rPr>
            </w:pPr>
          </w:p>
        </w:tc>
        <w:tc>
          <w:tcPr>
            <w:tcW w:w="0" w:type="auto"/>
            <w:gridSpan w:val="3"/>
            <w:vAlign w:val="center"/>
            <w:hideMark/>
          </w:tcPr>
          <w:p w14:paraId="0397C8EC" w14:textId="77777777" w:rsidR="00000000" w:rsidRDefault="00C1661D">
            <w:pPr>
              <w:spacing w:after="100"/>
              <w:rPr>
                <w:rFonts w:eastAsia="Times New Roman"/>
                <w:sz w:val="20"/>
                <w:szCs w:val="20"/>
              </w:rPr>
            </w:pPr>
          </w:p>
        </w:tc>
        <w:tc>
          <w:tcPr>
            <w:tcW w:w="0" w:type="auto"/>
            <w:gridSpan w:val="3"/>
            <w:vAlign w:val="center"/>
            <w:hideMark/>
          </w:tcPr>
          <w:p w14:paraId="7103C259" w14:textId="77777777" w:rsidR="00000000" w:rsidRDefault="00C1661D">
            <w:pPr>
              <w:spacing w:after="100"/>
              <w:rPr>
                <w:rFonts w:eastAsia="Times New Roman"/>
                <w:sz w:val="20"/>
                <w:szCs w:val="20"/>
              </w:rPr>
            </w:pPr>
          </w:p>
        </w:tc>
        <w:tc>
          <w:tcPr>
            <w:tcW w:w="0" w:type="auto"/>
            <w:gridSpan w:val="3"/>
            <w:vAlign w:val="center"/>
            <w:hideMark/>
          </w:tcPr>
          <w:p w14:paraId="3843CE83" w14:textId="77777777" w:rsidR="00000000" w:rsidRDefault="00C1661D">
            <w:pPr>
              <w:spacing w:after="100"/>
              <w:rPr>
                <w:rFonts w:eastAsia="Times New Roman"/>
                <w:sz w:val="20"/>
                <w:szCs w:val="20"/>
              </w:rPr>
            </w:pPr>
          </w:p>
        </w:tc>
        <w:tc>
          <w:tcPr>
            <w:tcW w:w="0" w:type="auto"/>
            <w:gridSpan w:val="3"/>
            <w:vAlign w:val="center"/>
            <w:hideMark/>
          </w:tcPr>
          <w:p w14:paraId="1C564CF0" w14:textId="77777777" w:rsidR="00000000" w:rsidRDefault="00C1661D">
            <w:pPr>
              <w:spacing w:after="100"/>
              <w:rPr>
                <w:rFonts w:eastAsia="Times New Roman"/>
                <w:sz w:val="20"/>
                <w:szCs w:val="20"/>
              </w:rPr>
            </w:pPr>
          </w:p>
        </w:tc>
        <w:tc>
          <w:tcPr>
            <w:tcW w:w="0" w:type="auto"/>
            <w:gridSpan w:val="3"/>
            <w:vAlign w:val="center"/>
            <w:hideMark/>
          </w:tcPr>
          <w:p w14:paraId="35D24265" w14:textId="77777777" w:rsidR="00000000" w:rsidRDefault="00C1661D">
            <w:pPr>
              <w:spacing w:after="100"/>
              <w:rPr>
                <w:rFonts w:eastAsia="Times New Roman"/>
                <w:sz w:val="20"/>
                <w:szCs w:val="20"/>
              </w:rPr>
            </w:pPr>
          </w:p>
        </w:tc>
        <w:tc>
          <w:tcPr>
            <w:tcW w:w="0" w:type="auto"/>
            <w:gridSpan w:val="3"/>
            <w:vAlign w:val="center"/>
            <w:hideMark/>
          </w:tcPr>
          <w:p w14:paraId="5E49E0CD" w14:textId="77777777" w:rsidR="00000000" w:rsidRDefault="00C1661D">
            <w:pPr>
              <w:spacing w:after="100"/>
              <w:rPr>
                <w:rFonts w:eastAsia="Times New Roman"/>
                <w:sz w:val="20"/>
                <w:szCs w:val="20"/>
              </w:rPr>
            </w:pPr>
          </w:p>
        </w:tc>
        <w:tc>
          <w:tcPr>
            <w:tcW w:w="0" w:type="auto"/>
            <w:gridSpan w:val="3"/>
            <w:vAlign w:val="center"/>
            <w:hideMark/>
          </w:tcPr>
          <w:p w14:paraId="5341F695" w14:textId="77777777" w:rsidR="00000000" w:rsidRDefault="00C1661D">
            <w:pPr>
              <w:spacing w:after="100"/>
              <w:rPr>
                <w:rFonts w:eastAsia="Times New Roman"/>
                <w:sz w:val="20"/>
                <w:szCs w:val="20"/>
              </w:rPr>
            </w:pPr>
          </w:p>
        </w:tc>
        <w:tc>
          <w:tcPr>
            <w:tcW w:w="0" w:type="auto"/>
            <w:gridSpan w:val="3"/>
            <w:vAlign w:val="center"/>
            <w:hideMark/>
          </w:tcPr>
          <w:p w14:paraId="249D915D" w14:textId="77777777" w:rsidR="00000000" w:rsidRDefault="00C1661D">
            <w:pPr>
              <w:spacing w:after="100"/>
              <w:rPr>
                <w:rFonts w:eastAsia="Times New Roman"/>
                <w:sz w:val="20"/>
                <w:szCs w:val="20"/>
              </w:rPr>
            </w:pPr>
          </w:p>
        </w:tc>
      </w:tr>
      <w:tr w:rsidR="00000000" w14:paraId="670A1B1A" w14:textId="77777777">
        <w:trPr>
          <w:divId w:val="703869585"/>
          <w:jc w:val="center"/>
        </w:trPr>
        <w:tc>
          <w:tcPr>
            <w:tcW w:w="0" w:type="auto"/>
            <w:gridSpan w:val="3"/>
            <w:vAlign w:val="center"/>
            <w:hideMark/>
          </w:tcPr>
          <w:p w14:paraId="2FB352B9" w14:textId="77777777" w:rsidR="00000000" w:rsidRDefault="00C1661D">
            <w:pPr>
              <w:spacing w:after="100"/>
              <w:rPr>
                <w:rFonts w:eastAsia="Times New Roman"/>
                <w:sz w:val="20"/>
                <w:szCs w:val="20"/>
              </w:rPr>
            </w:pPr>
          </w:p>
        </w:tc>
        <w:tc>
          <w:tcPr>
            <w:tcW w:w="0" w:type="auto"/>
            <w:gridSpan w:val="3"/>
            <w:vAlign w:val="center"/>
            <w:hideMark/>
          </w:tcPr>
          <w:p w14:paraId="0D79460C" w14:textId="77777777" w:rsidR="00000000" w:rsidRDefault="00C1661D">
            <w:pPr>
              <w:spacing w:after="100"/>
              <w:rPr>
                <w:rFonts w:eastAsia="Times New Roman"/>
                <w:sz w:val="20"/>
                <w:szCs w:val="20"/>
              </w:rPr>
            </w:pPr>
          </w:p>
        </w:tc>
        <w:tc>
          <w:tcPr>
            <w:tcW w:w="0" w:type="auto"/>
            <w:gridSpan w:val="3"/>
            <w:vAlign w:val="center"/>
            <w:hideMark/>
          </w:tcPr>
          <w:p w14:paraId="0080EEBD" w14:textId="77777777" w:rsidR="00000000" w:rsidRDefault="00C1661D">
            <w:pPr>
              <w:spacing w:after="100"/>
              <w:rPr>
                <w:rFonts w:eastAsia="Times New Roman"/>
                <w:sz w:val="20"/>
                <w:szCs w:val="20"/>
              </w:rPr>
            </w:pPr>
          </w:p>
        </w:tc>
        <w:tc>
          <w:tcPr>
            <w:tcW w:w="0" w:type="auto"/>
            <w:gridSpan w:val="3"/>
            <w:vAlign w:val="center"/>
            <w:hideMark/>
          </w:tcPr>
          <w:p w14:paraId="6D537ADC" w14:textId="77777777" w:rsidR="00000000" w:rsidRDefault="00C1661D">
            <w:pPr>
              <w:spacing w:after="100"/>
              <w:rPr>
                <w:rFonts w:eastAsia="Times New Roman"/>
                <w:sz w:val="20"/>
                <w:szCs w:val="20"/>
              </w:rPr>
            </w:pPr>
          </w:p>
        </w:tc>
        <w:tc>
          <w:tcPr>
            <w:tcW w:w="0" w:type="auto"/>
            <w:gridSpan w:val="3"/>
            <w:vAlign w:val="center"/>
            <w:hideMark/>
          </w:tcPr>
          <w:p w14:paraId="369D3E96" w14:textId="77777777" w:rsidR="00000000" w:rsidRDefault="00C1661D">
            <w:pPr>
              <w:spacing w:after="100"/>
              <w:rPr>
                <w:rFonts w:eastAsia="Times New Roman"/>
                <w:sz w:val="20"/>
                <w:szCs w:val="20"/>
              </w:rPr>
            </w:pPr>
          </w:p>
        </w:tc>
        <w:tc>
          <w:tcPr>
            <w:tcW w:w="0" w:type="auto"/>
            <w:gridSpan w:val="3"/>
            <w:vAlign w:val="center"/>
            <w:hideMark/>
          </w:tcPr>
          <w:p w14:paraId="4976DED4" w14:textId="77777777" w:rsidR="00000000" w:rsidRDefault="00C1661D">
            <w:pPr>
              <w:spacing w:after="100"/>
              <w:rPr>
                <w:rFonts w:eastAsia="Times New Roman"/>
                <w:sz w:val="20"/>
                <w:szCs w:val="20"/>
              </w:rPr>
            </w:pPr>
          </w:p>
        </w:tc>
        <w:tc>
          <w:tcPr>
            <w:tcW w:w="0" w:type="auto"/>
            <w:gridSpan w:val="3"/>
            <w:vAlign w:val="center"/>
            <w:hideMark/>
          </w:tcPr>
          <w:p w14:paraId="704F38CA" w14:textId="77777777" w:rsidR="00000000" w:rsidRDefault="00C1661D">
            <w:pPr>
              <w:spacing w:after="100"/>
              <w:rPr>
                <w:rFonts w:eastAsia="Times New Roman"/>
                <w:sz w:val="20"/>
                <w:szCs w:val="20"/>
              </w:rPr>
            </w:pPr>
          </w:p>
        </w:tc>
        <w:tc>
          <w:tcPr>
            <w:tcW w:w="0" w:type="auto"/>
            <w:gridSpan w:val="3"/>
            <w:vAlign w:val="center"/>
            <w:hideMark/>
          </w:tcPr>
          <w:p w14:paraId="2A428C0E" w14:textId="77777777" w:rsidR="00000000" w:rsidRDefault="00C1661D">
            <w:pPr>
              <w:spacing w:after="100"/>
              <w:rPr>
                <w:rFonts w:eastAsia="Times New Roman"/>
                <w:sz w:val="20"/>
                <w:szCs w:val="20"/>
              </w:rPr>
            </w:pPr>
          </w:p>
        </w:tc>
        <w:tc>
          <w:tcPr>
            <w:tcW w:w="0" w:type="auto"/>
            <w:gridSpan w:val="3"/>
            <w:vAlign w:val="center"/>
            <w:hideMark/>
          </w:tcPr>
          <w:p w14:paraId="5603B380" w14:textId="77777777" w:rsidR="00000000" w:rsidRDefault="00C1661D">
            <w:pPr>
              <w:spacing w:after="100"/>
              <w:rPr>
                <w:rFonts w:eastAsia="Times New Roman"/>
                <w:sz w:val="20"/>
                <w:szCs w:val="20"/>
              </w:rPr>
            </w:pPr>
          </w:p>
        </w:tc>
      </w:tr>
      <w:tr w:rsidR="00000000" w14:paraId="45394F66" w14:textId="77777777">
        <w:trPr>
          <w:divId w:val="703869585"/>
          <w:jc w:val="center"/>
        </w:trPr>
        <w:tc>
          <w:tcPr>
            <w:tcW w:w="0" w:type="auto"/>
            <w:gridSpan w:val="3"/>
            <w:shd w:val="clear" w:color="auto" w:fill="CCEEFF"/>
            <w:tcMar>
              <w:top w:w="30" w:type="dxa"/>
              <w:left w:w="20" w:type="dxa"/>
              <w:bottom w:w="30" w:type="dxa"/>
              <w:right w:w="20" w:type="dxa"/>
            </w:tcMar>
            <w:vAlign w:val="bottom"/>
            <w:hideMark/>
          </w:tcPr>
          <w:p w14:paraId="09BE99FA" w14:textId="77777777" w:rsidR="00000000" w:rsidRDefault="00C1661D">
            <w:pPr>
              <w:spacing w:after="100"/>
              <w:rPr>
                <w:rFonts w:eastAsia="Times New Roman"/>
              </w:rPr>
            </w:pPr>
            <w:r>
              <w:rPr>
                <w:rFonts w:eastAsia="Times New Roman"/>
                <w:color w:val="000000"/>
                <w:sz w:val="18"/>
                <w:szCs w:val="18"/>
              </w:rPr>
              <w:t>Restructuring costs</w:t>
            </w:r>
          </w:p>
        </w:tc>
        <w:tc>
          <w:tcPr>
            <w:tcW w:w="0" w:type="auto"/>
            <w:gridSpan w:val="3"/>
            <w:shd w:val="clear" w:color="auto" w:fill="CCEEFF"/>
            <w:tcMar>
              <w:top w:w="0" w:type="dxa"/>
              <w:left w:w="20" w:type="dxa"/>
              <w:bottom w:w="0" w:type="dxa"/>
              <w:right w:w="20" w:type="dxa"/>
            </w:tcMar>
            <w:vAlign w:val="center"/>
            <w:hideMark/>
          </w:tcPr>
          <w:p w14:paraId="7025C404"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3DDB021" w14:textId="77777777" w:rsidR="00000000" w:rsidRDefault="00C1661D">
            <w:pPr>
              <w:spacing w:after="100"/>
              <w:rPr>
                <w:rFonts w:eastAsia="Times New Roman"/>
              </w:rPr>
            </w:pPr>
            <w:r>
              <w:rPr>
                <w:rFonts w:eastAsia="Times New Roman"/>
                <w:color w:val="000000"/>
                <w:sz w:val="18"/>
                <w:szCs w:val="18"/>
              </w:rPr>
              <w:t>Operating and administrative expense</w:t>
            </w:r>
            <w:r>
              <w:rPr>
                <w:rFonts w:eastAsia="Times New Roman"/>
                <w:color w:val="000000"/>
                <w:sz w:val="18"/>
                <w:szCs w:val="18"/>
              </w:rPr>
              <w:t>s</w:t>
            </w:r>
          </w:p>
        </w:tc>
        <w:tc>
          <w:tcPr>
            <w:tcW w:w="0" w:type="auto"/>
            <w:gridSpan w:val="3"/>
            <w:shd w:val="clear" w:color="auto" w:fill="CCEEFF"/>
            <w:tcMar>
              <w:top w:w="0" w:type="dxa"/>
              <w:left w:w="20" w:type="dxa"/>
              <w:bottom w:w="0" w:type="dxa"/>
              <w:right w:w="20" w:type="dxa"/>
            </w:tcMar>
            <w:vAlign w:val="center"/>
            <w:hideMark/>
          </w:tcPr>
          <w:p w14:paraId="1ABAEABC"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FCBF4CF"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E7B59C1" w14:textId="77777777" w:rsidR="00000000" w:rsidRDefault="00C1661D">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14:paraId="7D2F0F8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74E7F9"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CF3FB38"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6F98349" w14:textId="77777777" w:rsidR="00000000" w:rsidRDefault="00C1661D">
            <w:pPr>
              <w:spacing w:after="100"/>
              <w:jc w:val="right"/>
              <w:rPr>
                <w:rFonts w:eastAsia="Times New Roman"/>
              </w:rPr>
            </w:pPr>
            <w:r>
              <w:rPr>
                <w:rFonts w:eastAsia="Times New Roman"/>
                <w:color w:val="000000"/>
                <w:sz w:val="18"/>
                <w:szCs w:val="18"/>
              </w:rPr>
              <w:t>(9)</w:t>
            </w:r>
          </w:p>
        </w:tc>
        <w:tc>
          <w:tcPr>
            <w:tcW w:w="0" w:type="auto"/>
            <w:shd w:val="clear" w:color="auto" w:fill="CCEEFF"/>
            <w:tcMar>
              <w:top w:w="30" w:type="dxa"/>
              <w:left w:w="0" w:type="dxa"/>
              <w:bottom w:w="30" w:type="dxa"/>
              <w:right w:w="20" w:type="dxa"/>
            </w:tcMar>
            <w:vAlign w:val="bottom"/>
            <w:hideMark/>
          </w:tcPr>
          <w:p w14:paraId="6D2E6F98"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7BFF86"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068156"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59C88EC" w14:textId="77777777" w:rsidR="00000000" w:rsidRDefault="00C1661D">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513DA6EA" w14:textId="77777777" w:rsidR="00000000" w:rsidRDefault="00C1661D">
            <w:pPr>
              <w:spacing w:after="100"/>
              <w:jc w:val="right"/>
              <w:rPr>
                <w:rFonts w:eastAsia="Times New Roman"/>
              </w:rPr>
            </w:pPr>
          </w:p>
        </w:tc>
      </w:tr>
      <w:tr w:rsidR="00000000" w14:paraId="1443AF68" w14:textId="77777777">
        <w:trPr>
          <w:divId w:val="703869585"/>
          <w:jc w:val="center"/>
        </w:trPr>
        <w:tc>
          <w:tcPr>
            <w:tcW w:w="0" w:type="auto"/>
            <w:gridSpan w:val="3"/>
            <w:shd w:val="clear" w:color="auto" w:fill="FFFFFF"/>
            <w:tcMar>
              <w:top w:w="30" w:type="dxa"/>
              <w:left w:w="20" w:type="dxa"/>
              <w:bottom w:w="30" w:type="dxa"/>
              <w:right w:w="20" w:type="dxa"/>
            </w:tcMar>
            <w:vAlign w:val="bottom"/>
            <w:hideMark/>
          </w:tcPr>
          <w:p w14:paraId="42A7E794" w14:textId="77777777" w:rsidR="00000000" w:rsidRDefault="00C1661D">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FFFFFF"/>
            <w:tcMar>
              <w:top w:w="0" w:type="dxa"/>
              <w:left w:w="20" w:type="dxa"/>
              <w:bottom w:w="0" w:type="dxa"/>
              <w:right w:w="20" w:type="dxa"/>
            </w:tcMar>
            <w:vAlign w:val="center"/>
            <w:hideMark/>
          </w:tcPr>
          <w:p w14:paraId="3E6BE558"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C4A2CDF" w14:textId="77777777" w:rsidR="00000000" w:rsidRDefault="00C1661D">
            <w:pPr>
              <w:spacing w:after="100"/>
              <w:rPr>
                <w:rFonts w:eastAsia="Times New Roman"/>
              </w:rPr>
            </w:pPr>
            <w:r>
              <w:rPr>
                <w:rFonts w:eastAsia="Times New Roman"/>
                <w:color w:val="000000"/>
                <w:sz w:val="18"/>
                <w:szCs w:val="18"/>
              </w:rPr>
              <w:t>Loss on extinguishments of debt</w:t>
            </w:r>
          </w:p>
        </w:tc>
        <w:tc>
          <w:tcPr>
            <w:tcW w:w="0" w:type="auto"/>
            <w:gridSpan w:val="3"/>
            <w:shd w:val="clear" w:color="auto" w:fill="FFFFFF"/>
            <w:tcMar>
              <w:top w:w="0" w:type="dxa"/>
              <w:left w:w="20" w:type="dxa"/>
              <w:bottom w:w="0" w:type="dxa"/>
              <w:right w:w="20" w:type="dxa"/>
            </w:tcMar>
            <w:vAlign w:val="center"/>
            <w:hideMark/>
          </w:tcPr>
          <w:p w14:paraId="54A840ED"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5CF9CBD"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8BCD3EE"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1B201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A9CE0A"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5259BC"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9493DC5" w14:textId="77777777" w:rsidR="00000000" w:rsidRDefault="00C1661D">
            <w:pPr>
              <w:spacing w:after="100"/>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bottom"/>
            <w:hideMark/>
          </w:tcPr>
          <w:p w14:paraId="59D3521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00E436"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C3FA816"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1201DE0"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826D199" w14:textId="77777777" w:rsidR="00000000" w:rsidRDefault="00C1661D">
            <w:pPr>
              <w:spacing w:after="100"/>
              <w:jc w:val="right"/>
              <w:rPr>
                <w:rFonts w:eastAsia="Times New Roman"/>
              </w:rPr>
            </w:pPr>
          </w:p>
        </w:tc>
      </w:tr>
      <w:tr w:rsidR="00000000" w14:paraId="7909E5F3" w14:textId="77777777">
        <w:trPr>
          <w:divId w:val="703869585"/>
          <w:jc w:val="center"/>
        </w:trPr>
        <w:tc>
          <w:tcPr>
            <w:tcW w:w="0" w:type="auto"/>
            <w:gridSpan w:val="3"/>
            <w:shd w:val="clear" w:color="auto" w:fill="CCEEFF"/>
            <w:tcMar>
              <w:top w:w="30" w:type="dxa"/>
              <w:left w:w="20" w:type="dxa"/>
              <w:bottom w:w="30" w:type="dxa"/>
              <w:right w:w="20" w:type="dxa"/>
            </w:tcMar>
            <w:vAlign w:val="bottom"/>
            <w:hideMark/>
          </w:tcPr>
          <w:p w14:paraId="03ACD90A" w14:textId="77777777" w:rsidR="00000000" w:rsidRDefault="00C1661D">
            <w:pPr>
              <w:spacing w:after="100"/>
              <w:rPr>
                <w:rFonts w:eastAsia="Times New Roman"/>
              </w:rPr>
            </w:pPr>
            <w:r>
              <w:rPr>
                <w:rFonts w:eastAsia="Times New Roman"/>
                <w:color w:val="000000"/>
                <w:sz w:val="18"/>
                <w:szCs w:val="18"/>
              </w:rPr>
              <w:t>Unrealized gains on foreign currency derivative instruments</w:t>
            </w:r>
          </w:p>
        </w:tc>
        <w:tc>
          <w:tcPr>
            <w:tcW w:w="0" w:type="auto"/>
            <w:gridSpan w:val="3"/>
            <w:shd w:val="clear" w:color="auto" w:fill="CCEEFF"/>
            <w:tcMar>
              <w:top w:w="0" w:type="dxa"/>
              <w:left w:w="20" w:type="dxa"/>
              <w:bottom w:w="0" w:type="dxa"/>
              <w:right w:w="20" w:type="dxa"/>
            </w:tcMar>
            <w:vAlign w:val="center"/>
            <w:hideMark/>
          </w:tcPr>
          <w:p w14:paraId="190F0736"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0946D65" w14:textId="77777777" w:rsidR="00000000" w:rsidRDefault="00C1661D">
            <w:pPr>
              <w:spacing w:after="100"/>
              <w:rPr>
                <w:rFonts w:eastAsia="Times New Roman"/>
              </w:rPr>
            </w:pPr>
            <w:r>
              <w:rPr>
                <w:rFonts w:eastAsia="Times New Roman"/>
                <w:color w:val="000000"/>
                <w:sz w:val="18"/>
                <w:szCs w:val="18"/>
              </w:rPr>
              <w:t>Other non-operating income (expense), net</w:t>
            </w:r>
          </w:p>
        </w:tc>
        <w:tc>
          <w:tcPr>
            <w:tcW w:w="0" w:type="auto"/>
            <w:gridSpan w:val="3"/>
            <w:shd w:val="clear" w:color="auto" w:fill="CCEEFF"/>
            <w:tcMar>
              <w:top w:w="0" w:type="dxa"/>
              <w:left w:w="20" w:type="dxa"/>
              <w:bottom w:w="0" w:type="dxa"/>
              <w:right w:w="20" w:type="dxa"/>
            </w:tcMar>
            <w:vAlign w:val="center"/>
            <w:hideMark/>
          </w:tcPr>
          <w:p w14:paraId="0935A02D"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94E81C9"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3D5F901"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2BE4DF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C0E155"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79137FF"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91DFB5E" w14:textId="77777777" w:rsidR="00000000" w:rsidRDefault="00C1661D">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bottom"/>
            <w:hideMark/>
          </w:tcPr>
          <w:p w14:paraId="4E4114C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C7B32C"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5316963"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3A4E2F7"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7A3FC11" w14:textId="77777777" w:rsidR="00000000" w:rsidRDefault="00C1661D">
            <w:pPr>
              <w:spacing w:after="100"/>
              <w:jc w:val="right"/>
              <w:rPr>
                <w:rFonts w:eastAsia="Times New Roman"/>
              </w:rPr>
            </w:pPr>
          </w:p>
        </w:tc>
      </w:tr>
      <w:tr w:rsidR="00000000" w14:paraId="5E42B431" w14:textId="77777777">
        <w:trPr>
          <w:divId w:val="703869585"/>
          <w:jc w:val="center"/>
        </w:trPr>
        <w:tc>
          <w:tcPr>
            <w:tcW w:w="0" w:type="auto"/>
            <w:gridSpan w:val="3"/>
            <w:shd w:val="clear" w:color="auto" w:fill="FFFFFF"/>
            <w:tcMar>
              <w:top w:w="30" w:type="dxa"/>
              <w:left w:w="20" w:type="dxa"/>
              <w:bottom w:w="30" w:type="dxa"/>
              <w:right w:w="20" w:type="dxa"/>
            </w:tcMar>
            <w:vAlign w:val="bottom"/>
            <w:hideMark/>
          </w:tcPr>
          <w:p w14:paraId="0BC789F3" w14:textId="77777777" w:rsidR="00000000" w:rsidRDefault="00C1661D">
            <w:pPr>
              <w:spacing w:after="100"/>
              <w:rPr>
                <w:rFonts w:eastAsia="Times New Roman"/>
              </w:rPr>
            </w:pPr>
            <w:r>
              <w:rPr>
                <w:rFonts w:eastAsia="Times New Roman"/>
                <w:color w:val="000000"/>
                <w:sz w:val="18"/>
                <w:szCs w:val="18"/>
              </w:rPr>
              <w:t xml:space="preserve">Impairments of certain equity method investments and assets </w:t>
            </w:r>
          </w:p>
        </w:tc>
        <w:tc>
          <w:tcPr>
            <w:tcW w:w="0" w:type="auto"/>
            <w:gridSpan w:val="3"/>
            <w:shd w:val="clear" w:color="auto" w:fill="FFFFFF"/>
            <w:tcMar>
              <w:top w:w="0" w:type="dxa"/>
              <w:left w:w="20" w:type="dxa"/>
              <w:bottom w:w="0" w:type="dxa"/>
              <w:right w:w="20" w:type="dxa"/>
            </w:tcMar>
            <w:vAlign w:val="center"/>
            <w:hideMark/>
          </w:tcPr>
          <w:p w14:paraId="0103EDB2"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EC284E8" w14:textId="77777777" w:rsidR="00000000" w:rsidRDefault="00C1661D">
            <w:pPr>
              <w:spacing w:after="100"/>
              <w:rPr>
                <w:rFonts w:eastAsia="Times New Roman"/>
              </w:rPr>
            </w:pPr>
            <w:r>
              <w:rPr>
                <w:rFonts w:eastAsia="Times New Roman"/>
                <w:color w:val="000000"/>
                <w:sz w:val="18"/>
                <w:szCs w:val="18"/>
              </w:rPr>
              <w:t>Operating and administrative expenses; (Loss) income from equity investees, respectively</w:t>
            </w:r>
          </w:p>
        </w:tc>
        <w:tc>
          <w:tcPr>
            <w:tcW w:w="0" w:type="auto"/>
            <w:gridSpan w:val="3"/>
            <w:shd w:val="clear" w:color="auto" w:fill="FFFFFF"/>
            <w:tcMar>
              <w:top w:w="0" w:type="dxa"/>
              <w:left w:w="20" w:type="dxa"/>
              <w:bottom w:w="0" w:type="dxa"/>
              <w:right w:w="20" w:type="dxa"/>
            </w:tcMar>
            <w:vAlign w:val="center"/>
            <w:hideMark/>
          </w:tcPr>
          <w:p w14:paraId="57717772"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7003A7A"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ED02540"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31D44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A75D3"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76F00C"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7E3F8BD" w14:textId="77777777" w:rsidR="00000000" w:rsidRDefault="00C1661D">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14:paraId="5FCA589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B51183"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6DB012"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4088885" w14:textId="77777777" w:rsidR="00000000" w:rsidRDefault="00C1661D">
            <w:pPr>
              <w:spacing w:after="100"/>
              <w:jc w:val="right"/>
              <w:rPr>
                <w:rFonts w:eastAsia="Times New Roman"/>
              </w:rPr>
            </w:pPr>
            <w:r>
              <w:rPr>
                <w:rFonts w:eastAsia="Times New Roman"/>
                <w:color w:val="000000"/>
                <w:sz w:val="18"/>
                <w:szCs w:val="18"/>
              </w:rPr>
              <w:t>(35)</w:t>
            </w:r>
          </w:p>
        </w:tc>
        <w:tc>
          <w:tcPr>
            <w:tcW w:w="0" w:type="auto"/>
            <w:shd w:val="clear" w:color="auto" w:fill="FFFFFF"/>
            <w:tcMar>
              <w:top w:w="30" w:type="dxa"/>
              <w:left w:w="0" w:type="dxa"/>
              <w:bottom w:w="30" w:type="dxa"/>
              <w:right w:w="20" w:type="dxa"/>
            </w:tcMar>
            <w:vAlign w:val="bottom"/>
            <w:hideMark/>
          </w:tcPr>
          <w:p w14:paraId="766A1208" w14:textId="77777777" w:rsidR="00000000" w:rsidRDefault="00C1661D">
            <w:pPr>
              <w:spacing w:after="100"/>
              <w:jc w:val="right"/>
              <w:rPr>
                <w:rFonts w:eastAsia="Times New Roman"/>
              </w:rPr>
            </w:pPr>
          </w:p>
        </w:tc>
      </w:tr>
      <w:tr w:rsidR="00000000" w14:paraId="36C112A7" w14:textId="77777777">
        <w:trPr>
          <w:divId w:val="703869585"/>
          <w:trHeight w:val="300"/>
          <w:jc w:val="center"/>
        </w:trPr>
        <w:tc>
          <w:tcPr>
            <w:tcW w:w="0" w:type="auto"/>
            <w:gridSpan w:val="3"/>
            <w:shd w:val="clear" w:color="auto" w:fill="CCEEFF"/>
            <w:tcMar>
              <w:top w:w="0" w:type="dxa"/>
              <w:left w:w="20" w:type="dxa"/>
              <w:bottom w:w="0" w:type="dxa"/>
              <w:right w:w="20" w:type="dxa"/>
            </w:tcMar>
            <w:vAlign w:val="center"/>
            <w:hideMark/>
          </w:tcPr>
          <w:p w14:paraId="40079C3C" w14:textId="77777777" w:rsidR="00000000" w:rsidRDefault="00C1661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017ADE"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D38504"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A2D9B9"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875E0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2E375C"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0EACF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0DA8AA"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0C590D" w14:textId="77777777" w:rsidR="00000000" w:rsidRDefault="00C1661D">
            <w:pPr>
              <w:spacing w:after="100"/>
              <w:rPr>
                <w:rFonts w:eastAsia="Times New Roman"/>
                <w:sz w:val="20"/>
                <w:szCs w:val="20"/>
              </w:rPr>
            </w:pPr>
          </w:p>
        </w:tc>
      </w:tr>
      <w:tr w:rsidR="00000000" w14:paraId="7E2D78EA" w14:textId="77777777">
        <w:trPr>
          <w:divId w:val="703869585"/>
          <w:jc w:val="center"/>
        </w:trPr>
        <w:tc>
          <w:tcPr>
            <w:tcW w:w="0" w:type="auto"/>
            <w:gridSpan w:val="3"/>
            <w:shd w:val="clear" w:color="auto" w:fill="FFFFFF"/>
            <w:tcMar>
              <w:top w:w="30" w:type="dxa"/>
              <w:left w:w="20" w:type="dxa"/>
              <w:bottom w:w="30" w:type="dxa"/>
              <w:right w:w="20" w:type="dxa"/>
            </w:tcMar>
            <w:vAlign w:val="bottom"/>
            <w:hideMark/>
          </w:tcPr>
          <w:p w14:paraId="27F55CB9" w14:textId="77777777" w:rsidR="00000000" w:rsidRDefault="00C1661D">
            <w:pPr>
              <w:spacing w:after="100"/>
              <w:rPr>
                <w:rFonts w:eastAsia="Times New Roman"/>
              </w:rPr>
            </w:pPr>
            <w:r>
              <w:rPr>
                <w:rFonts w:eastAsia="Times New Roman"/>
                <w:b/>
                <w:bCs/>
                <w:color w:val="000000"/>
                <w:sz w:val="18"/>
                <w:szCs w:val="18"/>
              </w:rPr>
              <w:t>2021</w:t>
            </w:r>
          </w:p>
        </w:tc>
        <w:tc>
          <w:tcPr>
            <w:tcW w:w="0" w:type="auto"/>
            <w:gridSpan w:val="3"/>
            <w:shd w:val="clear" w:color="auto" w:fill="FFFFFF"/>
            <w:tcMar>
              <w:top w:w="0" w:type="dxa"/>
              <w:left w:w="20" w:type="dxa"/>
              <w:bottom w:w="0" w:type="dxa"/>
              <w:right w:w="20" w:type="dxa"/>
            </w:tcMar>
            <w:vAlign w:val="center"/>
            <w:hideMark/>
          </w:tcPr>
          <w:p w14:paraId="0AF2E6B3"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890B10"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7A3AD4"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2FC4EF"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A2F09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F3F2AB"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B17E08"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3CF91C" w14:textId="77777777" w:rsidR="00000000" w:rsidRDefault="00C1661D">
            <w:pPr>
              <w:spacing w:after="100"/>
              <w:rPr>
                <w:rFonts w:eastAsia="Times New Roman"/>
                <w:sz w:val="20"/>
                <w:szCs w:val="20"/>
              </w:rPr>
            </w:pPr>
          </w:p>
        </w:tc>
      </w:tr>
      <w:tr w:rsidR="00000000" w14:paraId="3E47869B" w14:textId="77777777">
        <w:trPr>
          <w:divId w:val="703869585"/>
          <w:jc w:val="center"/>
        </w:trPr>
        <w:tc>
          <w:tcPr>
            <w:tcW w:w="0" w:type="auto"/>
            <w:gridSpan w:val="3"/>
            <w:shd w:val="clear" w:color="auto" w:fill="CCEEFF"/>
            <w:tcMar>
              <w:top w:w="30" w:type="dxa"/>
              <w:left w:w="20" w:type="dxa"/>
              <w:bottom w:w="30" w:type="dxa"/>
              <w:right w:w="20" w:type="dxa"/>
            </w:tcMar>
            <w:vAlign w:val="bottom"/>
            <w:hideMark/>
          </w:tcPr>
          <w:p w14:paraId="3184AFBB" w14:textId="77777777" w:rsidR="00000000" w:rsidRDefault="00C1661D">
            <w:pPr>
              <w:spacing w:after="100"/>
              <w:rPr>
                <w:rFonts w:eastAsia="Times New Roman"/>
              </w:rPr>
            </w:pPr>
            <w:r>
              <w:rPr>
                <w:rFonts w:eastAsia="Times New Roman"/>
                <w:color w:val="000000"/>
                <w:sz w:val="18"/>
                <w:szCs w:val="18"/>
              </w:rPr>
              <w:t>Net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14:paraId="4A566330"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F280280" w14:textId="77777777" w:rsidR="00000000" w:rsidRDefault="00C1661D">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14:paraId="6CF4CF13"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6B8FF5F"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2298F8B"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F748B8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19B78E"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6A37038"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714DF93"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6D1CBF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A9A1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54682FA"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D1B9F31" w14:textId="77777777" w:rsidR="00000000" w:rsidRDefault="00C1661D">
            <w:pPr>
              <w:spacing w:after="100"/>
              <w:jc w:val="right"/>
              <w:rPr>
                <w:rFonts w:eastAsia="Times New Roman"/>
              </w:rPr>
            </w:pPr>
            <w:r>
              <w:rPr>
                <w:rFonts w:eastAsia="Times New Roman"/>
                <w:color w:val="000000"/>
                <w:sz w:val="18"/>
                <w:szCs w:val="18"/>
              </w:rPr>
              <w:t>(15)</w:t>
            </w:r>
          </w:p>
        </w:tc>
        <w:tc>
          <w:tcPr>
            <w:tcW w:w="0" w:type="auto"/>
            <w:shd w:val="clear" w:color="auto" w:fill="CCEEFF"/>
            <w:tcMar>
              <w:top w:w="30" w:type="dxa"/>
              <w:left w:w="0" w:type="dxa"/>
              <w:bottom w:w="30" w:type="dxa"/>
              <w:right w:w="20" w:type="dxa"/>
            </w:tcMar>
            <w:vAlign w:val="bottom"/>
            <w:hideMark/>
          </w:tcPr>
          <w:p w14:paraId="77B6E3A1" w14:textId="77777777" w:rsidR="00000000" w:rsidRDefault="00C1661D">
            <w:pPr>
              <w:spacing w:after="100"/>
              <w:jc w:val="right"/>
              <w:rPr>
                <w:rFonts w:eastAsia="Times New Roman"/>
              </w:rPr>
            </w:pPr>
          </w:p>
        </w:tc>
      </w:tr>
      <w:tr w:rsidR="00000000" w14:paraId="4D10843E" w14:textId="77777777">
        <w:trPr>
          <w:divId w:val="703869585"/>
          <w:jc w:val="center"/>
        </w:trPr>
        <w:tc>
          <w:tcPr>
            <w:tcW w:w="0" w:type="auto"/>
            <w:gridSpan w:val="3"/>
            <w:shd w:val="clear" w:color="auto" w:fill="FFFFFF"/>
            <w:tcMar>
              <w:top w:w="30" w:type="dxa"/>
              <w:left w:w="20" w:type="dxa"/>
              <w:bottom w:w="30" w:type="dxa"/>
              <w:right w:w="20" w:type="dxa"/>
            </w:tcMar>
            <w:vAlign w:val="bottom"/>
            <w:hideMark/>
          </w:tcPr>
          <w:p w14:paraId="5903D088" w14:textId="77777777" w:rsidR="00000000" w:rsidRDefault="00C1661D">
            <w:pPr>
              <w:spacing w:after="100"/>
              <w:rPr>
                <w:rFonts w:eastAsia="Times New Roman"/>
              </w:rPr>
            </w:pPr>
            <w:r>
              <w:rPr>
                <w:rFonts w:eastAsia="Times New Roman"/>
                <w:color w:val="000000"/>
                <w:sz w:val="18"/>
                <w:szCs w:val="18"/>
              </w:rPr>
              <w:t>Net gains on commodity derivativ</w:t>
            </w:r>
            <w:r>
              <w:rPr>
                <w:rFonts w:eastAsia="Times New Roman"/>
                <w:color w:val="000000"/>
                <w:sz w:val="18"/>
                <w:szCs w:val="18"/>
              </w:rPr>
              <w:t>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14:paraId="0263E4A6"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D4775B7" w14:textId="77777777" w:rsidR="00000000" w:rsidRDefault="00C1661D">
            <w:pPr>
              <w:spacing w:after="100"/>
              <w:rPr>
                <w:rFonts w:eastAsia="Times New Roman"/>
              </w:rPr>
            </w:pPr>
            <w:r>
              <w:rPr>
                <w:rFonts w:eastAsia="Times New Roman"/>
                <w:color w:val="000000"/>
                <w:sz w:val="18"/>
                <w:szCs w:val="18"/>
              </w:rPr>
              <w:t>Cost of sales</w:t>
            </w:r>
          </w:p>
        </w:tc>
        <w:tc>
          <w:tcPr>
            <w:tcW w:w="0" w:type="auto"/>
            <w:gridSpan w:val="3"/>
            <w:shd w:val="clear" w:color="auto" w:fill="FFFFFF"/>
            <w:tcMar>
              <w:top w:w="0" w:type="dxa"/>
              <w:left w:w="20" w:type="dxa"/>
              <w:bottom w:w="0" w:type="dxa"/>
              <w:right w:w="20" w:type="dxa"/>
            </w:tcMar>
            <w:vAlign w:val="center"/>
            <w:hideMark/>
          </w:tcPr>
          <w:p w14:paraId="497BDD47"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FE4B793"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4634084" w14:textId="77777777" w:rsidR="00000000" w:rsidRDefault="00C1661D">
            <w:pPr>
              <w:spacing w:after="100"/>
              <w:jc w:val="right"/>
              <w:rPr>
                <w:rFonts w:eastAsia="Times New Roman"/>
              </w:rPr>
            </w:pPr>
            <w:r>
              <w:rPr>
                <w:rFonts w:eastAsia="Times New Roman"/>
                <w:color w:val="000000"/>
                <w:sz w:val="18"/>
                <w:szCs w:val="18"/>
              </w:rPr>
              <w:t>167 </w:t>
            </w:r>
          </w:p>
        </w:tc>
        <w:tc>
          <w:tcPr>
            <w:tcW w:w="0" w:type="auto"/>
            <w:shd w:val="clear" w:color="auto" w:fill="FFFFFF"/>
            <w:tcMar>
              <w:top w:w="30" w:type="dxa"/>
              <w:left w:w="0" w:type="dxa"/>
              <w:bottom w:w="30" w:type="dxa"/>
              <w:right w:w="20" w:type="dxa"/>
            </w:tcMar>
            <w:vAlign w:val="bottom"/>
            <w:hideMark/>
          </w:tcPr>
          <w:p w14:paraId="1EAEF80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6EB402"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FC8DC9"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1D848CA" w14:textId="77777777" w:rsidR="00000000" w:rsidRDefault="00C1661D">
            <w:pPr>
              <w:spacing w:after="100"/>
              <w:jc w:val="right"/>
              <w:rPr>
                <w:rFonts w:eastAsia="Times New Roman"/>
              </w:rPr>
            </w:pPr>
            <w:r>
              <w:rPr>
                <w:rFonts w:eastAsia="Times New Roman"/>
                <w:color w:val="000000"/>
                <w:sz w:val="18"/>
                <w:szCs w:val="18"/>
              </w:rPr>
              <w:t>1,065 </w:t>
            </w:r>
          </w:p>
        </w:tc>
        <w:tc>
          <w:tcPr>
            <w:tcW w:w="0" w:type="auto"/>
            <w:shd w:val="clear" w:color="auto" w:fill="FFFFFF"/>
            <w:tcMar>
              <w:top w:w="30" w:type="dxa"/>
              <w:left w:w="0" w:type="dxa"/>
              <w:bottom w:w="30" w:type="dxa"/>
              <w:right w:w="20" w:type="dxa"/>
            </w:tcMar>
            <w:vAlign w:val="bottom"/>
            <w:hideMark/>
          </w:tcPr>
          <w:p w14:paraId="616D2F0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B1B12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E609F3"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7186E84" w14:textId="77777777" w:rsidR="00000000" w:rsidRDefault="00C1661D">
            <w:pPr>
              <w:spacing w:after="100"/>
              <w:jc w:val="right"/>
              <w:rPr>
                <w:rFonts w:eastAsia="Times New Roman"/>
              </w:rPr>
            </w:pPr>
            <w:r>
              <w:rPr>
                <w:rFonts w:eastAsia="Times New Roman"/>
                <w:color w:val="000000"/>
                <w:sz w:val="18"/>
                <w:szCs w:val="18"/>
              </w:rPr>
              <w:t>173 </w:t>
            </w:r>
          </w:p>
        </w:tc>
        <w:tc>
          <w:tcPr>
            <w:tcW w:w="0" w:type="auto"/>
            <w:shd w:val="clear" w:color="auto" w:fill="FFFFFF"/>
            <w:tcMar>
              <w:top w:w="30" w:type="dxa"/>
              <w:left w:w="0" w:type="dxa"/>
              <w:bottom w:w="30" w:type="dxa"/>
              <w:right w:w="20" w:type="dxa"/>
            </w:tcMar>
            <w:vAlign w:val="bottom"/>
            <w:hideMark/>
          </w:tcPr>
          <w:p w14:paraId="5F54A37B" w14:textId="77777777" w:rsidR="00000000" w:rsidRDefault="00C1661D">
            <w:pPr>
              <w:spacing w:after="100"/>
              <w:jc w:val="right"/>
              <w:rPr>
                <w:rFonts w:eastAsia="Times New Roman"/>
              </w:rPr>
            </w:pPr>
          </w:p>
        </w:tc>
      </w:tr>
      <w:tr w:rsidR="00000000" w14:paraId="754EB41D" w14:textId="77777777">
        <w:trPr>
          <w:divId w:val="703869585"/>
          <w:jc w:val="center"/>
        </w:trPr>
        <w:tc>
          <w:tcPr>
            <w:tcW w:w="0" w:type="auto"/>
            <w:gridSpan w:val="3"/>
            <w:shd w:val="clear" w:color="auto" w:fill="CCEEFF"/>
            <w:tcMar>
              <w:top w:w="30" w:type="dxa"/>
              <w:left w:w="20" w:type="dxa"/>
              <w:bottom w:w="30" w:type="dxa"/>
              <w:right w:w="20" w:type="dxa"/>
            </w:tcMar>
            <w:vAlign w:val="bottom"/>
            <w:hideMark/>
          </w:tcPr>
          <w:p w14:paraId="0DAE2135" w14:textId="77777777" w:rsidR="00000000" w:rsidRDefault="00C1661D">
            <w:pPr>
              <w:spacing w:after="100"/>
              <w:rPr>
                <w:rFonts w:eastAsia="Times New Roman"/>
              </w:rPr>
            </w:pPr>
            <w:r>
              <w:rPr>
                <w:rFonts w:eastAsia="Times New Roman"/>
                <w:color w:val="000000"/>
                <w:sz w:val="18"/>
                <w:szCs w:val="18"/>
              </w:rPr>
              <w:t>Unrealized losses on foreign currency derivative instruments</w:t>
            </w:r>
          </w:p>
        </w:tc>
        <w:tc>
          <w:tcPr>
            <w:tcW w:w="0" w:type="auto"/>
            <w:gridSpan w:val="3"/>
            <w:shd w:val="clear" w:color="auto" w:fill="CCEEFF"/>
            <w:tcMar>
              <w:top w:w="0" w:type="dxa"/>
              <w:left w:w="20" w:type="dxa"/>
              <w:bottom w:w="0" w:type="dxa"/>
              <w:right w:w="20" w:type="dxa"/>
            </w:tcMar>
            <w:vAlign w:val="center"/>
            <w:hideMark/>
          </w:tcPr>
          <w:p w14:paraId="6C3CAA32"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E5A25FD" w14:textId="77777777" w:rsidR="00000000" w:rsidRDefault="00C1661D">
            <w:pPr>
              <w:spacing w:after="100"/>
              <w:rPr>
                <w:rFonts w:eastAsia="Times New Roman"/>
              </w:rPr>
            </w:pPr>
            <w:r>
              <w:rPr>
                <w:rFonts w:eastAsia="Times New Roman"/>
                <w:color w:val="000000"/>
                <w:sz w:val="18"/>
                <w:szCs w:val="18"/>
              </w:rPr>
              <w:t>Other non-operating income (expense), net</w:t>
            </w:r>
          </w:p>
        </w:tc>
        <w:tc>
          <w:tcPr>
            <w:tcW w:w="0" w:type="auto"/>
            <w:gridSpan w:val="3"/>
            <w:shd w:val="clear" w:color="auto" w:fill="CCEEFF"/>
            <w:tcMar>
              <w:top w:w="0" w:type="dxa"/>
              <w:left w:w="20" w:type="dxa"/>
              <w:bottom w:w="0" w:type="dxa"/>
              <w:right w:w="20" w:type="dxa"/>
            </w:tcMar>
            <w:vAlign w:val="center"/>
            <w:hideMark/>
          </w:tcPr>
          <w:p w14:paraId="1370556C"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789C31C"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B0EEFD3"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71345A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63BC8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449555"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C21B540" w14:textId="77777777" w:rsidR="00000000" w:rsidRDefault="00C1661D">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14:paraId="043303C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24FDF4"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2F3B82"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10A90BD"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5F8A70" w14:textId="77777777" w:rsidR="00000000" w:rsidRDefault="00C1661D">
            <w:pPr>
              <w:spacing w:after="100"/>
              <w:jc w:val="right"/>
              <w:rPr>
                <w:rFonts w:eastAsia="Times New Roman"/>
              </w:rPr>
            </w:pPr>
          </w:p>
        </w:tc>
      </w:tr>
      <w:tr w:rsidR="00000000" w14:paraId="7F15CCA8" w14:textId="77777777">
        <w:trPr>
          <w:divId w:val="703869585"/>
          <w:jc w:val="center"/>
        </w:trPr>
        <w:tc>
          <w:tcPr>
            <w:tcW w:w="0" w:type="auto"/>
            <w:gridSpan w:val="3"/>
            <w:vAlign w:val="center"/>
            <w:hideMark/>
          </w:tcPr>
          <w:p w14:paraId="6760BD09" w14:textId="77777777" w:rsidR="00000000" w:rsidRDefault="00C1661D">
            <w:pPr>
              <w:spacing w:after="100"/>
              <w:jc w:val="right"/>
              <w:rPr>
                <w:rFonts w:eastAsia="Times New Roman"/>
                <w:sz w:val="20"/>
                <w:szCs w:val="20"/>
              </w:rPr>
            </w:pPr>
          </w:p>
        </w:tc>
        <w:tc>
          <w:tcPr>
            <w:tcW w:w="0" w:type="auto"/>
            <w:gridSpan w:val="3"/>
            <w:vAlign w:val="center"/>
            <w:hideMark/>
          </w:tcPr>
          <w:p w14:paraId="0540EFE5" w14:textId="77777777" w:rsidR="00000000" w:rsidRDefault="00C1661D">
            <w:pPr>
              <w:spacing w:after="100"/>
              <w:rPr>
                <w:rFonts w:eastAsia="Times New Roman"/>
                <w:sz w:val="20"/>
                <w:szCs w:val="20"/>
              </w:rPr>
            </w:pPr>
          </w:p>
        </w:tc>
        <w:tc>
          <w:tcPr>
            <w:tcW w:w="0" w:type="auto"/>
            <w:gridSpan w:val="3"/>
            <w:vAlign w:val="center"/>
            <w:hideMark/>
          </w:tcPr>
          <w:p w14:paraId="273FCDB4" w14:textId="77777777" w:rsidR="00000000" w:rsidRDefault="00C1661D">
            <w:pPr>
              <w:spacing w:after="100"/>
              <w:rPr>
                <w:rFonts w:eastAsia="Times New Roman"/>
                <w:sz w:val="20"/>
                <w:szCs w:val="20"/>
              </w:rPr>
            </w:pPr>
          </w:p>
        </w:tc>
        <w:tc>
          <w:tcPr>
            <w:tcW w:w="0" w:type="auto"/>
            <w:gridSpan w:val="3"/>
            <w:vAlign w:val="center"/>
            <w:hideMark/>
          </w:tcPr>
          <w:p w14:paraId="55C33DFE" w14:textId="77777777" w:rsidR="00000000" w:rsidRDefault="00C1661D">
            <w:pPr>
              <w:spacing w:after="100"/>
              <w:rPr>
                <w:rFonts w:eastAsia="Times New Roman"/>
                <w:sz w:val="20"/>
                <w:szCs w:val="20"/>
              </w:rPr>
            </w:pPr>
          </w:p>
        </w:tc>
        <w:tc>
          <w:tcPr>
            <w:tcW w:w="0" w:type="auto"/>
            <w:gridSpan w:val="3"/>
            <w:vAlign w:val="center"/>
            <w:hideMark/>
          </w:tcPr>
          <w:p w14:paraId="3E2E1DAE" w14:textId="77777777" w:rsidR="00000000" w:rsidRDefault="00C1661D">
            <w:pPr>
              <w:spacing w:after="100"/>
              <w:rPr>
                <w:rFonts w:eastAsia="Times New Roman"/>
                <w:sz w:val="20"/>
                <w:szCs w:val="20"/>
              </w:rPr>
            </w:pPr>
          </w:p>
        </w:tc>
        <w:tc>
          <w:tcPr>
            <w:tcW w:w="0" w:type="auto"/>
            <w:gridSpan w:val="3"/>
            <w:vAlign w:val="center"/>
            <w:hideMark/>
          </w:tcPr>
          <w:p w14:paraId="0A355EFA" w14:textId="77777777" w:rsidR="00000000" w:rsidRDefault="00C1661D">
            <w:pPr>
              <w:spacing w:after="100"/>
              <w:rPr>
                <w:rFonts w:eastAsia="Times New Roman"/>
                <w:sz w:val="20"/>
                <w:szCs w:val="20"/>
              </w:rPr>
            </w:pPr>
          </w:p>
        </w:tc>
        <w:tc>
          <w:tcPr>
            <w:tcW w:w="0" w:type="auto"/>
            <w:gridSpan w:val="3"/>
            <w:vAlign w:val="center"/>
            <w:hideMark/>
          </w:tcPr>
          <w:p w14:paraId="3C894A3A" w14:textId="77777777" w:rsidR="00000000" w:rsidRDefault="00C1661D">
            <w:pPr>
              <w:spacing w:after="100"/>
              <w:rPr>
                <w:rFonts w:eastAsia="Times New Roman"/>
                <w:sz w:val="20"/>
                <w:szCs w:val="20"/>
              </w:rPr>
            </w:pPr>
          </w:p>
        </w:tc>
        <w:tc>
          <w:tcPr>
            <w:tcW w:w="0" w:type="auto"/>
            <w:gridSpan w:val="3"/>
            <w:vAlign w:val="center"/>
            <w:hideMark/>
          </w:tcPr>
          <w:p w14:paraId="79F16FC1" w14:textId="77777777" w:rsidR="00000000" w:rsidRDefault="00C1661D">
            <w:pPr>
              <w:spacing w:after="100"/>
              <w:rPr>
                <w:rFonts w:eastAsia="Times New Roman"/>
                <w:sz w:val="20"/>
                <w:szCs w:val="20"/>
              </w:rPr>
            </w:pPr>
          </w:p>
        </w:tc>
        <w:tc>
          <w:tcPr>
            <w:tcW w:w="0" w:type="auto"/>
            <w:gridSpan w:val="3"/>
            <w:vAlign w:val="center"/>
            <w:hideMark/>
          </w:tcPr>
          <w:p w14:paraId="3E593367" w14:textId="77777777" w:rsidR="00000000" w:rsidRDefault="00C1661D">
            <w:pPr>
              <w:spacing w:after="100"/>
              <w:rPr>
                <w:rFonts w:eastAsia="Times New Roman"/>
                <w:sz w:val="20"/>
                <w:szCs w:val="20"/>
              </w:rPr>
            </w:pPr>
          </w:p>
        </w:tc>
      </w:tr>
      <w:tr w:rsidR="00000000" w14:paraId="53AA7F07" w14:textId="77777777">
        <w:trPr>
          <w:divId w:val="703869585"/>
          <w:jc w:val="center"/>
        </w:trPr>
        <w:tc>
          <w:tcPr>
            <w:tcW w:w="0" w:type="auto"/>
            <w:gridSpan w:val="3"/>
            <w:shd w:val="clear" w:color="auto" w:fill="FFFFFF"/>
            <w:tcMar>
              <w:top w:w="30" w:type="dxa"/>
              <w:left w:w="20" w:type="dxa"/>
              <w:bottom w:w="30" w:type="dxa"/>
              <w:right w:w="20" w:type="dxa"/>
            </w:tcMar>
            <w:vAlign w:val="bottom"/>
            <w:hideMark/>
          </w:tcPr>
          <w:p w14:paraId="02594BDC" w14:textId="77777777" w:rsidR="00000000" w:rsidRDefault="00C1661D">
            <w:pPr>
              <w:spacing w:after="100"/>
              <w:rPr>
                <w:rFonts w:eastAsia="Times New Roman"/>
              </w:rPr>
            </w:pPr>
            <w:r>
              <w:rPr>
                <w:rFonts w:eastAsia="Times New Roman"/>
                <w:color w:val="000000"/>
                <w:sz w:val="18"/>
                <w:szCs w:val="18"/>
              </w:rPr>
              <w:t>Business transformation expenses</w:t>
            </w:r>
          </w:p>
        </w:tc>
        <w:tc>
          <w:tcPr>
            <w:tcW w:w="0" w:type="auto"/>
            <w:gridSpan w:val="3"/>
            <w:shd w:val="clear" w:color="auto" w:fill="FFFFFF"/>
            <w:tcMar>
              <w:top w:w="0" w:type="dxa"/>
              <w:left w:w="20" w:type="dxa"/>
              <w:bottom w:w="0" w:type="dxa"/>
              <w:right w:w="20" w:type="dxa"/>
            </w:tcMar>
            <w:vAlign w:val="center"/>
            <w:hideMark/>
          </w:tcPr>
          <w:p w14:paraId="36BFF018"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C6A92E6" w14:textId="77777777" w:rsidR="00000000" w:rsidRDefault="00C1661D">
            <w:pPr>
              <w:spacing w:after="100"/>
              <w:rPr>
                <w:rFonts w:eastAsia="Times New Roman"/>
              </w:rPr>
            </w:pPr>
            <w:r>
              <w:rPr>
                <w:rFonts w:eastAsia="Times New Roman"/>
                <w:color w:val="000000"/>
                <w:sz w:val="18"/>
                <w:szCs w:val="18"/>
              </w:rPr>
              <w:t>Operating and administrative expense</w:t>
            </w:r>
            <w:r>
              <w:rPr>
                <w:rFonts w:eastAsia="Times New Roman"/>
                <w:color w:val="000000"/>
                <w:sz w:val="18"/>
                <w:szCs w:val="18"/>
              </w:rPr>
              <w:t>s</w:t>
            </w:r>
          </w:p>
        </w:tc>
        <w:tc>
          <w:tcPr>
            <w:tcW w:w="0" w:type="auto"/>
            <w:gridSpan w:val="3"/>
            <w:shd w:val="clear" w:color="auto" w:fill="FFFFFF"/>
            <w:tcMar>
              <w:top w:w="0" w:type="dxa"/>
              <w:left w:w="20" w:type="dxa"/>
              <w:bottom w:w="0" w:type="dxa"/>
              <w:right w:w="20" w:type="dxa"/>
            </w:tcMar>
            <w:vAlign w:val="center"/>
            <w:hideMark/>
          </w:tcPr>
          <w:p w14:paraId="1F926BA8"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F38C74D"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042A273" w14:textId="77777777" w:rsidR="00000000" w:rsidRDefault="00C1661D">
            <w:pPr>
              <w:spacing w:after="100"/>
              <w:jc w:val="right"/>
              <w:rPr>
                <w:rFonts w:eastAsia="Times New Roman"/>
              </w:rPr>
            </w:pPr>
            <w:r>
              <w:rPr>
                <w:rFonts w:eastAsia="Times New Roman"/>
                <w:color w:val="000000"/>
                <w:sz w:val="18"/>
                <w:szCs w:val="18"/>
              </w:rPr>
              <w:t>(54)</w:t>
            </w:r>
          </w:p>
        </w:tc>
        <w:tc>
          <w:tcPr>
            <w:tcW w:w="0" w:type="auto"/>
            <w:shd w:val="clear" w:color="auto" w:fill="FFFFFF"/>
            <w:tcMar>
              <w:top w:w="30" w:type="dxa"/>
              <w:left w:w="0" w:type="dxa"/>
              <w:bottom w:w="30" w:type="dxa"/>
              <w:right w:w="20" w:type="dxa"/>
            </w:tcMar>
            <w:vAlign w:val="bottom"/>
            <w:hideMark/>
          </w:tcPr>
          <w:p w14:paraId="275EE89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D1E3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4D7435"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76FE6B3" w14:textId="77777777" w:rsidR="00000000" w:rsidRDefault="00C1661D">
            <w:pPr>
              <w:spacing w:after="100"/>
              <w:jc w:val="right"/>
              <w:rPr>
                <w:rFonts w:eastAsia="Times New Roman"/>
              </w:rPr>
            </w:pPr>
            <w:r>
              <w:rPr>
                <w:rFonts w:eastAsia="Times New Roman"/>
                <w:color w:val="000000"/>
                <w:sz w:val="18"/>
                <w:szCs w:val="18"/>
              </w:rPr>
              <w:t>(33)</w:t>
            </w:r>
          </w:p>
        </w:tc>
        <w:tc>
          <w:tcPr>
            <w:tcW w:w="0" w:type="auto"/>
            <w:shd w:val="clear" w:color="auto" w:fill="FFFFFF"/>
            <w:tcMar>
              <w:top w:w="30" w:type="dxa"/>
              <w:left w:w="0" w:type="dxa"/>
              <w:bottom w:w="30" w:type="dxa"/>
              <w:right w:w="20" w:type="dxa"/>
            </w:tcMar>
            <w:vAlign w:val="bottom"/>
            <w:hideMark/>
          </w:tcPr>
          <w:p w14:paraId="1AF24BE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55AB1D"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D925019"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117C3BF"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7BD491C" w14:textId="77777777" w:rsidR="00000000" w:rsidRDefault="00C1661D">
            <w:pPr>
              <w:spacing w:after="100"/>
              <w:jc w:val="right"/>
              <w:rPr>
                <w:rFonts w:eastAsia="Times New Roman"/>
              </w:rPr>
            </w:pPr>
          </w:p>
        </w:tc>
      </w:tr>
      <w:tr w:rsidR="00000000" w14:paraId="098D76D8" w14:textId="77777777">
        <w:trPr>
          <w:divId w:val="703869585"/>
          <w:jc w:val="center"/>
        </w:trPr>
        <w:tc>
          <w:tcPr>
            <w:tcW w:w="0" w:type="auto"/>
            <w:gridSpan w:val="3"/>
            <w:shd w:val="clear" w:color="auto" w:fill="CCEEFF"/>
            <w:tcMar>
              <w:top w:w="30" w:type="dxa"/>
              <w:left w:w="20" w:type="dxa"/>
              <w:bottom w:w="30" w:type="dxa"/>
              <w:right w:w="20" w:type="dxa"/>
            </w:tcMar>
            <w:vAlign w:val="bottom"/>
            <w:hideMark/>
          </w:tcPr>
          <w:p w14:paraId="4ED810CD" w14:textId="77777777" w:rsidR="00000000" w:rsidRDefault="00C1661D">
            <w:pPr>
              <w:spacing w:after="100"/>
              <w:rPr>
                <w:rFonts w:eastAsia="Times New Roman"/>
              </w:rPr>
            </w:pPr>
            <w:r>
              <w:rPr>
                <w:rFonts w:eastAsia="Times New Roman"/>
                <w:color w:val="000000"/>
                <w:sz w:val="18"/>
                <w:szCs w:val="18"/>
              </w:rPr>
              <w:t>Impairment of customer relationship intangible</w:t>
            </w:r>
          </w:p>
        </w:tc>
        <w:tc>
          <w:tcPr>
            <w:tcW w:w="0" w:type="auto"/>
            <w:gridSpan w:val="3"/>
            <w:shd w:val="clear" w:color="auto" w:fill="CCEEFF"/>
            <w:tcMar>
              <w:top w:w="0" w:type="dxa"/>
              <w:left w:w="20" w:type="dxa"/>
              <w:bottom w:w="0" w:type="dxa"/>
              <w:right w:w="20" w:type="dxa"/>
            </w:tcMar>
            <w:vAlign w:val="center"/>
            <w:hideMark/>
          </w:tcPr>
          <w:p w14:paraId="52095978"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BBA37FF" w14:textId="77777777" w:rsidR="00000000" w:rsidRDefault="00C1661D">
            <w:pPr>
              <w:spacing w:after="100"/>
              <w:rPr>
                <w:rFonts w:eastAsia="Times New Roman"/>
              </w:rPr>
            </w:pPr>
            <w:r>
              <w:rPr>
                <w:rFonts w:eastAsia="Times New Roman"/>
                <w:color w:val="000000"/>
                <w:sz w:val="18"/>
                <w:szCs w:val="18"/>
              </w:rPr>
              <w:t>Operating and administrative expense</w:t>
            </w:r>
            <w:r>
              <w:rPr>
                <w:rFonts w:eastAsia="Times New Roman"/>
                <w:color w:val="000000"/>
                <w:sz w:val="18"/>
                <w:szCs w:val="18"/>
              </w:rPr>
              <w:t>s</w:t>
            </w:r>
          </w:p>
        </w:tc>
        <w:tc>
          <w:tcPr>
            <w:tcW w:w="0" w:type="auto"/>
            <w:gridSpan w:val="3"/>
            <w:shd w:val="clear" w:color="auto" w:fill="CCEEFF"/>
            <w:tcMar>
              <w:top w:w="0" w:type="dxa"/>
              <w:left w:w="20" w:type="dxa"/>
              <w:bottom w:w="0" w:type="dxa"/>
              <w:right w:w="20" w:type="dxa"/>
            </w:tcMar>
            <w:vAlign w:val="center"/>
            <w:hideMark/>
          </w:tcPr>
          <w:p w14:paraId="4202FE97"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7EDAF3D"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4687C78"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77BE21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9E0FD5"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D2391E"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3E60C77" w14:textId="77777777" w:rsidR="00000000" w:rsidRDefault="00C1661D">
            <w:pPr>
              <w:spacing w:after="100"/>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bottom"/>
            <w:hideMark/>
          </w:tcPr>
          <w:p w14:paraId="7B78FF8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EFD720"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B1CD4D8"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C1E43CD"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1BE784" w14:textId="77777777" w:rsidR="00000000" w:rsidRDefault="00C1661D">
            <w:pPr>
              <w:spacing w:after="100"/>
              <w:jc w:val="right"/>
              <w:rPr>
                <w:rFonts w:eastAsia="Times New Roman"/>
              </w:rPr>
            </w:pPr>
          </w:p>
        </w:tc>
      </w:tr>
      <w:tr w:rsidR="00000000" w14:paraId="7C19DC4C" w14:textId="77777777">
        <w:trPr>
          <w:divId w:val="703869585"/>
          <w:jc w:val="center"/>
        </w:trPr>
        <w:tc>
          <w:tcPr>
            <w:tcW w:w="0" w:type="auto"/>
            <w:gridSpan w:val="3"/>
            <w:vAlign w:val="center"/>
            <w:hideMark/>
          </w:tcPr>
          <w:p w14:paraId="1314DF50" w14:textId="77777777" w:rsidR="00000000" w:rsidRDefault="00C1661D">
            <w:pPr>
              <w:spacing w:after="100"/>
              <w:jc w:val="right"/>
              <w:rPr>
                <w:rFonts w:eastAsia="Times New Roman"/>
                <w:sz w:val="20"/>
                <w:szCs w:val="20"/>
              </w:rPr>
            </w:pPr>
          </w:p>
        </w:tc>
        <w:tc>
          <w:tcPr>
            <w:tcW w:w="0" w:type="auto"/>
            <w:gridSpan w:val="3"/>
            <w:vAlign w:val="center"/>
            <w:hideMark/>
          </w:tcPr>
          <w:p w14:paraId="22C7C54C" w14:textId="77777777" w:rsidR="00000000" w:rsidRDefault="00C1661D">
            <w:pPr>
              <w:spacing w:after="100"/>
              <w:rPr>
                <w:rFonts w:eastAsia="Times New Roman"/>
                <w:sz w:val="20"/>
                <w:szCs w:val="20"/>
              </w:rPr>
            </w:pPr>
          </w:p>
        </w:tc>
        <w:tc>
          <w:tcPr>
            <w:tcW w:w="0" w:type="auto"/>
            <w:gridSpan w:val="3"/>
            <w:vAlign w:val="center"/>
            <w:hideMark/>
          </w:tcPr>
          <w:p w14:paraId="64E8C827" w14:textId="77777777" w:rsidR="00000000" w:rsidRDefault="00C1661D">
            <w:pPr>
              <w:spacing w:after="100"/>
              <w:rPr>
                <w:rFonts w:eastAsia="Times New Roman"/>
                <w:sz w:val="20"/>
                <w:szCs w:val="20"/>
              </w:rPr>
            </w:pPr>
          </w:p>
        </w:tc>
        <w:tc>
          <w:tcPr>
            <w:tcW w:w="0" w:type="auto"/>
            <w:gridSpan w:val="3"/>
            <w:vAlign w:val="center"/>
            <w:hideMark/>
          </w:tcPr>
          <w:p w14:paraId="51536E50" w14:textId="77777777" w:rsidR="00000000" w:rsidRDefault="00C1661D">
            <w:pPr>
              <w:spacing w:after="100"/>
              <w:rPr>
                <w:rFonts w:eastAsia="Times New Roman"/>
                <w:sz w:val="20"/>
                <w:szCs w:val="20"/>
              </w:rPr>
            </w:pPr>
          </w:p>
        </w:tc>
        <w:tc>
          <w:tcPr>
            <w:tcW w:w="0" w:type="auto"/>
            <w:gridSpan w:val="3"/>
            <w:vAlign w:val="center"/>
            <w:hideMark/>
          </w:tcPr>
          <w:p w14:paraId="08BBCD5B" w14:textId="77777777" w:rsidR="00000000" w:rsidRDefault="00C1661D">
            <w:pPr>
              <w:spacing w:after="100"/>
              <w:rPr>
                <w:rFonts w:eastAsia="Times New Roman"/>
                <w:sz w:val="20"/>
                <w:szCs w:val="20"/>
              </w:rPr>
            </w:pPr>
          </w:p>
        </w:tc>
        <w:tc>
          <w:tcPr>
            <w:tcW w:w="0" w:type="auto"/>
            <w:gridSpan w:val="3"/>
            <w:vAlign w:val="center"/>
            <w:hideMark/>
          </w:tcPr>
          <w:p w14:paraId="27C1CAD1" w14:textId="77777777" w:rsidR="00000000" w:rsidRDefault="00C1661D">
            <w:pPr>
              <w:spacing w:after="100"/>
              <w:rPr>
                <w:rFonts w:eastAsia="Times New Roman"/>
                <w:sz w:val="20"/>
                <w:szCs w:val="20"/>
              </w:rPr>
            </w:pPr>
          </w:p>
        </w:tc>
        <w:tc>
          <w:tcPr>
            <w:tcW w:w="0" w:type="auto"/>
            <w:gridSpan w:val="3"/>
            <w:vAlign w:val="center"/>
            <w:hideMark/>
          </w:tcPr>
          <w:p w14:paraId="508E7497" w14:textId="77777777" w:rsidR="00000000" w:rsidRDefault="00C1661D">
            <w:pPr>
              <w:spacing w:after="100"/>
              <w:rPr>
                <w:rFonts w:eastAsia="Times New Roman"/>
                <w:sz w:val="20"/>
                <w:szCs w:val="20"/>
              </w:rPr>
            </w:pPr>
          </w:p>
        </w:tc>
        <w:tc>
          <w:tcPr>
            <w:tcW w:w="0" w:type="auto"/>
            <w:gridSpan w:val="3"/>
            <w:vAlign w:val="center"/>
            <w:hideMark/>
          </w:tcPr>
          <w:p w14:paraId="041B9555" w14:textId="77777777" w:rsidR="00000000" w:rsidRDefault="00C1661D">
            <w:pPr>
              <w:spacing w:after="100"/>
              <w:rPr>
                <w:rFonts w:eastAsia="Times New Roman"/>
                <w:sz w:val="20"/>
                <w:szCs w:val="20"/>
              </w:rPr>
            </w:pPr>
          </w:p>
        </w:tc>
        <w:tc>
          <w:tcPr>
            <w:tcW w:w="0" w:type="auto"/>
            <w:gridSpan w:val="3"/>
            <w:vAlign w:val="center"/>
            <w:hideMark/>
          </w:tcPr>
          <w:p w14:paraId="313C9481" w14:textId="77777777" w:rsidR="00000000" w:rsidRDefault="00C1661D">
            <w:pPr>
              <w:spacing w:after="100"/>
              <w:rPr>
                <w:rFonts w:eastAsia="Times New Roman"/>
                <w:sz w:val="20"/>
                <w:szCs w:val="20"/>
              </w:rPr>
            </w:pPr>
          </w:p>
        </w:tc>
      </w:tr>
      <w:tr w:rsidR="00000000" w14:paraId="04C08EC5" w14:textId="77777777">
        <w:trPr>
          <w:divId w:val="703869585"/>
          <w:jc w:val="center"/>
        </w:trPr>
        <w:tc>
          <w:tcPr>
            <w:tcW w:w="0" w:type="auto"/>
            <w:gridSpan w:val="3"/>
            <w:shd w:val="clear" w:color="auto" w:fill="FFFFFF"/>
            <w:tcMar>
              <w:top w:w="30" w:type="dxa"/>
              <w:left w:w="20" w:type="dxa"/>
              <w:bottom w:w="30" w:type="dxa"/>
              <w:right w:w="20" w:type="dxa"/>
            </w:tcMar>
            <w:vAlign w:val="bottom"/>
            <w:hideMark/>
          </w:tcPr>
          <w:p w14:paraId="07253BBC" w14:textId="77777777" w:rsidR="00000000" w:rsidRDefault="00C1661D">
            <w:pPr>
              <w:spacing w:after="100"/>
              <w:rPr>
                <w:rFonts w:eastAsia="Times New Roman"/>
              </w:rPr>
            </w:pPr>
            <w:r>
              <w:rPr>
                <w:rFonts w:eastAsia="Times New Roman"/>
                <w:color w:val="000000"/>
                <w:sz w:val="18"/>
                <w:szCs w:val="18"/>
              </w:rPr>
              <w:t>Impairments associated with certain equity method investments</w:t>
            </w:r>
          </w:p>
        </w:tc>
        <w:tc>
          <w:tcPr>
            <w:tcW w:w="0" w:type="auto"/>
            <w:gridSpan w:val="3"/>
            <w:shd w:val="clear" w:color="auto" w:fill="FFFFFF"/>
            <w:tcMar>
              <w:top w:w="0" w:type="dxa"/>
              <w:left w:w="20" w:type="dxa"/>
              <w:bottom w:w="0" w:type="dxa"/>
              <w:right w:w="20" w:type="dxa"/>
            </w:tcMar>
            <w:vAlign w:val="center"/>
            <w:hideMark/>
          </w:tcPr>
          <w:p w14:paraId="3A7152F8"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888CC5C" w14:textId="77777777" w:rsidR="00000000" w:rsidRDefault="00C1661D">
            <w:pPr>
              <w:spacing w:after="100"/>
              <w:rPr>
                <w:rFonts w:eastAsia="Times New Roman"/>
              </w:rPr>
            </w:pPr>
            <w:r>
              <w:rPr>
                <w:rFonts w:eastAsia="Times New Roman"/>
                <w:color w:val="000000"/>
                <w:sz w:val="18"/>
                <w:szCs w:val="18"/>
              </w:rPr>
              <w:t>(Loss) income from equity investees</w:t>
            </w:r>
          </w:p>
        </w:tc>
        <w:tc>
          <w:tcPr>
            <w:tcW w:w="0" w:type="auto"/>
            <w:gridSpan w:val="3"/>
            <w:shd w:val="clear" w:color="auto" w:fill="FFFFFF"/>
            <w:tcMar>
              <w:top w:w="0" w:type="dxa"/>
              <w:left w:w="20" w:type="dxa"/>
              <w:bottom w:w="0" w:type="dxa"/>
              <w:right w:w="20" w:type="dxa"/>
            </w:tcMar>
            <w:vAlign w:val="center"/>
            <w:hideMark/>
          </w:tcPr>
          <w:p w14:paraId="2314BE37"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DD200D2"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C766503"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50DED2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4F821B"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3EFB3C"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E38F3D3"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9EEED5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44760"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02F1C3"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B018F0B" w14:textId="77777777" w:rsidR="00000000" w:rsidRDefault="00C1661D">
            <w:pPr>
              <w:spacing w:after="100"/>
              <w:jc w:val="right"/>
              <w:rPr>
                <w:rFonts w:eastAsia="Times New Roman"/>
              </w:rPr>
            </w:pPr>
            <w:r>
              <w:rPr>
                <w:rFonts w:eastAsia="Times New Roman"/>
                <w:color w:val="000000"/>
                <w:sz w:val="18"/>
                <w:szCs w:val="18"/>
              </w:rPr>
              <w:t>(93)</w:t>
            </w:r>
          </w:p>
        </w:tc>
        <w:tc>
          <w:tcPr>
            <w:tcW w:w="0" w:type="auto"/>
            <w:shd w:val="clear" w:color="auto" w:fill="FFFFFF"/>
            <w:tcMar>
              <w:top w:w="30" w:type="dxa"/>
              <w:left w:w="0" w:type="dxa"/>
              <w:bottom w:w="30" w:type="dxa"/>
              <w:right w:w="20" w:type="dxa"/>
            </w:tcMar>
            <w:vAlign w:val="bottom"/>
            <w:hideMark/>
          </w:tcPr>
          <w:p w14:paraId="05D98499" w14:textId="77777777" w:rsidR="00000000" w:rsidRDefault="00C1661D">
            <w:pPr>
              <w:spacing w:after="100"/>
              <w:jc w:val="right"/>
              <w:rPr>
                <w:rFonts w:eastAsia="Times New Roman"/>
              </w:rPr>
            </w:pPr>
          </w:p>
        </w:tc>
      </w:tr>
      <w:tr w:rsidR="00000000" w14:paraId="7A2F5657" w14:textId="77777777">
        <w:trPr>
          <w:divId w:val="703869585"/>
          <w:trHeight w:val="300"/>
          <w:jc w:val="center"/>
        </w:trPr>
        <w:tc>
          <w:tcPr>
            <w:tcW w:w="0" w:type="auto"/>
            <w:gridSpan w:val="3"/>
            <w:shd w:val="clear" w:color="auto" w:fill="CCEEFF"/>
            <w:tcMar>
              <w:top w:w="0" w:type="dxa"/>
              <w:left w:w="20" w:type="dxa"/>
              <w:bottom w:w="0" w:type="dxa"/>
              <w:right w:w="20" w:type="dxa"/>
            </w:tcMar>
            <w:vAlign w:val="center"/>
            <w:hideMark/>
          </w:tcPr>
          <w:p w14:paraId="6A31BCFB" w14:textId="77777777" w:rsidR="00000000" w:rsidRDefault="00C1661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2BE9D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B68BDC"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205DF2"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C103C1"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B9B9BD"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174B1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A8C3D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6DED25" w14:textId="77777777" w:rsidR="00000000" w:rsidRDefault="00C1661D">
            <w:pPr>
              <w:spacing w:after="100"/>
              <w:rPr>
                <w:rFonts w:eastAsia="Times New Roman"/>
                <w:sz w:val="20"/>
                <w:szCs w:val="20"/>
              </w:rPr>
            </w:pPr>
          </w:p>
        </w:tc>
      </w:tr>
      <w:tr w:rsidR="00000000" w14:paraId="32DDB0B1" w14:textId="77777777">
        <w:trPr>
          <w:divId w:val="703869585"/>
          <w:jc w:val="center"/>
        </w:trPr>
        <w:tc>
          <w:tcPr>
            <w:tcW w:w="0" w:type="auto"/>
            <w:gridSpan w:val="3"/>
            <w:shd w:val="clear" w:color="auto" w:fill="FFFFFF"/>
            <w:tcMar>
              <w:top w:w="30" w:type="dxa"/>
              <w:left w:w="20" w:type="dxa"/>
              <w:bottom w:w="30" w:type="dxa"/>
              <w:right w:w="20" w:type="dxa"/>
            </w:tcMar>
            <w:vAlign w:val="bottom"/>
            <w:hideMark/>
          </w:tcPr>
          <w:p w14:paraId="051046C3" w14:textId="77777777" w:rsidR="00000000" w:rsidRDefault="00C1661D">
            <w:pPr>
              <w:spacing w:after="100"/>
              <w:rPr>
                <w:rFonts w:eastAsia="Times New Roman"/>
              </w:rPr>
            </w:pPr>
            <w:r>
              <w:rPr>
                <w:rFonts w:eastAsia="Times New Roman"/>
                <w:b/>
                <w:bCs/>
                <w:color w:val="000000"/>
                <w:sz w:val="18"/>
                <w:szCs w:val="18"/>
              </w:rPr>
              <w:t>2020</w:t>
            </w:r>
          </w:p>
        </w:tc>
        <w:tc>
          <w:tcPr>
            <w:tcW w:w="0" w:type="auto"/>
            <w:gridSpan w:val="3"/>
            <w:shd w:val="clear" w:color="auto" w:fill="FFFFFF"/>
            <w:tcMar>
              <w:top w:w="0" w:type="dxa"/>
              <w:left w:w="20" w:type="dxa"/>
              <w:bottom w:w="0" w:type="dxa"/>
              <w:right w:w="20" w:type="dxa"/>
            </w:tcMar>
            <w:vAlign w:val="center"/>
            <w:hideMark/>
          </w:tcPr>
          <w:p w14:paraId="5C7763C1"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3AD6CD"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4F61B2"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63C0CE"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E88230"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D76619"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748DE5"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746899" w14:textId="77777777" w:rsidR="00000000" w:rsidRDefault="00C1661D">
            <w:pPr>
              <w:spacing w:after="100"/>
              <w:rPr>
                <w:rFonts w:eastAsia="Times New Roman"/>
                <w:sz w:val="20"/>
                <w:szCs w:val="20"/>
              </w:rPr>
            </w:pPr>
          </w:p>
        </w:tc>
      </w:tr>
      <w:tr w:rsidR="00000000" w14:paraId="06B91B17" w14:textId="77777777">
        <w:trPr>
          <w:divId w:val="703869585"/>
          <w:jc w:val="center"/>
        </w:trPr>
        <w:tc>
          <w:tcPr>
            <w:tcW w:w="0" w:type="auto"/>
            <w:gridSpan w:val="3"/>
            <w:shd w:val="clear" w:color="auto" w:fill="CCEEFF"/>
            <w:tcMar>
              <w:top w:w="30" w:type="dxa"/>
              <w:left w:w="20" w:type="dxa"/>
              <w:bottom w:w="30" w:type="dxa"/>
              <w:right w:w="20" w:type="dxa"/>
            </w:tcMar>
            <w:vAlign w:val="bottom"/>
            <w:hideMark/>
          </w:tcPr>
          <w:p w14:paraId="7DD03A7B" w14:textId="77777777" w:rsidR="00000000" w:rsidRDefault="00C1661D">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14:paraId="38608C20"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AEC82CF" w14:textId="77777777" w:rsidR="00000000" w:rsidRDefault="00C1661D">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14:paraId="0E634194"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0D78058"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6635E93"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30067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75E87D"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464DFA7"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CE4ADC9"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BEBC0A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499456"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CC9BC1"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F802656" w14:textId="77777777" w:rsidR="00000000" w:rsidRDefault="00C1661D">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14:paraId="624B884F" w14:textId="77777777" w:rsidR="00000000" w:rsidRDefault="00C1661D">
            <w:pPr>
              <w:spacing w:after="100"/>
              <w:jc w:val="right"/>
              <w:rPr>
                <w:rFonts w:eastAsia="Times New Roman"/>
              </w:rPr>
            </w:pPr>
          </w:p>
        </w:tc>
      </w:tr>
      <w:tr w:rsidR="00000000" w14:paraId="33EF2011" w14:textId="77777777">
        <w:trPr>
          <w:divId w:val="703869585"/>
          <w:jc w:val="center"/>
        </w:trPr>
        <w:tc>
          <w:tcPr>
            <w:tcW w:w="0" w:type="auto"/>
            <w:gridSpan w:val="3"/>
            <w:shd w:val="clear" w:color="auto" w:fill="FFFFFF"/>
            <w:tcMar>
              <w:top w:w="30" w:type="dxa"/>
              <w:left w:w="20" w:type="dxa"/>
              <w:bottom w:w="30" w:type="dxa"/>
              <w:right w:w="20" w:type="dxa"/>
            </w:tcMar>
            <w:vAlign w:val="bottom"/>
            <w:hideMark/>
          </w:tcPr>
          <w:p w14:paraId="0650F369" w14:textId="77777777" w:rsidR="00000000" w:rsidRDefault="00C1661D">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14:paraId="6A96C381"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4D72D31" w14:textId="77777777" w:rsidR="00000000" w:rsidRDefault="00C1661D">
            <w:pPr>
              <w:spacing w:after="100"/>
              <w:rPr>
                <w:rFonts w:eastAsia="Times New Roman"/>
              </w:rPr>
            </w:pPr>
            <w:r>
              <w:rPr>
                <w:rFonts w:eastAsia="Times New Roman"/>
                <w:color w:val="000000"/>
                <w:sz w:val="18"/>
                <w:szCs w:val="18"/>
              </w:rPr>
              <w:t>Cost of Sales</w:t>
            </w:r>
          </w:p>
        </w:tc>
        <w:tc>
          <w:tcPr>
            <w:tcW w:w="0" w:type="auto"/>
            <w:gridSpan w:val="3"/>
            <w:shd w:val="clear" w:color="auto" w:fill="FFFFFF"/>
            <w:tcMar>
              <w:top w:w="0" w:type="dxa"/>
              <w:left w:w="20" w:type="dxa"/>
              <w:bottom w:w="0" w:type="dxa"/>
              <w:right w:w="20" w:type="dxa"/>
            </w:tcMar>
            <w:vAlign w:val="center"/>
            <w:hideMark/>
          </w:tcPr>
          <w:p w14:paraId="3DED77E8"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A1DE795"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84A12F9" w14:textId="77777777" w:rsidR="00000000" w:rsidRDefault="00C1661D">
            <w:pPr>
              <w:spacing w:after="100"/>
              <w:jc w:val="right"/>
              <w:rPr>
                <w:rFonts w:eastAsia="Times New Roman"/>
              </w:rPr>
            </w:pPr>
            <w:r>
              <w:rPr>
                <w:rFonts w:eastAsia="Times New Roman"/>
                <w:color w:val="000000"/>
                <w:sz w:val="18"/>
                <w:szCs w:val="18"/>
              </w:rPr>
              <w:t>72 </w:t>
            </w:r>
          </w:p>
        </w:tc>
        <w:tc>
          <w:tcPr>
            <w:tcW w:w="0" w:type="auto"/>
            <w:shd w:val="clear" w:color="auto" w:fill="FFFFFF"/>
            <w:tcMar>
              <w:top w:w="30" w:type="dxa"/>
              <w:left w:w="0" w:type="dxa"/>
              <w:bottom w:w="30" w:type="dxa"/>
              <w:right w:w="20" w:type="dxa"/>
            </w:tcMar>
            <w:vAlign w:val="bottom"/>
            <w:hideMark/>
          </w:tcPr>
          <w:p w14:paraId="5CC6BE1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782857"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FB06839"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D9B2BA6"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E64A1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4EC1C"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4D2B7E6"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2E5E892" w14:textId="77777777" w:rsidR="00000000" w:rsidRDefault="00C1661D">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14:paraId="4917DFBD" w14:textId="77777777" w:rsidR="00000000" w:rsidRDefault="00C1661D">
            <w:pPr>
              <w:spacing w:after="100"/>
              <w:jc w:val="right"/>
              <w:rPr>
                <w:rFonts w:eastAsia="Times New Roman"/>
              </w:rPr>
            </w:pPr>
          </w:p>
        </w:tc>
      </w:tr>
      <w:tr w:rsidR="00000000" w14:paraId="029A0A89" w14:textId="77777777">
        <w:trPr>
          <w:divId w:val="703869585"/>
          <w:jc w:val="center"/>
        </w:trPr>
        <w:tc>
          <w:tcPr>
            <w:tcW w:w="0" w:type="auto"/>
            <w:gridSpan w:val="3"/>
            <w:shd w:val="clear" w:color="auto" w:fill="CCEEFF"/>
            <w:tcMar>
              <w:top w:w="30" w:type="dxa"/>
              <w:left w:w="20" w:type="dxa"/>
              <w:bottom w:w="30" w:type="dxa"/>
              <w:right w:w="20" w:type="dxa"/>
            </w:tcMar>
            <w:vAlign w:val="bottom"/>
            <w:hideMark/>
          </w:tcPr>
          <w:p w14:paraId="77AE04D0" w14:textId="77777777" w:rsidR="00000000" w:rsidRDefault="00C1661D">
            <w:pPr>
              <w:spacing w:after="100"/>
              <w:rPr>
                <w:rFonts w:eastAsia="Times New Roman"/>
              </w:rPr>
            </w:pPr>
            <w:r>
              <w:rPr>
                <w:rFonts w:eastAsia="Times New Roman"/>
                <w:color w:val="000000"/>
                <w:sz w:val="18"/>
                <w:szCs w:val="18"/>
              </w:rPr>
              <w:t>Unrealized losses on foreign currency derivative instruments</w:t>
            </w:r>
          </w:p>
        </w:tc>
        <w:tc>
          <w:tcPr>
            <w:tcW w:w="0" w:type="auto"/>
            <w:gridSpan w:val="3"/>
            <w:shd w:val="clear" w:color="auto" w:fill="CCEEFF"/>
            <w:tcMar>
              <w:top w:w="0" w:type="dxa"/>
              <w:left w:w="20" w:type="dxa"/>
              <w:bottom w:w="0" w:type="dxa"/>
              <w:right w:w="20" w:type="dxa"/>
            </w:tcMar>
            <w:vAlign w:val="center"/>
            <w:hideMark/>
          </w:tcPr>
          <w:p w14:paraId="69FB9B31"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47D9BE9" w14:textId="77777777" w:rsidR="00000000" w:rsidRDefault="00C1661D">
            <w:pPr>
              <w:spacing w:after="100"/>
              <w:rPr>
                <w:rFonts w:eastAsia="Times New Roman"/>
              </w:rPr>
            </w:pPr>
            <w:r>
              <w:rPr>
                <w:rFonts w:eastAsia="Times New Roman"/>
                <w:color w:val="000000"/>
                <w:sz w:val="18"/>
                <w:szCs w:val="18"/>
              </w:rPr>
              <w:t>Other non-operating income (expense), net</w:t>
            </w:r>
          </w:p>
        </w:tc>
        <w:tc>
          <w:tcPr>
            <w:tcW w:w="0" w:type="auto"/>
            <w:gridSpan w:val="3"/>
            <w:shd w:val="clear" w:color="auto" w:fill="CCEEFF"/>
            <w:tcMar>
              <w:top w:w="0" w:type="dxa"/>
              <w:left w:w="20" w:type="dxa"/>
              <w:bottom w:w="0" w:type="dxa"/>
              <w:right w:w="20" w:type="dxa"/>
            </w:tcMar>
            <w:vAlign w:val="center"/>
            <w:hideMark/>
          </w:tcPr>
          <w:p w14:paraId="11D3362E"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ED231FD"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0D4A85B"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4B5ED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81FEEC"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1D9300"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A9D5D2A" w14:textId="77777777" w:rsidR="00000000" w:rsidRDefault="00C1661D">
            <w:pPr>
              <w:spacing w:after="100"/>
              <w:jc w:val="right"/>
              <w:rPr>
                <w:rFonts w:eastAsia="Times New Roman"/>
              </w:rPr>
            </w:pPr>
            <w:r>
              <w:rPr>
                <w:rFonts w:eastAsia="Times New Roman"/>
                <w:color w:val="000000"/>
                <w:sz w:val="18"/>
                <w:szCs w:val="18"/>
              </w:rPr>
              <w:t>(36)</w:t>
            </w:r>
          </w:p>
        </w:tc>
        <w:tc>
          <w:tcPr>
            <w:tcW w:w="0" w:type="auto"/>
            <w:shd w:val="clear" w:color="auto" w:fill="CCEEFF"/>
            <w:tcMar>
              <w:top w:w="30" w:type="dxa"/>
              <w:left w:w="0" w:type="dxa"/>
              <w:bottom w:w="30" w:type="dxa"/>
              <w:right w:w="20" w:type="dxa"/>
            </w:tcMar>
            <w:vAlign w:val="bottom"/>
            <w:hideMark/>
          </w:tcPr>
          <w:p w14:paraId="520BD8F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8F6B3A"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114E56"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AF710E9"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350820D" w14:textId="77777777" w:rsidR="00000000" w:rsidRDefault="00C1661D">
            <w:pPr>
              <w:spacing w:after="100"/>
              <w:jc w:val="right"/>
              <w:rPr>
                <w:rFonts w:eastAsia="Times New Roman"/>
              </w:rPr>
            </w:pPr>
          </w:p>
        </w:tc>
      </w:tr>
      <w:tr w:rsidR="00000000" w14:paraId="18FB587E" w14:textId="77777777">
        <w:trPr>
          <w:divId w:val="703869585"/>
          <w:jc w:val="center"/>
        </w:trPr>
        <w:tc>
          <w:tcPr>
            <w:tcW w:w="0" w:type="auto"/>
            <w:gridSpan w:val="3"/>
            <w:vAlign w:val="center"/>
            <w:hideMark/>
          </w:tcPr>
          <w:p w14:paraId="6A92ED21" w14:textId="77777777" w:rsidR="00000000" w:rsidRDefault="00C1661D">
            <w:pPr>
              <w:spacing w:after="100"/>
              <w:jc w:val="right"/>
              <w:rPr>
                <w:rFonts w:eastAsia="Times New Roman"/>
                <w:sz w:val="20"/>
                <w:szCs w:val="20"/>
              </w:rPr>
            </w:pPr>
          </w:p>
        </w:tc>
        <w:tc>
          <w:tcPr>
            <w:tcW w:w="0" w:type="auto"/>
            <w:gridSpan w:val="3"/>
            <w:vAlign w:val="center"/>
            <w:hideMark/>
          </w:tcPr>
          <w:p w14:paraId="219FF025" w14:textId="77777777" w:rsidR="00000000" w:rsidRDefault="00C1661D">
            <w:pPr>
              <w:spacing w:after="100"/>
              <w:rPr>
                <w:rFonts w:eastAsia="Times New Roman"/>
                <w:sz w:val="20"/>
                <w:szCs w:val="20"/>
              </w:rPr>
            </w:pPr>
          </w:p>
        </w:tc>
        <w:tc>
          <w:tcPr>
            <w:tcW w:w="0" w:type="auto"/>
            <w:gridSpan w:val="3"/>
            <w:vAlign w:val="center"/>
            <w:hideMark/>
          </w:tcPr>
          <w:p w14:paraId="0FCC8E2A" w14:textId="77777777" w:rsidR="00000000" w:rsidRDefault="00C1661D">
            <w:pPr>
              <w:spacing w:after="100"/>
              <w:rPr>
                <w:rFonts w:eastAsia="Times New Roman"/>
                <w:sz w:val="20"/>
                <w:szCs w:val="20"/>
              </w:rPr>
            </w:pPr>
          </w:p>
        </w:tc>
        <w:tc>
          <w:tcPr>
            <w:tcW w:w="0" w:type="auto"/>
            <w:gridSpan w:val="3"/>
            <w:vAlign w:val="center"/>
            <w:hideMark/>
          </w:tcPr>
          <w:p w14:paraId="3576A91D" w14:textId="77777777" w:rsidR="00000000" w:rsidRDefault="00C1661D">
            <w:pPr>
              <w:spacing w:after="100"/>
              <w:rPr>
                <w:rFonts w:eastAsia="Times New Roman"/>
                <w:sz w:val="20"/>
                <w:szCs w:val="20"/>
              </w:rPr>
            </w:pPr>
          </w:p>
        </w:tc>
        <w:tc>
          <w:tcPr>
            <w:tcW w:w="0" w:type="auto"/>
            <w:gridSpan w:val="3"/>
            <w:vAlign w:val="center"/>
            <w:hideMark/>
          </w:tcPr>
          <w:p w14:paraId="24429ECB" w14:textId="77777777" w:rsidR="00000000" w:rsidRDefault="00C1661D">
            <w:pPr>
              <w:spacing w:after="100"/>
              <w:rPr>
                <w:rFonts w:eastAsia="Times New Roman"/>
                <w:sz w:val="20"/>
                <w:szCs w:val="20"/>
              </w:rPr>
            </w:pPr>
          </w:p>
        </w:tc>
        <w:tc>
          <w:tcPr>
            <w:tcW w:w="0" w:type="auto"/>
            <w:gridSpan w:val="3"/>
            <w:vAlign w:val="center"/>
            <w:hideMark/>
          </w:tcPr>
          <w:p w14:paraId="2AD2A2BF" w14:textId="77777777" w:rsidR="00000000" w:rsidRDefault="00C1661D">
            <w:pPr>
              <w:spacing w:after="100"/>
              <w:rPr>
                <w:rFonts w:eastAsia="Times New Roman"/>
                <w:sz w:val="20"/>
                <w:szCs w:val="20"/>
              </w:rPr>
            </w:pPr>
          </w:p>
        </w:tc>
        <w:tc>
          <w:tcPr>
            <w:tcW w:w="0" w:type="auto"/>
            <w:gridSpan w:val="3"/>
            <w:vAlign w:val="center"/>
            <w:hideMark/>
          </w:tcPr>
          <w:p w14:paraId="6DBA3A6C" w14:textId="77777777" w:rsidR="00000000" w:rsidRDefault="00C1661D">
            <w:pPr>
              <w:spacing w:after="100"/>
              <w:rPr>
                <w:rFonts w:eastAsia="Times New Roman"/>
                <w:sz w:val="20"/>
                <w:szCs w:val="20"/>
              </w:rPr>
            </w:pPr>
          </w:p>
        </w:tc>
        <w:tc>
          <w:tcPr>
            <w:tcW w:w="0" w:type="auto"/>
            <w:gridSpan w:val="3"/>
            <w:vAlign w:val="center"/>
            <w:hideMark/>
          </w:tcPr>
          <w:p w14:paraId="1C60348D" w14:textId="77777777" w:rsidR="00000000" w:rsidRDefault="00C1661D">
            <w:pPr>
              <w:spacing w:after="100"/>
              <w:rPr>
                <w:rFonts w:eastAsia="Times New Roman"/>
                <w:sz w:val="20"/>
                <w:szCs w:val="20"/>
              </w:rPr>
            </w:pPr>
          </w:p>
        </w:tc>
        <w:tc>
          <w:tcPr>
            <w:tcW w:w="0" w:type="auto"/>
            <w:gridSpan w:val="3"/>
            <w:vAlign w:val="center"/>
            <w:hideMark/>
          </w:tcPr>
          <w:p w14:paraId="31CCCDAE" w14:textId="77777777" w:rsidR="00000000" w:rsidRDefault="00C1661D">
            <w:pPr>
              <w:spacing w:after="100"/>
              <w:rPr>
                <w:rFonts w:eastAsia="Times New Roman"/>
                <w:sz w:val="20"/>
                <w:szCs w:val="20"/>
              </w:rPr>
            </w:pPr>
          </w:p>
        </w:tc>
      </w:tr>
      <w:tr w:rsidR="00000000" w14:paraId="715EFDF2" w14:textId="77777777">
        <w:trPr>
          <w:divId w:val="703869585"/>
          <w:jc w:val="center"/>
        </w:trPr>
        <w:tc>
          <w:tcPr>
            <w:tcW w:w="0" w:type="auto"/>
            <w:gridSpan w:val="3"/>
            <w:vAlign w:val="center"/>
            <w:hideMark/>
          </w:tcPr>
          <w:p w14:paraId="7D7E89CD" w14:textId="77777777" w:rsidR="00000000" w:rsidRDefault="00C1661D">
            <w:pPr>
              <w:spacing w:after="100"/>
              <w:rPr>
                <w:rFonts w:eastAsia="Times New Roman"/>
                <w:sz w:val="20"/>
                <w:szCs w:val="20"/>
              </w:rPr>
            </w:pPr>
          </w:p>
        </w:tc>
        <w:tc>
          <w:tcPr>
            <w:tcW w:w="0" w:type="auto"/>
            <w:gridSpan w:val="3"/>
            <w:vAlign w:val="center"/>
            <w:hideMark/>
          </w:tcPr>
          <w:p w14:paraId="7A7967DE" w14:textId="77777777" w:rsidR="00000000" w:rsidRDefault="00C1661D">
            <w:pPr>
              <w:spacing w:after="100"/>
              <w:rPr>
                <w:rFonts w:eastAsia="Times New Roman"/>
                <w:sz w:val="20"/>
                <w:szCs w:val="20"/>
              </w:rPr>
            </w:pPr>
          </w:p>
        </w:tc>
        <w:tc>
          <w:tcPr>
            <w:tcW w:w="0" w:type="auto"/>
            <w:gridSpan w:val="3"/>
            <w:vAlign w:val="center"/>
            <w:hideMark/>
          </w:tcPr>
          <w:p w14:paraId="1E92AD28" w14:textId="77777777" w:rsidR="00000000" w:rsidRDefault="00C1661D">
            <w:pPr>
              <w:spacing w:after="100"/>
              <w:rPr>
                <w:rFonts w:eastAsia="Times New Roman"/>
                <w:sz w:val="20"/>
                <w:szCs w:val="20"/>
              </w:rPr>
            </w:pPr>
          </w:p>
        </w:tc>
        <w:tc>
          <w:tcPr>
            <w:tcW w:w="0" w:type="auto"/>
            <w:gridSpan w:val="3"/>
            <w:vAlign w:val="center"/>
            <w:hideMark/>
          </w:tcPr>
          <w:p w14:paraId="7C099498" w14:textId="77777777" w:rsidR="00000000" w:rsidRDefault="00C1661D">
            <w:pPr>
              <w:spacing w:after="100"/>
              <w:rPr>
                <w:rFonts w:eastAsia="Times New Roman"/>
                <w:sz w:val="20"/>
                <w:szCs w:val="20"/>
              </w:rPr>
            </w:pPr>
          </w:p>
        </w:tc>
        <w:tc>
          <w:tcPr>
            <w:tcW w:w="0" w:type="auto"/>
            <w:gridSpan w:val="3"/>
            <w:vAlign w:val="center"/>
            <w:hideMark/>
          </w:tcPr>
          <w:p w14:paraId="16968CD9" w14:textId="77777777" w:rsidR="00000000" w:rsidRDefault="00C1661D">
            <w:pPr>
              <w:spacing w:after="100"/>
              <w:rPr>
                <w:rFonts w:eastAsia="Times New Roman"/>
                <w:sz w:val="20"/>
                <w:szCs w:val="20"/>
              </w:rPr>
            </w:pPr>
          </w:p>
        </w:tc>
        <w:tc>
          <w:tcPr>
            <w:tcW w:w="0" w:type="auto"/>
            <w:gridSpan w:val="3"/>
            <w:vAlign w:val="center"/>
            <w:hideMark/>
          </w:tcPr>
          <w:p w14:paraId="28A61D9A" w14:textId="77777777" w:rsidR="00000000" w:rsidRDefault="00C1661D">
            <w:pPr>
              <w:spacing w:after="100"/>
              <w:rPr>
                <w:rFonts w:eastAsia="Times New Roman"/>
                <w:sz w:val="20"/>
                <w:szCs w:val="20"/>
              </w:rPr>
            </w:pPr>
          </w:p>
        </w:tc>
        <w:tc>
          <w:tcPr>
            <w:tcW w:w="0" w:type="auto"/>
            <w:gridSpan w:val="3"/>
            <w:vAlign w:val="center"/>
            <w:hideMark/>
          </w:tcPr>
          <w:p w14:paraId="07CA5C57" w14:textId="77777777" w:rsidR="00000000" w:rsidRDefault="00C1661D">
            <w:pPr>
              <w:spacing w:after="100"/>
              <w:rPr>
                <w:rFonts w:eastAsia="Times New Roman"/>
                <w:sz w:val="20"/>
                <w:szCs w:val="20"/>
              </w:rPr>
            </w:pPr>
          </w:p>
        </w:tc>
        <w:tc>
          <w:tcPr>
            <w:tcW w:w="0" w:type="auto"/>
            <w:gridSpan w:val="3"/>
            <w:vAlign w:val="center"/>
            <w:hideMark/>
          </w:tcPr>
          <w:p w14:paraId="79451C57" w14:textId="77777777" w:rsidR="00000000" w:rsidRDefault="00C1661D">
            <w:pPr>
              <w:spacing w:after="100"/>
              <w:rPr>
                <w:rFonts w:eastAsia="Times New Roman"/>
                <w:sz w:val="20"/>
                <w:szCs w:val="20"/>
              </w:rPr>
            </w:pPr>
          </w:p>
        </w:tc>
        <w:tc>
          <w:tcPr>
            <w:tcW w:w="0" w:type="auto"/>
            <w:gridSpan w:val="3"/>
            <w:vAlign w:val="center"/>
            <w:hideMark/>
          </w:tcPr>
          <w:p w14:paraId="6B5D3249" w14:textId="77777777" w:rsidR="00000000" w:rsidRDefault="00C1661D">
            <w:pPr>
              <w:spacing w:after="100"/>
              <w:rPr>
                <w:rFonts w:eastAsia="Times New Roman"/>
                <w:sz w:val="20"/>
                <w:szCs w:val="20"/>
              </w:rPr>
            </w:pPr>
          </w:p>
        </w:tc>
      </w:tr>
      <w:tr w:rsidR="00000000" w14:paraId="7A348F1E" w14:textId="77777777">
        <w:trPr>
          <w:divId w:val="703869585"/>
          <w:jc w:val="center"/>
        </w:trPr>
        <w:tc>
          <w:tcPr>
            <w:tcW w:w="0" w:type="auto"/>
            <w:gridSpan w:val="3"/>
            <w:shd w:val="clear" w:color="auto" w:fill="FFFFFF"/>
            <w:tcMar>
              <w:top w:w="30" w:type="dxa"/>
              <w:left w:w="20" w:type="dxa"/>
              <w:bottom w:w="30" w:type="dxa"/>
              <w:right w:w="20" w:type="dxa"/>
            </w:tcMar>
            <w:vAlign w:val="bottom"/>
            <w:hideMark/>
          </w:tcPr>
          <w:p w14:paraId="64412E9D" w14:textId="77777777" w:rsidR="00000000" w:rsidRDefault="00C1661D">
            <w:pPr>
              <w:spacing w:after="100"/>
              <w:rPr>
                <w:rFonts w:eastAsia="Times New Roman"/>
              </w:rPr>
            </w:pPr>
            <w:r>
              <w:rPr>
                <w:rFonts w:eastAsia="Times New Roman"/>
                <w:color w:val="000000"/>
                <w:sz w:val="18"/>
                <w:szCs w:val="18"/>
              </w:rPr>
              <w:t>Acquisition and integration expenses associated with the CMG Acquisition</w:t>
            </w:r>
          </w:p>
        </w:tc>
        <w:tc>
          <w:tcPr>
            <w:tcW w:w="0" w:type="auto"/>
            <w:gridSpan w:val="3"/>
            <w:shd w:val="clear" w:color="auto" w:fill="FFFFFF"/>
            <w:tcMar>
              <w:top w:w="0" w:type="dxa"/>
              <w:left w:w="20" w:type="dxa"/>
              <w:bottom w:w="0" w:type="dxa"/>
              <w:right w:w="20" w:type="dxa"/>
            </w:tcMar>
            <w:vAlign w:val="center"/>
            <w:hideMark/>
          </w:tcPr>
          <w:p w14:paraId="33A6270F"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835451E" w14:textId="77777777" w:rsidR="00000000" w:rsidRDefault="00C1661D">
            <w:pPr>
              <w:spacing w:after="100"/>
              <w:rPr>
                <w:rFonts w:eastAsia="Times New Roman"/>
              </w:rPr>
            </w:pPr>
            <w:r>
              <w:rPr>
                <w:rFonts w:eastAsia="Times New Roman"/>
                <w:color w:val="000000"/>
                <w:sz w:val="18"/>
                <w:szCs w:val="18"/>
              </w:rPr>
              <w:t>Operating and administrative expense</w:t>
            </w:r>
            <w:r>
              <w:rPr>
                <w:rFonts w:eastAsia="Times New Roman"/>
                <w:color w:val="000000"/>
                <w:sz w:val="18"/>
                <w:szCs w:val="18"/>
              </w:rPr>
              <w:t>s</w:t>
            </w:r>
          </w:p>
        </w:tc>
        <w:tc>
          <w:tcPr>
            <w:tcW w:w="0" w:type="auto"/>
            <w:gridSpan w:val="3"/>
            <w:shd w:val="clear" w:color="auto" w:fill="FFFFFF"/>
            <w:tcMar>
              <w:top w:w="0" w:type="dxa"/>
              <w:left w:w="20" w:type="dxa"/>
              <w:bottom w:w="0" w:type="dxa"/>
              <w:right w:w="20" w:type="dxa"/>
            </w:tcMar>
            <w:vAlign w:val="center"/>
            <w:hideMark/>
          </w:tcPr>
          <w:p w14:paraId="7EA93B21"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D4E59C6"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1D6D348"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74162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3657C"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D92C2C"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28083EE"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752035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565407"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AE27852"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D2EAB4C" w14:textId="77777777" w:rsidR="00000000" w:rsidRDefault="00C1661D">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14:paraId="226E3D5B" w14:textId="77777777" w:rsidR="00000000" w:rsidRDefault="00C1661D">
            <w:pPr>
              <w:spacing w:after="100"/>
              <w:jc w:val="right"/>
              <w:rPr>
                <w:rFonts w:eastAsia="Times New Roman"/>
              </w:rPr>
            </w:pPr>
          </w:p>
        </w:tc>
      </w:tr>
      <w:tr w:rsidR="00000000" w14:paraId="74AAC255" w14:textId="77777777">
        <w:trPr>
          <w:divId w:val="703869585"/>
          <w:jc w:val="center"/>
        </w:trPr>
        <w:tc>
          <w:tcPr>
            <w:tcW w:w="0" w:type="auto"/>
            <w:gridSpan w:val="3"/>
            <w:shd w:val="clear" w:color="auto" w:fill="CCEEFF"/>
            <w:tcMar>
              <w:top w:w="30" w:type="dxa"/>
              <w:left w:w="20" w:type="dxa"/>
              <w:bottom w:w="30" w:type="dxa"/>
              <w:right w:w="20" w:type="dxa"/>
            </w:tcMar>
            <w:vAlign w:val="bottom"/>
            <w:hideMark/>
          </w:tcPr>
          <w:p w14:paraId="4D63618B" w14:textId="77777777" w:rsidR="00000000" w:rsidRDefault="00C1661D">
            <w:pPr>
              <w:spacing w:after="100"/>
              <w:rPr>
                <w:rFonts w:eastAsia="Times New Roman"/>
              </w:rPr>
            </w:pPr>
            <w:r>
              <w:rPr>
                <w:rFonts w:eastAsia="Times New Roman"/>
                <w:color w:val="000000"/>
                <w:sz w:val="18"/>
                <w:szCs w:val="18"/>
              </w:rPr>
              <w:t>Business transformation expenses</w:t>
            </w:r>
          </w:p>
        </w:tc>
        <w:tc>
          <w:tcPr>
            <w:tcW w:w="0" w:type="auto"/>
            <w:gridSpan w:val="3"/>
            <w:shd w:val="clear" w:color="auto" w:fill="CCEEFF"/>
            <w:tcMar>
              <w:top w:w="0" w:type="dxa"/>
              <w:left w:w="20" w:type="dxa"/>
              <w:bottom w:w="0" w:type="dxa"/>
              <w:right w:w="20" w:type="dxa"/>
            </w:tcMar>
            <w:vAlign w:val="center"/>
            <w:hideMark/>
          </w:tcPr>
          <w:p w14:paraId="78A1DDD8"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4C8AB31" w14:textId="77777777" w:rsidR="00000000" w:rsidRDefault="00C1661D">
            <w:pPr>
              <w:spacing w:after="100"/>
              <w:rPr>
                <w:rFonts w:eastAsia="Times New Roman"/>
              </w:rPr>
            </w:pPr>
            <w:r>
              <w:rPr>
                <w:rFonts w:eastAsia="Times New Roman"/>
                <w:color w:val="000000"/>
                <w:sz w:val="18"/>
                <w:szCs w:val="18"/>
              </w:rPr>
              <w:t>Operating and administrative expense</w:t>
            </w:r>
            <w:r>
              <w:rPr>
                <w:rFonts w:eastAsia="Times New Roman"/>
                <w:color w:val="000000"/>
                <w:sz w:val="18"/>
                <w:szCs w:val="18"/>
              </w:rPr>
              <w:t>s</w:t>
            </w:r>
          </w:p>
        </w:tc>
        <w:tc>
          <w:tcPr>
            <w:tcW w:w="0" w:type="auto"/>
            <w:gridSpan w:val="3"/>
            <w:shd w:val="clear" w:color="auto" w:fill="CCEEFF"/>
            <w:tcMar>
              <w:top w:w="0" w:type="dxa"/>
              <w:left w:w="20" w:type="dxa"/>
              <w:bottom w:w="0" w:type="dxa"/>
              <w:right w:w="20" w:type="dxa"/>
            </w:tcMar>
            <w:vAlign w:val="center"/>
            <w:hideMark/>
          </w:tcPr>
          <w:p w14:paraId="515C5D3A" w14:textId="77777777" w:rsidR="00000000" w:rsidRDefault="00C1661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F715F99"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B6D4F25" w14:textId="77777777" w:rsidR="00000000" w:rsidRDefault="00C1661D">
            <w:pPr>
              <w:spacing w:after="100"/>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bottom"/>
            <w:hideMark/>
          </w:tcPr>
          <w:p w14:paraId="4B81FAC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7DC6C8"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83FCC7B"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294851E" w14:textId="77777777" w:rsidR="00000000" w:rsidRDefault="00C1661D">
            <w:pPr>
              <w:spacing w:after="100"/>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bottom"/>
            <w:hideMark/>
          </w:tcPr>
          <w:p w14:paraId="56C3A23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341644"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46FE34"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D92E003"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6A8CC19" w14:textId="77777777" w:rsidR="00000000" w:rsidRDefault="00C1661D">
            <w:pPr>
              <w:spacing w:after="100"/>
              <w:jc w:val="right"/>
              <w:rPr>
                <w:rFonts w:eastAsia="Times New Roman"/>
              </w:rPr>
            </w:pPr>
          </w:p>
        </w:tc>
      </w:tr>
      <w:tr w:rsidR="00000000" w14:paraId="52666DAD" w14:textId="77777777">
        <w:trPr>
          <w:divId w:val="703869585"/>
          <w:jc w:val="center"/>
        </w:trPr>
        <w:tc>
          <w:tcPr>
            <w:tcW w:w="0" w:type="auto"/>
            <w:gridSpan w:val="3"/>
            <w:shd w:val="clear" w:color="auto" w:fill="FFFFFF"/>
            <w:tcMar>
              <w:top w:w="30" w:type="dxa"/>
              <w:left w:w="20" w:type="dxa"/>
              <w:bottom w:w="30" w:type="dxa"/>
              <w:right w:w="20" w:type="dxa"/>
            </w:tcMar>
            <w:vAlign w:val="bottom"/>
            <w:hideMark/>
          </w:tcPr>
          <w:p w14:paraId="55EE1C42" w14:textId="77777777" w:rsidR="00000000" w:rsidRDefault="00C1661D">
            <w:pPr>
              <w:spacing w:after="100"/>
              <w:rPr>
                <w:rFonts w:eastAsia="Times New Roman"/>
              </w:rPr>
            </w:pPr>
            <w:r>
              <w:rPr>
                <w:rFonts w:eastAsia="Times New Roman"/>
                <w:color w:val="000000"/>
                <w:sz w:val="18"/>
                <w:szCs w:val="18"/>
              </w:rPr>
              <w:t>Loss on disposals of Conemaugh and HVAC</w:t>
            </w:r>
          </w:p>
        </w:tc>
        <w:tc>
          <w:tcPr>
            <w:tcW w:w="0" w:type="auto"/>
            <w:gridSpan w:val="3"/>
            <w:shd w:val="clear" w:color="auto" w:fill="FFFFFF"/>
            <w:tcMar>
              <w:top w:w="0" w:type="dxa"/>
              <w:left w:w="20" w:type="dxa"/>
              <w:bottom w:w="0" w:type="dxa"/>
              <w:right w:w="20" w:type="dxa"/>
            </w:tcMar>
            <w:vAlign w:val="center"/>
            <w:hideMark/>
          </w:tcPr>
          <w:p w14:paraId="2ABEE0AD"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7BE185F" w14:textId="77777777" w:rsidR="00000000" w:rsidRDefault="00C1661D">
            <w:pPr>
              <w:spacing w:after="100"/>
              <w:rPr>
                <w:rFonts w:eastAsia="Times New Roman"/>
              </w:rPr>
            </w:pPr>
            <w:r>
              <w:rPr>
                <w:rFonts w:eastAsia="Times New Roman"/>
                <w:color w:val="000000"/>
                <w:sz w:val="18"/>
                <w:szCs w:val="18"/>
              </w:rPr>
              <w:t>Loss on disposals of Conemaugh and HVAC</w:t>
            </w:r>
          </w:p>
        </w:tc>
        <w:tc>
          <w:tcPr>
            <w:tcW w:w="0" w:type="auto"/>
            <w:gridSpan w:val="3"/>
            <w:shd w:val="clear" w:color="auto" w:fill="FFFFFF"/>
            <w:tcMar>
              <w:top w:w="0" w:type="dxa"/>
              <w:left w:w="20" w:type="dxa"/>
              <w:bottom w:w="0" w:type="dxa"/>
              <w:right w:w="20" w:type="dxa"/>
            </w:tcMar>
            <w:vAlign w:val="center"/>
            <w:hideMark/>
          </w:tcPr>
          <w:p w14:paraId="52B9F84F" w14:textId="77777777" w:rsidR="00000000" w:rsidRDefault="00C1661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377DC05"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840862E"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E686EC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6F6B03"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69494C"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A2DE870" w14:textId="77777777" w:rsidR="00000000" w:rsidRDefault="00C1661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E3AE5E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91D6BB"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E7B6A7" w14:textId="77777777" w:rsidR="00000000" w:rsidRDefault="00C1661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956DBBD" w14:textId="77777777" w:rsidR="00000000" w:rsidRDefault="00C1661D">
            <w:pPr>
              <w:spacing w:after="100"/>
              <w:jc w:val="right"/>
              <w:rPr>
                <w:rFonts w:eastAsia="Times New Roman"/>
              </w:rPr>
            </w:pPr>
            <w:r>
              <w:rPr>
                <w:rFonts w:eastAsia="Times New Roman"/>
                <w:color w:val="000000"/>
                <w:sz w:val="18"/>
                <w:szCs w:val="18"/>
              </w:rPr>
              <w:t>(54)</w:t>
            </w:r>
          </w:p>
        </w:tc>
        <w:tc>
          <w:tcPr>
            <w:tcW w:w="0" w:type="auto"/>
            <w:shd w:val="clear" w:color="auto" w:fill="FFFFFF"/>
            <w:tcMar>
              <w:top w:w="30" w:type="dxa"/>
              <w:left w:w="0" w:type="dxa"/>
              <w:bottom w:w="30" w:type="dxa"/>
              <w:right w:w="20" w:type="dxa"/>
            </w:tcMar>
            <w:vAlign w:val="bottom"/>
            <w:hideMark/>
          </w:tcPr>
          <w:p w14:paraId="4438CEE8" w14:textId="77777777" w:rsidR="00000000" w:rsidRDefault="00C1661D">
            <w:pPr>
              <w:spacing w:after="100"/>
              <w:jc w:val="right"/>
              <w:rPr>
                <w:rFonts w:eastAsia="Times New Roman"/>
              </w:rPr>
            </w:pPr>
          </w:p>
        </w:tc>
      </w:tr>
    </w:tbl>
    <w:p w14:paraId="3E8A660E" w14:textId="77777777" w:rsidR="00000000" w:rsidRDefault="00C1661D">
      <w:pPr>
        <w:jc w:val="both"/>
        <w:rPr>
          <w:rFonts w:eastAsia="Times New Roman"/>
        </w:rPr>
      </w:pPr>
    </w:p>
    <w:p w14:paraId="5E7A099D" w14:textId="77777777" w:rsidR="00000000" w:rsidRDefault="00C1661D">
      <w:pPr>
        <w:ind w:hanging="360"/>
        <w:jc w:val="both"/>
        <w:rPr>
          <w:rFonts w:eastAsia="Times New Roman"/>
        </w:rPr>
      </w:pPr>
      <w:r>
        <w:rPr>
          <w:rFonts w:eastAsia="Times New Roman"/>
          <w:color w:val="000000"/>
          <w:sz w:val="20"/>
          <w:szCs w:val="20"/>
        </w:rPr>
        <w:t>(b)Represents the elimination of intersegment transactions principally among Midstream &amp; Marketing, Utilities and AmeriGas Propane.</w:t>
      </w:r>
    </w:p>
    <w:p w14:paraId="0ACFC6C5" w14:textId="77777777" w:rsidR="00000000" w:rsidRDefault="00C1661D">
      <w:pPr>
        <w:jc w:val="both"/>
        <w:rPr>
          <w:rFonts w:eastAsia="Times New Roman"/>
        </w:rPr>
      </w:pPr>
    </w:p>
    <w:p w14:paraId="60093B45" w14:textId="77777777" w:rsidR="00000000" w:rsidRDefault="00C1661D">
      <w:pPr>
        <w:divId w:val="1758596523"/>
        <w:rPr>
          <w:rFonts w:eastAsia="Times New Roman"/>
        </w:rPr>
      </w:pPr>
      <w:r>
        <w:rPr>
          <w:rFonts w:eastAsia="Times New Roman"/>
          <w:b/>
          <w:bCs/>
          <w:color w:val="000000"/>
          <w:sz w:val="20"/>
          <w:szCs w:val="20"/>
          <w:u w:val="single"/>
        </w:rPr>
        <w:t>Note 24 — Business Transformation Initiatives</w:t>
      </w:r>
      <w:r>
        <w:rPr>
          <w:rFonts w:eastAsia="Times New Roman"/>
          <w:b/>
          <w:bCs/>
          <w:color w:val="000000"/>
          <w:sz w:val="20"/>
          <w:szCs w:val="20"/>
        </w:rPr>
        <w:t xml:space="preserve"> </w:t>
      </w:r>
    </w:p>
    <w:p w14:paraId="5D33BFC0" w14:textId="77777777" w:rsidR="00000000" w:rsidRDefault="00C1661D">
      <w:pPr>
        <w:jc w:val="both"/>
        <w:divId w:val="1762413390"/>
        <w:rPr>
          <w:rFonts w:eastAsia="Times New Roman"/>
        </w:rPr>
      </w:pPr>
      <w:r>
        <w:rPr>
          <w:rFonts w:eastAsia="Times New Roman"/>
          <w:b/>
          <w:bCs/>
          <w:i/>
          <w:iCs/>
          <w:color w:val="000000"/>
          <w:sz w:val="20"/>
          <w:szCs w:val="20"/>
        </w:rPr>
        <w:t>AmeriGas and UGI International.</w:t>
      </w:r>
      <w:r>
        <w:rPr>
          <w:rFonts w:eastAsia="Times New Roman"/>
          <w:color w:val="000000"/>
          <w:sz w:val="20"/>
          <w:szCs w:val="20"/>
        </w:rPr>
        <w:t xml:space="preserve"> </w:t>
      </w:r>
      <w:r>
        <w:rPr>
          <w:rFonts w:eastAsia="Times New Roman"/>
          <w:color w:val="000000"/>
          <w:sz w:val="20"/>
          <w:szCs w:val="20"/>
        </w:rPr>
        <w:t>Beginning in Fiscal 2019, we began executing on multi-year business transformation initiatives at our AmeriGas Propane and UGI International business segments. These initiatives are designed to improve long-</w:t>
      </w:r>
    </w:p>
    <w:p w14:paraId="255001FE" w14:textId="77777777" w:rsidR="00000000" w:rsidRDefault="00C1661D">
      <w:pPr>
        <w:jc w:val="center"/>
        <w:divId w:val="362678867"/>
        <w:rPr>
          <w:rFonts w:eastAsia="Times New Roman"/>
        </w:rPr>
      </w:pPr>
      <w:r>
        <w:rPr>
          <w:rFonts w:eastAsia="Times New Roman"/>
          <w:color w:val="000000"/>
          <w:sz w:val="20"/>
          <w:szCs w:val="20"/>
        </w:rPr>
        <w:t>F-61</w:t>
      </w:r>
    </w:p>
    <w:p w14:paraId="09692D91" w14:textId="77777777" w:rsidR="00000000" w:rsidRDefault="00C1661D">
      <w:pPr>
        <w:rPr>
          <w:rFonts w:eastAsia="Times New Roman"/>
        </w:rPr>
      </w:pPr>
      <w:r>
        <w:rPr>
          <w:rFonts w:eastAsia="Times New Roman"/>
        </w:rPr>
        <w:pict w14:anchorId="79DE4DCD">
          <v:rect id="_x0000_i1174" style="width:0;height:1.5pt" o:hralign="center" o:hrstd="t" o:hr="t" fillcolor="#a0a0a0" stroked="f"/>
        </w:pict>
      </w:r>
    </w:p>
    <w:p w14:paraId="2305C14F" w14:textId="77777777" w:rsidR="00000000" w:rsidRDefault="00C1661D">
      <w:pPr>
        <w:divId w:val="744106354"/>
        <w:rPr>
          <w:rFonts w:eastAsia="Times New Roman"/>
        </w:rPr>
      </w:pPr>
      <w:hyperlink w:anchor="i3850c3c6c0104e42b9951aac2f16098a_7" w:history="1">
        <w:r>
          <w:rPr>
            <w:rStyle w:val="a3"/>
            <w:rFonts w:eastAsia="Times New Roman"/>
            <w:sz w:val="20"/>
            <w:szCs w:val="20"/>
          </w:rPr>
          <w:t>Table of Contents</w:t>
        </w:r>
      </w:hyperlink>
    </w:p>
    <w:p w14:paraId="2ED5BEEE" w14:textId="77777777" w:rsidR="00000000" w:rsidRDefault="00C1661D">
      <w:pPr>
        <w:divId w:val="31854540"/>
        <w:rPr>
          <w:rFonts w:eastAsia="Times New Roman"/>
        </w:rPr>
      </w:pPr>
      <w:r>
        <w:rPr>
          <w:rFonts w:eastAsia="Times New Roman"/>
          <w:b/>
          <w:bCs/>
          <w:color w:val="000000"/>
          <w:sz w:val="20"/>
          <w:szCs w:val="20"/>
        </w:rPr>
        <w:t>UGI Corporation and Subsidiaries</w:t>
      </w:r>
    </w:p>
    <w:p w14:paraId="590A7206" w14:textId="77777777" w:rsidR="00000000" w:rsidRDefault="00C1661D">
      <w:pPr>
        <w:divId w:val="250044592"/>
        <w:rPr>
          <w:rFonts w:eastAsia="Times New Roman"/>
        </w:rPr>
      </w:pPr>
      <w:r>
        <w:rPr>
          <w:rFonts w:eastAsia="Times New Roman"/>
          <w:b/>
          <w:bCs/>
          <w:color w:val="000000"/>
          <w:sz w:val="20"/>
          <w:szCs w:val="20"/>
        </w:rPr>
        <w:t>Notes to Consolidated Financial Statements</w:t>
      </w:r>
    </w:p>
    <w:p w14:paraId="00C5278D" w14:textId="77777777" w:rsidR="00000000" w:rsidRDefault="00C1661D">
      <w:pPr>
        <w:divId w:val="1512255162"/>
        <w:rPr>
          <w:rFonts w:eastAsia="Times New Roman"/>
        </w:rPr>
      </w:pPr>
      <w:r>
        <w:rPr>
          <w:rFonts w:eastAsia="Times New Roman"/>
          <w:color w:val="000000"/>
          <w:sz w:val="20"/>
          <w:szCs w:val="20"/>
        </w:rPr>
        <w:t>(Currency in millions, except per share amounts and where indicated otherwise)</w:t>
      </w:r>
    </w:p>
    <w:p w14:paraId="268AF7C2" w14:textId="77777777" w:rsidR="00000000" w:rsidRDefault="00C1661D">
      <w:pPr>
        <w:jc w:val="both"/>
        <w:divId w:val="394396564"/>
        <w:rPr>
          <w:rFonts w:eastAsia="Times New Roman"/>
        </w:rPr>
      </w:pPr>
      <w:r>
        <w:rPr>
          <w:rFonts w:eastAsia="Times New Roman"/>
          <w:color w:val="000000"/>
          <w:sz w:val="20"/>
          <w:szCs w:val="20"/>
        </w:rPr>
        <w:t>term operational performance by</w:t>
      </w:r>
      <w:r>
        <w:rPr>
          <w:rFonts w:eastAsia="Times New Roman"/>
          <w:color w:val="000000"/>
          <w:sz w:val="20"/>
          <w:szCs w:val="20"/>
        </w:rPr>
        <w:t>, among other things, reducing costs and improving efficiency in the areas of sales and marketing, supply and logistics, operations, purchasing, and administration. In addition, these business transformation initiatives focus on enhancing the customer expe</w:t>
      </w:r>
      <w:r>
        <w:rPr>
          <w:rFonts w:eastAsia="Times New Roman"/>
          <w:color w:val="000000"/>
          <w:sz w:val="20"/>
          <w:szCs w:val="20"/>
        </w:rPr>
        <w:t>rience through, among other things, enhanced customer relationship management and an improved digital customer experience. During Fiscal 2021 and Fiscal 2020 we incurred $87 and $62 respectively, of costs principally comprising consulting, advisory, market</w:t>
      </w:r>
      <w:r>
        <w:rPr>
          <w:rFonts w:eastAsia="Times New Roman"/>
          <w:color w:val="000000"/>
          <w:sz w:val="20"/>
          <w:szCs w:val="20"/>
        </w:rPr>
        <w:t xml:space="preserve">ing and employee-related costs. These costs are primarily reflected in </w:t>
      </w:r>
      <w:r>
        <w:rPr>
          <w:rFonts w:eastAsia="Times New Roman"/>
          <w:color w:val="000000"/>
          <w:sz w:val="20"/>
          <w:szCs w:val="20"/>
        </w:rPr>
        <w:t>“</w:t>
      </w:r>
      <w:r>
        <w:rPr>
          <w:rFonts w:eastAsia="Times New Roman"/>
          <w:color w:val="000000"/>
          <w:sz w:val="20"/>
          <w:szCs w:val="20"/>
        </w:rPr>
        <w:t>Operating and administrative expense</w:t>
      </w:r>
      <w:r>
        <w:rPr>
          <w:rFonts w:eastAsia="Times New Roman"/>
          <w:color w:val="000000"/>
          <w:sz w:val="20"/>
          <w:szCs w:val="20"/>
        </w:rPr>
        <w:t>s</w:t>
      </w:r>
      <w:r>
        <w:rPr>
          <w:rFonts w:eastAsia="Times New Roman"/>
          <w:color w:val="000000"/>
          <w:sz w:val="20"/>
          <w:szCs w:val="20"/>
        </w:rPr>
        <w:t>” on the Consolidated Statements of Income. These previously announced business transformation initiatives were substantially complete by the end o</w:t>
      </w:r>
      <w:r>
        <w:rPr>
          <w:rFonts w:eastAsia="Times New Roman"/>
          <w:color w:val="000000"/>
          <w:sz w:val="20"/>
          <w:szCs w:val="20"/>
        </w:rPr>
        <w:t xml:space="preserve">f Fiscal 2021. </w:t>
      </w:r>
    </w:p>
    <w:p w14:paraId="3C4F9569" w14:textId="77777777" w:rsidR="00000000" w:rsidRDefault="00C1661D">
      <w:pPr>
        <w:divId w:val="1292707132"/>
        <w:rPr>
          <w:rFonts w:eastAsia="Times New Roman"/>
        </w:rPr>
      </w:pPr>
    </w:p>
    <w:p w14:paraId="5423AA82" w14:textId="77777777" w:rsidR="00000000" w:rsidRDefault="00C1661D">
      <w:pPr>
        <w:jc w:val="both"/>
        <w:rPr>
          <w:rFonts w:eastAsia="Times New Roman"/>
        </w:rPr>
      </w:pPr>
      <w:r>
        <w:rPr>
          <w:rFonts w:eastAsia="Times New Roman"/>
          <w:b/>
          <w:bCs/>
          <w:i/>
          <w:iCs/>
          <w:color w:val="000000"/>
          <w:sz w:val="20"/>
          <w:szCs w:val="20"/>
        </w:rPr>
        <w:t xml:space="preserve">Corporate Services. </w:t>
      </w:r>
      <w:r>
        <w:rPr>
          <w:rFonts w:eastAsia="Times New Roman"/>
          <w:color w:val="000000"/>
          <w:sz w:val="20"/>
          <w:szCs w:val="20"/>
        </w:rPr>
        <w:t>Beginning in Fiscal 2020, we initiated a transformation project focused on our support functions including: finance, procurement, human resources, and information technology. This initiative will standardize processes and activities across our global platf</w:t>
      </w:r>
      <w:r>
        <w:rPr>
          <w:rFonts w:eastAsia="Times New Roman"/>
          <w:color w:val="000000"/>
          <w:sz w:val="20"/>
          <w:szCs w:val="20"/>
        </w:rPr>
        <w:t xml:space="preserve">orm, while leveraging the use of best practices and efficiencies between our businesses. In connection with this initiative, during Fiscal 2022 and 2021, we incurred $9 and $14, respectively. Amounts in connection with this initiative are reflected in </w:t>
      </w:r>
      <w:r>
        <w:rPr>
          <w:rFonts w:eastAsia="Times New Roman"/>
          <w:color w:val="000000"/>
          <w:sz w:val="20"/>
          <w:szCs w:val="20"/>
        </w:rPr>
        <w:t>“</w:t>
      </w:r>
      <w:r>
        <w:rPr>
          <w:rFonts w:eastAsia="Times New Roman"/>
          <w:color w:val="000000"/>
          <w:sz w:val="20"/>
          <w:szCs w:val="20"/>
        </w:rPr>
        <w:t>Ope</w:t>
      </w:r>
      <w:r>
        <w:rPr>
          <w:rFonts w:eastAsia="Times New Roman"/>
          <w:color w:val="000000"/>
          <w:sz w:val="20"/>
          <w:szCs w:val="20"/>
        </w:rPr>
        <w:t>rating and administrative expense</w:t>
      </w:r>
      <w:r>
        <w:rPr>
          <w:rFonts w:eastAsia="Times New Roman"/>
          <w:color w:val="000000"/>
          <w:sz w:val="20"/>
          <w:szCs w:val="20"/>
        </w:rPr>
        <w:t>s</w:t>
      </w:r>
      <w:r>
        <w:rPr>
          <w:rFonts w:eastAsia="Times New Roman"/>
          <w:color w:val="000000"/>
          <w:sz w:val="20"/>
          <w:szCs w:val="20"/>
        </w:rPr>
        <w:t>” on the Consolidated Statement of Income.</w:t>
      </w:r>
    </w:p>
    <w:p w14:paraId="775118C9" w14:textId="77777777" w:rsidR="00000000" w:rsidRDefault="00C1661D">
      <w:pPr>
        <w:jc w:val="both"/>
        <w:rPr>
          <w:rFonts w:eastAsia="Times New Roman"/>
        </w:rPr>
      </w:pPr>
    </w:p>
    <w:p w14:paraId="7D30D5DF" w14:textId="77777777" w:rsidR="00000000" w:rsidRDefault="00C1661D">
      <w:pPr>
        <w:divId w:val="2102793941"/>
        <w:rPr>
          <w:rFonts w:eastAsia="Times New Roman"/>
        </w:rPr>
      </w:pPr>
      <w:r>
        <w:rPr>
          <w:rFonts w:eastAsia="Times New Roman"/>
          <w:b/>
          <w:bCs/>
          <w:color w:val="000000"/>
          <w:sz w:val="20"/>
          <w:szCs w:val="20"/>
          <w:u w:val="single"/>
        </w:rPr>
        <w:t>Note 25 — Subsequent Events</w:t>
      </w:r>
      <w:r>
        <w:rPr>
          <w:rFonts w:eastAsia="Times New Roman"/>
          <w:b/>
          <w:bCs/>
          <w:color w:val="000000"/>
          <w:sz w:val="20"/>
          <w:szCs w:val="20"/>
        </w:rPr>
        <w:t xml:space="preserve"> </w:t>
      </w:r>
    </w:p>
    <w:p w14:paraId="5589B9C8" w14:textId="77777777" w:rsidR="00000000" w:rsidRDefault="00C1661D">
      <w:pPr>
        <w:jc w:val="both"/>
        <w:divId w:val="1795100155"/>
        <w:rPr>
          <w:rFonts w:eastAsia="Times New Roman"/>
        </w:rPr>
      </w:pPr>
      <w:r>
        <w:rPr>
          <w:rFonts w:eastAsia="Times New Roman"/>
          <w:b/>
          <w:bCs/>
          <w:color w:val="000000"/>
          <w:sz w:val="20"/>
          <w:szCs w:val="20"/>
        </w:rPr>
        <w:t>Dispositions</w:t>
      </w:r>
    </w:p>
    <w:p w14:paraId="1FA90B8B" w14:textId="77777777" w:rsidR="00000000" w:rsidRDefault="00C1661D">
      <w:pPr>
        <w:jc w:val="both"/>
        <w:divId w:val="1864782305"/>
        <w:rPr>
          <w:rFonts w:eastAsia="Times New Roman"/>
        </w:rPr>
      </w:pPr>
      <w:r>
        <w:rPr>
          <w:rFonts w:eastAsia="Times New Roman"/>
          <w:b/>
          <w:bCs/>
          <w:i/>
          <w:iCs/>
          <w:color w:val="000000"/>
          <w:sz w:val="20"/>
          <w:szCs w:val="20"/>
        </w:rPr>
        <w:t xml:space="preserve">UGI International United Kingdom Energy Marketing. </w:t>
      </w:r>
      <w:r>
        <w:rPr>
          <w:rFonts w:eastAsia="Times New Roman"/>
          <w:color w:val="000000"/>
          <w:sz w:val="20"/>
          <w:szCs w:val="20"/>
        </w:rPr>
        <w:t>In October 2022, UGI International, through a wholly-owned subsidiary, sold its natu</w:t>
      </w:r>
      <w:r>
        <w:rPr>
          <w:rFonts w:eastAsia="Times New Roman"/>
          <w:color w:val="000000"/>
          <w:sz w:val="20"/>
          <w:szCs w:val="20"/>
        </w:rPr>
        <w:t>ral gas marketing business located in the United Kingdom resulting in a net cash payment to the buyer of $19 which includes working capital adjustments. The assets and liabilities associated with this business, primarily attributable to the value of unreal</w:t>
      </w:r>
      <w:r>
        <w:rPr>
          <w:rFonts w:eastAsia="Times New Roman"/>
          <w:color w:val="000000"/>
          <w:sz w:val="20"/>
          <w:szCs w:val="20"/>
        </w:rPr>
        <w:t>ized gains and losses on derivative contracts, are classified as held-for-sale on the accompanying Consolidated Balance Sheet as of September 30, 2022. During the fourth quarter of Fiscal 2022, the Company recognized an impairment charge, which was limited</w:t>
      </w:r>
      <w:r>
        <w:rPr>
          <w:rFonts w:eastAsia="Times New Roman"/>
          <w:color w:val="000000"/>
          <w:sz w:val="20"/>
          <w:szCs w:val="20"/>
        </w:rPr>
        <w:t xml:space="preserve"> to the disposal group’s long-lived assets in accordance with its policy related to assets held for sale. Such impairment in Fiscal 2022 was not material. An incremental pretax loss of approximately $220 was recognized in the first quarter of Fiscal 2023 i</w:t>
      </w:r>
      <w:r>
        <w:rPr>
          <w:rFonts w:eastAsia="Times New Roman"/>
          <w:color w:val="000000"/>
          <w:sz w:val="20"/>
          <w:szCs w:val="20"/>
        </w:rPr>
        <w:t>n connection with the completed sale, largely attributable to the difference between the net cash payment to the buyer and the fair value of net derivative assets sold along with customer contracts as of the transaction date. The change in the net assets h</w:t>
      </w:r>
      <w:r>
        <w:rPr>
          <w:rFonts w:eastAsia="Times New Roman"/>
          <w:color w:val="000000"/>
          <w:sz w:val="20"/>
          <w:szCs w:val="20"/>
        </w:rPr>
        <w:t xml:space="preserve">eld for sale as of September 30, 2022, and the loss recognized upon disposal in October 2022, was due to the change in the fair value of the net derivative assets subsequent to September 30, 2022. </w:t>
      </w:r>
    </w:p>
    <w:p w14:paraId="332C9DD3" w14:textId="77777777" w:rsidR="00000000" w:rsidRDefault="00C1661D">
      <w:pPr>
        <w:jc w:val="both"/>
        <w:divId w:val="1420129280"/>
        <w:rPr>
          <w:rFonts w:eastAsia="Times New Roman"/>
        </w:rPr>
      </w:pPr>
      <w:r>
        <w:rPr>
          <w:rFonts w:eastAsia="Times New Roman"/>
          <w:b/>
          <w:bCs/>
          <w:i/>
          <w:iCs/>
          <w:color w:val="000000"/>
          <w:sz w:val="20"/>
          <w:szCs w:val="20"/>
        </w:rPr>
        <w:t xml:space="preserve">UGI International France Energy Marketing. </w:t>
      </w:r>
      <w:r>
        <w:rPr>
          <w:rFonts w:eastAsia="Times New Roman"/>
          <w:color w:val="000000"/>
          <w:sz w:val="20"/>
          <w:szCs w:val="20"/>
        </w:rPr>
        <w:t>In November 202</w:t>
      </w:r>
      <w:r>
        <w:rPr>
          <w:rFonts w:eastAsia="Times New Roman"/>
          <w:color w:val="000000"/>
          <w:sz w:val="20"/>
          <w:szCs w:val="20"/>
        </w:rPr>
        <w:t>2, the Company announced its intent to sell its energy marketing business located in France, with a definitive agreement expected to be signed in the first quarter of Fiscal 2023. The Company expects to recognize a significant loss on the sale largely attr</w:t>
      </w:r>
      <w:r>
        <w:rPr>
          <w:rFonts w:eastAsia="Times New Roman"/>
          <w:color w:val="000000"/>
          <w:sz w:val="20"/>
          <w:szCs w:val="20"/>
        </w:rPr>
        <w:t>ibutable to the value of net derivative assets sold along with the related customer contracts. At September 30, 2022, the carrying value of the net assets of the Company’s energy marketing business in France amounted to approximately $470 with primarily al</w:t>
      </w:r>
      <w:r>
        <w:rPr>
          <w:rFonts w:eastAsia="Times New Roman"/>
          <w:color w:val="000000"/>
          <w:sz w:val="20"/>
          <w:szCs w:val="20"/>
        </w:rPr>
        <w:t>l of that value related to the fair value of the applicable derivative contracts.</w:t>
      </w:r>
    </w:p>
    <w:p w14:paraId="51AF88AF" w14:textId="77777777" w:rsidR="00000000" w:rsidRDefault="00C1661D">
      <w:pPr>
        <w:jc w:val="center"/>
        <w:divId w:val="1256477925"/>
        <w:rPr>
          <w:rFonts w:eastAsia="Times New Roman"/>
        </w:rPr>
      </w:pPr>
      <w:r>
        <w:rPr>
          <w:rFonts w:eastAsia="Times New Roman"/>
          <w:color w:val="000000"/>
          <w:sz w:val="20"/>
          <w:szCs w:val="20"/>
        </w:rPr>
        <w:t>F-62</w:t>
      </w:r>
    </w:p>
    <w:p w14:paraId="561B8407" w14:textId="77777777" w:rsidR="00000000" w:rsidRDefault="00C1661D">
      <w:pPr>
        <w:rPr>
          <w:rFonts w:eastAsia="Times New Roman"/>
        </w:rPr>
      </w:pPr>
      <w:r>
        <w:rPr>
          <w:rFonts w:eastAsia="Times New Roman"/>
        </w:rPr>
        <w:pict w14:anchorId="605BA95B">
          <v:rect id="_x0000_i1175" style="width:0;height:1.5pt" o:hralign="center" o:hrstd="t" o:hr="t" fillcolor="#a0a0a0" stroked="f"/>
        </w:pict>
      </w:r>
    </w:p>
    <w:p w14:paraId="78A4F44E" w14:textId="77777777" w:rsidR="00000000" w:rsidRDefault="00C1661D">
      <w:pPr>
        <w:divId w:val="468327580"/>
        <w:rPr>
          <w:rFonts w:eastAsia="Times New Roman"/>
        </w:rPr>
      </w:pPr>
      <w:hyperlink w:anchor="i3850c3c6c0104e42b9951aac2f16098a_7" w:history="1">
        <w:r>
          <w:rPr>
            <w:rStyle w:val="a3"/>
            <w:rFonts w:eastAsia="Times New Roman"/>
            <w:sz w:val="20"/>
            <w:szCs w:val="20"/>
          </w:rPr>
          <w:t>Table of Contents</w:t>
        </w:r>
      </w:hyperlink>
    </w:p>
    <w:p w14:paraId="6B3D4686" w14:textId="77777777" w:rsidR="00000000" w:rsidRDefault="00C1661D">
      <w:pPr>
        <w:divId w:val="371076670"/>
        <w:rPr>
          <w:rFonts w:eastAsia="Times New Roman"/>
        </w:rPr>
      </w:pPr>
    </w:p>
    <w:p w14:paraId="28C77BFE" w14:textId="77777777" w:rsidR="00000000" w:rsidRDefault="00C1661D">
      <w:pPr>
        <w:jc w:val="center"/>
        <w:divId w:val="492066927"/>
        <w:rPr>
          <w:rFonts w:eastAsia="Times New Roman"/>
        </w:rPr>
      </w:pPr>
      <w:r>
        <w:rPr>
          <w:rFonts w:eastAsia="Times New Roman"/>
          <w:b/>
          <w:bCs/>
          <w:color w:val="000000"/>
          <w:sz w:val="20"/>
          <w:szCs w:val="20"/>
        </w:rPr>
        <w:t>UGI CORPORATION</w:t>
      </w:r>
    </w:p>
    <w:p w14:paraId="07EC75C0" w14:textId="77777777" w:rsidR="00000000" w:rsidRDefault="00C1661D">
      <w:pPr>
        <w:jc w:val="center"/>
        <w:divId w:val="492066927"/>
        <w:rPr>
          <w:rFonts w:eastAsia="Times New Roman"/>
        </w:rPr>
      </w:pPr>
      <w:r>
        <w:rPr>
          <w:rFonts w:eastAsia="Times New Roman"/>
          <w:b/>
          <w:bCs/>
          <w:color w:val="000000"/>
          <w:sz w:val="20"/>
          <w:szCs w:val="20"/>
        </w:rPr>
        <w:t>SCHEDULE I — CONDENSED FINANCIAL INFOR</w:t>
      </w:r>
      <w:r>
        <w:rPr>
          <w:rFonts w:eastAsia="Times New Roman"/>
          <w:b/>
          <w:bCs/>
          <w:color w:val="000000"/>
          <w:sz w:val="20"/>
          <w:szCs w:val="20"/>
        </w:rPr>
        <w:t>MATION OF REGISTRANT (PARENT COMPANY)</w:t>
      </w:r>
    </w:p>
    <w:p w14:paraId="156DFC40" w14:textId="77777777" w:rsidR="00000000" w:rsidRDefault="00C1661D">
      <w:pPr>
        <w:divId w:val="1167135685"/>
        <w:rPr>
          <w:rFonts w:eastAsia="Times New Roman"/>
        </w:rPr>
      </w:pPr>
    </w:p>
    <w:p w14:paraId="3772F140" w14:textId="77777777" w:rsidR="00000000" w:rsidRDefault="00C1661D">
      <w:pPr>
        <w:divId w:val="1767310356"/>
        <w:rPr>
          <w:rFonts w:eastAsia="Times New Roman"/>
        </w:rPr>
      </w:pPr>
    </w:p>
    <w:p w14:paraId="4F9E0176" w14:textId="77777777" w:rsidR="00000000" w:rsidRDefault="00C1661D">
      <w:pPr>
        <w:jc w:val="center"/>
        <w:rPr>
          <w:rFonts w:eastAsia="Times New Roman"/>
        </w:rPr>
      </w:pPr>
    </w:p>
    <w:p w14:paraId="7BAAE434" w14:textId="77777777" w:rsidR="00000000" w:rsidRDefault="00C1661D">
      <w:pPr>
        <w:jc w:val="center"/>
        <w:rPr>
          <w:rFonts w:eastAsia="Times New Roman"/>
        </w:rPr>
      </w:pPr>
      <w:r>
        <w:rPr>
          <w:rFonts w:eastAsia="Times New Roman"/>
          <w:color w:val="000000"/>
          <w:sz w:val="20"/>
          <w:szCs w:val="20"/>
        </w:rPr>
        <w:t>BALANCE SHEETS</w:t>
      </w:r>
    </w:p>
    <w:p w14:paraId="6601A503" w14:textId="77777777" w:rsidR="00000000" w:rsidRDefault="00C1661D">
      <w:pPr>
        <w:jc w:val="center"/>
        <w:rPr>
          <w:rFonts w:eastAsia="Times New Roman"/>
        </w:rPr>
      </w:pPr>
      <w:r>
        <w:rPr>
          <w:rFonts w:eastAsia="Times New Roman"/>
          <w:color w:val="000000"/>
          <w:sz w:val="20"/>
          <w:szCs w:val="20"/>
        </w:rPr>
        <w:t>(Millions of dollars)</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988"/>
        <w:gridCol w:w="38"/>
        <w:gridCol w:w="120"/>
        <w:gridCol w:w="921"/>
        <w:gridCol w:w="36"/>
        <w:gridCol w:w="36"/>
        <w:gridCol w:w="36"/>
        <w:gridCol w:w="36"/>
        <w:gridCol w:w="120"/>
        <w:gridCol w:w="886"/>
        <w:gridCol w:w="36"/>
      </w:tblGrid>
      <w:tr w:rsidR="00000000" w14:paraId="254BE72C" w14:textId="77777777">
        <w:trPr>
          <w:jc w:val="center"/>
        </w:trPr>
        <w:tc>
          <w:tcPr>
            <w:tcW w:w="50" w:type="pct"/>
            <w:vAlign w:val="center"/>
            <w:hideMark/>
          </w:tcPr>
          <w:p w14:paraId="68244352" w14:textId="77777777" w:rsidR="00000000" w:rsidRDefault="00C1661D">
            <w:pPr>
              <w:jc w:val="center"/>
              <w:rPr>
                <w:rFonts w:eastAsia="Times New Roman"/>
              </w:rPr>
            </w:pPr>
          </w:p>
        </w:tc>
        <w:tc>
          <w:tcPr>
            <w:tcW w:w="3634" w:type="pct"/>
            <w:vAlign w:val="center"/>
            <w:hideMark/>
          </w:tcPr>
          <w:p w14:paraId="52379BD2" w14:textId="77777777" w:rsidR="00000000" w:rsidRDefault="00C1661D">
            <w:pPr>
              <w:spacing w:after="100"/>
              <w:rPr>
                <w:rFonts w:eastAsia="Times New Roman"/>
                <w:sz w:val="20"/>
                <w:szCs w:val="20"/>
              </w:rPr>
            </w:pPr>
          </w:p>
        </w:tc>
        <w:tc>
          <w:tcPr>
            <w:tcW w:w="5" w:type="pct"/>
            <w:vAlign w:val="center"/>
            <w:hideMark/>
          </w:tcPr>
          <w:p w14:paraId="3A61AADF" w14:textId="77777777" w:rsidR="00000000" w:rsidRDefault="00C1661D">
            <w:pPr>
              <w:spacing w:after="100"/>
              <w:rPr>
                <w:rFonts w:eastAsia="Times New Roman"/>
                <w:sz w:val="20"/>
                <w:szCs w:val="20"/>
              </w:rPr>
            </w:pPr>
          </w:p>
        </w:tc>
        <w:tc>
          <w:tcPr>
            <w:tcW w:w="50" w:type="pct"/>
            <w:vAlign w:val="center"/>
            <w:hideMark/>
          </w:tcPr>
          <w:p w14:paraId="4FE4EFD9" w14:textId="77777777" w:rsidR="00000000" w:rsidRDefault="00C1661D">
            <w:pPr>
              <w:spacing w:after="100"/>
              <w:rPr>
                <w:rFonts w:eastAsia="Times New Roman"/>
                <w:sz w:val="20"/>
                <w:szCs w:val="20"/>
              </w:rPr>
            </w:pPr>
          </w:p>
        </w:tc>
        <w:tc>
          <w:tcPr>
            <w:tcW w:w="581" w:type="pct"/>
            <w:vAlign w:val="center"/>
            <w:hideMark/>
          </w:tcPr>
          <w:p w14:paraId="1CD23293" w14:textId="77777777" w:rsidR="00000000" w:rsidRDefault="00C1661D">
            <w:pPr>
              <w:spacing w:after="100"/>
              <w:rPr>
                <w:rFonts w:eastAsia="Times New Roman"/>
                <w:sz w:val="20"/>
                <w:szCs w:val="20"/>
              </w:rPr>
            </w:pPr>
          </w:p>
        </w:tc>
        <w:tc>
          <w:tcPr>
            <w:tcW w:w="5" w:type="pct"/>
            <w:vAlign w:val="center"/>
            <w:hideMark/>
          </w:tcPr>
          <w:p w14:paraId="46EAE39B" w14:textId="77777777" w:rsidR="00000000" w:rsidRDefault="00C1661D">
            <w:pPr>
              <w:spacing w:after="100"/>
              <w:rPr>
                <w:rFonts w:eastAsia="Times New Roman"/>
                <w:sz w:val="20"/>
                <w:szCs w:val="20"/>
              </w:rPr>
            </w:pPr>
          </w:p>
        </w:tc>
        <w:tc>
          <w:tcPr>
            <w:tcW w:w="5" w:type="pct"/>
            <w:vAlign w:val="center"/>
            <w:hideMark/>
          </w:tcPr>
          <w:p w14:paraId="3C2A7F9C" w14:textId="77777777" w:rsidR="00000000" w:rsidRDefault="00C1661D">
            <w:pPr>
              <w:spacing w:after="100"/>
              <w:rPr>
                <w:rFonts w:eastAsia="Times New Roman"/>
                <w:sz w:val="20"/>
                <w:szCs w:val="20"/>
              </w:rPr>
            </w:pPr>
          </w:p>
        </w:tc>
        <w:tc>
          <w:tcPr>
            <w:tcW w:w="26" w:type="pct"/>
            <w:vAlign w:val="center"/>
            <w:hideMark/>
          </w:tcPr>
          <w:p w14:paraId="456E5665" w14:textId="77777777" w:rsidR="00000000" w:rsidRDefault="00C1661D">
            <w:pPr>
              <w:spacing w:after="100"/>
              <w:rPr>
                <w:rFonts w:eastAsia="Times New Roman"/>
                <w:sz w:val="20"/>
                <w:szCs w:val="20"/>
              </w:rPr>
            </w:pPr>
          </w:p>
        </w:tc>
        <w:tc>
          <w:tcPr>
            <w:tcW w:w="5" w:type="pct"/>
            <w:vAlign w:val="center"/>
            <w:hideMark/>
          </w:tcPr>
          <w:p w14:paraId="34F5288C" w14:textId="77777777" w:rsidR="00000000" w:rsidRDefault="00C1661D">
            <w:pPr>
              <w:spacing w:after="100"/>
              <w:rPr>
                <w:rFonts w:eastAsia="Times New Roman"/>
                <w:sz w:val="20"/>
                <w:szCs w:val="20"/>
              </w:rPr>
            </w:pPr>
          </w:p>
        </w:tc>
        <w:tc>
          <w:tcPr>
            <w:tcW w:w="50" w:type="pct"/>
            <w:vAlign w:val="center"/>
            <w:hideMark/>
          </w:tcPr>
          <w:p w14:paraId="3C21641E" w14:textId="77777777" w:rsidR="00000000" w:rsidRDefault="00C1661D">
            <w:pPr>
              <w:spacing w:after="100"/>
              <w:rPr>
                <w:rFonts w:eastAsia="Times New Roman"/>
                <w:sz w:val="20"/>
                <w:szCs w:val="20"/>
              </w:rPr>
            </w:pPr>
          </w:p>
        </w:tc>
        <w:tc>
          <w:tcPr>
            <w:tcW w:w="581" w:type="pct"/>
            <w:vAlign w:val="center"/>
            <w:hideMark/>
          </w:tcPr>
          <w:p w14:paraId="680AA3E5" w14:textId="77777777" w:rsidR="00000000" w:rsidRDefault="00C1661D">
            <w:pPr>
              <w:spacing w:after="100"/>
              <w:rPr>
                <w:rFonts w:eastAsia="Times New Roman"/>
                <w:sz w:val="20"/>
                <w:szCs w:val="20"/>
              </w:rPr>
            </w:pPr>
          </w:p>
        </w:tc>
        <w:tc>
          <w:tcPr>
            <w:tcW w:w="5" w:type="pct"/>
            <w:vAlign w:val="center"/>
            <w:hideMark/>
          </w:tcPr>
          <w:p w14:paraId="7B3E6F97" w14:textId="77777777" w:rsidR="00000000" w:rsidRDefault="00C1661D">
            <w:pPr>
              <w:spacing w:after="100"/>
              <w:rPr>
                <w:rFonts w:eastAsia="Times New Roman"/>
                <w:sz w:val="20"/>
                <w:szCs w:val="20"/>
              </w:rPr>
            </w:pPr>
          </w:p>
        </w:tc>
      </w:tr>
      <w:tr w:rsidR="00000000" w14:paraId="7AB23F0E" w14:textId="77777777">
        <w:trPr>
          <w:jc w:val="center"/>
        </w:trPr>
        <w:tc>
          <w:tcPr>
            <w:tcW w:w="0" w:type="auto"/>
            <w:gridSpan w:val="3"/>
            <w:tcMar>
              <w:top w:w="30" w:type="dxa"/>
              <w:left w:w="20" w:type="dxa"/>
              <w:bottom w:w="30" w:type="dxa"/>
              <w:right w:w="20" w:type="dxa"/>
            </w:tcMar>
            <w:vAlign w:val="bottom"/>
            <w:hideMark/>
          </w:tcPr>
          <w:p w14:paraId="6BF04B70" w14:textId="77777777" w:rsidR="00000000" w:rsidRDefault="00C1661D">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7C8AFA53" w14:textId="77777777" w:rsidR="00000000" w:rsidRDefault="00C1661D">
            <w:pPr>
              <w:spacing w:after="100"/>
              <w:jc w:val="center"/>
              <w:rPr>
                <w:rFonts w:eastAsia="Times New Roman"/>
              </w:rPr>
            </w:pPr>
            <w:r>
              <w:rPr>
                <w:rFonts w:eastAsia="Times New Roman"/>
                <w:color w:val="000000"/>
                <w:sz w:val="20"/>
                <w:szCs w:val="20"/>
              </w:rPr>
              <w:t>September 30,</w:t>
            </w:r>
          </w:p>
        </w:tc>
      </w:tr>
      <w:tr w:rsidR="00000000" w14:paraId="2A51DEF1" w14:textId="77777777">
        <w:trPr>
          <w:jc w:val="center"/>
        </w:trPr>
        <w:tc>
          <w:tcPr>
            <w:tcW w:w="0" w:type="auto"/>
            <w:gridSpan w:val="3"/>
            <w:tcMar>
              <w:top w:w="30" w:type="dxa"/>
              <w:left w:w="20" w:type="dxa"/>
              <w:bottom w:w="30" w:type="dxa"/>
              <w:right w:w="20" w:type="dxa"/>
            </w:tcMar>
            <w:vAlign w:val="bottom"/>
            <w:hideMark/>
          </w:tcPr>
          <w:p w14:paraId="2329F47F"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B958215"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51AC2037"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5CCDD9" w14:textId="77777777" w:rsidR="00000000" w:rsidRDefault="00C1661D">
            <w:pPr>
              <w:spacing w:after="100"/>
              <w:jc w:val="center"/>
              <w:rPr>
                <w:rFonts w:eastAsia="Times New Roman"/>
              </w:rPr>
            </w:pPr>
            <w:r>
              <w:rPr>
                <w:rFonts w:eastAsia="Times New Roman"/>
                <w:color w:val="000000"/>
                <w:sz w:val="20"/>
                <w:szCs w:val="20"/>
              </w:rPr>
              <w:t>2021</w:t>
            </w:r>
          </w:p>
        </w:tc>
      </w:tr>
      <w:tr w:rsidR="00000000" w14:paraId="572A492A" w14:textId="77777777">
        <w:trPr>
          <w:jc w:val="center"/>
        </w:trPr>
        <w:tc>
          <w:tcPr>
            <w:tcW w:w="0" w:type="auto"/>
            <w:gridSpan w:val="3"/>
            <w:shd w:val="clear" w:color="auto" w:fill="CCEEFF"/>
            <w:tcMar>
              <w:top w:w="30" w:type="dxa"/>
              <w:left w:w="20" w:type="dxa"/>
              <w:bottom w:w="30" w:type="dxa"/>
              <w:right w:w="20" w:type="dxa"/>
            </w:tcMar>
            <w:vAlign w:val="bottom"/>
            <w:hideMark/>
          </w:tcPr>
          <w:p w14:paraId="21E2869D" w14:textId="77777777" w:rsidR="00000000" w:rsidRDefault="00C1661D">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52FE52"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CF335A1"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95D30EA" w14:textId="77777777" w:rsidR="00000000" w:rsidRDefault="00C1661D">
            <w:pPr>
              <w:spacing w:after="100"/>
              <w:rPr>
                <w:rFonts w:eastAsia="Times New Roman"/>
              </w:rPr>
            </w:pPr>
            <w:r>
              <w:rPr>
                <w:rFonts w:eastAsia="Times New Roman"/>
                <w:color w:val="000000"/>
                <w:sz w:val="20"/>
                <w:szCs w:val="20"/>
              </w:rPr>
              <w:t> </w:t>
            </w:r>
          </w:p>
        </w:tc>
      </w:tr>
      <w:tr w:rsidR="00000000" w14:paraId="4481BDFB" w14:textId="77777777">
        <w:trPr>
          <w:jc w:val="center"/>
        </w:trPr>
        <w:tc>
          <w:tcPr>
            <w:tcW w:w="0" w:type="auto"/>
            <w:gridSpan w:val="3"/>
            <w:shd w:val="clear" w:color="auto" w:fill="FFFFFF"/>
            <w:tcMar>
              <w:top w:w="30" w:type="dxa"/>
              <w:left w:w="20" w:type="dxa"/>
              <w:bottom w:w="30" w:type="dxa"/>
              <w:right w:w="20" w:type="dxa"/>
            </w:tcMar>
            <w:vAlign w:val="bottom"/>
            <w:hideMark/>
          </w:tcPr>
          <w:p w14:paraId="0C45A707" w14:textId="77777777" w:rsidR="00000000" w:rsidRDefault="00C1661D">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30" w:type="dxa"/>
              <w:left w:w="20" w:type="dxa"/>
              <w:bottom w:w="30" w:type="dxa"/>
              <w:right w:w="20" w:type="dxa"/>
            </w:tcMar>
            <w:vAlign w:val="bottom"/>
            <w:hideMark/>
          </w:tcPr>
          <w:p w14:paraId="6725780E"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37B99FD"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7CF3DC6" w14:textId="77777777" w:rsidR="00000000" w:rsidRDefault="00C1661D">
            <w:pPr>
              <w:spacing w:after="100"/>
              <w:rPr>
                <w:rFonts w:eastAsia="Times New Roman"/>
              </w:rPr>
            </w:pPr>
            <w:r>
              <w:rPr>
                <w:rFonts w:eastAsia="Times New Roman"/>
                <w:color w:val="000000"/>
                <w:sz w:val="20"/>
                <w:szCs w:val="20"/>
              </w:rPr>
              <w:t> </w:t>
            </w:r>
          </w:p>
        </w:tc>
      </w:tr>
      <w:tr w:rsidR="00000000" w14:paraId="03B7C788" w14:textId="77777777">
        <w:trPr>
          <w:jc w:val="center"/>
        </w:trPr>
        <w:tc>
          <w:tcPr>
            <w:tcW w:w="0" w:type="auto"/>
            <w:gridSpan w:val="3"/>
            <w:shd w:val="clear" w:color="auto" w:fill="CCEEFF"/>
            <w:tcMar>
              <w:top w:w="30" w:type="dxa"/>
              <w:left w:w="155" w:type="dxa"/>
              <w:bottom w:w="30" w:type="dxa"/>
              <w:right w:w="20" w:type="dxa"/>
            </w:tcMar>
            <w:vAlign w:val="bottom"/>
            <w:hideMark/>
          </w:tcPr>
          <w:p w14:paraId="406212FC" w14:textId="77777777" w:rsidR="00000000" w:rsidRDefault="00C1661D">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0D7F2E5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322269C" w14:textId="77777777" w:rsidR="00000000" w:rsidRDefault="00C1661D">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3030087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C07B64"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4A88D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706DF4" w14:textId="77777777" w:rsidR="00000000" w:rsidRDefault="00C1661D">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5E371F47" w14:textId="77777777" w:rsidR="00000000" w:rsidRDefault="00C1661D">
            <w:pPr>
              <w:spacing w:after="100"/>
              <w:jc w:val="right"/>
              <w:rPr>
                <w:rFonts w:eastAsia="Times New Roman"/>
              </w:rPr>
            </w:pPr>
          </w:p>
        </w:tc>
      </w:tr>
      <w:tr w:rsidR="00000000" w14:paraId="19171DA0" w14:textId="77777777">
        <w:trPr>
          <w:jc w:val="center"/>
        </w:trPr>
        <w:tc>
          <w:tcPr>
            <w:tcW w:w="0" w:type="auto"/>
            <w:gridSpan w:val="3"/>
            <w:shd w:val="clear" w:color="auto" w:fill="FFFFFF"/>
            <w:tcMar>
              <w:top w:w="30" w:type="dxa"/>
              <w:left w:w="155" w:type="dxa"/>
              <w:bottom w:w="30" w:type="dxa"/>
              <w:right w:w="20" w:type="dxa"/>
            </w:tcMar>
            <w:vAlign w:val="bottom"/>
            <w:hideMark/>
          </w:tcPr>
          <w:p w14:paraId="3C6E4CA0" w14:textId="77777777" w:rsidR="00000000" w:rsidRDefault="00C1661D">
            <w:pPr>
              <w:spacing w:after="100"/>
              <w:rPr>
                <w:rFonts w:eastAsia="Times New Roman"/>
              </w:rPr>
            </w:pPr>
            <w:r>
              <w:rPr>
                <w:rFonts w:eastAsia="Times New Roman"/>
                <w:color w:val="000000"/>
                <w:sz w:val="20"/>
                <w:szCs w:val="20"/>
              </w:rPr>
              <w:t>Accounts receivable – related parties</w:t>
            </w:r>
          </w:p>
        </w:tc>
        <w:tc>
          <w:tcPr>
            <w:tcW w:w="0" w:type="auto"/>
            <w:gridSpan w:val="2"/>
            <w:shd w:val="clear" w:color="auto" w:fill="FFFFFF"/>
            <w:tcMar>
              <w:top w:w="30" w:type="dxa"/>
              <w:left w:w="20" w:type="dxa"/>
              <w:bottom w:w="30" w:type="dxa"/>
              <w:right w:w="0" w:type="dxa"/>
            </w:tcMar>
            <w:vAlign w:val="bottom"/>
            <w:hideMark/>
          </w:tcPr>
          <w:p w14:paraId="6E7E7402" w14:textId="77777777" w:rsidR="00000000" w:rsidRDefault="00C1661D">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0435616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E726E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CC4E5F" w14:textId="77777777" w:rsidR="00000000" w:rsidRDefault="00C1661D">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3CE78647" w14:textId="77777777" w:rsidR="00000000" w:rsidRDefault="00C1661D">
            <w:pPr>
              <w:spacing w:after="100"/>
              <w:jc w:val="right"/>
              <w:rPr>
                <w:rFonts w:eastAsia="Times New Roman"/>
              </w:rPr>
            </w:pPr>
          </w:p>
        </w:tc>
      </w:tr>
      <w:tr w:rsidR="00000000" w14:paraId="7DDA6F13" w14:textId="77777777">
        <w:trPr>
          <w:jc w:val="center"/>
        </w:trPr>
        <w:tc>
          <w:tcPr>
            <w:tcW w:w="0" w:type="auto"/>
            <w:gridSpan w:val="3"/>
            <w:shd w:val="clear" w:color="auto" w:fill="CCEEFF"/>
            <w:tcMar>
              <w:top w:w="30" w:type="dxa"/>
              <w:left w:w="155" w:type="dxa"/>
              <w:bottom w:w="30" w:type="dxa"/>
              <w:right w:w="20" w:type="dxa"/>
            </w:tcMar>
            <w:vAlign w:val="bottom"/>
            <w:hideMark/>
          </w:tcPr>
          <w:p w14:paraId="26D82FB6" w14:textId="77777777" w:rsidR="00000000" w:rsidRDefault="00C1661D">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14:paraId="4EAB0F84" w14:textId="77777777" w:rsidR="00000000" w:rsidRDefault="00C1661D">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137F0FD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8FC9F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43727B" w14:textId="77777777" w:rsidR="00000000" w:rsidRDefault="00C1661D">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4D8B8E2F" w14:textId="77777777" w:rsidR="00000000" w:rsidRDefault="00C1661D">
            <w:pPr>
              <w:spacing w:after="100"/>
              <w:jc w:val="right"/>
              <w:rPr>
                <w:rFonts w:eastAsia="Times New Roman"/>
              </w:rPr>
            </w:pPr>
          </w:p>
        </w:tc>
      </w:tr>
      <w:tr w:rsidR="00000000" w14:paraId="04ACDAF8" w14:textId="77777777">
        <w:trPr>
          <w:jc w:val="center"/>
        </w:trPr>
        <w:tc>
          <w:tcPr>
            <w:tcW w:w="0" w:type="auto"/>
            <w:gridSpan w:val="3"/>
            <w:shd w:val="clear" w:color="auto" w:fill="FFFFFF"/>
            <w:tcMar>
              <w:top w:w="30" w:type="dxa"/>
              <w:left w:w="380" w:type="dxa"/>
              <w:bottom w:w="30" w:type="dxa"/>
              <w:right w:w="20" w:type="dxa"/>
            </w:tcMar>
            <w:vAlign w:val="bottom"/>
            <w:hideMark/>
          </w:tcPr>
          <w:p w14:paraId="3FE4201E" w14:textId="77777777" w:rsidR="00000000" w:rsidRDefault="00C1661D">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B0EE40" w14:textId="77777777" w:rsidR="00000000" w:rsidRDefault="00C1661D">
            <w:pPr>
              <w:spacing w:after="100"/>
              <w:jc w:val="right"/>
              <w:rPr>
                <w:rFonts w:eastAsia="Times New Roman"/>
              </w:rPr>
            </w:pPr>
            <w:r>
              <w:rPr>
                <w:rFonts w:eastAsia="Times New Roman"/>
                <w:color w:val="000000"/>
                <w:sz w:val="20"/>
                <w:szCs w:val="20"/>
              </w:rPr>
              <w:t>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B0CE6F"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C7993"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00E2FC" w14:textId="77777777" w:rsidR="00000000" w:rsidRDefault="00C1661D">
            <w:pPr>
              <w:spacing w:after="100"/>
              <w:jc w:val="right"/>
              <w:rPr>
                <w:rFonts w:eastAsia="Times New Roman"/>
              </w:rPr>
            </w:pPr>
            <w:r>
              <w:rPr>
                <w:rFonts w:eastAsia="Times New Roman"/>
                <w:color w:val="000000"/>
                <w:sz w:val="20"/>
                <w:szCs w:val="20"/>
              </w:rPr>
              <w:t>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108436" w14:textId="77777777" w:rsidR="00000000" w:rsidRDefault="00C1661D">
            <w:pPr>
              <w:spacing w:after="100"/>
              <w:jc w:val="right"/>
              <w:rPr>
                <w:rFonts w:eastAsia="Times New Roman"/>
              </w:rPr>
            </w:pPr>
          </w:p>
        </w:tc>
      </w:tr>
      <w:tr w:rsidR="00000000" w14:paraId="087C6124" w14:textId="77777777">
        <w:trPr>
          <w:jc w:val="center"/>
        </w:trPr>
        <w:tc>
          <w:tcPr>
            <w:tcW w:w="0" w:type="auto"/>
            <w:gridSpan w:val="3"/>
            <w:shd w:val="clear" w:color="auto" w:fill="CCEEFF"/>
            <w:tcMar>
              <w:top w:w="30" w:type="dxa"/>
              <w:left w:w="20" w:type="dxa"/>
              <w:bottom w:w="30" w:type="dxa"/>
              <w:right w:w="20" w:type="dxa"/>
            </w:tcMar>
            <w:vAlign w:val="bottom"/>
            <w:hideMark/>
          </w:tcPr>
          <w:p w14:paraId="76591D47" w14:textId="77777777" w:rsidR="00000000" w:rsidRDefault="00C1661D">
            <w:pPr>
              <w:spacing w:after="100"/>
              <w:rPr>
                <w:rFonts w:eastAsia="Times New Roman"/>
              </w:rPr>
            </w:pPr>
            <w:r>
              <w:rPr>
                <w:rFonts w:eastAsia="Times New Roman"/>
                <w:color w:val="000000"/>
                <w:sz w:val="20"/>
                <w:szCs w:val="20"/>
              </w:rPr>
              <w:t>Property, plant and equipment, net</w:t>
            </w:r>
          </w:p>
        </w:tc>
        <w:tc>
          <w:tcPr>
            <w:tcW w:w="0" w:type="auto"/>
            <w:gridSpan w:val="2"/>
            <w:shd w:val="clear" w:color="auto" w:fill="CCEEFF"/>
            <w:tcMar>
              <w:top w:w="30" w:type="dxa"/>
              <w:left w:w="20" w:type="dxa"/>
              <w:bottom w:w="30" w:type="dxa"/>
              <w:right w:w="0" w:type="dxa"/>
            </w:tcMar>
            <w:vAlign w:val="bottom"/>
            <w:hideMark/>
          </w:tcPr>
          <w:p w14:paraId="53C52E0B" w14:textId="77777777" w:rsidR="00000000" w:rsidRDefault="00C1661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4E84429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FACE6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CE2150"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40E0BB40" w14:textId="77777777" w:rsidR="00000000" w:rsidRDefault="00C1661D">
            <w:pPr>
              <w:spacing w:after="100"/>
              <w:jc w:val="right"/>
              <w:rPr>
                <w:rFonts w:eastAsia="Times New Roman"/>
              </w:rPr>
            </w:pPr>
          </w:p>
        </w:tc>
      </w:tr>
      <w:tr w:rsidR="00000000" w14:paraId="49BF3D9F" w14:textId="77777777">
        <w:trPr>
          <w:jc w:val="center"/>
        </w:trPr>
        <w:tc>
          <w:tcPr>
            <w:tcW w:w="0" w:type="auto"/>
            <w:gridSpan w:val="3"/>
            <w:shd w:val="clear" w:color="auto" w:fill="FFFFFF"/>
            <w:tcMar>
              <w:top w:w="30" w:type="dxa"/>
              <w:left w:w="20" w:type="dxa"/>
              <w:bottom w:w="30" w:type="dxa"/>
              <w:right w:w="20" w:type="dxa"/>
            </w:tcMar>
            <w:vAlign w:val="bottom"/>
            <w:hideMark/>
          </w:tcPr>
          <w:p w14:paraId="26A76238" w14:textId="77777777" w:rsidR="00000000" w:rsidRDefault="00C1661D">
            <w:pPr>
              <w:spacing w:after="100"/>
              <w:rPr>
                <w:rFonts w:eastAsia="Times New Roman"/>
              </w:rPr>
            </w:pPr>
            <w:r>
              <w:rPr>
                <w:rFonts w:eastAsia="Times New Roman"/>
                <w:color w:val="000000"/>
                <w:sz w:val="20"/>
                <w:szCs w:val="20"/>
              </w:rPr>
              <w:t>Investments in subsidiaries</w:t>
            </w:r>
          </w:p>
        </w:tc>
        <w:tc>
          <w:tcPr>
            <w:tcW w:w="0" w:type="auto"/>
            <w:gridSpan w:val="2"/>
            <w:shd w:val="clear" w:color="auto" w:fill="FFFFFF"/>
            <w:tcMar>
              <w:top w:w="30" w:type="dxa"/>
              <w:left w:w="20" w:type="dxa"/>
              <w:bottom w:w="30" w:type="dxa"/>
              <w:right w:w="0" w:type="dxa"/>
            </w:tcMar>
            <w:vAlign w:val="bottom"/>
            <w:hideMark/>
          </w:tcPr>
          <w:p w14:paraId="7E6FC466" w14:textId="77777777" w:rsidR="00000000" w:rsidRDefault="00C1661D">
            <w:pPr>
              <w:spacing w:after="100"/>
              <w:jc w:val="right"/>
              <w:rPr>
                <w:rFonts w:eastAsia="Times New Roman"/>
              </w:rPr>
            </w:pPr>
            <w:r>
              <w:rPr>
                <w:rFonts w:eastAsia="Times New Roman"/>
                <w:color w:val="000000"/>
                <w:sz w:val="20"/>
                <w:szCs w:val="20"/>
              </w:rPr>
              <w:t>7,035 </w:t>
            </w:r>
          </w:p>
        </w:tc>
        <w:tc>
          <w:tcPr>
            <w:tcW w:w="0" w:type="auto"/>
            <w:shd w:val="clear" w:color="auto" w:fill="FFFFFF"/>
            <w:tcMar>
              <w:top w:w="30" w:type="dxa"/>
              <w:left w:w="0" w:type="dxa"/>
              <w:bottom w:w="30" w:type="dxa"/>
              <w:right w:w="20" w:type="dxa"/>
            </w:tcMar>
            <w:vAlign w:val="bottom"/>
            <w:hideMark/>
          </w:tcPr>
          <w:p w14:paraId="20CE76E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B3C9C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5136BB" w14:textId="77777777" w:rsidR="00000000" w:rsidRDefault="00C1661D">
            <w:pPr>
              <w:spacing w:after="100"/>
              <w:jc w:val="right"/>
              <w:rPr>
                <w:rFonts w:eastAsia="Times New Roman"/>
              </w:rPr>
            </w:pPr>
            <w:r>
              <w:rPr>
                <w:rFonts w:eastAsia="Times New Roman"/>
                <w:color w:val="000000"/>
                <w:sz w:val="20"/>
                <w:szCs w:val="20"/>
              </w:rPr>
              <w:t>6,479 </w:t>
            </w:r>
          </w:p>
        </w:tc>
        <w:tc>
          <w:tcPr>
            <w:tcW w:w="0" w:type="auto"/>
            <w:shd w:val="clear" w:color="auto" w:fill="FFFFFF"/>
            <w:tcMar>
              <w:top w:w="30" w:type="dxa"/>
              <w:left w:w="0" w:type="dxa"/>
              <w:bottom w:w="30" w:type="dxa"/>
              <w:right w:w="20" w:type="dxa"/>
            </w:tcMar>
            <w:vAlign w:val="bottom"/>
            <w:hideMark/>
          </w:tcPr>
          <w:p w14:paraId="65AD706F" w14:textId="77777777" w:rsidR="00000000" w:rsidRDefault="00C1661D">
            <w:pPr>
              <w:spacing w:after="100"/>
              <w:jc w:val="right"/>
              <w:rPr>
                <w:rFonts w:eastAsia="Times New Roman"/>
              </w:rPr>
            </w:pPr>
          </w:p>
        </w:tc>
      </w:tr>
      <w:tr w:rsidR="00000000" w14:paraId="1B659518" w14:textId="77777777">
        <w:trPr>
          <w:jc w:val="center"/>
        </w:trPr>
        <w:tc>
          <w:tcPr>
            <w:tcW w:w="0" w:type="auto"/>
            <w:gridSpan w:val="3"/>
            <w:vAlign w:val="center"/>
            <w:hideMark/>
          </w:tcPr>
          <w:p w14:paraId="48ABDACC" w14:textId="77777777" w:rsidR="00000000" w:rsidRDefault="00C1661D">
            <w:pPr>
              <w:spacing w:after="100"/>
              <w:jc w:val="right"/>
              <w:rPr>
                <w:rFonts w:eastAsia="Times New Roman"/>
                <w:sz w:val="20"/>
                <w:szCs w:val="20"/>
              </w:rPr>
            </w:pPr>
          </w:p>
        </w:tc>
        <w:tc>
          <w:tcPr>
            <w:tcW w:w="0" w:type="auto"/>
            <w:gridSpan w:val="3"/>
            <w:vAlign w:val="center"/>
            <w:hideMark/>
          </w:tcPr>
          <w:p w14:paraId="03F59C61" w14:textId="77777777" w:rsidR="00000000" w:rsidRDefault="00C1661D">
            <w:pPr>
              <w:spacing w:after="100"/>
              <w:rPr>
                <w:rFonts w:eastAsia="Times New Roman"/>
                <w:sz w:val="20"/>
                <w:szCs w:val="20"/>
              </w:rPr>
            </w:pPr>
          </w:p>
        </w:tc>
        <w:tc>
          <w:tcPr>
            <w:tcW w:w="0" w:type="auto"/>
            <w:gridSpan w:val="3"/>
            <w:vAlign w:val="center"/>
            <w:hideMark/>
          </w:tcPr>
          <w:p w14:paraId="007CE7AB" w14:textId="77777777" w:rsidR="00000000" w:rsidRDefault="00C1661D">
            <w:pPr>
              <w:spacing w:after="100"/>
              <w:rPr>
                <w:rFonts w:eastAsia="Times New Roman"/>
                <w:sz w:val="20"/>
                <w:szCs w:val="20"/>
              </w:rPr>
            </w:pPr>
          </w:p>
        </w:tc>
        <w:tc>
          <w:tcPr>
            <w:tcW w:w="0" w:type="auto"/>
            <w:gridSpan w:val="3"/>
            <w:vAlign w:val="center"/>
            <w:hideMark/>
          </w:tcPr>
          <w:p w14:paraId="52D047F6" w14:textId="77777777" w:rsidR="00000000" w:rsidRDefault="00C1661D">
            <w:pPr>
              <w:spacing w:after="100"/>
              <w:rPr>
                <w:rFonts w:eastAsia="Times New Roman"/>
                <w:sz w:val="20"/>
                <w:szCs w:val="20"/>
              </w:rPr>
            </w:pPr>
          </w:p>
        </w:tc>
      </w:tr>
      <w:tr w:rsidR="00000000" w14:paraId="76C74728" w14:textId="77777777">
        <w:trPr>
          <w:jc w:val="center"/>
        </w:trPr>
        <w:tc>
          <w:tcPr>
            <w:tcW w:w="0" w:type="auto"/>
            <w:gridSpan w:val="3"/>
            <w:shd w:val="clear" w:color="auto" w:fill="CCEEFF"/>
            <w:tcMar>
              <w:top w:w="30" w:type="dxa"/>
              <w:left w:w="20" w:type="dxa"/>
              <w:bottom w:w="30" w:type="dxa"/>
              <w:right w:w="20" w:type="dxa"/>
            </w:tcMar>
            <w:vAlign w:val="bottom"/>
            <w:hideMark/>
          </w:tcPr>
          <w:p w14:paraId="231567CD" w14:textId="77777777" w:rsidR="00000000" w:rsidRDefault="00C1661D">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073BF227" w14:textId="77777777" w:rsidR="00000000" w:rsidRDefault="00C1661D">
            <w:pPr>
              <w:spacing w:after="100"/>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14:paraId="21C56B0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A6DEFB"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C4FFF3" w14:textId="77777777" w:rsidR="00000000" w:rsidRDefault="00C1661D">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14:paraId="219BF308" w14:textId="77777777" w:rsidR="00000000" w:rsidRDefault="00C1661D">
            <w:pPr>
              <w:spacing w:after="100"/>
              <w:jc w:val="right"/>
              <w:rPr>
                <w:rFonts w:eastAsia="Times New Roman"/>
              </w:rPr>
            </w:pPr>
          </w:p>
        </w:tc>
      </w:tr>
      <w:tr w:rsidR="00000000" w14:paraId="0481CAEB" w14:textId="77777777">
        <w:trPr>
          <w:jc w:val="center"/>
        </w:trPr>
        <w:tc>
          <w:tcPr>
            <w:tcW w:w="0" w:type="auto"/>
            <w:gridSpan w:val="3"/>
            <w:shd w:val="clear" w:color="auto" w:fill="FFFFFF"/>
            <w:tcMar>
              <w:top w:w="30" w:type="dxa"/>
              <w:left w:w="380" w:type="dxa"/>
              <w:bottom w:w="30" w:type="dxa"/>
              <w:right w:w="20" w:type="dxa"/>
            </w:tcMar>
            <w:vAlign w:val="bottom"/>
            <w:hideMark/>
          </w:tcPr>
          <w:p w14:paraId="5601ADC9" w14:textId="77777777" w:rsidR="00000000" w:rsidRDefault="00C1661D">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974D35C"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1DD3402" w14:textId="77777777" w:rsidR="00000000" w:rsidRDefault="00C1661D">
            <w:pPr>
              <w:spacing w:after="100"/>
              <w:jc w:val="right"/>
              <w:rPr>
                <w:rFonts w:eastAsia="Times New Roman"/>
              </w:rPr>
            </w:pPr>
            <w:r>
              <w:rPr>
                <w:rFonts w:eastAsia="Times New Roman"/>
                <w:color w:val="000000"/>
                <w:sz w:val="20"/>
                <w:szCs w:val="20"/>
              </w:rPr>
              <w:t>7,197 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21046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B378F4"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733FAB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2507CE" w14:textId="77777777" w:rsidR="00000000" w:rsidRDefault="00C1661D">
            <w:pPr>
              <w:spacing w:after="100"/>
              <w:jc w:val="right"/>
              <w:rPr>
                <w:rFonts w:eastAsia="Times New Roman"/>
              </w:rPr>
            </w:pPr>
            <w:r>
              <w:rPr>
                <w:rFonts w:eastAsia="Times New Roman"/>
                <w:color w:val="000000"/>
                <w:sz w:val="20"/>
                <w:szCs w:val="20"/>
              </w:rPr>
              <w:t>6,631 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A949D3" w14:textId="77777777" w:rsidR="00000000" w:rsidRDefault="00C1661D">
            <w:pPr>
              <w:spacing w:after="100"/>
              <w:jc w:val="right"/>
              <w:rPr>
                <w:rFonts w:eastAsia="Times New Roman"/>
              </w:rPr>
            </w:pPr>
          </w:p>
        </w:tc>
      </w:tr>
      <w:tr w:rsidR="00000000" w14:paraId="6750391A" w14:textId="77777777">
        <w:trPr>
          <w:jc w:val="center"/>
        </w:trPr>
        <w:tc>
          <w:tcPr>
            <w:tcW w:w="0" w:type="auto"/>
            <w:gridSpan w:val="3"/>
            <w:shd w:val="clear" w:color="auto" w:fill="CCEEFF"/>
            <w:tcMar>
              <w:top w:w="30" w:type="dxa"/>
              <w:left w:w="20" w:type="dxa"/>
              <w:bottom w:w="30" w:type="dxa"/>
              <w:right w:w="20" w:type="dxa"/>
            </w:tcMar>
            <w:vAlign w:val="bottom"/>
            <w:hideMark/>
          </w:tcPr>
          <w:p w14:paraId="025253BF" w14:textId="77777777" w:rsidR="00000000" w:rsidRDefault="00C1661D">
            <w:pPr>
              <w:spacing w:after="100"/>
              <w:rPr>
                <w:rFonts w:eastAsia="Times New Roman"/>
              </w:rPr>
            </w:pPr>
            <w:r>
              <w:rPr>
                <w:rFonts w:eastAsia="Times New Roman"/>
                <w:b/>
                <w:bCs/>
                <w:color w:val="000000"/>
                <w:sz w:val="20"/>
                <w:szCs w:val="20"/>
              </w:rPr>
              <w:t>LIABILITIES AND COMMON STOCKHOLDERS’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B63669C"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F642633" w14:textId="77777777" w:rsidR="00000000" w:rsidRDefault="00C1661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01A2D7F" w14:textId="77777777" w:rsidR="00000000" w:rsidRDefault="00C1661D">
            <w:pPr>
              <w:spacing w:after="100"/>
              <w:rPr>
                <w:rFonts w:eastAsia="Times New Roman"/>
              </w:rPr>
            </w:pPr>
            <w:r>
              <w:rPr>
                <w:rFonts w:eastAsia="Times New Roman"/>
                <w:color w:val="000000"/>
                <w:sz w:val="20"/>
                <w:szCs w:val="20"/>
              </w:rPr>
              <w:t> </w:t>
            </w:r>
          </w:p>
        </w:tc>
      </w:tr>
      <w:tr w:rsidR="00000000" w14:paraId="6BE19DC9" w14:textId="77777777">
        <w:trPr>
          <w:jc w:val="center"/>
        </w:trPr>
        <w:tc>
          <w:tcPr>
            <w:tcW w:w="0" w:type="auto"/>
            <w:gridSpan w:val="3"/>
            <w:shd w:val="clear" w:color="auto" w:fill="FFFFFF"/>
            <w:tcMar>
              <w:top w:w="30" w:type="dxa"/>
              <w:left w:w="20" w:type="dxa"/>
              <w:bottom w:w="30" w:type="dxa"/>
              <w:right w:w="20" w:type="dxa"/>
            </w:tcMar>
            <w:vAlign w:val="bottom"/>
            <w:hideMark/>
          </w:tcPr>
          <w:p w14:paraId="0BAB7DBB" w14:textId="77777777" w:rsidR="00000000" w:rsidRDefault="00C1661D">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30" w:type="dxa"/>
              <w:left w:w="20" w:type="dxa"/>
              <w:bottom w:w="30" w:type="dxa"/>
              <w:right w:w="20" w:type="dxa"/>
            </w:tcMar>
            <w:vAlign w:val="bottom"/>
            <w:hideMark/>
          </w:tcPr>
          <w:p w14:paraId="4D0315E5"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A6BDD6B"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71A0293" w14:textId="77777777" w:rsidR="00000000" w:rsidRDefault="00C1661D">
            <w:pPr>
              <w:spacing w:after="100"/>
              <w:rPr>
                <w:rFonts w:eastAsia="Times New Roman"/>
              </w:rPr>
            </w:pPr>
            <w:r>
              <w:rPr>
                <w:rFonts w:eastAsia="Times New Roman"/>
                <w:color w:val="000000"/>
                <w:sz w:val="20"/>
                <w:szCs w:val="20"/>
              </w:rPr>
              <w:t> </w:t>
            </w:r>
          </w:p>
        </w:tc>
      </w:tr>
      <w:tr w:rsidR="00000000" w14:paraId="0172D15B" w14:textId="77777777">
        <w:trPr>
          <w:jc w:val="center"/>
        </w:trPr>
        <w:tc>
          <w:tcPr>
            <w:tcW w:w="0" w:type="auto"/>
            <w:gridSpan w:val="3"/>
            <w:shd w:val="clear" w:color="auto" w:fill="CCEEFF"/>
            <w:tcMar>
              <w:top w:w="30" w:type="dxa"/>
              <w:left w:w="155" w:type="dxa"/>
              <w:bottom w:w="30" w:type="dxa"/>
              <w:right w:w="20" w:type="dxa"/>
            </w:tcMar>
            <w:vAlign w:val="bottom"/>
            <w:hideMark/>
          </w:tcPr>
          <w:p w14:paraId="496F26CC" w14:textId="77777777" w:rsidR="00000000" w:rsidRDefault="00C1661D">
            <w:pPr>
              <w:spacing w:after="100"/>
              <w:rPr>
                <w:rFonts w:eastAsia="Times New Roman"/>
              </w:rPr>
            </w:pPr>
            <w:r>
              <w:rPr>
                <w:rFonts w:eastAsia="Times New Roman"/>
                <w:color w:val="000000"/>
                <w:sz w:val="20"/>
                <w:szCs w:val="20"/>
              </w:rPr>
              <w:t>Current maturities of long-term debt</w:t>
            </w:r>
          </w:p>
        </w:tc>
        <w:tc>
          <w:tcPr>
            <w:tcW w:w="0" w:type="auto"/>
            <w:shd w:val="clear" w:color="auto" w:fill="CCEEFF"/>
            <w:tcMar>
              <w:top w:w="30" w:type="dxa"/>
              <w:left w:w="20" w:type="dxa"/>
              <w:bottom w:w="30" w:type="dxa"/>
              <w:right w:w="0" w:type="dxa"/>
            </w:tcMar>
            <w:vAlign w:val="bottom"/>
            <w:hideMark/>
          </w:tcPr>
          <w:p w14:paraId="483046D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F1A5AB4" w14:textId="77777777" w:rsidR="00000000" w:rsidRDefault="00C1661D">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14:paraId="311698D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F3184C"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AF7F66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B56CC5" w14:textId="77777777" w:rsidR="00000000" w:rsidRDefault="00C1661D">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14:paraId="5C1A8BD2" w14:textId="77777777" w:rsidR="00000000" w:rsidRDefault="00C1661D">
            <w:pPr>
              <w:spacing w:after="100"/>
              <w:jc w:val="right"/>
              <w:rPr>
                <w:rFonts w:eastAsia="Times New Roman"/>
              </w:rPr>
            </w:pPr>
          </w:p>
        </w:tc>
      </w:tr>
      <w:tr w:rsidR="00000000" w14:paraId="1B061DF6" w14:textId="77777777">
        <w:trPr>
          <w:jc w:val="center"/>
        </w:trPr>
        <w:tc>
          <w:tcPr>
            <w:tcW w:w="0" w:type="auto"/>
            <w:gridSpan w:val="3"/>
            <w:shd w:val="clear" w:color="auto" w:fill="FFFFFF"/>
            <w:tcMar>
              <w:top w:w="30" w:type="dxa"/>
              <w:left w:w="155" w:type="dxa"/>
              <w:bottom w:w="30" w:type="dxa"/>
              <w:right w:w="20" w:type="dxa"/>
            </w:tcMar>
            <w:vAlign w:val="bottom"/>
            <w:hideMark/>
          </w:tcPr>
          <w:p w14:paraId="2CD65046" w14:textId="77777777" w:rsidR="00000000" w:rsidRDefault="00C1661D">
            <w:pPr>
              <w:spacing w:after="100"/>
              <w:rPr>
                <w:rFonts w:eastAsia="Times New Roman"/>
              </w:rPr>
            </w:pPr>
            <w:r>
              <w:rPr>
                <w:rFonts w:eastAsia="Times New Roman"/>
                <w:color w:val="000000"/>
                <w:sz w:val="20"/>
                <w:szCs w:val="20"/>
              </w:rPr>
              <w:t>Accounts and notes payable</w:t>
            </w:r>
          </w:p>
        </w:tc>
        <w:tc>
          <w:tcPr>
            <w:tcW w:w="0" w:type="auto"/>
            <w:gridSpan w:val="2"/>
            <w:shd w:val="clear" w:color="auto" w:fill="FFFFFF"/>
            <w:tcMar>
              <w:top w:w="30" w:type="dxa"/>
              <w:left w:w="20" w:type="dxa"/>
              <w:bottom w:w="30" w:type="dxa"/>
              <w:right w:w="0" w:type="dxa"/>
            </w:tcMar>
            <w:vAlign w:val="bottom"/>
            <w:hideMark/>
          </w:tcPr>
          <w:p w14:paraId="34D25A75" w14:textId="77777777" w:rsidR="00000000" w:rsidRDefault="00C1661D">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04E5155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7113E5"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15137F" w14:textId="77777777" w:rsidR="00000000" w:rsidRDefault="00C1661D">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37999C18" w14:textId="77777777" w:rsidR="00000000" w:rsidRDefault="00C1661D">
            <w:pPr>
              <w:spacing w:after="100"/>
              <w:jc w:val="right"/>
              <w:rPr>
                <w:rFonts w:eastAsia="Times New Roman"/>
              </w:rPr>
            </w:pPr>
          </w:p>
        </w:tc>
      </w:tr>
      <w:tr w:rsidR="00000000" w14:paraId="31772C37" w14:textId="77777777">
        <w:trPr>
          <w:jc w:val="center"/>
        </w:trPr>
        <w:tc>
          <w:tcPr>
            <w:tcW w:w="0" w:type="auto"/>
            <w:gridSpan w:val="3"/>
            <w:vAlign w:val="center"/>
            <w:hideMark/>
          </w:tcPr>
          <w:p w14:paraId="54B826A8" w14:textId="77777777" w:rsidR="00000000" w:rsidRDefault="00C1661D">
            <w:pPr>
              <w:spacing w:after="100"/>
              <w:jc w:val="right"/>
              <w:rPr>
                <w:rFonts w:eastAsia="Times New Roman"/>
                <w:sz w:val="20"/>
                <w:szCs w:val="20"/>
              </w:rPr>
            </w:pPr>
          </w:p>
        </w:tc>
        <w:tc>
          <w:tcPr>
            <w:tcW w:w="0" w:type="auto"/>
            <w:gridSpan w:val="3"/>
            <w:vAlign w:val="center"/>
            <w:hideMark/>
          </w:tcPr>
          <w:p w14:paraId="37AFCF07" w14:textId="77777777" w:rsidR="00000000" w:rsidRDefault="00C1661D">
            <w:pPr>
              <w:spacing w:after="100"/>
              <w:rPr>
                <w:rFonts w:eastAsia="Times New Roman"/>
                <w:sz w:val="20"/>
                <w:szCs w:val="20"/>
              </w:rPr>
            </w:pPr>
          </w:p>
        </w:tc>
        <w:tc>
          <w:tcPr>
            <w:tcW w:w="0" w:type="auto"/>
            <w:gridSpan w:val="3"/>
            <w:vAlign w:val="center"/>
            <w:hideMark/>
          </w:tcPr>
          <w:p w14:paraId="6EA60AC5" w14:textId="77777777" w:rsidR="00000000" w:rsidRDefault="00C1661D">
            <w:pPr>
              <w:spacing w:after="100"/>
              <w:rPr>
                <w:rFonts w:eastAsia="Times New Roman"/>
                <w:sz w:val="20"/>
                <w:szCs w:val="20"/>
              </w:rPr>
            </w:pPr>
          </w:p>
        </w:tc>
        <w:tc>
          <w:tcPr>
            <w:tcW w:w="0" w:type="auto"/>
            <w:gridSpan w:val="3"/>
            <w:vAlign w:val="center"/>
            <w:hideMark/>
          </w:tcPr>
          <w:p w14:paraId="72F80F7D" w14:textId="77777777" w:rsidR="00000000" w:rsidRDefault="00C1661D">
            <w:pPr>
              <w:spacing w:after="100"/>
              <w:rPr>
                <w:rFonts w:eastAsia="Times New Roman"/>
                <w:sz w:val="20"/>
                <w:szCs w:val="20"/>
              </w:rPr>
            </w:pPr>
          </w:p>
        </w:tc>
      </w:tr>
      <w:tr w:rsidR="00000000" w14:paraId="3CBB75C5" w14:textId="77777777">
        <w:trPr>
          <w:jc w:val="center"/>
        </w:trPr>
        <w:tc>
          <w:tcPr>
            <w:tcW w:w="0" w:type="auto"/>
            <w:gridSpan w:val="3"/>
            <w:shd w:val="clear" w:color="auto" w:fill="CCEEFF"/>
            <w:tcMar>
              <w:top w:w="30" w:type="dxa"/>
              <w:left w:w="155" w:type="dxa"/>
              <w:bottom w:w="30" w:type="dxa"/>
              <w:right w:w="20" w:type="dxa"/>
            </w:tcMar>
            <w:vAlign w:val="bottom"/>
            <w:hideMark/>
          </w:tcPr>
          <w:p w14:paraId="43E812EC" w14:textId="77777777" w:rsidR="00000000" w:rsidRDefault="00C1661D">
            <w:pPr>
              <w:spacing w:after="100"/>
              <w:rPr>
                <w:rFonts w:eastAsia="Times New Roman"/>
              </w:rPr>
            </w:pPr>
            <w:r>
              <w:rPr>
                <w:rFonts w:eastAsia="Times New Roman"/>
                <w:color w:val="000000"/>
                <w:sz w:val="20"/>
                <w:szCs w:val="20"/>
              </w:rPr>
              <w:t>Accrued liabilities</w:t>
            </w:r>
          </w:p>
        </w:tc>
        <w:tc>
          <w:tcPr>
            <w:tcW w:w="0" w:type="auto"/>
            <w:gridSpan w:val="2"/>
            <w:shd w:val="clear" w:color="auto" w:fill="CCEEFF"/>
            <w:tcMar>
              <w:top w:w="30" w:type="dxa"/>
              <w:left w:w="20" w:type="dxa"/>
              <w:bottom w:w="30" w:type="dxa"/>
              <w:right w:w="0" w:type="dxa"/>
            </w:tcMar>
            <w:vAlign w:val="bottom"/>
            <w:hideMark/>
          </w:tcPr>
          <w:p w14:paraId="392AB283" w14:textId="77777777" w:rsidR="00000000" w:rsidRDefault="00C1661D">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14:paraId="360F301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B3EC4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7BE2B7" w14:textId="77777777" w:rsidR="00000000" w:rsidRDefault="00C1661D">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14:paraId="0FB5639F" w14:textId="77777777" w:rsidR="00000000" w:rsidRDefault="00C1661D">
            <w:pPr>
              <w:spacing w:after="100"/>
              <w:jc w:val="right"/>
              <w:rPr>
                <w:rFonts w:eastAsia="Times New Roman"/>
              </w:rPr>
            </w:pPr>
          </w:p>
        </w:tc>
      </w:tr>
      <w:tr w:rsidR="00000000" w14:paraId="4F67DAE1" w14:textId="77777777">
        <w:trPr>
          <w:jc w:val="center"/>
        </w:trPr>
        <w:tc>
          <w:tcPr>
            <w:tcW w:w="0" w:type="auto"/>
            <w:gridSpan w:val="3"/>
            <w:shd w:val="clear" w:color="auto" w:fill="FFFFFF"/>
            <w:tcMar>
              <w:top w:w="30" w:type="dxa"/>
              <w:left w:w="380" w:type="dxa"/>
              <w:bottom w:w="30" w:type="dxa"/>
              <w:right w:w="20" w:type="dxa"/>
            </w:tcMar>
            <w:vAlign w:val="bottom"/>
            <w:hideMark/>
          </w:tcPr>
          <w:p w14:paraId="7EA1EA71" w14:textId="77777777" w:rsidR="00000000" w:rsidRDefault="00C1661D">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ABF620" w14:textId="77777777" w:rsidR="00000000" w:rsidRDefault="00C1661D">
            <w:pPr>
              <w:spacing w:after="100"/>
              <w:jc w:val="right"/>
              <w:rPr>
                <w:rFonts w:eastAsia="Times New Roman"/>
              </w:rPr>
            </w:pPr>
            <w:r>
              <w:rPr>
                <w:rFonts w:eastAsia="Times New Roman"/>
                <w:color w:val="000000"/>
                <w:sz w:val="20"/>
                <w:szCs w:val="20"/>
              </w:rPr>
              <w:t>196 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0DF3E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51D8CD"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F71734" w14:textId="77777777" w:rsidR="00000000" w:rsidRDefault="00C1661D">
            <w:pPr>
              <w:spacing w:after="100"/>
              <w:jc w:val="right"/>
              <w:rPr>
                <w:rFonts w:eastAsia="Times New Roman"/>
              </w:rPr>
            </w:pPr>
            <w:r>
              <w:rPr>
                <w:rFonts w:eastAsia="Times New Roman"/>
                <w:color w:val="000000"/>
                <w:sz w:val="20"/>
                <w:szCs w:val="20"/>
              </w:rPr>
              <w:t>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41DA7D" w14:textId="77777777" w:rsidR="00000000" w:rsidRDefault="00C1661D">
            <w:pPr>
              <w:spacing w:after="100"/>
              <w:jc w:val="right"/>
              <w:rPr>
                <w:rFonts w:eastAsia="Times New Roman"/>
              </w:rPr>
            </w:pPr>
          </w:p>
        </w:tc>
      </w:tr>
      <w:tr w:rsidR="00000000" w14:paraId="15FB3F83" w14:textId="77777777">
        <w:trPr>
          <w:jc w:val="center"/>
        </w:trPr>
        <w:tc>
          <w:tcPr>
            <w:tcW w:w="0" w:type="auto"/>
            <w:gridSpan w:val="3"/>
            <w:shd w:val="clear" w:color="auto" w:fill="CCEEFF"/>
            <w:tcMar>
              <w:top w:w="30" w:type="dxa"/>
              <w:left w:w="20" w:type="dxa"/>
              <w:bottom w:w="30" w:type="dxa"/>
              <w:right w:w="20" w:type="dxa"/>
            </w:tcMar>
            <w:vAlign w:val="bottom"/>
            <w:hideMark/>
          </w:tcPr>
          <w:p w14:paraId="5E44D209" w14:textId="77777777" w:rsidR="00000000" w:rsidRDefault="00C1661D">
            <w:pPr>
              <w:spacing w:after="100"/>
              <w:rPr>
                <w:rFonts w:eastAsia="Times New Roman"/>
              </w:rPr>
            </w:pPr>
            <w:r>
              <w:rPr>
                <w:rFonts w:eastAsia="Times New Roman"/>
                <w:color w:val="000000"/>
                <w:sz w:val="20"/>
                <w:szCs w:val="20"/>
              </w:rPr>
              <w:t>Long-term debt</w:t>
            </w:r>
          </w:p>
        </w:tc>
        <w:tc>
          <w:tcPr>
            <w:tcW w:w="0" w:type="auto"/>
            <w:gridSpan w:val="2"/>
            <w:shd w:val="clear" w:color="auto" w:fill="CCEEFF"/>
            <w:tcMar>
              <w:top w:w="30" w:type="dxa"/>
              <w:left w:w="20" w:type="dxa"/>
              <w:bottom w:w="30" w:type="dxa"/>
              <w:right w:w="0" w:type="dxa"/>
            </w:tcMar>
            <w:vAlign w:val="bottom"/>
            <w:hideMark/>
          </w:tcPr>
          <w:p w14:paraId="113A9D7B" w14:textId="77777777" w:rsidR="00000000" w:rsidRDefault="00C1661D">
            <w:pPr>
              <w:spacing w:after="100"/>
              <w:jc w:val="right"/>
              <w:rPr>
                <w:rFonts w:eastAsia="Times New Roman"/>
              </w:rPr>
            </w:pPr>
            <w:r>
              <w:rPr>
                <w:rFonts w:eastAsia="Times New Roman"/>
                <w:color w:val="000000"/>
                <w:sz w:val="20"/>
                <w:szCs w:val="20"/>
              </w:rPr>
              <w:t>889 </w:t>
            </w:r>
          </w:p>
        </w:tc>
        <w:tc>
          <w:tcPr>
            <w:tcW w:w="0" w:type="auto"/>
            <w:shd w:val="clear" w:color="auto" w:fill="CCEEFF"/>
            <w:tcMar>
              <w:top w:w="30" w:type="dxa"/>
              <w:left w:w="0" w:type="dxa"/>
              <w:bottom w:w="30" w:type="dxa"/>
              <w:right w:w="20" w:type="dxa"/>
            </w:tcMar>
            <w:vAlign w:val="bottom"/>
            <w:hideMark/>
          </w:tcPr>
          <w:p w14:paraId="10B834F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D524A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EAE4BE" w14:textId="77777777" w:rsidR="00000000" w:rsidRDefault="00C1661D">
            <w:pPr>
              <w:spacing w:after="100"/>
              <w:jc w:val="right"/>
              <w:rPr>
                <w:rFonts w:eastAsia="Times New Roman"/>
              </w:rPr>
            </w:pPr>
            <w:r>
              <w:rPr>
                <w:rFonts w:eastAsia="Times New Roman"/>
                <w:color w:val="000000"/>
                <w:sz w:val="20"/>
                <w:szCs w:val="20"/>
              </w:rPr>
              <w:t>875 </w:t>
            </w:r>
          </w:p>
        </w:tc>
        <w:tc>
          <w:tcPr>
            <w:tcW w:w="0" w:type="auto"/>
            <w:shd w:val="clear" w:color="auto" w:fill="CCEEFF"/>
            <w:tcMar>
              <w:top w:w="30" w:type="dxa"/>
              <w:left w:w="0" w:type="dxa"/>
              <w:bottom w:w="30" w:type="dxa"/>
              <w:right w:w="20" w:type="dxa"/>
            </w:tcMar>
            <w:vAlign w:val="bottom"/>
            <w:hideMark/>
          </w:tcPr>
          <w:p w14:paraId="3A5625F7" w14:textId="77777777" w:rsidR="00000000" w:rsidRDefault="00C1661D">
            <w:pPr>
              <w:spacing w:after="100"/>
              <w:jc w:val="right"/>
              <w:rPr>
                <w:rFonts w:eastAsia="Times New Roman"/>
              </w:rPr>
            </w:pPr>
          </w:p>
        </w:tc>
      </w:tr>
      <w:tr w:rsidR="00000000" w14:paraId="707DE7D6" w14:textId="77777777">
        <w:trPr>
          <w:jc w:val="center"/>
        </w:trPr>
        <w:tc>
          <w:tcPr>
            <w:tcW w:w="0" w:type="auto"/>
            <w:gridSpan w:val="3"/>
            <w:shd w:val="clear" w:color="auto" w:fill="FFFFFF"/>
            <w:tcMar>
              <w:top w:w="30" w:type="dxa"/>
              <w:left w:w="20" w:type="dxa"/>
              <w:bottom w:w="30" w:type="dxa"/>
              <w:right w:w="20" w:type="dxa"/>
            </w:tcMar>
            <w:vAlign w:val="bottom"/>
            <w:hideMark/>
          </w:tcPr>
          <w:p w14:paraId="62C042B4" w14:textId="77777777" w:rsidR="00000000" w:rsidRDefault="00C1661D">
            <w:pPr>
              <w:spacing w:after="100"/>
              <w:rPr>
                <w:rFonts w:eastAsia="Times New Roman"/>
              </w:rPr>
            </w:pPr>
            <w:r>
              <w:rPr>
                <w:rFonts w:eastAsia="Times New Roman"/>
                <w:color w:val="000000"/>
                <w:sz w:val="20"/>
                <w:szCs w:val="20"/>
              </w:rPr>
              <w:t>Other noncurrent liabilities</w:t>
            </w:r>
          </w:p>
        </w:tc>
        <w:tc>
          <w:tcPr>
            <w:tcW w:w="0" w:type="auto"/>
            <w:gridSpan w:val="2"/>
            <w:shd w:val="clear" w:color="auto" w:fill="FFFFFF"/>
            <w:tcMar>
              <w:top w:w="30" w:type="dxa"/>
              <w:left w:w="20" w:type="dxa"/>
              <w:bottom w:w="30" w:type="dxa"/>
              <w:right w:w="0" w:type="dxa"/>
            </w:tcMar>
            <w:vAlign w:val="bottom"/>
            <w:hideMark/>
          </w:tcPr>
          <w:p w14:paraId="04CBE37D" w14:textId="77777777" w:rsidR="00000000" w:rsidRDefault="00C1661D">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14:paraId="1CE2DBB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318B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A861F9" w14:textId="77777777" w:rsidR="00000000" w:rsidRDefault="00C1661D">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14:paraId="07C37576" w14:textId="77777777" w:rsidR="00000000" w:rsidRDefault="00C1661D">
            <w:pPr>
              <w:spacing w:after="100"/>
              <w:jc w:val="right"/>
              <w:rPr>
                <w:rFonts w:eastAsia="Times New Roman"/>
              </w:rPr>
            </w:pPr>
          </w:p>
        </w:tc>
      </w:tr>
      <w:tr w:rsidR="00000000" w14:paraId="59E508D3" w14:textId="77777777">
        <w:trPr>
          <w:jc w:val="center"/>
        </w:trPr>
        <w:tc>
          <w:tcPr>
            <w:tcW w:w="0" w:type="auto"/>
            <w:gridSpan w:val="3"/>
            <w:shd w:val="clear" w:color="auto" w:fill="CCEEFF"/>
            <w:tcMar>
              <w:top w:w="30" w:type="dxa"/>
              <w:left w:w="20" w:type="dxa"/>
              <w:bottom w:w="30" w:type="dxa"/>
              <w:right w:w="20" w:type="dxa"/>
            </w:tcMar>
            <w:vAlign w:val="bottom"/>
            <w:hideMark/>
          </w:tcPr>
          <w:p w14:paraId="2933F0E2" w14:textId="77777777" w:rsidR="00000000" w:rsidRDefault="00C1661D">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ACD68F" w14:textId="77777777" w:rsidR="00000000" w:rsidRDefault="00C1661D">
            <w:pPr>
              <w:spacing w:after="100"/>
              <w:jc w:val="right"/>
              <w:rPr>
                <w:rFonts w:eastAsia="Times New Roman"/>
              </w:rPr>
            </w:pPr>
            <w:r>
              <w:rPr>
                <w:rFonts w:eastAsia="Times New Roman"/>
                <w:color w:val="000000"/>
                <w:sz w:val="20"/>
                <w:szCs w:val="20"/>
              </w:rPr>
              <w:t>1,131 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AFF83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D29F76"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3C5C44" w14:textId="77777777" w:rsidR="00000000" w:rsidRDefault="00C1661D">
            <w:pPr>
              <w:spacing w:after="100"/>
              <w:jc w:val="right"/>
              <w:rPr>
                <w:rFonts w:eastAsia="Times New Roman"/>
              </w:rPr>
            </w:pPr>
            <w:r>
              <w:rPr>
                <w:rFonts w:eastAsia="Times New Roman"/>
                <w:color w:val="000000"/>
                <w:sz w:val="20"/>
                <w:szCs w:val="20"/>
              </w:rPr>
              <w:t>1,109 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AC73D9" w14:textId="77777777" w:rsidR="00000000" w:rsidRDefault="00C1661D">
            <w:pPr>
              <w:spacing w:after="100"/>
              <w:jc w:val="right"/>
              <w:rPr>
                <w:rFonts w:eastAsia="Times New Roman"/>
              </w:rPr>
            </w:pPr>
          </w:p>
        </w:tc>
      </w:tr>
      <w:tr w:rsidR="00000000" w14:paraId="43478642" w14:textId="77777777">
        <w:trPr>
          <w:jc w:val="center"/>
        </w:trPr>
        <w:tc>
          <w:tcPr>
            <w:tcW w:w="0" w:type="auto"/>
            <w:gridSpan w:val="3"/>
            <w:shd w:val="clear" w:color="auto" w:fill="FFFFFF"/>
            <w:tcMar>
              <w:top w:w="30" w:type="dxa"/>
              <w:left w:w="20" w:type="dxa"/>
              <w:bottom w:w="30" w:type="dxa"/>
              <w:right w:w="20" w:type="dxa"/>
            </w:tcMar>
            <w:vAlign w:val="bottom"/>
            <w:hideMark/>
          </w:tcPr>
          <w:p w14:paraId="42905AF2" w14:textId="77777777" w:rsidR="00000000" w:rsidRDefault="00C1661D">
            <w:pPr>
              <w:spacing w:after="100"/>
              <w:rPr>
                <w:rFonts w:eastAsia="Times New Roman"/>
              </w:rPr>
            </w:pPr>
            <w:r>
              <w:rPr>
                <w:rFonts w:eastAsia="Times New Roman"/>
                <w:color w:val="000000"/>
                <w:sz w:val="20"/>
                <w:szCs w:val="20"/>
              </w:rPr>
              <w:t>Commitments and contingencies (Note 1)</w:t>
            </w:r>
          </w:p>
        </w:tc>
        <w:tc>
          <w:tcPr>
            <w:tcW w:w="0" w:type="auto"/>
            <w:gridSpan w:val="3"/>
            <w:shd w:val="clear" w:color="auto" w:fill="FFFFFF"/>
            <w:tcMar>
              <w:top w:w="0" w:type="dxa"/>
              <w:left w:w="20" w:type="dxa"/>
              <w:bottom w:w="0" w:type="dxa"/>
              <w:right w:w="20" w:type="dxa"/>
            </w:tcMar>
            <w:vAlign w:val="center"/>
            <w:hideMark/>
          </w:tcPr>
          <w:p w14:paraId="36FDDD04"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14B9E5"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2C5F0E" w14:textId="77777777" w:rsidR="00000000" w:rsidRDefault="00C1661D">
            <w:pPr>
              <w:spacing w:after="100"/>
              <w:rPr>
                <w:rFonts w:eastAsia="Times New Roman"/>
                <w:sz w:val="20"/>
                <w:szCs w:val="20"/>
              </w:rPr>
            </w:pPr>
          </w:p>
        </w:tc>
      </w:tr>
      <w:tr w:rsidR="00000000" w14:paraId="1C4EE6C3" w14:textId="77777777">
        <w:trPr>
          <w:jc w:val="center"/>
        </w:trPr>
        <w:tc>
          <w:tcPr>
            <w:tcW w:w="0" w:type="auto"/>
            <w:gridSpan w:val="3"/>
            <w:shd w:val="clear" w:color="auto" w:fill="CCEEFF"/>
            <w:tcMar>
              <w:top w:w="30" w:type="dxa"/>
              <w:left w:w="20" w:type="dxa"/>
              <w:bottom w:w="30" w:type="dxa"/>
              <w:right w:w="20" w:type="dxa"/>
            </w:tcMar>
            <w:vAlign w:val="bottom"/>
            <w:hideMark/>
          </w:tcPr>
          <w:p w14:paraId="29F67A94" w14:textId="77777777" w:rsidR="00000000" w:rsidRDefault="00C1661D">
            <w:pPr>
              <w:spacing w:after="100"/>
              <w:rPr>
                <w:rFonts w:eastAsia="Times New Roman"/>
              </w:rPr>
            </w:pPr>
            <w:r>
              <w:rPr>
                <w:rFonts w:eastAsia="Times New Roman"/>
                <w:color w:val="000000"/>
                <w:sz w:val="20"/>
                <w:szCs w:val="20"/>
              </w:rPr>
              <w:t>Equity:</w:t>
            </w:r>
          </w:p>
        </w:tc>
        <w:tc>
          <w:tcPr>
            <w:tcW w:w="0" w:type="auto"/>
            <w:gridSpan w:val="3"/>
            <w:shd w:val="clear" w:color="auto" w:fill="CCEEFF"/>
            <w:tcMar>
              <w:top w:w="30" w:type="dxa"/>
              <w:left w:w="20" w:type="dxa"/>
              <w:bottom w:w="30" w:type="dxa"/>
              <w:right w:w="20" w:type="dxa"/>
            </w:tcMar>
            <w:vAlign w:val="bottom"/>
            <w:hideMark/>
          </w:tcPr>
          <w:p w14:paraId="6FC9491E"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806FD6F"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F3556C7" w14:textId="77777777" w:rsidR="00000000" w:rsidRDefault="00C1661D">
            <w:pPr>
              <w:spacing w:after="100"/>
              <w:rPr>
                <w:rFonts w:eastAsia="Times New Roman"/>
              </w:rPr>
            </w:pPr>
            <w:r>
              <w:rPr>
                <w:rFonts w:eastAsia="Times New Roman"/>
                <w:color w:val="000000"/>
                <w:sz w:val="20"/>
                <w:szCs w:val="20"/>
              </w:rPr>
              <w:t> </w:t>
            </w:r>
          </w:p>
        </w:tc>
      </w:tr>
      <w:tr w:rsidR="00000000" w14:paraId="57E87AA7" w14:textId="77777777">
        <w:trPr>
          <w:jc w:val="center"/>
        </w:trPr>
        <w:tc>
          <w:tcPr>
            <w:tcW w:w="0" w:type="auto"/>
            <w:gridSpan w:val="3"/>
            <w:shd w:val="clear" w:color="auto" w:fill="FFFFFF"/>
            <w:tcMar>
              <w:top w:w="30" w:type="dxa"/>
              <w:left w:w="20" w:type="dxa"/>
              <w:bottom w:w="30" w:type="dxa"/>
              <w:right w:w="20" w:type="dxa"/>
            </w:tcMar>
            <w:vAlign w:val="bottom"/>
            <w:hideMark/>
          </w:tcPr>
          <w:p w14:paraId="19F791D9" w14:textId="77777777" w:rsidR="00000000" w:rsidRDefault="00C1661D">
            <w:pPr>
              <w:spacing w:after="100"/>
              <w:divId w:val="110904699"/>
              <w:rPr>
                <w:rFonts w:eastAsia="Times New Roman"/>
              </w:rPr>
            </w:pPr>
            <w:r>
              <w:rPr>
                <w:rFonts w:eastAsia="Times New Roman"/>
                <w:color w:val="000000"/>
                <w:sz w:val="20"/>
                <w:szCs w:val="20"/>
              </w:rPr>
              <w:t>Preferred Stock, without par value (authorized - 5,000,000; issued - 220,000 and 220,000, respectively)</w:t>
            </w:r>
          </w:p>
        </w:tc>
        <w:tc>
          <w:tcPr>
            <w:tcW w:w="0" w:type="auto"/>
            <w:gridSpan w:val="2"/>
            <w:shd w:val="clear" w:color="auto" w:fill="FFFFFF"/>
            <w:tcMar>
              <w:top w:w="30" w:type="dxa"/>
              <w:left w:w="20" w:type="dxa"/>
              <w:bottom w:w="30" w:type="dxa"/>
              <w:right w:w="0" w:type="dxa"/>
            </w:tcMar>
            <w:vAlign w:val="bottom"/>
            <w:hideMark/>
          </w:tcPr>
          <w:p w14:paraId="49A2DE7D" w14:textId="77777777" w:rsidR="00000000" w:rsidRDefault="00C1661D">
            <w:pPr>
              <w:spacing w:after="100"/>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bottom"/>
            <w:hideMark/>
          </w:tcPr>
          <w:p w14:paraId="083E452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F46D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7DEBB2" w14:textId="77777777" w:rsidR="00000000" w:rsidRDefault="00C1661D">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14:paraId="26C7BE9E" w14:textId="77777777" w:rsidR="00000000" w:rsidRDefault="00C1661D">
            <w:pPr>
              <w:spacing w:after="100"/>
              <w:jc w:val="right"/>
              <w:rPr>
                <w:rFonts w:eastAsia="Times New Roman"/>
              </w:rPr>
            </w:pPr>
          </w:p>
        </w:tc>
      </w:tr>
      <w:tr w:rsidR="00000000" w14:paraId="7FEA117A" w14:textId="77777777">
        <w:trPr>
          <w:jc w:val="center"/>
        </w:trPr>
        <w:tc>
          <w:tcPr>
            <w:tcW w:w="0" w:type="auto"/>
            <w:gridSpan w:val="3"/>
            <w:shd w:val="clear" w:color="auto" w:fill="CCEEFF"/>
            <w:tcMar>
              <w:top w:w="30" w:type="dxa"/>
              <w:left w:w="20" w:type="dxa"/>
              <w:bottom w:w="30" w:type="dxa"/>
              <w:right w:w="20" w:type="dxa"/>
            </w:tcMar>
            <w:vAlign w:val="bottom"/>
            <w:hideMark/>
          </w:tcPr>
          <w:p w14:paraId="0CB64EE9" w14:textId="77777777" w:rsidR="00000000" w:rsidRDefault="00C1661D">
            <w:pPr>
              <w:spacing w:after="100"/>
              <w:divId w:val="530729498"/>
              <w:rPr>
                <w:rFonts w:eastAsia="Times New Roman"/>
              </w:rPr>
            </w:pPr>
            <w:r>
              <w:rPr>
                <w:rFonts w:eastAsia="Times New Roman"/>
                <w:color w:val="000000"/>
                <w:sz w:val="20"/>
                <w:szCs w:val="20"/>
              </w:rPr>
              <w:t xml:space="preserve">Common Stock, without par value (authorized – 450,000,000 shares; issued – 210,560,494 and 209,843,296 </w:t>
            </w:r>
            <w:r>
              <w:rPr>
                <w:rFonts w:eastAsia="Times New Roman"/>
                <w:color w:val="000000"/>
                <w:sz w:val="20"/>
                <w:szCs w:val="20"/>
              </w:rPr>
              <w:t>shares, respectively)</w:t>
            </w:r>
          </w:p>
        </w:tc>
        <w:tc>
          <w:tcPr>
            <w:tcW w:w="0" w:type="auto"/>
            <w:gridSpan w:val="2"/>
            <w:shd w:val="clear" w:color="auto" w:fill="CCEEFF"/>
            <w:tcMar>
              <w:top w:w="30" w:type="dxa"/>
              <w:left w:w="20" w:type="dxa"/>
              <w:bottom w:w="30" w:type="dxa"/>
              <w:right w:w="0" w:type="dxa"/>
            </w:tcMar>
            <w:vAlign w:val="bottom"/>
            <w:hideMark/>
          </w:tcPr>
          <w:p w14:paraId="48FDE5E2" w14:textId="77777777" w:rsidR="00000000" w:rsidRDefault="00C1661D">
            <w:pPr>
              <w:spacing w:after="100"/>
              <w:jc w:val="right"/>
              <w:rPr>
                <w:rFonts w:eastAsia="Times New Roman"/>
              </w:rPr>
            </w:pPr>
            <w:r>
              <w:rPr>
                <w:rFonts w:eastAsia="Times New Roman"/>
                <w:color w:val="000000"/>
                <w:sz w:val="20"/>
                <w:szCs w:val="20"/>
              </w:rPr>
              <w:t>1,483 </w:t>
            </w:r>
          </w:p>
        </w:tc>
        <w:tc>
          <w:tcPr>
            <w:tcW w:w="0" w:type="auto"/>
            <w:shd w:val="clear" w:color="auto" w:fill="CCEEFF"/>
            <w:tcMar>
              <w:top w:w="30" w:type="dxa"/>
              <w:left w:w="0" w:type="dxa"/>
              <w:bottom w:w="30" w:type="dxa"/>
              <w:right w:w="20" w:type="dxa"/>
            </w:tcMar>
            <w:vAlign w:val="bottom"/>
            <w:hideMark/>
          </w:tcPr>
          <w:p w14:paraId="4F68F38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5284F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C4B1AE" w14:textId="77777777" w:rsidR="00000000" w:rsidRDefault="00C1661D">
            <w:pPr>
              <w:spacing w:after="100"/>
              <w:jc w:val="right"/>
              <w:rPr>
                <w:rFonts w:eastAsia="Times New Roman"/>
              </w:rPr>
            </w:pPr>
            <w:r>
              <w:rPr>
                <w:rFonts w:eastAsia="Times New Roman"/>
                <w:color w:val="000000"/>
                <w:sz w:val="20"/>
                <w:szCs w:val="20"/>
              </w:rPr>
              <w:t>1,394 </w:t>
            </w:r>
          </w:p>
        </w:tc>
        <w:tc>
          <w:tcPr>
            <w:tcW w:w="0" w:type="auto"/>
            <w:shd w:val="clear" w:color="auto" w:fill="CCEEFF"/>
            <w:tcMar>
              <w:top w:w="30" w:type="dxa"/>
              <w:left w:w="0" w:type="dxa"/>
              <w:bottom w:w="30" w:type="dxa"/>
              <w:right w:w="20" w:type="dxa"/>
            </w:tcMar>
            <w:vAlign w:val="bottom"/>
            <w:hideMark/>
          </w:tcPr>
          <w:p w14:paraId="74E13CE5" w14:textId="77777777" w:rsidR="00000000" w:rsidRDefault="00C1661D">
            <w:pPr>
              <w:spacing w:after="100"/>
              <w:jc w:val="right"/>
              <w:rPr>
                <w:rFonts w:eastAsia="Times New Roman"/>
              </w:rPr>
            </w:pPr>
          </w:p>
        </w:tc>
      </w:tr>
      <w:tr w:rsidR="00000000" w14:paraId="20609DD4" w14:textId="77777777">
        <w:trPr>
          <w:jc w:val="center"/>
        </w:trPr>
        <w:tc>
          <w:tcPr>
            <w:tcW w:w="0" w:type="auto"/>
            <w:gridSpan w:val="3"/>
            <w:shd w:val="clear" w:color="auto" w:fill="FFFFFF"/>
            <w:tcMar>
              <w:top w:w="30" w:type="dxa"/>
              <w:left w:w="155" w:type="dxa"/>
              <w:bottom w:w="30" w:type="dxa"/>
              <w:right w:w="20" w:type="dxa"/>
            </w:tcMar>
            <w:vAlign w:val="bottom"/>
            <w:hideMark/>
          </w:tcPr>
          <w:p w14:paraId="51AD71ED" w14:textId="77777777" w:rsidR="00000000" w:rsidRDefault="00C1661D">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14:paraId="05F86DA3" w14:textId="77777777" w:rsidR="00000000" w:rsidRDefault="00C1661D">
            <w:pPr>
              <w:spacing w:after="100"/>
              <w:jc w:val="right"/>
              <w:rPr>
                <w:rFonts w:eastAsia="Times New Roman"/>
              </w:rPr>
            </w:pPr>
            <w:r>
              <w:rPr>
                <w:rFonts w:eastAsia="Times New Roman"/>
                <w:color w:val="000000"/>
                <w:sz w:val="20"/>
                <w:szCs w:val="20"/>
              </w:rPr>
              <w:t>4,841 </w:t>
            </w:r>
          </w:p>
        </w:tc>
        <w:tc>
          <w:tcPr>
            <w:tcW w:w="0" w:type="auto"/>
            <w:shd w:val="clear" w:color="auto" w:fill="FFFFFF"/>
            <w:tcMar>
              <w:top w:w="30" w:type="dxa"/>
              <w:left w:w="0" w:type="dxa"/>
              <w:bottom w:w="30" w:type="dxa"/>
              <w:right w:w="20" w:type="dxa"/>
            </w:tcMar>
            <w:vAlign w:val="bottom"/>
            <w:hideMark/>
          </w:tcPr>
          <w:p w14:paraId="2692C63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CA976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1E1996" w14:textId="77777777" w:rsidR="00000000" w:rsidRDefault="00C1661D">
            <w:pPr>
              <w:spacing w:after="100"/>
              <w:jc w:val="right"/>
              <w:rPr>
                <w:rFonts w:eastAsia="Times New Roman"/>
              </w:rPr>
            </w:pPr>
            <w:r>
              <w:rPr>
                <w:rFonts w:eastAsia="Times New Roman"/>
                <w:color w:val="000000"/>
                <w:sz w:val="20"/>
                <w:szCs w:val="20"/>
              </w:rPr>
              <w:t>4,081 </w:t>
            </w:r>
          </w:p>
        </w:tc>
        <w:tc>
          <w:tcPr>
            <w:tcW w:w="0" w:type="auto"/>
            <w:shd w:val="clear" w:color="auto" w:fill="FFFFFF"/>
            <w:tcMar>
              <w:top w:w="30" w:type="dxa"/>
              <w:left w:w="0" w:type="dxa"/>
              <w:bottom w:w="30" w:type="dxa"/>
              <w:right w:w="20" w:type="dxa"/>
            </w:tcMar>
            <w:vAlign w:val="bottom"/>
            <w:hideMark/>
          </w:tcPr>
          <w:p w14:paraId="37C875EC" w14:textId="77777777" w:rsidR="00000000" w:rsidRDefault="00C1661D">
            <w:pPr>
              <w:spacing w:after="100"/>
              <w:jc w:val="right"/>
              <w:rPr>
                <w:rFonts w:eastAsia="Times New Roman"/>
              </w:rPr>
            </w:pPr>
          </w:p>
        </w:tc>
      </w:tr>
      <w:tr w:rsidR="00000000" w14:paraId="740B4302" w14:textId="77777777">
        <w:trPr>
          <w:jc w:val="center"/>
        </w:trPr>
        <w:tc>
          <w:tcPr>
            <w:tcW w:w="0" w:type="auto"/>
            <w:gridSpan w:val="3"/>
            <w:shd w:val="clear" w:color="auto" w:fill="CCEEFF"/>
            <w:tcMar>
              <w:top w:w="30" w:type="dxa"/>
              <w:left w:w="155" w:type="dxa"/>
              <w:bottom w:w="30" w:type="dxa"/>
              <w:right w:w="20" w:type="dxa"/>
            </w:tcMar>
            <w:vAlign w:val="bottom"/>
            <w:hideMark/>
          </w:tcPr>
          <w:p w14:paraId="35937F3F" w14:textId="77777777" w:rsidR="00000000" w:rsidRDefault="00C1661D">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14:paraId="76855452" w14:textId="77777777" w:rsidR="00000000" w:rsidRDefault="00C1661D">
            <w:pPr>
              <w:spacing w:after="100"/>
              <w:jc w:val="right"/>
              <w:rPr>
                <w:rFonts w:eastAsia="Times New Roman"/>
              </w:rPr>
            </w:pPr>
            <w:r>
              <w:rPr>
                <w:rFonts w:eastAsia="Times New Roman"/>
                <w:color w:val="000000"/>
                <w:sz w:val="20"/>
                <w:szCs w:val="20"/>
              </w:rPr>
              <w:t>(380)</w:t>
            </w:r>
          </w:p>
        </w:tc>
        <w:tc>
          <w:tcPr>
            <w:tcW w:w="0" w:type="auto"/>
            <w:shd w:val="clear" w:color="auto" w:fill="CCEEFF"/>
            <w:tcMar>
              <w:top w:w="30" w:type="dxa"/>
              <w:left w:w="0" w:type="dxa"/>
              <w:bottom w:w="30" w:type="dxa"/>
              <w:right w:w="20" w:type="dxa"/>
            </w:tcMar>
            <w:vAlign w:val="bottom"/>
            <w:hideMark/>
          </w:tcPr>
          <w:p w14:paraId="7400D61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21CD0D"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C45B71" w14:textId="77777777" w:rsidR="00000000" w:rsidRDefault="00C1661D">
            <w:pPr>
              <w:spacing w:after="100"/>
              <w:jc w:val="right"/>
              <w:rPr>
                <w:rFonts w:eastAsia="Times New Roman"/>
              </w:rPr>
            </w:pPr>
            <w:r>
              <w:rPr>
                <w:rFonts w:eastAsia="Times New Roman"/>
                <w:color w:val="000000"/>
                <w:sz w:val="20"/>
                <w:szCs w:val="20"/>
              </w:rPr>
              <w:t>(140)</w:t>
            </w:r>
          </w:p>
        </w:tc>
        <w:tc>
          <w:tcPr>
            <w:tcW w:w="0" w:type="auto"/>
            <w:shd w:val="clear" w:color="auto" w:fill="CCEEFF"/>
            <w:tcMar>
              <w:top w:w="30" w:type="dxa"/>
              <w:left w:w="0" w:type="dxa"/>
              <w:bottom w:w="30" w:type="dxa"/>
              <w:right w:w="20" w:type="dxa"/>
            </w:tcMar>
            <w:vAlign w:val="bottom"/>
            <w:hideMark/>
          </w:tcPr>
          <w:p w14:paraId="3DF4D139" w14:textId="77777777" w:rsidR="00000000" w:rsidRDefault="00C1661D">
            <w:pPr>
              <w:spacing w:after="100"/>
              <w:jc w:val="right"/>
              <w:rPr>
                <w:rFonts w:eastAsia="Times New Roman"/>
              </w:rPr>
            </w:pPr>
          </w:p>
        </w:tc>
      </w:tr>
      <w:tr w:rsidR="00000000" w14:paraId="33CABE0D" w14:textId="77777777">
        <w:trPr>
          <w:jc w:val="center"/>
        </w:trPr>
        <w:tc>
          <w:tcPr>
            <w:tcW w:w="0" w:type="auto"/>
            <w:gridSpan w:val="3"/>
            <w:shd w:val="clear" w:color="auto" w:fill="FFFFFF"/>
            <w:tcMar>
              <w:top w:w="30" w:type="dxa"/>
              <w:left w:w="155" w:type="dxa"/>
              <w:bottom w:w="30" w:type="dxa"/>
              <w:right w:w="20" w:type="dxa"/>
            </w:tcMar>
            <w:vAlign w:val="bottom"/>
            <w:hideMark/>
          </w:tcPr>
          <w:p w14:paraId="6F16929E" w14:textId="77777777" w:rsidR="00000000" w:rsidRDefault="00C1661D">
            <w:pPr>
              <w:spacing w:after="100"/>
              <w:rPr>
                <w:rFonts w:eastAsia="Times New Roman"/>
              </w:rPr>
            </w:pPr>
            <w:r>
              <w:rPr>
                <w:rFonts w:eastAsia="Times New Roman"/>
                <w:color w:val="000000"/>
                <w:sz w:val="20"/>
                <w:szCs w:val="20"/>
              </w:rPr>
              <w:t>Treasury stock, at cost</w:t>
            </w:r>
          </w:p>
        </w:tc>
        <w:tc>
          <w:tcPr>
            <w:tcW w:w="0" w:type="auto"/>
            <w:gridSpan w:val="2"/>
            <w:shd w:val="clear" w:color="auto" w:fill="FFFFFF"/>
            <w:tcMar>
              <w:top w:w="30" w:type="dxa"/>
              <w:left w:w="20" w:type="dxa"/>
              <w:bottom w:w="30" w:type="dxa"/>
              <w:right w:w="0" w:type="dxa"/>
            </w:tcMar>
            <w:vAlign w:val="bottom"/>
            <w:hideMark/>
          </w:tcPr>
          <w:p w14:paraId="5003B102" w14:textId="77777777" w:rsidR="00000000" w:rsidRDefault="00C1661D">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14:paraId="38AA6C1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00E047"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A8F9A8" w14:textId="77777777" w:rsidR="00000000" w:rsidRDefault="00C1661D">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14:paraId="5E7E713B" w14:textId="77777777" w:rsidR="00000000" w:rsidRDefault="00C1661D">
            <w:pPr>
              <w:spacing w:after="100"/>
              <w:jc w:val="right"/>
              <w:rPr>
                <w:rFonts w:eastAsia="Times New Roman"/>
              </w:rPr>
            </w:pPr>
          </w:p>
        </w:tc>
      </w:tr>
      <w:tr w:rsidR="00000000" w14:paraId="221A5C88" w14:textId="77777777">
        <w:trPr>
          <w:jc w:val="center"/>
        </w:trPr>
        <w:tc>
          <w:tcPr>
            <w:tcW w:w="0" w:type="auto"/>
            <w:gridSpan w:val="3"/>
            <w:shd w:val="clear" w:color="auto" w:fill="CCEEFF"/>
            <w:tcMar>
              <w:top w:w="30" w:type="dxa"/>
              <w:left w:w="605" w:type="dxa"/>
              <w:bottom w:w="30" w:type="dxa"/>
              <w:right w:w="20" w:type="dxa"/>
            </w:tcMar>
            <w:vAlign w:val="bottom"/>
            <w:hideMark/>
          </w:tcPr>
          <w:p w14:paraId="03E9B57E" w14:textId="77777777" w:rsidR="00000000" w:rsidRDefault="00C1661D">
            <w:pPr>
              <w:spacing w:after="100"/>
              <w:rPr>
                <w:rFonts w:eastAsia="Times New Roman"/>
              </w:rPr>
            </w:pPr>
            <w:r>
              <w:rPr>
                <w:rFonts w:eastAsia="Times New Roman"/>
                <w:color w:val="000000"/>
                <w:sz w:val="20"/>
                <w:szCs w:val="20"/>
              </w:rPr>
              <w:t>Total common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E4622A" w14:textId="77777777" w:rsidR="00000000" w:rsidRDefault="00C1661D">
            <w:pPr>
              <w:spacing w:after="100"/>
              <w:jc w:val="right"/>
              <w:rPr>
                <w:rFonts w:eastAsia="Times New Roman"/>
              </w:rPr>
            </w:pPr>
            <w:r>
              <w:rPr>
                <w:rFonts w:eastAsia="Times New Roman"/>
                <w:color w:val="000000"/>
                <w:sz w:val="20"/>
                <w:szCs w:val="20"/>
              </w:rPr>
              <w:t>6,066 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96B25C"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4549BD"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2ABB16" w14:textId="77777777" w:rsidR="00000000" w:rsidRDefault="00C1661D">
            <w:pPr>
              <w:spacing w:after="100"/>
              <w:jc w:val="right"/>
              <w:rPr>
                <w:rFonts w:eastAsia="Times New Roman"/>
              </w:rPr>
            </w:pPr>
            <w:r>
              <w:rPr>
                <w:rFonts w:eastAsia="Times New Roman"/>
                <w:color w:val="000000"/>
                <w:sz w:val="20"/>
                <w:szCs w:val="20"/>
              </w:rPr>
              <w:t>5,522 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583C9F" w14:textId="77777777" w:rsidR="00000000" w:rsidRDefault="00C1661D">
            <w:pPr>
              <w:spacing w:after="100"/>
              <w:jc w:val="right"/>
              <w:rPr>
                <w:rFonts w:eastAsia="Times New Roman"/>
              </w:rPr>
            </w:pPr>
          </w:p>
        </w:tc>
      </w:tr>
      <w:tr w:rsidR="00000000" w14:paraId="6B3B3C69" w14:textId="77777777">
        <w:trPr>
          <w:jc w:val="center"/>
        </w:trPr>
        <w:tc>
          <w:tcPr>
            <w:tcW w:w="0" w:type="auto"/>
            <w:gridSpan w:val="3"/>
            <w:shd w:val="clear" w:color="auto" w:fill="FFFFFF"/>
            <w:tcMar>
              <w:top w:w="30" w:type="dxa"/>
              <w:left w:w="605" w:type="dxa"/>
              <w:bottom w:w="30" w:type="dxa"/>
              <w:right w:w="20" w:type="dxa"/>
            </w:tcMar>
            <w:vAlign w:val="bottom"/>
            <w:hideMark/>
          </w:tcPr>
          <w:p w14:paraId="685C8CCB" w14:textId="77777777" w:rsidR="00000000" w:rsidRDefault="00C1661D">
            <w:pPr>
              <w:spacing w:after="100"/>
              <w:rPr>
                <w:rFonts w:eastAsia="Times New Roman"/>
              </w:rPr>
            </w:pPr>
            <w:r>
              <w:rPr>
                <w:rFonts w:eastAsia="Times New Roman"/>
                <w:color w:val="000000"/>
                <w:sz w:val="20"/>
                <w:szCs w:val="20"/>
              </w:rPr>
              <w:t>Total liabilities and common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923B36"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F65CF0" w14:textId="77777777" w:rsidR="00000000" w:rsidRDefault="00C1661D">
            <w:pPr>
              <w:spacing w:after="100"/>
              <w:jc w:val="right"/>
              <w:rPr>
                <w:rFonts w:eastAsia="Times New Roman"/>
              </w:rPr>
            </w:pPr>
            <w:r>
              <w:rPr>
                <w:rFonts w:eastAsia="Times New Roman"/>
                <w:color w:val="000000"/>
                <w:sz w:val="20"/>
                <w:szCs w:val="20"/>
              </w:rPr>
              <w:t>7,197 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58204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DA38E0"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C4CC5B"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4E096E1" w14:textId="77777777" w:rsidR="00000000" w:rsidRDefault="00C1661D">
            <w:pPr>
              <w:spacing w:after="100"/>
              <w:jc w:val="right"/>
              <w:rPr>
                <w:rFonts w:eastAsia="Times New Roman"/>
              </w:rPr>
            </w:pPr>
            <w:r>
              <w:rPr>
                <w:rFonts w:eastAsia="Times New Roman"/>
                <w:color w:val="000000"/>
                <w:sz w:val="20"/>
                <w:szCs w:val="20"/>
              </w:rPr>
              <w:t>6,631 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08E4B8" w14:textId="77777777" w:rsidR="00000000" w:rsidRDefault="00C1661D">
            <w:pPr>
              <w:spacing w:after="100"/>
              <w:jc w:val="right"/>
              <w:rPr>
                <w:rFonts w:eastAsia="Times New Roman"/>
              </w:rPr>
            </w:pPr>
          </w:p>
        </w:tc>
      </w:tr>
    </w:tbl>
    <w:p w14:paraId="5A89729E" w14:textId="77777777" w:rsidR="00000000" w:rsidRDefault="00C1661D">
      <w:pPr>
        <w:divId w:val="1286232742"/>
        <w:rPr>
          <w:rFonts w:eastAsia="Times New Roman"/>
        </w:rPr>
      </w:pPr>
    </w:p>
    <w:p w14:paraId="65FEF595" w14:textId="77777777" w:rsidR="00000000" w:rsidRDefault="00C1661D">
      <w:pPr>
        <w:jc w:val="both"/>
        <w:rPr>
          <w:rFonts w:eastAsia="Times New Roman"/>
        </w:rPr>
      </w:pPr>
      <w:r>
        <w:rPr>
          <w:rFonts w:eastAsia="Times New Roman"/>
          <w:color w:val="000000"/>
          <w:sz w:val="20"/>
          <w:szCs w:val="20"/>
        </w:rPr>
        <w:t>Note 1 — Commitments and Contingencies:</w:t>
      </w:r>
    </w:p>
    <w:p w14:paraId="01203B56" w14:textId="77777777" w:rsidR="00000000" w:rsidRDefault="00C1661D">
      <w:pPr>
        <w:jc w:val="both"/>
        <w:divId w:val="747963292"/>
        <w:rPr>
          <w:rFonts w:eastAsia="Times New Roman"/>
        </w:rPr>
      </w:pPr>
      <w:r>
        <w:rPr>
          <w:rFonts w:eastAsia="Times New Roman"/>
          <w:color w:val="000000"/>
          <w:sz w:val="20"/>
          <w:szCs w:val="20"/>
        </w:rPr>
        <w:t>At September </w:t>
      </w:r>
      <w:r>
        <w:rPr>
          <w:rFonts w:eastAsia="Times New Roman"/>
          <w:color w:val="000000"/>
          <w:sz w:val="20"/>
          <w:szCs w:val="20"/>
        </w:rPr>
        <w:t>30, 2022, UGI Corporation had agreed to indemnify the issuers of $107 of surety bonds issued on behalf of certain UGI subsidiaries. UGI Corporation is authorized to guarantee up to $475 of obligations to suppliers and customers of Energy Services and subsi</w:t>
      </w:r>
      <w:r>
        <w:rPr>
          <w:rFonts w:eastAsia="Times New Roman"/>
          <w:color w:val="000000"/>
          <w:sz w:val="20"/>
          <w:szCs w:val="20"/>
        </w:rPr>
        <w:t>diaries of which $371 of such obligations were outstanding as of September 30, 2022.</w:t>
      </w:r>
    </w:p>
    <w:p w14:paraId="4C90FC6D" w14:textId="77777777" w:rsidR="00000000" w:rsidRDefault="00C1661D">
      <w:pPr>
        <w:jc w:val="both"/>
        <w:divId w:val="2146703816"/>
        <w:rPr>
          <w:rFonts w:eastAsia="Times New Roman"/>
        </w:rPr>
      </w:pPr>
      <w:r>
        <w:rPr>
          <w:rFonts w:eastAsia="Times New Roman"/>
          <w:color w:val="000000"/>
          <w:sz w:val="20"/>
          <w:szCs w:val="20"/>
        </w:rPr>
        <w:t>Scheduled principal repayments of long-term debt during the next five fiscal years include $125 in Fiscal 2023, $377 in Fiscal 2024, and $515 in Fiscal 2025.</w:t>
      </w:r>
    </w:p>
    <w:p w14:paraId="7130C58D" w14:textId="77777777" w:rsidR="00000000" w:rsidRDefault="00C1661D">
      <w:pPr>
        <w:divId w:val="452527545"/>
        <w:rPr>
          <w:rFonts w:eastAsia="Times New Roman"/>
        </w:rPr>
      </w:pPr>
    </w:p>
    <w:p w14:paraId="7717A35D" w14:textId="77777777" w:rsidR="00000000" w:rsidRDefault="00C1661D">
      <w:pPr>
        <w:jc w:val="center"/>
        <w:divId w:val="562717755"/>
        <w:rPr>
          <w:rFonts w:eastAsia="Times New Roman"/>
        </w:rPr>
      </w:pPr>
      <w:r>
        <w:rPr>
          <w:rFonts w:eastAsia="Times New Roman"/>
          <w:color w:val="000000"/>
          <w:sz w:val="20"/>
          <w:szCs w:val="20"/>
        </w:rPr>
        <w:t>S-1</w:t>
      </w:r>
    </w:p>
    <w:p w14:paraId="60E30B6A" w14:textId="77777777" w:rsidR="00000000" w:rsidRDefault="00C1661D">
      <w:pPr>
        <w:rPr>
          <w:rFonts w:eastAsia="Times New Roman"/>
        </w:rPr>
      </w:pPr>
      <w:r>
        <w:rPr>
          <w:rFonts w:eastAsia="Times New Roman"/>
        </w:rPr>
        <w:pict w14:anchorId="377CF9E0">
          <v:rect id="_x0000_i1176" style="width:0;height:1.5pt" o:hralign="center" o:hrstd="t" o:hr="t" fillcolor="#a0a0a0" stroked="f"/>
        </w:pict>
      </w:r>
    </w:p>
    <w:p w14:paraId="0139B941" w14:textId="77777777" w:rsidR="00000000" w:rsidRDefault="00C1661D">
      <w:pPr>
        <w:divId w:val="1063597845"/>
        <w:rPr>
          <w:rFonts w:eastAsia="Times New Roman"/>
        </w:rPr>
      </w:pPr>
      <w:hyperlink w:anchor="i3850c3c6c0104e42b9951aac2f16098a_7" w:history="1">
        <w:r>
          <w:rPr>
            <w:rStyle w:val="a3"/>
            <w:rFonts w:eastAsia="Times New Roman"/>
            <w:sz w:val="20"/>
            <w:szCs w:val="20"/>
          </w:rPr>
          <w:t>Table of Contents</w:t>
        </w:r>
      </w:hyperlink>
    </w:p>
    <w:p w14:paraId="1E849AA1" w14:textId="77777777" w:rsidR="00000000" w:rsidRDefault="00C1661D">
      <w:pPr>
        <w:divId w:val="649751954"/>
        <w:rPr>
          <w:rFonts w:eastAsia="Times New Roman"/>
        </w:rPr>
      </w:pPr>
    </w:p>
    <w:p w14:paraId="602CC5D0" w14:textId="77777777" w:rsidR="00000000" w:rsidRDefault="00C1661D">
      <w:pPr>
        <w:jc w:val="center"/>
        <w:divId w:val="797383990"/>
        <w:rPr>
          <w:rFonts w:eastAsia="Times New Roman"/>
        </w:rPr>
      </w:pPr>
      <w:r>
        <w:rPr>
          <w:rFonts w:eastAsia="Times New Roman"/>
          <w:b/>
          <w:bCs/>
          <w:color w:val="000000"/>
          <w:sz w:val="20"/>
          <w:szCs w:val="20"/>
        </w:rPr>
        <w:t>UGI CORPORATION</w:t>
      </w:r>
    </w:p>
    <w:p w14:paraId="30ADB22A" w14:textId="77777777" w:rsidR="00000000" w:rsidRDefault="00C1661D">
      <w:pPr>
        <w:jc w:val="center"/>
        <w:divId w:val="797383990"/>
        <w:rPr>
          <w:rFonts w:eastAsia="Times New Roman"/>
        </w:rPr>
      </w:pPr>
      <w:r>
        <w:rPr>
          <w:rFonts w:eastAsia="Times New Roman"/>
          <w:b/>
          <w:bCs/>
          <w:color w:val="000000"/>
          <w:sz w:val="20"/>
          <w:szCs w:val="20"/>
        </w:rPr>
        <w:t>SCHEDULE I — CONDENSED FINANCIAL INFORMATION OF REGISTRANT (PARENT COMPANY)</w:t>
      </w:r>
    </w:p>
    <w:p w14:paraId="1298BF24" w14:textId="77777777" w:rsidR="00000000" w:rsidRDefault="00C1661D">
      <w:pPr>
        <w:jc w:val="center"/>
        <w:rPr>
          <w:rFonts w:eastAsia="Times New Roman"/>
        </w:rPr>
      </w:pPr>
      <w:r>
        <w:rPr>
          <w:rFonts w:eastAsia="Times New Roman"/>
          <w:color w:val="000000"/>
          <w:sz w:val="20"/>
          <w:szCs w:val="20"/>
        </w:rPr>
        <w:t>STATEMENTS OF INCOME</w:t>
      </w:r>
    </w:p>
    <w:p w14:paraId="08E97F4E" w14:textId="77777777" w:rsidR="00000000" w:rsidRDefault="00C1661D">
      <w:pPr>
        <w:jc w:val="center"/>
        <w:rPr>
          <w:rFonts w:eastAsia="Times New Roman"/>
        </w:rPr>
      </w:pPr>
      <w:r>
        <w:rPr>
          <w:rFonts w:eastAsia="Times New Roman"/>
          <w:color w:val="000000"/>
          <w:sz w:val="20"/>
          <w:szCs w:val="20"/>
        </w:rPr>
        <w:t>(Millions of dollars, except per sh</w:t>
      </w:r>
      <w:r>
        <w:rPr>
          <w:rFonts w:eastAsia="Times New Roman"/>
          <w:color w:val="000000"/>
          <w:sz w:val="20"/>
          <w:szCs w:val="20"/>
        </w:rPr>
        <w:t>are amounts)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863"/>
        <w:gridCol w:w="37"/>
        <w:gridCol w:w="121"/>
        <w:gridCol w:w="916"/>
        <w:gridCol w:w="36"/>
        <w:gridCol w:w="36"/>
        <w:gridCol w:w="36"/>
        <w:gridCol w:w="36"/>
        <w:gridCol w:w="121"/>
        <w:gridCol w:w="875"/>
        <w:gridCol w:w="36"/>
        <w:gridCol w:w="36"/>
        <w:gridCol w:w="36"/>
        <w:gridCol w:w="36"/>
        <w:gridCol w:w="121"/>
        <w:gridCol w:w="877"/>
        <w:gridCol w:w="36"/>
      </w:tblGrid>
      <w:tr w:rsidR="00000000" w14:paraId="521EC264" w14:textId="77777777">
        <w:trPr>
          <w:jc w:val="center"/>
        </w:trPr>
        <w:tc>
          <w:tcPr>
            <w:tcW w:w="50" w:type="pct"/>
            <w:vAlign w:val="center"/>
            <w:hideMark/>
          </w:tcPr>
          <w:p w14:paraId="00C581CC" w14:textId="77777777" w:rsidR="00000000" w:rsidRDefault="00C1661D">
            <w:pPr>
              <w:jc w:val="center"/>
              <w:rPr>
                <w:rFonts w:eastAsia="Times New Roman"/>
              </w:rPr>
            </w:pPr>
          </w:p>
        </w:tc>
        <w:tc>
          <w:tcPr>
            <w:tcW w:w="2961" w:type="pct"/>
            <w:vAlign w:val="center"/>
            <w:hideMark/>
          </w:tcPr>
          <w:p w14:paraId="341113E6" w14:textId="77777777" w:rsidR="00000000" w:rsidRDefault="00C1661D">
            <w:pPr>
              <w:spacing w:after="100"/>
              <w:rPr>
                <w:rFonts w:eastAsia="Times New Roman"/>
                <w:sz w:val="20"/>
                <w:szCs w:val="20"/>
              </w:rPr>
            </w:pPr>
          </w:p>
        </w:tc>
        <w:tc>
          <w:tcPr>
            <w:tcW w:w="5" w:type="pct"/>
            <w:vAlign w:val="center"/>
            <w:hideMark/>
          </w:tcPr>
          <w:p w14:paraId="0E353F84" w14:textId="77777777" w:rsidR="00000000" w:rsidRDefault="00C1661D">
            <w:pPr>
              <w:spacing w:after="100"/>
              <w:rPr>
                <w:rFonts w:eastAsia="Times New Roman"/>
                <w:sz w:val="20"/>
                <w:szCs w:val="20"/>
              </w:rPr>
            </w:pPr>
          </w:p>
        </w:tc>
        <w:tc>
          <w:tcPr>
            <w:tcW w:w="50" w:type="pct"/>
            <w:vAlign w:val="center"/>
            <w:hideMark/>
          </w:tcPr>
          <w:p w14:paraId="2BD26B95" w14:textId="77777777" w:rsidR="00000000" w:rsidRDefault="00C1661D">
            <w:pPr>
              <w:spacing w:after="100"/>
              <w:rPr>
                <w:rFonts w:eastAsia="Times New Roman"/>
                <w:sz w:val="20"/>
                <w:szCs w:val="20"/>
              </w:rPr>
            </w:pPr>
          </w:p>
        </w:tc>
        <w:tc>
          <w:tcPr>
            <w:tcW w:w="581" w:type="pct"/>
            <w:vAlign w:val="center"/>
            <w:hideMark/>
          </w:tcPr>
          <w:p w14:paraId="4275ECF0" w14:textId="77777777" w:rsidR="00000000" w:rsidRDefault="00C1661D">
            <w:pPr>
              <w:spacing w:after="100"/>
              <w:rPr>
                <w:rFonts w:eastAsia="Times New Roman"/>
                <w:sz w:val="20"/>
                <w:szCs w:val="20"/>
              </w:rPr>
            </w:pPr>
          </w:p>
        </w:tc>
        <w:tc>
          <w:tcPr>
            <w:tcW w:w="5" w:type="pct"/>
            <w:vAlign w:val="center"/>
            <w:hideMark/>
          </w:tcPr>
          <w:p w14:paraId="410F7F0D" w14:textId="77777777" w:rsidR="00000000" w:rsidRDefault="00C1661D">
            <w:pPr>
              <w:spacing w:after="100"/>
              <w:rPr>
                <w:rFonts w:eastAsia="Times New Roman"/>
                <w:sz w:val="20"/>
                <w:szCs w:val="20"/>
              </w:rPr>
            </w:pPr>
          </w:p>
        </w:tc>
        <w:tc>
          <w:tcPr>
            <w:tcW w:w="5" w:type="pct"/>
            <w:vAlign w:val="center"/>
            <w:hideMark/>
          </w:tcPr>
          <w:p w14:paraId="0A89FF60" w14:textId="77777777" w:rsidR="00000000" w:rsidRDefault="00C1661D">
            <w:pPr>
              <w:spacing w:after="100"/>
              <w:rPr>
                <w:rFonts w:eastAsia="Times New Roman"/>
                <w:sz w:val="20"/>
                <w:szCs w:val="20"/>
              </w:rPr>
            </w:pPr>
          </w:p>
        </w:tc>
        <w:tc>
          <w:tcPr>
            <w:tcW w:w="26" w:type="pct"/>
            <w:vAlign w:val="center"/>
            <w:hideMark/>
          </w:tcPr>
          <w:p w14:paraId="6B16BDB2" w14:textId="77777777" w:rsidR="00000000" w:rsidRDefault="00C1661D">
            <w:pPr>
              <w:spacing w:after="100"/>
              <w:rPr>
                <w:rFonts w:eastAsia="Times New Roman"/>
                <w:sz w:val="20"/>
                <w:szCs w:val="20"/>
              </w:rPr>
            </w:pPr>
          </w:p>
        </w:tc>
        <w:tc>
          <w:tcPr>
            <w:tcW w:w="5" w:type="pct"/>
            <w:vAlign w:val="center"/>
            <w:hideMark/>
          </w:tcPr>
          <w:p w14:paraId="62783BDD" w14:textId="77777777" w:rsidR="00000000" w:rsidRDefault="00C1661D">
            <w:pPr>
              <w:spacing w:after="100"/>
              <w:rPr>
                <w:rFonts w:eastAsia="Times New Roman"/>
                <w:sz w:val="20"/>
                <w:szCs w:val="20"/>
              </w:rPr>
            </w:pPr>
          </w:p>
        </w:tc>
        <w:tc>
          <w:tcPr>
            <w:tcW w:w="50" w:type="pct"/>
            <w:vAlign w:val="center"/>
            <w:hideMark/>
          </w:tcPr>
          <w:p w14:paraId="399D8432" w14:textId="77777777" w:rsidR="00000000" w:rsidRDefault="00C1661D">
            <w:pPr>
              <w:spacing w:after="100"/>
              <w:rPr>
                <w:rFonts w:eastAsia="Times New Roman"/>
                <w:sz w:val="20"/>
                <w:szCs w:val="20"/>
              </w:rPr>
            </w:pPr>
          </w:p>
        </w:tc>
        <w:tc>
          <w:tcPr>
            <w:tcW w:w="581" w:type="pct"/>
            <w:vAlign w:val="center"/>
            <w:hideMark/>
          </w:tcPr>
          <w:p w14:paraId="6AE5561E" w14:textId="77777777" w:rsidR="00000000" w:rsidRDefault="00C1661D">
            <w:pPr>
              <w:spacing w:after="100"/>
              <w:rPr>
                <w:rFonts w:eastAsia="Times New Roman"/>
                <w:sz w:val="20"/>
                <w:szCs w:val="20"/>
              </w:rPr>
            </w:pPr>
          </w:p>
        </w:tc>
        <w:tc>
          <w:tcPr>
            <w:tcW w:w="5" w:type="pct"/>
            <w:vAlign w:val="center"/>
            <w:hideMark/>
          </w:tcPr>
          <w:p w14:paraId="7B25A293" w14:textId="77777777" w:rsidR="00000000" w:rsidRDefault="00C1661D">
            <w:pPr>
              <w:spacing w:after="100"/>
              <w:rPr>
                <w:rFonts w:eastAsia="Times New Roman"/>
                <w:sz w:val="20"/>
                <w:szCs w:val="20"/>
              </w:rPr>
            </w:pPr>
          </w:p>
        </w:tc>
        <w:tc>
          <w:tcPr>
            <w:tcW w:w="5" w:type="pct"/>
            <w:vAlign w:val="center"/>
            <w:hideMark/>
          </w:tcPr>
          <w:p w14:paraId="6DDACDF9" w14:textId="77777777" w:rsidR="00000000" w:rsidRDefault="00C1661D">
            <w:pPr>
              <w:spacing w:after="100"/>
              <w:rPr>
                <w:rFonts w:eastAsia="Times New Roman"/>
                <w:sz w:val="20"/>
                <w:szCs w:val="20"/>
              </w:rPr>
            </w:pPr>
          </w:p>
        </w:tc>
        <w:tc>
          <w:tcPr>
            <w:tcW w:w="26" w:type="pct"/>
            <w:vAlign w:val="center"/>
            <w:hideMark/>
          </w:tcPr>
          <w:p w14:paraId="7E1CAAEF" w14:textId="77777777" w:rsidR="00000000" w:rsidRDefault="00C1661D">
            <w:pPr>
              <w:spacing w:after="100"/>
              <w:rPr>
                <w:rFonts w:eastAsia="Times New Roman"/>
                <w:sz w:val="20"/>
                <w:szCs w:val="20"/>
              </w:rPr>
            </w:pPr>
          </w:p>
        </w:tc>
        <w:tc>
          <w:tcPr>
            <w:tcW w:w="5" w:type="pct"/>
            <w:vAlign w:val="center"/>
            <w:hideMark/>
          </w:tcPr>
          <w:p w14:paraId="2CD69F2B" w14:textId="77777777" w:rsidR="00000000" w:rsidRDefault="00C1661D">
            <w:pPr>
              <w:spacing w:after="100"/>
              <w:rPr>
                <w:rFonts w:eastAsia="Times New Roman"/>
                <w:sz w:val="20"/>
                <w:szCs w:val="20"/>
              </w:rPr>
            </w:pPr>
          </w:p>
        </w:tc>
        <w:tc>
          <w:tcPr>
            <w:tcW w:w="50" w:type="pct"/>
            <w:vAlign w:val="center"/>
            <w:hideMark/>
          </w:tcPr>
          <w:p w14:paraId="40A4F057" w14:textId="77777777" w:rsidR="00000000" w:rsidRDefault="00C1661D">
            <w:pPr>
              <w:spacing w:after="100"/>
              <w:rPr>
                <w:rFonts w:eastAsia="Times New Roman"/>
                <w:sz w:val="20"/>
                <w:szCs w:val="20"/>
              </w:rPr>
            </w:pPr>
          </w:p>
        </w:tc>
        <w:tc>
          <w:tcPr>
            <w:tcW w:w="582" w:type="pct"/>
            <w:vAlign w:val="center"/>
            <w:hideMark/>
          </w:tcPr>
          <w:p w14:paraId="12A50A88" w14:textId="77777777" w:rsidR="00000000" w:rsidRDefault="00C1661D">
            <w:pPr>
              <w:spacing w:after="100"/>
              <w:rPr>
                <w:rFonts w:eastAsia="Times New Roman"/>
                <w:sz w:val="20"/>
                <w:szCs w:val="20"/>
              </w:rPr>
            </w:pPr>
          </w:p>
        </w:tc>
        <w:tc>
          <w:tcPr>
            <w:tcW w:w="5" w:type="pct"/>
            <w:vAlign w:val="center"/>
            <w:hideMark/>
          </w:tcPr>
          <w:p w14:paraId="6091BD79" w14:textId="77777777" w:rsidR="00000000" w:rsidRDefault="00C1661D">
            <w:pPr>
              <w:spacing w:after="100"/>
              <w:rPr>
                <w:rFonts w:eastAsia="Times New Roman"/>
                <w:sz w:val="20"/>
                <w:szCs w:val="20"/>
              </w:rPr>
            </w:pPr>
          </w:p>
        </w:tc>
      </w:tr>
      <w:tr w:rsidR="00000000" w14:paraId="5C6993AD" w14:textId="77777777">
        <w:trPr>
          <w:jc w:val="center"/>
        </w:trPr>
        <w:tc>
          <w:tcPr>
            <w:tcW w:w="0" w:type="auto"/>
            <w:gridSpan w:val="3"/>
            <w:tcMar>
              <w:top w:w="0" w:type="dxa"/>
              <w:left w:w="20" w:type="dxa"/>
              <w:bottom w:w="0" w:type="dxa"/>
              <w:right w:w="20" w:type="dxa"/>
            </w:tcMar>
            <w:vAlign w:val="center"/>
            <w:hideMark/>
          </w:tcPr>
          <w:p w14:paraId="011464B4" w14:textId="77777777" w:rsidR="00000000" w:rsidRDefault="00C1661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667EFDD" w14:textId="77777777" w:rsidR="00000000" w:rsidRDefault="00C1661D">
            <w:pPr>
              <w:spacing w:after="100"/>
              <w:jc w:val="center"/>
              <w:rPr>
                <w:rFonts w:eastAsia="Times New Roman"/>
              </w:rPr>
            </w:pPr>
            <w:r>
              <w:rPr>
                <w:rFonts w:eastAsia="Times New Roman"/>
                <w:color w:val="000000"/>
                <w:sz w:val="20"/>
                <w:szCs w:val="20"/>
              </w:rPr>
              <w:t>Year Ended September 30,</w:t>
            </w:r>
          </w:p>
        </w:tc>
      </w:tr>
      <w:tr w:rsidR="00000000" w14:paraId="1D755CF3" w14:textId="77777777">
        <w:trPr>
          <w:jc w:val="center"/>
        </w:trPr>
        <w:tc>
          <w:tcPr>
            <w:tcW w:w="0" w:type="auto"/>
            <w:gridSpan w:val="3"/>
            <w:tcMar>
              <w:top w:w="30" w:type="dxa"/>
              <w:left w:w="20" w:type="dxa"/>
              <w:bottom w:w="30" w:type="dxa"/>
              <w:right w:w="20" w:type="dxa"/>
            </w:tcMar>
            <w:vAlign w:val="bottom"/>
            <w:hideMark/>
          </w:tcPr>
          <w:p w14:paraId="5953477E"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AEAA016"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460C5ABC"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01CA1E"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56B3C959"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403D1D" w14:textId="77777777" w:rsidR="00000000" w:rsidRDefault="00C1661D">
            <w:pPr>
              <w:spacing w:after="100"/>
              <w:jc w:val="center"/>
              <w:rPr>
                <w:rFonts w:eastAsia="Times New Roman"/>
              </w:rPr>
            </w:pPr>
            <w:r>
              <w:rPr>
                <w:rFonts w:eastAsia="Times New Roman"/>
                <w:color w:val="000000"/>
                <w:sz w:val="20"/>
                <w:szCs w:val="20"/>
              </w:rPr>
              <w:t>2020</w:t>
            </w:r>
          </w:p>
        </w:tc>
      </w:tr>
      <w:tr w:rsidR="00000000" w14:paraId="45D81AE3" w14:textId="77777777">
        <w:trPr>
          <w:jc w:val="center"/>
        </w:trPr>
        <w:tc>
          <w:tcPr>
            <w:tcW w:w="0" w:type="auto"/>
            <w:gridSpan w:val="3"/>
            <w:shd w:val="clear" w:color="auto" w:fill="CCEEFF"/>
            <w:tcMar>
              <w:top w:w="30" w:type="dxa"/>
              <w:left w:w="20" w:type="dxa"/>
              <w:bottom w:w="30" w:type="dxa"/>
              <w:right w:w="20" w:type="dxa"/>
            </w:tcMar>
            <w:vAlign w:val="bottom"/>
            <w:hideMark/>
          </w:tcPr>
          <w:p w14:paraId="3A7BA0D5" w14:textId="77777777" w:rsidR="00000000" w:rsidRDefault="00C1661D">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D5DAF4"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3D98BC" w14:textId="77777777" w:rsidR="00000000" w:rsidRDefault="00C1661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1932D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BF89EA"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1AB7DC"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0C7BAB" w14:textId="77777777" w:rsidR="00000000" w:rsidRDefault="00C1661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F115A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D79869"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FE9C3B"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BC6418" w14:textId="77777777" w:rsidR="00000000" w:rsidRDefault="00C1661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58AC55" w14:textId="77777777" w:rsidR="00000000" w:rsidRDefault="00C1661D">
            <w:pPr>
              <w:spacing w:after="100"/>
              <w:jc w:val="right"/>
              <w:rPr>
                <w:rFonts w:eastAsia="Times New Roman"/>
              </w:rPr>
            </w:pPr>
          </w:p>
        </w:tc>
      </w:tr>
      <w:tr w:rsidR="00000000" w14:paraId="0C1D1F45" w14:textId="77777777">
        <w:trPr>
          <w:jc w:val="center"/>
        </w:trPr>
        <w:tc>
          <w:tcPr>
            <w:tcW w:w="0" w:type="auto"/>
            <w:gridSpan w:val="3"/>
            <w:shd w:val="clear" w:color="auto" w:fill="FFFFFF"/>
            <w:tcMar>
              <w:top w:w="30" w:type="dxa"/>
              <w:left w:w="20" w:type="dxa"/>
              <w:bottom w:w="30" w:type="dxa"/>
              <w:right w:w="20" w:type="dxa"/>
            </w:tcMar>
            <w:vAlign w:val="bottom"/>
            <w:hideMark/>
          </w:tcPr>
          <w:p w14:paraId="0E8C406C" w14:textId="77777777" w:rsidR="00000000" w:rsidRDefault="00C1661D">
            <w:pPr>
              <w:spacing w:after="100"/>
              <w:rPr>
                <w:rFonts w:eastAsia="Times New Roman"/>
              </w:rPr>
            </w:pPr>
            <w:r>
              <w:rPr>
                <w:rFonts w:eastAsia="Times New Roman"/>
                <w:color w:val="000000"/>
                <w:sz w:val="20"/>
                <w:szCs w:val="20"/>
              </w:rPr>
              <w:t>Costs and expenses:</w:t>
            </w:r>
          </w:p>
        </w:tc>
        <w:tc>
          <w:tcPr>
            <w:tcW w:w="0" w:type="auto"/>
            <w:gridSpan w:val="3"/>
            <w:shd w:val="clear" w:color="auto" w:fill="FFFFFF"/>
            <w:tcMar>
              <w:top w:w="30" w:type="dxa"/>
              <w:left w:w="20" w:type="dxa"/>
              <w:bottom w:w="30" w:type="dxa"/>
              <w:right w:w="20" w:type="dxa"/>
            </w:tcMar>
            <w:vAlign w:val="bottom"/>
            <w:hideMark/>
          </w:tcPr>
          <w:p w14:paraId="35902D6D"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72B7F4B"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ABF5223"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8BEE626"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E902D0D" w14:textId="77777777" w:rsidR="00000000" w:rsidRDefault="00C1661D">
            <w:pPr>
              <w:spacing w:after="100"/>
              <w:rPr>
                <w:rFonts w:eastAsia="Times New Roman"/>
              </w:rPr>
            </w:pPr>
            <w:r>
              <w:rPr>
                <w:rFonts w:eastAsia="Times New Roman"/>
                <w:color w:val="000000"/>
                <w:sz w:val="20"/>
                <w:szCs w:val="20"/>
              </w:rPr>
              <w:t> </w:t>
            </w:r>
          </w:p>
        </w:tc>
      </w:tr>
      <w:tr w:rsidR="00000000" w14:paraId="284C714B" w14:textId="77777777">
        <w:trPr>
          <w:jc w:val="center"/>
        </w:trPr>
        <w:tc>
          <w:tcPr>
            <w:tcW w:w="0" w:type="auto"/>
            <w:gridSpan w:val="3"/>
            <w:shd w:val="clear" w:color="auto" w:fill="CCEEFF"/>
            <w:tcMar>
              <w:top w:w="30" w:type="dxa"/>
              <w:left w:w="155" w:type="dxa"/>
              <w:bottom w:w="30" w:type="dxa"/>
              <w:right w:w="20" w:type="dxa"/>
            </w:tcMar>
            <w:vAlign w:val="bottom"/>
            <w:hideMark/>
          </w:tcPr>
          <w:p w14:paraId="544561D9" w14:textId="77777777" w:rsidR="00000000" w:rsidRDefault="00C1661D">
            <w:pPr>
              <w:spacing w:after="100"/>
              <w:rPr>
                <w:rFonts w:eastAsia="Times New Roman"/>
              </w:rPr>
            </w:pPr>
            <w:r>
              <w:rPr>
                <w:rFonts w:eastAsia="Times New Roman"/>
                <w:color w:val="000000"/>
                <w:sz w:val="20"/>
                <w:szCs w:val="20"/>
              </w:rPr>
              <w:t>Operating and administrative expenses</w:t>
            </w:r>
          </w:p>
        </w:tc>
        <w:tc>
          <w:tcPr>
            <w:tcW w:w="0" w:type="auto"/>
            <w:gridSpan w:val="2"/>
            <w:shd w:val="clear" w:color="auto" w:fill="CCEEFF"/>
            <w:tcMar>
              <w:top w:w="30" w:type="dxa"/>
              <w:left w:w="20" w:type="dxa"/>
              <w:bottom w:w="30" w:type="dxa"/>
              <w:right w:w="0" w:type="dxa"/>
            </w:tcMar>
            <w:vAlign w:val="bottom"/>
            <w:hideMark/>
          </w:tcPr>
          <w:p w14:paraId="04C79C20" w14:textId="77777777" w:rsidR="00000000" w:rsidRDefault="00C1661D">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14:paraId="78BD266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763E45"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3F8740" w14:textId="77777777" w:rsidR="00000000" w:rsidRDefault="00C1661D">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14:paraId="6A34863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D5E9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F1CD2C" w14:textId="77777777" w:rsidR="00000000" w:rsidRDefault="00C1661D">
            <w:pPr>
              <w:spacing w:after="100"/>
              <w:jc w:val="right"/>
              <w:rPr>
                <w:rFonts w:eastAsia="Times New Roman"/>
              </w:rPr>
            </w:pPr>
            <w:r>
              <w:rPr>
                <w:rFonts w:eastAsia="Times New Roman"/>
                <w:color w:val="000000"/>
                <w:sz w:val="20"/>
                <w:szCs w:val="20"/>
              </w:rPr>
              <w:t>56 </w:t>
            </w:r>
          </w:p>
        </w:tc>
        <w:tc>
          <w:tcPr>
            <w:tcW w:w="0" w:type="auto"/>
            <w:shd w:val="clear" w:color="auto" w:fill="CCEEFF"/>
            <w:tcMar>
              <w:top w:w="30" w:type="dxa"/>
              <w:left w:w="0" w:type="dxa"/>
              <w:bottom w:w="30" w:type="dxa"/>
              <w:right w:w="20" w:type="dxa"/>
            </w:tcMar>
            <w:vAlign w:val="bottom"/>
            <w:hideMark/>
          </w:tcPr>
          <w:p w14:paraId="0258EB6D" w14:textId="77777777" w:rsidR="00000000" w:rsidRDefault="00C1661D">
            <w:pPr>
              <w:spacing w:after="100"/>
              <w:jc w:val="right"/>
              <w:rPr>
                <w:rFonts w:eastAsia="Times New Roman"/>
              </w:rPr>
            </w:pPr>
          </w:p>
        </w:tc>
      </w:tr>
      <w:tr w:rsidR="00000000" w14:paraId="34AC2F1A" w14:textId="77777777">
        <w:trPr>
          <w:jc w:val="center"/>
        </w:trPr>
        <w:tc>
          <w:tcPr>
            <w:tcW w:w="0" w:type="auto"/>
            <w:gridSpan w:val="3"/>
            <w:shd w:val="clear" w:color="auto" w:fill="FFFFFF"/>
            <w:tcMar>
              <w:top w:w="30" w:type="dxa"/>
              <w:left w:w="155" w:type="dxa"/>
              <w:bottom w:w="30" w:type="dxa"/>
              <w:right w:w="20" w:type="dxa"/>
            </w:tcMar>
            <w:vAlign w:val="bottom"/>
            <w:hideMark/>
          </w:tcPr>
          <w:p w14:paraId="17A302AC" w14:textId="77777777" w:rsidR="00000000" w:rsidRDefault="00C1661D">
            <w:pPr>
              <w:spacing w:after="100"/>
              <w:rPr>
                <w:rFonts w:eastAsia="Times New Roman"/>
              </w:rPr>
            </w:pPr>
            <w:r>
              <w:rPr>
                <w:rFonts w:eastAsia="Times New Roman"/>
                <w:color w:val="000000"/>
                <w:sz w:val="20"/>
                <w:szCs w:val="20"/>
              </w:rPr>
              <w:t>Other operating income, net (a)</w:t>
            </w:r>
          </w:p>
        </w:tc>
        <w:tc>
          <w:tcPr>
            <w:tcW w:w="0" w:type="auto"/>
            <w:gridSpan w:val="2"/>
            <w:shd w:val="clear" w:color="auto" w:fill="FFFFFF"/>
            <w:tcMar>
              <w:top w:w="30" w:type="dxa"/>
              <w:left w:w="20" w:type="dxa"/>
              <w:bottom w:w="30" w:type="dxa"/>
              <w:right w:w="0" w:type="dxa"/>
            </w:tcMar>
            <w:vAlign w:val="bottom"/>
            <w:hideMark/>
          </w:tcPr>
          <w:p w14:paraId="63AA4258" w14:textId="77777777" w:rsidR="00000000" w:rsidRDefault="00C1661D">
            <w:pPr>
              <w:spacing w:after="100"/>
              <w:jc w:val="right"/>
              <w:rPr>
                <w:rFonts w:eastAsia="Times New Roman"/>
              </w:rPr>
            </w:pPr>
            <w:r>
              <w:rPr>
                <w:rFonts w:eastAsia="Times New Roman"/>
                <w:color w:val="000000"/>
                <w:sz w:val="20"/>
                <w:szCs w:val="20"/>
              </w:rPr>
              <w:t>(63)</w:t>
            </w:r>
          </w:p>
        </w:tc>
        <w:tc>
          <w:tcPr>
            <w:tcW w:w="0" w:type="auto"/>
            <w:shd w:val="clear" w:color="auto" w:fill="FFFFFF"/>
            <w:tcMar>
              <w:top w:w="30" w:type="dxa"/>
              <w:left w:w="0" w:type="dxa"/>
              <w:bottom w:w="30" w:type="dxa"/>
              <w:right w:w="20" w:type="dxa"/>
            </w:tcMar>
            <w:vAlign w:val="bottom"/>
            <w:hideMark/>
          </w:tcPr>
          <w:p w14:paraId="15C01D3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2D620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169657" w14:textId="77777777" w:rsidR="00000000" w:rsidRDefault="00C1661D">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14:paraId="7B923B6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CE5C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081914" w14:textId="77777777" w:rsidR="00000000" w:rsidRDefault="00C1661D">
            <w:pPr>
              <w:spacing w:after="100"/>
              <w:jc w:val="right"/>
              <w:rPr>
                <w:rFonts w:eastAsia="Times New Roman"/>
              </w:rPr>
            </w:pPr>
            <w:r>
              <w:rPr>
                <w:rFonts w:eastAsia="Times New Roman"/>
                <w:color w:val="000000"/>
                <w:sz w:val="20"/>
                <w:szCs w:val="20"/>
              </w:rPr>
              <w:t>(54)</w:t>
            </w:r>
          </w:p>
        </w:tc>
        <w:tc>
          <w:tcPr>
            <w:tcW w:w="0" w:type="auto"/>
            <w:shd w:val="clear" w:color="auto" w:fill="FFFFFF"/>
            <w:tcMar>
              <w:top w:w="30" w:type="dxa"/>
              <w:left w:w="0" w:type="dxa"/>
              <w:bottom w:w="30" w:type="dxa"/>
              <w:right w:w="20" w:type="dxa"/>
            </w:tcMar>
            <w:vAlign w:val="bottom"/>
            <w:hideMark/>
          </w:tcPr>
          <w:p w14:paraId="39B6CB90" w14:textId="77777777" w:rsidR="00000000" w:rsidRDefault="00C1661D">
            <w:pPr>
              <w:spacing w:after="100"/>
              <w:jc w:val="right"/>
              <w:rPr>
                <w:rFonts w:eastAsia="Times New Roman"/>
              </w:rPr>
            </w:pPr>
          </w:p>
        </w:tc>
      </w:tr>
      <w:tr w:rsidR="00000000" w14:paraId="14E80E0B" w14:textId="77777777">
        <w:trPr>
          <w:jc w:val="center"/>
        </w:trPr>
        <w:tc>
          <w:tcPr>
            <w:tcW w:w="0" w:type="auto"/>
            <w:gridSpan w:val="3"/>
            <w:shd w:val="clear" w:color="auto" w:fill="CCEEFF"/>
            <w:tcMar>
              <w:top w:w="30" w:type="dxa"/>
              <w:left w:w="20" w:type="dxa"/>
              <w:bottom w:w="30" w:type="dxa"/>
              <w:right w:w="20" w:type="dxa"/>
            </w:tcMar>
            <w:vAlign w:val="bottom"/>
            <w:hideMark/>
          </w:tcPr>
          <w:p w14:paraId="4C97BF7A" w14:textId="77777777" w:rsidR="00000000" w:rsidRDefault="00C1661D">
            <w:pPr>
              <w:spacing w:after="100"/>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998CA6" w14:textId="77777777" w:rsidR="00000000" w:rsidRDefault="00C1661D">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B5BAA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5BC47"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D4F16C" w14:textId="77777777" w:rsidR="00000000" w:rsidRDefault="00C1661D">
            <w:pPr>
              <w:spacing w:after="100"/>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3E790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4DAC1"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38EB37" w14:textId="77777777" w:rsidR="00000000" w:rsidRDefault="00C1661D">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A4734C" w14:textId="77777777" w:rsidR="00000000" w:rsidRDefault="00C1661D">
            <w:pPr>
              <w:spacing w:after="100"/>
              <w:jc w:val="right"/>
              <w:rPr>
                <w:rFonts w:eastAsia="Times New Roman"/>
              </w:rPr>
            </w:pPr>
          </w:p>
        </w:tc>
      </w:tr>
      <w:tr w:rsidR="00000000" w14:paraId="2C3C7688" w14:textId="77777777">
        <w:trPr>
          <w:jc w:val="center"/>
        </w:trPr>
        <w:tc>
          <w:tcPr>
            <w:tcW w:w="0" w:type="auto"/>
            <w:gridSpan w:val="3"/>
            <w:shd w:val="clear" w:color="auto" w:fill="FFFFFF"/>
            <w:tcMar>
              <w:top w:w="30" w:type="dxa"/>
              <w:left w:w="20" w:type="dxa"/>
              <w:bottom w:w="30" w:type="dxa"/>
              <w:right w:w="20" w:type="dxa"/>
            </w:tcMar>
            <w:vAlign w:val="bottom"/>
            <w:hideMark/>
          </w:tcPr>
          <w:p w14:paraId="256F70E6" w14:textId="77777777" w:rsidR="00000000" w:rsidRDefault="00C1661D">
            <w:pPr>
              <w:spacing w:after="100"/>
              <w:rPr>
                <w:rFonts w:eastAsia="Times New Roman"/>
              </w:rPr>
            </w:pPr>
            <w:r>
              <w:rPr>
                <w:rFonts w:eastAsia="Times New Roman"/>
                <w:color w:val="000000"/>
                <w:sz w:val="20"/>
                <w:szCs w:val="20"/>
              </w:rPr>
              <w:t>Operating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4AE42C" w14:textId="77777777" w:rsidR="00000000" w:rsidRDefault="00C1661D">
            <w:pPr>
              <w:spacing w:after="100"/>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2043C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D5E4D0"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B7FB7F" w14:textId="77777777" w:rsidR="00000000" w:rsidRDefault="00C1661D">
            <w:pPr>
              <w:spacing w:after="100"/>
              <w:jc w:val="right"/>
              <w:rPr>
                <w:rFonts w:eastAsia="Times New Roman"/>
              </w:rPr>
            </w:pPr>
            <w:r>
              <w:rPr>
                <w:rFonts w:eastAsia="Times New Roman"/>
                <w:color w:val="000000"/>
                <w:sz w:val="20"/>
                <w:szCs w:val="20"/>
              </w:rPr>
              <w:t>(29)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37FB6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43DBD"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B152A7" w14:textId="77777777" w:rsidR="00000000" w:rsidRDefault="00C1661D">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BCA616" w14:textId="77777777" w:rsidR="00000000" w:rsidRDefault="00C1661D">
            <w:pPr>
              <w:spacing w:after="100"/>
              <w:jc w:val="right"/>
              <w:rPr>
                <w:rFonts w:eastAsia="Times New Roman"/>
              </w:rPr>
            </w:pPr>
          </w:p>
        </w:tc>
      </w:tr>
      <w:tr w:rsidR="00000000" w14:paraId="7012806B" w14:textId="77777777">
        <w:trPr>
          <w:jc w:val="center"/>
        </w:trPr>
        <w:tc>
          <w:tcPr>
            <w:tcW w:w="0" w:type="auto"/>
            <w:gridSpan w:val="3"/>
            <w:shd w:val="clear" w:color="auto" w:fill="CCEEFF"/>
            <w:tcMar>
              <w:top w:w="30" w:type="dxa"/>
              <w:left w:w="20" w:type="dxa"/>
              <w:bottom w:w="30" w:type="dxa"/>
              <w:right w:w="20" w:type="dxa"/>
            </w:tcMar>
            <w:vAlign w:val="bottom"/>
            <w:hideMark/>
          </w:tcPr>
          <w:p w14:paraId="269BFF66" w14:textId="77777777" w:rsidR="00000000" w:rsidRDefault="00C1661D">
            <w:pPr>
              <w:spacing w:after="100"/>
              <w:rPr>
                <w:rFonts w:eastAsia="Times New Roman"/>
              </w:rPr>
            </w:pPr>
            <w:r>
              <w:rPr>
                <w:rFonts w:eastAsia="Times New Roman"/>
                <w:color w:val="000000"/>
                <w:sz w:val="20"/>
                <w:szCs w:val="20"/>
              </w:rPr>
              <w:t>Pension and other postretirement plans non-service expense</w:t>
            </w:r>
          </w:p>
        </w:tc>
        <w:tc>
          <w:tcPr>
            <w:tcW w:w="0" w:type="auto"/>
            <w:gridSpan w:val="2"/>
            <w:shd w:val="clear" w:color="auto" w:fill="CCEEFF"/>
            <w:tcMar>
              <w:top w:w="30" w:type="dxa"/>
              <w:left w:w="20" w:type="dxa"/>
              <w:bottom w:w="30" w:type="dxa"/>
              <w:right w:w="0" w:type="dxa"/>
            </w:tcMar>
            <w:vAlign w:val="bottom"/>
            <w:hideMark/>
          </w:tcPr>
          <w:p w14:paraId="49A1A42D" w14:textId="77777777" w:rsidR="00000000" w:rsidRDefault="00C1661D">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59242E0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07DBE0"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8B05D4"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46B6D9B"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8BA1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E8A61B"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E391CCB" w14:textId="77777777" w:rsidR="00000000" w:rsidRDefault="00C1661D">
            <w:pPr>
              <w:spacing w:after="100"/>
              <w:jc w:val="right"/>
              <w:rPr>
                <w:rFonts w:eastAsia="Times New Roman"/>
              </w:rPr>
            </w:pPr>
          </w:p>
        </w:tc>
      </w:tr>
      <w:tr w:rsidR="00000000" w14:paraId="12511D0E" w14:textId="77777777">
        <w:trPr>
          <w:jc w:val="center"/>
        </w:trPr>
        <w:tc>
          <w:tcPr>
            <w:tcW w:w="0" w:type="auto"/>
            <w:gridSpan w:val="3"/>
            <w:shd w:val="clear" w:color="auto" w:fill="FFFFFF"/>
            <w:tcMar>
              <w:top w:w="30" w:type="dxa"/>
              <w:left w:w="20" w:type="dxa"/>
              <w:bottom w:w="30" w:type="dxa"/>
              <w:right w:w="20" w:type="dxa"/>
            </w:tcMar>
            <w:vAlign w:val="bottom"/>
            <w:hideMark/>
          </w:tcPr>
          <w:p w14:paraId="10D57FA3" w14:textId="77777777" w:rsidR="00000000" w:rsidRDefault="00C1661D">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698E3FF1" w14:textId="77777777" w:rsidR="00000000" w:rsidRDefault="00C1661D">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14:paraId="1137F57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CFB15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D22BEA" w14:textId="77777777" w:rsidR="00000000" w:rsidRDefault="00C1661D">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14:paraId="25EBB8C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1B8A9F"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A1CCAE" w14:textId="77777777" w:rsidR="00000000" w:rsidRDefault="00C1661D">
            <w:pPr>
              <w:spacing w:after="100"/>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14:paraId="6035FDA9" w14:textId="77777777" w:rsidR="00000000" w:rsidRDefault="00C1661D">
            <w:pPr>
              <w:spacing w:after="100"/>
              <w:jc w:val="right"/>
              <w:rPr>
                <w:rFonts w:eastAsia="Times New Roman"/>
              </w:rPr>
            </w:pPr>
          </w:p>
        </w:tc>
      </w:tr>
      <w:tr w:rsidR="00000000" w14:paraId="4905FC54" w14:textId="77777777">
        <w:trPr>
          <w:jc w:val="center"/>
        </w:trPr>
        <w:tc>
          <w:tcPr>
            <w:tcW w:w="0" w:type="auto"/>
            <w:gridSpan w:val="3"/>
            <w:vAlign w:val="center"/>
            <w:hideMark/>
          </w:tcPr>
          <w:p w14:paraId="4CD461B3" w14:textId="77777777" w:rsidR="00000000" w:rsidRDefault="00C1661D">
            <w:pPr>
              <w:spacing w:after="100"/>
              <w:jc w:val="right"/>
              <w:rPr>
                <w:rFonts w:eastAsia="Times New Roman"/>
                <w:sz w:val="20"/>
                <w:szCs w:val="20"/>
              </w:rPr>
            </w:pPr>
          </w:p>
        </w:tc>
        <w:tc>
          <w:tcPr>
            <w:tcW w:w="0" w:type="auto"/>
            <w:gridSpan w:val="3"/>
            <w:vAlign w:val="center"/>
            <w:hideMark/>
          </w:tcPr>
          <w:p w14:paraId="0AB4F20A" w14:textId="77777777" w:rsidR="00000000" w:rsidRDefault="00C1661D">
            <w:pPr>
              <w:spacing w:after="100"/>
              <w:rPr>
                <w:rFonts w:eastAsia="Times New Roman"/>
                <w:sz w:val="20"/>
                <w:szCs w:val="20"/>
              </w:rPr>
            </w:pPr>
          </w:p>
        </w:tc>
        <w:tc>
          <w:tcPr>
            <w:tcW w:w="0" w:type="auto"/>
            <w:gridSpan w:val="3"/>
            <w:vAlign w:val="center"/>
            <w:hideMark/>
          </w:tcPr>
          <w:p w14:paraId="5AB60D39" w14:textId="77777777" w:rsidR="00000000" w:rsidRDefault="00C1661D">
            <w:pPr>
              <w:spacing w:after="100"/>
              <w:rPr>
                <w:rFonts w:eastAsia="Times New Roman"/>
                <w:sz w:val="20"/>
                <w:szCs w:val="20"/>
              </w:rPr>
            </w:pPr>
          </w:p>
        </w:tc>
        <w:tc>
          <w:tcPr>
            <w:tcW w:w="0" w:type="auto"/>
            <w:gridSpan w:val="3"/>
            <w:vAlign w:val="center"/>
            <w:hideMark/>
          </w:tcPr>
          <w:p w14:paraId="15262844" w14:textId="77777777" w:rsidR="00000000" w:rsidRDefault="00C1661D">
            <w:pPr>
              <w:spacing w:after="100"/>
              <w:rPr>
                <w:rFonts w:eastAsia="Times New Roman"/>
                <w:sz w:val="20"/>
                <w:szCs w:val="20"/>
              </w:rPr>
            </w:pPr>
          </w:p>
        </w:tc>
        <w:tc>
          <w:tcPr>
            <w:tcW w:w="0" w:type="auto"/>
            <w:gridSpan w:val="3"/>
            <w:vAlign w:val="center"/>
            <w:hideMark/>
          </w:tcPr>
          <w:p w14:paraId="73E36309" w14:textId="77777777" w:rsidR="00000000" w:rsidRDefault="00C1661D">
            <w:pPr>
              <w:spacing w:after="100"/>
              <w:rPr>
                <w:rFonts w:eastAsia="Times New Roman"/>
                <w:sz w:val="20"/>
                <w:szCs w:val="20"/>
              </w:rPr>
            </w:pPr>
          </w:p>
        </w:tc>
        <w:tc>
          <w:tcPr>
            <w:tcW w:w="0" w:type="auto"/>
            <w:gridSpan w:val="3"/>
            <w:vAlign w:val="center"/>
            <w:hideMark/>
          </w:tcPr>
          <w:p w14:paraId="755B4228" w14:textId="77777777" w:rsidR="00000000" w:rsidRDefault="00C1661D">
            <w:pPr>
              <w:spacing w:after="100"/>
              <w:rPr>
                <w:rFonts w:eastAsia="Times New Roman"/>
                <w:sz w:val="20"/>
                <w:szCs w:val="20"/>
              </w:rPr>
            </w:pPr>
          </w:p>
        </w:tc>
      </w:tr>
      <w:tr w:rsidR="00000000" w14:paraId="516B3D67" w14:textId="77777777">
        <w:trPr>
          <w:jc w:val="center"/>
        </w:trPr>
        <w:tc>
          <w:tcPr>
            <w:tcW w:w="0" w:type="auto"/>
            <w:gridSpan w:val="3"/>
            <w:shd w:val="clear" w:color="auto" w:fill="CCEEFF"/>
            <w:tcMar>
              <w:top w:w="30" w:type="dxa"/>
              <w:left w:w="20" w:type="dxa"/>
              <w:bottom w:w="30" w:type="dxa"/>
              <w:right w:w="20" w:type="dxa"/>
            </w:tcMar>
            <w:vAlign w:val="bottom"/>
            <w:hideMark/>
          </w:tcPr>
          <w:p w14:paraId="05AE0FD7" w14:textId="77777777" w:rsidR="00000000" w:rsidRDefault="00C1661D">
            <w:pPr>
              <w:spacing w:after="100"/>
              <w:rPr>
                <w:rFonts w:eastAsia="Times New Roman"/>
              </w:rPr>
            </w:pPr>
            <w:r>
              <w:rPr>
                <w:rFonts w:eastAsia="Times New Roman"/>
                <w:color w:val="000000"/>
                <w:sz w:val="20"/>
                <w:szCs w:val="20"/>
              </w:rPr>
              <w:t>Loss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A25F1C" w14:textId="77777777" w:rsidR="00000000" w:rsidRDefault="00C1661D">
            <w:pPr>
              <w:spacing w:after="100"/>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276AE5"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CB618"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22B965" w14:textId="77777777" w:rsidR="00000000" w:rsidRDefault="00C1661D">
            <w:pPr>
              <w:spacing w:after="100"/>
              <w:jc w:val="right"/>
              <w:rPr>
                <w:rFonts w:eastAsia="Times New Roman"/>
              </w:rPr>
            </w:pPr>
            <w:r>
              <w:rPr>
                <w:rFonts w:eastAsia="Times New Roman"/>
                <w:color w:val="000000"/>
                <w:sz w:val="20"/>
                <w:szCs w:val="20"/>
              </w:rPr>
              <w:t>(56)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2F292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4A0E91"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1D84E6" w14:textId="77777777" w:rsidR="00000000" w:rsidRDefault="00C1661D">
            <w:pPr>
              <w:spacing w:after="100"/>
              <w:jc w:val="right"/>
              <w:rPr>
                <w:rFonts w:eastAsia="Times New Roman"/>
              </w:rPr>
            </w:pPr>
            <w:r>
              <w:rPr>
                <w:rFonts w:eastAsia="Times New Roman"/>
                <w:color w:val="000000"/>
                <w:sz w:val="20"/>
                <w:szCs w:val="20"/>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805C8C" w14:textId="77777777" w:rsidR="00000000" w:rsidRDefault="00C1661D">
            <w:pPr>
              <w:spacing w:after="100"/>
              <w:jc w:val="right"/>
              <w:rPr>
                <w:rFonts w:eastAsia="Times New Roman"/>
              </w:rPr>
            </w:pPr>
          </w:p>
        </w:tc>
      </w:tr>
      <w:tr w:rsidR="00000000" w14:paraId="35CBC130" w14:textId="77777777">
        <w:trPr>
          <w:jc w:val="center"/>
        </w:trPr>
        <w:tc>
          <w:tcPr>
            <w:tcW w:w="0" w:type="auto"/>
            <w:gridSpan w:val="3"/>
            <w:shd w:val="clear" w:color="auto" w:fill="FFFFFF"/>
            <w:tcMar>
              <w:top w:w="30" w:type="dxa"/>
              <w:left w:w="20" w:type="dxa"/>
              <w:bottom w:w="30" w:type="dxa"/>
              <w:right w:w="20" w:type="dxa"/>
            </w:tcMar>
            <w:vAlign w:val="bottom"/>
            <w:hideMark/>
          </w:tcPr>
          <w:p w14:paraId="1A1F6A64" w14:textId="77777777" w:rsidR="00000000" w:rsidRDefault="00C1661D">
            <w:pPr>
              <w:spacing w:after="100"/>
              <w:rPr>
                <w:rFonts w:eastAsia="Times New Roman"/>
              </w:rPr>
            </w:pPr>
            <w:r>
              <w:rPr>
                <w:rFonts w:eastAsia="Times New Roman"/>
                <w:color w:val="000000"/>
                <w:sz w:val="20"/>
                <w:szCs w:val="20"/>
              </w:rPr>
              <w:t>Income tax expense</w:t>
            </w:r>
          </w:p>
        </w:tc>
        <w:tc>
          <w:tcPr>
            <w:tcW w:w="0" w:type="auto"/>
            <w:gridSpan w:val="2"/>
            <w:shd w:val="clear" w:color="auto" w:fill="FFFFFF"/>
            <w:tcMar>
              <w:top w:w="30" w:type="dxa"/>
              <w:left w:w="20" w:type="dxa"/>
              <w:bottom w:w="30" w:type="dxa"/>
              <w:right w:w="0" w:type="dxa"/>
            </w:tcMar>
            <w:vAlign w:val="bottom"/>
            <w:hideMark/>
          </w:tcPr>
          <w:p w14:paraId="42414D3A"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3C8E2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27219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40CED5" w14:textId="77777777" w:rsidR="00000000" w:rsidRDefault="00C1661D">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5D4BC2E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2008C"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5BDDC4" w14:textId="77777777" w:rsidR="00000000" w:rsidRDefault="00C1661D">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0B57790E" w14:textId="77777777" w:rsidR="00000000" w:rsidRDefault="00C1661D">
            <w:pPr>
              <w:spacing w:after="100"/>
              <w:jc w:val="right"/>
              <w:rPr>
                <w:rFonts w:eastAsia="Times New Roman"/>
              </w:rPr>
            </w:pPr>
          </w:p>
        </w:tc>
      </w:tr>
      <w:tr w:rsidR="00000000" w14:paraId="2DE19E4E" w14:textId="77777777">
        <w:trPr>
          <w:jc w:val="center"/>
        </w:trPr>
        <w:tc>
          <w:tcPr>
            <w:tcW w:w="0" w:type="auto"/>
            <w:gridSpan w:val="3"/>
            <w:shd w:val="clear" w:color="auto" w:fill="CCEEFF"/>
            <w:tcMar>
              <w:top w:w="30" w:type="dxa"/>
              <w:left w:w="20" w:type="dxa"/>
              <w:bottom w:w="30" w:type="dxa"/>
              <w:right w:w="20" w:type="dxa"/>
            </w:tcMar>
            <w:vAlign w:val="bottom"/>
            <w:hideMark/>
          </w:tcPr>
          <w:p w14:paraId="64BF23A1" w14:textId="77777777" w:rsidR="00000000" w:rsidRDefault="00C1661D">
            <w:pPr>
              <w:spacing w:after="100"/>
              <w:rPr>
                <w:rFonts w:eastAsia="Times New Roman"/>
              </w:rPr>
            </w:pPr>
            <w:r>
              <w:rPr>
                <w:rFonts w:eastAsia="Times New Roman"/>
                <w:color w:val="000000"/>
                <w:sz w:val="20"/>
                <w:szCs w:val="20"/>
              </w:rPr>
              <w:t>Loss before equity in income of unconsolidated subsidiaries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C6C57C" w14:textId="77777777" w:rsidR="00000000" w:rsidRDefault="00C1661D">
            <w:pPr>
              <w:spacing w:after="100"/>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92F26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6A106A"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0498CA" w14:textId="77777777" w:rsidR="00000000" w:rsidRDefault="00C1661D">
            <w:pPr>
              <w:spacing w:after="100"/>
              <w:jc w:val="right"/>
              <w:rPr>
                <w:rFonts w:eastAsia="Times New Roman"/>
              </w:rPr>
            </w:pPr>
            <w:r>
              <w:rPr>
                <w:rFonts w:eastAsia="Times New Roman"/>
                <w:color w:val="000000"/>
                <w:sz w:val="20"/>
                <w:szCs w:val="20"/>
              </w:rPr>
              <w:t>(65)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662E8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141D9C"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C099FF" w14:textId="77777777" w:rsidR="00000000" w:rsidRDefault="00C1661D">
            <w:pPr>
              <w:spacing w:after="100"/>
              <w:jc w:val="right"/>
              <w:rPr>
                <w:rFonts w:eastAsia="Times New Roman"/>
              </w:rPr>
            </w:pPr>
            <w:r>
              <w:rPr>
                <w:rFonts w:eastAsia="Times New Roman"/>
                <w:color w:val="000000"/>
                <w:sz w:val="20"/>
                <w:szCs w:val="20"/>
              </w:rPr>
              <w:t>(51)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E0D1E8" w14:textId="77777777" w:rsidR="00000000" w:rsidRDefault="00C1661D">
            <w:pPr>
              <w:spacing w:after="100"/>
              <w:jc w:val="right"/>
              <w:rPr>
                <w:rFonts w:eastAsia="Times New Roman"/>
              </w:rPr>
            </w:pPr>
          </w:p>
        </w:tc>
      </w:tr>
      <w:tr w:rsidR="00000000" w14:paraId="3BF4C920" w14:textId="77777777">
        <w:trPr>
          <w:jc w:val="center"/>
        </w:trPr>
        <w:tc>
          <w:tcPr>
            <w:tcW w:w="0" w:type="auto"/>
            <w:gridSpan w:val="3"/>
            <w:shd w:val="clear" w:color="auto" w:fill="FFFFFF"/>
            <w:tcMar>
              <w:top w:w="30" w:type="dxa"/>
              <w:left w:w="20" w:type="dxa"/>
              <w:bottom w:w="30" w:type="dxa"/>
              <w:right w:w="20" w:type="dxa"/>
            </w:tcMar>
            <w:vAlign w:val="bottom"/>
            <w:hideMark/>
          </w:tcPr>
          <w:p w14:paraId="4382D4D4" w14:textId="77777777" w:rsidR="00000000" w:rsidRDefault="00C1661D">
            <w:pPr>
              <w:spacing w:after="100"/>
              <w:rPr>
                <w:rFonts w:eastAsia="Times New Roman"/>
              </w:rPr>
            </w:pPr>
            <w:r>
              <w:rPr>
                <w:rFonts w:eastAsia="Times New Roman"/>
                <w:color w:val="000000"/>
                <w:sz w:val="20"/>
                <w:szCs w:val="20"/>
              </w:rPr>
              <w:t>Equity in income of unconsolidated subsidiaries</w:t>
            </w:r>
          </w:p>
        </w:tc>
        <w:tc>
          <w:tcPr>
            <w:tcW w:w="0" w:type="auto"/>
            <w:gridSpan w:val="2"/>
            <w:shd w:val="clear" w:color="auto" w:fill="FFFFFF"/>
            <w:tcMar>
              <w:top w:w="30" w:type="dxa"/>
              <w:left w:w="20" w:type="dxa"/>
              <w:bottom w:w="30" w:type="dxa"/>
              <w:right w:w="0" w:type="dxa"/>
            </w:tcMar>
            <w:vAlign w:val="bottom"/>
            <w:hideMark/>
          </w:tcPr>
          <w:p w14:paraId="0D2B8F3A" w14:textId="77777777" w:rsidR="00000000" w:rsidRDefault="00C1661D">
            <w:pPr>
              <w:spacing w:after="100"/>
              <w:jc w:val="right"/>
              <w:rPr>
                <w:rFonts w:eastAsia="Times New Roman"/>
              </w:rPr>
            </w:pPr>
            <w:r>
              <w:rPr>
                <w:rFonts w:eastAsia="Times New Roman"/>
                <w:color w:val="000000"/>
                <w:sz w:val="20"/>
                <w:szCs w:val="20"/>
              </w:rPr>
              <w:t>1,122 </w:t>
            </w:r>
          </w:p>
        </w:tc>
        <w:tc>
          <w:tcPr>
            <w:tcW w:w="0" w:type="auto"/>
            <w:shd w:val="clear" w:color="auto" w:fill="FFFFFF"/>
            <w:tcMar>
              <w:top w:w="30" w:type="dxa"/>
              <w:left w:w="0" w:type="dxa"/>
              <w:bottom w:w="30" w:type="dxa"/>
              <w:right w:w="20" w:type="dxa"/>
            </w:tcMar>
            <w:vAlign w:val="bottom"/>
            <w:hideMark/>
          </w:tcPr>
          <w:p w14:paraId="5B225F1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7BA7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A96CC1" w14:textId="77777777" w:rsidR="00000000" w:rsidRDefault="00C1661D">
            <w:pPr>
              <w:spacing w:after="100"/>
              <w:jc w:val="right"/>
              <w:rPr>
                <w:rFonts w:eastAsia="Times New Roman"/>
              </w:rPr>
            </w:pPr>
            <w:r>
              <w:rPr>
                <w:rFonts w:eastAsia="Times New Roman"/>
                <w:color w:val="000000"/>
                <w:sz w:val="20"/>
                <w:szCs w:val="20"/>
              </w:rPr>
              <w:t>1,532 </w:t>
            </w:r>
          </w:p>
        </w:tc>
        <w:tc>
          <w:tcPr>
            <w:tcW w:w="0" w:type="auto"/>
            <w:shd w:val="clear" w:color="auto" w:fill="FFFFFF"/>
            <w:tcMar>
              <w:top w:w="30" w:type="dxa"/>
              <w:left w:w="0" w:type="dxa"/>
              <w:bottom w:w="30" w:type="dxa"/>
              <w:right w:w="20" w:type="dxa"/>
            </w:tcMar>
            <w:vAlign w:val="bottom"/>
            <w:hideMark/>
          </w:tcPr>
          <w:p w14:paraId="77BDF5D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C144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F2372B" w14:textId="77777777" w:rsidR="00000000" w:rsidRDefault="00C1661D">
            <w:pPr>
              <w:spacing w:after="100"/>
              <w:jc w:val="right"/>
              <w:rPr>
                <w:rFonts w:eastAsia="Times New Roman"/>
              </w:rPr>
            </w:pPr>
            <w:r>
              <w:rPr>
                <w:rFonts w:eastAsia="Times New Roman"/>
                <w:color w:val="000000"/>
                <w:sz w:val="20"/>
                <w:szCs w:val="20"/>
              </w:rPr>
              <w:t>583 </w:t>
            </w:r>
          </w:p>
        </w:tc>
        <w:tc>
          <w:tcPr>
            <w:tcW w:w="0" w:type="auto"/>
            <w:shd w:val="clear" w:color="auto" w:fill="FFFFFF"/>
            <w:tcMar>
              <w:top w:w="30" w:type="dxa"/>
              <w:left w:w="0" w:type="dxa"/>
              <w:bottom w:w="30" w:type="dxa"/>
              <w:right w:w="20" w:type="dxa"/>
            </w:tcMar>
            <w:vAlign w:val="bottom"/>
            <w:hideMark/>
          </w:tcPr>
          <w:p w14:paraId="143B2485" w14:textId="77777777" w:rsidR="00000000" w:rsidRDefault="00C1661D">
            <w:pPr>
              <w:spacing w:after="100"/>
              <w:jc w:val="right"/>
              <w:rPr>
                <w:rFonts w:eastAsia="Times New Roman"/>
              </w:rPr>
            </w:pPr>
          </w:p>
        </w:tc>
      </w:tr>
      <w:tr w:rsidR="00000000" w14:paraId="7582D994" w14:textId="77777777">
        <w:trPr>
          <w:jc w:val="center"/>
        </w:trPr>
        <w:tc>
          <w:tcPr>
            <w:tcW w:w="0" w:type="auto"/>
            <w:gridSpan w:val="3"/>
            <w:shd w:val="clear" w:color="auto" w:fill="CCEEFF"/>
            <w:tcMar>
              <w:top w:w="30" w:type="dxa"/>
              <w:left w:w="20" w:type="dxa"/>
              <w:bottom w:w="30" w:type="dxa"/>
              <w:right w:w="20" w:type="dxa"/>
            </w:tcMar>
            <w:vAlign w:val="bottom"/>
            <w:hideMark/>
          </w:tcPr>
          <w:p w14:paraId="38D49D0D" w14:textId="77777777" w:rsidR="00000000" w:rsidRDefault="00C1661D">
            <w:pPr>
              <w:spacing w:after="100"/>
              <w:rPr>
                <w:rFonts w:eastAsia="Times New Roman"/>
              </w:rPr>
            </w:pPr>
            <w:r>
              <w:rPr>
                <w:rFonts w:eastAsia="Times New Roman"/>
                <w:color w:val="000000"/>
                <w:sz w:val="20"/>
                <w:szCs w:val="20"/>
              </w:rPr>
              <w:t>Net income attributable to UGI Corporation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99E00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3534E1" w14:textId="77777777" w:rsidR="00000000" w:rsidRDefault="00C1661D">
            <w:pPr>
              <w:spacing w:after="100"/>
              <w:jc w:val="right"/>
              <w:rPr>
                <w:rFonts w:eastAsia="Times New Roman"/>
              </w:rPr>
            </w:pPr>
            <w:r>
              <w:rPr>
                <w:rFonts w:eastAsia="Times New Roman"/>
                <w:color w:val="000000"/>
                <w:sz w:val="20"/>
                <w:szCs w:val="20"/>
              </w:rPr>
              <w:t>1,073 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3A73A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72C3CD"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CE60EC"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690238" w14:textId="77777777" w:rsidR="00000000" w:rsidRDefault="00C1661D">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86F8E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08B374"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D93FAF"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6CEE8B" w14:textId="77777777" w:rsidR="00000000" w:rsidRDefault="00C1661D">
            <w:pPr>
              <w:spacing w:after="100"/>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083FC3" w14:textId="77777777" w:rsidR="00000000" w:rsidRDefault="00C1661D">
            <w:pPr>
              <w:spacing w:after="100"/>
              <w:jc w:val="right"/>
              <w:rPr>
                <w:rFonts w:eastAsia="Times New Roman"/>
              </w:rPr>
            </w:pPr>
          </w:p>
        </w:tc>
      </w:tr>
      <w:tr w:rsidR="00000000" w14:paraId="33C2D7F9" w14:textId="77777777">
        <w:trPr>
          <w:jc w:val="center"/>
        </w:trPr>
        <w:tc>
          <w:tcPr>
            <w:tcW w:w="0" w:type="auto"/>
            <w:gridSpan w:val="3"/>
            <w:shd w:val="clear" w:color="auto" w:fill="FFFFFF"/>
            <w:tcMar>
              <w:top w:w="30" w:type="dxa"/>
              <w:left w:w="20" w:type="dxa"/>
              <w:bottom w:w="30" w:type="dxa"/>
              <w:right w:w="20" w:type="dxa"/>
            </w:tcMar>
            <w:vAlign w:val="bottom"/>
            <w:hideMark/>
          </w:tcPr>
          <w:p w14:paraId="37E1F661" w14:textId="77777777" w:rsidR="00000000" w:rsidRDefault="00C1661D">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14:paraId="72B5CB91" w14:textId="77777777" w:rsidR="00000000" w:rsidRDefault="00C1661D">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14:paraId="434F5BD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2D26B"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CF3D1E" w14:textId="77777777" w:rsidR="00000000" w:rsidRDefault="00C1661D">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7068977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879BE6"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74C782" w14:textId="77777777" w:rsidR="00000000" w:rsidRDefault="00C1661D">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14:paraId="231690EF" w14:textId="77777777" w:rsidR="00000000" w:rsidRDefault="00C1661D">
            <w:pPr>
              <w:spacing w:after="100"/>
              <w:jc w:val="right"/>
              <w:rPr>
                <w:rFonts w:eastAsia="Times New Roman"/>
              </w:rPr>
            </w:pPr>
          </w:p>
        </w:tc>
      </w:tr>
      <w:tr w:rsidR="00000000" w14:paraId="273E5617" w14:textId="77777777">
        <w:trPr>
          <w:jc w:val="center"/>
        </w:trPr>
        <w:tc>
          <w:tcPr>
            <w:tcW w:w="0" w:type="auto"/>
            <w:gridSpan w:val="3"/>
            <w:shd w:val="clear" w:color="auto" w:fill="CCEEFF"/>
            <w:tcMar>
              <w:top w:w="30" w:type="dxa"/>
              <w:left w:w="20" w:type="dxa"/>
              <w:bottom w:w="30" w:type="dxa"/>
              <w:right w:w="20" w:type="dxa"/>
            </w:tcMar>
            <w:vAlign w:val="bottom"/>
            <w:hideMark/>
          </w:tcPr>
          <w:p w14:paraId="54E4394E" w14:textId="77777777" w:rsidR="00000000" w:rsidRDefault="00C1661D">
            <w:pPr>
              <w:spacing w:after="100"/>
              <w:rPr>
                <w:rFonts w:eastAsia="Times New Roman"/>
              </w:rPr>
            </w:pPr>
            <w:r>
              <w:rPr>
                <w:rFonts w:eastAsia="Times New Roman"/>
                <w:color w:val="000000"/>
                <w:sz w:val="20"/>
                <w:szCs w:val="20"/>
              </w:rPr>
              <w:t>Equity in other comprehensive (loss) income of unconsolidated subsidiaries</w:t>
            </w:r>
          </w:p>
        </w:tc>
        <w:tc>
          <w:tcPr>
            <w:tcW w:w="0" w:type="auto"/>
            <w:gridSpan w:val="2"/>
            <w:shd w:val="clear" w:color="auto" w:fill="CCEEFF"/>
            <w:tcMar>
              <w:top w:w="30" w:type="dxa"/>
              <w:left w:w="20" w:type="dxa"/>
              <w:bottom w:w="30" w:type="dxa"/>
              <w:right w:w="0" w:type="dxa"/>
            </w:tcMar>
            <w:vAlign w:val="bottom"/>
            <w:hideMark/>
          </w:tcPr>
          <w:p w14:paraId="52775AF9" w14:textId="77777777" w:rsidR="00000000" w:rsidRDefault="00C1661D">
            <w:pPr>
              <w:spacing w:after="100"/>
              <w:jc w:val="right"/>
              <w:rPr>
                <w:rFonts w:eastAsia="Times New Roman"/>
              </w:rPr>
            </w:pPr>
            <w:r>
              <w:rPr>
                <w:rFonts w:eastAsia="Times New Roman"/>
                <w:color w:val="000000"/>
                <w:sz w:val="20"/>
                <w:szCs w:val="20"/>
              </w:rPr>
              <w:t>(274)</w:t>
            </w:r>
          </w:p>
        </w:tc>
        <w:tc>
          <w:tcPr>
            <w:tcW w:w="0" w:type="auto"/>
            <w:shd w:val="clear" w:color="auto" w:fill="CCEEFF"/>
            <w:tcMar>
              <w:top w:w="30" w:type="dxa"/>
              <w:left w:w="0" w:type="dxa"/>
              <w:bottom w:w="30" w:type="dxa"/>
              <w:right w:w="20" w:type="dxa"/>
            </w:tcMar>
            <w:vAlign w:val="bottom"/>
            <w:hideMark/>
          </w:tcPr>
          <w:p w14:paraId="47E9E30A"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7D5A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8BDAB5"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D521B6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F253D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86A6D6" w14:textId="77777777" w:rsidR="00000000" w:rsidRDefault="00C1661D">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14:paraId="00BB29C7" w14:textId="77777777" w:rsidR="00000000" w:rsidRDefault="00C1661D">
            <w:pPr>
              <w:spacing w:after="100"/>
              <w:jc w:val="right"/>
              <w:rPr>
                <w:rFonts w:eastAsia="Times New Roman"/>
              </w:rPr>
            </w:pPr>
          </w:p>
        </w:tc>
      </w:tr>
      <w:tr w:rsidR="00000000" w14:paraId="3670E32A" w14:textId="77777777">
        <w:trPr>
          <w:jc w:val="center"/>
        </w:trPr>
        <w:tc>
          <w:tcPr>
            <w:tcW w:w="0" w:type="auto"/>
            <w:gridSpan w:val="3"/>
            <w:shd w:val="clear" w:color="auto" w:fill="FFFFFF"/>
            <w:tcMar>
              <w:top w:w="30" w:type="dxa"/>
              <w:left w:w="20" w:type="dxa"/>
              <w:bottom w:w="30" w:type="dxa"/>
              <w:right w:w="20" w:type="dxa"/>
            </w:tcMar>
            <w:vAlign w:val="bottom"/>
            <w:hideMark/>
          </w:tcPr>
          <w:p w14:paraId="1D797CF0" w14:textId="77777777" w:rsidR="00000000" w:rsidRDefault="00C1661D">
            <w:pPr>
              <w:spacing w:after="100"/>
              <w:rPr>
                <w:rFonts w:eastAsia="Times New Roman"/>
              </w:rPr>
            </w:pPr>
            <w:r>
              <w:rPr>
                <w:rFonts w:eastAsia="Times New Roman"/>
                <w:color w:val="000000"/>
                <w:sz w:val="20"/>
                <w:szCs w:val="20"/>
              </w:rPr>
              <w:t>Comprehensive income attributable to UGI Corporation</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8BAB43A"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DA0FDA3" w14:textId="77777777" w:rsidR="00000000" w:rsidRDefault="00C1661D">
            <w:pPr>
              <w:spacing w:after="100"/>
              <w:jc w:val="right"/>
              <w:rPr>
                <w:rFonts w:eastAsia="Times New Roman"/>
              </w:rPr>
            </w:pPr>
            <w:r>
              <w:rPr>
                <w:rFonts w:eastAsia="Times New Roman"/>
                <w:color w:val="000000"/>
                <w:sz w:val="20"/>
                <w:szCs w:val="20"/>
              </w:rPr>
              <w:t>833 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2F08D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3FE65"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F34920"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4921B2" w14:textId="77777777" w:rsidR="00000000" w:rsidRDefault="00C1661D">
            <w:pPr>
              <w:spacing w:after="100"/>
              <w:jc w:val="right"/>
              <w:rPr>
                <w:rFonts w:eastAsia="Times New Roman"/>
              </w:rPr>
            </w:pPr>
            <w:r>
              <w:rPr>
                <w:rFonts w:eastAsia="Times New Roman"/>
                <w:color w:val="000000"/>
                <w:sz w:val="20"/>
                <w:szCs w:val="20"/>
              </w:rPr>
              <w:t>1,474 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9E980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3B5A2C"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FF4013"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449D692" w14:textId="77777777" w:rsidR="00000000" w:rsidRDefault="00C1661D">
            <w:pPr>
              <w:spacing w:after="100"/>
              <w:jc w:val="right"/>
              <w:rPr>
                <w:rFonts w:eastAsia="Times New Roman"/>
              </w:rPr>
            </w:pPr>
            <w:r>
              <w:rPr>
                <w:rFonts w:eastAsia="Times New Roman"/>
                <w:color w:val="000000"/>
                <w:sz w:val="20"/>
                <w:szCs w:val="20"/>
              </w:rPr>
              <w:t>602 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B96552" w14:textId="77777777" w:rsidR="00000000" w:rsidRDefault="00C1661D">
            <w:pPr>
              <w:spacing w:after="100"/>
              <w:jc w:val="right"/>
              <w:rPr>
                <w:rFonts w:eastAsia="Times New Roman"/>
              </w:rPr>
            </w:pPr>
          </w:p>
        </w:tc>
      </w:tr>
      <w:tr w:rsidR="00000000" w14:paraId="1947F8B9" w14:textId="77777777">
        <w:trPr>
          <w:jc w:val="center"/>
        </w:trPr>
        <w:tc>
          <w:tcPr>
            <w:tcW w:w="0" w:type="auto"/>
            <w:gridSpan w:val="3"/>
            <w:shd w:val="clear" w:color="auto" w:fill="CCEEFF"/>
            <w:tcMar>
              <w:top w:w="30" w:type="dxa"/>
              <w:left w:w="20" w:type="dxa"/>
              <w:bottom w:w="30" w:type="dxa"/>
              <w:right w:w="20" w:type="dxa"/>
            </w:tcMar>
            <w:vAlign w:val="bottom"/>
            <w:hideMark/>
          </w:tcPr>
          <w:p w14:paraId="23C79D26" w14:textId="77777777" w:rsidR="00000000" w:rsidRDefault="00C1661D">
            <w:pPr>
              <w:spacing w:after="100"/>
              <w:rPr>
                <w:rFonts w:eastAsia="Times New Roman"/>
              </w:rPr>
            </w:pPr>
            <w:r>
              <w:rPr>
                <w:rFonts w:eastAsia="Times New Roman"/>
                <w:color w:val="000000"/>
                <w:sz w:val="20"/>
                <w:szCs w:val="20"/>
              </w:rPr>
              <w:t>Earnings per common share attributable to UGI Corporation stockholders: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BE47AF2"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74D5BF9" w14:textId="77777777" w:rsidR="00000000" w:rsidRDefault="00C1661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DCE32EC"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A849546" w14:textId="77777777" w:rsidR="00000000" w:rsidRDefault="00C1661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B5F7CE9" w14:textId="77777777" w:rsidR="00000000" w:rsidRDefault="00C1661D">
            <w:pPr>
              <w:spacing w:after="100"/>
              <w:rPr>
                <w:rFonts w:eastAsia="Times New Roman"/>
              </w:rPr>
            </w:pPr>
            <w:r>
              <w:rPr>
                <w:rFonts w:eastAsia="Times New Roman"/>
                <w:color w:val="000000"/>
                <w:sz w:val="20"/>
                <w:szCs w:val="20"/>
              </w:rPr>
              <w:t> </w:t>
            </w:r>
          </w:p>
        </w:tc>
      </w:tr>
      <w:tr w:rsidR="00000000" w14:paraId="4F0598F4" w14:textId="77777777">
        <w:trPr>
          <w:jc w:val="center"/>
        </w:trPr>
        <w:tc>
          <w:tcPr>
            <w:tcW w:w="0" w:type="auto"/>
            <w:gridSpan w:val="3"/>
            <w:shd w:val="clear" w:color="auto" w:fill="FFFFFF"/>
            <w:tcMar>
              <w:top w:w="30" w:type="dxa"/>
              <w:left w:w="155" w:type="dxa"/>
              <w:bottom w:w="30" w:type="dxa"/>
              <w:right w:w="20" w:type="dxa"/>
            </w:tcMar>
            <w:vAlign w:val="bottom"/>
            <w:hideMark/>
          </w:tcPr>
          <w:p w14:paraId="791D9144" w14:textId="77777777" w:rsidR="00000000" w:rsidRDefault="00C1661D">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14:paraId="7E5AE984"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0BD6B10" w14:textId="77777777" w:rsidR="00000000" w:rsidRDefault="00C1661D">
            <w:pPr>
              <w:spacing w:after="100"/>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14:paraId="7DC0ECE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4D1436"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10D4D2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54F262" w14:textId="77777777" w:rsidR="00000000" w:rsidRDefault="00C1661D">
            <w:pPr>
              <w:spacing w:after="100"/>
              <w:jc w:val="right"/>
              <w:rPr>
                <w:rFonts w:eastAsia="Times New Roman"/>
              </w:rPr>
            </w:pPr>
            <w:r>
              <w:rPr>
                <w:rFonts w:eastAsia="Times New Roman"/>
                <w:color w:val="000000"/>
                <w:sz w:val="20"/>
                <w:szCs w:val="20"/>
              </w:rPr>
              <w:t>7.02 </w:t>
            </w:r>
          </w:p>
        </w:tc>
        <w:tc>
          <w:tcPr>
            <w:tcW w:w="0" w:type="auto"/>
            <w:shd w:val="clear" w:color="auto" w:fill="FFFFFF"/>
            <w:tcMar>
              <w:top w:w="30" w:type="dxa"/>
              <w:left w:w="0" w:type="dxa"/>
              <w:bottom w:w="30" w:type="dxa"/>
              <w:right w:w="20" w:type="dxa"/>
            </w:tcMar>
            <w:vAlign w:val="bottom"/>
            <w:hideMark/>
          </w:tcPr>
          <w:p w14:paraId="73E37C0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1B18D9"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952F1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93CAC12" w14:textId="77777777" w:rsidR="00000000" w:rsidRDefault="00C1661D">
            <w:pPr>
              <w:spacing w:after="100"/>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14:paraId="67A20E25" w14:textId="77777777" w:rsidR="00000000" w:rsidRDefault="00C1661D">
            <w:pPr>
              <w:spacing w:after="100"/>
              <w:jc w:val="right"/>
              <w:rPr>
                <w:rFonts w:eastAsia="Times New Roman"/>
              </w:rPr>
            </w:pPr>
          </w:p>
        </w:tc>
      </w:tr>
      <w:tr w:rsidR="00000000" w14:paraId="4039A9B3" w14:textId="77777777">
        <w:trPr>
          <w:jc w:val="center"/>
        </w:trPr>
        <w:tc>
          <w:tcPr>
            <w:tcW w:w="0" w:type="auto"/>
            <w:gridSpan w:val="3"/>
            <w:shd w:val="clear" w:color="auto" w:fill="CCEEFF"/>
            <w:tcMar>
              <w:top w:w="30" w:type="dxa"/>
              <w:left w:w="155" w:type="dxa"/>
              <w:bottom w:w="30" w:type="dxa"/>
              <w:right w:w="20" w:type="dxa"/>
            </w:tcMar>
            <w:vAlign w:val="bottom"/>
            <w:hideMark/>
          </w:tcPr>
          <w:p w14:paraId="24C9979E" w14:textId="77777777" w:rsidR="00000000" w:rsidRDefault="00C1661D">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4CA4D1B"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FFCF44D" w14:textId="77777777" w:rsidR="00000000" w:rsidRDefault="00C1661D">
            <w:pPr>
              <w:spacing w:after="100"/>
              <w:jc w:val="right"/>
              <w:rPr>
                <w:rFonts w:eastAsia="Times New Roman"/>
              </w:rPr>
            </w:pPr>
            <w:r>
              <w:rPr>
                <w:rFonts w:eastAsia="Times New Roman"/>
                <w:color w:val="000000"/>
                <w:sz w:val="20"/>
                <w:szCs w:val="20"/>
              </w:rPr>
              <w:t>4.97 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635129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17759D"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807CF7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EADFFDC" w14:textId="77777777" w:rsidR="00000000" w:rsidRDefault="00C1661D">
            <w:pPr>
              <w:spacing w:after="100"/>
              <w:jc w:val="right"/>
              <w:rPr>
                <w:rFonts w:eastAsia="Times New Roman"/>
              </w:rPr>
            </w:pPr>
            <w:r>
              <w:rPr>
                <w:rFonts w:eastAsia="Times New Roman"/>
                <w:color w:val="000000"/>
                <w:sz w:val="20"/>
                <w:szCs w:val="20"/>
              </w:rPr>
              <w:t>6.92 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43D84A6"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169318" w14:textId="77777777" w:rsidR="00000000" w:rsidRDefault="00C1661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815E1C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A844666" w14:textId="77777777" w:rsidR="00000000" w:rsidRDefault="00C1661D">
            <w:pPr>
              <w:spacing w:after="100"/>
              <w:jc w:val="right"/>
              <w:rPr>
                <w:rFonts w:eastAsia="Times New Roman"/>
              </w:rPr>
            </w:pPr>
            <w:r>
              <w:rPr>
                <w:rFonts w:eastAsia="Times New Roman"/>
                <w:color w:val="000000"/>
                <w:sz w:val="20"/>
                <w:szCs w:val="20"/>
              </w:rPr>
              <w:t>2.54 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F8D7121" w14:textId="77777777" w:rsidR="00000000" w:rsidRDefault="00C1661D">
            <w:pPr>
              <w:spacing w:after="100"/>
              <w:jc w:val="right"/>
              <w:rPr>
                <w:rFonts w:eastAsia="Times New Roman"/>
              </w:rPr>
            </w:pPr>
          </w:p>
        </w:tc>
      </w:tr>
      <w:tr w:rsidR="00000000" w14:paraId="6C66921B" w14:textId="77777777">
        <w:trPr>
          <w:jc w:val="center"/>
        </w:trPr>
        <w:tc>
          <w:tcPr>
            <w:tcW w:w="0" w:type="auto"/>
            <w:gridSpan w:val="3"/>
            <w:shd w:val="clear" w:color="auto" w:fill="FFFFFF"/>
            <w:tcMar>
              <w:top w:w="30" w:type="dxa"/>
              <w:left w:w="20" w:type="dxa"/>
              <w:bottom w:w="30" w:type="dxa"/>
              <w:right w:w="20" w:type="dxa"/>
            </w:tcMar>
            <w:vAlign w:val="bottom"/>
            <w:hideMark/>
          </w:tcPr>
          <w:p w14:paraId="7F300008" w14:textId="77777777" w:rsidR="00000000" w:rsidRDefault="00C1661D">
            <w:pPr>
              <w:spacing w:after="100"/>
              <w:rPr>
                <w:rFonts w:eastAsia="Times New Roman"/>
              </w:rPr>
            </w:pPr>
            <w:r>
              <w:rPr>
                <w:rFonts w:eastAsia="Times New Roman"/>
                <w:color w:val="000000"/>
                <w:sz w:val="20"/>
                <w:szCs w:val="20"/>
              </w:rPr>
              <w:t>Weighted - average common shares outstanding (thousands):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6F7E2219"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4EF0833" w14:textId="77777777" w:rsidR="00000000" w:rsidRDefault="00C166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711A74C0"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EFDDCFE" w14:textId="77777777" w:rsidR="00000000" w:rsidRDefault="00C166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0C13BDD7" w14:textId="77777777" w:rsidR="00000000" w:rsidRDefault="00C1661D">
            <w:pPr>
              <w:spacing w:after="100"/>
              <w:rPr>
                <w:rFonts w:eastAsia="Times New Roman"/>
              </w:rPr>
            </w:pPr>
            <w:r>
              <w:rPr>
                <w:rFonts w:eastAsia="Times New Roman"/>
                <w:color w:val="000000"/>
                <w:sz w:val="20"/>
                <w:szCs w:val="20"/>
              </w:rPr>
              <w:t> </w:t>
            </w:r>
          </w:p>
        </w:tc>
      </w:tr>
      <w:tr w:rsidR="00000000" w14:paraId="77F6178B" w14:textId="77777777">
        <w:trPr>
          <w:jc w:val="center"/>
        </w:trPr>
        <w:tc>
          <w:tcPr>
            <w:tcW w:w="0" w:type="auto"/>
            <w:gridSpan w:val="3"/>
            <w:shd w:val="clear" w:color="auto" w:fill="CCEEFF"/>
            <w:tcMar>
              <w:top w:w="30" w:type="dxa"/>
              <w:left w:w="155" w:type="dxa"/>
              <w:bottom w:w="30" w:type="dxa"/>
              <w:right w:w="20" w:type="dxa"/>
            </w:tcMar>
            <w:vAlign w:val="bottom"/>
            <w:hideMark/>
          </w:tcPr>
          <w:p w14:paraId="36000E12" w14:textId="77777777" w:rsidR="00000000" w:rsidRDefault="00C1661D">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14:paraId="3B28908C" w14:textId="77777777" w:rsidR="00000000" w:rsidRDefault="00C1661D">
            <w:pPr>
              <w:spacing w:after="100"/>
              <w:jc w:val="right"/>
              <w:rPr>
                <w:rFonts w:eastAsia="Times New Roman"/>
              </w:rPr>
            </w:pPr>
            <w:r>
              <w:rPr>
                <w:rFonts w:eastAsia="Times New Roman"/>
                <w:color w:val="000000"/>
                <w:sz w:val="20"/>
                <w:szCs w:val="20"/>
              </w:rPr>
              <w:t>209,940 </w:t>
            </w:r>
          </w:p>
        </w:tc>
        <w:tc>
          <w:tcPr>
            <w:tcW w:w="0" w:type="auto"/>
            <w:shd w:val="clear" w:color="auto" w:fill="CCEEFF"/>
            <w:tcMar>
              <w:top w:w="30" w:type="dxa"/>
              <w:left w:w="0" w:type="dxa"/>
              <w:bottom w:w="30" w:type="dxa"/>
              <w:right w:w="20" w:type="dxa"/>
            </w:tcMar>
            <w:vAlign w:val="bottom"/>
            <w:hideMark/>
          </w:tcPr>
          <w:p w14:paraId="1E3E13B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6360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D49F3D" w14:textId="77777777" w:rsidR="00000000" w:rsidRDefault="00C1661D">
            <w:pPr>
              <w:spacing w:after="100"/>
              <w:jc w:val="right"/>
              <w:rPr>
                <w:rFonts w:eastAsia="Times New Roman"/>
              </w:rPr>
            </w:pPr>
            <w:r>
              <w:rPr>
                <w:rFonts w:eastAsia="Times New Roman"/>
                <w:color w:val="000000"/>
                <w:sz w:val="20"/>
                <w:szCs w:val="20"/>
              </w:rPr>
              <w:t>209,063 </w:t>
            </w:r>
          </w:p>
        </w:tc>
        <w:tc>
          <w:tcPr>
            <w:tcW w:w="0" w:type="auto"/>
            <w:shd w:val="clear" w:color="auto" w:fill="CCEEFF"/>
            <w:tcMar>
              <w:top w:w="30" w:type="dxa"/>
              <w:left w:w="0" w:type="dxa"/>
              <w:bottom w:w="30" w:type="dxa"/>
              <w:right w:w="20" w:type="dxa"/>
            </w:tcMar>
            <w:vAlign w:val="bottom"/>
            <w:hideMark/>
          </w:tcPr>
          <w:p w14:paraId="30EDAD1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15511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D40EF5" w14:textId="77777777" w:rsidR="00000000" w:rsidRDefault="00C1661D">
            <w:pPr>
              <w:spacing w:after="100"/>
              <w:jc w:val="right"/>
              <w:rPr>
                <w:rFonts w:eastAsia="Times New Roman"/>
              </w:rPr>
            </w:pPr>
            <w:r>
              <w:rPr>
                <w:rFonts w:eastAsia="Times New Roman"/>
                <w:color w:val="000000"/>
                <w:sz w:val="20"/>
                <w:szCs w:val="20"/>
              </w:rPr>
              <w:t>208,928 </w:t>
            </w:r>
          </w:p>
        </w:tc>
        <w:tc>
          <w:tcPr>
            <w:tcW w:w="0" w:type="auto"/>
            <w:shd w:val="clear" w:color="auto" w:fill="CCEEFF"/>
            <w:tcMar>
              <w:top w:w="30" w:type="dxa"/>
              <w:left w:w="0" w:type="dxa"/>
              <w:bottom w:w="30" w:type="dxa"/>
              <w:right w:w="20" w:type="dxa"/>
            </w:tcMar>
            <w:vAlign w:val="bottom"/>
            <w:hideMark/>
          </w:tcPr>
          <w:p w14:paraId="2F4EAAAA" w14:textId="77777777" w:rsidR="00000000" w:rsidRDefault="00C1661D">
            <w:pPr>
              <w:spacing w:after="100"/>
              <w:jc w:val="right"/>
              <w:rPr>
                <w:rFonts w:eastAsia="Times New Roman"/>
              </w:rPr>
            </w:pPr>
          </w:p>
        </w:tc>
      </w:tr>
      <w:tr w:rsidR="00000000" w14:paraId="0788B247" w14:textId="77777777">
        <w:trPr>
          <w:jc w:val="center"/>
        </w:trPr>
        <w:tc>
          <w:tcPr>
            <w:tcW w:w="0" w:type="auto"/>
            <w:gridSpan w:val="3"/>
            <w:shd w:val="clear" w:color="auto" w:fill="FFFFFF"/>
            <w:tcMar>
              <w:top w:w="30" w:type="dxa"/>
              <w:left w:w="155" w:type="dxa"/>
              <w:bottom w:w="30" w:type="dxa"/>
              <w:right w:w="20" w:type="dxa"/>
            </w:tcMar>
            <w:vAlign w:val="bottom"/>
            <w:hideMark/>
          </w:tcPr>
          <w:p w14:paraId="36F21CE4" w14:textId="77777777" w:rsidR="00000000" w:rsidRDefault="00C1661D">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014B382A" w14:textId="77777777" w:rsidR="00000000" w:rsidRDefault="00C1661D">
            <w:pPr>
              <w:spacing w:after="100"/>
              <w:jc w:val="right"/>
              <w:rPr>
                <w:rFonts w:eastAsia="Times New Roman"/>
              </w:rPr>
            </w:pPr>
            <w:r>
              <w:rPr>
                <w:rFonts w:eastAsia="Times New Roman"/>
                <w:color w:val="000000"/>
                <w:sz w:val="20"/>
                <w:szCs w:val="20"/>
              </w:rPr>
              <w:t>215,821 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3DB654DC"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25F35" w14:textId="77777777" w:rsidR="00000000" w:rsidRDefault="00C1661D">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056B26AF" w14:textId="77777777" w:rsidR="00000000" w:rsidRDefault="00C1661D">
            <w:pPr>
              <w:spacing w:after="100"/>
              <w:jc w:val="right"/>
              <w:rPr>
                <w:rFonts w:eastAsia="Times New Roman"/>
              </w:rPr>
            </w:pPr>
            <w:r>
              <w:rPr>
                <w:rFonts w:eastAsia="Times New Roman"/>
                <w:color w:val="000000"/>
                <w:sz w:val="20"/>
                <w:szCs w:val="20"/>
              </w:rPr>
              <w:t>212,126 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7AB7C46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F7033A" w14:textId="77777777" w:rsidR="00000000" w:rsidRDefault="00C1661D">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7D43B77C" w14:textId="77777777" w:rsidR="00000000" w:rsidRDefault="00C1661D">
            <w:pPr>
              <w:spacing w:after="100"/>
              <w:jc w:val="right"/>
              <w:rPr>
                <w:rFonts w:eastAsia="Times New Roman"/>
              </w:rPr>
            </w:pPr>
            <w:r>
              <w:rPr>
                <w:rFonts w:eastAsia="Times New Roman"/>
                <w:color w:val="000000"/>
                <w:sz w:val="20"/>
                <w:szCs w:val="20"/>
              </w:rPr>
              <w:t>209,869 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29E31426" w14:textId="77777777" w:rsidR="00000000" w:rsidRDefault="00C1661D">
            <w:pPr>
              <w:spacing w:after="100"/>
              <w:jc w:val="right"/>
              <w:rPr>
                <w:rFonts w:eastAsia="Times New Roman"/>
              </w:rPr>
            </w:pPr>
          </w:p>
        </w:tc>
      </w:tr>
    </w:tbl>
    <w:p w14:paraId="222BF150" w14:textId="77777777" w:rsidR="00000000" w:rsidRDefault="00C1661D">
      <w:pPr>
        <w:ind w:hanging="360"/>
        <w:jc w:val="both"/>
        <w:rPr>
          <w:rFonts w:eastAsia="Times New Roman"/>
        </w:rPr>
      </w:pPr>
      <w:r>
        <w:rPr>
          <w:rFonts w:eastAsia="Times New Roman"/>
          <w:color w:val="000000"/>
          <w:sz w:val="20"/>
          <w:szCs w:val="20"/>
        </w:rPr>
        <w:t>(a)</w:t>
      </w:r>
      <w:r>
        <w:rPr>
          <w:rFonts w:eastAsia="Times New Roman"/>
          <w:color w:val="000000"/>
          <w:sz w:val="20"/>
          <w:szCs w:val="20"/>
        </w:rPr>
        <w:t xml:space="preserve">UGI provides certain financial and administrative services to certain of its subsidiaries. UGI bills these subsidiaries monthly for all direct expenses incurred by UGI on behalf of its subsidiaries as well as allocated shares of indirect corporate expense </w:t>
      </w:r>
      <w:r>
        <w:rPr>
          <w:rFonts w:eastAsia="Times New Roman"/>
          <w:color w:val="000000"/>
          <w:sz w:val="20"/>
          <w:szCs w:val="20"/>
        </w:rPr>
        <w:t>incurred or paid with respect to services provided by UGI. The allocation of indirect UGI corporate expenses to certain of its subsidiaries utilizes a weighted, three-component formula comprising revenues, operating expenses, and net assets employed and co</w:t>
      </w:r>
      <w:r>
        <w:rPr>
          <w:rFonts w:eastAsia="Times New Roman"/>
          <w:color w:val="000000"/>
          <w:sz w:val="20"/>
          <w:szCs w:val="20"/>
        </w:rPr>
        <w:t>nsiders the relative percentage of such items for each subsidiary to the total of such items for all UGI operating subsidiaries for which general and administrative services are provided. Management believes that this allocation method is reasonable and eq</w:t>
      </w:r>
      <w:r>
        <w:rPr>
          <w:rFonts w:eastAsia="Times New Roman"/>
          <w:color w:val="000000"/>
          <w:sz w:val="20"/>
          <w:szCs w:val="20"/>
        </w:rPr>
        <w:t>uitable to its subsidiaries. These billed expenses are classified as “Other operating income, net” in the Statements of Income above.</w:t>
      </w:r>
    </w:p>
    <w:p w14:paraId="0AD5414A" w14:textId="77777777" w:rsidR="00000000" w:rsidRDefault="00C1661D">
      <w:pPr>
        <w:jc w:val="both"/>
        <w:rPr>
          <w:rFonts w:eastAsia="Times New Roman"/>
        </w:rPr>
      </w:pPr>
    </w:p>
    <w:p w14:paraId="32366257" w14:textId="77777777" w:rsidR="00000000" w:rsidRDefault="00C1661D">
      <w:pPr>
        <w:jc w:val="center"/>
        <w:divId w:val="1598319997"/>
        <w:rPr>
          <w:rFonts w:eastAsia="Times New Roman"/>
        </w:rPr>
      </w:pPr>
      <w:r>
        <w:rPr>
          <w:rFonts w:eastAsia="Times New Roman"/>
          <w:color w:val="000000"/>
          <w:sz w:val="20"/>
          <w:szCs w:val="20"/>
        </w:rPr>
        <w:t>S-2</w:t>
      </w:r>
    </w:p>
    <w:p w14:paraId="6B676EC2" w14:textId="77777777" w:rsidR="00000000" w:rsidRDefault="00C1661D">
      <w:pPr>
        <w:rPr>
          <w:rFonts w:eastAsia="Times New Roman"/>
        </w:rPr>
      </w:pPr>
      <w:r>
        <w:rPr>
          <w:rFonts w:eastAsia="Times New Roman"/>
        </w:rPr>
        <w:pict w14:anchorId="508ADCD7">
          <v:rect id="_x0000_i1177" style="width:0;height:1.5pt" o:hralign="center" o:hrstd="t" o:hr="t" fillcolor="#a0a0a0" stroked="f"/>
        </w:pict>
      </w:r>
    </w:p>
    <w:p w14:paraId="7A10E96E" w14:textId="77777777" w:rsidR="00000000" w:rsidRDefault="00C1661D">
      <w:pPr>
        <w:divId w:val="1618829984"/>
        <w:rPr>
          <w:rFonts w:eastAsia="Times New Roman"/>
        </w:rPr>
      </w:pPr>
      <w:hyperlink w:anchor="i3850c3c6c0104e42b9951aac2f16098a_7" w:history="1">
        <w:r>
          <w:rPr>
            <w:rStyle w:val="a3"/>
            <w:rFonts w:eastAsia="Times New Roman"/>
            <w:sz w:val="20"/>
            <w:szCs w:val="20"/>
          </w:rPr>
          <w:t>Table of Contents</w:t>
        </w:r>
      </w:hyperlink>
    </w:p>
    <w:p w14:paraId="75D822F5" w14:textId="77777777" w:rsidR="00000000" w:rsidRDefault="00C1661D">
      <w:pPr>
        <w:divId w:val="1052509283"/>
        <w:rPr>
          <w:rFonts w:eastAsia="Times New Roman"/>
        </w:rPr>
      </w:pPr>
    </w:p>
    <w:p w14:paraId="7FC216E6" w14:textId="77777777" w:rsidR="00000000" w:rsidRDefault="00C1661D">
      <w:pPr>
        <w:jc w:val="center"/>
        <w:divId w:val="1210339068"/>
        <w:rPr>
          <w:rFonts w:eastAsia="Times New Roman"/>
        </w:rPr>
      </w:pPr>
      <w:r>
        <w:rPr>
          <w:rFonts w:eastAsia="Times New Roman"/>
          <w:b/>
          <w:bCs/>
          <w:color w:val="000000"/>
          <w:sz w:val="20"/>
          <w:szCs w:val="20"/>
        </w:rPr>
        <w:t>UGI CORPORATION</w:t>
      </w:r>
    </w:p>
    <w:p w14:paraId="53F5662C" w14:textId="77777777" w:rsidR="00000000" w:rsidRDefault="00C1661D">
      <w:pPr>
        <w:jc w:val="center"/>
        <w:divId w:val="1210339068"/>
        <w:rPr>
          <w:rFonts w:eastAsia="Times New Roman"/>
        </w:rPr>
      </w:pPr>
      <w:r>
        <w:rPr>
          <w:rFonts w:eastAsia="Times New Roman"/>
          <w:b/>
          <w:bCs/>
          <w:color w:val="000000"/>
          <w:sz w:val="20"/>
          <w:szCs w:val="20"/>
        </w:rPr>
        <w:t>SCHEDULE I — CONDENSED FINANCIAL INFORMATION OF REGISTRANT (PARENT COMPANY)</w:t>
      </w:r>
    </w:p>
    <w:p w14:paraId="085D8020" w14:textId="77777777" w:rsidR="00000000" w:rsidRDefault="00C1661D">
      <w:pPr>
        <w:jc w:val="center"/>
        <w:rPr>
          <w:rFonts w:eastAsia="Times New Roman"/>
        </w:rPr>
      </w:pPr>
      <w:r>
        <w:rPr>
          <w:rFonts w:eastAsia="Times New Roman"/>
          <w:color w:val="000000"/>
          <w:sz w:val="20"/>
          <w:szCs w:val="20"/>
        </w:rPr>
        <w:t>STATEMENTS OF CASH FLOWS</w:t>
      </w:r>
    </w:p>
    <w:p w14:paraId="060912D0" w14:textId="77777777" w:rsidR="00000000" w:rsidRDefault="00C1661D">
      <w:pPr>
        <w:jc w:val="center"/>
        <w:rPr>
          <w:rFonts w:eastAsia="Times New Roman"/>
        </w:rPr>
      </w:pPr>
      <w:r>
        <w:rPr>
          <w:rFonts w:eastAsia="Times New Roman"/>
          <w:color w:val="000000"/>
          <w:sz w:val="20"/>
          <w:szCs w:val="20"/>
        </w:rPr>
        <w:t>(Millions of dollars)</w:t>
      </w:r>
    </w:p>
    <w:tbl>
      <w:tblPr>
        <w:tblW w:w="4992" w:type="pct"/>
        <w:tblCellMar>
          <w:top w:w="15" w:type="dxa"/>
          <w:left w:w="15" w:type="dxa"/>
          <w:bottom w:w="15" w:type="dxa"/>
          <w:right w:w="15" w:type="dxa"/>
        </w:tblCellMar>
        <w:tblLook w:val="04A0" w:firstRow="1" w:lastRow="0" w:firstColumn="1" w:lastColumn="0" w:noHBand="0" w:noVBand="1"/>
      </w:tblPr>
      <w:tblGrid>
        <w:gridCol w:w="39"/>
        <w:gridCol w:w="4862"/>
        <w:gridCol w:w="38"/>
        <w:gridCol w:w="120"/>
        <w:gridCol w:w="916"/>
        <w:gridCol w:w="36"/>
        <w:gridCol w:w="36"/>
        <w:gridCol w:w="36"/>
        <w:gridCol w:w="36"/>
        <w:gridCol w:w="120"/>
        <w:gridCol w:w="876"/>
        <w:gridCol w:w="36"/>
        <w:gridCol w:w="36"/>
        <w:gridCol w:w="36"/>
        <w:gridCol w:w="36"/>
        <w:gridCol w:w="120"/>
        <w:gridCol w:w="878"/>
        <w:gridCol w:w="36"/>
      </w:tblGrid>
      <w:tr w:rsidR="00000000" w14:paraId="356EA267" w14:textId="77777777">
        <w:trPr>
          <w:divId w:val="1662540887"/>
        </w:trPr>
        <w:tc>
          <w:tcPr>
            <w:tcW w:w="50" w:type="pct"/>
            <w:vAlign w:val="center"/>
            <w:hideMark/>
          </w:tcPr>
          <w:p w14:paraId="2523581B" w14:textId="77777777" w:rsidR="00000000" w:rsidRDefault="00C1661D">
            <w:pPr>
              <w:jc w:val="center"/>
              <w:rPr>
                <w:rFonts w:eastAsia="Times New Roman"/>
              </w:rPr>
            </w:pPr>
          </w:p>
        </w:tc>
        <w:tc>
          <w:tcPr>
            <w:tcW w:w="2961" w:type="pct"/>
            <w:vAlign w:val="center"/>
            <w:hideMark/>
          </w:tcPr>
          <w:p w14:paraId="57F7D388" w14:textId="77777777" w:rsidR="00000000" w:rsidRDefault="00C1661D">
            <w:pPr>
              <w:spacing w:after="100"/>
              <w:rPr>
                <w:rFonts w:eastAsia="Times New Roman"/>
                <w:sz w:val="20"/>
                <w:szCs w:val="20"/>
              </w:rPr>
            </w:pPr>
          </w:p>
        </w:tc>
        <w:tc>
          <w:tcPr>
            <w:tcW w:w="5" w:type="pct"/>
            <w:vAlign w:val="center"/>
            <w:hideMark/>
          </w:tcPr>
          <w:p w14:paraId="597AEC6F" w14:textId="77777777" w:rsidR="00000000" w:rsidRDefault="00C1661D">
            <w:pPr>
              <w:spacing w:after="100"/>
              <w:rPr>
                <w:rFonts w:eastAsia="Times New Roman"/>
                <w:sz w:val="20"/>
                <w:szCs w:val="20"/>
              </w:rPr>
            </w:pPr>
          </w:p>
        </w:tc>
        <w:tc>
          <w:tcPr>
            <w:tcW w:w="50" w:type="pct"/>
            <w:vAlign w:val="center"/>
            <w:hideMark/>
          </w:tcPr>
          <w:p w14:paraId="5BCD4AF8" w14:textId="77777777" w:rsidR="00000000" w:rsidRDefault="00C1661D">
            <w:pPr>
              <w:spacing w:after="100"/>
              <w:rPr>
                <w:rFonts w:eastAsia="Times New Roman"/>
                <w:sz w:val="20"/>
                <w:szCs w:val="20"/>
              </w:rPr>
            </w:pPr>
          </w:p>
        </w:tc>
        <w:tc>
          <w:tcPr>
            <w:tcW w:w="581" w:type="pct"/>
            <w:vAlign w:val="center"/>
            <w:hideMark/>
          </w:tcPr>
          <w:p w14:paraId="6DC1F477" w14:textId="77777777" w:rsidR="00000000" w:rsidRDefault="00C1661D">
            <w:pPr>
              <w:spacing w:after="100"/>
              <w:rPr>
                <w:rFonts w:eastAsia="Times New Roman"/>
                <w:sz w:val="20"/>
                <w:szCs w:val="20"/>
              </w:rPr>
            </w:pPr>
          </w:p>
        </w:tc>
        <w:tc>
          <w:tcPr>
            <w:tcW w:w="5" w:type="pct"/>
            <w:vAlign w:val="center"/>
            <w:hideMark/>
          </w:tcPr>
          <w:p w14:paraId="44CC7A68" w14:textId="77777777" w:rsidR="00000000" w:rsidRDefault="00C1661D">
            <w:pPr>
              <w:spacing w:after="100"/>
              <w:rPr>
                <w:rFonts w:eastAsia="Times New Roman"/>
                <w:sz w:val="20"/>
                <w:szCs w:val="20"/>
              </w:rPr>
            </w:pPr>
          </w:p>
        </w:tc>
        <w:tc>
          <w:tcPr>
            <w:tcW w:w="5" w:type="pct"/>
            <w:vAlign w:val="center"/>
            <w:hideMark/>
          </w:tcPr>
          <w:p w14:paraId="7380C750" w14:textId="77777777" w:rsidR="00000000" w:rsidRDefault="00C1661D">
            <w:pPr>
              <w:spacing w:after="100"/>
              <w:rPr>
                <w:rFonts w:eastAsia="Times New Roman"/>
                <w:sz w:val="20"/>
                <w:szCs w:val="20"/>
              </w:rPr>
            </w:pPr>
          </w:p>
        </w:tc>
        <w:tc>
          <w:tcPr>
            <w:tcW w:w="26" w:type="pct"/>
            <w:vAlign w:val="center"/>
            <w:hideMark/>
          </w:tcPr>
          <w:p w14:paraId="2E6B389B" w14:textId="77777777" w:rsidR="00000000" w:rsidRDefault="00C1661D">
            <w:pPr>
              <w:spacing w:after="100"/>
              <w:rPr>
                <w:rFonts w:eastAsia="Times New Roman"/>
                <w:sz w:val="20"/>
                <w:szCs w:val="20"/>
              </w:rPr>
            </w:pPr>
          </w:p>
        </w:tc>
        <w:tc>
          <w:tcPr>
            <w:tcW w:w="5" w:type="pct"/>
            <w:vAlign w:val="center"/>
            <w:hideMark/>
          </w:tcPr>
          <w:p w14:paraId="6267658D" w14:textId="77777777" w:rsidR="00000000" w:rsidRDefault="00C1661D">
            <w:pPr>
              <w:spacing w:after="100"/>
              <w:rPr>
                <w:rFonts w:eastAsia="Times New Roman"/>
                <w:sz w:val="20"/>
                <w:szCs w:val="20"/>
              </w:rPr>
            </w:pPr>
          </w:p>
        </w:tc>
        <w:tc>
          <w:tcPr>
            <w:tcW w:w="50" w:type="pct"/>
            <w:vAlign w:val="center"/>
            <w:hideMark/>
          </w:tcPr>
          <w:p w14:paraId="33AFCADC" w14:textId="77777777" w:rsidR="00000000" w:rsidRDefault="00C1661D">
            <w:pPr>
              <w:spacing w:after="100"/>
              <w:rPr>
                <w:rFonts w:eastAsia="Times New Roman"/>
                <w:sz w:val="20"/>
                <w:szCs w:val="20"/>
              </w:rPr>
            </w:pPr>
          </w:p>
        </w:tc>
        <w:tc>
          <w:tcPr>
            <w:tcW w:w="581" w:type="pct"/>
            <w:vAlign w:val="center"/>
            <w:hideMark/>
          </w:tcPr>
          <w:p w14:paraId="7A061E54" w14:textId="77777777" w:rsidR="00000000" w:rsidRDefault="00C1661D">
            <w:pPr>
              <w:spacing w:after="100"/>
              <w:rPr>
                <w:rFonts w:eastAsia="Times New Roman"/>
                <w:sz w:val="20"/>
                <w:szCs w:val="20"/>
              </w:rPr>
            </w:pPr>
          </w:p>
        </w:tc>
        <w:tc>
          <w:tcPr>
            <w:tcW w:w="5" w:type="pct"/>
            <w:vAlign w:val="center"/>
            <w:hideMark/>
          </w:tcPr>
          <w:p w14:paraId="57C6767F" w14:textId="77777777" w:rsidR="00000000" w:rsidRDefault="00C1661D">
            <w:pPr>
              <w:spacing w:after="100"/>
              <w:rPr>
                <w:rFonts w:eastAsia="Times New Roman"/>
                <w:sz w:val="20"/>
                <w:szCs w:val="20"/>
              </w:rPr>
            </w:pPr>
          </w:p>
        </w:tc>
        <w:tc>
          <w:tcPr>
            <w:tcW w:w="5" w:type="pct"/>
            <w:vAlign w:val="center"/>
            <w:hideMark/>
          </w:tcPr>
          <w:p w14:paraId="73BCDB3F" w14:textId="77777777" w:rsidR="00000000" w:rsidRDefault="00C1661D">
            <w:pPr>
              <w:spacing w:after="100"/>
              <w:rPr>
                <w:rFonts w:eastAsia="Times New Roman"/>
                <w:sz w:val="20"/>
                <w:szCs w:val="20"/>
              </w:rPr>
            </w:pPr>
          </w:p>
        </w:tc>
        <w:tc>
          <w:tcPr>
            <w:tcW w:w="26" w:type="pct"/>
            <w:vAlign w:val="center"/>
            <w:hideMark/>
          </w:tcPr>
          <w:p w14:paraId="2F33FC6B" w14:textId="77777777" w:rsidR="00000000" w:rsidRDefault="00C1661D">
            <w:pPr>
              <w:spacing w:after="100"/>
              <w:rPr>
                <w:rFonts w:eastAsia="Times New Roman"/>
                <w:sz w:val="20"/>
                <w:szCs w:val="20"/>
              </w:rPr>
            </w:pPr>
          </w:p>
        </w:tc>
        <w:tc>
          <w:tcPr>
            <w:tcW w:w="5" w:type="pct"/>
            <w:vAlign w:val="center"/>
            <w:hideMark/>
          </w:tcPr>
          <w:p w14:paraId="78676A83" w14:textId="77777777" w:rsidR="00000000" w:rsidRDefault="00C1661D">
            <w:pPr>
              <w:spacing w:after="100"/>
              <w:rPr>
                <w:rFonts w:eastAsia="Times New Roman"/>
                <w:sz w:val="20"/>
                <w:szCs w:val="20"/>
              </w:rPr>
            </w:pPr>
          </w:p>
        </w:tc>
        <w:tc>
          <w:tcPr>
            <w:tcW w:w="50" w:type="pct"/>
            <w:vAlign w:val="center"/>
            <w:hideMark/>
          </w:tcPr>
          <w:p w14:paraId="326E1508" w14:textId="77777777" w:rsidR="00000000" w:rsidRDefault="00C1661D">
            <w:pPr>
              <w:spacing w:after="100"/>
              <w:rPr>
                <w:rFonts w:eastAsia="Times New Roman"/>
                <w:sz w:val="20"/>
                <w:szCs w:val="20"/>
              </w:rPr>
            </w:pPr>
          </w:p>
        </w:tc>
        <w:tc>
          <w:tcPr>
            <w:tcW w:w="582" w:type="pct"/>
            <w:vAlign w:val="center"/>
            <w:hideMark/>
          </w:tcPr>
          <w:p w14:paraId="4429AE0C" w14:textId="77777777" w:rsidR="00000000" w:rsidRDefault="00C1661D">
            <w:pPr>
              <w:spacing w:after="100"/>
              <w:rPr>
                <w:rFonts w:eastAsia="Times New Roman"/>
                <w:sz w:val="20"/>
                <w:szCs w:val="20"/>
              </w:rPr>
            </w:pPr>
          </w:p>
        </w:tc>
        <w:tc>
          <w:tcPr>
            <w:tcW w:w="5" w:type="pct"/>
            <w:vAlign w:val="center"/>
            <w:hideMark/>
          </w:tcPr>
          <w:p w14:paraId="0E06C98B" w14:textId="77777777" w:rsidR="00000000" w:rsidRDefault="00C1661D">
            <w:pPr>
              <w:spacing w:after="100"/>
              <w:rPr>
                <w:rFonts w:eastAsia="Times New Roman"/>
                <w:sz w:val="20"/>
                <w:szCs w:val="20"/>
              </w:rPr>
            </w:pPr>
          </w:p>
        </w:tc>
      </w:tr>
      <w:tr w:rsidR="00000000" w14:paraId="4BF51E87" w14:textId="77777777">
        <w:trPr>
          <w:divId w:val="1662540887"/>
        </w:trPr>
        <w:tc>
          <w:tcPr>
            <w:tcW w:w="0" w:type="auto"/>
            <w:gridSpan w:val="3"/>
            <w:tcMar>
              <w:top w:w="0" w:type="dxa"/>
              <w:left w:w="20" w:type="dxa"/>
              <w:bottom w:w="0" w:type="dxa"/>
              <w:right w:w="20" w:type="dxa"/>
            </w:tcMar>
            <w:vAlign w:val="center"/>
            <w:hideMark/>
          </w:tcPr>
          <w:p w14:paraId="70591924" w14:textId="77777777" w:rsidR="00000000" w:rsidRDefault="00C1661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25265E1C" w14:textId="77777777" w:rsidR="00000000" w:rsidRDefault="00C1661D">
            <w:pPr>
              <w:spacing w:after="100"/>
              <w:jc w:val="center"/>
              <w:rPr>
                <w:rFonts w:eastAsia="Times New Roman"/>
              </w:rPr>
            </w:pPr>
            <w:r>
              <w:rPr>
                <w:rFonts w:eastAsia="Times New Roman"/>
                <w:color w:val="000000"/>
                <w:sz w:val="20"/>
                <w:szCs w:val="20"/>
              </w:rPr>
              <w:t>Year Ended September 30,</w:t>
            </w:r>
          </w:p>
        </w:tc>
      </w:tr>
      <w:tr w:rsidR="00000000" w14:paraId="001094B9" w14:textId="77777777">
        <w:trPr>
          <w:divId w:val="1662540887"/>
        </w:trPr>
        <w:tc>
          <w:tcPr>
            <w:tcW w:w="0" w:type="auto"/>
            <w:gridSpan w:val="3"/>
            <w:tcMar>
              <w:top w:w="30" w:type="dxa"/>
              <w:left w:w="20" w:type="dxa"/>
              <w:bottom w:w="30" w:type="dxa"/>
              <w:right w:w="20" w:type="dxa"/>
            </w:tcMar>
            <w:vAlign w:val="bottom"/>
            <w:hideMark/>
          </w:tcPr>
          <w:p w14:paraId="15A11064"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EFE7CA8" w14:textId="77777777" w:rsidR="00000000" w:rsidRDefault="00C1661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640118F0"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269C36" w14:textId="77777777" w:rsidR="00000000" w:rsidRDefault="00C1661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7943821B" w14:textId="77777777" w:rsidR="00000000" w:rsidRDefault="00C1661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E33262" w14:textId="77777777" w:rsidR="00000000" w:rsidRDefault="00C1661D">
            <w:pPr>
              <w:spacing w:after="100"/>
              <w:jc w:val="center"/>
              <w:rPr>
                <w:rFonts w:eastAsia="Times New Roman"/>
              </w:rPr>
            </w:pPr>
            <w:r>
              <w:rPr>
                <w:rFonts w:eastAsia="Times New Roman"/>
                <w:color w:val="000000"/>
                <w:sz w:val="20"/>
                <w:szCs w:val="20"/>
              </w:rPr>
              <w:t>2020</w:t>
            </w:r>
          </w:p>
        </w:tc>
      </w:tr>
      <w:tr w:rsidR="00000000" w14:paraId="28132474" w14:textId="77777777">
        <w:trPr>
          <w:divId w:val="1662540887"/>
        </w:trPr>
        <w:tc>
          <w:tcPr>
            <w:tcW w:w="0" w:type="auto"/>
            <w:gridSpan w:val="3"/>
            <w:shd w:val="clear" w:color="auto" w:fill="CCEEFF"/>
            <w:tcMar>
              <w:top w:w="30" w:type="dxa"/>
              <w:left w:w="20" w:type="dxa"/>
              <w:bottom w:w="30" w:type="dxa"/>
              <w:right w:w="20" w:type="dxa"/>
            </w:tcMar>
            <w:vAlign w:val="bottom"/>
            <w:hideMark/>
          </w:tcPr>
          <w:p w14:paraId="17263CC0" w14:textId="77777777" w:rsidR="00000000" w:rsidRDefault="00C1661D">
            <w:pPr>
              <w:spacing w:after="100"/>
              <w:rPr>
                <w:rFonts w:eastAsia="Times New Roman"/>
              </w:rPr>
            </w:pPr>
            <w:r>
              <w:rPr>
                <w:rFonts w:eastAsia="Times New Roman"/>
                <w:b/>
                <w:bCs/>
                <w:color w:val="000000"/>
                <w:sz w:val="20"/>
                <w:szCs w:val="20"/>
              </w:rPr>
              <w:t>NET CASH PROVIDED BY OPERATING ACTIVITIES (a)</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F5466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9B9F54" w14:textId="77777777" w:rsidR="00000000" w:rsidRDefault="00C1661D">
            <w:pPr>
              <w:spacing w:after="100"/>
              <w:jc w:val="right"/>
              <w:rPr>
                <w:rFonts w:eastAsia="Times New Roman"/>
              </w:rPr>
            </w:pPr>
            <w:r>
              <w:rPr>
                <w:rFonts w:eastAsia="Times New Roman"/>
                <w:color w:val="000000"/>
                <w:sz w:val="20"/>
                <w:szCs w:val="20"/>
              </w:rPr>
              <w:t>485 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3C381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401395"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3C1D6F"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421126" w14:textId="77777777" w:rsidR="00000000" w:rsidRDefault="00C1661D">
            <w:pPr>
              <w:spacing w:after="100"/>
              <w:jc w:val="right"/>
              <w:rPr>
                <w:rFonts w:eastAsia="Times New Roman"/>
              </w:rPr>
            </w:pPr>
            <w:r>
              <w:rPr>
                <w:rFonts w:eastAsia="Times New Roman"/>
                <w:color w:val="000000"/>
                <w:sz w:val="20"/>
                <w:szCs w:val="20"/>
              </w:rPr>
              <w:t>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98D93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D2CB81"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D6059A"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A1DAF5" w14:textId="77777777" w:rsidR="00000000" w:rsidRDefault="00C1661D">
            <w:pPr>
              <w:spacing w:after="100"/>
              <w:jc w:val="right"/>
              <w:rPr>
                <w:rFonts w:eastAsia="Times New Roman"/>
              </w:rPr>
            </w:pPr>
            <w:r>
              <w:rPr>
                <w:rFonts w:eastAsia="Times New Roman"/>
                <w:color w:val="000000"/>
                <w:sz w:val="20"/>
                <w:szCs w:val="20"/>
              </w:rPr>
              <w:t>322 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59C623" w14:textId="77777777" w:rsidR="00000000" w:rsidRDefault="00C1661D">
            <w:pPr>
              <w:spacing w:after="100"/>
              <w:jc w:val="right"/>
              <w:rPr>
                <w:rFonts w:eastAsia="Times New Roman"/>
              </w:rPr>
            </w:pPr>
          </w:p>
        </w:tc>
      </w:tr>
      <w:tr w:rsidR="00000000" w14:paraId="73B97CB4" w14:textId="77777777">
        <w:trPr>
          <w:divId w:val="1662540887"/>
          <w:trHeight w:val="300"/>
        </w:trPr>
        <w:tc>
          <w:tcPr>
            <w:tcW w:w="0" w:type="auto"/>
            <w:gridSpan w:val="3"/>
            <w:shd w:val="clear" w:color="auto" w:fill="FFFFFF"/>
            <w:tcMar>
              <w:top w:w="0" w:type="dxa"/>
              <w:left w:w="20" w:type="dxa"/>
              <w:bottom w:w="0" w:type="dxa"/>
              <w:right w:w="20" w:type="dxa"/>
            </w:tcMar>
            <w:vAlign w:val="center"/>
            <w:hideMark/>
          </w:tcPr>
          <w:p w14:paraId="016A33D0" w14:textId="77777777" w:rsidR="00000000" w:rsidRDefault="00C1661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52527B"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332110"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8822BA"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A91116"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0158D3" w14:textId="77777777" w:rsidR="00000000" w:rsidRDefault="00C1661D">
            <w:pPr>
              <w:spacing w:after="100"/>
              <w:rPr>
                <w:rFonts w:eastAsia="Times New Roman"/>
                <w:sz w:val="20"/>
                <w:szCs w:val="20"/>
              </w:rPr>
            </w:pPr>
          </w:p>
        </w:tc>
      </w:tr>
      <w:tr w:rsidR="00000000" w14:paraId="124466DC" w14:textId="77777777">
        <w:trPr>
          <w:divId w:val="1662540887"/>
        </w:trPr>
        <w:tc>
          <w:tcPr>
            <w:tcW w:w="0" w:type="auto"/>
            <w:gridSpan w:val="3"/>
            <w:shd w:val="clear" w:color="auto" w:fill="CCEEFF"/>
            <w:tcMar>
              <w:top w:w="30" w:type="dxa"/>
              <w:left w:w="20" w:type="dxa"/>
              <w:bottom w:w="30" w:type="dxa"/>
              <w:right w:w="20" w:type="dxa"/>
            </w:tcMar>
            <w:vAlign w:val="bottom"/>
            <w:hideMark/>
          </w:tcPr>
          <w:p w14:paraId="2DF1EE5E" w14:textId="77777777" w:rsidR="00000000" w:rsidRDefault="00C1661D">
            <w:pPr>
              <w:spacing w:after="100"/>
              <w:rPr>
                <w:rFonts w:eastAsia="Times New Roman"/>
              </w:rPr>
            </w:pPr>
            <w:r>
              <w:rPr>
                <w:rFonts w:eastAsia="Times New Roman"/>
                <w:b/>
                <w:bCs/>
                <w:color w:val="000000"/>
                <w:sz w:val="20"/>
                <w:szCs w:val="20"/>
              </w:rPr>
              <w:t>CASH FLOWS FROM INVESTING ACTIVITIES:</w:t>
            </w:r>
          </w:p>
        </w:tc>
        <w:tc>
          <w:tcPr>
            <w:tcW w:w="0" w:type="auto"/>
            <w:gridSpan w:val="3"/>
            <w:shd w:val="clear" w:color="auto" w:fill="CCEEFF"/>
            <w:tcMar>
              <w:top w:w="30" w:type="dxa"/>
              <w:left w:w="20" w:type="dxa"/>
              <w:bottom w:w="30" w:type="dxa"/>
              <w:right w:w="20" w:type="dxa"/>
            </w:tcMar>
            <w:vAlign w:val="bottom"/>
            <w:hideMark/>
          </w:tcPr>
          <w:p w14:paraId="3552520F"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222CEFC"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C6B6299"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EB28B9B"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2A2953E" w14:textId="77777777" w:rsidR="00000000" w:rsidRDefault="00C1661D">
            <w:pPr>
              <w:spacing w:after="100"/>
              <w:rPr>
                <w:rFonts w:eastAsia="Times New Roman"/>
              </w:rPr>
            </w:pPr>
            <w:r>
              <w:rPr>
                <w:rFonts w:eastAsia="Times New Roman"/>
                <w:color w:val="000000"/>
                <w:sz w:val="20"/>
                <w:szCs w:val="20"/>
              </w:rPr>
              <w:t> </w:t>
            </w:r>
          </w:p>
        </w:tc>
      </w:tr>
      <w:tr w:rsidR="00000000" w14:paraId="0ED081AA" w14:textId="77777777">
        <w:trPr>
          <w:divId w:val="1662540887"/>
        </w:trPr>
        <w:tc>
          <w:tcPr>
            <w:tcW w:w="0" w:type="auto"/>
            <w:gridSpan w:val="3"/>
            <w:vAlign w:val="center"/>
            <w:hideMark/>
          </w:tcPr>
          <w:p w14:paraId="652AB8A5" w14:textId="77777777" w:rsidR="00000000" w:rsidRDefault="00C1661D">
            <w:pPr>
              <w:spacing w:after="100"/>
              <w:rPr>
                <w:rFonts w:eastAsia="Times New Roman"/>
              </w:rPr>
            </w:pPr>
          </w:p>
        </w:tc>
        <w:tc>
          <w:tcPr>
            <w:tcW w:w="0" w:type="auto"/>
            <w:gridSpan w:val="3"/>
            <w:vAlign w:val="center"/>
            <w:hideMark/>
          </w:tcPr>
          <w:p w14:paraId="32FA9105" w14:textId="77777777" w:rsidR="00000000" w:rsidRDefault="00C1661D">
            <w:pPr>
              <w:spacing w:after="100"/>
              <w:rPr>
                <w:rFonts w:eastAsia="Times New Roman"/>
                <w:sz w:val="20"/>
                <w:szCs w:val="20"/>
              </w:rPr>
            </w:pPr>
          </w:p>
        </w:tc>
        <w:tc>
          <w:tcPr>
            <w:tcW w:w="0" w:type="auto"/>
            <w:gridSpan w:val="3"/>
            <w:vAlign w:val="center"/>
            <w:hideMark/>
          </w:tcPr>
          <w:p w14:paraId="519A490D" w14:textId="77777777" w:rsidR="00000000" w:rsidRDefault="00C1661D">
            <w:pPr>
              <w:spacing w:after="100"/>
              <w:rPr>
                <w:rFonts w:eastAsia="Times New Roman"/>
                <w:sz w:val="20"/>
                <w:szCs w:val="20"/>
              </w:rPr>
            </w:pPr>
          </w:p>
        </w:tc>
        <w:tc>
          <w:tcPr>
            <w:tcW w:w="0" w:type="auto"/>
            <w:gridSpan w:val="3"/>
            <w:vAlign w:val="center"/>
            <w:hideMark/>
          </w:tcPr>
          <w:p w14:paraId="26F16891" w14:textId="77777777" w:rsidR="00000000" w:rsidRDefault="00C1661D">
            <w:pPr>
              <w:spacing w:after="100"/>
              <w:rPr>
                <w:rFonts w:eastAsia="Times New Roman"/>
                <w:sz w:val="20"/>
                <w:szCs w:val="20"/>
              </w:rPr>
            </w:pPr>
          </w:p>
        </w:tc>
        <w:tc>
          <w:tcPr>
            <w:tcW w:w="0" w:type="auto"/>
            <w:gridSpan w:val="3"/>
            <w:vAlign w:val="center"/>
            <w:hideMark/>
          </w:tcPr>
          <w:p w14:paraId="16454B49" w14:textId="77777777" w:rsidR="00000000" w:rsidRDefault="00C1661D">
            <w:pPr>
              <w:spacing w:after="100"/>
              <w:rPr>
                <w:rFonts w:eastAsia="Times New Roman"/>
                <w:sz w:val="20"/>
                <w:szCs w:val="20"/>
              </w:rPr>
            </w:pPr>
          </w:p>
        </w:tc>
        <w:tc>
          <w:tcPr>
            <w:tcW w:w="0" w:type="auto"/>
            <w:gridSpan w:val="3"/>
            <w:vAlign w:val="center"/>
            <w:hideMark/>
          </w:tcPr>
          <w:p w14:paraId="7B65E35E" w14:textId="77777777" w:rsidR="00000000" w:rsidRDefault="00C1661D">
            <w:pPr>
              <w:spacing w:after="100"/>
              <w:rPr>
                <w:rFonts w:eastAsia="Times New Roman"/>
                <w:sz w:val="20"/>
                <w:szCs w:val="20"/>
              </w:rPr>
            </w:pPr>
          </w:p>
        </w:tc>
      </w:tr>
      <w:tr w:rsidR="00000000" w14:paraId="6D22165C" w14:textId="77777777">
        <w:trPr>
          <w:divId w:val="1662540887"/>
        </w:trPr>
        <w:tc>
          <w:tcPr>
            <w:tcW w:w="0" w:type="auto"/>
            <w:gridSpan w:val="3"/>
            <w:shd w:val="clear" w:color="auto" w:fill="FFFFFF"/>
            <w:tcMar>
              <w:top w:w="30" w:type="dxa"/>
              <w:left w:w="155" w:type="dxa"/>
              <w:bottom w:w="30" w:type="dxa"/>
              <w:right w:w="20" w:type="dxa"/>
            </w:tcMar>
            <w:vAlign w:val="bottom"/>
            <w:hideMark/>
          </w:tcPr>
          <w:p w14:paraId="700B1B9D" w14:textId="77777777" w:rsidR="00000000" w:rsidRDefault="00C1661D">
            <w:pPr>
              <w:spacing w:after="100"/>
              <w:rPr>
                <w:rFonts w:eastAsia="Times New Roman"/>
              </w:rPr>
            </w:pPr>
            <w:r>
              <w:rPr>
                <w:rFonts w:eastAsia="Times New Roman"/>
                <w:color w:val="000000"/>
                <w:sz w:val="20"/>
                <w:szCs w:val="20"/>
              </w:rPr>
              <w:t>Return of capital distributions</w:t>
            </w:r>
          </w:p>
        </w:tc>
        <w:tc>
          <w:tcPr>
            <w:tcW w:w="0" w:type="auto"/>
            <w:gridSpan w:val="2"/>
            <w:shd w:val="clear" w:color="auto" w:fill="FFFFFF"/>
            <w:tcMar>
              <w:top w:w="30" w:type="dxa"/>
              <w:left w:w="20" w:type="dxa"/>
              <w:bottom w:w="30" w:type="dxa"/>
              <w:right w:w="0" w:type="dxa"/>
            </w:tcMar>
            <w:vAlign w:val="bottom"/>
            <w:hideMark/>
          </w:tcPr>
          <w:p w14:paraId="752F5376" w14:textId="77777777" w:rsidR="00000000" w:rsidRDefault="00C1661D">
            <w:pPr>
              <w:spacing w:after="100"/>
              <w:jc w:val="right"/>
              <w:rPr>
                <w:rFonts w:eastAsia="Times New Roman"/>
              </w:rPr>
            </w:pPr>
            <w:r>
              <w:rPr>
                <w:rFonts w:eastAsia="Times New Roman"/>
                <w:color w:val="000000"/>
                <w:sz w:val="20"/>
                <w:szCs w:val="20"/>
              </w:rPr>
              <w:t>175 </w:t>
            </w:r>
          </w:p>
        </w:tc>
        <w:tc>
          <w:tcPr>
            <w:tcW w:w="0" w:type="auto"/>
            <w:shd w:val="clear" w:color="auto" w:fill="FFFFFF"/>
            <w:tcMar>
              <w:top w:w="30" w:type="dxa"/>
              <w:left w:w="0" w:type="dxa"/>
              <w:bottom w:w="30" w:type="dxa"/>
              <w:right w:w="20" w:type="dxa"/>
            </w:tcMar>
            <w:vAlign w:val="bottom"/>
            <w:hideMark/>
          </w:tcPr>
          <w:p w14:paraId="33A1D8C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5BDA1"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48AEF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6C2B2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FEAF4"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A57B9D"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984223B" w14:textId="77777777" w:rsidR="00000000" w:rsidRDefault="00C1661D">
            <w:pPr>
              <w:spacing w:after="100"/>
              <w:jc w:val="right"/>
              <w:rPr>
                <w:rFonts w:eastAsia="Times New Roman"/>
              </w:rPr>
            </w:pPr>
          </w:p>
        </w:tc>
      </w:tr>
      <w:tr w:rsidR="00000000" w14:paraId="1E123295" w14:textId="77777777">
        <w:trPr>
          <w:divId w:val="1662540887"/>
        </w:trPr>
        <w:tc>
          <w:tcPr>
            <w:tcW w:w="0" w:type="auto"/>
            <w:gridSpan w:val="3"/>
            <w:vAlign w:val="center"/>
            <w:hideMark/>
          </w:tcPr>
          <w:p w14:paraId="4FC0BAF6" w14:textId="77777777" w:rsidR="00000000" w:rsidRDefault="00C1661D">
            <w:pPr>
              <w:spacing w:after="100"/>
              <w:jc w:val="right"/>
              <w:rPr>
                <w:rFonts w:eastAsia="Times New Roman"/>
                <w:sz w:val="20"/>
                <w:szCs w:val="20"/>
              </w:rPr>
            </w:pPr>
          </w:p>
        </w:tc>
        <w:tc>
          <w:tcPr>
            <w:tcW w:w="0" w:type="auto"/>
            <w:gridSpan w:val="3"/>
            <w:vAlign w:val="center"/>
            <w:hideMark/>
          </w:tcPr>
          <w:p w14:paraId="2FD14CCE" w14:textId="77777777" w:rsidR="00000000" w:rsidRDefault="00C1661D">
            <w:pPr>
              <w:spacing w:after="100"/>
              <w:rPr>
                <w:rFonts w:eastAsia="Times New Roman"/>
                <w:sz w:val="20"/>
                <w:szCs w:val="20"/>
              </w:rPr>
            </w:pPr>
          </w:p>
        </w:tc>
        <w:tc>
          <w:tcPr>
            <w:tcW w:w="0" w:type="auto"/>
            <w:gridSpan w:val="3"/>
            <w:vAlign w:val="center"/>
            <w:hideMark/>
          </w:tcPr>
          <w:p w14:paraId="0B7C41B9" w14:textId="77777777" w:rsidR="00000000" w:rsidRDefault="00C1661D">
            <w:pPr>
              <w:spacing w:after="100"/>
              <w:rPr>
                <w:rFonts w:eastAsia="Times New Roman"/>
                <w:sz w:val="20"/>
                <w:szCs w:val="20"/>
              </w:rPr>
            </w:pPr>
          </w:p>
        </w:tc>
        <w:tc>
          <w:tcPr>
            <w:tcW w:w="0" w:type="auto"/>
            <w:gridSpan w:val="3"/>
            <w:vAlign w:val="center"/>
            <w:hideMark/>
          </w:tcPr>
          <w:p w14:paraId="38F2033D" w14:textId="77777777" w:rsidR="00000000" w:rsidRDefault="00C1661D">
            <w:pPr>
              <w:spacing w:after="100"/>
              <w:rPr>
                <w:rFonts w:eastAsia="Times New Roman"/>
                <w:sz w:val="20"/>
                <w:szCs w:val="20"/>
              </w:rPr>
            </w:pPr>
          </w:p>
        </w:tc>
        <w:tc>
          <w:tcPr>
            <w:tcW w:w="0" w:type="auto"/>
            <w:gridSpan w:val="3"/>
            <w:vAlign w:val="center"/>
            <w:hideMark/>
          </w:tcPr>
          <w:p w14:paraId="37731B5E" w14:textId="77777777" w:rsidR="00000000" w:rsidRDefault="00C1661D">
            <w:pPr>
              <w:spacing w:after="100"/>
              <w:rPr>
                <w:rFonts w:eastAsia="Times New Roman"/>
                <w:sz w:val="20"/>
                <w:szCs w:val="20"/>
              </w:rPr>
            </w:pPr>
          </w:p>
        </w:tc>
        <w:tc>
          <w:tcPr>
            <w:tcW w:w="0" w:type="auto"/>
            <w:gridSpan w:val="3"/>
            <w:vAlign w:val="center"/>
            <w:hideMark/>
          </w:tcPr>
          <w:p w14:paraId="55EDC7AE" w14:textId="77777777" w:rsidR="00000000" w:rsidRDefault="00C1661D">
            <w:pPr>
              <w:spacing w:after="100"/>
              <w:rPr>
                <w:rFonts w:eastAsia="Times New Roman"/>
                <w:sz w:val="20"/>
                <w:szCs w:val="20"/>
              </w:rPr>
            </w:pPr>
          </w:p>
        </w:tc>
      </w:tr>
      <w:tr w:rsidR="00000000" w14:paraId="62643DB8" w14:textId="77777777">
        <w:trPr>
          <w:divId w:val="1662540887"/>
        </w:trPr>
        <w:tc>
          <w:tcPr>
            <w:tcW w:w="0" w:type="auto"/>
            <w:gridSpan w:val="3"/>
            <w:shd w:val="clear" w:color="auto" w:fill="CCEEFF"/>
            <w:tcMar>
              <w:top w:w="30" w:type="dxa"/>
              <w:left w:w="155" w:type="dxa"/>
              <w:bottom w:w="30" w:type="dxa"/>
              <w:right w:w="20" w:type="dxa"/>
            </w:tcMar>
            <w:vAlign w:val="bottom"/>
            <w:hideMark/>
          </w:tcPr>
          <w:p w14:paraId="3B2B45D6" w14:textId="77777777" w:rsidR="00000000" w:rsidRDefault="00C1661D">
            <w:pPr>
              <w:spacing w:after="100"/>
              <w:rPr>
                <w:rFonts w:eastAsia="Times New Roman"/>
              </w:rPr>
            </w:pPr>
            <w:r>
              <w:rPr>
                <w:rFonts w:eastAsia="Times New Roman"/>
                <w:color w:val="000000"/>
                <w:sz w:val="20"/>
                <w:szCs w:val="20"/>
              </w:rPr>
              <w:t>Net investments in unconsolidated subsidiaries</w:t>
            </w:r>
          </w:p>
        </w:tc>
        <w:tc>
          <w:tcPr>
            <w:tcW w:w="0" w:type="auto"/>
            <w:gridSpan w:val="2"/>
            <w:shd w:val="clear" w:color="auto" w:fill="CCEEFF"/>
            <w:tcMar>
              <w:top w:w="30" w:type="dxa"/>
              <w:left w:w="20" w:type="dxa"/>
              <w:bottom w:w="30" w:type="dxa"/>
              <w:right w:w="0" w:type="dxa"/>
            </w:tcMar>
            <w:vAlign w:val="bottom"/>
            <w:hideMark/>
          </w:tcPr>
          <w:p w14:paraId="0622F611" w14:textId="77777777" w:rsidR="00000000" w:rsidRDefault="00C1661D">
            <w:pPr>
              <w:spacing w:after="100"/>
              <w:jc w:val="right"/>
              <w:rPr>
                <w:rFonts w:eastAsia="Times New Roman"/>
              </w:rPr>
            </w:pPr>
            <w:r>
              <w:rPr>
                <w:rFonts w:eastAsia="Times New Roman"/>
                <w:color w:val="000000"/>
                <w:sz w:val="20"/>
                <w:szCs w:val="20"/>
              </w:rPr>
              <w:t>(390)</w:t>
            </w:r>
          </w:p>
        </w:tc>
        <w:tc>
          <w:tcPr>
            <w:tcW w:w="0" w:type="auto"/>
            <w:shd w:val="clear" w:color="auto" w:fill="CCEEFF"/>
            <w:tcMar>
              <w:top w:w="30" w:type="dxa"/>
              <w:left w:w="0" w:type="dxa"/>
              <w:bottom w:w="30" w:type="dxa"/>
              <w:right w:w="20" w:type="dxa"/>
            </w:tcMar>
            <w:vAlign w:val="bottom"/>
            <w:hideMark/>
          </w:tcPr>
          <w:p w14:paraId="06469D0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03E25F"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1050DE" w14:textId="77777777" w:rsidR="00000000" w:rsidRDefault="00C1661D">
            <w:pPr>
              <w:spacing w:after="100"/>
              <w:jc w:val="right"/>
              <w:rPr>
                <w:rFonts w:eastAsia="Times New Roman"/>
              </w:rPr>
            </w:pPr>
            <w:r>
              <w:rPr>
                <w:rFonts w:eastAsia="Times New Roman"/>
                <w:color w:val="000000"/>
                <w:sz w:val="20"/>
                <w:szCs w:val="20"/>
              </w:rPr>
              <w:t>(401)</w:t>
            </w:r>
          </w:p>
        </w:tc>
        <w:tc>
          <w:tcPr>
            <w:tcW w:w="0" w:type="auto"/>
            <w:shd w:val="clear" w:color="auto" w:fill="CCEEFF"/>
            <w:tcMar>
              <w:top w:w="30" w:type="dxa"/>
              <w:left w:w="0" w:type="dxa"/>
              <w:bottom w:w="30" w:type="dxa"/>
              <w:right w:w="20" w:type="dxa"/>
            </w:tcMar>
            <w:vAlign w:val="bottom"/>
            <w:hideMark/>
          </w:tcPr>
          <w:p w14:paraId="4AFB463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C27A16"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D2755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BED1C51" w14:textId="77777777" w:rsidR="00000000" w:rsidRDefault="00C1661D">
            <w:pPr>
              <w:spacing w:after="100"/>
              <w:jc w:val="right"/>
              <w:rPr>
                <w:rFonts w:eastAsia="Times New Roman"/>
              </w:rPr>
            </w:pPr>
          </w:p>
        </w:tc>
      </w:tr>
      <w:tr w:rsidR="00000000" w14:paraId="3BA685C6" w14:textId="77777777">
        <w:trPr>
          <w:divId w:val="1662540887"/>
        </w:trPr>
        <w:tc>
          <w:tcPr>
            <w:tcW w:w="0" w:type="auto"/>
            <w:gridSpan w:val="3"/>
            <w:shd w:val="clear" w:color="auto" w:fill="FFFFFF"/>
            <w:tcMar>
              <w:top w:w="30" w:type="dxa"/>
              <w:left w:w="380" w:type="dxa"/>
              <w:bottom w:w="30" w:type="dxa"/>
              <w:right w:w="20" w:type="dxa"/>
            </w:tcMar>
            <w:vAlign w:val="bottom"/>
            <w:hideMark/>
          </w:tcPr>
          <w:p w14:paraId="3AA0A412" w14:textId="77777777" w:rsidR="00000000" w:rsidRDefault="00C1661D">
            <w:pPr>
              <w:spacing w:after="100"/>
              <w:rPr>
                <w:rFonts w:eastAsia="Times New Roman"/>
              </w:rPr>
            </w:pPr>
            <w:r>
              <w:rPr>
                <w:rFonts w:eastAsia="Times New Roman"/>
                <w:color w:val="000000"/>
                <w:sz w:val="20"/>
                <w:szCs w:val="20"/>
              </w:rPr>
              <w:t>Net cash used by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C3136A" w14:textId="77777777" w:rsidR="00000000" w:rsidRDefault="00C1661D">
            <w:pPr>
              <w:spacing w:after="100"/>
              <w:jc w:val="right"/>
              <w:rPr>
                <w:rFonts w:eastAsia="Times New Roman"/>
              </w:rPr>
            </w:pPr>
            <w:r>
              <w:rPr>
                <w:rFonts w:eastAsia="Times New Roman"/>
                <w:color w:val="000000"/>
                <w:sz w:val="20"/>
                <w:szCs w:val="20"/>
              </w:rPr>
              <w:t>(215)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CCB14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BA06F2"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A9726B" w14:textId="77777777" w:rsidR="00000000" w:rsidRDefault="00C1661D">
            <w:pPr>
              <w:spacing w:after="100"/>
              <w:jc w:val="right"/>
              <w:rPr>
                <w:rFonts w:eastAsia="Times New Roman"/>
              </w:rPr>
            </w:pPr>
            <w:r>
              <w:rPr>
                <w:rFonts w:eastAsia="Times New Roman"/>
                <w:color w:val="000000"/>
                <w:sz w:val="20"/>
                <w:szCs w:val="20"/>
              </w:rPr>
              <w:t>(401)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973A2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9DD3DC"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D590E3" w14:textId="77777777" w:rsidR="00000000" w:rsidRDefault="00C1661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2438DE" w14:textId="77777777" w:rsidR="00000000" w:rsidRDefault="00C1661D">
            <w:pPr>
              <w:spacing w:after="100"/>
              <w:jc w:val="right"/>
              <w:rPr>
                <w:rFonts w:eastAsia="Times New Roman"/>
              </w:rPr>
            </w:pPr>
          </w:p>
        </w:tc>
      </w:tr>
      <w:tr w:rsidR="00000000" w14:paraId="37C71C58" w14:textId="77777777">
        <w:trPr>
          <w:divId w:val="1662540887"/>
          <w:trHeight w:val="300"/>
        </w:trPr>
        <w:tc>
          <w:tcPr>
            <w:tcW w:w="0" w:type="auto"/>
            <w:gridSpan w:val="3"/>
            <w:shd w:val="clear" w:color="auto" w:fill="CCEEFF"/>
            <w:tcMar>
              <w:top w:w="0" w:type="dxa"/>
              <w:left w:w="20" w:type="dxa"/>
              <w:bottom w:w="0" w:type="dxa"/>
              <w:right w:w="20" w:type="dxa"/>
            </w:tcMar>
            <w:vAlign w:val="center"/>
            <w:hideMark/>
          </w:tcPr>
          <w:p w14:paraId="7E66D0B2" w14:textId="77777777" w:rsidR="00000000" w:rsidRDefault="00C1661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613FB7"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D61D7B"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35D4E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352D8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209A2B" w14:textId="77777777" w:rsidR="00000000" w:rsidRDefault="00C1661D">
            <w:pPr>
              <w:spacing w:after="100"/>
              <w:rPr>
                <w:rFonts w:eastAsia="Times New Roman"/>
                <w:sz w:val="20"/>
                <w:szCs w:val="20"/>
              </w:rPr>
            </w:pPr>
          </w:p>
        </w:tc>
      </w:tr>
      <w:tr w:rsidR="00000000" w14:paraId="545F4D4A" w14:textId="77777777">
        <w:trPr>
          <w:divId w:val="1662540887"/>
        </w:trPr>
        <w:tc>
          <w:tcPr>
            <w:tcW w:w="0" w:type="auto"/>
            <w:gridSpan w:val="3"/>
            <w:shd w:val="clear" w:color="auto" w:fill="FFFFFF"/>
            <w:tcMar>
              <w:top w:w="30" w:type="dxa"/>
              <w:left w:w="20" w:type="dxa"/>
              <w:bottom w:w="30" w:type="dxa"/>
              <w:right w:w="20" w:type="dxa"/>
            </w:tcMar>
            <w:vAlign w:val="bottom"/>
            <w:hideMark/>
          </w:tcPr>
          <w:p w14:paraId="6C9722B3" w14:textId="77777777" w:rsidR="00000000" w:rsidRDefault="00C1661D">
            <w:pPr>
              <w:spacing w:after="100"/>
              <w:rPr>
                <w:rFonts w:eastAsia="Times New Roman"/>
              </w:rPr>
            </w:pPr>
            <w:r>
              <w:rPr>
                <w:rFonts w:eastAsia="Times New Roman"/>
                <w:b/>
                <w:bCs/>
                <w:color w:val="000000"/>
                <w:sz w:val="20"/>
                <w:szCs w:val="20"/>
              </w:rPr>
              <w:t>CASH FLOWS FROM FINANCING ACTIVITIES:</w:t>
            </w:r>
          </w:p>
        </w:tc>
        <w:tc>
          <w:tcPr>
            <w:tcW w:w="0" w:type="auto"/>
            <w:gridSpan w:val="3"/>
            <w:shd w:val="clear" w:color="auto" w:fill="FFFFFF"/>
            <w:tcMar>
              <w:top w:w="30" w:type="dxa"/>
              <w:left w:w="20" w:type="dxa"/>
              <w:bottom w:w="30" w:type="dxa"/>
              <w:right w:w="20" w:type="dxa"/>
            </w:tcMar>
            <w:vAlign w:val="bottom"/>
            <w:hideMark/>
          </w:tcPr>
          <w:p w14:paraId="7D1B2FD9"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7079DBB"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A3AD931"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EAAE080"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C737513" w14:textId="77777777" w:rsidR="00000000" w:rsidRDefault="00C1661D">
            <w:pPr>
              <w:spacing w:after="100"/>
              <w:rPr>
                <w:rFonts w:eastAsia="Times New Roman"/>
              </w:rPr>
            </w:pPr>
            <w:r>
              <w:rPr>
                <w:rFonts w:eastAsia="Times New Roman"/>
                <w:color w:val="000000"/>
                <w:sz w:val="20"/>
                <w:szCs w:val="20"/>
              </w:rPr>
              <w:t> </w:t>
            </w:r>
          </w:p>
        </w:tc>
      </w:tr>
      <w:tr w:rsidR="00000000" w14:paraId="064BB6A0" w14:textId="77777777">
        <w:trPr>
          <w:divId w:val="1662540887"/>
        </w:trPr>
        <w:tc>
          <w:tcPr>
            <w:tcW w:w="0" w:type="auto"/>
            <w:gridSpan w:val="3"/>
            <w:shd w:val="clear" w:color="auto" w:fill="CCEEFF"/>
            <w:tcMar>
              <w:top w:w="30" w:type="dxa"/>
              <w:left w:w="155" w:type="dxa"/>
              <w:bottom w:w="30" w:type="dxa"/>
              <w:right w:w="20" w:type="dxa"/>
            </w:tcMar>
            <w:vAlign w:val="bottom"/>
            <w:hideMark/>
          </w:tcPr>
          <w:p w14:paraId="67250598" w14:textId="77777777" w:rsidR="00000000" w:rsidRDefault="00C1661D">
            <w:pPr>
              <w:spacing w:after="100"/>
              <w:rPr>
                <w:rFonts w:eastAsia="Times New Roman"/>
              </w:rPr>
            </w:pPr>
            <w:r>
              <w:rPr>
                <w:rFonts w:eastAsia="Times New Roman"/>
                <w:color w:val="000000"/>
                <w:sz w:val="20"/>
                <w:szCs w:val="20"/>
              </w:rPr>
              <w:t>Dividends on UGI Common Stock</w:t>
            </w:r>
          </w:p>
        </w:tc>
        <w:tc>
          <w:tcPr>
            <w:tcW w:w="0" w:type="auto"/>
            <w:gridSpan w:val="2"/>
            <w:shd w:val="clear" w:color="auto" w:fill="CCEEFF"/>
            <w:tcMar>
              <w:top w:w="30" w:type="dxa"/>
              <w:left w:w="20" w:type="dxa"/>
              <w:bottom w:w="30" w:type="dxa"/>
              <w:right w:w="0" w:type="dxa"/>
            </w:tcMar>
            <w:vAlign w:val="bottom"/>
            <w:hideMark/>
          </w:tcPr>
          <w:p w14:paraId="12547FC6" w14:textId="77777777" w:rsidR="00000000" w:rsidRDefault="00C1661D">
            <w:pPr>
              <w:spacing w:after="100"/>
              <w:jc w:val="right"/>
              <w:rPr>
                <w:rFonts w:eastAsia="Times New Roman"/>
              </w:rPr>
            </w:pPr>
            <w:r>
              <w:rPr>
                <w:rFonts w:eastAsia="Times New Roman"/>
                <w:color w:val="000000"/>
                <w:sz w:val="20"/>
                <w:szCs w:val="20"/>
              </w:rPr>
              <w:t>(296)</w:t>
            </w:r>
          </w:p>
        </w:tc>
        <w:tc>
          <w:tcPr>
            <w:tcW w:w="0" w:type="auto"/>
            <w:shd w:val="clear" w:color="auto" w:fill="CCEEFF"/>
            <w:tcMar>
              <w:top w:w="30" w:type="dxa"/>
              <w:left w:w="0" w:type="dxa"/>
              <w:bottom w:w="30" w:type="dxa"/>
              <w:right w:w="20" w:type="dxa"/>
            </w:tcMar>
            <w:vAlign w:val="bottom"/>
            <w:hideMark/>
          </w:tcPr>
          <w:p w14:paraId="4EB6837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DDDFA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D98300" w14:textId="77777777" w:rsidR="00000000" w:rsidRDefault="00C1661D">
            <w:pPr>
              <w:spacing w:after="100"/>
              <w:jc w:val="right"/>
              <w:rPr>
                <w:rFonts w:eastAsia="Times New Roman"/>
              </w:rPr>
            </w:pPr>
            <w:r>
              <w:rPr>
                <w:rFonts w:eastAsia="Times New Roman"/>
                <w:color w:val="000000"/>
                <w:sz w:val="20"/>
                <w:szCs w:val="20"/>
              </w:rPr>
              <w:t>(282)</w:t>
            </w:r>
          </w:p>
        </w:tc>
        <w:tc>
          <w:tcPr>
            <w:tcW w:w="0" w:type="auto"/>
            <w:shd w:val="clear" w:color="auto" w:fill="CCEEFF"/>
            <w:tcMar>
              <w:top w:w="30" w:type="dxa"/>
              <w:left w:w="0" w:type="dxa"/>
              <w:bottom w:w="30" w:type="dxa"/>
              <w:right w:w="20" w:type="dxa"/>
            </w:tcMar>
            <w:vAlign w:val="bottom"/>
            <w:hideMark/>
          </w:tcPr>
          <w:p w14:paraId="7F836A77"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9864C4"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5EB80D" w14:textId="77777777" w:rsidR="00000000" w:rsidRDefault="00C1661D">
            <w:pPr>
              <w:spacing w:after="100"/>
              <w:jc w:val="right"/>
              <w:rPr>
                <w:rFonts w:eastAsia="Times New Roman"/>
              </w:rPr>
            </w:pPr>
            <w:r>
              <w:rPr>
                <w:rFonts w:eastAsia="Times New Roman"/>
                <w:color w:val="000000"/>
                <w:sz w:val="20"/>
                <w:szCs w:val="20"/>
              </w:rPr>
              <w:t>(273)</w:t>
            </w:r>
          </w:p>
        </w:tc>
        <w:tc>
          <w:tcPr>
            <w:tcW w:w="0" w:type="auto"/>
            <w:shd w:val="clear" w:color="auto" w:fill="CCEEFF"/>
            <w:tcMar>
              <w:top w:w="30" w:type="dxa"/>
              <w:left w:w="0" w:type="dxa"/>
              <w:bottom w:w="30" w:type="dxa"/>
              <w:right w:w="20" w:type="dxa"/>
            </w:tcMar>
            <w:vAlign w:val="bottom"/>
            <w:hideMark/>
          </w:tcPr>
          <w:p w14:paraId="00C7A684" w14:textId="77777777" w:rsidR="00000000" w:rsidRDefault="00C1661D">
            <w:pPr>
              <w:spacing w:after="100"/>
              <w:jc w:val="right"/>
              <w:rPr>
                <w:rFonts w:eastAsia="Times New Roman"/>
              </w:rPr>
            </w:pPr>
          </w:p>
        </w:tc>
      </w:tr>
      <w:tr w:rsidR="00000000" w14:paraId="03A54D50" w14:textId="77777777">
        <w:trPr>
          <w:divId w:val="1662540887"/>
        </w:trPr>
        <w:tc>
          <w:tcPr>
            <w:tcW w:w="0" w:type="auto"/>
            <w:gridSpan w:val="3"/>
            <w:shd w:val="clear" w:color="auto" w:fill="FFFFFF"/>
            <w:tcMar>
              <w:top w:w="30" w:type="dxa"/>
              <w:left w:w="155" w:type="dxa"/>
              <w:bottom w:w="30" w:type="dxa"/>
              <w:right w:w="20" w:type="dxa"/>
            </w:tcMar>
            <w:vAlign w:val="bottom"/>
            <w:hideMark/>
          </w:tcPr>
          <w:p w14:paraId="21A9D319" w14:textId="77777777" w:rsidR="00000000" w:rsidRDefault="00C1661D">
            <w:pPr>
              <w:spacing w:after="100"/>
              <w:rPr>
                <w:rFonts w:eastAsia="Times New Roman"/>
              </w:rPr>
            </w:pPr>
            <w:r>
              <w:rPr>
                <w:rFonts w:eastAsia="Times New Roman"/>
                <w:color w:val="000000"/>
                <w:sz w:val="20"/>
                <w:szCs w:val="20"/>
              </w:rPr>
              <w:t>Issuances of debt, net of issuance costs</w:t>
            </w:r>
          </w:p>
        </w:tc>
        <w:tc>
          <w:tcPr>
            <w:tcW w:w="0" w:type="auto"/>
            <w:gridSpan w:val="2"/>
            <w:shd w:val="clear" w:color="auto" w:fill="FFFFFF"/>
            <w:tcMar>
              <w:top w:w="30" w:type="dxa"/>
              <w:left w:w="20" w:type="dxa"/>
              <w:bottom w:w="30" w:type="dxa"/>
              <w:right w:w="0" w:type="dxa"/>
            </w:tcMar>
            <w:vAlign w:val="bottom"/>
            <w:hideMark/>
          </w:tcPr>
          <w:p w14:paraId="0B14232F" w14:textId="77777777" w:rsidR="00000000" w:rsidRDefault="00C1661D">
            <w:pPr>
              <w:spacing w:after="100"/>
              <w:jc w:val="right"/>
              <w:rPr>
                <w:rFonts w:eastAsia="Times New Roman"/>
              </w:rPr>
            </w:pPr>
            <w:r>
              <w:rPr>
                <w:rFonts w:eastAsia="Times New Roman"/>
                <w:color w:val="000000"/>
                <w:sz w:val="20"/>
                <w:szCs w:val="20"/>
              </w:rPr>
              <w:t>597 </w:t>
            </w:r>
          </w:p>
        </w:tc>
        <w:tc>
          <w:tcPr>
            <w:tcW w:w="0" w:type="auto"/>
            <w:shd w:val="clear" w:color="auto" w:fill="FFFFFF"/>
            <w:tcMar>
              <w:top w:w="30" w:type="dxa"/>
              <w:left w:w="0" w:type="dxa"/>
              <w:bottom w:w="30" w:type="dxa"/>
              <w:right w:w="20" w:type="dxa"/>
            </w:tcMar>
            <w:vAlign w:val="bottom"/>
            <w:hideMark/>
          </w:tcPr>
          <w:p w14:paraId="1E968600"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9F6783"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52BC94" w14:textId="77777777" w:rsidR="00000000" w:rsidRDefault="00C1661D">
            <w:pPr>
              <w:spacing w:after="100"/>
              <w:jc w:val="right"/>
              <w:rPr>
                <w:rFonts w:eastAsia="Times New Roman"/>
              </w:rPr>
            </w:pPr>
            <w:r>
              <w:rPr>
                <w:rFonts w:eastAsia="Times New Roman"/>
                <w:color w:val="000000"/>
                <w:sz w:val="20"/>
                <w:szCs w:val="20"/>
              </w:rPr>
              <w:t>483 </w:t>
            </w:r>
          </w:p>
        </w:tc>
        <w:tc>
          <w:tcPr>
            <w:tcW w:w="0" w:type="auto"/>
            <w:shd w:val="clear" w:color="auto" w:fill="FFFFFF"/>
            <w:tcMar>
              <w:top w:w="30" w:type="dxa"/>
              <w:left w:w="0" w:type="dxa"/>
              <w:bottom w:w="30" w:type="dxa"/>
              <w:right w:w="20" w:type="dxa"/>
            </w:tcMar>
            <w:vAlign w:val="bottom"/>
            <w:hideMark/>
          </w:tcPr>
          <w:p w14:paraId="0E1973D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EAB5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802270" w14:textId="77777777" w:rsidR="00000000" w:rsidRDefault="00C1661D">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14:paraId="15B609DE" w14:textId="77777777" w:rsidR="00000000" w:rsidRDefault="00C1661D">
            <w:pPr>
              <w:spacing w:after="100"/>
              <w:jc w:val="right"/>
              <w:rPr>
                <w:rFonts w:eastAsia="Times New Roman"/>
              </w:rPr>
            </w:pPr>
          </w:p>
        </w:tc>
      </w:tr>
      <w:tr w:rsidR="00000000" w14:paraId="38E6435E" w14:textId="77777777">
        <w:trPr>
          <w:divId w:val="1662540887"/>
        </w:trPr>
        <w:tc>
          <w:tcPr>
            <w:tcW w:w="0" w:type="auto"/>
            <w:gridSpan w:val="3"/>
            <w:shd w:val="clear" w:color="auto" w:fill="CCEEFF"/>
            <w:tcMar>
              <w:top w:w="30" w:type="dxa"/>
              <w:left w:w="155" w:type="dxa"/>
              <w:bottom w:w="30" w:type="dxa"/>
              <w:right w:w="20" w:type="dxa"/>
            </w:tcMar>
            <w:vAlign w:val="bottom"/>
            <w:hideMark/>
          </w:tcPr>
          <w:p w14:paraId="7793AA5C" w14:textId="77777777" w:rsidR="00000000" w:rsidRDefault="00C1661D">
            <w:pPr>
              <w:spacing w:after="100"/>
              <w:rPr>
                <w:rFonts w:eastAsia="Times New Roman"/>
              </w:rPr>
            </w:pPr>
            <w:r>
              <w:rPr>
                <w:rFonts w:eastAsia="Times New Roman"/>
                <w:color w:val="000000"/>
                <w:sz w:val="20"/>
                <w:szCs w:val="20"/>
              </w:rPr>
              <w:t>Repayments of long-term debt</w:t>
            </w:r>
          </w:p>
        </w:tc>
        <w:tc>
          <w:tcPr>
            <w:tcW w:w="0" w:type="auto"/>
            <w:gridSpan w:val="2"/>
            <w:shd w:val="clear" w:color="auto" w:fill="CCEEFF"/>
            <w:tcMar>
              <w:top w:w="30" w:type="dxa"/>
              <w:left w:w="20" w:type="dxa"/>
              <w:bottom w:w="30" w:type="dxa"/>
              <w:right w:w="0" w:type="dxa"/>
            </w:tcMar>
            <w:vAlign w:val="bottom"/>
            <w:hideMark/>
          </w:tcPr>
          <w:p w14:paraId="76FB8361" w14:textId="77777777" w:rsidR="00000000" w:rsidRDefault="00C1661D">
            <w:pPr>
              <w:spacing w:after="100"/>
              <w:jc w:val="right"/>
              <w:rPr>
                <w:rFonts w:eastAsia="Times New Roman"/>
              </w:rPr>
            </w:pPr>
            <w:r>
              <w:rPr>
                <w:rFonts w:eastAsia="Times New Roman"/>
                <w:color w:val="000000"/>
                <w:sz w:val="20"/>
                <w:szCs w:val="20"/>
              </w:rPr>
              <w:t>(530)</w:t>
            </w:r>
          </w:p>
        </w:tc>
        <w:tc>
          <w:tcPr>
            <w:tcW w:w="0" w:type="auto"/>
            <w:shd w:val="clear" w:color="auto" w:fill="CCEEFF"/>
            <w:tcMar>
              <w:top w:w="30" w:type="dxa"/>
              <w:left w:w="0" w:type="dxa"/>
              <w:bottom w:w="30" w:type="dxa"/>
              <w:right w:w="20" w:type="dxa"/>
            </w:tcMar>
            <w:vAlign w:val="bottom"/>
            <w:hideMark/>
          </w:tcPr>
          <w:p w14:paraId="29EC191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8BAD78"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8AC92F" w14:textId="77777777" w:rsidR="00000000" w:rsidRDefault="00C1661D">
            <w:pPr>
              <w:spacing w:after="100"/>
              <w:jc w:val="right"/>
              <w:rPr>
                <w:rFonts w:eastAsia="Times New Roman"/>
              </w:rPr>
            </w:pPr>
            <w:r>
              <w:rPr>
                <w:rFonts w:eastAsia="Times New Roman"/>
                <w:color w:val="000000"/>
                <w:sz w:val="20"/>
                <w:szCs w:val="20"/>
              </w:rPr>
              <w:t>(385)</w:t>
            </w:r>
          </w:p>
        </w:tc>
        <w:tc>
          <w:tcPr>
            <w:tcW w:w="0" w:type="auto"/>
            <w:shd w:val="clear" w:color="auto" w:fill="CCEEFF"/>
            <w:tcMar>
              <w:top w:w="30" w:type="dxa"/>
              <w:left w:w="0" w:type="dxa"/>
              <w:bottom w:w="30" w:type="dxa"/>
              <w:right w:w="20" w:type="dxa"/>
            </w:tcMar>
            <w:vAlign w:val="bottom"/>
            <w:hideMark/>
          </w:tcPr>
          <w:p w14:paraId="5554DBD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821FF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123428" w14:textId="77777777" w:rsidR="00000000" w:rsidRDefault="00C1661D">
            <w:pPr>
              <w:spacing w:after="100"/>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14:paraId="2F67B70D" w14:textId="77777777" w:rsidR="00000000" w:rsidRDefault="00C1661D">
            <w:pPr>
              <w:spacing w:after="100"/>
              <w:jc w:val="right"/>
              <w:rPr>
                <w:rFonts w:eastAsia="Times New Roman"/>
              </w:rPr>
            </w:pPr>
          </w:p>
        </w:tc>
      </w:tr>
      <w:tr w:rsidR="00000000" w14:paraId="662907EE" w14:textId="77777777">
        <w:trPr>
          <w:divId w:val="1662540887"/>
        </w:trPr>
        <w:tc>
          <w:tcPr>
            <w:tcW w:w="0" w:type="auto"/>
            <w:gridSpan w:val="3"/>
            <w:shd w:val="clear" w:color="auto" w:fill="FFFFFF"/>
            <w:tcMar>
              <w:top w:w="30" w:type="dxa"/>
              <w:left w:w="155" w:type="dxa"/>
              <w:bottom w:w="30" w:type="dxa"/>
              <w:right w:w="20" w:type="dxa"/>
            </w:tcMar>
            <w:vAlign w:val="bottom"/>
            <w:hideMark/>
          </w:tcPr>
          <w:p w14:paraId="74B33839" w14:textId="77777777" w:rsidR="00000000" w:rsidRDefault="00C1661D">
            <w:pPr>
              <w:spacing w:after="100"/>
              <w:rPr>
                <w:rFonts w:eastAsia="Times New Roman"/>
              </w:rPr>
            </w:pPr>
            <w:r>
              <w:rPr>
                <w:rFonts w:eastAsia="Times New Roman"/>
                <w:color w:val="000000"/>
                <w:sz w:val="20"/>
                <w:szCs w:val="20"/>
              </w:rPr>
              <w:t>Issuance of preferred stock, net of issuance costs</w:t>
            </w:r>
          </w:p>
        </w:tc>
        <w:tc>
          <w:tcPr>
            <w:tcW w:w="0" w:type="auto"/>
            <w:gridSpan w:val="2"/>
            <w:shd w:val="clear" w:color="auto" w:fill="FFFFFF"/>
            <w:tcMar>
              <w:top w:w="30" w:type="dxa"/>
              <w:left w:w="20" w:type="dxa"/>
              <w:bottom w:w="30" w:type="dxa"/>
              <w:right w:w="0" w:type="dxa"/>
            </w:tcMar>
            <w:vAlign w:val="bottom"/>
            <w:hideMark/>
          </w:tcPr>
          <w:p w14:paraId="1A80E310"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93962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36E79"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E1BC72" w14:textId="77777777" w:rsidR="00000000" w:rsidRDefault="00C1661D">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14:paraId="59074CDD"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1C96FA"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D89C62"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F431D8" w14:textId="77777777" w:rsidR="00000000" w:rsidRDefault="00C1661D">
            <w:pPr>
              <w:spacing w:after="100"/>
              <w:jc w:val="right"/>
              <w:rPr>
                <w:rFonts w:eastAsia="Times New Roman"/>
              </w:rPr>
            </w:pPr>
          </w:p>
        </w:tc>
      </w:tr>
      <w:tr w:rsidR="00000000" w14:paraId="2F736032" w14:textId="77777777">
        <w:trPr>
          <w:divId w:val="1662540887"/>
        </w:trPr>
        <w:tc>
          <w:tcPr>
            <w:tcW w:w="0" w:type="auto"/>
            <w:gridSpan w:val="3"/>
            <w:shd w:val="clear" w:color="auto" w:fill="CCEEFF"/>
            <w:tcMar>
              <w:top w:w="30" w:type="dxa"/>
              <w:left w:w="155" w:type="dxa"/>
              <w:bottom w:w="30" w:type="dxa"/>
              <w:right w:w="20" w:type="dxa"/>
            </w:tcMar>
            <w:vAlign w:val="bottom"/>
            <w:hideMark/>
          </w:tcPr>
          <w:p w14:paraId="4F2214D8" w14:textId="77777777" w:rsidR="00000000" w:rsidRDefault="00C1661D">
            <w:pPr>
              <w:spacing w:after="100"/>
              <w:rPr>
                <w:rFonts w:eastAsia="Times New Roman"/>
              </w:rPr>
            </w:pPr>
            <w:r>
              <w:rPr>
                <w:rFonts w:eastAsia="Times New Roman"/>
                <w:color w:val="000000"/>
                <w:sz w:val="20"/>
                <w:szCs w:val="20"/>
              </w:rPr>
              <w:t>Issuances of UGI Common Stock</w:t>
            </w:r>
          </w:p>
        </w:tc>
        <w:tc>
          <w:tcPr>
            <w:tcW w:w="0" w:type="auto"/>
            <w:gridSpan w:val="2"/>
            <w:shd w:val="clear" w:color="auto" w:fill="CCEEFF"/>
            <w:tcMar>
              <w:top w:w="30" w:type="dxa"/>
              <w:left w:w="20" w:type="dxa"/>
              <w:bottom w:w="30" w:type="dxa"/>
              <w:right w:w="0" w:type="dxa"/>
            </w:tcMar>
            <w:vAlign w:val="bottom"/>
            <w:hideMark/>
          </w:tcPr>
          <w:p w14:paraId="69868512" w14:textId="77777777" w:rsidR="00000000" w:rsidRDefault="00C1661D">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68AC053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51DF1C"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E908DE" w14:textId="77777777" w:rsidR="00000000" w:rsidRDefault="00C1661D">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0406025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5A231"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7C2E09" w14:textId="77777777" w:rsidR="00000000" w:rsidRDefault="00C1661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1EFEC90B" w14:textId="77777777" w:rsidR="00000000" w:rsidRDefault="00C1661D">
            <w:pPr>
              <w:spacing w:after="100"/>
              <w:jc w:val="right"/>
              <w:rPr>
                <w:rFonts w:eastAsia="Times New Roman"/>
              </w:rPr>
            </w:pPr>
          </w:p>
        </w:tc>
      </w:tr>
      <w:tr w:rsidR="00000000" w14:paraId="7216E49B" w14:textId="77777777">
        <w:trPr>
          <w:divId w:val="1662540887"/>
        </w:trPr>
        <w:tc>
          <w:tcPr>
            <w:tcW w:w="0" w:type="auto"/>
            <w:gridSpan w:val="3"/>
            <w:shd w:val="clear" w:color="auto" w:fill="FFFFFF"/>
            <w:tcMar>
              <w:top w:w="30" w:type="dxa"/>
              <w:left w:w="155" w:type="dxa"/>
              <w:bottom w:w="30" w:type="dxa"/>
              <w:right w:w="20" w:type="dxa"/>
            </w:tcMar>
            <w:vAlign w:val="bottom"/>
            <w:hideMark/>
          </w:tcPr>
          <w:p w14:paraId="783E36A7" w14:textId="77777777" w:rsidR="00000000" w:rsidRDefault="00C1661D">
            <w:pPr>
              <w:spacing w:after="100"/>
              <w:rPr>
                <w:rFonts w:eastAsia="Times New Roman"/>
              </w:rPr>
            </w:pPr>
            <w:r>
              <w:rPr>
                <w:rFonts w:eastAsia="Times New Roman"/>
                <w:color w:val="000000"/>
                <w:sz w:val="20"/>
                <w:szCs w:val="20"/>
              </w:rPr>
              <w:t>Repurchases of UGI Common Stock</w:t>
            </w:r>
          </w:p>
        </w:tc>
        <w:tc>
          <w:tcPr>
            <w:tcW w:w="0" w:type="auto"/>
            <w:gridSpan w:val="2"/>
            <w:shd w:val="clear" w:color="auto" w:fill="FFFFFF"/>
            <w:tcMar>
              <w:top w:w="30" w:type="dxa"/>
              <w:left w:w="20" w:type="dxa"/>
              <w:bottom w:w="30" w:type="dxa"/>
              <w:right w:w="0" w:type="dxa"/>
            </w:tcMar>
            <w:vAlign w:val="bottom"/>
            <w:hideMark/>
          </w:tcPr>
          <w:p w14:paraId="05C3925E" w14:textId="77777777" w:rsidR="00000000" w:rsidRDefault="00C1661D">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14:paraId="3AD2D0A1"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9A77F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F949DF"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93D59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76CD90"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B8EBDF" w14:textId="77777777" w:rsidR="00000000" w:rsidRDefault="00C1661D">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14:paraId="6D3DACB1" w14:textId="77777777" w:rsidR="00000000" w:rsidRDefault="00C1661D">
            <w:pPr>
              <w:spacing w:after="100"/>
              <w:jc w:val="right"/>
              <w:rPr>
                <w:rFonts w:eastAsia="Times New Roman"/>
              </w:rPr>
            </w:pPr>
          </w:p>
        </w:tc>
      </w:tr>
      <w:tr w:rsidR="00000000" w14:paraId="0E243F52" w14:textId="77777777">
        <w:trPr>
          <w:divId w:val="1662540887"/>
        </w:trPr>
        <w:tc>
          <w:tcPr>
            <w:tcW w:w="0" w:type="auto"/>
            <w:gridSpan w:val="3"/>
            <w:vAlign w:val="center"/>
            <w:hideMark/>
          </w:tcPr>
          <w:p w14:paraId="734CF422" w14:textId="77777777" w:rsidR="00000000" w:rsidRDefault="00C1661D">
            <w:pPr>
              <w:spacing w:after="100"/>
              <w:jc w:val="right"/>
              <w:rPr>
                <w:rFonts w:eastAsia="Times New Roman"/>
                <w:sz w:val="20"/>
                <w:szCs w:val="20"/>
              </w:rPr>
            </w:pPr>
          </w:p>
        </w:tc>
        <w:tc>
          <w:tcPr>
            <w:tcW w:w="0" w:type="auto"/>
            <w:gridSpan w:val="3"/>
            <w:vAlign w:val="center"/>
            <w:hideMark/>
          </w:tcPr>
          <w:p w14:paraId="6A3EB6DB" w14:textId="77777777" w:rsidR="00000000" w:rsidRDefault="00C1661D">
            <w:pPr>
              <w:spacing w:after="100"/>
              <w:rPr>
                <w:rFonts w:eastAsia="Times New Roman"/>
                <w:sz w:val="20"/>
                <w:szCs w:val="20"/>
              </w:rPr>
            </w:pPr>
          </w:p>
        </w:tc>
        <w:tc>
          <w:tcPr>
            <w:tcW w:w="0" w:type="auto"/>
            <w:gridSpan w:val="3"/>
            <w:vAlign w:val="center"/>
            <w:hideMark/>
          </w:tcPr>
          <w:p w14:paraId="02F9EF2A" w14:textId="77777777" w:rsidR="00000000" w:rsidRDefault="00C1661D">
            <w:pPr>
              <w:spacing w:after="100"/>
              <w:rPr>
                <w:rFonts w:eastAsia="Times New Roman"/>
                <w:sz w:val="20"/>
                <w:szCs w:val="20"/>
              </w:rPr>
            </w:pPr>
          </w:p>
        </w:tc>
        <w:tc>
          <w:tcPr>
            <w:tcW w:w="0" w:type="auto"/>
            <w:gridSpan w:val="3"/>
            <w:vAlign w:val="center"/>
            <w:hideMark/>
          </w:tcPr>
          <w:p w14:paraId="4958DE8C" w14:textId="77777777" w:rsidR="00000000" w:rsidRDefault="00C1661D">
            <w:pPr>
              <w:spacing w:after="100"/>
              <w:rPr>
                <w:rFonts w:eastAsia="Times New Roman"/>
                <w:sz w:val="20"/>
                <w:szCs w:val="20"/>
              </w:rPr>
            </w:pPr>
          </w:p>
        </w:tc>
        <w:tc>
          <w:tcPr>
            <w:tcW w:w="0" w:type="auto"/>
            <w:gridSpan w:val="3"/>
            <w:vAlign w:val="center"/>
            <w:hideMark/>
          </w:tcPr>
          <w:p w14:paraId="715E74DB" w14:textId="77777777" w:rsidR="00000000" w:rsidRDefault="00C1661D">
            <w:pPr>
              <w:spacing w:after="100"/>
              <w:rPr>
                <w:rFonts w:eastAsia="Times New Roman"/>
                <w:sz w:val="20"/>
                <w:szCs w:val="20"/>
              </w:rPr>
            </w:pPr>
          </w:p>
        </w:tc>
        <w:tc>
          <w:tcPr>
            <w:tcW w:w="0" w:type="auto"/>
            <w:gridSpan w:val="3"/>
            <w:vAlign w:val="center"/>
            <w:hideMark/>
          </w:tcPr>
          <w:p w14:paraId="4FB5D7CA" w14:textId="77777777" w:rsidR="00000000" w:rsidRDefault="00C1661D">
            <w:pPr>
              <w:spacing w:after="100"/>
              <w:rPr>
                <w:rFonts w:eastAsia="Times New Roman"/>
                <w:sz w:val="20"/>
                <w:szCs w:val="20"/>
              </w:rPr>
            </w:pPr>
          </w:p>
        </w:tc>
      </w:tr>
      <w:tr w:rsidR="00000000" w14:paraId="0FA52E8B" w14:textId="77777777">
        <w:trPr>
          <w:divId w:val="1662540887"/>
        </w:trPr>
        <w:tc>
          <w:tcPr>
            <w:tcW w:w="0" w:type="auto"/>
            <w:gridSpan w:val="3"/>
            <w:shd w:val="clear" w:color="auto" w:fill="CCEEFF"/>
            <w:tcMar>
              <w:top w:w="30" w:type="dxa"/>
              <w:left w:w="155" w:type="dxa"/>
              <w:bottom w:w="30" w:type="dxa"/>
              <w:right w:w="20" w:type="dxa"/>
            </w:tcMar>
            <w:vAlign w:val="bottom"/>
            <w:hideMark/>
          </w:tcPr>
          <w:p w14:paraId="1F9DE596" w14:textId="77777777" w:rsidR="00000000" w:rsidRDefault="00C1661D">
            <w:pPr>
              <w:spacing w:after="100"/>
              <w:rPr>
                <w:rFonts w:eastAsia="Times New Roman"/>
              </w:rPr>
            </w:pPr>
            <w:r>
              <w:rPr>
                <w:rFonts w:eastAsia="Times New Roman"/>
                <w:color w:val="000000"/>
                <w:sz w:val="20"/>
                <w:szCs w:val="20"/>
              </w:rPr>
              <w:t>Payments on Purchase Contracts</w:t>
            </w:r>
          </w:p>
        </w:tc>
        <w:tc>
          <w:tcPr>
            <w:tcW w:w="0" w:type="auto"/>
            <w:gridSpan w:val="2"/>
            <w:shd w:val="clear" w:color="auto" w:fill="CCEEFF"/>
            <w:tcMar>
              <w:top w:w="30" w:type="dxa"/>
              <w:left w:w="20" w:type="dxa"/>
              <w:bottom w:w="30" w:type="dxa"/>
              <w:right w:w="0" w:type="dxa"/>
            </w:tcMar>
            <w:vAlign w:val="bottom"/>
            <w:hideMark/>
          </w:tcPr>
          <w:p w14:paraId="077D7932" w14:textId="77777777" w:rsidR="00000000" w:rsidRDefault="00C1661D">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14:paraId="739F3480"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ADFB53"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8F7D7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CDF22F"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D0E3BE" w14:textId="77777777" w:rsidR="00000000" w:rsidRDefault="00C1661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BDD4BB"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96C235" w14:textId="77777777" w:rsidR="00000000" w:rsidRDefault="00C1661D">
            <w:pPr>
              <w:spacing w:after="100"/>
              <w:jc w:val="right"/>
              <w:rPr>
                <w:rFonts w:eastAsia="Times New Roman"/>
              </w:rPr>
            </w:pPr>
          </w:p>
        </w:tc>
      </w:tr>
      <w:tr w:rsidR="00000000" w14:paraId="339E798E" w14:textId="77777777">
        <w:trPr>
          <w:divId w:val="1662540887"/>
        </w:trPr>
        <w:tc>
          <w:tcPr>
            <w:tcW w:w="0" w:type="auto"/>
            <w:gridSpan w:val="3"/>
            <w:shd w:val="clear" w:color="auto" w:fill="FFFFFF"/>
            <w:tcMar>
              <w:top w:w="30" w:type="dxa"/>
              <w:left w:w="380" w:type="dxa"/>
              <w:bottom w:w="30" w:type="dxa"/>
              <w:right w:w="20" w:type="dxa"/>
            </w:tcMar>
            <w:vAlign w:val="bottom"/>
            <w:hideMark/>
          </w:tcPr>
          <w:p w14:paraId="4EF74251" w14:textId="77777777" w:rsidR="00000000" w:rsidRDefault="00C1661D">
            <w:pPr>
              <w:spacing w:after="100"/>
              <w:rPr>
                <w:rFonts w:eastAsia="Times New Roman"/>
              </w:rPr>
            </w:pPr>
            <w:r>
              <w:rPr>
                <w:rFonts w:eastAsia="Times New Roman"/>
                <w:color w:val="000000"/>
                <w:sz w:val="20"/>
                <w:szCs w:val="20"/>
              </w:rPr>
              <w:t>Net cash (used)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B80F20" w14:textId="77777777" w:rsidR="00000000" w:rsidRDefault="00C1661D">
            <w:pPr>
              <w:spacing w:after="100"/>
              <w:jc w:val="right"/>
              <w:rPr>
                <w:rFonts w:eastAsia="Times New Roman"/>
              </w:rPr>
            </w:pPr>
            <w:r>
              <w:rPr>
                <w:rFonts w:eastAsia="Times New Roman"/>
                <w:color w:val="000000"/>
                <w:sz w:val="20"/>
                <w:szCs w:val="20"/>
              </w:rPr>
              <w:t>(264)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294425"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2833A8"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528362" w14:textId="77777777" w:rsidR="00000000" w:rsidRDefault="00C1661D">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8707CA"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42AB46" w14:textId="77777777" w:rsidR="00000000" w:rsidRDefault="00C1661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B15C92" w14:textId="77777777" w:rsidR="00000000" w:rsidRDefault="00C1661D">
            <w:pPr>
              <w:spacing w:after="100"/>
              <w:jc w:val="right"/>
              <w:rPr>
                <w:rFonts w:eastAsia="Times New Roman"/>
              </w:rPr>
            </w:pPr>
            <w:r>
              <w:rPr>
                <w:rFonts w:eastAsia="Times New Roman"/>
                <w:color w:val="000000"/>
                <w:sz w:val="20"/>
                <w:szCs w:val="20"/>
              </w:rPr>
              <w:t>(309)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39131A" w14:textId="77777777" w:rsidR="00000000" w:rsidRDefault="00C1661D">
            <w:pPr>
              <w:spacing w:after="100"/>
              <w:jc w:val="right"/>
              <w:rPr>
                <w:rFonts w:eastAsia="Times New Roman"/>
              </w:rPr>
            </w:pPr>
          </w:p>
        </w:tc>
      </w:tr>
      <w:tr w:rsidR="00000000" w14:paraId="291CDAF4" w14:textId="77777777">
        <w:trPr>
          <w:divId w:val="1662540887"/>
        </w:trPr>
        <w:tc>
          <w:tcPr>
            <w:tcW w:w="0" w:type="auto"/>
            <w:gridSpan w:val="3"/>
            <w:shd w:val="clear" w:color="auto" w:fill="CCEEFF"/>
            <w:tcMar>
              <w:top w:w="30" w:type="dxa"/>
              <w:left w:w="20" w:type="dxa"/>
              <w:bottom w:w="30" w:type="dxa"/>
              <w:right w:w="20" w:type="dxa"/>
            </w:tcMar>
            <w:vAlign w:val="bottom"/>
            <w:hideMark/>
          </w:tcPr>
          <w:p w14:paraId="61A9FD66" w14:textId="77777777" w:rsidR="00000000" w:rsidRDefault="00C1661D">
            <w:pPr>
              <w:spacing w:after="100"/>
              <w:rPr>
                <w:rFonts w:eastAsia="Times New Roman"/>
              </w:rPr>
            </w:pPr>
            <w:r>
              <w:rPr>
                <w:rFonts w:eastAsia="Times New Roman"/>
                <w:color w:val="000000"/>
                <w:sz w:val="20"/>
                <w:szCs w:val="20"/>
              </w:rPr>
              <w:t>Cash and cash equivalents increase (decrease)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6B1077"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6379FA" w14:textId="77777777" w:rsidR="00000000" w:rsidRDefault="00C1661D">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4B3001"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7D7B71"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F5792A"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36154D" w14:textId="77777777" w:rsidR="00000000" w:rsidRDefault="00C1661D">
            <w:pPr>
              <w:spacing w:after="100"/>
              <w:jc w:val="right"/>
              <w:rPr>
                <w:rFonts w:eastAsia="Times New Roman"/>
              </w:rPr>
            </w:pPr>
            <w:r>
              <w:rPr>
                <w:rFonts w:eastAsia="Times New Roman"/>
                <w:color w:val="000000"/>
                <w:sz w:val="20"/>
                <w:szCs w:val="20"/>
              </w:rPr>
              <w:t>(53)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DC0B0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A00681" w14:textId="77777777" w:rsidR="00000000" w:rsidRDefault="00C1661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26391D"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69D47D" w14:textId="77777777" w:rsidR="00000000" w:rsidRDefault="00C1661D">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09C022" w14:textId="77777777" w:rsidR="00000000" w:rsidRDefault="00C1661D">
            <w:pPr>
              <w:spacing w:after="100"/>
              <w:jc w:val="right"/>
              <w:rPr>
                <w:rFonts w:eastAsia="Times New Roman"/>
              </w:rPr>
            </w:pPr>
          </w:p>
        </w:tc>
      </w:tr>
      <w:tr w:rsidR="00000000" w14:paraId="022C20E7" w14:textId="77777777">
        <w:trPr>
          <w:divId w:val="1662540887"/>
        </w:trPr>
        <w:tc>
          <w:tcPr>
            <w:tcW w:w="0" w:type="auto"/>
            <w:gridSpan w:val="3"/>
            <w:shd w:val="clear" w:color="auto" w:fill="FFFFFF"/>
            <w:tcMar>
              <w:top w:w="30" w:type="dxa"/>
              <w:left w:w="20" w:type="dxa"/>
              <w:bottom w:w="30" w:type="dxa"/>
              <w:right w:w="20" w:type="dxa"/>
            </w:tcMar>
            <w:vAlign w:val="bottom"/>
            <w:hideMark/>
          </w:tcPr>
          <w:p w14:paraId="53088D32" w14:textId="77777777" w:rsidR="00000000" w:rsidRDefault="00C1661D">
            <w:pPr>
              <w:spacing w:after="100"/>
              <w:rPr>
                <w:rFonts w:eastAsia="Times New Roman"/>
              </w:rPr>
            </w:pPr>
            <w:r>
              <w:rPr>
                <w:rFonts w:eastAsia="Times New Roman"/>
                <w:color w:val="000000"/>
                <w:sz w:val="20"/>
                <w:szCs w:val="20"/>
              </w:rPr>
              <w:t>Cash and cash equivalents: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0A1D86BE"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9C6D6C1" w14:textId="77777777" w:rsidR="00000000" w:rsidRDefault="00C166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4C2978A3"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6E05ECD7" w14:textId="77777777" w:rsidR="00000000" w:rsidRDefault="00C1661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745BD5F5" w14:textId="77777777" w:rsidR="00000000" w:rsidRDefault="00C1661D">
            <w:pPr>
              <w:spacing w:after="100"/>
              <w:rPr>
                <w:rFonts w:eastAsia="Times New Roman"/>
              </w:rPr>
            </w:pPr>
            <w:r>
              <w:rPr>
                <w:rFonts w:eastAsia="Times New Roman"/>
                <w:color w:val="000000"/>
                <w:sz w:val="20"/>
                <w:szCs w:val="20"/>
              </w:rPr>
              <w:t> </w:t>
            </w:r>
          </w:p>
        </w:tc>
      </w:tr>
      <w:tr w:rsidR="00000000" w14:paraId="3489820B" w14:textId="77777777">
        <w:trPr>
          <w:divId w:val="1662540887"/>
        </w:trPr>
        <w:tc>
          <w:tcPr>
            <w:tcW w:w="0" w:type="auto"/>
            <w:gridSpan w:val="3"/>
            <w:shd w:val="clear" w:color="auto" w:fill="CCEEFF"/>
            <w:tcMar>
              <w:top w:w="30" w:type="dxa"/>
              <w:left w:w="155" w:type="dxa"/>
              <w:bottom w:w="30" w:type="dxa"/>
              <w:right w:w="20" w:type="dxa"/>
            </w:tcMar>
            <w:vAlign w:val="bottom"/>
            <w:hideMark/>
          </w:tcPr>
          <w:p w14:paraId="71F6EBFF" w14:textId="77777777" w:rsidR="00000000" w:rsidRDefault="00C1661D">
            <w:pPr>
              <w:spacing w:after="100"/>
              <w:rPr>
                <w:rFonts w:eastAsia="Times New Roman"/>
              </w:rPr>
            </w:pPr>
            <w:r>
              <w:rPr>
                <w:rFonts w:eastAsia="Times New Roman"/>
                <w:color w:val="000000"/>
                <w:sz w:val="20"/>
                <w:szCs w:val="20"/>
              </w:rPr>
              <w:t>End of year</w:t>
            </w:r>
          </w:p>
        </w:tc>
        <w:tc>
          <w:tcPr>
            <w:tcW w:w="0" w:type="auto"/>
            <w:shd w:val="clear" w:color="auto" w:fill="CCEEFF"/>
            <w:tcMar>
              <w:top w:w="30" w:type="dxa"/>
              <w:left w:w="20" w:type="dxa"/>
              <w:bottom w:w="30" w:type="dxa"/>
              <w:right w:w="0" w:type="dxa"/>
            </w:tcMar>
            <w:vAlign w:val="bottom"/>
            <w:hideMark/>
          </w:tcPr>
          <w:p w14:paraId="28C88AA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07CF520" w14:textId="77777777" w:rsidR="00000000" w:rsidRDefault="00C1661D">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44D4A424"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A9D8EA"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F348B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238BDA4" w14:textId="77777777" w:rsidR="00000000" w:rsidRDefault="00C1661D">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45D00269"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95B12"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427B51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25A9D8D" w14:textId="77777777" w:rsidR="00000000" w:rsidRDefault="00C1661D">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14:paraId="795B0987" w14:textId="77777777" w:rsidR="00000000" w:rsidRDefault="00C1661D">
            <w:pPr>
              <w:spacing w:after="100"/>
              <w:jc w:val="right"/>
              <w:rPr>
                <w:rFonts w:eastAsia="Times New Roman"/>
              </w:rPr>
            </w:pPr>
          </w:p>
        </w:tc>
      </w:tr>
      <w:tr w:rsidR="00000000" w14:paraId="737176B4" w14:textId="77777777">
        <w:trPr>
          <w:divId w:val="1662540887"/>
        </w:trPr>
        <w:tc>
          <w:tcPr>
            <w:tcW w:w="0" w:type="auto"/>
            <w:gridSpan w:val="3"/>
            <w:shd w:val="clear" w:color="auto" w:fill="FFFFFF"/>
            <w:tcMar>
              <w:top w:w="30" w:type="dxa"/>
              <w:left w:w="155" w:type="dxa"/>
              <w:bottom w:w="30" w:type="dxa"/>
              <w:right w:w="20" w:type="dxa"/>
            </w:tcMar>
            <w:vAlign w:val="bottom"/>
            <w:hideMark/>
          </w:tcPr>
          <w:p w14:paraId="1A4EBF88" w14:textId="77777777" w:rsidR="00000000" w:rsidRDefault="00C1661D">
            <w:pPr>
              <w:spacing w:after="100"/>
              <w:rPr>
                <w:rFonts w:eastAsia="Times New Roman"/>
              </w:rPr>
            </w:pPr>
            <w:r>
              <w:rPr>
                <w:rFonts w:eastAsia="Times New Roman"/>
                <w:color w:val="000000"/>
                <w:sz w:val="20"/>
                <w:szCs w:val="20"/>
              </w:rPr>
              <w:t>Beginning of year</w:t>
            </w:r>
          </w:p>
        </w:tc>
        <w:tc>
          <w:tcPr>
            <w:tcW w:w="0" w:type="auto"/>
            <w:gridSpan w:val="2"/>
            <w:shd w:val="clear" w:color="auto" w:fill="FFFFFF"/>
            <w:tcMar>
              <w:top w:w="30" w:type="dxa"/>
              <w:left w:w="20" w:type="dxa"/>
              <w:bottom w:w="30" w:type="dxa"/>
              <w:right w:w="0" w:type="dxa"/>
            </w:tcMar>
            <w:vAlign w:val="bottom"/>
            <w:hideMark/>
          </w:tcPr>
          <w:p w14:paraId="5A168E96" w14:textId="77777777" w:rsidR="00000000" w:rsidRDefault="00C1661D">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2E68E397"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FDC32"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DF1073" w14:textId="77777777" w:rsidR="00000000" w:rsidRDefault="00C1661D">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14:paraId="2C870503"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D81A08" w14:textId="77777777" w:rsidR="00000000" w:rsidRDefault="00C1661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6B8BDC" w14:textId="77777777" w:rsidR="00000000" w:rsidRDefault="00C1661D">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14:paraId="03E1406E" w14:textId="77777777" w:rsidR="00000000" w:rsidRDefault="00C1661D">
            <w:pPr>
              <w:spacing w:after="100"/>
              <w:jc w:val="right"/>
              <w:rPr>
                <w:rFonts w:eastAsia="Times New Roman"/>
              </w:rPr>
            </w:pPr>
          </w:p>
        </w:tc>
      </w:tr>
      <w:tr w:rsidR="00000000" w14:paraId="0013D6C6" w14:textId="77777777">
        <w:trPr>
          <w:divId w:val="1662540887"/>
        </w:trPr>
        <w:tc>
          <w:tcPr>
            <w:tcW w:w="0" w:type="auto"/>
            <w:gridSpan w:val="3"/>
            <w:shd w:val="clear" w:color="auto" w:fill="CCEEFF"/>
            <w:tcMar>
              <w:top w:w="30" w:type="dxa"/>
              <w:left w:w="605" w:type="dxa"/>
              <w:bottom w:w="30" w:type="dxa"/>
              <w:right w:w="20" w:type="dxa"/>
            </w:tcMar>
            <w:vAlign w:val="bottom"/>
            <w:hideMark/>
          </w:tcPr>
          <w:p w14:paraId="62E3C0D0" w14:textId="77777777" w:rsidR="00000000" w:rsidRDefault="00C1661D">
            <w:pPr>
              <w:spacing w:after="100"/>
              <w:rPr>
                <w:rFonts w:eastAsia="Times New Roman"/>
              </w:rPr>
            </w:pPr>
            <w:r>
              <w:rPr>
                <w:rFonts w:eastAsia="Times New Roman"/>
                <w:color w:val="000000"/>
                <w:sz w:val="20"/>
                <w:szCs w:val="20"/>
              </w:rPr>
              <w:t>Cash and cash equivalents increase (decrease)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68DB4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FB12C54" w14:textId="77777777" w:rsidR="00000000" w:rsidRDefault="00C1661D">
            <w:pPr>
              <w:spacing w:after="100"/>
              <w:jc w:val="right"/>
              <w:rPr>
                <w:rFonts w:eastAsia="Times New Roman"/>
              </w:rPr>
            </w:pPr>
            <w:r>
              <w:rPr>
                <w:rFonts w:eastAsia="Times New Roman"/>
                <w:color w:val="000000"/>
                <w:sz w:val="20"/>
                <w:szCs w:val="20"/>
              </w:rPr>
              <w:t>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FE5DD2"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6209D2"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1F9088"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F8AA0B" w14:textId="77777777" w:rsidR="00000000" w:rsidRDefault="00C1661D">
            <w:pPr>
              <w:spacing w:after="100"/>
              <w:jc w:val="right"/>
              <w:rPr>
                <w:rFonts w:eastAsia="Times New Roman"/>
              </w:rPr>
            </w:pPr>
            <w:r>
              <w:rPr>
                <w:rFonts w:eastAsia="Times New Roman"/>
                <w:color w:val="000000"/>
                <w:sz w:val="20"/>
                <w:szCs w:val="20"/>
              </w:rPr>
              <w:t>(53)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A02C8E"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A2525" w14:textId="77777777" w:rsidR="00000000" w:rsidRDefault="00C1661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CFC2F2" w14:textId="77777777" w:rsidR="00000000" w:rsidRDefault="00C1661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76BB31" w14:textId="77777777" w:rsidR="00000000" w:rsidRDefault="00C1661D">
            <w:pPr>
              <w:spacing w:after="100"/>
              <w:jc w:val="right"/>
              <w:rPr>
                <w:rFonts w:eastAsia="Times New Roman"/>
              </w:rPr>
            </w:pPr>
            <w:r>
              <w:rPr>
                <w:rFonts w:eastAsia="Times New Roman"/>
                <w:color w:val="000000"/>
                <w:sz w:val="20"/>
                <w:szCs w:val="20"/>
              </w:rPr>
              <w:t>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AF83B9D" w14:textId="77777777" w:rsidR="00000000" w:rsidRDefault="00C1661D">
            <w:pPr>
              <w:spacing w:after="100"/>
              <w:jc w:val="right"/>
              <w:rPr>
                <w:rFonts w:eastAsia="Times New Roman"/>
              </w:rPr>
            </w:pPr>
          </w:p>
        </w:tc>
      </w:tr>
    </w:tbl>
    <w:p w14:paraId="14230A27" w14:textId="77777777" w:rsidR="00000000" w:rsidRDefault="00C1661D">
      <w:pPr>
        <w:ind w:hanging="360"/>
        <w:jc w:val="both"/>
        <w:rPr>
          <w:rFonts w:eastAsia="Times New Roman"/>
        </w:rPr>
      </w:pPr>
      <w:r>
        <w:rPr>
          <w:rFonts w:eastAsia="Times New Roman"/>
          <w:color w:val="000000"/>
          <w:sz w:val="20"/>
          <w:szCs w:val="20"/>
        </w:rPr>
        <w:t>(a)Includes dividends received from unconsolidated subsidiaries of $506, $354 and $352 for the years ended September </w:t>
      </w:r>
      <w:r>
        <w:rPr>
          <w:rFonts w:eastAsia="Times New Roman"/>
          <w:color w:val="000000"/>
          <w:sz w:val="20"/>
          <w:szCs w:val="20"/>
        </w:rPr>
        <w:t>30, 2022, 2021 and 2020, respectively.</w:t>
      </w:r>
    </w:p>
    <w:p w14:paraId="1F4931B2" w14:textId="77777777" w:rsidR="00000000" w:rsidRDefault="00C1661D">
      <w:pPr>
        <w:divId w:val="180171064"/>
        <w:rPr>
          <w:rFonts w:eastAsia="Times New Roman"/>
        </w:rPr>
      </w:pPr>
    </w:p>
    <w:p w14:paraId="56042B49" w14:textId="77777777" w:rsidR="00000000" w:rsidRDefault="00C1661D">
      <w:pPr>
        <w:jc w:val="center"/>
        <w:divId w:val="1274089810"/>
        <w:rPr>
          <w:rFonts w:eastAsia="Times New Roman"/>
        </w:rPr>
      </w:pPr>
      <w:r>
        <w:rPr>
          <w:rFonts w:eastAsia="Times New Roman"/>
          <w:color w:val="000000"/>
          <w:sz w:val="20"/>
          <w:szCs w:val="20"/>
        </w:rPr>
        <w:t>S-3</w:t>
      </w:r>
    </w:p>
    <w:p w14:paraId="78FD6AEE" w14:textId="77777777" w:rsidR="00000000" w:rsidRDefault="00C1661D">
      <w:pPr>
        <w:rPr>
          <w:rFonts w:eastAsia="Times New Roman"/>
        </w:rPr>
      </w:pPr>
      <w:r>
        <w:rPr>
          <w:rFonts w:eastAsia="Times New Roman"/>
        </w:rPr>
        <w:pict w14:anchorId="7A471578">
          <v:rect id="_x0000_i1178" style="width:0;height:1.5pt" o:hralign="center" o:hrstd="t" o:hr="t" fillcolor="#a0a0a0" stroked="f"/>
        </w:pict>
      </w:r>
    </w:p>
    <w:p w14:paraId="2CFC1D61" w14:textId="77777777" w:rsidR="00000000" w:rsidRDefault="00C1661D">
      <w:pPr>
        <w:divId w:val="1303580822"/>
        <w:rPr>
          <w:rFonts w:eastAsia="Times New Roman"/>
        </w:rPr>
      </w:pPr>
      <w:hyperlink w:anchor="i3850c3c6c0104e42b9951aac2f16098a_7" w:history="1">
        <w:r>
          <w:rPr>
            <w:rStyle w:val="a3"/>
            <w:rFonts w:eastAsia="Times New Roman"/>
            <w:b/>
            <w:bCs/>
            <w:sz w:val="20"/>
            <w:szCs w:val="20"/>
          </w:rPr>
          <w:t>Table of Contents</w:t>
        </w:r>
      </w:hyperlink>
    </w:p>
    <w:p w14:paraId="5EFFE1E3" w14:textId="77777777" w:rsidR="00000000" w:rsidRDefault="00C1661D">
      <w:pPr>
        <w:jc w:val="center"/>
        <w:rPr>
          <w:rFonts w:eastAsia="Times New Roman"/>
        </w:rPr>
      </w:pPr>
      <w:r>
        <w:rPr>
          <w:rFonts w:eastAsia="Times New Roman"/>
          <w:b/>
          <w:bCs/>
          <w:color w:val="000000"/>
          <w:sz w:val="20"/>
          <w:szCs w:val="20"/>
        </w:rPr>
        <w:t>UGI CORPORATION AND SUBSIDIARIES</w:t>
      </w:r>
    </w:p>
    <w:p w14:paraId="19899E87" w14:textId="77777777" w:rsidR="00000000" w:rsidRDefault="00C1661D">
      <w:pPr>
        <w:jc w:val="center"/>
        <w:rPr>
          <w:rFonts w:eastAsia="Times New Roman"/>
        </w:rPr>
      </w:pPr>
      <w:r>
        <w:rPr>
          <w:rFonts w:eastAsia="Times New Roman"/>
          <w:b/>
          <w:bCs/>
          <w:color w:val="000000"/>
          <w:sz w:val="20"/>
          <w:szCs w:val="20"/>
        </w:rPr>
        <w:t>SCHEDULE II — VALUATION AND QUALIFYING ACCOUNTS</w:t>
      </w:r>
    </w:p>
    <w:p w14:paraId="4F936B72" w14:textId="77777777" w:rsidR="00000000" w:rsidRDefault="00C1661D">
      <w:pPr>
        <w:jc w:val="center"/>
        <w:rPr>
          <w:rFonts w:eastAsia="Times New Roman"/>
        </w:rPr>
      </w:pPr>
      <w:r>
        <w:rPr>
          <w:rFonts w:eastAsia="Times New Roman"/>
          <w:color w:val="000000"/>
          <w:sz w:val="20"/>
          <w:szCs w:val="20"/>
        </w:rPr>
        <w:t>(Millions of doll</w:t>
      </w:r>
      <w:r>
        <w:rPr>
          <w:rFonts w:eastAsia="Times New Roman"/>
          <w:color w:val="000000"/>
          <w:sz w:val="20"/>
          <w:szCs w:val="20"/>
        </w:rPr>
        <w:t>ars)</w:t>
      </w:r>
    </w:p>
    <w:tbl>
      <w:tblPr>
        <w:tblW w:w="4992" w:type="pct"/>
        <w:jc w:val="center"/>
        <w:tblCellMar>
          <w:top w:w="15" w:type="dxa"/>
          <w:left w:w="15" w:type="dxa"/>
          <w:bottom w:w="15" w:type="dxa"/>
          <w:right w:w="15" w:type="dxa"/>
        </w:tblCellMar>
        <w:tblLook w:val="04A0" w:firstRow="1" w:lastRow="0" w:firstColumn="1" w:lastColumn="0" w:noHBand="0" w:noVBand="1"/>
      </w:tblPr>
      <w:tblGrid>
        <w:gridCol w:w="44"/>
        <w:gridCol w:w="3504"/>
        <w:gridCol w:w="37"/>
        <w:gridCol w:w="121"/>
        <w:gridCol w:w="842"/>
        <w:gridCol w:w="36"/>
        <w:gridCol w:w="36"/>
        <w:gridCol w:w="36"/>
        <w:gridCol w:w="36"/>
        <w:gridCol w:w="121"/>
        <w:gridCol w:w="810"/>
        <w:gridCol w:w="36"/>
        <w:gridCol w:w="36"/>
        <w:gridCol w:w="36"/>
        <w:gridCol w:w="36"/>
        <w:gridCol w:w="121"/>
        <w:gridCol w:w="811"/>
        <w:gridCol w:w="36"/>
        <w:gridCol w:w="70"/>
        <w:gridCol w:w="198"/>
        <w:gridCol w:w="36"/>
        <w:gridCol w:w="121"/>
        <w:gridCol w:w="818"/>
        <w:gridCol w:w="36"/>
        <w:gridCol w:w="45"/>
        <w:gridCol w:w="198"/>
        <w:gridCol w:w="36"/>
      </w:tblGrid>
      <w:tr w:rsidR="00000000" w14:paraId="7614FE61" w14:textId="77777777">
        <w:trPr>
          <w:jc w:val="center"/>
        </w:trPr>
        <w:tc>
          <w:tcPr>
            <w:tcW w:w="50" w:type="pct"/>
            <w:vAlign w:val="center"/>
            <w:hideMark/>
          </w:tcPr>
          <w:p w14:paraId="658DDC6A" w14:textId="77777777" w:rsidR="00000000" w:rsidRDefault="00C1661D">
            <w:pPr>
              <w:jc w:val="center"/>
              <w:rPr>
                <w:rFonts w:eastAsia="Times New Roman"/>
              </w:rPr>
            </w:pPr>
          </w:p>
        </w:tc>
        <w:tc>
          <w:tcPr>
            <w:tcW w:w="2133" w:type="pct"/>
            <w:vAlign w:val="center"/>
            <w:hideMark/>
          </w:tcPr>
          <w:p w14:paraId="0E4DACD9" w14:textId="77777777" w:rsidR="00000000" w:rsidRDefault="00C1661D">
            <w:pPr>
              <w:spacing w:after="100"/>
              <w:rPr>
                <w:rFonts w:eastAsia="Times New Roman"/>
                <w:sz w:val="20"/>
                <w:szCs w:val="20"/>
              </w:rPr>
            </w:pPr>
          </w:p>
        </w:tc>
        <w:tc>
          <w:tcPr>
            <w:tcW w:w="5" w:type="pct"/>
            <w:vAlign w:val="center"/>
            <w:hideMark/>
          </w:tcPr>
          <w:p w14:paraId="54ECA83E" w14:textId="77777777" w:rsidR="00000000" w:rsidRDefault="00C1661D">
            <w:pPr>
              <w:spacing w:after="100"/>
              <w:rPr>
                <w:rFonts w:eastAsia="Times New Roman"/>
                <w:sz w:val="20"/>
                <w:szCs w:val="20"/>
              </w:rPr>
            </w:pPr>
          </w:p>
        </w:tc>
        <w:tc>
          <w:tcPr>
            <w:tcW w:w="50" w:type="pct"/>
            <w:vAlign w:val="center"/>
            <w:hideMark/>
          </w:tcPr>
          <w:p w14:paraId="15FF4132" w14:textId="77777777" w:rsidR="00000000" w:rsidRDefault="00C1661D">
            <w:pPr>
              <w:spacing w:after="100"/>
              <w:rPr>
                <w:rFonts w:eastAsia="Times New Roman"/>
                <w:sz w:val="20"/>
                <w:szCs w:val="20"/>
              </w:rPr>
            </w:pPr>
          </w:p>
        </w:tc>
        <w:tc>
          <w:tcPr>
            <w:tcW w:w="530" w:type="pct"/>
            <w:vAlign w:val="center"/>
            <w:hideMark/>
          </w:tcPr>
          <w:p w14:paraId="7C74D980" w14:textId="77777777" w:rsidR="00000000" w:rsidRDefault="00C1661D">
            <w:pPr>
              <w:spacing w:after="100"/>
              <w:rPr>
                <w:rFonts w:eastAsia="Times New Roman"/>
                <w:sz w:val="20"/>
                <w:szCs w:val="20"/>
              </w:rPr>
            </w:pPr>
          </w:p>
        </w:tc>
        <w:tc>
          <w:tcPr>
            <w:tcW w:w="5" w:type="pct"/>
            <w:vAlign w:val="center"/>
            <w:hideMark/>
          </w:tcPr>
          <w:p w14:paraId="29C90880" w14:textId="77777777" w:rsidR="00000000" w:rsidRDefault="00C1661D">
            <w:pPr>
              <w:spacing w:after="100"/>
              <w:rPr>
                <w:rFonts w:eastAsia="Times New Roman"/>
                <w:sz w:val="20"/>
                <w:szCs w:val="20"/>
              </w:rPr>
            </w:pPr>
          </w:p>
        </w:tc>
        <w:tc>
          <w:tcPr>
            <w:tcW w:w="5" w:type="pct"/>
            <w:vAlign w:val="center"/>
            <w:hideMark/>
          </w:tcPr>
          <w:p w14:paraId="2057D9DD" w14:textId="77777777" w:rsidR="00000000" w:rsidRDefault="00C1661D">
            <w:pPr>
              <w:spacing w:after="100"/>
              <w:rPr>
                <w:rFonts w:eastAsia="Times New Roman"/>
                <w:sz w:val="20"/>
                <w:szCs w:val="20"/>
              </w:rPr>
            </w:pPr>
          </w:p>
        </w:tc>
        <w:tc>
          <w:tcPr>
            <w:tcW w:w="26" w:type="pct"/>
            <w:vAlign w:val="center"/>
            <w:hideMark/>
          </w:tcPr>
          <w:p w14:paraId="654DB213" w14:textId="77777777" w:rsidR="00000000" w:rsidRDefault="00C1661D">
            <w:pPr>
              <w:spacing w:after="100"/>
              <w:rPr>
                <w:rFonts w:eastAsia="Times New Roman"/>
                <w:sz w:val="20"/>
                <w:szCs w:val="20"/>
              </w:rPr>
            </w:pPr>
          </w:p>
        </w:tc>
        <w:tc>
          <w:tcPr>
            <w:tcW w:w="5" w:type="pct"/>
            <w:vAlign w:val="center"/>
            <w:hideMark/>
          </w:tcPr>
          <w:p w14:paraId="70B564FB" w14:textId="77777777" w:rsidR="00000000" w:rsidRDefault="00C1661D">
            <w:pPr>
              <w:spacing w:after="100"/>
              <w:rPr>
                <w:rFonts w:eastAsia="Times New Roman"/>
                <w:sz w:val="20"/>
                <w:szCs w:val="20"/>
              </w:rPr>
            </w:pPr>
          </w:p>
        </w:tc>
        <w:tc>
          <w:tcPr>
            <w:tcW w:w="50" w:type="pct"/>
            <w:vAlign w:val="center"/>
            <w:hideMark/>
          </w:tcPr>
          <w:p w14:paraId="79EFE877" w14:textId="77777777" w:rsidR="00000000" w:rsidRDefault="00C1661D">
            <w:pPr>
              <w:spacing w:after="100"/>
              <w:rPr>
                <w:rFonts w:eastAsia="Times New Roman"/>
                <w:sz w:val="20"/>
                <w:szCs w:val="20"/>
              </w:rPr>
            </w:pPr>
          </w:p>
        </w:tc>
        <w:tc>
          <w:tcPr>
            <w:tcW w:w="530" w:type="pct"/>
            <w:vAlign w:val="center"/>
            <w:hideMark/>
          </w:tcPr>
          <w:p w14:paraId="03B62408" w14:textId="77777777" w:rsidR="00000000" w:rsidRDefault="00C1661D">
            <w:pPr>
              <w:spacing w:after="100"/>
              <w:rPr>
                <w:rFonts w:eastAsia="Times New Roman"/>
                <w:sz w:val="20"/>
                <w:szCs w:val="20"/>
              </w:rPr>
            </w:pPr>
          </w:p>
        </w:tc>
        <w:tc>
          <w:tcPr>
            <w:tcW w:w="5" w:type="pct"/>
            <w:vAlign w:val="center"/>
            <w:hideMark/>
          </w:tcPr>
          <w:p w14:paraId="7D90F1B0" w14:textId="77777777" w:rsidR="00000000" w:rsidRDefault="00C1661D">
            <w:pPr>
              <w:spacing w:after="100"/>
              <w:rPr>
                <w:rFonts w:eastAsia="Times New Roman"/>
                <w:sz w:val="20"/>
                <w:szCs w:val="20"/>
              </w:rPr>
            </w:pPr>
          </w:p>
        </w:tc>
        <w:tc>
          <w:tcPr>
            <w:tcW w:w="5" w:type="pct"/>
            <w:vAlign w:val="center"/>
            <w:hideMark/>
          </w:tcPr>
          <w:p w14:paraId="3C94E247" w14:textId="77777777" w:rsidR="00000000" w:rsidRDefault="00C1661D">
            <w:pPr>
              <w:spacing w:after="100"/>
              <w:rPr>
                <w:rFonts w:eastAsia="Times New Roman"/>
                <w:sz w:val="20"/>
                <w:szCs w:val="20"/>
              </w:rPr>
            </w:pPr>
          </w:p>
        </w:tc>
        <w:tc>
          <w:tcPr>
            <w:tcW w:w="26" w:type="pct"/>
            <w:vAlign w:val="center"/>
            <w:hideMark/>
          </w:tcPr>
          <w:p w14:paraId="36B982A7" w14:textId="77777777" w:rsidR="00000000" w:rsidRDefault="00C1661D">
            <w:pPr>
              <w:spacing w:after="100"/>
              <w:rPr>
                <w:rFonts w:eastAsia="Times New Roman"/>
                <w:sz w:val="20"/>
                <w:szCs w:val="20"/>
              </w:rPr>
            </w:pPr>
          </w:p>
        </w:tc>
        <w:tc>
          <w:tcPr>
            <w:tcW w:w="5" w:type="pct"/>
            <w:vAlign w:val="center"/>
            <w:hideMark/>
          </w:tcPr>
          <w:p w14:paraId="05D617BD" w14:textId="77777777" w:rsidR="00000000" w:rsidRDefault="00C1661D">
            <w:pPr>
              <w:spacing w:after="100"/>
              <w:rPr>
                <w:rFonts w:eastAsia="Times New Roman"/>
                <w:sz w:val="20"/>
                <w:szCs w:val="20"/>
              </w:rPr>
            </w:pPr>
          </w:p>
        </w:tc>
        <w:tc>
          <w:tcPr>
            <w:tcW w:w="50" w:type="pct"/>
            <w:vAlign w:val="center"/>
            <w:hideMark/>
          </w:tcPr>
          <w:p w14:paraId="015963B0" w14:textId="77777777" w:rsidR="00000000" w:rsidRDefault="00C1661D">
            <w:pPr>
              <w:spacing w:after="100"/>
              <w:rPr>
                <w:rFonts w:eastAsia="Times New Roman"/>
                <w:sz w:val="20"/>
                <w:szCs w:val="20"/>
              </w:rPr>
            </w:pPr>
          </w:p>
        </w:tc>
        <w:tc>
          <w:tcPr>
            <w:tcW w:w="530" w:type="pct"/>
            <w:vAlign w:val="center"/>
            <w:hideMark/>
          </w:tcPr>
          <w:p w14:paraId="5D5208FD" w14:textId="77777777" w:rsidR="00000000" w:rsidRDefault="00C1661D">
            <w:pPr>
              <w:spacing w:after="100"/>
              <w:rPr>
                <w:rFonts w:eastAsia="Times New Roman"/>
                <w:sz w:val="20"/>
                <w:szCs w:val="20"/>
              </w:rPr>
            </w:pPr>
          </w:p>
        </w:tc>
        <w:tc>
          <w:tcPr>
            <w:tcW w:w="5" w:type="pct"/>
            <w:vAlign w:val="center"/>
            <w:hideMark/>
          </w:tcPr>
          <w:p w14:paraId="2F2FB8A4" w14:textId="77777777" w:rsidR="00000000" w:rsidRDefault="00C1661D">
            <w:pPr>
              <w:spacing w:after="100"/>
              <w:rPr>
                <w:rFonts w:eastAsia="Times New Roman"/>
                <w:sz w:val="20"/>
                <w:szCs w:val="20"/>
              </w:rPr>
            </w:pPr>
          </w:p>
        </w:tc>
        <w:tc>
          <w:tcPr>
            <w:tcW w:w="50" w:type="pct"/>
            <w:vAlign w:val="center"/>
            <w:hideMark/>
          </w:tcPr>
          <w:p w14:paraId="54CB2BA4" w14:textId="77777777" w:rsidR="00000000" w:rsidRDefault="00C1661D">
            <w:pPr>
              <w:spacing w:after="100"/>
              <w:rPr>
                <w:rFonts w:eastAsia="Times New Roman"/>
                <w:sz w:val="20"/>
                <w:szCs w:val="20"/>
              </w:rPr>
            </w:pPr>
          </w:p>
        </w:tc>
        <w:tc>
          <w:tcPr>
            <w:tcW w:w="142" w:type="pct"/>
            <w:vAlign w:val="center"/>
            <w:hideMark/>
          </w:tcPr>
          <w:p w14:paraId="11561809" w14:textId="77777777" w:rsidR="00000000" w:rsidRDefault="00C1661D">
            <w:pPr>
              <w:spacing w:after="100"/>
              <w:rPr>
                <w:rFonts w:eastAsia="Times New Roman"/>
                <w:sz w:val="20"/>
                <w:szCs w:val="20"/>
              </w:rPr>
            </w:pPr>
          </w:p>
        </w:tc>
        <w:tc>
          <w:tcPr>
            <w:tcW w:w="5" w:type="pct"/>
            <w:vAlign w:val="center"/>
            <w:hideMark/>
          </w:tcPr>
          <w:p w14:paraId="2EE4C280" w14:textId="77777777" w:rsidR="00000000" w:rsidRDefault="00C1661D">
            <w:pPr>
              <w:spacing w:after="100"/>
              <w:rPr>
                <w:rFonts w:eastAsia="Times New Roman"/>
                <w:sz w:val="20"/>
                <w:szCs w:val="20"/>
              </w:rPr>
            </w:pPr>
          </w:p>
        </w:tc>
        <w:tc>
          <w:tcPr>
            <w:tcW w:w="50" w:type="pct"/>
            <w:vAlign w:val="center"/>
            <w:hideMark/>
          </w:tcPr>
          <w:p w14:paraId="190668F1" w14:textId="77777777" w:rsidR="00000000" w:rsidRDefault="00C1661D">
            <w:pPr>
              <w:spacing w:after="100"/>
              <w:rPr>
                <w:rFonts w:eastAsia="Times New Roman"/>
                <w:sz w:val="20"/>
                <w:szCs w:val="20"/>
              </w:rPr>
            </w:pPr>
          </w:p>
        </w:tc>
        <w:tc>
          <w:tcPr>
            <w:tcW w:w="530" w:type="pct"/>
            <w:vAlign w:val="center"/>
            <w:hideMark/>
          </w:tcPr>
          <w:p w14:paraId="25F4A11F" w14:textId="77777777" w:rsidR="00000000" w:rsidRDefault="00C1661D">
            <w:pPr>
              <w:spacing w:after="100"/>
              <w:rPr>
                <w:rFonts w:eastAsia="Times New Roman"/>
                <w:sz w:val="20"/>
                <w:szCs w:val="20"/>
              </w:rPr>
            </w:pPr>
          </w:p>
        </w:tc>
        <w:tc>
          <w:tcPr>
            <w:tcW w:w="5" w:type="pct"/>
            <w:vAlign w:val="center"/>
            <w:hideMark/>
          </w:tcPr>
          <w:p w14:paraId="34D5E540" w14:textId="77777777" w:rsidR="00000000" w:rsidRDefault="00C1661D">
            <w:pPr>
              <w:spacing w:after="100"/>
              <w:rPr>
                <w:rFonts w:eastAsia="Times New Roman"/>
                <w:sz w:val="20"/>
                <w:szCs w:val="20"/>
              </w:rPr>
            </w:pPr>
          </w:p>
        </w:tc>
        <w:tc>
          <w:tcPr>
            <w:tcW w:w="50" w:type="pct"/>
            <w:vAlign w:val="center"/>
            <w:hideMark/>
          </w:tcPr>
          <w:p w14:paraId="0CC88A91" w14:textId="77777777" w:rsidR="00000000" w:rsidRDefault="00C1661D">
            <w:pPr>
              <w:spacing w:after="100"/>
              <w:rPr>
                <w:rFonts w:eastAsia="Times New Roman"/>
                <w:sz w:val="20"/>
                <w:szCs w:val="20"/>
              </w:rPr>
            </w:pPr>
          </w:p>
        </w:tc>
        <w:tc>
          <w:tcPr>
            <w:tcW w:w="142" w:type="pct"/>
            <w:vAlign w:val="center"/>
            <w:hideMark/>
          </w:tcPr>
          <w:p w14:paraId="047886A4" w14:textId="77777777" w:rsidR="00000000" w:rsidRDefault="00C1661D">
            <w:pPr>
              <w:spacing w:after="100"/>
              <w:rPr>
                <w:rFonts w:eastAsia="Times New Roman"/>
                <w:sz w:val="20"/>
                <w:szCs w:val="20"/>
              </w:rPr>
            </w:pPr>
          </w:p>
        </w:tc>
        <w:tc>
          <w:tcPr>
            <w:tcW w:w="5" w:type="pct"/>
            <w:vAlign w:val="center"/>
            <w:hideMark/>
          </w:tcPr>
          <w:p w14:paraId="1ED1EA44" w14:textId="77777777" w:rsidR="00000000" w:rsidRDefault="00C1661D">
            <w:pPr>
              <w:spacing w:after="100"/>
              <w:rPr>
                <w:rFonts w:eastAsia="Times New Roman"/>
                <w:sz w:val="20"/>
                <w:szCs w:val="20"/>
              </w:rPr>
            </w:pPr>
          </w:p>
        </w:tc>
      </w:tr>
      <w:tr w:rsidR="00000000" w14:paraId="334A47F1" w14:textId="77777777">
        <w:trPr>
          <w:jc w:val="center"/>
        </w:trPr>
        <w:tc>
          <w:tcPr>
            <w:tcW w:w="0" w:type="auto"/>
            <w:gridSpan w:val="3"/>
            <w:tcMar>
              <w:top w:w="0" w:type="dxa"/>
              <w:left w:w="20" w:type="dxa"/>
              <w:bottom w:w="0" w:type="dxa"/>
              <w:right w:w="20" w:type="dxa"/>
            </w:tcMar>
            <w:vAlign w:val="center"/>
            <w:hideMark/>
          </w:tcPr>
          <w:p w14:paraId="1E6FBA9D" w14:textId="77777777" w:rsidR="00000000" w:rsidRDefault="00C1661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F56D7C0" w14:textId="77777777" w:rsidR="00000000" w:rsidRDefault="00C1661D">
            <w:pPr>
              <w:spacing w:after="100"/>
              <w:jc w:val="center"/>
              <w:rPr>
                <w:rFonts w:eastAsia="Times New Roman"/>
              </w:rPr>
            </w:pPr>
            <w:r>
              <w:rPr>
                <w:rFonts w:eastAsia="Times New Roman"/>
                <w:color w:val="000000"/>
                <w:sz w:val="20"/>
                <w:szCs w:val="20"/>
              </w:rPr>
              <w:t>Balance at</w:t>
            </w:r>
            <w:r>
              <w:rPr>
                <w:rFonts w:eastAsia="Times New Roman"/>
                <w:color w:val="000000"/>
                <w:sz w:val="20"/>
                <w:szCs w:val="20"/>
              </w:rPr>
              <w:br/>
              <w:t>beginning</w:t>
            </w:r>
            <w:r>
              <w:rPr>
                <w:rFonts w:eastAsia="Times New Roman"/>
                <w:color w:val="000000"/>
                <w:sz w:val="20"/>
                <w:szCs w:val="20"/>
              </w:rPr>
              <w:br/>
              <w:t>of year</w:t>
            </w:r>
          </w:p>
        </w:tc>
        <w:tc>
          <w:tcPr>
            <w:tcW w:w="0" w:type="auto"/>
            <w:gridSpan w:val="3"/>
            <w:tcMar>
              <w:top w:w="0" w:type="dxa"/>
              <w:left w:w="20" w:type="dxa"/>
              <w:bottom w:w="0" w:type="dxa"/>
              <w:right w:w="20" w:type="dxa"/>
            </w:tcMar>
            <w:vAlign w:val="center"/>
            <w:hideMark/>
          </w:tcPr>
          <w:p w14:paraId="019FBBDE"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7F6E254" w14:textId="77777777" w:rsidR="00000000" w:rsidRDefault="00C1661D">
            <w:pPr>
              <w:spacing w:after="100"/>
              <w:jc w:val="center"/>
              <w:rPr>
                <w:rFonts w:eastAsia="Times New Roman"/>
              </w:rPr>
            </w:pPr>
            <w:r>
              <w:rPr>
                <w:rFonts w:eastAsia="Times New Roman"/>
                <w:color w:val="000000"/>
                <w:sz w:val="20"/>
                <w:szCs w:val="20"/>
              </w:rPr>
              <w:t>Charged</w:t>
            </w:r>
            <w:r>
              <w:rPr>
                <w:rFonts w:eastAsia="Times New Roman"/>
                <w:color w:val="000000"/>
                <w:sz w:val="20"/>
                <w:szCs w:val="20"/>
              </w:rPr>
              <w:br/>
              <w:t>(credited)</w:t>
            </w:r>
            <w:r>
              <w:rPr>
                <w:rFonts w:eastAsia="Times New Roman"/>
                <w:color w:val="000000"/>
                <w:sz w:val="20"/>
                <w:szCs w:val="20"/>
              </w:rPr>
              <w:br/>
              <w:t>to costs and</w:t>
            </w:r>
            <w:r>
              <w:rPr>
                <w:rFonts w:eastAsia="Times New Roman"/>
                <w:color w:val="000000"/>
                <w:sz w:val="20"/>
                <w:szCs w:val="20"/>
              </w:rPr>
              <w:br/>
              <w:t>expenses</w:t>
            </w:r>
          </w:p>
        </w:tc>
        <w:tc>
          <w:tcPr>
            <w:tcW w:w="0" w:type="auto"/>
            <w:gridSpan w:val="3"/>
            <w:tcMar>
              <w:top w:w="0" w:type="dxa"/>
              <w:left w:w="20" w:type="dxa"/>
              <w:bottom w:w="0" w:type="dxa"/>
              <w:right w:w="20" w:type="dxa"/>
            </w:tcMar>
            <w:vAlign w:val="center"/>
            <w:hideMark/>
          </w:tcPr>
          <w:p w14:paraId="05559094"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E983776" w14:textId="77777777" w:rsidR="00000000" w:rsidRDefault="00C1661D">
            <w:pPr>
              <w:spacing w:after="100"/>
              <w:jc w:val="center"/>
              <w:rPr>
                <w:rFonts w:eastAsia="Times New Roman"/>
              </w:rPr>
            </w:pPr>
            <w:r>
              <w:rPr>
                <w:rFonts w:eastAsia="Times New Roman"/>
                <w:color w:val="000000"/>
                <w:sz w:val="20"/>
                <w:szCs w:val="20"/>
              </w:rPr>
              <w:t>Other</w:t>
            </w:r>
          </w:p>
        </w:tc>
        <w:tc>
          <w:tcPr>
            <w:tcW w:w="0" w:type="auto"/>
            <w:gridSpan w:val="3"/>
            <w:tcMar>
              <w:top w:w="0" w:type="dxa"/>
              <w:left w:w="20" w:type="dxa"/>
              <w:bottom w:w="0" w:type="dxa"/>
              <w:right w:w="20" w:type="dxa"/>
            </w:tcMar>
            <w:vAlign w:val="center"/>
            <w:hideMark/>
          </w:tcPr>
          <w:p w14:paraId="70947E75" w14:textId="77777777" w:rsidR="00000000" w:rsidRDefault="00C1661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BC4517B" w14:textId="77777777" w:rsidR="00000000" w:rsidRDefault="00C1661D">
            <w:pPr>
              <w:spacing w:after="100"/>
              <w:jc w:val="center"/>
              <w:rPr>
                <w:rFonts w:eastAsia="Times New Roman"/>
              </w:rPr>
            </w:pPr>
            <w:r>
              <w:rPr>
                <w:rFonts w:eastAsia="Times New Roman"/>
                <w:color w:val="000000"/>
                <w:sz w:val="20"/>
                <w:szCs w:val="20"/>
              </w:rPr>
              <w:t>Balance at</w:t>
            </w:r>
            <w:r>
              <w:rPr>
                <w:rFonts w:eastAsia="Times New Roman"/>
                <w:color w:val="000000"/>
                <w:sz w:val="20"/>
                <w:szCs w:val="20"/>
              </w:rPr>
              <w:br/>
              <w:t>end of</w:t>
            </w:r>
            <w:r>
              <w:rPr>
                <w:rFonts w:eastAsia="Times New Roman"/>
                <w:color w:val="000000"/>
                <w:sz w:val="20"/>
                <w:szCs w:val="20"/>
              </w:rPr>
              <w:br/>
              <w:t>year</w:t>
            </w:r>
          </w:p>
        </w:tc>
        <w:tc>
          <w:tcPr>
            <w:tcW w:w="0" w:type="auto"/>
            <w:gridSpan w:val="3"/>
            <w:tcMar>
              <w:top w:w="0" w:type="dxa"/>
              <w:left w:w="20" w:type="dxa"/>
              <w:bottom w:w="0" w:type="dxa"/>
              <w:right w:w="20" w:type="dxa"/>
            </w:tcMar>
            <w:vAlign w:val="center"/>
            <w:hideMark/>
          </w:tcPr>
          <w:p w14:paraId="0576A2A5" w14:textId="77777777" w:rsidR="00000000" w:rsidRDefault="00C1661D">
            <w:pPr>
              <w:spacing w:after="100"/>
              <w:jc w:val="center"/>
              <w:rPr>
                <w:rFonts w:eastAsia="Times New Roman"/>
              </w:rPr>
            </w:pPr>
          </w:p>
        </w:tc>
      </w:tr>
      <w:tr w:rsidR="00000000" w14:paraId="5ED495C4" w14:textId="77777777">
        <w:trPr>
          <w:jc w:val="center"/>
        </w:trPr>
        <w:tc>
          <w:tcPr>
            <w:tcW w:w="0" w:type="auto"/>
            <w:gridSpan w:val="3"/>
            <w:shd w:val="clear" w:color="auto" w:fill="CCEEFF"/>
            <w:tcMar>
              <w:top w:w="30" w:type="dxa"/>
              <w:left w:w="20" w:type="dxa"/>
              <w:bottom w:w="30" w:type="dxa"/>
              <w:right w:w="20" w:type="dxa"/>
            </w:tcMar>
            <w:vAlign w:val="bottom"/>
            <w:hideMark/>
          </w:tcPr>
          <w:p w14:paraId="43B6C4A3" w14:textId="77777777" w:rsidR="00000000" w:rsidRDefault="00C1661D">
            <w:pPr>
              <w:spacing w:after="100"/>
              <w:rPr>
                <w:rFonts w:eastAsia="Times New Roman"/>
              </w:rPr>
            </w:pPr>
            <w:r>
              <w:rPr>
                <w:rFonts w:eastAsia="Times New Roman"/>
                <w:b/>
                <w:bCs/>
                <w:color w:val="000000"/>
                <w:sz w:val="20"/>
                <w:szCs w:val="20"/>
              </w:rPr>
              <w:t>Year Ended September 30,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5A2841F"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6B36A1C"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BFA8DA3"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6187B69" w14:textId="77777777" w:rsidR="00000000" w:rsidRDefault="00C1661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44332C7"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60FFC8A5"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C13F4D"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43A65340" w14:textId="77777777" w:rsidR="00000000" w:rsidRDefault="00C1661D">
            <w:pPr>
              <w:spacing w:after="100"/>
              <w:rPr>
                <w:rFonts w:eastAsia="Times New Roman"/>
              </w:rPr>
            </w:pPr>
            <w:r>
              <w:rPr>
                <w:rFonts w:eastAsia="Times New Roman"/>
                <w:color w:val="000000"/>
                <w:sz w:val="20"/>
                <w:szCs w:val="20"/>
              </w:rPr>
              <w:t> </w:t>
            </w:r>
          </w:p>
        </w:tc>
      </w:tr>
      <w:tr w:rsidR="00000000" w14:paraId="14449174" w14:textId="77777777">
        <w:trPr>
          <w:jc w:val="center"/>
        </w:trPr>
        <w:tc>
          <w:tcPr>
            <w:tcW w:w="0" w:type="auto"/>
            <w:gridSpan w:val="3"/>
            <w:shd w:val="clear" w:color="auto" w:fill="FFFFFF"/>
            <w:tcMar>
              <w:top w:w="30" w:type="dxa"/>
              <w:left w:w="20" w:type="dxa"/>
              <w:bottom w:w="30" w:type="dxa"/>
              <w:right w:w="20" w:type="dxa"/>
            </w:tcMar>
            <w:vAlign w:val="bottom"/>
            <w:hideMark/>
          </w:tcPr>
          <w:p w14:paraId="1C82600A" w14:textId="77777777" w:rsidR="00000000" w:rsidRDefault="00C1661D">
            <w:pPr>
              <w:spacing w:after="100"/>
              <w:rPr>
                <w:rFonts w:eastAsia="Times New Roman"/>
              </w:rPr>
            </w:pPr>
            <w:r>
              <w:rPr>
                <w:rFonts w:eastAsia="Times New Roman"/>
                <w:color w:val="000000"/>
                <w:sz w:val="20"/>
                <w:szCs w:val="20"/>
              </w:rPr>
              <w:t>Reserves deducted from assets in the consolidated balance sheet:</w:t>
            </w:r>
          </w:p>
        </w:tc>
        <w:tc>
          <w:tcPr>
            <w:tcW w:w="0" w:type="auto"/>
            <w:gridSpan w:val="3"/>
            <w:shd w:val="clear" w:color="auto" w:fill="FFFFFF"/>
            <w:tcMar>
              <w:top w:w="30" w:type="dxa"/>
              <w:left w:w="20" w:type="dxa"/>
              <w:bottom w:w="30" w:type="dxa"/>
              <w:right w:w="20" w:type="dxa"/>
            </w:tcMar>
            <w:vAlign w:val="bottom"/>
            <w:hideMark/>
          </w:tcPr>
          <w:p w14:paraId="50AB1F52"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FDD75C3"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DFBA608"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A1D8C33"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A984DC8"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5FECAF8C"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1617690D"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1B25CD60" w14:textId="77777777" w:rsidR="00000000" w:rsidRDefault="00C1661D">
            <w:pPr>
              <w:spacing w:after="100"/>
              <w:rPr>
                <w:rFonts w:eastAsia="Times New Roman"/>
              </w:rPr>
            </w:pPr>
            <w:r>
              <w:rPr>
                <w:rFonts w:eastAsia="Times New Roman"/>
                <w:color w:val="000000"/>
                <w:sz w:val="20"/>
                <w:szCs w:val="20"/>
              </w:rPr>
              <w:t> </w:t>
            </w:r>
          </w:p>
        </w:tc>
      </w:tr>
      <w:tr w:rsidR="00000000" w14:paraId="3FF63655" w14:textId="77777777">
        <w:trPr>
          <w:jc w:val="center"/>
        </w:trPr>
        <w:tc>
          <w:tcPr>
            <w:tcW w:w="0" w:type="auto"/>
            <w:gridSpan w:val="3"/>
            <w:shd w:val="clear" w:color="auto" w:fill="CCEEFF"/>
            <w:tcMar>
              <w:top w:w="30" w:type="dxa"/>
              <w:left w:w="155" w:type="dxa"/>
              <w:bottom w:w="30" w:type="dxa"/>
              <w:right w:w="20" w:type="dxa"/>
            </w:tcMar>
            <w:vAlign w:val="bottom"/>
            <w:hideMark/>
          </w:tcPr>
          <w:p w14:paraId="258CBDBF" w14:textId="77777777" w:rsidR="00000000" w:rsidRDefault="00C1661D">
            <w:pPr>
              <w:spacing w:after="100"/>
              <w:rPr>
                <w:rFonts w:eastAsia="Times New Roman"/>
              </w:rPr>
            </w:pPr>
            <w:r>
              <w:rPr>
                <w:rFonts w:eastAsia="Times New Roman"/>
                <w:color w:val="000000"/>
                <w:sz w:val="20"/>
                <w:szCs w:val="20"/>
              </w:rPr>
              <w:t>Allowance for doubtful accounts</w:t>
            </w:r>
          </w:p>
        </w:tc>
        <w:tc>
          <w:tcPr>
            <w:tcW w:w="0" w:type="auto"/>
            <w:shd w:val="clear" w:color="auto" w:fill="CCEEFF"/>
            <w:tcMar>
              <w:top w:w="30" w:type="dxa"/>
              <w:left w:w="20" w:type="dxa"/>
              <w:bottom w:w="30" w:type="dxa"/>
              <w:right w:w="0" w:type="dxa"/>
            </w:tcMar>
            <w:vAlign w:val="bottom"/>
            <w:hideMark/>
          </w:tcPr>
          <w:p w14:paraId="2358217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091E0A" w14:textId="77777777" w:rsidR="00000000" w:rsidRDefault="00C1661D">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14:paraId="03D21B83"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7614B5"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052C5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839FA2" w14:textId="77777777" w:rsidR="00000000" w:rsidRDefault="00C1661D">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14:paraId="6C8FFE5D" w14:textId="77777777" w:rsidR="00000000" w:rsidRDefault="00C1661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1E37EF" w14:textId="77777777" w:rsidR="00000000" w:rsidRDefault="00C1661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54B94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555A9F" w14:textId="77777777" w:rsidR="00000000" w:rsidRDefault="00C1661D">
            <w:pPr>
              <w:spacing w:after="100"/>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14:paraId="27826094"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FBFD270" w14:textId="77777777" w:rsidR="00000000" w:rsidRDefault="00C1661D">
            <w:pPr>
              <w:spacing w:after="100"/>
              <w:rPr>
                <w:rFonts w:eastAsia="Times New Roman"/>
              </w:rPr>
            </w:pPr>
            <w:r>
              <w:rPr>
                <w:rFonts w:eastAsia="Times New Roman"/>
                <w:color w:val="000000"/>
                <w:sz w:val="20"/>
                <w:szCs w:val="20"/>
              </w:rPr>
              <w:t>(1)</w:t>
            </w:r>
          </w:p>
        </w:tc>
        <w:tc>
          <w:tcPr>
            <w:tcW w:w="0" w:type="auto"/>
            <w:shd w:val="clear" w:color="auto" w:fill="CCEEFF"/>
            <w:tcMar>
              <w:top w:w="30" w:type="dxa"/>
              <w:left w:w="20" w:type="dxa"/>
              <w:bottom w:w="30" w:type="dxa"/>
              <w:right w:w="0" w:type="dxa"/>
            </w:tcMar>
            <w:vAlign w:val="bottom"/>
            <w:hideMark/>
          </w:tcPr>
          <w:p w14:paraId="0CF8EB8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46FFA6C" w14:textId="77777777" w:rsidR="00000000" w:rsidRDefault="00C1661D">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14:paraId="16E6E86A" w14:textId="77777777" w:rsidR="00000000" w:rsidRDefault="00C1661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36EE28E" w14:textId="77777777" w:rsidR="00000000" w:rsidRDefault="00C1661D">
            <w:pPr>
              <w:spacing w:after="100"/>
              <w:rPr>
                <w:rFonts w:eastAsia="Times New Roman"/>
              </w:rPr>
            </w:pPr>
            <w:r>
              <w:rPr>
                <w:rFonts w:eastAsia="Times New Roman"/>
                <w:color w:val="000000"/>
                <w:sz w:val="20"/>
                <w:szCs w:val="20"/>
              </w:rPr>
              <w:t> </w:t>
            </w:r>
          </w:p>
        </w:tc>
      </w:tr>
      <w:tr w:rsidR="00000000" w14:paraId="1D1E7D21" w14:textId="77777777">
        <w:trPr>
          <w:trHeight w:val="300"/>
          <w:jc w:val="center"/>
        </w:trPr>
        <w:tc>
          <w:tcPr>
            <w:tcW w:w="0" w:type="auto"/>
            <w:gridSpan w:val="3"/>
            <w:shd w:val="clear" w:color="auto" w:fill="FFFFFF"/>
            <w:tcMar>
              <w:top w:w="0" w:type="dxa"/>
              <w:left w:w="20" w:type="dxa"/>
              <w:bottom w:w="0" w:type="dxa"/>
              <w:right w:w="20" w:type="dxa"/>
            </w:tcMar>
            <w:vAlign w:val="center"/>
            <w:hideMark/>
          </w:tcPr>
          <w:p w14:paraId="638F1F10" w14:textId="77777777" w:rsidR="00000000" w:rsidRDefault="00C1661D">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4A78DE5"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FB3EF1"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AA7899"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E13F47"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455B64"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CFC193" w14:textId="77777777" w:rsidR="00000000" w:rsidRDefault="00C1661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D4211B9"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AEC091" w14:textId="77777777" w:rsidR="00000000" w:rsidRDefault="00C1661D">
            <w:pPr>
              <w:spacing w:after="100"/>
              <w:rPr>
                <w:rFonts w:eastAsia="Times New Roman"/>
                <w:sz w:val="20"/>
                <w:szCs w:val="20"/>
              </w:rPr>
            </w:pPr>
          </w:p>
        </w:tc>
      </w:tr>
      <w:tr w:rsidR="00000000" w14:paraId="453F7EC8" w14:textId="77777777">
        <w:trPr>
          <w:jc w:val="center"/>
        </w:trPr>
        <w:tc>
          <w:tcPr>
            <w:tcW w:w="0" w:type="auto"/>
            <w:gridSpan w:val="3"/>
            <w:vAlign w:val="center"/>
            <w:hideMark/>
          </w:tcPr>
          <w:p w14:paraId="35B3179B" w14:textId="77777777" w:rsidR="00000000" w:rsidRDefault="00C1661D">
            <w:pPr>
              <w:spacing w:after="100"/>
              <w:rPr>
                <w:rFonts w:eastAsia="Times New Roman"/>
                <w:sz w:val="20"/>
                <w:szCs w:val="20"/>
              </w:rPr>
            </w:pPr>
          </w:p>
        </w:tc>
        <w:tc>
          <w:tcPr>
            <w:tcW w:w="0" w:type="auto"/>
            <w:gridSpan w:val="3"/>
            <w:vAlign w:val="center"/>
            <w:hideMark/>
          </w:tcPr>
          <w:p w14:paraId="329D6D20" w14:textId="77777777" w:rsidR="00000000" w:rsidRDefault="00C1661D">
            <w:pPr>
              <w:spacing w:after="100"/>
              <w:rPr>
                <w:rFonts w:eastAsia="Times New Roman"/>
                <w:sz w:val="20"/>
                <w:szCs w:val="20"/>
              </w:rPr>
            </w:pPr>
          </w:p>
        </w:tc>
        <w:tc>
          <w:tcPr>
            <w:tcW w:w="0" w:type="auto"/>
            <w:gridSpan w:val="3"/>
            <w:vAlign w:val="center"/>
            <w:hideMark/>
          </w:tcPr>
          <w:p w14:paraId="5C7039F8" w14:textId="77777777" w:rsidR="00000000" w:rsidRDefault="00C1661D">
            <w:pPr>
              <w:spacing w:after="100"/>
              <w:rPr>
                <w:rFonts w:eastAsia="Times New Roman"/>
                <w:sz w:val="20"/>
                <w:szCs w:val="20"/>
              </w:rPr>
            </w:pPr>
          </w:p>
        </w:tc>
        <w:tc>
          <w:tcPr>
            <w:tcW w:w="0" w:type="auto"/>
            <w:gridSpan w:val="3"/>
            <w:vAlign w:val="center"/>
            <w:hideMark/>
          </w:tcPr>
          <w:p w14:paraId="586CB4A9" w14:textId="77777777" w:rsidR="00000000" w:rsidRDefault="00C1661D">
            <w:pPr>
              <w:spacing w:after="100"/>
              <w:rPr>
                <w:rFonts w:eastAsia="Times New Roman"/>
                <w:sz w:val="20"/>
                <w:szCs w:val="20"/>
              </w:rPr>
            </w:pPr>
          </w:p>
        </w:tc>
        <w:tc>
          <w:tcPr>
            <w:tcW w:w="0" w:type="auto"/>
            <w:gridSpan w:val="3"/>
            <w:vAlign w:val="center"/>
            <w:hideMark/>
          </w:tcPr>
          <w:p w14:paraId="5D5BA1DE" w14:textId="77777777" w:rsidR="00000000" w:rsidRDefault="00C1661D">
            <w:pPr>
              <w:spacing w:after="100"/>
              <w:rPr>
                <w:rFonts w:eastAsia="Times New Roman"/>
                <w:sz w:val="20"/>
                <w:szCs w:val="20"/>
              </w:rPr>
            </w:pPr>
          </w:p>
        </w:tc>
        <w:tc>
          <w:tcPr>
            <w:tcW w:w="0" w:type="auto"/>
            <w:gridSpan w:val="3"/>
            <w:vAlign w:val="center"/>
            <w:hideMark/>
          </w:tcPr>
          <w:p w14:paraId="1F5D9FC3" w14:textId="77777777" w:rsidR="00000000" w:rsidRDefault="00C1661D">
            <w:pPr>
              <w:spacing w:after="100"/>
              <w:rPr>
                <w:rFonts w:eastAsia="Times New Roman"/>
                <w:sz w:val="20"/>
                <w:szCs w:val="20"/>
              </w:rPr>
            </w:pPr>
          </w:p>
        </w:tc>
        <w:tc>
          <w:tcPr>
            <w:tcW w:w="0" w:type="auto"/>
            <w:gridSpan w:val="3"/>
            <w:vAlign w:val="center"/>
            <w:hideMark/>
          </w:tcPr>
          <w:p w14:paraId="65C6B4B5" w14:textId="77777777" w:rsidR="00000000" w:rsidRDefault="00C1661D">
            <w:pPr>
              <w:spacing w:after="100"/>
              <w:rPr>
                <w:rFonts w:eastAsia="Times New Roman"/>
                <w:sz w:val="20"/>
                <w:szCs w:val="20"/>
              </w:rPr>
            </w:pPr>
          </w:p>
        </w:tc>
        <w:tc>
          <w:tcPr>
            <w:tcW w:w="0" w:type="auto"/>
            <w:gridSpan w:val="3"/>
            <w:vAlign w:val="center"/>
            <w:hideMark/>
          </w:tcPr>
          <w:p w14:paraId="130F7ECA" w14:textId="77777777" w:rsidR="00000000" w:rsidRDefault="00C1661D">
            <w:pPr>
              <w:spacing w:after="100"/>
              <w:rPr>
                <w:rFonts w:eastAsia="Times New Roman"/>
                <w:sz w:val="20"/>
                <w:szCs w:val="20"/>
              </w:rPr>
            </w:pPr>
          </w:p>
        </w:tc>
        <w:tc>
          <w:tcPr>
            <w:tcW w:w="0" w:type="auto"/>
            <w:gridSpan w:val="3"/>
            <w:vAlign w:val="center"/>
            <w:hideMark/>
          </w:tcPr>
          <w:p w14:paraId="547FC899" w14:textId="77777777" w:rsidR="00000000" w:rsidRDefault="00C1661D">
            <w:pPr>
              <w:spacing w:after="100"/>
              <w:rPr>
                <w:rFonts w:eastAsia="Times New Roman"/>
                <w:sz w:val="20"/>
                <w:szCs w:val="20"/>
              </w:rPr>
            </w:pPr>
          </w:p>
        </w:tc>
      </w:tr>
      <w:tr w:rsidR="00000000" w14:paraId="28F03249" w14:textId="77777777">
        <w:trPr>
          <w:jc w:val="center"/>
        </w:trPr>
        <w:tc>
          <w:tcPr>
            <w:tcW w:w="0" w:type="auto"/>
            <w:gridSpan w:val="3"/>
            <w:shd w:val="clear" w:color="auto" w:fill="CCEEFF"/>
            <w:tcMar>
              <w:top w:w="30" w:type="dxa"/>
              <w:left w:w="20" w:type="dxa"/>
              <w:bottom w:w="30" w:type="dxa"/>
              <w:right w:w="20" w:type="dxa"/>
            </w:tcMar>
            <w:vAlign w:val="bottom"/>
            <w:hideMark/>
          </w:tcPr>
          <w:p w14:paraId="2FEF9965" w14:textId="77777777" w:rsidR="00000000" w:rsidRDefault="00C1661D">
            <w:pPr>
              <w:spacing w:after="100"/>
              <w:rPr>
                <w:rFonts w:eastAsia="Times New Roman"/>
              </w:rPr>
            </w:pPr>
            <w:r>
              <w:rPr>
                <w:rFonts w:eastAsia="Times New Roman"/>
                <w:color w:val="000000"/>
                <w:sz w:val="20"/>
                <w:szCs w:val="20"/>
              </w:rPr>
              <w:t>Other reserves:</w:t>
            </w:r>
          </w:p>
        </w:tc>
        <w:tc>
          <w:tcPr>
            <w:tcW w:w="0" w:type="auto"/>
            <w:gridSpan w:val="3"/>
            <w:shd w:val="clear" w:color="auto" w:fill="CCEEFF"/>
            <w:tcMar>
              <w:top w:w="30" w:type="dxa"/>
              <w:left w:w="20" w:type="dxa"/>
              <w:bottom w:w="30" w:type="dxa"/>
              <w:right w:w="20" w:type="dxa"/>
            </w:tcMar>
            <w:vAlign w:val="bottom"/>
            <w:hideMark/>
          </w:tcPr>
          <w:p w14:paraId="15DC9042"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9970247"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13F3084"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034FFD0"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C468974"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39141E81"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53E2FBFA"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45E979BD" w14:textId="77777777" w:rsidR="00000000" w:rsidRDefault="00C1661D">
            <w:pPr>
              <w:spacing w:after="100"/>
              <w:rPr>
                <w:rFonts w:eastAsia="Times New Roman"/>
              </w:rPr>
            </w:pPr>
            <w:r>
              <w:rPr>
                <w:rFonts w:eastAsia="Times New Roman"/>
                <w:color w:val="000000"/>
                <w:sz w:val="20"/>
                <w:szCs w:val="20"/>
              </w:rPr>
              <w:t> </w:t>
            </w:r>
          </w:p>
        </w:tc>
      </w:tr>
      <w:tr w:rsidR="00000000" w14:paraId="47DB69B6" w14:textId="77777777">
        <w:trPr>
          <w:jc w:val="center"/>
        </w:trPr>
        <w:tc>
          <w:tcPr>
            <w:tcW w:w="0" w:type="auto"/>
            <w:gridSpan w:val="3"/>
            <w:vAlign w:val="center"/>
            <w:hideMark/>
          </w:tcPr>
          <w:p w14:paraId="21C5E034" w14:textId="77777777" w:rsidR="00000000" w:rsidRDefault="00C1661D">
            <w:pPr>
              <w:spacing w:after="100"/>
              <w:rPr>
                <w:rFonts w:eastAsia="Times New Roman"/>
              </w:rPr>
            </w:pPr>
          </w:p>
        </w:tc>
        <w:tc>
          <w:tcPr>
            <w:tcW w:w="0" w:type="auto"/>
            <w:gridSpan w:val="3"/>
            <w:vAlign w:val="center"/>
            <w:hideMark/>
          </w:tcPr>
          <w:p w14:paraId="3F3701E2" w14:textId="77777777" w:rsidR="00000000" w:rsidRDefault="00C1661D">
            <w:pPr>
              <w:spacing w:after="100"/>
              <w:rPr>
                <w:rFonts w:eastAsia="Times New Roman"/>
                <w:sz w:val="20"/>
                <w:szCs w:val="20"/>
              </w:rPr>
            </w:pPr>
          </w:p>
        </w:tc>
        <w:tc>
          <w:tcPr>
            <w:tcW w:w="0" w:type="auto"/>
            <w:gridSpan w:val="3"/>
            <w:vAlign w:val="center"/>
            <w:hideMark/>
          </w:tcPr>
          <w:p w14:paraId="3C501085" w14:textId="77777777" w:rsidR="00000000" w:rsidRDefault="00C1661D">
            <w:pPr>
              <w:spacing w:after="100"/>
              <w:rPr>
                <w:rFonts w:eastAsia="Times New Roman"/>
                <w:sz w:val="20"/>
                <w:szCs w:val="20"/>
              </w:rPr>
            </w:pPr>
          </w:p>
        </w:tc>
        <w:tc>
          <w:tcPr>
            <w:tcW w:w="0" w:type="auto"/>
            <w:gridSpan w:val="3"/>
            <w:vAlign w:val="center"/>
            <w:hideMark/>
          </w:tcPr>
          <w:p w14:paraId="66969ADA" w14:textId="77777777" w:rsidR="00000000" w:rsidRDefault="00C1661D">
            <w:pPr>
              <w:spacing w:after="100"/>
              <w:rPr>
                <w:rFonts w:eastAsia="Times New Roman"/>
                <w:sz w:val="20"/>
                <w:szCs w:val="20"/>
              </w:rPr>
            </w:pPr>
          </w:p>
        </w:tc>
        <w:tc>
          <w:tcPr>
            <w:tcW w:w="0" w:type="auto"/>
            <w:gridSpan w:val="3"/>
            <w:vAlign w:val="center"/>
            <w:hideMark/>
          </w:tcPr>
          <w:p w14:paraId="3ABF838C" w14:textId="77777777" w:rsidR="00000000" w:rsidRDefault="00C1661D">
            <w:pPr>
              <w:spacing w:after="100"/>
              <w:rPr>
                <w:rFonts w:eastAsia="Times New Roman"/>
                <w:sz w:val="20"/>
                <w:szCs w:val="20"/>
              </w:rPr>
            </w:pPr>
          </w:p>
        </w:tc>
        <w:tc>
          <w:tcPr>
            <w:tcW w:w="0" w:type="auto"/>
            <w:gridSpan w:val="3"/>
            <w:vAlign w:val="center"/>
            <w:hideMark/>
          </w:tcPr>
          <w:p w14:paraId="60267058" w14:textId="77777777" w:rsidR="00000000" w:rsidRDefault="00C1661D">
            <w:pPr>
              <w:spacing w:after="100"/>
              <w:rPr>
                <w:rFonts w:eastAsia="Times New Roman"/>
                <w:sz w:val="20"/>
                <w:szCs w:val="20"/>
              </w:rPr>
            </w:pPr>
          </w:p>
        </w:tc>
        <w:tc>
          <w:tcPr>
            <w:tcW w:w="0" w:type="auto"/>
            <w:gridSpan w:val="3"/>
            <w:vAlign w:val="center"/>
            <w:hideMark/>
          </w:tcPr>
          <w:p w14:paraId="3DB0BBAE" w14:textId="77777777" w:rsidR="00000000" w:rsidRDefault="00C1661D">
            <w:pPr>
              <w:spacing w:after="100"/>
              <w:rPr>
                <w:rFonts w:eastAsia="Times New Roman"/>
                <w:sz w:val="20"/>
                <w:szCs w:val="20"/>
              </w:rPr>
            </w:pPr>
          </w:p>
        </w:tc>
        <w:tc>
          <w:tcPr>
            <w:tcW w:w="0" w:type="auto"/>
            <w:gridSpan w:val="3"/>
            <w:vAlign w:val="center"/>
            <w:hideMark/>
          </w:tcPr>
          <w:p w14:paraId="401CE8A3" w14:textId="77777777" w:rsidR="00000000" w:rsidRDefault="00C1661D">
            <w:pPr>
              <w:spacing w:after="100"/>
              <w:rPr>
                <w:rFonts w:eastAsia="Times New Roman"/>
                <w:sz w:val="20"/>
                <w:szCs w:val="20"/>
              </w:rPr>
            </w:pPr>
          </w:p>
        </w:tc>
        <w:tc>
          <w:tcPr>
            <w:tcW w:w="0" w:type="auto"/>
            <w:gridSpan w:val="3"/>
            <w:vAlign w:val="center"/>
            <w:hideMark/>
          </w:tcPr>
          <w:p w14:paraId="30159AAB" w14:textId="77777777" w:rsidR="00000000" w:rsidRDefault="00C1661D">
            <w:pPr>
              <w:spacing w:after="100"/>
              <w:rPr>
                <w:rFonts w:eastAsia="Times New Roman"/>
                <w:sz w:val="20"/>
                <w:szCs w:val="20"/>
              </w:rPr>
            </w:pPr>
          </w:p>
        </w:tc>
      </w:tr>
      <w:tr w:rsidR="00000000" w14:paraId="7928A68C" w14:textId="77777777">
        <w:trPr>
          <w:jc w:val="center"/>
        </w:trPr>
        <w:tc>
          <w:tcPr>
            <w:tcW w:w="0" w:type="auto"/>
            <w:gridSpan w:val="3"/>
            <w:vAlign w:val="center"/>
            <w:hideMark/>
          </w:tcPr>
          <w:p w14:paraId="477351EB" w14:textId="77777777" w:rsidR="00000000" w:rsidRDefault="00C1661D">
            <w:pPr>
              <w:spacing w:after="100"/>
              <w:rPr>
                <w:rFonts w:eastAsia="Times New Roman"/>
                <w:sz w:val="20"/>
                <w:szCs w:val="20"/>
              </w:rPr>
            </w:pPr>
          </w:p>
        </w:tc>
        <w:tc>
          <w:tcPr>
            <w:tcW w:w="0" w:type="auto"/>
            <w:gridSpan w:val="3"/>
            <w:vAlign w:val="center"/>
            <w:hideMark/>
          </w:tcPr>
          <w:p w14:paraId="2E1A864E" w14:textId="77777777" w:rsidR="00000000" w:rsidRDefault="00C1661D">
            <w:pPr>
              <w:spacing w:after="100"/>
              <w:rPr>
                <w:rFonts w:eastAsia="Times New Roman"/>
                <w:sz w:val="20"/>
                <w:szCs w:val="20"/>
              </w:rPr>
            </w:pPr>
          </w:p>
        </w:tc>
        <w:tc>
          <w:tcPr>
            <w:tcW w:w="0" w:type="auto"/>
            <w:gridSpan w:val="3"/>
            <w:vAlign w:val="center"/>
            <w:hideMark/>
          </w:tcPr>
          <w:p w14:paraId="4A9F2152" w14:textId="77777777" w:rsidR="00000000" w:rsidRDefault="00C1661D">
            <w:pPr>
              <w:spacing w:after="100"/>
              <w:rPr>
                <w:rFonts w:eastAsia="Times New Roman"/>
                <w:sz w:val="20"/>
                <w:szCs w:val="20"/>
              </w:rPr>
            </w:pPr>
          </w:p>
        </w:tc>
        <w:tc>
          <w:tcPr>
            <w:tcW w:w="0" w:type="auto"/>
            <w:gridSpan w:val="3"/>
            <w:vAlign w:val="center"/>
            <w:hideMark/>
          </w:tcPr>
          <w:p w14:paraId="55CE2F76" w14:textId="77777777" w:rsidR="00000000" w:rsidRDefault="00C1661D">
            <w:pPr>
              <w:spacing w:after="100"/>
              <w:rPr>
                <w:rFonts w:eastAsia="Times New Roman"/>
                <w:sz w:val="20"/>
                <w:szCs w:val="20"/>
              </w:rPr>
            </w:pPr>
          </w:p>
        </w:tc>
        <w:tc>
          <w:tcPr>
            <w:tcW w:w="0" w:type="auto"/>
            <w:gridSpan w:val="3"/>
            <w:vAlign w:val="center"/>
            <w:hideMark/>
          </w:tcPr>
          <w:p w14:paraId="61FFB88D" w14:textId="77777777" w:rsidR="00000000" w:rsidRDefault="00C1661D">
            <w:pPr>
              <w:spacing w:after="100"/>
              <w:rPr>
                <w:rFonts w:eastAsia="Times New Roman"/>
                <w:sz w:val="20"/>
                <w:szCs w:val="20"/>
              </w:rPr>
            </w:pPr>
          </w:p>
        </w:tc>
        <w:tc>
          <w:tcPr>
            <w:tcW w:w="0" w:type="auto"/>
            <w:gridSpan w:val="3"/>
            <w:vAlign w:val="center"/>
            <w:hideMark/>
          </w:tcPr>
          <w:p w14:paraId="2A57EEA3" w14:textId="77777777" w:rsidR="00000000" w:rsidRDefault="00C1661D">
            <w:pPr>
              <w:spacing w:after="100"/>
              <w:rPr>
                <w:rFonts w:eastAsia="Times New Roman"/>
                <w:sz w:val="20"/>
                <w:szCs w:val="20"/>
              </w:rPr>
            </w:pPr>
          </w:p>
        </w:tc>
        <w:tc>
          <w:tcPr>
            <w:tcW w:w="0" w:type="auto"/>
            <w:gridSpan w:val="3"/>
            <w:vAlign w:val="center"/>
            <w:hideMark/>
          </w:tcPr>
          <w:p w14:paraId="0A6AAEE5" w14:textId="77777777" w:rsidR="00000000" w:rsidRDefault="00C1661D">
            <w:pPr>
              <w:spacing w:after="100"/>
              <w:rPr>
                <w:rFonts w:eastAsia="Times New Roman"/>
                <w:sz w:val="20"/>
                <w:szCs w:val="20"/>
              </w:rPr>
            </w:pPr>
          </w:p>
        </w:tc>
        <w:tc>
          <w:tcPr>
            <w:tcW w:w="0" w:type="auto"/>
            <w:gridSpan w:val="3"/>
            <w:vAlign w:val="center"/>
            <w:hideMark/>
          </w:tcPr>
          <w:p w14:paraId="39C44C33" w14:textId="77777777" w:rsidR="00000000" w:rsidRDefault="00C1661D">
            <w:pPr>
              <w:spacing w:after="100"/>
              <w:rPr>
                <w:rFonts w:eastAsia="Times New Roman"/>
                <w:sz w:val="20"/>
                <w:szCs w:val="20"/>
              </w:rPr>
            </w:pPr>
          </w:p>
        </w:tc>
        <w:tc>
          <w:tcPr>
            <w:tcW w:w="0" w:type="auto"/>
            <w:gridSpan w:val="3"/>
            <w:vAlign w:val="center"/>
            <w:hideMark/>
          </w:tcPr>
          <w:p w14:paraId="3AAC2588" w14:textId="77777777" w:rsidR="00000000" w:rsidRDefault="00C1661D">
            <w:pPr>
              <w:spacing w:after="100"/>
              <w:rPr>
                <w:rFonts w:eastAsia="Times New Roman"/>
                <w:sz w:val="20"/>
                <w:szCs w:val="20"/>
              </w:rPr>
            </w:pPr>
          </w:p>
        </w:tc>
      </w:tr>
      <w:tr w:rsidR="00000000" w14:paraId="637BEE4D" w14:textId="77777777">
        <w:trPr>
          <w:jc w:val="center"/>
        </w:trPr>
        <w:tc>
          <w:tcPr>
            <w:tcW w:w="0" w:type="auto"/>
            <w:gridSpan w:val="3"/>
            <w:vAlign w:val="center"/>
            <w:hideMark/>
          </w:tcPr>
          <w:p w14:paraId="278A4864" w14:textId="77777777" w:rsidR="00000000" w:rsidRDefault="00C1661D">
            <w:pPr>
              <w:spacing w:after="100"/>
              <w:rPr>
                <w:rFonts w:eastAsia="Times New Roman"/>
                <w:sz w:val="20"/>
                <w:szCs w:val="20"/>
              </w:rPr>
            </w:pPr>
          </w:p>
        </w:tc>
        <w:tc>
          <w:tcPr>
            <w:tcW w:w="0" w:type="auto"/>
            <w:gridSpan w:val="3"/>
            <w:vAlign w:val="center"/>
            <w:hideMark/>
          </w:tcPr>
          <w:p w14:paraId="7F07DDCB" w14:textId="77777777" w:rsidR="00000000" w:rsidRDefault="00C1661D">
            <w:pPr>
              <w:spacing w:after="100"/>
              <w:rPr>
                <w:rFonts w:eastAsia="Times New Roman"/>
                <w:sz w:val="20"/>
                <w:szCs w:val="20"/>
              </w:rPr>
            </w:pPr>
          </w:p>
        </w:tc>
        <w:tc>
          <w:tcPr>
            <w:tcW w:w="0" w:type="auto"/>
            <w:gridSpan w:val="3"/>
            <w:vAlign w:val="center"/>
            <w:hideMark/>
          </w:tcPr>
          <w:p w14:paraId="6BD4C129" w14:textId="77777777" w:rsidR="00000000" w:rsidRDefault="00C1661D">
            <w:pPr>
              <w:spacing w:after="100"/>
              <w:rPr>
                <w:rFonts w:eastAsia="Times New Roman"/>
                <w:sz w:val="20"/>
                <w:szCs w:val="20"/>
              </w:rPr>
            </w:pPr>
          </w:p>
        </w:tc>
        <w:tc>
          <w:tcPr>
            <w:tcW w:w="0" w:type="auto"/>
            <w:gridSpan w:val="3"/>
            <w:vAlign w:val="center"/>
            <w:hideMark/>
          </w:tcPr>
          <w:p w14:paraId="5C032B04" w14:textId="77777777" w:rsidR="00000000" w:rsidRDefault="00C1661D">
            <w:pPr>
              <w:spacing w:after="100"/>
              <w:rPr>
                <w:rFonts w:eastAsia="Times New Roman"/>
                <w:sz w:val="20"/>
                <w:szCs w:val="20"/>
              </w:rPr>
            </w:pPr>
          </w:p>
        </w:tc>
        <w:tc>
          <w:tcPr>
            <w:tcW w:w="0" w:type="auto"/>
            <w:gridSpan w:val="3"/>
            <w:vAlign w:val="center"/>
            <w:hideMark/>
          </w:tcPr>
          <w:p w14:paraId="009632AA" w14:textId="77777777" w:rsidR="00000000" w:rsidRDefault="00C1661D">
            <w:pPr>
              <w:spacing w:after="100"/>
              <w:rPr>
                <w:rFonts w:eastAsia="Times New Roman"/>
                <w:sz w:val="20"/>
                <w:szCs w:val="20"/>
              </w:rPr>
            </w:pPr>
          </w:p>
        </w:tc>
        <w:tc>
          <w:tcPr>
            <w:tcW w:w="0" w:type="auto"/>
            <w:gridSpan w:val="3"/>
            <w:vAlign w:val="center"/>
            <w:hideMark/>
          </w:tcPr>
          <w:p w14:paraId="1D22610D" w14:textId="77777777" w:rsidR="00000000" w:rsidRDefault="00C1661D">
            <w:pPr>
              <w:spacing w:after="100"/>
              <w:rPr>
                <w:rFonts w:eastAsia="Times New Roman"/>
                <w:sz w:val="20"/>
                <w:szCs w:val="20"/>
              </w:rPr>
            </w:pPr>
          </w:p>
        </w:tc>
        <w:tc>
          <w:tcPr>
            <w:tcW w:w="0" w:type="auto"/>
            <w:gridSpan w:val="3"/>
            <w:vAlign w:val="center"/>
            <w:hideMark/>
          </w:tcPr>
          <w:p w14:paraId="4AF1F987" w14:textId="77777777" w:rsidR="00000000" w:rsidRDefault="00C1661D">
            <w:pPr>
              <w:spacing w:after="100"/>
              <w:rPr>
                <w:rFonts w:eastAsia="Times New Roman"/>
                <w:sz w:val="20"/>
                <w:szCs w:val="20"/>
              </w:rPr>
            </w:pPr>
          </w:p>
        </w:tc>
        <w:tc>
          <w:tcPr>
            <w:tcW w:w="0" w:type="auto"/>
            <w:gridSpan w:val="3"/>
            <w:vAlign w:val="center"/>
            <w:hideMark/>
          </w:tcPr>
          <w:p w14:paraId="3FFE9229" w14:textId="77777777" w:rsidR="00000000" w:rsidRDefault="00C1661D">
            <w:pPr>
              <w:spacing w:after="100"/>
              <w:rPr>
                <w:rFonts w:eastAsia="Times New Roman"/>
                <w:sz w:val="20"/>
                <w:szCs w:val="20"/>
              </w:rPr>
            </w:pPr>
          </w:p>
        </w:tc>
        <w:tc>
          <w:tcPr>
            <w:tcW w:w="0" w:type="auto"/>
            <w:gridSpan w:val="3"/>
            <w:vAlign w:val="center"/>
            <w:hideMark/>
          </w:tcPr>
          <w:p w14:paraId="243A1673" w14:textId="77777777" w:rsidR="00000000" w:rsidRDefault="00C1661D">
            <w:pPr>
              <w:spacing w:after="100"/>
              <w:rPr>
                <w:rFonts w:eastAsia="Times New Roman"/>
                <w:sz w:val="20"/>
                <w:szCs w:val="20"/>
              </w:rPr>
            </w:pPr>
          </w:p>
        </w:tc>
      </w:tr>
      <w:tr w:rsidR="00000000" w14:paraId="47132B95" w14:textId="77777777">
        <w:trPr>
          <w:jc w:val="center"/>
        </w:trPr>
        <w:tc>
          <w:tcPr>
            <w:tcW w:w="0" w:type="auto"/>
            <w:gridSpan w:val="3"/>
            <w:vAlign w:val="center"/>
            <w:hideMark/>
          </w:tcPr>
          <w:p w14:paraId="2471E67A" w14:textId="77777777" w:rsidR="00000000" w:rsidRDefault="00C1661D">
            <w:pPr>
              <w:spacing w:after="100"/>
              <w:rPr>
                <w:rFonts w:eastAsia="Times New Roman"/>
                <w:sz w:val="20"/>
                <w:szCs w:val="20"/>
              </w:rPr>
            </w:pPr>
          </w:p>
        </w:tc>
        <w:tc>
          <w:tcPr>
            <w:tcW w:w="0" w:type="auto"/>
            <w:gridSpan w:val="3"/>
            <w:vAlign w:val="center"/>
            <w:hideMark/>
          </w:tcPr>
          <w:p w14:paraId="40A39C61" w14:textId="77777777" w:rsidR="00000000" w:rsidRDefault="00C1661D">
            <w:pPr>
              <w:spacing w:after="100"/>
              <w:rPr>
                <w:rFonts w:eastAsia="Times New Roman"/>
                <w:sz w:val="20"/>
                <w:szCs w:val="20"/>
              </w:rPr>
            </w:pPr>
          </w:p>
        </w:tc>
        <w:tc>
          <w:tcPr>
            <w:tcW w:w="0" w:type="auto"/>
            <w:gridSpan w:val="3"/>
            <w:vAlign w:val="center"/>
            <w:hideMark/>
          </w:tcPr>
          <w:p w14:paraId="5FB308B5" w14:textId="77777777" w:rsidR="00000000" w:rsidRDefault="00C1661D">
            <w:pPr>
              <w:spacing w:after="100"/>
              <w:rPr>
                <w:rFonts w:eastAsia="Times New Roman"/>
                <w:sz w:val="20"/>
                <w:szCs w:val="20"/>
              </w:rPr>
            </w:pPr>
          </w:p>
        </w:tc>
        <w:tc>
          <w:tcPr>
            <w:tcW w:w="0" w:type="auto"/>
            <w:gridSpan w:val="3"/>
            <w:vAlign w:val="center"/>
            <w:hideMark/>
          </w:tcPr>
          <w:p w14:paraId="7261EEED" w14:textId="77777777" w:rsidR="00000000" w:rsidRDefault="00C1661D">
            <w:pPr>
              <w:spacing w:after="100"/>
              <w:rPr>
                <w:rFonts w:eastAsia="Times New Roman"/>
                <w:sz w:val="20"/>
                <w:szCs w:val="20"/>
              </w:rPr>
            </w:pPr>
          </w:p>
        </w:tc>
        <w:tc>
          <w:tcPr>
            <w:tcW w:w="0" w:type="auto"/>
            <w:gridSpan w:val="3"/>
            <w:vAlign w:val="center"/>
            <w:hideMark/>
          </w:tcPr>
          <w:p w14:paraId="3217FEDF" w14:textId="77777777" w:rsidR="00000000" w:rsidRDefault="00C1661D">
            <w:pPr>
              <w:spacing w:after="100"/>
              <w:rPr>
                <w:rFonts w:eastAsia="Times New Roman"/>
                <w:sz w:val="20"/>
                <w:szCs w:val="20"/>
              </w:rPr>
            </w:pPr>
          </w:p>
        </w:tc>
        <w:tc>
          <w:tcPr>
            <w:tcW w:w="0" w:type="auto"/>
            <w:gridSpan w:val="3"/>
            <w:vAlign w:val="center"/>
            <w:hideMark/>
          </w:tcPr>
          <w:p w14:paraId="5D9985C1" w14:textId="77777777" w:rsidR="00000000" w:rsidRDefault="00C1661D">
            <w:pPr>
              <w:spacing w:after="100"/>
              <w:rPr>
                <w:rFonts w:eastAsia="Times New Roman"/>
                <w:sz w:val="20"/>
                <w:szCs w:val="20"/>
              </w:rPr>
            </w:pPr>
          </w:p>
        </w:tc>
        <w:tc>
          <w:tcPr>
            <w:tcW w:w="0" w:type="auto"/>
            <w:gridSpan w:val="3"/>
            <w:vAlign w:val="center"/>
            <w:hideMark/>
          </w:tcPr>
          <w:p w14:paraId="65AD27A9" w14:textId="77777777" w:rsidR="00000000" w:rsidRDefault="00C1661D">
            <w:pPr>
              <w:spacing w:after="100"/>
              <w:rPr>
                <w:rFonts w:eastAsia="Times New Roman"/>
                <w:sz w:val="20"/>
                <w:szCs w:val="20"/>
              </w:rPr>
            </w:pPr>
          </w:p>
        </w:tc>
        <w:tc>
          <w:tcPr>
            <w:tcW w:w="0" w:type="auto"/>
            <w:gridSpan w:val="3"/>
            <w:vAlign w:val="center"/>
            <w:hideMark/>
          </w:tcPr>
          <w:p w14:paraId="3ED76379" w14:textId="77777777" w:rsidR="00000000" w:rsidRDefault="00C1661D">
            <w:pPr>
              <w:spacing w:after="100"/>
              <w:rPr>
                <w:rFonts w:eastAsia="Times New Roman"/>
                <w:sz w:val="20"/>
                <w:szCs w:val="20"/>
              </w:rPr>
            </w:pPr>
          </w:p>
        </w:tc>
        <w:tc>
          <w:tcPr>
            <w:tcW w:w="0" w:type="auto"/>
            <w:gridSpan w:val="3"/>
            <w:vAlign w:val="center"/>
            <w:hideMark/>
          </w:tcPr>
          <w:p w14:paraId="680FF411" w14:textId="77777777" w:rsidR="00000000" w:rsidRDefault="00C1661D">
            <w:pPr>
              <w:spacing w:after="100"/>
              <w:rPr>
                <w:rFonts w:eastAsia="Times New Roman"/>
                <w:sz w:val="20"/>
                <w:szCs w:val="20"/>
              </w:rPr>
            </w:pPr>
          </w:p>
        </w:tc>
      </w:tr>
      <w:tr w:rsidR="00000000" w14:paraId="7E2FF53A" w14:textId="77777777">
        <w:trPr>
          <w:jc w:val="center"/>
        </w:trPr>
        <w:tc>
          <w:tcPr>
            <w:tcW w:w="0" w:type="auto"/>
            <w:gridSpan w:val="3"/>
            <w:vAlign w:val="center"/>
            <w:hideMark/>
          </w:tcPr>
          <w:p w14:paraId="457BD330" w14:textId="77777777" w:rsidR="00000000" w:rsidRDefault="00C1661D">
            <w:pPr>
              <w:spacing w:after="100"/>
              <w:rPr>
                <w:rFonts w:eastAsia="Times New Roman"/>
                <w:sz w:val="20"/>
                <w:szCs w:val="20"/>
              </w:rPr>
            </w:pPr>
          </w:p>
        </w:tc>
        <w:tc>
          <w:tcPr>
            <w:tcW w:w="0" w:type="auto"/>
            <w:gridSpan w:val="3"/>
            <w:vAlign w:val="center"/>
            <w:hideMark/>
          </w:tcPr>
          <w:p w14:paraId="3A61AD08" w14:textId="77777777" w:rsidR="00000000" w:rsidRDefault="00C1661D">
            <w:pPr>
              <w:spacing w:after="100"/>
              <w:rPr>
                <w:rFonts w:eastAsia="Times New Roman"/>
                <w:sz w:val="20"/>
                <w:szCs w:val="20"/>
              </w:rPr>
            </w:pPr>
          </w:p>
        </w:tc>
        <w:tc>
          <w:tcPr>
            <w:tcW w:w="0" w:type="auto"/>
            <w:gridSpan w:val="3"/>
            <w:vAlign w:val="center"/>
            <w:hideMark/>
          </w:tcPr>
          <w:p w14:paraId="5037E884" w14:textId="77777777" w:rsidR="00000000" w:rsidRDefault="00C1661D">
            <w:pPr>
              <w:spacing w:after="100"/>
              <w:rPr>
                <w:rFonts w:eastAsia="Times New Roman"/>
                <w:sz w:val="20"/>
                <w:szCs w:val="20"/>
              </w:rPr>
            </w:pPr>
          </w:p>
        </w:tc>
        <w:tc>
          <w:tcPr>
            <w:tcW w:w="0" w:type="auto"/>
            <w:gridSpan w:val="3"/>
            <w:vAlign w:val="center"/>
            <w:hideMark/>
          </w:tcPr>
          <w:p w14:paraId="0BDFFD47" w14:textId="77777777" w:rsidR="00000000" w:rsidRDefault="00C1661D">
            <w:pPr>
              <w:spacing w:after="100"/>
              <w:rPr>
                <w:rFonts w:eastAsia="Times New Roman"/>
                <w:sz w:val="20"/>
                <w:szCs w:val="20"/>
              </w:rPr>
            </w:pPr>
          </w:p>
        </w:tc>
        <w:tc>
          <w:tcPr>
            <w:tcW w:w="0" w:type="auto"/>
            <w:gridSpan w:val="3"/>
            <w:vAlign w:val="center"/>
            <w:hideMark/>
          </w:tcPr>
          <w:p w14:paraId="2B0440CB" w14:textId="77777777" w:rsidR="00000000" w:rsidRDefault="00C1661D">
            <w:pPr>
              <w:spacing w:after="100"/>
              <w:rPr>
                <w:rFonts w:eastAsia="Times New Roman"/>
                <w:sz w:val="20"/>
                <w:szCs w:val="20"/>
              </w:rPr>
            </w:pPr>
          </w:p>
        </w:tc>
        <w:tc>
          <w:tcPr>
            <w:tcW w:w="0" w:type="auto"/>
            <w:gridSpan w:val="3"/>
            <w:vAlign w:val="center"/>
            <w:hideMark/>
          </w:tcPr>
          <w:p w14:paraId="5D3687D5" w14:textId="77777777" w:rsidR="00000000" w:rsidRDefault="00C1661D">
            <w:pPr>
              <w:spacing w:after="100"/>
              <w:rPr>
                <w:rFonts w:eastAsia="Times New Roman"/>
                <w:sz w:val="20"/>
                <w:szCs w:val="20"/>
              </w:rPr>
            </w:pPr>
          </w:p>
        </w:tc>
        <w:tc>
          <w:tcPr>
            <w:tcW w:w="0" w:type="auto"/>
            <w:gridSpan w:val="3"/>
            <w:vAlign w:val="center"/>
            <w:hideMark/>
          </w:tcPr>
          <w:p w14:paraId="1005D94A" w14:textId="77777777" w:rsidR="00000000" w:rsidRDefault="00C1661D">
            <w:pPr>
              <w:spacing w:after="100"/>
              <w:rPr>
                <w:rFonts w:eastAsia="Times New Roman"/>
                <w:sz w:val="20"/>
                <w:szCs w:val="20"/>
              </w:rPr>
            </w:pPr>
          </w:p>
        </w:tc>
        <w:tc>
          <w:tcPr>
            <w:tcW w:w="0" w:type="auto"/>
            <w:gridSpan w:val="3"/>
            <w:vAlign w:val="center"/>
            <w:hideMark/>
          </w:tcPr>
          <w:p w14:paraId="4B6D965E" w14:textId="77777777" w:rsidR="00000000" w:rsidRDefault="00C1661D">
            <w:pPr>
              <w:spacing w:after="100"/>
              <w:rPr>
                <w:rFonts w:eastAsia="Times New Roman"/>
                <w:sz w:val="20"/>
                <w:szCs w:val="20"/>
              </w:rPr>
            </w:pPr>
          </w:p>
        </w:tc>
        <w:tc>
          <w:tcPr>
            <w:tcW w:w="0" w:type="auto"/>
            <w:gridSpan w:val="3"/>
            <w:vAlign w:val="center"/>
            <w:hideMark/>
          </w:tcPr>
          <w:p w14:paraId="462E6D9D" w14:textId="77777777" w:rsidR="00000000" w:rsidRDefault="00C1661D">
            <w:pPr>
              <w:spacing w:after="100"/>
              <w:rPr>
                <w:rFonts w:eastAsia="Times New Roman"/>
                <w:sz w:val="20"/>
                <w:szCs w:val="20"/>
              </w:rPr>
            </w:pPr>
          </w:p>
        </w:tc>
      </w:tr>
      <w:tr w:rsidR="00000000" w14:paraId="65A09C9E" w14:textId="77777777">
        <w:trPr>
          <w:jc w:val="center"/>
        </w:trPr>
        <w:tc>
          <w:tcPr>
            <w:tcW w:w="0" w:type="auto"/>
            <w:gridSpan w:val="3"/>
            <w:vAlign w:val="center"/>
            <w:hideMark/>
          </w:tcPr>
          <w:p w14:paraId="10DFA011" w14:textId="77777777" w:rsidR="00000000" w:rsidRDefault="00C1661D">
            <w:pPr>
              <w:spacing w:after="100"/>
              <w:rPr>
                <w:rFonts w:eastAsia="Times New Roman"/>
                <w:sz w:val="20"/>
                <w:szCs w:val="20"/>
              </w:rPr>
            </w:pPr>
          </w:p>
        </w:tc>
        <w:tc>
          <w:tcPr>
            <w:tcW w:w="0" w:type="auto"/>
            <w:gridSpan w:val="3"/>
            <w:vAlign w:val="center"/>
            <w:hideMark/>
          </w:tcPr>
          <w:p w14:paraId="6E0C7886" w14:textId="77777777" w:rsidR="00000000" w:rsidRDefault="00C1661D">
            <w:pPr>
              <w:spacing w:after="100"/>
              <w:rPr>
                <w:rFonts w:eastAsia="Times New Roman"/>
                <w:sz w:val="20"/>
                <w:szCs w:val="20"/>
              </w:rPr>
            </w:pPr>
          </w:p>
        </w:tc>
        <w:tc>
          <w:tcPr>
            <w:tcW w:w="0" w:type="auto"/>
            <w:gridSpan w:val="3"/>
            <w:vAlign w:val="center"/>
            <w:hideMark/>
          </w:tcPr>
          <w:p w14:paraId="6F78B067" w14:textId="77777777" w:rsidR="00000000" w:rsidRDefault="00C1661D">
            <w:pPr>
              <w:spacing w:after="100"/>
              <w:rPr>
                <w:rFonts w:eastAsia="Times New Roman"/>
                <w:sz w:val="20"/>
                <w:szCs w:val="20"/>
              </w:rPr>
            </w:pPr>
          </w:p>
        </w:tc>
        <w:tc>
          <w:tcPr>
            <w:tcW w:w="0" w:type="auto"/>
            <w:gridSpan w:val="3"/>
            <w:vAlign w:val="center"/>
            <w:hideMark/>
          </w:tcPr>
          <w:p w14:paraId="041445D9" w14:textId="77777777" w:rsidR="00000000" w:rsidRDefault="00C1661D">
            <w:pPr>
              <w:spacing w:after="100"/>
              <w:rPr>
                <w:rFonts w:eastAsia="Times New Roman"/>
                <w:sz w:val="20"/>
                <w:szCs w:val="20"/>
              </w:rPr>
            </w:pPr>
          </w:p>
        </w:tc>
        <w:tc>
          <w:tcPr>
            <w:tcW w:w="0" w:type="auto"/>
            <w:gridSpan w:val="3"/>
            <w:vAlign w:val="center"/>
            <w:hideMark/>
          </w:tcPr>
          <w:p w14:paraId="18C85500" w14:textId="77777777" w:rsidR="00000000" w:rsidRDefault="00C1661D">
            <w:pPr>
              <w:spacing w:after="100"/>
              <w:rPr>
                <w:rFonts w:eastAsia="Times New Roman"/>
                <w:sz w:val="20"/>
                <w:szCs w:val="20"/>
              </w:rPr>
            </w:pPr>
          </w:p>
        </w:tc>
        <w:tc>
          <w:tcPr>
            <w:tcW w:w="0" w:type="auto"/>
            <w:gridSpan w:val="3"/>
            <w:vAlign w:val="center"/>
            <w:hideMark/>
          </w:tcPr>
          <w:p w14:paraId="58719932" w14:textId="77777777" w:rsidR="00000000" w:rsidRDefault="00C1661D">
            <w:pPr>
              <w:spacing w:after="100"/>
              <w:rPr>
                <w:rFonts w:eastAsia="Times New Roman"/>
                <w:sz w:val="20"/>
                <w:szCs w:val="20"/>
              </w:rPr>
            </w:pPr>
          </w:p>
        </w:tc>
        <w:tc>
          <w:tcPr>
            <w:tcW w:w="0" w:type="auto"/>
            <w:gridSpan w:val="3"/>
            <w:vAlign w:val="center"/>
            <w:hideMark/>
          </w:tcPr>
          <w:p w14:paraId="190EF5D9" w14:textId="77777777" w:rsidR="00000000" w:rsidRDefault="00C1661D">
            <w:pPr>
              <w:spacing w:after="100"/>
              <w:rPr>
                <w:rFonts w:eastAsia="Times New Roman"/>
                <w:sz w:val="20"/>
                <w:szCs w:val="20"/>
              </w:rPr>
            </w:pPr>
          </w:p>
        </w:tc>
        <w:tc>
          <w:tcPr>
            <w:tcW w:w="0" w:type="auto"/>
            <w:gridSpan w:val="3"/>
            <w:vAlign w:val="center"/>
            <w:hideMark/>
          </w:tcPr>
          <w:p w14:paraId="6DFA41C6" w14:textId="77777777" w:rsidR="00000000" w:rsidRDefault="00C1661D">
            <w:pPr>
              <w:spacing w:after="100"/>
              <w:rPr>
                <w:rFonts w:eastAsia="Times New Roman"/>
                <w:sz w:val="20"/>
                <w:szCs w:val="20"/>
              </w:rPr>
            </w:pPr>
          </w:p>
        </w:tc>
        <w:tc>
          <w:tcPr>
            <w:tcW w:w="0" w:type="auto"/>
            <w:gridSpan w:val="3"/>
            <w:vAlign w:val="center"/>
            <w:hideMark/>
          </w:tcPr>
          <w:p w14:paraId="34BA2EC2" w14:textId="77777777" w:rsidR="00000000" w:rsidRDefault="00C1661D">
            <w:pPr>
              <w:spacing w:after="100"/>
              <w:rPr>
                <w:rFonts w:eastAsia="Times New Roman"/>
                <w:sz w:val="20"/>
                <w:szCs w:val="20"/>
              </w:rPr>
            </w:pPr>
          </w:p>
        </w:tc>
      </w:tr>
      <w:tr w:rsidR="00000000" w14:paraId="1446B316" w14:textId="77777777">
        <w:trPr>
          <w:jc w:val="center"/>
        </w:trPr>
        <w:tc>
          <w:tcPr>
            <w:tcW w:w="0" w:type="auto"/>
            <w:gridSpan w:val="3"/>
            <w:shd w:val="clear" w:color="auto" w:fill="FFFFFF"/>
            <w:tcMar>
              <w:top w:w="30" w:type="dxa"/>
              <w:left w:w="155" w:type="dxa"/>
              <w:bottom w:w="30" w:type="dxa"/>
              <w:right w:w="20" w:type="dxa"/>
            </w:tcMar>
            <w:vAlign w:val="bottom"/>
            <w:hideMark/>
          </w:tcPr>
          <w:p w14:paraId="5DA558ED" w14:textId="77777777" w:rsidR="00000000" w:rsidRDefault="00C1661D">
            <w:pPr>
              <w:spacing w:after="100"/>
              <w:rPr>
                <w:rFonts w:eastAsia="Times New Roman"/>
              </w:rPr>
            </w:pPr>
            <w:r>
              <w:rPr>
                <w:rFonts w:eastAsia="Times New Roman"/>
                <w:color w:val="000000"/>
                <w:sz w:val="20"/>
                <w:szCs w:val="20"/>
              </w:rPr>
              <w:t>Deferred tax assets valuation allowance</w:t>
            </w:r>
          </w:p>
        </w:tc>
        <w:tc>
          <w:tcPr>
            <w:tcW w:w="0" w:type="auto"/>
            <w:shd w:val="clear" w:color="auto" w:fill="FFFFFF"/>
            <w:tcMar>
              <w:top w:w="30" w:type="dxa"/>
              <w:left w:w="20" w:type="dxa"/>
              <w:bottom w:w="30" w:type="dxa"/>
              <w:right w:w="0" w:type="dxa"/>
            </w:tcMar>
            <w:vAlign w:val="bottom"/>
            <w:hideMark/>
          </w:tcPr>
          <w:p w14:paraId="2B515BC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B3ADFC5" w14:textId="77777777" w:rsidR="00000000" w:rsidRDefault="00C1661D">
            <w:pPr>
              <w:spacing w:after="100"/>
              <w:jc w:val="right"/>
              <w:rPr>
                <w:rFonts w:eastAsia="Times New Roman"/>
              </w:rPr>
            </w:pPr>
            <w:r>
              <w:rPr>
                <w:rFonts w:eastAsia="Times New Roman"/>
                <w:color w:val="000000"/>
                <w:sz w:val="20"/>
                <w:szCs w:val="20"/>
              </w:rPr>
              <w:t>138 </w:t>
            </w:r>
          </w:p>
        </w:tc>
        <w:tc>
          <w:tcPr>
            <w:tcW w:w="0" w:type="auto"/>
            <w:shd w:val="clear" w:color="auto" w:fill="FFFFFF"/>
            <w:tcMar>
              <w:top w:w="30" w:type="dxa"/>
              <w:left w:w="0" w:type="dxa"/>
              <w:bottom w:w="30" w:type="dxa"/>
              <w:right w:w="20" w:type="dxa"/>
            </w:tcMar>
            <w:vAlign w:val="bottom"/>
            <w:hideMark/>
          </w:tcPr>
          <w:p w14:paraId="4CA779C8"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7D92D"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538649"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95390CA" w14:textId="77777777" w:rsidR="00000000" w:rsidRDefault="00C1661D">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14:paraId="65E64902"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8BB156"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01F016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85284E" w14:textId="77777777" w:rsidR="00000000" w:rsidRDefault="00C1661D">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2F67FD0C"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3637E7D" w14:textId="77777777" w:rsidR="00000000" w:rsidRDefault="00C1661D">
            <w:pPr>
              <w:spacing w:after="100"/>
              <w:rPr>
                <w:rFonts w:eastAsia="Times New Roman"/>
              </w:rPr>
            </w:pPr>
            <w:r>
              <w:rPr>
                <w:rFonts w:eastAsia="Times New Roman"/>
                <w:color w:val="000000"/>
                <w:sz w:val="20"/>
                <w:szCs w:val="20"/>
              </w:rPr>
              <w:t>(2)</w:t>
            </w:r>
          </w:p>
        </w:tc>
        <w:tc>
          <w:tcPr>
            <w:tcW w:w="0" w:type="auto"/>
            <w:shd w:val="clear" w:color="auto" w:fill="FFFFFF"/>
            <w:tcMar>
              <w:top w:w="30" w:type="dxa"/>
              <w:left w:w="20" w:type="dxa"/>
              <w:bottom w:w="30" w:type="dxa"/>
              <w:right w:w="0" w:type="dxa"/>
            </w:tcMar>
            <w:vAlign w:val="bottom"/>
            <w:hideMark/>
          </w:tcPr>
          <w:p w14:paraId="5AF8660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66F654E" w14:textId="77777777" w:rsidR="00000000" w:rsidRDefault="00C1661D">
            <w:pPr>
              <w:spacing w:after="100"/>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14:paraId="7A8E0260"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4FE210D" w14:textId="77777777" w:rsidR="00000000" w:rsidRDefault="00C1661D">
            <w:pPr>
              <w:spacing w:after="100"/>
              <w:rPr>
                <w:rFonts w:eastAsia="Times New Roman"/>
              </w:rPr>
            </w:pPr>
            <w:r>
              <w:rPr>
                <w:rFonts w:eastAsia="Times New Roman"/>
                <w:color w:val="000000"/>
                <w:sz w:val="20"/>
                <w:szCs w:val="20"/>
              </w:rPr>
              <w:t> </w:t>
            </w:r>
          </w:p>
        </w:tc>
      </w:tr>
      <w:tr w:rsidR="00000000" w14:paraId="5277C622" w14:textId="77777777">
        <w:trPr>
          <w:jc w:val="center"/>
        </w:trPr>
        <w:tc>
          <w:tcPr>
            <w:tcW w:w="0" w:type="auto"/>
            <w:gridSpan w:val="3"/>
            <w:vAlign w:val="center"/>
            <w:hideMark/>
          </w:tcPr>
          <w:p w14:paraId="775111C7" w14:textId="77777777" w:rsidR="00000000" w:rsidRDefault="00C1661D">
            <w:pPr>
              <w:spacing w:after="100"/>
              <w:rPr>
                <w:rFonts w:eastAsia="Times New Roman"/>
              </w:rPr>
            </w:pPr>
          </w:p>
        </w:tc>
        <w:tc>
          <w:tcPr>
            <w:tcW w:w="0" w:type="auto"/>
            <w:gridSpan w:val="3"/>
            <w:vAlign w:val="center"/>
            <w:hideMark/>
          </w:tcPr>
          <w:p w14:paraId="7C2407BC" w14:textId="77777777" w:rsidR="00000000" w:rsidRDefault="00C1661D">
            <w:pPr>
              <w:spacing w:after="100"/>
              <w:rPr>
                <w:rFonts w:eastAsia="Times New Roman"/>
                <w:sz w:val="20"/>
                <w:szCs w:val="20"/>
              </w:rPr>
            </w:pPr>
          </w:p>
        </w:tc>
        <w:tc>
          <w:tcPr>
            <w:tcW w:w="0" w:type="auto"/>
            <w:gridSpan w:val="3"/>
            <w:vAlign w:val="center"/>
            <w:hideMark/>
          </w:tcPr>
          <w:p w14:paraId="0D49AEA9" w14:textId="77777777" w:rsidR="00000000" w:rsidRDefault="00C1661D">
            <w:pPr>
              <w:spacing w:after="100"/>
              <w:rPr>
                <w:rFonts w:eastAsia="Times New Roman"/>
                <w:sz w:val="20"/>
                <w:szCs w:val="20"/>
              </w:rPr>
            </w:pPr>
          </w:p>
        </w:tc>
        <w:tc>
          <w:tcPr>
            <w:tcW w:w="0" w:type="auto"/>
            <w:gridSpan w:val="3"/>
            <w:vAlign w:val="center"/>
            <w:hideMark/>
          </w:tcPr>
          <w:p w14:paraId="5EBE4A81" w14:textId="77777777" w:rsidR="00000000" w:rsidRDefault="00C1661D">
            <w:pPr>
              <w:spacing w:after="100"/>
              <w:rPr>
                <w:rFonts w:eastAsia="Times New Roman"/>
                <w:sz w:val="20"/>
                <w:szCs w:val="20"/>
              </w:rPr>
            </w:pPr>
          </w:p>
        </w:tc>
        <w:tc>
          <w:tcPr>
            <w:tcW w:w="0" w:type="auto"/>
            <w:gridSpan w:val="3"/>
            <w:vAlign w:val="center"/>
            <w:hideMark/>
          </w:tcPr>
          <w:p w14:paraId="453D3125" w14:textId="77777777" w:rsidR="00000000" w:rsidRDefault="00C1661D">
            <w:pPr>
              <w:spacing w:after="100"/>
              <w:rPr>
                <w:rFonts w:eastAsia="Times New Roman"/>
                <w:sz w:val="20"/>
                <w:szCs w:val="20"/>
              </w:rPr>
            </w:pPr>
          </w:p>
        </w:tc>
        <w:tc>
          <w:tcPr>
            <w:tcW w:w="0" w:type="auto"/>
            <w:gridSpan w:val="3"/>
            <w:vAlign w:val="center"/>
            <w:hideMark/>
          </w:tcPr>
          <w:p w14:paraId="57934310" w14:textId="77777777" w:rsidR="00000000" w:rsidRDefault="00C1661D">
            <w:pPr>
              <w:spacing w:after="100"/>
              <w:rPr>
                <w:rFonts w:eastAsia="Times New Roman"/>
                <w:sz w:val="20"/>
                <w:szCs w:val="20"/>
              </w:rPr>
            </w:pPr>
          </w:p>
        </w:tc>
        <w:tc>
          <w:tcPr>
            <w:tcW w:w="0" w:type="auto"/>
            <w:gridSpan w:val="3"/>
            <w:vAlign w:val="center"/>
            <w:hideMark/>
          </w:tcPr>
          <w:p w14:paraId="4780A8DC" w14:textId="77777777" w:rsidR="00000000" w:rsidRDefault="00C1661D">
            <w:pPr>
              <w:spacing w:after="100"/>
              <w:rPr>
                <w:rFonts w:eastAsia="Times New Roman"/>
                <w:sz w:val="20"/>
                <w:szCs w:val="20"/>
              </w:rPr>
            </w:pPr>
          </w:p>
        </w:tc>
        <w:tc>
          <w:tcPr>
            <w:tcW w:w="0" w:type="auto"/>
            <w:gridSpan w:val="3"/>
            <w:vAlign w:val="center"/>
            <w:hideMark/>
          </w:tcPr>
          <w:p w14:paraId="2DDAD6EA" w14:textId="77777777" w:rsidR="00000000" w:rsidRDefault="00C1661D">
            <w:pPr>
              <w:spacing w:after="100"/>
              <w:rPr>
                <w:rFonts w:eastAsia="Times New Roman"/>
                <w:sz w:val="20"/>
                <w:szCs w:val="20"/>
              </w:rPr>
            </w:pPr>
          </w:p>
        </w:tc>
        <w:tc>
          <w:tcPr>
            <w:tcW w:w="0" w:type="auto"/>
            <w:gridSpan w:val="3"/>
            <w:vAlign w:val="center"/>
            <w:hideMark/>
          </w:tcPr>
          <w:p w14:paraId="3F73A46D" w14:textId="77777777" w:rsidR="00000000" w:rsidRDefault="00C1661D">
            <w:pPr>
              <w:spacing w:after="100"/>
              <w:rPr>
                <w:rFonts w:eastAsia="Times New Roman"/>
                <w:sz w:val="20"/>
                <w:szCs w:val="20"/>
              </w:rPr>
            </w:pPr>
          </w:p>
        </w:tc>
      </w:tr>
      <w:tr w:rsidR="00000000" w14:paraId="7BFE47FE" w14:textId="77777777">
        <w:trPr>
          <w:trHeight w:val="300"/>
          <w:jc w:val="center"/>
        </w:trPr>
        <w:tc>
          <w:tcPr>
            <w:tcW w:w="0" w:type="auto"/>
            <w:gridSpan w:val="3"/>
            <w:shd w:val="clear" w:color="auto" w:fill="CCEEFF"/>
            <w:tcMar>
              <w:top w:w="0" w:type="dxa"/>
              <w:left w:w="20" w:type="dxa"/>
              <w:bottom w:w="0" w:type="dxa"/>
              <w:right w:w="20" w:type="dxa"/>
            </w:tcMar>
            <w:vAlign w:val="center"/>
            <w:hideMark/>
          </w:tcPr>
          <w:p w14:paraId="57F8ECB4" w14:textId="77777777" w:rsidR="00000000" w:rsidRDefault="00C1661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39D93E1"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3ED416"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5B366C"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438C54"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6B23BF"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4716D3" w14:textId="77777777" w:rsidR="00000000" w:rsidRDefault="00C1661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7437E95"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5C037B" w14:textId="77777777" w:rsidR="00000000" w:rsidRDefault="00C1661D">
            <w:pPr>
              <w:spacing w:after="100"/>
              <w:rPr>
                <w:rFonts w:eastAsia="Times New Roman"/>
                <w:sz w:val="20"/>
                <w:szCs w:val="20"/>
              </w:rPr>
            </w:pPr>
          </w:p>
        </w:tc>
      </w:tr>
      <w:tr w:rsidR="00000000" w14:paraId="619FC1C6" w14:textId="77777777">
        <w:trPr>
          <w:jc w:val="center"/>
        </w:trPr>
        <w:tc>
          <w:tcPr>
            <w:tcW w:w="0" w:type="auto"/>
            <w:gridSpan w:val="3"/>
            <w:shd w:val="clear" w:color="auto" w:fill="FFFFFF"/>
            <w:tcMar>
              <w:top w:w="30" w:type="dxa"/>
              <w:left w:w="20" w:type="dxa"/>
              <w:bottom w:w="30" w:type="dxa"/>
              <w:right w:w="20" w:type="dxa"/>
            </w:tcMar>
            <w:vAlign w:val="bottom"/>
            <w:hideMark/>
          </w:tcPr>
          <w:p w14:paraId="651CD1F5" w14:textId="77777777" w:rsidR="00000000" w:rsidRDefault="00C1661D">
            <w:pPr>
              <w:spacing w:after="100"/>
              <w:rPr>
                <w:rFonts w:eastAsia="Times New Roman"/>
              </w:rPr>
            </w:pPr>
            <w:r>
              <w:rPr>
                <w:rFonts w:eastAsia="Times New Roman"/>
                <w:b/>
                <w:bCs/>
                <w:color w:val="000000"/>
                <w:sz w:val="20"/>
                <w:szCs w:val="20"/>
              </w:rPr>
              <w:t>Year Ended September 30, 2021</w:t>
            </w:r>
          </w:p>
        </w:tc>
        <w:tc>
          <w:tcPr>
            <w:tcW w:w="0" w:type="auto"/>
            <w:gridSpan w:val="3"/>
            <w:shd w:val="clear" w:color="auto" w:fill="FFFFFF"/>
            <w:tcMar>
              <w:top w:w="30" w:type="dxa"/>
              <w:left w:w="20" w:type="dxa"/>
              <w:bottom w:w="30" w:type="dxa"/>
              <w:right w:w="20" w:type="dxa"/>
            </w:tcMar>
            <w:vAlign w:val="bottom"/>
            <w:hideMark/>
          </w:tcPr>
          <w:p w14:paraId="1DAF996B"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49D698C"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5E70B3B"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BA6BB84" w14:textId="77777777" w:rsidR="00000000" w:rsidRDefault="00C1661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6746BB3"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1B54AD70"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1A8E5B63"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62549332" w14:textId="77777777" w:rsidR="00000000" w:rsidRDefault="00C1661D">
            <w:pPr>
              <w:spacing w:after="100"/>
              <w:rPr>
                <w:rFonts w:eastAsia="Times New Roman"/>
              </w:rPr>
            </w:pPr>
            <w:r>
              <w:rPr>
                <w:rFonts w:eastAsia="Times New Roman"/>
                <w:color w:val="000000"/>
                <w:sz w:val="20"/>
                <w:szCs w:val="20"/>
              </w:rPr>
              <w:t> </w:t>
            </w:r>
          </w:p>
        </w:tc>
      </w:tr>
      <w:tr w:rsidR="00000000" w14:paraId="537A7279" w14:textId="77777777">
        <w:trPr>
          <w:jc w:val="center"/>
        </w:trPr>
        <w:tc>
          <w:tcPr>
            <w:tcW w:w="0" w:type="auto"/>
            <w:gridSpan w:val="3"/>
            <w:shd w:val="clear" w:color="auto" w:fill="CCEEFF"/>
            <w:tcMar>
              <w:top w:w="30" w:type="dxa"/>
              <w:left w:w="20" w:type="dxa"/>
              <w:bottom w:w="30" w:type="dxa"/>
              <w:right w:w="20" w:type="dxa"/>
            </w:tcMar>
            <w:vAlign w:val="bottom"/>
            <w:hideMark/>
          </w:tcPr>
          <w:p w14:paraId="48D9B640" w14:textId="77777777" w:rsidR="00000000" w:rsidRDefault="00C1661D">
            <w:pPr>
              <w:spacing w:after="100"/>
              <w:rPr>
                <w:rFonts w:eastAsia="Times New Roman"/>
              </w:rPr>
            </w:pPr>
            <w:r>
              <w:rPr>
                <w:rFonts w:eastAsia="Times New Roman"/>
                <w:color w:val="000000"/>
                <w:sz w:val="20"/>
                <w:szCs w:val="20"/>
              </w:rPr>
              <w:t>Reserves deducted from assets in the consolidated balance sheet:</w:t>
            </w:r>
          </w:p>
        </w:tc>
        <w:tc>
          <w:tcPr>
            <w:tcW w:w="0" w:type="auto"/>
            <w:gridSpan w:val="3"/>
            <w:shd w:val="clear" w:color="auto" w:fill="CCEEFF"/>
            <w:tcMar>
              <w:top w:w="30" w:type="dxa"/>
              <w:left w:w="20" w:type="dxa"/>
              <w:bottom w:w="30" w:type="dxa"/>
              <w:right w:w="20" w:type="dxa"/>
            </w:tcMar>
            <w:vAlign w:val="bottom"/>
            <w:hideMark/>
          </w:tcPr>
          <w:p w14:paraId="63318F9D"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F5F561E"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777C62C"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8FA3079"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122450F"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2AC025A5"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2870F293"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1016BDC2" w14:textId="77777777" w:rsidR="00000000" w:rsidRDefault="00C1661D">
            <w:pPr>
              <w:spacing w:after="100"/>
              <w:rPr>
                <w:rFonts w:eastAsia="Times New Roman"/>
              </w:rPr>
            </w:pPr>
            <w:r>
              <w:rPr>
                <w:rFonts w:eastAsia="Times New Roman"/>
                <w:color w:val="000000"/>
                <w:sz w:val="20"/>
                <w:szCs w:val="20"/>
              </w:rPr>
              <w:t> </w:t>
            </w:r>
          </w:p>
        </w:tc>
      </w:tr>
      <w:tr w:rsidR="00000000" w14:paraId="055D8500" w14:textId="77777777">
        <w:trPr>
          <w:jc w:val="center"/>
        </w:trPr>
        <w:tc>
          <w:tcPr>
            <w:tcW w:w="0" w:type="auto"/>
            <w:gridSpan w:val="3"/>
            <w:shd w:val="clear" w:color="auto" w:fill="FFFFFF"/>
            <w:tcMar>
              <w:top w:w="30" w:type="dxa"/>
              <w:left w:w="155" w:type="dxa"/>
              <w:bottom w:w="30" w:type="dxa"/>
              <w:right w:w="20" w:type="dxa"/>
            </w:tcMar>
            <w:vAlign w:val="bottom"/>
            <w:hideMark/>
          </w:tcPr>
          <w:p w14:paraId="1B86723D" w14:textId="77777777" w:rsidR="00000000" w:rsidRDefault="00C1661D">
            <w:pPr>
              <w:spacing w:after="100"/>
              <w:rPr>
                <w:rFonts w:eastAsia="Times New Roman"/>
              </w:rPr>
            </w:pPr>
            <w:r>
              <w:rPr>
                <w:rFonts w:eastAsia="Times New Roman"/>
                <w:color w:val="000000"/>
                <w:sz w:val="20"/>
                <w:szCs w:val="20"/>
              </w:rPr>
              <w:t>Allowance for doubtful accounts</w:t>
            </w:r>
          </w:p>
        </w:tc>
        <w:tc>
          <w:tcPr>
            <w:tcW w:w="0" w:type="auto"/>
            <w:shd w:val="clear" w:color="auto" w:fill="FFFFFF"/>
            <w:tcMar>
              <w:top w:w="30" w:type="dxa"/>
              <w:left w:w="20" w:type="dxa"/>
              <w:bottom w:w="30" w:type="dxa"/>
              <w:right w:w="0" w:type="dxa"/>
            </w:tcMar>
            <w:vAlign w:val="bottom"/>
            <w:hideMark/>
          </w:tcPr>
          <w:p w14:paraId="0FD93F5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C5EBFE6" w14:textId="77777777" w:rsidR="00000000" w:rsidRDefault="00C1661D">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14:paraId="79F49A3E"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CE2580"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A816568"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11C32AD" w14:textId="77777777" w:rsidR="00000000" w:rsidRDefault="00C1661D">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14:paraId="41D10644"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EA3C5E"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71A979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235A96F" w14:textId="77777777" w:rsidR="00000000" w:rsidRDefault="00C1661D">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4FB1E8A8"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7374CFE" w14:textId="77777777" w:rsidR="00000000" w:rsidRDefault="00C1661D">
            <w:pPr>
              <w:spacing w:after="100"/>
              <w:rPr>
                <w:rFonts w:eastAsia="Times New Roman"/>
              </w:rPr>
            </w:pPr>
            <w:r>
              <w:rPr>
                <w:rFonts w:eastAsia="Times New Roman"/>
                <w:color w:val="000000"/>
                <w:sz w:val="20"/>
                <w:szCs w:val="20"/>
              </w:rPr>
              <w:t>(1)</w:t>
            </w:r>
          </w:p>
        </w:tc>
        <w:tc>
          <w:tcPr>
            <w:tcW w:w="0" w:type="auto"/>
            <w:shd w:val="clear" w:color="auto" w:fill="FFFFFF"/>
            <w:tcMar>
              <w:top w:w="30" w:type="dxa"/>
              <w:left w:w="20" w:type="dxa"/>
              <w:bottom w:w="30" w:type="dxa"/>
              <w:right w:w="0" w:type="dxa"/>
            </w:tcMar>
            <w:vAlign w:val="bottom"/>
            <w:hideMark/>
          </w:tcPr>
          <w:p w14:paraId="1F91B5EB"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3FCC5C6" w14:textId="77777777" w:rsidR="00000000" w:rsidRDefault="00C1661D">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14:paraId="033C08C3"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128CD6C" w14:textId="77777777" w:rsidR="00000000" w:rsidRDefault="00C1661D">
            <w:pPr>
              <w:spacing w:after="100"/>
              <w:rPr>
                <w:rFonts w:eastAsia="Times New Roman"/>
              </w:rPr>
            </w:pPr>
            <w:r>
              <w:rPr>
                <w:rFonts w:eastAsia="Times New Roman"/>
                <w:color w:val="000000"/>
                <w:sz w:val="20"/>
                <w:szCs w:val="20"/>
              </w:rPr>
              <w:t> </w:t>
            </w:r>
          </w:p>
        </w:tc>
      </w:tr>
      <w:tr w:rsidR="00000000" w14:paraId="557C89A2" w14:textId="77777777">
        <w:trPr>
          <w:jc w:val="center"/>
        </w:trPr>
        <w:tc>
          <w:tcPr>
            <w:tcW w:w="0" w:type="auto"/>
            <w:gridSpan w:val="3"/>
            <w:vAlign w:val="center"/>
            <w:hideMark/>
          </w:tcPr>
          <w:p w14:paraId="6FC41688" w14:textId="77777777" w:rsidR="00000000" w:rsidRDefault="00C1661D">
            <w:pPr>
              <w:spacing w:after="100"/>
              <w:rPr>
                <w:rFonts w:eastAsia="Times New Roman"/>
              </w:rPr>
            </w:pPr>
          </w:p>
        </w:tc>
        <w:tc>
          <w:tcPr>
            <w:tcW w:w="0" w:type="auto"/>
            <w:gridSpan w:val="3"/>
            <w:vAlign w:val="center"/>
            <w:hideMark/>
          </w:tcPr>
          <w:p w14:paraId="50A14ED3" w14:textId="77777777" w:rsidR="00000000" w:rsidRDefault="00C1661D">
            <w:pPr>
              <w:spacing w:after="100"/>
              <w:rPr>
                <w:rFonts w:eastAsia="Times New Roman"/>
                <w:sz w:val="20"/>
                <w:szCs w:val="20"/>
              </w:rPr>
            </w:pPr>
          </w:p>
        </w:tc>
        <w:tc>
          <w:tcPr>
            <w:tcW w:w="0" w:type="auto"/>
            <w:gridSpan w:val="3"/>
            <w:vAlign w:val="center"/>
            <w:hideMark/>
          </w:tcPr>
          <w:p w14:paraId="5759D263" w14:textId="77777777" w:rsidR="00000000" w:rsidRDefault="00C1661D">
            <w:pPr>
              <w:spacing w:after="100"/>
              <w:rPr>
                <w:rFonts w:eastAsia="Times New Roman"/>
                <w:sz w:val="20"/>
                <w:szCs w:val="20"/>
              </w:rPr>
            </w:pPr>
          </w:p>
        </w:tc>
        <w:tc>
          <w:tcPr>
            <w:tcW w:w="0" w:type="auto"/>
            <w:gridSpan w:val="3"/>
            <w:vAlign w:val="center"/>
            <w:hideMark/>
          </w:tcPr>
          <w:p w14:paraId="2BE902B9" w14:textId="77777777" w:rsidR="00000000" w:rsidRDefault="00C1661D">
            <w:pPr>
              <w:spacing w:after="100"/>
              <w:rPr>
                <w:rFonts w:eastAsia="Times New Roman"/>
                <w:sz w:val="20"/>
                <w:szCs w:val="20"/>
              </w:rPr>
            </w:pPr>
          </w:p>
        </w:tc>
        <w:tc>
          <w:tcPr>
            <w:tcW w:w="0" w:type="auto"/>
            <w:gridSpan w:val="3"/>
            <w:vAlign w:val="center"/>
            <w:hideMark/>
          </w:tcPr>
          <w:p w14:paraId="251A361F" w14:textId="77777777" w:rsidR="00000000" w:rsidRDefault="00C1661D">
            <w:pPr>
              <w:spacing w:after="100"/>
              <w:rPr>
                <w:rFonts w:eastAsia="Times New Roman"/>
                <w:sz w:val="20"/>
                <w:szCs w:val="20"/>
              </w:rPr>
            </w:pPr>
          </w:p>
        </w:tc>
        <w:tc>
          <w:tcPr>
            <w:tcW w:w="0" w:type="auto"/>
            <w:gridSpan w:val="3"/>
            <w:vAlign w:val="center"/>
            <w:hideMark/>
          </w:tcPr>
          <w:p w14:paraId="799AFE9A" w14:textId="77777777" w:rsidR="00000000" w:rsidRDefault="00C1661D">
            <w:pPr>
              <w:spacing w:after="100"/>
              <w:rPr>
                <w:rFonts w:eastAsia="Times New Roman"/>
                <w:sz w:val="20"/>
                <w:szCs w:val="20"/>
              </w:rPr>
            </w:pPr>
          </w:p>
        </w:tc>
        <w:tc>
          <w:tcPr>
            <w:tcW w:w="0" w:type="auto"/>
            <w:gridSpan w:val="3"/>
            <w:vAlign w:val="center"/>
            <w:hideMark/>
          </w:tcPr>
          <w:p w14:paraId="4A2654C1" w14:textId="77777777" w:rsidR="00000000" w:rsidRDefault="00C1661D">
            <w:pPr>
              <w:spacing w:after="100"/>
              <w:rPr>
                <w:rFonts w:eastAsia="Times New Roman"/>
                <w:sz w:val="20"/>
                <w:szCs w:val="20"/>
              </w:rPr>
            </w:pPr>
          </w:p>
        </w:tc>
        <w:tc>
          <w:tcPr>
            <w:tcW w:w="0" w:type="auto"/>
            <w:gridSpan w:val="3"/>
            <w:vAlign w:val="center"/>
            <w:hideMark/>
          </w:tcPr>
          <w:p w14:paraId="3B8E3EDD" w14:textId="77777777" w:rsidR="00000000" w:rsidRDefault="00C1661D">
            <w:pPr>
              <w:spacing w:after="100"/>
              <w:rPr>
                <w:rFonts w:eastAsia="Times New Roman"/>
                <w:sz w:val="20"/>
                <w:szCs w:val="20"/>
              </w:rPr>
            </w:pPr>
          </w:p>
        </w:tc>
        <w:tc>
          <w:tcPr>
            <w:tcW w:w="0" w:type="auto"/>
            <w:gridSpan w:val="3"/>
            <w:vAlign w:val="center"/>
            <w:hideMark/>
          </w:tcPr>
          <w:p w14:paraId="5B0E7A74" w14:textId="77777777" w:rsidR="00000000" w:rsidRDefault="00C1661D">
            <w:pPr>
              <w:spacing w:after="100"/>
              <w:rPr>
                <w:rFonts w:eastAsia="Times New Roman"/>
                <w:sz w:val="20"/>
                <w:szCs w:val="20"/>
              </w:rPr>
            </w:pPr>
          </w:p>
        </w:tc>
      </w:tr>
      <w:tr w:rsidR="00000000" w14:paraId="7FE77D4C" w14:textId="77777777">
        <w:trPr>
          <w:jc w:val="center"/>
        </w:trPr>
        <w:tc>
          <w:tcPr>
            <w:tcW w:w="0" w:type="auto"/>
            <w:gridSpan w:val="3"/>
            <w:shd w:val="clear" w:color="auto" w:fill="CCEEFF"/>
            <w:tcMar>
              <w:top w:w="30" w:type="dxa"/>
              <w:left w:w="20" w:type="dxa"/>
              <w:bottom w:w="30" w:type="dxa"/>
              <w:right w:w="20" w:type="dxa"/>
            </w:tcMar>
            <w:vAlign w:val="bottom"/>
            <w:hideMark/>
          </w:tcPr>
          <w:p w14:paraId="25B8EF5C" w14:textId="77777777" w:rsidR="00000000" w:rsidRDefault="00C1661D">
            <w:pPr>
              <w:spacing w:after="100"/>
              <w:rPr>
                <w:rFonts w:eastAsia="Times New Roman"/>
              </w:rPr>
            </w:pPr>
            <w:r>
              <w:rPr>
                <w:rFonts w:eastAsia="Times New Roman"/>
                <w:color w:val="000000"/>
                <w:sz w:val="20"/>
                <w:szCs w:val="20"/>
              </w:rPr>
              <w:t>Other reserves: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2C3584A"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B1EEDBE"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C936A37"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E5E91CD"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D0C4CCD"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7BEB1A74"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562C702"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39795CBC" w14:textId="77777777" w:rsidR="00000000" w:rsidRDefault="00C1661D">
            <w:pPr>
              <w:spacing w:after="100"/>
              <w:rPr>
                <w:rFonts w:eastAsia="Times New Roman"/>
              </w:rPr>
            </w:pPr>
            <w:r>
              <w:rPr>
                <w:rFonts w:eastAsia="Times New Roman"/>
                <w:color w:val="000000"/>
                <w:sz w:val="20"/>
                <w:szCs w:val="20"/>
              </w:rPr>
              <w:t> </w:t>
            </w:r>
          </w:p>
        </w:tc>
      </w:tr>
      <w:tr w:rsidR="00000000" w14:paraId="02057493" w14:textId="77777777">
        <w:trPr>
          <w:jc w:val="center"/>
        </w:trPr>
        <w:tc>
          <w:tcPr>
            <w:tcW w:w="0" w:type="auto"/>
            <w:gridSpan w:val="3"/>
            <w:vAlign w:val="center"/>
            <w:hideMark/>
          </w:tcPr>
          <w:p w14:paraId="6EBEC71D" w14:textId="77777777" w:rsidR="00000000" w:rsidRDefault="00C1661D">
            <w:pPr>
              <w:spacing w:after="100"/>
              <w:rPr>
                <w:rFonts w:eastAsia="Times New Roman"/>
              </w:rPr>
            </w:pPr>
          </w:p>
        </w:tc>
        <w:tc>
          <w:tcPr>
            <w:tcW w:w="0" w:type="auto"/>
            <w:gridSpan w:val="3"/>
            <w:vAlign w:val="center"/>
            <w:hideMark/>
          </w:tcPr>
          <w:p w14:paraId="27E9A324" w14:textId="77777777" w:rsidR="00000000" w:rsidRDefault="00C1661D">
            <w:pPr>
              <w:spacing w:after="100"/>
              <w:rPr>
                <w:rFonts w:eastAsia="Times New Roman"/>
                <w:sz w:val="20"/>
                <w:szCs w:val="20"/>
              </w:rPr>
            </w:pPr>
          </w:p>
        </w:tc>
        <w:tc>
          <w:tcPr>
            <w:tcW w:w="0" w:type="auto"/>
            <w:gridSpan w:val="3"/>
            <w:vAlign w:val="center"/>
            <w:hideMark/>
          </w:tcPr>
          <w:p w14:paraId="49245C71" w14:textId="77777777" w:rsidR="00000000" w:rsidRDefault="00C1661D">
            <w:pPr>
              <w:spacing w:after="100"/>
              <w:rPr>
                <w:rFonts w:eastAsia="Times New Roman"/>
                <w:sz w:val="20"/>
                <w:szCs w:val="20"/>
              </w:rPr>
            </w:pPr>
          </w:p>
        </w:tc>
        <w:tc>
          <w:tcPr>
            <w:tcW w:w="0" w:type="auto"/>
            <w:gridSpan w:val="3"/>
            <w:vAlign w:val="center"/>
            <w:hideMark/>
          </w:tcPr>
          <w:p w14:paraId="12FB3604" w14:textId="77777777" w:rsidR="00000000" w:rsidRDefault="00C1661D">
            <w:pPr>
              <w:spacing w:after="100"/>
              <w:rPr>
                <w:rFonts w:eastAsia="Times New Roman"/>
                <w:sz w:val="20"/>
                <w:szCs w:val="20"/>
              </w:rPr>
            </w:pPr>
          </w:p>
        </w:tc>
        <w:tc>
          <w:tcPr>
            <w:tcW w:w="0" w:type="auto"/>
            <w:gridSpan w:val="3"/>
            <w:vAlign w:val="center"/>
            <w:hideMark/>
          </w:tcPr>
          <w:p w14:paraId="4A53FE8F" w14:textId="77777777" w:rsidR="00000000" w:rsidRDefault="00C1661D">
            <w:pPr>
              <w:spacing w:after="100"/>
              <w:rPr>
                <w:rFonts w:eastAsia="Times New Roman"/>
                <w:sz w:val="20"/>
                <w:szCs w:val="20"/>
              </w:rPr>
            </w:pPr>
          </w:p>
        </w:tc>
        <w:tc>
          <w:tcPr>
            <w:tcW w:w="0" w:type="auto"/>
            <w:gridSpan w:val="3"/>
            <w:vAlign w:val="center"/>
            <w:hideMark/>
          </w:tcPr>
          <w:p w14:paraId="13599C41" w14:textId="77777777" w:rsidR="00000000" w:rsidRDefault="00C1661D">
            <w:pPr>
              <w:spacing w:after="100"/>
              <w:rPr>
                <w:rFonts w:eastAsia="Times New Roman"/>
                <w:sz w:val="20"/>
                <w:szCs w:val="20"/>
              </w:rPr>
            </w:pPr>
          </w:p>
        </w:tc>
        <w:tc>
          <w:tcPr>
            <w:tcW w:w="0" w:type="auto"/>
            <w:gridSpan w:val="3"/>
            <w:vAlign w:val="center"/>
            <w:hideMark/>
          </w:tcPr>
          <w:p w14:paraId="6FCC1718" w14:textId="77777777" w:rsidR="00000000" w:rsidRDefault="00C1661D">
            <w:pPr>
              <w:spacing w:after="100"/>
              <w:rPr>
                <w:rFonts w:eastAsia="Times New Roman"/>
                <w:sz w:val="20"/>
                <w:szCs w:val="20"/>
              </w:rPr>
            </w:pPr>
          </w:p>
        </w:tc>
        <w:tc>
          <w:tcPr>
            <w:tcW w:w="0" w:type="auto"/>
            <w:gridSpan w:val="3"/>
            <w:vAlign w:val="center"/>
            <w:hideMark/>
          </w:tcPr>
          <w:p w14:paraId="039ED761" w14:textId="77777777" w:rsidR="00000000" w:rsidRDefault="00C1661D">
            <w:pPr>
              <w:spacing w:after="100"/>
              <w:rPr>
                <w:rFonts w:eastAsia="Times New Roman"/>
                <w:sz w:val="20"/>
                <w:szCs w:val="20"/>
              </w:rPr>
            </w:pPr>
          </w:p>
        </w:tc>
        <w:tc>
          <w:tcPr>
            <w:tcW w:w="0" w:type="auto"/>
            <w:gridSpan w:val="3"/>
            <w:vAlign w:val="center"/>
            <w:hideMark/>
          </w:tcPr>
          <w:p w14:paraId="7FB947D3" w14:textId="77777777" w:rsidR="00000000" w:rsidRDefault="00C1661D">
            <w:pPr>
              <w:spacing w:after="100"/>
              <w:rPr>
                <w:rFonts w:eastAsia="Times New Roman"/>
                <w:sz w:val="20"/>
                <w:szCs w:val="20"/>
              </w:rPr>
            </w:pPr>
          </w:p>
        </w:tc>
      </w:tr>
      <w:tr w:rsidR="00000000" w14:paraId="0BC9C51A" w14:textId="77777777">
        <w:trPr>
          <w:jc w:val="center"/>
        </w:trPr>
        <w:tc>
          <w:tcPr>
            <w:tcW w:w="0" w:type="auto"/>
            <w:gridSpan w:val="3"/>
            <w:vAlign w:val="center"/>
            <w:hideMark/>
          </w:tcPr>
          <w:p w14:paraId="2655D5E3" w14:textId="77777777" w:rsidR="00000000" w:rsidRDefault="00C1661D">
            <w:pPr>
              <w:spacing w:after="100"/>
              <w:rPr>
                <w:rFonts w:eastAsia="Times New Roman"/>
                <w:sz w:val="20"/>
                <w:szCs w:val="20"/>
              </w:rPr>
            </w:pPr>
          </w:p>
        </w:tc>
        <w:tc>
          <w:tcPr>
            <w:tcW w:w="0" w:type="auto"/>
            <w:gridSpan w:val="3"/>
            <w:vAlign w:val="center"/>
            <w:hideMark/>
          </w:tcPr>
          <w:p w14:paraId="45FB3EEE" w14:textId="77777777" w:rsidR="00000000" w:rsidRDefault="00C1661D">
            <w:pPr>
              <w:spacing w:after="100"/>
              <w:rPr>
                <w:rFonts w:eastAsia="Times New Roman"/>
                <w:sz w:val="20"/>
                <w:szCs w:val="20"/>
              </w:rPr>
            </w:pPr>
          </w:p>
        </w:tc>
        <w:tc>
          <w:tcPr>
            <w:tcW w:w="0" w:type="auto"/>
            <w:gridSpan w:val="3"/>
            <w:vAlign w:val="center"/>
            <w:hideMark/>
          </w:tcPr>
          <w:p w14:paraId="52AA1CA8" w14:textId="77777777" w:rsidR="00000000" w:rsidRDefault="00C1661D">
            <w:pPr>
              <w:spacing w:after="100"/>
              <w:rPr>
                <w:rFonts w:eastAsia="Times New Roman"/>
                <w:sz w:val="20"/>
                <w:szCs w:val="20"/>
              </w:rPr>
            </w:pPr>
          </w:p>
        </w:tc>
        <w:tc>
          <w:tcPr>
            <w:tcW w:w="0" w:type="auto"/>
            <w:gridSpan w:val="3"/>
            <w:vAlign w:val="center"/>
            <w:hideMark/>
          </w:tcPr>
          <w:p w14:paraId="631A3DF5" w14:textId="77777777" w:rsidR="00000000" w:rsidRDefault="00C1661D">
            <w:pPr>
              <w:spacing w:after="100"/>
              <w:rPr>
                <w:rFonts w:eastAsia="Times New Roman"/>
                <w:sz w:val="20"/>
                <w:szCs w:val="20"/>
              </w:rPr>
            </w:pPr>
          </w:p>
        </w:tc>
        <w:tc>
          <w:tcPr>
            <w:tcW w:w="0" w:type="auto"/>
            <w:gridSpan w:val="3"/>
            <w:vAlign w:val="center"/>
            <w:hideMark/>
          </w:tcPr>
          <w:p w14:paraId="00C7D38C" w14:textId="77777777" w:rsidR="00000000" w:rsidRDefault="00C1661D">
            <w:pPr>
              <w:spacing w:after="100"/>
              <w:rPr>
                <w:rFonts w:eastAsia="Times New Roman"/>
                <w:sz w:val="20"/>
                <w:szCs w:val="20"/>
              </w:rPr>
            </w:pPr>
          </w:p>
        </w:tc>
        <w:tc>
          <w:tcPr>
            <w:tcW w:w="0" w:type="auto"/>
            <w:gridSpan w:val="3"/>
            <w:vAlign w:val="center"/>
            <w:hideMark/>
          </w:tcPr>
          <w:p w14:paraId="0D0B58C9" w14:textId="77777777" w:rsidR="00000000" w:rsidRDefault="00C1661D">
            <w:pPr>
              <w:spacing w:after="100"/>
              <w:rPr>
                <w:rFonts w:eastAsia="Times New Roman"/>
                <w:sz w:val="20"/>
                <w:szCs w:val="20"/>
              </w:rPr>
            </w:pPr>
          </w:p>
        </w:tc>
        <w:tc>
          <w:tcPr>
            <w:tcW w:w="0" w:type="auto"/>
            <w:gridSpan w:val="3"/>
            <w:vAlign w:val="center"/>
            <w:hideMark/>
          </w:tcPr>
          <w:p w14:paraId="0759CFF8" w14:textId="77777777" w:rsidR="00000000" w:rsidRDefault="00C1661D">
            <w:pPr>
              <w:spacing w:after="100"/>
              <w:rPr>
                <w:rFonts w:eastAsia="Times New Roman"/>
                <w:sz w:val="20"/>
                <w:szCs w:val="20"/>
              </w:rPr>
            </w:pPr>
          </w:p>
        </w:tc>
        <w:tc>
          <w:tcPr>
            <w:tcW w:w="0" w:type="auto"/>
            <w:gridSpan w:val="3"/>
            <w:vAlign w:val="center"/>
            <w:hideMark/>
          </w:tcPr>
          <w:p w14:paraId="1B8C1DDF" w14:textId="77777777" w:rsidR="00000000" w:rsidRDefault="00C1661D">
            <w:pPr>
              <w:spacing w:after="100"/>
              <w:rPr>
                <w:rFonts w:eastAsia="Times New Roman"/>
                <w:sz w:val="20"/>
                <w:szCs w:val="20"/>
              </w:rPr>
            </w:pPr>
          </w:p>
        </w:tc>
        <w:tc>
          <w:tcPr>
            <w:tcW w:w="0" w:type="auto"/>
            <w:gridSpan w:val="3"/>
            <w:vAlign w:val="center"/>
            <w:hideMark/>
          </w:tcPr>
          <w:p w14:paraId="6962BBC1" w14:textId="77777777" w:rsidR="00000000" w:rsidRDefault="00C1661D">
            <w:pPr>
              <w:spacing w:after="100"/>
              <w:rPr>
                <w:rFonts w:eastAsia="Times New Roman"/>
                <w:sz w:val="20"/>
                <w:szCs w:val="20"/>
              </w:rPr>
            </w:pPr>
          </w:p>
        </w:tc>
      </w:tr>
      <w:tr w:rsidR="00000000" w14:paraId="200FB4E2" w14:textId="77777777">
        <w:trPr>
          <w:jc w:val="center"/>
        </w:trPr>
        <w:tc>
          <w:tcPr>
            <w:tcW w:w="0" w:type="auto"/>
            <w:gridSpan w:val="3"/>
            <w:vAlign w:val="center"/>
            <w:hideMark/>
          </w:tcPr>
          <w:p w14:paraId="569B3A7B" w14:textId="77777777" w:rsidR="00000000" w:rsidRDefault="00C1661D">
            <w:pPr>
              <w:spacing w:after="100"/>
              <w:rPr>
                <w:rFonts w:eastAsia="Times New Roman"/>
                <w:sz w:val="20"/>
                <w:szCs w:val="20"/>
              </w:rPr>
            </w:pPr>
          </w:p>
        </w:tc>
        <w:tc>
          <w:tcPr>
            <w:tcW w:w="0" w:type="auto"/>
            <w:gridSpan w:val="3"/>
            <w:vAlign w:val="center"/>
            <w:hideMark/>
          </w:tcPr>
          <w:p w14:paraId="1C1F57D4" w14:textId="77777777" w:rsidR="00000000" w:rsidRDefault="00C1661D">
            <w:pPr>
              <w:spacing w:after="100"/>
              <w:rPr>
                <w:rFonts w:eastAsia="Times New Roman"/>
                <w:sz w:val="20"/>
                <w:szCs w:val="20"/>
              </w:rPr>
            </w:pPr>
          </w:p>
        </w:tc>
        <w:tc>
          <w:tcPr>
            <w:tcW w:w="0" w:type="auto"/>
            <w:gridSpan w:val="3"/>
            <w:vAlign w:val="center"/>
            <w:hideMark/>
          </w:tcPr>
          <w:p w14:paraId="79791D01" w14:textId="77777777" w:rsidR="00000000" w:rsidRDefault="00C1661D">
            <w:pPr>
              <w:spacing w:after="100"/>
              <w:rPr>
                <w:rFonts w:eastAsia="Times New Roman"/>
                <w:sz w:val="20"/>
                <w:szCs w:val="20"/>
              </w:rPr>
            </w:pPr>
          </w:p>
        </w:tc>
        <w:tc>
          <w:tcPr>
            <w:tcW w:w="0" w:type="auto"/>
            <w:gridSpan w:val="3"/>
            <w:vAlign w:val="center"/>
            <w:hideMark/>
          </w:tcPr>
          <w:p w14:paraId="365AAA06" w14:textId="77777777" w:rsidR="00000000" w:rsidRDefault="00C1661D">
            <w:pPr>
              <w:spacing w:after="100"/>
              <w:rPr>
                <w:rFonts w:eastAsia="Times New Roman"/>
                <w:sz w:val="20"/>
                <w:szCs w:val="20"/>
              </w:rPr>
            </w:pPr>
          </w:p>
        </w:tc>
        <w:tc>
          <w:tcPr>
            <w:tcW w:w="0" w:type="auto"/>
            <w:gridSpan w:val="3"/>
            <w:vAlign w:val="center"/>
            <w:hideMark/>
          </w:tcPr>
          <w:p w14:paraId="4F3968FE" w14:textId="77777777" w:rsidR="00000000" w:rsidRDefault="00C1661D">
            <w:pPr>
              <w:spacing w:after="100"/>
              <w:rPr>
                <w:rFonts w:eastAsia="Times New Roman"/>
                <w:sz w:val="20"/>
                <w:szCs w:val="20"/>
              </w:rPr>
            </w:pPr>
          </w:p>
        </w:tc>
        <w:tc>
          <w:tcPr>
            <w:tcW w:w="0" w:type="auto"/>
            <w:gridSpan w:val="3"/>
            <w:vAlign w:val="center"/>
            <w:hideMark/>
          </w:tcPr>
          <w:p w14:paraId="687DB6AE" w14:textId="77777777" w:rsidR="00000000" w:rsidRDefault="00C1661D">
            <w:pPr>
              <w:spacing w:after="100"/>
              <w:rPr>
                <w:rFonts w:eastAsia="Times New Roman"/>
                <w:sz w:val="20"/>
                <w:szCs w:val="20"/>
              </w:rPr>
            </w:pPr>
          </w:p>
        </w:tc>
        <w:tc>
          <w:tcPr>
            <w:tcW w:w="0" w:type="auto"/>
            <w:gridSpan w:val="3"/>
            <w:vAlign w:val="center"/>
            <w:hideMark/>
          </w:tcPr>
          <w:p w14:paraId="39D62C52" w14:textId="77777777" w:rsidR="00000000" w:rsidRDefault="00C1661D">
            <w:pPr>
              <w:spacing w:after="100"/>
              <w:rPr>
                <w:rFonts w:eastAsia="Times New Roman"/>
                <w:sz w:val="20"/>
                <w:szCs w:val="20"/>
              </w:rPr>
            </w:pPr>
          </w:p>
        </w:tc>
        <w:tc>
          <w:tcPr>
            <w:tcW w:w="0" w:type="auto"/>
            <w:gridSpan w:val="3"/>
            <w:vAlign w:val="center"/>
            <w:hideMark/>
          </w:tcPr>
          <w:p w14:paraId="686F09F9" w14:textId="77777777" w:rsidR="00000000" w:rsidRDefault="00C1661D">
            <w:pPr>
              <w:spacing w:after="100"/>
              <w:rPr>
                <w:rFonts w:eastAsia="Times New Roman"/>
                <w:sz w:val="20"/>
                <w:szCs w:val="20"/>
              </w:rPr>
            </w:pPr>
          </w:p>
        </w:tc>
        <w:tc>
          <w:tcPr>
            <w:tcW w:w="0" w:type="auto"/>
            <w:gridSpan w:val="3"/>
            <w:vAlign w:val="center"/>
            <w:hideMark/>
          </w:tcPr>
          <w:p w14:paraId="06DE7A8A" w14:textId="77777777" w:rsidR="00000000" w:rsidRDefault="00C1661D">
            <w:pPr>
              <w:spacing w:after="100"/>
              <w:rPr>
                <w:rFonts w:eastAsia="Times New Roman"/>
                <w:sz w:val="20"/>
                <w:szCs w:val="20"/>
              </w:rPr>
            </w:pPr>
          </w:p>
        </w:tc>
      </w:tr>
      <w:tr w:rsidR="00000000" w14:paraId="28AEB315" w14:textId="77777777">
        <w:trPr>
          <w:jc w:val="center"/>
        </w:trPr>
        <w:tc>
          <w:tcPr>
            <w:tcW w:w="0" w:type="auto"/>
            <w:gridSpan w:val="3"/>
            <w:vAlign w:val="center"/>
            <w:hideMark/>
          </w:tcPr>
          <w:p w14:paraId="159B1726" w14:textId="77777777" w:rsidR="00000000" w:rsidRDefault="00C1661D">
            <w:pPr>
              <w:spacing w:after="100"/>
              <w:rPr>
                <w:rFonts w:eastAsia="Times New Roman"/>
                <w:sz w:val="20"/>
                <w:szCs w:val="20"/>
              </w:rPr>
            </w:pPr>
          </w:p>
        </w:tc>
        <w:tc>
          <w:tcPr>
            <w:tcW w:w="0" w:type="auto"/>
            <w:gridSpan w:val="3"/>
            <w:vAlign w:val="center"/>
            <w:hideMark/>
          </w:tcPr>
          <w:p w14:paraId="79D3C67F" w14:textId="77777777" w:rsidR="00000000" w:rsidRDefault="00C1661D">
            <w:pPr>
              <w:spacing w:after="100"/>
              <w:rPr>
                <w:rFonts w:eastAsia="Times New Roman"/>
                <w:sz w:val="20"/>
                <w:szCs w:val="20"/>
              </w:rPr>
            </w:pPr>
          </w:p>
        </w:tc>
        <w:tc>
          <w:tcPr>
            <w:tcW w:w="0" w:type="auto"/>
            <w:gridSpan w:val="3"/>
            <w:vAlign w:val="center"/>
            <w:hideMark/>
          </w:tcPr>
          <w:p w14:paraId="4C72F118" w14:textId="77777777" w:rsidR="00000000" w:rsidRDefault="00C1661D">
            <w:pPr>
              <w:spacing w:after="100"/>
              <w:rPr>
                <w:rFonts w:eastAsia="Times New Roman"/>
                <w:sz w:val="20"/>
                <w:szCs w:val="20"/>
              </w:rPr>
            </w:pPr>
          </w:p>
        </w:tc>
        <w:tc>
          <w:tcPr>
            <w:tcW w:w="0" w:type="auto"/>
            <w:gridSpan w:val="3"/>
            <w:vAlign w:val="center"/>
            <w:hideMark/>
          </w:tcPr>
          <w:p w14:paraId="70980267" w14:textId="77777777" w:rsidR="00000000" w:rsidRDefault="00C1661D">
            <w:pPr>
              <w:spacing w:after="100"/>
              <w:rPr>
                <w:rFonts w:eastAsia="Times New Roman"/>
                <w:sz w:val="20"/>
                <w:szCs w:val="20"/>
              </w:rPr>
            </w:pPr>
          </w:p>
        </w:tc>
        <w:tc>
          <w:tcPr>
            <w:tcW w:w="0" w:type="auto"/>
            <w:gridSpan w:val="3"/>
            <w:vAlign w:val="center"/>
            <w:hideMark/>
          </w:tcPr>
          <w:p w14:paraId="12A11DB6" w14:textId="77777777" w:rsidR="00000000" w:rsidRDefault="00C1661D">
            <w:pPr>
              <w:spacing w:after="100"/>
              <w:rPr>
                <w:rFonts w:eastAsia="Times New Roman"/>
                <w:sz w:val="20"/>
                <w:szCs w:val="20"/>
              </w:rPr>
            </w:pPr>
          </w:p>
        </w:tc>
        <w:tc>
          <w:tcPr>
            <w:tcW w:w="0" w:type="auto"/>
            <w:gridSpan w:val="3"/>
            <w:vAlign w:val="center"/>
            <w:hideMark/>
          </w:tcPr>
          <w:p w14:paraId="49FD7EFF" w14:textId="77777777" w:rsidR="00000000" w:rsidRDefault="00C1661D">
            <w:pPr>
              <w:spacing w:after="100"/>
              <w:rPr>
                <w:rFonts w:eastAsia="Times New Roman"/>
                <w:sz w:val="20"/>
                <w:szCs w:val="20"/>
              </w:rPr>
            </w:pPr>
          </w:p>
        </w:tc>
        <w:tc>
          <w:tcPr>
            <w:tcW w:w="0" w:type="auto"/>
            <w:gridSpan w:val="3"/>
            <w:vAlign w:val="center"/>
            <w:hideMark/>
          </w:tcPr>
          <w:p w14:paraId="1CFDD91A" w14:textId="77777777" w:rsidR="00000000" w:rsidRDefault="00C1661D">
            <w:pPr>
              <w:spacing w:after="100"/>
              <w:rPr>
                <w:rFonts w:eastAsia="Times New Roman"/>
                <w:sz w:val="20"/>
                <w:szCs w:val="20"/>
              </w:rPr>
            </w:pPr>
          </w:p>
        </w:tc>
        <w:tc>
          <w:tcPr>
            <w:tcW w:w="0" w:type="auto"/>
            <w:gridSpan w:val="3"/>
            <w:vAlign w:val="center"/>
            <w:hideMark/>
          </w:tcPr>
          <w:p w14:paraId="517E7377" w14:textId="77777777" w:rsidR="00000000" w:rsidRDefault="00C1661D">
            <w:pPr>
              <w:spacing w:after="100"/>
              <w:rPr>
                <w:rFonts w:eastAsia="Times New Roman"/>
                <w:sz w:val="20"/>
                <w:szCs w:val="20"/>
              </w:rPr>
            </w:pPr>
          </w:p>
        </w:tc>
        <w:tc>
          <w:tcPr>
            <w:tcW w:w="0" w:type="auto"/>
            <w:gridSpan w:val="3"/>
            <w:vAlign w:val="center"/>
            <w:hideMark/>
          </w:tcPr>
          <w:p w14:paraId="7B207ED5" w14:textId="77777777" w:rsidR="00000000" w:rsidRDefault="00C1661D">
            <w:pPr>
              <w:spacing w:after="100"/>
              <w:rPr>
                <w:rFonts w:eastAsia="Times New Roman"/>
                <w:sz w:val="20"/>
                <w:szCs w:val="20"/>
              </w:rPr>
            </w:pPr>
          </w:p>
        </w:tc>
      </w:tr>
      <w:tr w:rsidR="00000000" w14:paraId="7477BA70" w14:textId="77777777">
        <w:trPr>
          <w:jc w:val="center"/>
        </w:trPr>
        <w:tc>
          <w:tcPr>
            <w:tcW w:w="0" w:type="auto"/>
            <w:gridSpan w:val="3"/>
            <w:vAlign w:val="center"/>
            <w:hideMark/>
          </w:tcPr>
          <w:p w14:paraId="5118F04A" w14:textId="77777777" w:rsidR="00000000" w:rsidRDefault="00C1661D">
            <w:pPr>
              <w:spacing w:after="100"/>
              <w:rPr>
                <w:rFonts w:eastAsia="Times New Roman"/>
                <w:sz w:val="20"/>
                <w:szCs w:val="20"/>
              </w:rPr>
            </w:pPr>
          </w:p>
        </w:tc>
        <w:tc>
          <w:tcPr>
            <w:tcW w:w="0" w:type="auto"/>
            <w:gridSpan w:val="3"/>
            <w:vAlign w:val="center"/>
            <w:hideMark/>
          </w:tcPr>
          <w:p w14:paraId="44C7218C" w14:textId="77777777" w:rsidR="00000000" w:rsidRDefault="00C1661D">
            <w:pPr>
              <w:spacing w:after="100"/>
              <w:rPr>
                <w:rFonts w:eastAsia="Times New Roman"/>
                <w:sz w:val="20"/>
                <w:szCs w:val="20"/>
              </w:rPr>
            </w:pPr>
          </w:p>
        </w:tc>
        <w:tc>
          <w:tcPr>
            <w:tcW w:w="0" w:type="auto"/>
            <w:gridSpan w:val="3"/>
            <w:vAlign w:val="center"/>
            <w:hideMark/>
          </w:tcPr>
          <w:p w14:paraId="265EC975" w14:textId="77777777" w:rsidR="00000000" w:rsidRDefault="00C1661D">
            <w:pPr>
              <w:spacing w:after="100"/>
              <w:rPr>
                <w:rFonts w:eastAsia="Times New Roman"/>
                <w:sz w:val="20"/>
                <w:szCs w:val="20"/>
              </w:rPr>
            </w:pPr>
          </w:p>
        </w:tc>
        <w:tc>
          <w:tcPr>
            <w:tcW w:w="0" w:type="auto"/>
            <w:gridSpan w:val="3"/>
            <w:vAlign w:val="center"/>
            <w:hideMark/>
          </w:tcPr>
          <w:p w14:paraId="1D635FED" w14:textId="77777777" w:rsidR="00000000" w:rsidRDefault="00C1661D">
            <w:pPr>
              <w:spacing w:after="100"/>
              <w:rPr>
                <w:rFonts w:eastAsia="Times New Roman"/>
                <w:sz w:val="20"/>
                <w:szCs w:val="20"/>
              </w:rPr>
            </w:pPr>
          </w:p>
        </w:tc>
        <w:tc>
          <w:tcPr>
            <w:tcW w:w="0" w:type="auto"/>
            <w:gridSpan w:val="3"/>
            <w:vAlign w:val="center"/>
            <w:hideMark/>
          </w:tcPr>
          <w:p w14:paraId="0863D973" w14:textId="77777777" w:rsidR="00000000" w:rsidRDefault="00C1661D">
            <w:pPr>
              <w:spacing w:after="100"/>
              <w:rPr>
                <w:rFonts w:eastAsia="Times New Roman"/>
                <w:sz w:val="20"/>
                <w:szCs w:val="20"/>
              </w:rPr>
            </w:pPr>
          </w:p>
        </w:tc>
        <w:tc>
          <w:tcPr>
            <w:tcW w:w="0" w:type="auto"/>
            <w:gridSpan w:val="3"/>
            <w:vAlign w:val="center"/>
            <w:hideMark/>
          </w:tcPr>
          <w:p w14:paraId="7999B5CA" w14:textId="77777777" w:rsidR="00000000" w:rsidRDefault="00C1661D">
            <w:pPr>
              <w:spacing w:after="100"/>
              <w:rPr>
                <w:rFonts w:eastAsia="Times New Roman"/>
                <w:sz w:val="20"/>
                <w:szCs w:val="20"/>
              </w:rPr>
            </w:pPr>
          </w:p>
        </w:tc>
        <w:tc>
          <w:tcPr>
            <w:tcW w:w="0" w:type="auto"/>
            <w:gridSpan w:val="3"/>
            <w:vAlign w:val="center"/>
            <w:hideMark/>
          </w:tcPr>
          <w:p w14:paraId="18DFFC3F" w14:textId="77777777" w:rsidR="00000000" w:rsidRDefault="00C1661D">
            <w:pPr>
              <w:spacing w:after="100"/>
              <w:rPr>
                <w:rFonts w:eastAsia="Times New Roman"/>
                <w:sz w:val="20"/>
                <w:szCs w:val="20"/>
              </w:rPr>
            </w:pPr>
          </w:p>
        </w:tc>
        <w:tc>
          <w:tcPr>
            <w:tcW w:w="0" w:type="auto"/>
            <w:gridSpan w:val="3"/>
            <w:vAlign w:val="center"/>
            <w:hideMark/>
          </w:tcPr>
          <w:p w14:paraId="63DCCC16" w14:textId="77777777" w:rsidR="00000000" w:rsidRDefault="00C1661D">
            <w:pPr>
              <w:spacing w:after="100"/>
              <w:rPr>
                <w:rFonts w:eastAsia="Times New Roman"/>
                <w:sz w:val="20"/>
                <w:szCs w:val="20"/>
              </w:rPr>
            </w:pPr>
          </w:p>
        </w:tc>
        <w:tc>
          <w:tcPr>
            <w:tcW w:w="0" w:type="auto"/>
            <w:gridSpan w:val="3"/>
            <w:vAlign w:val="center"/>
            <w:hideMark/>
          </w:tcPr>
          <w:p w14:paraId="288E419C" w14:textId="77777777" w:rsidR="00000000" w:rsidRDefault="00C1661D">
            <w:pPr>
              <w:spacing w:after="100"/>
              <w:rPr>
                <w:rFonts w:eastAsia="Times New Roman"/>
                <w:sz w:val="20"/>
                <w:szCs w:val="20"/>
              </w:rPr>
            </w:pPr>
          </w:p>
        </w:tc>
      </w:tr>
      <w:tr w:rsidR="00000000" w14:paraId="5B50A20B" w14:textId="77777777">
        <w:trPr>
          <w:jc w:val="center"/>
        </w:trPr>
        <w:tc>
          <w:tcPr>
            <w:tcW w:w="0" w:type="auto"/>
            <w:gridSpan w:val="3"/>
            <w:shd w:val="clear" w:color="auto" w:fill="FFFFFF"/>
            <w:tcMar>
              <w:top w:w="30" w:type="dxa"/>
              <w:left w:w="155" w:type="dxa"/>
              <w:bottom w:w="30" w:type="dxa"/>
              <w:right w:w="20" w:type="dxa"/>
            </w:tcMar>
            <w:vAlign w:val="bottom"/>
            <w:hideMark/>
          </w:tcPr>
          <w:p w14:paraId="30384071" w14:textId="77777777" w:rsidR="00000000" w:rsidRDefault="00C1661D">
            <w:pPr>
              <w:spacing w:after="100"/>
              <w:rPr>
                <w:rFonts w:eastAsia="Times New Roman"/>
              </w:rPr>
            </w:pPr>
            <w:r>
              <w:rPr>
                <w:rFonts w:eastAsia="Times New Roman"/>
                <w:color w:val="000000"/>
                <w:sz w:val="20"/>
                <w:szCs w:val="20"/>
              </w:rPr>
              <w:t>Deferred tax assets valuation allowance</w:t>
            </w:r>
          </w:p>
        </w:tc>
        <w:tc>
          <w:tcPr>
            <w:tcW w:w="0" w:type="auto"/>
            <w:shd w:val="clear" w:color="auto" w:fill="FFFFFF"/>
            <w:tcMar>
              <w:top w:w="30" w:type="dxa"/>
              <w:left w:w="20" w:type="dxa"/>
              <w:bottom w:w="30" w:type="dxa"/>
              <w:right w:w="0" w:type="dxa"/>
            </w:tcMar>
            <w:vAlign w:val="bottom"/>
            <w:hideMark/>
          </w:tcPr>
          <w:p w14:paraId="790CFC4C"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237FA3B" w14:textId="77777777" w:rsidR="00000000" w:rsidRDefault="00C1661D">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14:paraId="38875E69"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3DA5BC"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0BE1A2"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6DBD080" w14:textId="77777777" w:rsidR="00000000" w:rsidRDefault="00C1661D">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14:paraId="69DAB7B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C77D3E"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1C741D"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49F460B" w14:textId="77777777" w:rsidR="00000000" w:rsidRDefault="00C1661D">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3D4ECEBE"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35E1216" w14:textId="77777777" w:rsidR="00000000" w:rsidRDefault="00C1661D">
            <w:pPr>
              <w:spacing w:after="100"/>
              <w:rPr>
                <w:rFonts w:eastAsia="Times New Roman"/>
              </w:rPr>
            </w:pPr>
            <w:r>
              <w:rPr>
                <w:rFonts w:eastAsia="Times New Roman"/>
                <w:color w:val="000000"/>
                <w:sz w:val="20"/>
                <w:szCs w:val="20"/>
              </w:rPr>
              <w:t>(2)</w:t>
            </w:r>
          </w:p>
        </w:tc>
        <w:tc>
          <w:tcPr>
            <w:tcW w:w="0" w:type="auto"/>
            <w:shd w:val="clear" w:color="auto" w:fill="FFFFFF"/>
            <w:tcMar>
              <w:top w:w="30" w:type="dxa"/>
              <w:left w:w="20" w:type="dxa"/>
              <w:bottom w:w="30" w:type="dxa"/>
              <w:right w:w="0" w:type="dxa"/>
            </w:tcMar>
            <w:vAlign w:val="bottom"/>
            <w:hideMark/>
          </w:tcPr>
          <w:p w14:paraId="1AE89F46"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330CA1" w14:textId="77777777" w:rsidR="00000000" w:rsidRDefault="00C1661D">
            <w:pPr>
              <w:spacing w:after="100"/>
              <w:jc w:val="right"/>
              <w:rPr>
                <w:rFonts w:eastAsia="Times New Roman"/>
              </w:rPr>
            </w:pPr>
            <w:r>
              <w:rPr>
                <w:rFonts w:eastAsia="Times New Roman"/>
                <w:color w:val="000000"/>
                <w:sz w:val="20"/>
                <w:szCs w:val="20"/>
              </w:rPr>
              <w:t>138 </w:t>
            </w:r>
          </w:p>
        </w:tc>
        <w:tc>
          <w:tcPr>
            <w:tcW w:w="0" w:type="auto"/>
            <w:shd w:val="clear" w:color="auto" w:fill="FFFFFF"/>
            <w:tcMar>
              <w:top w:w="30" w:type="dxa"/>
              <w:left w:w="0" w:type="dxa"/>
              <w:bottom w:w="30" w:type="dxa"/>
              <w:right w:w="20" w:type="dxa"/>
            </w:tcMar>
            <w:vAlign w:val="bottom"/>
            <w:hideMark/>
          </w:tcPr>
          <w:p w14:paraId="66787246"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5C4D5F3" w14:textId="77777777" w:rsidR="00000000" w:rsidRDefault="00C1661D">
            <w:pPr>
              <w:spacing w:after="100"/>
              <w:rPr>
                <w:rFonts w:eastAsia="Times New Roman"/>
              </w:rPr>
            </w:pPr>
            <w:r>
              <w:rPr>
                <w:rFonts w:eastAsia="Times New Roman"/>
                <w:color w:val="000000"/>
                <w:sz w:val="20"/>
                <w:szCs w:val="20"/>
              </w:rPr>
              <w:t> </w:t>
            </w:r>
          </w:p>
        </w:tc>
      </w:tr>
      <w:tr w:rsidR="00000000" w14:paraId="12093CE4" w14:textId="77777777">
        <w:trPr>
          <w:jc w:val="center"/>
        </w:trPr>
        <w:tc>
          <w:tcPr>
            <w:tcW w:w="0" w:type="auto"/>
            <w:gridSpan w:val="3"/>
            <w:vAlign w:val="center"/>
            <w:hideMark/>
          </w:tcPr>
          <w:p w14:paraId="3F6566DF" w14:textId="77777777" w:rsidR="00000000" w:rsidRDefault="00C1661D">
            <w:pPr>
              <w:spacing w:after="100"/>
              <w:rPr>
                <w:rFonts w:eastAsia="Times New Roman"/>
              </w:rPr>
            </w:pPr>
          </w:p>
        </w:tc>
        <w:tc>
          <w:tcPr>
            <w:tcW w:w="0" w:type="auto"/>
            <w:gridSpan w:val="3"/>
            <w:vAlign w:val="center"/>
            <w:hideMark/>
          </w:tcPr>
          <w:p w14:paraId="302861EA" w14:textId="77777777" w:rsidR="00000000" w:rsidRDefault="00C1661D">
            <w:pPr>
              <w:spacing w:after="100"/>
              <w:rPr>
                <w:rFonts w:eastAsia="Times New Roman"/>
                <w:sz w:val="20"/>
                <w:szCs w:val="20"/>
              </w:rPr>
            </w:pPr>
          </w:p>
        </w:tc>
        <w:tc>
          <w:tcPr>
            <w:tcW w:w="0" w:type="auto"/>
            <w:gridSpan w:val="3"/>
            <w:vAlign w:val="center"/>
            <w:hideMark/>
          </w:tcPr>
          <w:p w14:paraId="18410CE0" w14:textId="77777777" w:rsidR="00000000" w:rsidRDefault="00C1661D">
            <w:pPr>
              <w:spacing w:after="100"/>
              <w:rPr>
                <w:rFonts w:eastAsia="Times New Roman"/>
                <w:sz w:val="20"/>
                <w:szCs w:val="20"/>
              </w:rPr>
            </w:pPr>
          </w:p>
        </w:tc>
        <w:tc>
          <w:tcPr>
            <w:tcW w:w="0" w:type="auto"/>
            <w:gridSpan w:val="3"/>
            <w:vAlign w:val="center"/>
            <w:hideMark/>
          </w:tcPr>
          <w:p w14:paraId="1297B010" w14:textId="77777777" w:rsidR="00000000" w:rsidRDefault="00C1661D">
            <w:pPr>
              <w:spacing w:after="100"/>
              <w:rPr>
                <w:rFonts w:eastAsia="Times New Roman"/>
                <w:sz w:val="20"/>
                <w:szCs w:val="20"/>
              </w:rPr>
            </w:pPr>
          </w:p>
        </w:tc>
        <w:tc>
          <w:tcPr>
            <w:tcW w:w="0" w:type="auto"/>
            <w:gridSpan w:val="3"/>
            <w:vAlign w:val="center"/>
            <w:hideMark/>
          </w:tcPr>
          <w:p w14:paraId="604A229D" w14:textId="77777777" w:rsidR="00000000" w:rsidRDefault="00C1661D">
            <w:pPr>
              <w:spacing w:after="100"/>
              <w:rPr>
                <w:rFonts w:eastAsia="Times New Roman"/>
                <w:sz w:val="20"/>
                <w:szCs w:val="20"/>
              </w:rPr>
            </w:pPr>
          </w:p>
        </w:tc>
        <w:tc>
          <w:tcPr>
            <w:tcW w:w="0" w:type="auto"/>
            <w:gridSpan w:val="3"/>
            <w:vAlign w:val="center"/>
            <w:hideMark/>
          </w:tcPr>
          <w:p w14:paraId="171EC1D8" w14:textId="77777777" w:rsidR="00000000" w:rsidRDefault="00C1661D">
            <w:pPr>
              <w:spacing w:after="100"/>
              <w:rPr>
                <w:rFonts w:eastAsia="Times New Roman"/>
                <w:sz w:val="20"/>
                <w:szCs w:val="20"/>
              </w:rPr>
            </w:pPr>
          </w:p>
        </w:tc>
        <w:tc>
          <w:tcPr>
            <w:tcW w:w="0" w:type="auto"/>
            <w:gridSpan w:val="3"/>
            <w:vAlign w:val="center"/>
            <w:hideMark/>
          </w:tcPr>
          <w:p w14:paraId="11FF4906" w14:textId="77777777" w:rsidR="00000000" w:rsidRDefault="00C1661D">
            <w:pPr>
              <w:spacing w:after="100"/>
              <w:rPr>
                <w:rFonts w:eastAsia="Times New Roman"/>
                <w:sz w:val="20"/>
                <w:szCs w:val="20"/>
              </w:rPr>
            </w:pPr>
          </w:p>
        </w:tc>
        <w:tc>
          <w:tcPr>
            <w:tcW w:w="0" w:type="auto"/>
            <w:gridSpan w:val="3"/>
            <w:vAlign w:val="center"/>
            <w:hideMark/>
          </w:tcPr>
          <w:p w14:paraId="09A11E96" w14:textId="77777777" w:rsidR="00000000" w:rsidRDefault="00C1661D">
            <w:pPr>
              <w:spacing w:after="100"/>
              <w:rPr>
                <w:rFonts w:eastAsia="Times New Roman"/>
                <w:sz w:val="20"/>
                <w:szCs w:val="20"/>
              </w:rPr>
            </w:pPr>
          </w:p>
        </w:tc>
        <w:tc>
          <w:tcPr>
            <w:tcW w:w="0" w:type="auto"/>
            <w:gridSpan w:val="3"/>
            <w:vAlign w:val="center"/>
            <w:hideMark/>
          </w:tcPr>
          <w:p w14:paraId="051F04D6" w14:textId="77777777" w:rsidR="00000000" w:rsidRDefault="00C1661D">
            <w:pPr>
              <w:spacing w:after="100"/>
              <w:rPr>
                <w:rFonts w:eastAsia="Times New Roman"/>
                <w:sz w:val="20"/>
                <w:szCs w:val="20"/>
              </w:rPr>
            </w:pPr>
          </w:p>
        </w:tc>
      </w:tr>
      <w:tr w:rsidR="00000000" w14:paraId="05CFF41C" w14:textId="77777777">
        <w:trPr>
          <w:trHeight w:val="300"/>
          <w:jc w:val="center"/>
        </w:trPr>
        <w:tc>
          <w:tcPr>
            <w:tcW w:w="0" w:type="auto"/>
            <w:gridSpan w:val="3"/>
            <w:shd w:val="clear" w:color="auto" w:fill="CCEEFF"/>
            <w:tcMar>
              <w:top w:w="0" w:type="dxa"/>
              <w:left w:w="20" w:type="dxa"/>
              <w:bottom w:w="0" w:type="dxa"/>
              <w:right w:w="20" w:type="dxa"/>
            </w:tcMar>
            <w:vAlign w:val="center"/>
            <w:hideMark/>
          </w:tcPr>
          <w:p w14:paraId="0771C4AF" w14:textId="77777777" w:rsidR="00000000" w:rsidRDefault="00C1661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293167C"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D273A1"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AAC67F"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8DDC43"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47E648"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5A403C" w14:textId="77777777" w:rsidR="00000000" w:rsidRDefault="00C1661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45EFCBC" w14:textId="77777777" w:rsidR="00000000" w:rsidRDefault="00C1661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12A851" w14:textId="77777777" w:rsidR="00000000" w:rsidRDefault="00C1661D">
            <w:pPr>
              <w:spacing w:after="100"/>
              <w:rPr>
                <w:rFonts w:eastAsia="Times New Roman"/>
                <w:sz w:val="20"/>
                <w:szCs w:val="20"/>
              </w:rPr>
            </w:pPr>
          </w:p>
        </w:tc>
      </w:tr>
      <w:tr w:rsidR="00000000" w14:paraId="5F666152" w14:textId="77777777">
        <w:trPr>
          <w:jc w:val="center"/>
        </w:trPr>
        <w:tc>
          <w:tcPr>
            <w:tcW w:w="0" w:type="auto"/>
            <w:gridSpan w:val="3"/>
            <w:shd w:val="clear" w:color="auto" w:fill="FFFFFF"/>
            <w:tcMar>
              <w:top w:w="30" w:type="dxa"/>
              <w:left w:w="20" w:type="dxa"/>
              <w:bottom w:w="30" w:type="dxa"/>
              <w:right w:w="20" w:type="dxa"/>
            </w:tcMar>
            <w:vAlign w:val="bottom"/>
            <w:hideMark/>
          </w:tcPr>
          <w:p w14:paraId="15D490FE" w14:textId="77777777" w:rsidR="00000000" w:rsidRDefault="00C1661D">
            <w:pPr>
              <w:spacing w:after="100"/>
              <w:rPr>
                <w:rFonts w:eastAsia="Times New Roman"/>
              </w:rPr>
            </w:pPr>
            <w:r>
              <w:rPr>
                <w:rFonts w:eastAsia="Times New Roman"/>
                <w:b/>
                <w:bCs/>
                <w:color w:val="000000"/>
                <w:sz w:val="20"/>
                <w:szCs w:val="20"/>
              </w:rPr>
              <w:t>Year Ended September 30, 2020</w:t>
            </w:r>
          </w:p>
        </w:tc>
        <w:tc>
          <w:tcPr>
            <w:tcW w:w="0" w:type="auto"/>
            <w:gridSpan w:val="3"/>
            <w:shd w:val="clear" w:color="auto" w:fill="FFFFFF"/>
            <w:tcMar>
              <w:top w:w="0" w:type="dxa"/>
              <w:left w:w="20" w:type="dxa"/>
              <w:bottom w:w="0" w:type="dxa"/>
              <w:right w:w="20" w:type="dxa"/>
            </w:tcMar>
            <w:vAlign w:val="center"/>
            <w:hideMark/>
          </w:tcPr>
          <w:p w14:paraId="16CB2A4E" w14:textId="77777777" w:rsidR="00000000" w:rsidRDefault="00C1661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22B780"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E64FB7"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8CEB63"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2EE885"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9AE897"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D9E47C" w14:textId="77777777" w:rsidR="00000000" w:rsidRDefault="00C1661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1F5E03" w14:textId="77777777" w:rsidR="00000000" w:rsidRDefault="00C1661D">
            <w:pPr>
              <w:spacing w:after="100"/>
              <w:rPr>
                <w:rFonts w:eastAsia="Times New Roman"/>
                <w:sz w:val="20"/>
                <w:szCs w:val="20"/>
              </w:rPr>
            </w:pPr>
          </w:p>
        </w:tc>
      </w:tr>
      <w:tr w:rsidR="00000000" w14:paraId="360CFDDC" w14:textId="77777777">
        <w:trPr>
          <w:jc w:val="center"/>
        </w:trPr>
        <w:tc>
          <w:tcPr>
            <w:tcW w:w="0" w:type="auto"/>
            <w:gridSpan w:val="3"/>
            <w:shd w:val="clear" w:color="auto" w:fill="CCEEFF"/>
            <w:tcMar>
              <w:top w:w="30" w:type="dxa"/>
              <w:left w:w="20" w:type="dxa"/>
              <w:bottom w:w="30" w:type="dxa"/>
              <w:right w:w="20" w:type="dxa"/>
            </w:tcMar>
            <w:vAlign w:val="bottom"/>
            <w:hideMark/>
          </w:tcPr>
          <w:p w14:paraId="75B06485" w14:textId="77777777" w:rsidR="00000000" w:rsidRDefault="00C1661D">
            <w:pPr>
              <w:spacing w:after="100"/>
              <w:rPr>
                <w:rFonts w:eastAsia="Times New Roman"/>
              </w:rPr>
            </w:pPr>
            <w:r>
              <w:rPr>
                <w:rFonts w:eastAsia="Times New Roman"/>
                <w:color w:val="000000"/>
                <w:sz w:val="20"/>
                <w:szCs w:val="20"/>
              </w:rPr>
              <w:t>Reserves deducted from assets in the consolidated balance sheet:</w:t>
            </w:r>
          </w:p>
        </w:tc>
        <w:tc>
          <w:tcPr>
            <w:tcW w:w="0" w:type="auto"/>
            <w:gridSpan w:val="3"/>
            <w:shd w:val="clear" w:color="auto" w:fill="CCEEFF"/>
            <w:tcMar>
              <w:top w:w="30" w:type="dxa"/>
              <w:left w:w="20" w:type="dxa"/>
              <w:bottom w:w="30" w:type="dxa"/>
              <w:right w:w="20" w:type="dxa"/>
            </w:tcMar>
            <w:vAlign w:val="bottom"/>
            <w:hideMark/>
          </w:tcPr>
          <w:p w14:paraId="0B0D4B70"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813CAC0"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A55F108"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E0C8C1B"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267DD99"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05ACFEBE"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58B56F6D"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43808F79" w14:textId="77777777" w:rsidR="00000000" w:rsidRDefault="00C1661D">
            <w:pPr>
              <w:spacing w:after="100"/>
              <w:rPr>
                <w:rFonts w:eastAsia="Times New Roman"/>
              </w:rPr>
            </w:pPr>
            <w:r>
              <w:rPr>
                <w:rFonts w:eastAsia="Times New Roman"/>
                <w:color w:val="000000"/>
                <w:sz w:val="20"/>
                <w:szCs w:val="20"/>
              </w:rPr>
              <w:t> </w:t>
            </w:r>
          </w:p>
        </w:tc>
      </w:tr>
      <w:tr w:rsidR="00000000" w14:paraId="23894361" w14:textId="77777777">
        <w:trPr>
          <w:jc w:val="center"/>
        </w:trPr>
        <w:tc>
          <w:tcPr>
            <w:tcW w:w="0" w:type="auto"/>
            <w:gridSpan w:val="3"/>
            <w:shd w:val="clear" w:color="auto" w:fill="FFFFFF"/>
            <w:tcMar>
              <w:top w:w="30" w:type="dxa"/>
              <w:left w:w="155" w:type="dxa"/>
              <w:bottom w:w="30" w:type="dxa"/>
              <w:right w:w="20" w:type="dxa"/>
            </w:tcMar>
            <w:vAlign w:val="bottom"/>
            <w:hideMark/>
          </w:tcPr>
          <w:p w14:paraId="2B739FCA" w14:textId="77777777" w:rsidR="00000000" w:rsidRDefault="00C1661D">
            <w:pPr>
              <w:spacing w:after="100"/>
              <w:rPr>
                <w:rFonts w:eastAsia="Times New Roman"/>
              </w:rPr>
            </w:pPr>
            <w:r>
              <w:rPr>
                <w:rFonts w:eastAsia="Times New Roman"/>
                <w:color w:val="000000"/>
                <w:sz w:val="20"/>
                <w:szCs w:val="20"/>
              </w:rPr>
              <w:t>Allowance for doubtful accounts</w:t>
            </w:r>
          </w:p>
        </w:tc>
        <w:tc>
          <w:tcPr>
            <w:tcW w:w="0" w:type="auto"/>
            <w:shd w:val="clear" w:color="auto" w:fill="FFFFFF"/>
            <w:tcMar>
              <w:top w:w="30" w:type="dxa"/>
              <w:left w:w="20" w:type="dxa"/>
              <w:bottom w:w="30" w:type="dxa"/>
              <w:right w:w="0" w:type="dxa"/>
            </w:tcMar>
            <w:vAlign w:val="bottom"/>
            <w:hideMark/>
          </w:tcPr>
          <w:p w14:paraId="0DC5CB13"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80C3E56" w14:textId="77777777" w:rsidR="00000000" w:rsidRDefault="00C1661D">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14:paraId="08C0706B"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5600F"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62F937"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FF7DAF" w14:textId="77777777" w:rsidR="00000000" w:rsidRDefault="00C1661D">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14:paraId="2F85801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8F99D8"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0DC2BE"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1F4D39B" w14:textId="77777777" w:rsidR="00000000" w:rsidRDefault="00C1661D">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14:paraId="1866C052"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8ECC98E" w14:textId="77777777" w:rsidR="00000000" w:rsidRDefault="00C1661D">
            <w:pPr>
              <w:spacing w:after="100"/>
              <w:rPr>
                <w:rFonts w:eastAsia="Times New Roman"/>
              </w:rPr>
            </w:pPr>
            <w:r>
              <w:rPr>
                <w:rFonts w:eastAsia="Times New Roman"/>
                <w:color w:val="000000"/>
                <w:sz w:val="20"/>
                <w:szCs w:val="20"/>
              </w:rPr>
              <w:t>(1)</w:t>
            </w:r>
          </w:p>
        </w:tc>
        <w:tc>
          <w:tcPr>
            <w:tcW w:w="0" w:type="auto"/>
            <w:shd w:val="clear" w:color="auto" w:fill="FFFFFF"/>
            <w:tcMar>
              <w:top w:w="30" w:type="dxa"/>
              <w:left w:w="20" w:type="dxa"/>
              <w:bottom w:w="30" w:type="dxa"/>
              <w:right w:w="0" w:type="dxa"/>
            </w:tcMar>
            <w:vAlign w:val="bottom"/>
            <w:hideMark/>
          </w:tcPr>
          <w:p w14:paraId="6EFD162A"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E483154" w14:textId="77777777" w:rsidR="00000000" w:rsidRDefault="00C1661D">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14:paraId="32996F42"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34E07AD" w14:textId="77777777" w:rsidR="00000000" w:rsidRDefault="00C1661D">
            <w:pPr>
              <w:spacing w:after="100"/>
              <w:rPr>
                <w:rFonts w:eastAsia="Times New Roman"/>
              </w:rPr>
            </w:pPr>
            <w:r>
              <w:rPr>
                <w:rFonts w:eastAsia="Times New Roman"/>
                <w:color w:val="000000"/>
                <w:sz w:val="20"/>
                <w:szCs w:val="20"/>
              </w:rPr>
              <w:t> </w:t>
            </w:r>
          </w:p>
        </w:tc>
      </w:tr>
      <w:tr w:rsidR="00000000" w14:paraId="60514B38" w14:textId="77777777">
        <w:trPr>
          <w:jc w:val="center"/>
        </w:trPr>
        <w:tc>
          <w:tcPr>
            <w:tcW w:w="0" w:type="auto"/>
            <w:gridSpan w:val="3"/>
            <w:vAlign w:val="center"/>
            <w:hideMark/>
          </w:tcPr>
          <w:p w14:paraId="63EA974F" w14:textId="77777777" w:rsidR="00000000" w:rsidRDefault="00C1661D">
            <w:pPr>
              <w:spacing w:after="100"/>
              <w:rPr>
                <w:rFonts w:eastAsia="Times New Roman"/>
              </w:rPr>
            </w:pPr>
          </w:p>
        </w:tc>
        <w:tc>
          <w:tcPr>
            <w:tcW w:w="0" w:type="auto"/>
            <w:gridSpan w:val="3"/>
            <w:vAlign w:val="center"/>
            <w:hideMark/>
          </w:tcPr>
          <w:p w14:paraId="39BB9EF2" w14:textId="77777777" w:rsidR="00000000" w:rsidRDefault="00C1661D">
            <w:pPr>
              <w:spacing w:after="100"/>
              <w:rPr>
                <w:rFonts w:eastAsia="Times New Roman"/>
                <w:sz w:val="20"/>
                <w:szCs w:val="20"/>
              </w:rPr>
            </w:pPr>
          </w:p>
        </w:tc>
        <w:tc>
          <w:tcPr>
            <w:tcW w:w="0" w:type="auto"/>
            <w:gridSpan w:val="3"/>
            <w:vAlign w:val="center"/>
            <w:hideMark/>
          </w:tcPr>
          <w:p w14:paraId="6DCD7D4F" w14:textId="77777777" w:rsidR="00000000" w:rsidRDefault="00C1661D">
            <w:pPr>
              <w:spacing w:after="100"/>
              <w:rPr>
                <w:rFonts w:eastAsia="Times New Roman"/>
                <w:sz w:val="20"/>
                <w:szCs w:val="20"/>
              </w:rPr>
            </w:pPr>
          </w:p>
        </w:tc>
        <w:tc>
          <w:tcPr>
            <w:tcW w:w="0" w:type="auto"/>
            <w:gridSpan w:val="3"/>
            <w:vAlign w:val="center"/>
            <w:hideMark/>
          </w:tcPr>
          <w:p w14:paraId="7F4D1FE7" w14:textId="77777777" w:rsidR="00000000" w:rsidRDefault="00C1661D">
            <w:pPr>
              <w:spacing w:after="100"/>
              <w:rPr>
                <w:rFonts w:eastAsia="Times New Roman"/>
                <w:sz w:val="20"/>
                <w:szCs w:val="20"/>
              </w:rPr>
            </w:pPr>
          </w:p>
        </w:tc>
        <w:tc>
          <w:tcPr>
            <w:tcW w:w="0" w:type="auto"/>
            <w:gridSpan w:val="3"/>
            <w:vAlign w:val="center"/>
            <w:hideMark/>
          </w:tcPr>
          <w:p w14:paraId="4CCDE9D0" w14:textId="77777777" w:rsidR="00000000" w:rsidRDefault="00C1661D">
            <w:pPr>
              <w:spacing w:after="100"/>
              <w:rPr>
                <w:rFonts w:eastAsia="Times New Roman"/>
                <w:sz w:val="20"/>
                <w:szCs w:val="20"/>
              </w:rPr>
            </w:pPr>
          </w:p>
        </w:tc>
        <w:tc>
          <w:tcPr>
            <w:tcW w:w="0" w:type="auto"/>
            <w:gridSpan w:val="3"/>
            <w:vAlign w:val="center"/>
            <w:hideMark/>
          </w:tcPr>
          <w:p w14:paraId="128FA503" w14:textId="77777777" w:rsidR="00000000" w:rsidRDefault="00C1661D">
            <w:pPr>
              <w:spacing w:after="100"/>
              <w:rPr>
                <w:rFonts w:eastAsia="Times New Roman"/>
                <w:sz w:val="20"/>
                <w:szCs w:val="20"/>
              </w:rPr>
            </w:pPr>
          </w:p>
        </w:tc>
        <w:tc>
          <w:tcPr>
            <w:tcW w:w="0" w:type="auto"/>
            <w:gridSpan w:val="3"/>
            <w:vAlign w:val="center"/>
            <w:hideMark/>
          </w:tcPr>
          <w:p w14:paraId="2BBA0C67" w14:textId="77777777" w:rsidR="00000000" w:rsidRDefault="00C1661D">
            <w:pPr>
              <w:spacing w:after="100"/>
              <w:rPr>
                <w:rFonts w:eastAsia="Times New Roman"/>
                <w:sz w:val="20"/>
                <w:szCs w:val="20"/>
              </w:rPr>
            </w:pPr>
          </w:p>
        </w:tc>
        <w:tc>
          <w:tcPr>
            <w:tcW w:w="0" w:type="auto"/>
            <w:gridSpan w:val="3"/>
            <w:vAlign w:val="center"/>
            <w:hideMark/>
          </w:tcPr>
          <w:p w14:paraId="1B7A9A9F" w14:textId="77777777" w:rsidR="00000000" w:rsidRDefault="00C1661D">
            <w:pPr>
              <w:spacing w:after="100"/>
              <w:rPr>
                <w:rFonts w:eastAsia="Times New Roman"/>
                <w:sz w:val="20"/>
                <w:szCs w:val="20"/>
              </w:rPr>
            </w:pPr>
          </w:p>
        </w:tc>
        <w:tc>
          <w:tcPr>
            <w:tcW w:w="0" w:type="auto"/>
            <w:gridSpan w:val="3"/>
            <w:vAlign w:val="center"/>
            <w:hideMark/>
          </w:tcPr>
          <w:p w14:paraId="498A7903" w14:textId="77777777" w:rsidR="00000000" w:rsidRDefault="00C1661D">
            <w:pPr>
              <w:spacing w:after="100"/>
              <w:rPr>
                <w:rFonts w:eastAsia="Times New Roman"/>
                <w:sz w:val="20"/>
                <w:szCs w:val="20"/>
              </w:rPr>
            </w:pPr>
          </w:p>
        </w:tc>
      </w:tr>
      <w:tr w:rsidR="00000000" w14:paraId="43BB5C37" w14:textId="77777777">
        <w:trPr>
          <w:jc w:val="center"/>
        </w:trPr>
        <w:tc>
          <w:tcPr>
            <w:tcW w:w="0" w:type="auto"/>
            <w:gridSpan w:val="3"/>
            <w:shd w:val="clear" w:color="auto" w:fill="CCEEFF"/>
            <w:tcMar>
              <w:top w:w="30" w:type="dxa"/>
              <w:left w:w="20" w:type="dxa"/>
              <w:bottom w:w="30" w:type="dxa"/>
              <w:right w:w="20" w:type="dxa"/>
            </w:tcMar>
            <w:vAlign w:val="bottom"/>
            <w:hideMark/>
          </w:tcPr>
          <w:p w14:paraId="29BF8919" w14:textId="77777777" w:rsidR="00000000" w:rsidRDefault="00C1661D">
            <w:pPr>
              <w:spacing w:after="100"/>
              <w:rPr>
                <w:rFonts w:eastAsia="Times New Roman"/>
              </w:rPr>
            </w:pPr>
            <w:r>
              <w:rPr>
                <w:rFonts w:eastAsia="Times New Roman"/>
                <w:color w:val="000000"/>
                <w:sz w:val="20"/>
                <w:szCs w:val="20"/>
              </w:rPr>
              <w:t>Other reserves: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3FB512F"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B664E64"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EDA35C2"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44D2EBE" w14:textId="77777777" w:rsidR="00000000" w:rsidRDefault="00C1661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006EBA5"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448ACA65" w14:textId="77777777" w:rsidR="00000000" w:rsidRDefault="00C1661D">
            <w:pPr>
              <w:spacing w:after="100"/>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B835A0A" w14:textId="77777777" w:rsidR="00000000" w:rsidRDefault="00C1661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1921E0D7" w14:textId="77777777" w:rsidR="00000000" w:rsidRDefault="00C1661D">
            <w:pPr>
              <w:spacing w:after="100"/>
              <w:rPr>
                <w:rFonts w:eastAsia="Times New Roman"/>
              </w:rPr>
            </w:pPr>
            <w:r>
              <w:rPr>
                <w:rFonts w:eastAsia="Times New Roman"/>
                <w:color w:val="000000"/>
                <w:sz w:val="20"/>
                <w:szCs w:val="20"/>
              </w:rPr>
              <w:t> </w:t>
            </w:r>
          </w:p>
        </w:tc>
      </w:tr>
      <w:tr w:rsidR="00000000" w14:paraId="4F35C92F" w14:textId="77777777">
        <w:trPr>
          <w:jc w:val="center"/>
        </w:trPr>
        <w:tc>
          <w:tcPr>
            <w:tcW w:w="0" w:type="auto"/>
            <w:gridSpan w:val="3"/>
            <w:vAlign w:val="center"/>
            <w:hideMark/>
          </w:tcPr>
          <w:p w14:paraId="05CD8818" w14:textId="77777777" w:rsidR="00000000" w:rsidRDefault="00C1661D">
            <w:pPr>
              <w:spacing w:after="100"/>
              <w:rPr>
                <w:rFonts w:eastAsia="Times New Roman"/>
              </w:rPr>
            </w:pPr>
          </w:p>
        </w:tc>
        <w:tc>
          <w:tcPr>
            <w:tcW w:w="0" w:type="auto"/>
            <w:gridSpan w:val="3"/>
            <w:vAlign w:val="center"/>
            <w:hideMark/>
          </w:tcPr>
          <w:p w14:paraId="38EAB997" w14:textId="77777777" w:rsidR="00000000" w:rsidRDefault="00C1661D">
            <w:pPr>
              <w:spacing w:after="100"/>
              <w:rPr>
                <w:rFonts w:eastAsia="Times New Roman"/>
                <w:sz w:val="20"/>
                <w:szCs w:val="20"/>
              </w:rPr>
            </w:pPr>
          </w:p>
        </w:tc>
        <w:tc>
          <w:tcPr>
            <w:tcW w:w="0" w:type="auto"/>
            <w:gridSpan w:val="3"/>
            <w:vAlign w:val="center"/>
            <w:hideMark/>
          </w:tcPr>
          <w:p w14:paraId="1FDEAA87" w14:textId="77777777" w:rsidR="00000000" w:rsidRDefault="00C1661D">
            <w:pPr>
              <w:spacing w:after="100"/>
              <w:rPr>
                <w:rFonts w:eastAsia="Times New Roman"/>
                <w:sz w:val="20"/>
                <w:szCs w:val="20"/>
              </w:rPr>
            </w:pPr>
          </w:p>
        </w:tc>
        <w:tc>
          <w:tcPr>
            <w:tcW w:w="0" w:type="auto"/>
            <w:gridSpan w:val="3"/>
            <w:vAlign w:val="center"/>
            <w:hideMark/>
          </w:tcPr>
          <w:p w14:paraId="3C40BA43" w14:textId="77777777" w:rsidR="00000000" w:rsidRDefault="00C1661D">
            <w:pPr>
              <w:spacing w:after="100"/>
              <w:rPr>
                <w:rFonts w:eastAsia="Times New Roman"/>
                <w:sz w:val="20"/>
                <w:szCs w:val="20"/>
              </w:rPr>
            </w:pPr>
          </w:p>
        </w:tc>
        <w:tc>
          <w:tcPr>
            <w:tcW w:w="0" w:type="auto"/>
            <w:gridSpan w:val="3"/>
            <w:vAlign w:val="center"/>
            <w:hideMark/>
          </w:tcPr>
          <w:p w14:paraId="1A365F2E" w14:textId="77777777" w:rsidR="00000000" w:rsidRDefault="00C1661D">
            <w:pPr>
              <w:spacing w:after="100"/>
              <w:rPr>
                <w:rFonts w:eastAsia="Times New Roman"/>
                <w:sz w:val="20"/>
                <w:szCs w:val="20"/>
              </w:rPr>
            </w:pPr>
          </w:p>
        </w:tc>
        <w:tc>
          <w:tcPr>
            <w:tcW w:w="0" w:type="auto"/>
            <w:gridSpan w:val="3"/>
            <w:vAlign w:val="center"/>
            <w:hideMark/>
          </w:tcPr>
          <w:p w14:paraId="32EE1C16" w14:textId="77777777" w:rsidR="00000000" w:rsidRDefault="00C1661D">
            <w:pPr>
              <w:spacing w:after="100"/>
              <w:rPr>
                <w:rFonts w:eastAsia="Times New Roman"/>
                <w:sz w:val="20"/>
                <w:szCs w:val="20"/>
              </w:rPr>
            </w:pPr>
          </w:p>
        </w:tc>
        <w:tc>
          <w:tcPr>
            <w:tcW w:w="0" w:type="auto"/>
            <w:gridSpan w:val="3"/>
            <w:vAlign w:val="center"/>
            <w:hideMark/>
          </w:tcPr>
          <w:p w14:paraId="73B8508E" w14:textId="77777777" w:rsidR="00000000" w:rsidRDefault="00C1661D">
            <w:pPr>
              <w:spacing w:after="100"/>
              <w:rPr>
                <w:rFonts w:eastAsia="Times New Roman"/>
                <w:sz w:val="20"/>
                <w:szCs w:val="20"/>
              </w:rPr>
            </w:pPr>
          </w:p>
        </w:tc>
        <w:tc>
          <w:tcPr>
            <w:tcW w:w="0" w:type="auto"/>
            <w:gridSpan w:val="3"/>
            <w:vAlign w:val="center"/>
            <w:hideMark/>
          </w:tcPr>
          <w:p w14:paraId="00F74C41" w14:textId="77777777" w:rsidR="00000000" w:rsidRDefault="00C1661D">
            <w:pPr>
              <w:spacing w:after="100"/>
              <w:rPr>
                <w:rFonts w:eastAsia="Times New Roman"/>
                <w:sz w:val="20"/>
                <w:szCs w:val="20"/>
              </w:rPr>
            </w:pPr>
          </w:p>
        </w:tc>
        <w:tc>
          <w:tcPr>
            <w:tcW w:w="0" w:type="auto"/>
            <w:gridSpan w:val="3"/>
            <w:vAlign w:val="center"/>
            <w:hideMark/>
          </w:tcPr>
          <w:p w14:paraId="2A35060C" w14:textId="77777777" w:rsidR="00000000" w:rsidRDefault="00C1661D">
            <w:pPr>
              <w:spacing w:after="100"/>
              <w:rPr>
                <w:rFonts w:eastAsia="Times New Roman"/>
                <w:sz w:val="20"/>
                <w:szCs w:val="20"/>
              </w:rPr>
            </w:pPr>
          </w:p>
        </w:tc>
      </w:tr>
      <w:tr w:rsidR="00000000" w14:paraId="360A0619" w14:textId="77777777">
        <w:trPr>
          <w:jc w:val="center"/>
        </w:trPr>
        <w:tc>
          <w:tcPr>
            <w:tcW w:w="0" w:type="auto"/>
            <w:gridSpan w:val="3"/>
            <w:vAlign w:val="center"/>
            <w:hideMark/>
          </w:tcPr>
          <w:p w14:paraId="5D73F8B6" w14:textId="77777777" w:rsidR="00000000" w:rsidRDefault="00C1661D">
            <w:pPr>
              <w:spacing w:after="100"/>
              <w:rPr>
                <w:rFonts w:eastAsia="Times New Roman"/>
                <w:sz w:val="20"/>
                <w:szCs w:val="20"/>
              </w:rPr>
            </w:pPr>
          </w:p>
        </w:tc>
        <w:tc>
          <w:tcPr>
            <w:tcW w:w="0" w:type="auto"/>
            <w:gridSpan w:val="3"/>
            <w:vAlign w:val="center"/>
            <w:hideMark/>
          </w:tcPr>
          <w:p w14:paraId="45193E2D" w14:textId="77777777" w:rsidR="00000000" w:rsidRDefault="00C1661D">
            <w:pPr>
              <w:spacing w:after="100"/>
              <w:rPr>
                <w:rFonts w:eastAsia="Times New Roman"/>
                <w:sz w:val="20"/>
                <w:szCs w:val="20"/>
              </w:rPr>
            </w:pPr>
          </w:p>
        </w:tc>
        <w:tc>
          <w:tcPr>
            <w:tcW w:w="0" w:type="auto"/>
            <w:gridSpan w:val="3"/>
            <w:vAlign w:val="center"/>
            <w:hideMark/>
          </w:tcPr>
          <w:p w14:paraId="747318F0" w14:textId="77777777" w:rsidR="00000000" w:rsidRDefault="00C1661D">
            <w:pPr>
              <w:spacing w:after="100"/>
              <w:rPr>
                <w:rFonts w:eastAsia="Times New Roman"/>
                <w:sz w:val="20"/>
                <w:szCs w:val="20"/>
              </w:rPr>
            </w:pPr>
          </w:p>
        </w:tc>
        <w:tc>
          <w:tcPr>
            <w:tcW w:w="0" w:type="auto"/>
            <w:gridSpan w:val="3"/>
            <w:vAlign w:val="center"/>
            <w:hideMark/>
          </w:tcPr>
          <w:p w14:paraId="7E90B229" w14:textId="77777777" w:rsidR="00000000" w:rsidRDefault="00C1661D">
            <w:pPr>
              <w:spacing w:after="100"/>
              <w:rPr>
                <w:rFonts w:eastAsia="Times New Roman"/>
                <w:sz w:val="20"/>
                <w:szCs w:val="20"/>
              </w:rPr>
            </w:pPr>
          </w:p>
        </w:tc>
        <w:tc>
          <w:tcPr>
            <w:tcW w:w="0" w:type="auto"/>
            <w:gridSpan w:val="3"/>
            <w:vAlign w:val="center"/>
            <w:hideMark/>
          </w:tcPr>
          <w:p w14:paraId="100FBC38" w14:textId="77777777" w:rsidR="00000000" w:rsidRDefault="00C1661D">
            <w:pPr>
              <w:spacing w:after="100"/>
              <w:rPr>
                <w:rFonts w:eastAsia="Times New Roman"/>
                <w:sz w:val="20"/>
                <w:szCs w:val="20"/>
              </w:rPr>
            </w:pPr>
          </w:p>
        </w:tc>
        <w:tc>
          <w:tcPr>
            <w:tcW w:w="0" w:type="auto"/>
            <w:gridSpan w:val="3"/>
            <w:vAlign w:val="center"/>
            <w:hideMark/>
          </w:tcPr>
          <w:p w14:paraId="46B4646B" w14:textId="77777777" w:rsidR="00000000" w:rsidRDefault="00C1661D">
            <w:pPr>
              <w:spacing w:after="100"/>
              <w:rPr>
                <w:rFonts w:eastAsia="Times New Roman"/>
                <w:sz w:val="20"/>
                <w:szCs w:val="20"/>
              </w:rPr>
            </w:pPr>
          </w:p>
        </w:tc>
        <w:tc>
          <w:tcPr>
            <w:tcW w:w="0" w:type="auto"/>
            <w:gridSpan w:val="3"/>
            <w:vAlign w:val="center"/>
            <w:hideMark/>
          </w:tcPr>
          <w:p w14:paraId="117D3FEE" w14:textId="77777777" w:rsidR="00000000" w:rsidRDefault="00C1661D">
            <w:pPr>
              <w:spacing w:after="100"/>
              <w:rPr>
                <w:rFonts w:eastAsia="Times New Roman"/>
                <w:sz w:val="20"/>
                <w:szCs w:val="20"/>
              </w:rPr>
            </w:pPr>
          </w:p>
        </w:tc>
        <w:tc>
          <w:tcPr>
            <w:tcW w:w="0" w:type="auto"/>
            <w:gridSpan w:val="3"/>
            <w:vAlign w:val="center"/>
            <w:hideMark/>
          </w:tcPr>
          <w:p w14:paraId="0D0A45E3" w14:textId="77777777" w:rsidR="00000000" w:rsidRDefault="00C1661D">
            <w:pPr>
              <w:spacing w:after="100"/>
              <w:rPr>
                <w:rFonts w:eastAsia="Times New Roman"/>
                <w:sz w:val="20"/>
                <w:szCs w:val="20"/>
              </w:rPr>
            </w:pPr>
          </w:p>
        </w:tc>
        <w:tc>
          <w:tcPr>
            <w:tcW w:w="0" w:type="auto"/>
            <w:gridSpan w:val="3"/>
            <w:vAlign w:val="center"/>
            <w:hideMark/>
          </w:tcPr>
          <w:p w14:paraId="5E27C053" w14:textId="77777777" w:rsidR="00000000" w:rsidRDefault="00C1661D">
            <w:pPr>
              <w:spacing w:after="100"/>
              <w:rPr>
                <w:rFonts w:eastAsia="Times New Roman"/>
                <w:sz w:val="20"/>
                <w:szCs w:val="20"/>
              </w:rPr>
            </w:pPr>
          </w:p>
        </w:tc>
      </w:tr>
      <w:tr w:rsidR="00000000" w14:paraId="25E11870" w14:textId="77777777">
        <w:trPr>
          <w:jc w:val="center"/>
        </w:trPr>
        <w:tc>
          <w:tcPr>
            <w:tcW w:w="0" w:type="auto"/>
            <w:gridSpan w:val="3"/>
            <w:vAlign w:val="center"/>
            <w:hideMark/>
          </w:tcPr>
          <w:p w14:paraId="3998ADAC" w14:textId="77777777" w:rsidR="00000000" w:rsidRDefault="00C1661D">
            <w:pPr>
              <w:spacing w:after="100"/>
              <w:rPr>
                <w:rFonts w:eastAsia="Times New Roman"/>
                <w:sz w:val="20"/>
                <w:szCs w:val="20"/>
              </w:rPr>
            </w:pPr>
          </w:p>
        </w:tc>
        <w:tc>
          <w:tcPr>
            <w:tcW w:w="0" w:type="auto"/>
            <w:gridSpan w:val="3"/>
            <w:vAlign w:val="center"/>
            <w:hideMark/>
          </w:tcPr>
          <w:p w14:paraId="314B68FE" w14:textId="77777777" w:rsidR="00000000" w:rsidRDefault="00C1661D">
            <w:pPr>
              <w:spacing w:after="100"/>
              <w:rPr>
                <w:rFonts w:eastAsia="Times New Roman"/>
                <w:sz w:val="20"/>
                <w:szCs w:val="20"/>
              </w:rPr>
            </w:pPr>
          </w:p>
        </w:tc>
        <w:tc>
          <w:tcPr>
            <w:tcW w:w="0" w:type="auto"/>
            <w:gridSpan w:val="3"/>
            <w:vAlign w:val="center"/>
            <w:hideMark/>
          </w:tcPr>
          <w:p w14:paraId="35079305" w14:textId="77777777" w:rsidR="00000000" w:rsidRDefault="00C1661D">
            <w:pPr>
              <w:spacing w:after="100"/>
              <w:rPr>
                <w:rFonts w:eastAsia="Times New Roman"/>
                <w:sz w:val="20"/>
                <w:szCs w:val="20"/>
              </w:rPr>
            </w:pPr>
          </w:p>
        </w:tc>
        <w:tc>
          <w:tcPr>
            <w:tcW w:w="0" w:type="auto"/>
            <w:gridSpan w:val="3"/>
            <w:vAlign w:val="center"/>
            <w:hideMark/>
          </w:tcPr>
          <w:p w14:paraId="7E9FE9E0" w14:textId="77777777" w:rsidR="00000000" w:rsidRDefault="00C1661D">
            <w:pPr>
              <w:spacing w:after="100"/>
              <w:rPr>
                <w:rFonts w:eastAsia="Times New Roman"/>
                <w:sz w:val="20"/>
                <w:szCs w:val="20"/>
              </w:rPr>
            </w:pPr>
          </w:p>
        </w:tc>
        <w:tc>
          <w:tcPr>
            <w:tcW w:w="0" w:type="auto"/>
            <w:gridSpan w:val="3"/>
            <w:vAlign w:val="center"/>
            <w:hideMark/>
          </w:tcPr>
          <w:p w14:paraId="57DC2604" w14:textId="77777777" w:rsidR="00000000" w:rsidRDefault="00C1661D">
            <w:pPr>
              <w:spacing w:after="100"/>
              <w:rPr>
                <w:rFonts w:eastAsia="Times New Roman"/>
                <w:sz w:val="20"/>
                <w:szCs w:val="20"/>
              </w:rPr>
            </w:pPr>
          </w:p>
        </w:tc>
        <w:tc>
          <w:tcPr>
            <w:tcW w:w="0" w:type="auto"/>
            <w:gridSpan w:val="3"/>
            <w:vAlign w:val="center"/>
            <w:hideMark/>
          </w:tcPr>
          <w:p w14:paraId="33AB5A2B" w14:textId="77777777" w:rsidR="00000000" w:rsidRDefault="00C1661D">
            <w:pPr>
              <w:spacing w:after="100"/>
              <w:rPr>
                <w:rFonts w:eastAsia="Times New Roman"/>
                <w:sz w:val="20"/>
                <w:szCs w:val="20"/>
              </w:rPr>
            </w:pPr>
          </w:p>
        </w:tc>
        <w:tc>
          <w:tcPr>
            <w:tcW w:w="0" w:type="auto"/>
            <w:gridSpan w:val="3"/>
            <w:vAlign w:val="center"/>
            <w:hideMark/>
          </w:tcPr>
          <w:p w14:paraId="4FAF00FB" w14:textId="77777777" w:rsidR="00000000" w:rsidRDefault="00C1661D">
            <w:pPr>
              <w:spacing w:after="100"/>
              <w:rPr>
                <w:rFonts w:eastAsia="Times New Roman"/>
                <w:sz w:val="20"/>
                <w:szCs w:val="20"/>
              </w:rPr>
            </w:pPr>
          </w:p>
        </w:tc>
        <w:tc>
          <w:tcPr>
            <w:tcW w:w="0" w:type="auto"/>
            <w:gridSpan w:val="3"/>
            <w:vAlign w:val="center"/>
            <w:hideMark/>
          </w:tcPr>
          <w:p w14:paraId="07C58377" w14:textId="77777777" w:rsidR="00000000" w:rsidRDefault="00C1661D">
            <w:pPr>
              <w:spacing w:after="100"/>
              <w:rPr>
                <w:rFonts w:eastAsia="Times New Roman"/>
                <w:sz w:val="20"/>
                <w:szCs w:val="20"/>
              </w:rPr>
            </w:pPr>
          </w:p>
        </w:tc>
        <w:tc>
          <w:tcPr>
            <w:tcW w:w="0" w:type="auto"/>
            <w:gridSpan w:val="3"/>
            <w:vAlign w:val="center"/>
            <w:hideMark/>
          </w:tcPr>
          <w:p w14:paraId="3F511D62" w14:textId="77777777" w:rsidR="00000000" w:rsidRDefault="00C1661D">
            <w:pPr>
              <w:spacing w:after="100"/>
              <w:rPr>
                <w:rFonts w:eastAsia="Times New Roman"/>
                <w:sz w:val="20"/>
                <w:szCs w:val="20"/>
              </w:rPr>
            </w:pPr>
          </w:p>
        </w:tc>
      </w:tr>
      <w:tr w:rsidR="00000000" w14:paraId="4CFF3195" w14:textId="77777777">
        <w:trPr>
          <w:jc w:val="center"/>
        </w:trPr>
        <w:tc>
          <w:tcPr>
            <w:tcW w:w="0" w:type="auto"/>
            <w:gridSpan w:val="3"/>
            <w:vAlign w:val="center"/>
            <w:hideMark/>
          </w:tcPr>
          <w:p w14:paraId="47734060" w14:textId="77777777" w:rsidR="00000000" w:rsidRDefault="00C1661D">
            <w:pPr>
              <w:spacing w:after="100"/>
              <w:rPr>
                <w:rFonts w:eastAsia="Times New Roman"/>
                <w:sz w:val="20"/>
                <w:szCs w:val="20"/>
              </w:rPr>
            </w:pPr>
          </w:p>
        </w:tc>
        <w:tc>
          <w:tcPr>
            <w:tcW w:w="0" w:type="auto"/>
            <w:gridSpan w:val="3"/>
            <w:vAlign w:val="center"/>
            <w:hideMark/>
          </w:tcPr>
          <w:p w14:paraId="2B798BDA" w14:textId="77777777" w:rsidR="00000000" w:rsidRDefault="00C1661D">
            <w:pPr>
              <w:spacing w:after="100"/>
              <w:rPr>
                <w:rFonts w:eastAsia="Times New Roman"/>
                <w:sz w:val="20"/>
                <w:szCs w:val="20"/>
              </w:rPr>
            </w:pPr>
          </w:p>
        </w:tc>
        <w:tc>
          <w:tcPr>
            <w:tcW w:w="0" w:type="auto"/>
            <w:gridSpan w:val="3"/>
            <w:vAlign w:val="center"/>
            <w:hideMark/>
          </w:tcPr>
          <w:p w14:paraId="70F6F007" w14:textId="77777777" w:rsidR="00000000" w:rsidRDefault="00C1661D">
            <w:pPr>
              <w:spacing w:after="100"/>
              <w:rPr>
                <w:rFonts w:eastAsia="Times New Roman"/>
                <w:sz w:val="20"/>
                <w:szCs w:val="20"/>
              </w:rPr>
            </w:pPr>
          </w:p>
        </w:tc>
        <w:tc>
          <w:tcPr>
            <w:tcW w:w="0" w:type="auto"/>
            <w:gridSpan w:val="3"/>
            <w:vAlign w:val="center"/>
            <w:hideMark/>
          </w:tcPr>
          <w:p w14:paraId="4C632179" w14:textId="77777777" w:rsidR="00000000" w:rsidRDefault="00C1661D">
            <w:pPr>
              <w:spacing w:after="100"/>
              <w:rPr>
                <w:rFonts w:eastAsia="Times New Roman"/>
                <w:sz w:val="20"/>
                <w:szCs w:val="20"/>
              </w:rPr>
            </w:pPr>
          </w:p>
        </w:tc>
        <w:tc>
          <w:tcPr>
            <w:tcW w:w="0" w:type="auto"/>
            <w:gridSpan w:val="3"/>
            <w:vAlign w:val="center"/>
            <w:hideMark/>
          </w:tcPr>
          <w:p w14:paraId="1207EC36" w14:textId="77777777" w:rsidR="00000000" w:rsidRDefault="00C1661D">
            <w:pPr>
              <w:spacing w:after="100"/>
              <w:rPr>
                <w:rFonts w:eastAsia="Times New Roman"/>
                <w:sz w:val="20"/>
                <w:szCs w:val="20"/>
              </w:rPr>
            </w:pPr>
          </w:p>
        </w:tc>
        <w:tc>
          <w:tcPr>
            <w:tcW w:w="0" w:type="auto"/>
            <w:gridSpan w:val="3"/>
            <w:vAlign w:val="center"/>
            <w:hideMark/>
          </w:tcPr>
          <w:p w14:paraId="54FD9182" w14:textId="77777777" w:rsidR="00000000" w:rsidRDefault="00C1661D">
            <w:pPr>
              <w:spacing w:after="100"/>
              <w:rPr>
                <w:rFonts w:eastAsia="Times New Roman"/>
                <w:sz w:val="20"/>
                <w:szCs w:val="20"/>
              </w:rPr>
            </w:pPr>
          </w:p>
        </w:tc>
        <w:tc>
          <w:tcPr>
            <w:tcW w:w="0" w:type="auto"/>
            <w:gridSpan w:val="3"/>
            <w:vAlign w:val="center"/>
            <w:hideMark/>
          </w:tcPr>
          <w:p w14:paraId="1EC4036B" w14:textId="77777777" w:rsidR="00000000" w:rsidRDefault="00C1661D">
            <w:pPr>
              <w:spacing w:after="100"/>
              <w:rPr>
                <w:rFonts w:eastAsia="Times New Roman"/>
                <w:sz w:val="20"/>
                <w:szCs w:val="20"/>
              </w:rPr>
            </w:pPr>
          </w:p>
        </w:tc>
        <w:tc>
          <w:tcPr>
            <w:tcW w:w="0" w:type="auto"/>
            <w:gridSpan w:val="3"/>
            <w:vAlign w:val="center"/>
            <w:hideMark/>
          </w:tcPr>
          <w:p w14:paraId="60C3D585" w14:textId="77777777" w:rsidR="00000000" w:rsidRDefault="00C1661D">
            <w:pPr>
              <w:spacing w:after="100"/>
              <w:rPr>
                <w:rFonts w:eastAsia="Times New Roman"/>
                <w:sz w:val="20"/>
                <w:szCs w:val="20"/>
              </w:rPr>
            </w:pPr>
          </w:p>
        </w:tc>
        <w:tc>
          <w:tcPr>
            <w:tcW w:w="0" w:type="auto"/>
            <w:gridSpan w:val="3"/>
            <w:vAlign w:val="center"/>
            <w:hideMark/>
          </w:tcPr>
          <w:p w14:paraId="53E32B41" w14:textId="77777777" w:rsidR="00000000" w:rsidRDefault="00C1661D">
            <w:pPr>
              <w:spacing w:after="100"/>
              <w:rPr>
                <w:rFonts w:eastAsia="Times New Roman"/>
                <w:sz w:val="20"/>
                <w:szCs w:val="20"/>
              </w:rPr>
            </w:pPr>
          </w:p>
        </w:tc>
      </w:tr>
      <w:tr w:rsidR="00000000" w14:paraId="7ED72316" w14:textId="77777777">
        <w:trPr>
          <w:jc w:val="center"/>
        </w:trPr>
        <w:tc>
          <w:tcPr>
            <w:tcW w:w="0" w:type="auto"/>
            <w:gridSpan w:val="3"/>
            <w:vAlign w:val="center"/>
            <w:hideMark/>
          </w:tcPr>
          <w:p w14:paraId="751DFA37" w14:textId="77777777" w:rsidR="00000000" w:rsidRDefault="00C1661D">
            <w:pPr>
              <w:spacing w:after="100"/>
              <w:rPr>
                <w:rFonts w:eastAsia="Times New Roman"/>
                <w:sz w:val="20"/>
                <w:szCs w:val="20"/>
              </w:rPr>
            </w:pPr>
          </w:p>
        </w:tc>
        <w:tc>
          <w:tcPr>
            <w:tcW w:w="0" w:type="auto"/>
            <w:gridSpan w:val="3"/>
            <w:vAlign w:val="center"/>
            <w:hideMark/>
          </w:tcPr>
          <w:p w14:paraId="1A150F10" w14:textId="77777777" w:rsidR="00000000" w:rsidRDefault="00C1661D">
            <w:pPr>
              <w:spacing w:after="100"/>
              <w:rPr>
                <w:rFonts w:eastAsia="Times New Roman"/>
                <w:sz w:val="20"/>
                <w:szCs w:val="20"/>
              </w:rPr>
            </w:pPr>
          </w:p>
        </w:tc>
        <w:tc>
          <w:tcPr>
            <w:tcW w:w="0" w:type="auto"/>
            <w:gridSpan w:val="3"/>
            <w:vAlign w:val="center"/>
            <w:hideMark/>
          </w:tcPr>
          <w:p w14:paraId="34EF8EB0" w14:textId="77777777" w:rsidR="00000000" w:rsidRDefault="00C1661D">
            <w:pPr>
              <w:spacing w:after="100"/>
              <w:rPr>
                <w:rFonts w:eastAsia="Times New Roman"/>
                <w:sz w:val="20"/>
                <w:szCs w:val="20"/>
              </w:rPr>
            </w:pPr>
          </w:p>
        </w:tc>
        <w:tc>
          <w:tcPr>
            <w:tcW w:w="0" w:type="auto"/>
            <w:gridSpan w:val="3"/>
            <w:vAlign w:val="center"/>
            <w:hideMark/>
          </w:tcPr>
          <w:p w14:paraId="6541C06A" w14:textId="77777777" w:rsidR="00000000" w:rsidRDefault="00C1661D">
            <w:pPr>
              <w:spacing w:after="100"/>
              <w:rPr>
                <w:rFonts w:eastAsia="Times New Roman"/>
                <w:sz w:val="20"/>
                <w:szCs w:val="20"/>
              </w:rPr>
            </w:pPr>
          </w:p>
        </w:tc>
        <w:tc>
          <w:tcPr>
            <w:tcW w:w="0" w:type="auto"/>
            <w:gridSpan w:val="3"/>
            <w:vAlign w:val="center"/>
            <w:hideMark/>
          </w:tcPr>
          <w:p w14:paraId="267F917A" w14:textId="77777777" w:rsidR="00000000" w:rsidRDefault="00C1661D">
            <w:pPr>
              <w:spacing w:after="100"/>
              <w:rPr>
                <w:rFonts w:eastAsia="Times New Roman"/>
                <w:sz w:val="20"/>
                <w:szCs w:val="20"/>
              </w:rPr>
            </w:pPr>
          </w:p>
        </w:tc>
        <w:tc>
          <w:tcPr>
            <w:tcW w:w="0" w:type="auto"/>
            <w:gridSpan w:val="3"/>
            <w:vAlign w:val="center"/>
            <w:hideMark/>
          </w:tcPr>
          <w:p w14:paraId="06FCCF8A" w14:textId="77777777" w:rsidR="00000000" w:rsidRDefault="00C1661D">
            <w:pPr>
              <w:spacing w:after="100"/>
              <w:rPr>
                <w:rFonts w:eastAsia="Times New Roman"/>
                <w:sz w:val="20"/>
                <w:szCs w:val="20"/>
              </w:rPr>
            </w:pPr>
          </w:p>
        </w:tc>
        <w:tc>
          <w:tcPr>
            <w:tcW w:w="0" w:type="auto"/>
            <w:gridSpan w:val="3"/>
            <w:vAlign w:val="center"/>
            <w:hideMark/>
          </w:tcPr>
          <w:p w14:paraId="2BB288EC" w14:textId="77777777" w:rsidR="00000000" w:rsidRDefault="00C1661D">
            <w:pPr>
              <w:spacing w:after="100"/>
              <w:rPr>
                <w:rFonts w:eastAsia="Times New Roman"/>
                <w:sz w:val="20"/>
                <w:szCs w:val="20"/>
              </w:rPr>
            </w:pPr>
          </w:p>
        </w:tc>
        <w:tc>
          <w:tcPr>
            <w:tcW w:w="0" w:type="auto"/>
            <w:gridSpan w:val="3"/>
            <w:vAlign w:val="center"/>
            <w:hideMark/>
          </w:tcPr>
          <w:p w14:paraId="7B3B8A84" w14:textId="77777777" w:rsidR="00000000" w:rsidRDefault="00C1661D">
            <w:pPr>
              <w:spacing w:after="100"/>
              <w:rPr>
                <w:rFonts w:eastAsia="Times New Roman"/>
                <w:sz w:val="20"/>
                <w:szCs w:val="20"/>
              </w:rPr>
            </w:pPr>
          </w:p>
        </w:tc>
        <w:tc>
          <w:tcPr>
            <w:tcW w:w="0" w:type="auto"/>
            <w:gridSpan w:val="3"/>
            <w:vAlign w:val="center"/>
            <w:hideMark/>
          </w:tcPr>
          <w:p w14:paraId="363DE06A" w14:textId="77777777" w:rsidR="00000000" w:rsidRDefault="00C1661D">
            <w:pPr>
              <w:spacing w:after="100"/>
              <w:rPr>
                <w:rFonts w:eastAsia="Times New Roman"/>
                <w:sz w:val="20"/>
                <w:szCs w:val="20"/>
              </w:rPr>
            </w:pPr>
          </w:p>
        </w:tc>
      </w:tr>
      <w:tr w:rsidR="00000000" w14:paraId="4EAE90C3" w14:textId="77777777">
        <w:trPr>
          <w:jc w:val="center"/>
        </w:trPr>
        <w:tc>
          <w:tcPr>
            <w:tcW w:w="0" w:type="auto"/>
            <w:gridSpan w:val="3"/>
            <w:vAlign w:val="center"/>
            <w:hideMark/>
          </w:tcPr>
          <w:p w14:paraId="1E6A085E" w14:textId="77777777" w:rsidR="00000000" w:rsidRDefault="00C1661D">
            <w:pPr>
              <w:spacing w:after="100"/>
              <w:rPr>
                <w:rFonts w:eastAsia="Times New Roman"/>
                <w:sz w:val="20"/>
                <w:szCs w:val="20"/>
              </w:rPr>
            </w:pPr>
          </w:p>
        </w:tc>
        <w:tc>
          <w:tcPr>
            <w:tcW w:w="0" w:type="auto"/>
            <w:gridSpan w:val="3"/>
            <w:vAlign w:val="center"/>
            <w:hideMark/>
          </w:tcPr>
          <w:p w14:paraId="64CFBDE9" w14:textId="77777777" w:rsidR="00000000" w:rsidRDefault="00C1661D">
            <w:pPr>
              <w:spacing w:after="100"/>
              <w:rPr>
                <w:rFonts w:eastAsia="Times New Roman"/>
                <w:sz w:val="20"/>
                <w:szCs w:val="20"/>
              </w:rPr>
            </w:pPr>
          </w:p>
        </w:tc>
        <w:tc>
          <w:tcPr>
            <w:tcW w:w="0" w:type="auto"/>
            <w:gridSpan w:val="3"/>
            <w:vAlign w:val="center"/>
            <w:hideMark/>
          </w:tcPr>
          <w:p w14:paraId="10B58397" w14:textId="77777777" w:rsidR="00000000" w:rsidRDefault="00C1661D">
            <w:pPr>
              <w:spacing w:after="100"/>
              <w:rPr>
                <w:rFonts w:eastAsia="Times New Roman"/>
                <w:sz w:val="20"/>
                <w:szCs w:val="20"/>
              </w:rPr>
            </w:pPr>
          </w:p>
        </w:tc>
        <w:tc>
          <w:tcPr>
            <w:tcW w:w="0" w:type="auto"/>
            <w:gridSpan w:val="3"/>
            <w:vAlign w:val="center"/>
            <w:hideMark/>
          </w:tcPr>
          <w:p w14:paraId="1E85F992" w14:textId="77777777" w:rsidR="00000000" w:rsidRDefault="00C1661D">
            <w:pPr>
              <w:spacing w:after="100"/>
              <w:rPr>
                <w:rFonts w:eastAsia="Times New Roman"/>
                <w:sz w:val="20"/>
                <w:szCs w:val="20"/>
              </w:rPr>
            </w:pPr>
          </w:p>
        </w:tc>
        <w:tc>
          <w:tcPr>
            <w:tcW w:w="0" w:type="auto"/>
            <w:gridSpan w:val="3"/>
            <w:vAlign w:val="center"/>
            <w:hideMark/>
          </w:tcPr>
          <w:p w14:paraId="14C414FB" w14:textId="77777777" w:rsidR="00000000" w:rsidRDefault="00C1661D">
            <w:pPr>
              <w:spacing w:after="100"/>
              <w:rPr>
                <w:rFonts w:eastAsia="Times New Roman"/>
                <w:sz w:val="20"/>
                <w:szCs w:val="20"/>
              </w:rPr>
            </w:pPr>
          </w:p>
        </w:tc>
        <w:tc>
          <w:tcPr>
            <w:tcW w:w="0" w:type="auto"/>
            <w:gridSpan w:val="3"/>
            <w:vAlign w:val="center"/>
            <w:hideMark/>
          </w:tcPr>
          <w:p w14:paraId="4165AAD7" w14:textId="77777777" w:rsidR="00000000" w:rsidRDefault="00C1661D">
            <w:pPr>
              <w:spacing w:after="100"/>
              <w:rPr>
                <w:rFonts w:eastAsia="Times New Roman"/>
                <w:sz w:val="20"/>
                <w:szCs w:val="20"/>
              </w:rPr>
            </w:pPr>
          </w:p>
        </w:tc>
        <w:tc>
          <w:tcPr>
            <w:tcW w:w="0" w:type="auto"/>
            <w:gridSpan w:val="3"/>
            <w:vAlign w:val="center"/>
            <w:hideMark/>
          </w:tcPr>
          <w:p w14:paraId="7457C2C8" w14:textId="77777777" w:rsidR="00000000" w:rsidRDefault="00C1661D">
            <w:pPr>
              <w:spacing w:after="100"/>
              <w:rPr>
                <w:rFonts w:eastAsia="Times New Roman"/>
                <w:sz w:val="20"/>
                <w:szCs w:val="20"/>
              </w:rPr>
            </w:pPr>
          </w:p>
        </w:tc>
        <w:tc>
          <w:tcPr>
            <w:tcW w:w="0" w:type="auto"/>
            <w:gridSpan w:val="3"/>
            <w:vAlign w:val="center"/>
            <w:hideMark/>
          </w:tcPr>
          <w:p w14:paraId="65D87A33" w14:textId="77777777" w:rsidR="00000000" w:rsidRDefault="00C1661D">
            <w:pPr>
              <w:spacing w:after="100"/>
              <w:rPr>
                <w:rFonts w:eastAsia="Times New Roman"/>
                <w:sz w:val="20"/>
                <w:szCs w:val="20"/>
              </w:rPr>
            </w:pPr>
          </w:p>
        </w:tc>
        <w:tc>
          <w:tcPr>
            <w:tcW w:w="0" w:type="auto"/>
            <w:gridSpan w:val="3"/>
            <w:vAlign w:val="center"/>
            <w:hideMark/>
          </w:tcPr>
          <w:p w14:paraId="3CD4E6FF" w14:textId="77777777" w:rsidR="00000000" w:rsidRDefault="00C1661D">
            <w:pPr>
              <w:spacing w:after="100"/>
              <w:rPr>
                <w:rFonts w:eastAsia="Times New Roman"/>
                <w:sz w:val="20"/>
                <w:szCs w:val="20"/>
              </w:rPr>
            </w:pPr>
          </w:p>
        </w:tc>
      </w:tr>
      <w:tr w:rsidR="00000000" w14:paraId="1C68F0E1" w14:textId="77777777">
        <w:trPr>
          <w:jc w:val="center"/>
        </w:trPr>
        <w:tc>
          <w:tcPr>
            <w:tcW w:w="0" w:type="auto"/>
            <w:gridSpan w:val="3"/>
            <w:shd w:val="clear" w:color="auto" w:fill="FFFFFF"/>
            <w:tcMar>
              <w:top w:w="30" w:type="dxa"/>
              <w:left w:w="155" w:type="dxa"/>
              <w:bottom w:w="30" w:type="dxa"/>
              <w:right w:w="20" w:type="dxa"/>
            </w:tcMar>
            <w:vAlign w:val="bottom"/>
            <w:hideMark/>
          </w:tcPr>
          <w:p w14:paraId="19F477A9" w14:textId="77777777" w:rsidR="00000000" w:rsidRDefault="00C1661D">
            <w:pPr>
              <w:spacing w:after="100"/>
              <w:rPr>
                <w:rFonts w:eastAsia="Times New Roman"/>
              </w:rPr>
            </w:pPr>
            <w:r>
              <w:rPr>
                <w:rFonts w:eastAsia="Times New Roman"/>
                <w:color w:val="000000"/>
                <w:sz w:val="20"/>
                <w:szCs w:val="20"/>
              </w:rPr>
              <w:t>Deferred tax assets valuation allowance</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529F5AAC" w14:textId="77777777" w:rsidR="00000000" w:rsidRDefault="00C1661D">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46664EE0" w14:textId="77777777" w:rsidR="00000000" w:rsidRDefault="00C1661D">
            <w:pPr>
              <w:spacing w:after="100"/>
              <w:jc w:val="right"/>
              <w:rPr>
                <w:rFonts w:eastAsia="Times New Roman"/>
              </w:rPr>
            </w:pPr>
            <w:r>
              <w:rPr>
                <w:rFonts w:eastAsia="Times New Roman"/>
                <w:color w:val="000000"/>
                <w:sz w:val="20"/>
                <w:szCs w:val="20"/>
              </w:rPr>
              <w:t>91 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5DECD1C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387012"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3045E5"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FF6367C" w14:textId="77777777" w:rsidR="00000000" w:rsidRDefault="00C1661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951A26" w14:textId="77777777" w:rsidR="00000000" w:rsidRDefault="00C1661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18FB3E" w14:textId="77777777" w:rsidR="00000000" w:rsidRDefault="00C1661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B6B78C1" w14:textId="77777777" w:rsidR="00000000" w:rsidRDefault="00C1661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5044813" w14:textId="77777777" w:rsidR="00000000" w:rsidRDefault="00C1661D">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204DD114"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45AAD60" w14:textId="77777777" w:rsidR="00000000" w:rsidRDefault="00C1661D">
            <w:pPr>
              <w:spacing w:after="100"/>
              <w:rPr>
                <w:rFonts w:eastAsia="Times New Roman"/>
              </w:rPr>
            </w:pPr>
            <w:r>
              <w:rPr>
                <w:rFonts w:eastAsia="Times New Roman"/>
                <w:color w:val="000000"/>
                <w:sz w:val="20"/>
                <w:szCs w:val="20"/>
              </w:rPr>
              <w:t>(2)</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05BA3629" w14:textId="77777777" w:rsidR="00000000" w:rsidRDefault="00C1661D">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53BC8727" w14:textId="77777777" w:rsidR="00000000" w:rsidRDefault="00C1661D">
            <w:pPr>
              <w:spacing w:after="100"/>
              <w:jc w:val="right"/>
              <w:rPr>
                <w:rFonts w:eastAsia="Times New Roman"/>
              </w:rPr>
            </w:pPr>
            <w:r>
              <w:rPr>
                <w:rFonts w:eastAsia="Times New Roman"/>
                <w:color w:val="000000"/>
                <w:sz w:val="20"/>
                <w:szCs w:val="20"/>
              </w:rPr>
              <w:t>105 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0299CF38" w14:textId="77777777" w:rsidR="00000000" w:rsidRDefault="00C1661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1AF47F8" w14:textId="77777777" w:rsidR="00000000" w:rsidRDefault="00C1661D">
            <w:pPr>
              <w:spacing w:after="100"/>
              <w:rPr>
                <w:rFonts w:eastAsia="Times New Roman"/>
              </w:rPr>
            </w:pPr>
            <w:r>
              <w:rPr>
                <w:rFonts w:eastAsia="Times New Roman"/>
                <w:color w:val="000000"/>
                <w:sz w:val="20"/>
                <w:szCs w:val="20"/>
              </w:rPr>
              <w:t> </w:t>
            </w:r>
          </w:p>
        </w:tc>
      </w:tr>
      <w:tr w:rsidR="00000000" w14:paraId="24CE953B" w14:textId="77777777">
        <w:trPr>
          <w:jc w:val="center"/>
        </w:trPr>
        <w:tc>
          <w:tcPr>
            <w:tcW w:w="0" w:type="auto"/>
            <w:gridSpan w:val="3"/>
            <w:vAlign w:val="center"/>
            <w:hideMark/>
          </w:tcPr>
          <w:p w14:paraId="00EDB4EB" w14:textId="77777777" w:rsidR="00000000" w:rsidRDefault="00C1661D">
            <w:pPr>
              <w:spacing w:after="100"/>
              <w:rPr>
                <w:rFonts w:eastAsia="Times New Roman"/>
              </w:rPr>
            </w:pPr>
          </w:p>
        </w:tc>
        <w:tc>
          <w:tcPr>
            <w:tcW w:w="0" w:type="auto"/>
            <w:gridSpan w:val="3"/>
            <w:vAlign w:val="center"/>
            <w:hideMark/>
          </w:tcPr>
          <w:p w14:paraId="3A42524B" w14:textId="77777777" w:rsidR="00000000" w:rsidRDefault="00C1661D">
            <w:pPr>
              <w:spacing w:after="100"/>
              <w:rPr>
                <w:rFonts w:eastAsia="Times New Roman"/>
                <w:sz w:val="20"/>
                <w:szCs w:val="20"/>
              </w:rPr>
            </w:pPr>
          </w:p>
        </w:tc>
        <w:tc>
          <w:tcPr>
            <w:tcW w:w="0" w:type="auto"/>
            <w:gridSpan w:val="3"/>
            <w:vAlign w:val="center"/>
            <w:hideMark/>
          </w:tcPr>
          <w:p w14:paraId="1D5BE68F" w14:textId="77777777" w:rsidR="00000000" w:rsidRDefault="00C1661D">
            <w:pPr>
              <w:spacing w:after="100"/>
              <w:rPr>
                <w:rFonts w:eastAsia="Times New Roman"/>
                <w:sz w:val="20"/>
                <w:szCs w:val="20"/>
              </w:rPr>
            </w:pPr>
          </w:p>
        </w:tc>
        <w:tc>
          <w:tcPr>
            <w:tcW w:w="0" w:type="auto"/>
            <w:gridSpan w:val="3"/>
            <w:vAlign w:val="center"/>
            <w:hideMark/>
          </w:tcPr>
          <w:p w14:paraId="69A8BCAF" w14:textId="77777777" w:rsidR="00000000" w:rsidRDefault="00C1661D">
            <w:pPr>
              <w:spacing w:after="100"/>
              <w:rPr>
                <w:rFonts w:eastAsia="Times New Roman"/>
                <w:sz w:val="20"/>
                <w:szCs w:val="20"/>
              </w:rPr>
            </w:pPr>
          </w:p>
        </w:tc>
        <w:tc>
          <w:tcPr>
            <w:tcW w:w="0" w:type="auto"/>
            <w:gridSpan w:val="3"/>
            <w:vAlign w:val="center"/>
            <w:hideMark/>
          </w:tcPr>
          <w:p w14:paraId="095B8362" w14:textId="77777777" w:rsidR="00000000" w:rsidRDefault="00C1661D">
            <w:pPr>
              <w:spacing w:after="100"/>
              <w:rPr>
                <w:rFonts w:eastAsia="Times New Roman"/>
                <w:sz w:val="20"/>
                <w:szCs w:val="20"/>
              </w:rPr>
            </w:pPr>
          </w:p>
        </w:tc>
        <w:tc>
          <w:tcPr>
            <w:tcW w:w="0" w:type="auto"/>
            <w:gridSpan w:val="3"/>
            <w:vAlign w:val="center"/>
            <w:hideMark/>
          </w:tcPr>
          <w:p w14:paraId="16CBF91B" w14:textId="77777777" w:rsidR="00000000" w:rsidRDefault="00C1661D">
            <w:pPr>
              <w:spacing w:after="100"/>
              <w:rPr>
                <w:rFonts w:eastAsia="Times New Roman"/>
                <w:sz w:val="20"/>
                <w:szCs w:val="20"/>
              </w:rPr>
            </w:pPr>
          </w:p>
        </w:tc>
        <w:tc>
          <w:tcPr>
            <w:tcW w:w="0" w:type="auto"/>
            <w:gridSpan w:val="3"/>
            <w:vAlign w:val="center"/>
            <w:hideMark/>
          </w:tcPr>
          <w:p w14:paraId="2A20449F" w14:textId="77777777" w:rsidR="00000000" w:rsidRDefault="00C1661D">
            <w:pPr>
              <w:spacing w:after="100"/>
              <w:rPr>
                <w:rFonts w:eastAsia="Times New Roman"/>
                <w:sz w:val="20"/>
                <w:szCs w:val="20"/>
              </w:rPr>
            </w:pPr>
          </w:p>
        </w:tc>
        <w:tc>
          <w:tcPr>
            <w:tcW w:w="0" w:type="auto"/>
            <w:gridSpan w:val="3"/>
            <w:vAlign w:val="center"/>
            <w:hideMark/>
          </w:tcPr>
          <w:p w14:paraId="32F54A00" w14:textId="77777777" w:rsidR="00000000" w:rsidRDefault="00C1661D">
            <w:pPr>
              <w:spacing w:after="100"/>
              <w:rPr>
                <w:rFonts w:eastAsia="Times New Roman"/>
                <w:sz w:val="20"/>
                <w:szCs w:val="20"/>
              </w:rPr>
            </w:pPr>
          </w:p>
        </w:tc>
        <w:tc>
          <w:tcPr>
            <w:tcW w:w="0" w:type="auto"/>
            <w:gridSpan w:val="3"/>
            <w:vAlign w:val="center"/>
            <w:hideMark/>
          </w:tcPr>
          <w:p w14:paraId="0724AB5C" w14:textId="77777777" w:rsidR="00000000" w:rsidRDefault="00C1661D">
            <w:pPr>
              <w:spacing w:after="100"/>
              <w:rPr>
                <w:rFonts w:eastAsia="Times New Roman"/>
                <w:sz w:val="20"/>
                <w:szCs w:val="20"/>
              </w:rPr>
            </w:pPr>
          </w:p>
        </w:tc>
      </w:tr>
      <w:tr w:rsidR="00000000" w14:paraId="73B373FE" w14:textId="77777777">
        <w:trPr>
          <w:jc w:val="center"/>
        </w:trPr>
        <w:tc>
          <w:tcPr>
            <w:tcW w:w="0" w:type="auto"/>
            <w:gridSpan w:val="3"/>
            <w:vAlign w:val="center"/>
            <w:hideMark/>
          </w:tcPr>
          <w:p w14:paraId="243FC3BD" w14:textId="77777777" w:rsidR="00000000" w:rsidRDefault="00C1661D">
            <w:pPr>
              <w:spacing w:after="100"/>
              <w:rPr>
                <w:rFonts w:eastAsia="Times New Roman"/>
                <w:sz w:val="20"/>
                <w:szCs w:val="20"/>
              </w:rPr>
            </w:pPr>
          </w:p>
        </w:tc>
        <w:tc>
          <w:tcPr>
            <w:tcW w:w="0" w:type="auto"/>
            <w:gridSpan w:val="3"/>
            <w:vAlign w:val="center"/>
            <w:hideMark/>
          </w:tcPr>
          <w:p w14:paraId="3D44F231" w14:textId="77777777" w:rsidR="00000000" w:rsidRDefault="00C1661D">
            <w:pPr>
              <w:spacing w:after="100"/>
              <w:rPr>
                <w:rFonts w:eastAsia="Times New Roman"/>
                <w:sz w:val="20"/>
                <w:szCs w:val="20"/>
              </w:rPr>
            </w:pPr>
          </w:p>
        </w:tc>
        <w:tc>
          <w:tcPr>
            <w:tcW w:w="0" w:type="auto"/>
            <w:gridSpan w:val="3"/>
            <w:vAlign w:val="center"/>
            <w:hideMark/>
          </w:tcPr>
          <w:p w14:paraId="190C150C" w14:textId="77777777" w:rsidR="00000000" w:rsidRDefault="00C1661D">
            <w:pPr>
              <w:spacing w:after="100"/>
              <w:rPr>
                <w:rFonts w:eastAsia="Times New Roman"/>
                <w:sz w:val="20"/>
                <w:szCs w:val="20"/>
              </w:rPr>
            </w:pPr>
          </w:p>
        </w:tc>
        <w:tc>
          <w:tcPr>
            <w:tcW w:w="0" w:type="auto"/>
            <w:gridSpan w:val="3"/>
            <w:vAlign w:val="center"/>
            <w:hideMark/>
          </w:tcPr>
          <w:p w14:paraId="7F903FA1" w14:textId="77777777" w:rsidR="00000000" w:rsidRDefault="00C1661D">
            <w:pPr>
              <w:spacing w:after="100"/>
              <w:rPr>
                <w:rFonts w:eastAsia="Times New Roman"/>
                <w:sz w:val="20"/>
                <w:szCs w:val="20"/>
              </w:rPr>
            </w:pPr>
          </w:p>
        </w:tc>
        <w:tc>
          <w:tcPr>
            <w:tcW w:w="0" w:type="auto"/>
            <w:gridSpan w:val="3"/>
            <w:vAlign w:val="center"/>
            <w:hideMark/>
          </w:tcPr>
          <w:p w14:paraId="5BE5EE42" w14:textId="77777777" w:rsidR="00000000" w:rsidRDefault="00C1661D">
            <w:pPr>
              <w:spacing w:after="100"/>
              <w:rPr>
                <w:rFonts w:eastAsia="Times New Roman"/>
                <w:sz w:val="20"/>
                <w:szCs w:val="20"/>
              </w:rPr>
            </w:pPr>
          </w:p>
        </w:tc>
        <w:tc>
          <w:tcPr>
            <w:tcW w:w="0" w:type="auto"/>
            <w:gridSpan w:val="3"/>
            <w:vAlign w:val="center"/>
            <w:hideMark/>
          </w:tcPr>
          <w:p w14:paraId="1EF25409" w14:textId="77777777" w:rsidR="00000000" w:rsidRDefault="00C1661D">
            <w:pPr>
              <w:spacing w:after="100"/>
              <w:rPr>
                <w:rFonts w:eastAsia="Times New Roman"/>
                <w:sz w:val="20"/>
                <w:szCs w:val="20"/>
              </w:rPr>
            </w:pPr>
          </w:p>
        </w:tc>
        <w:tc>
          <w:tcPr>
            <w:tcW w:w="0" w:type="auto"/>
            <w:gridSpan w:val="3"/>
            <w:vAlign w:val="center"/>
            <w:hideMark/>
          </w:tcPr>
          <w:p w14:paraId="518EB2FD" w14:textId="77777777" w:rsidR="00000000" w:rsidRDefault="00C1661D">
            <w:pPr>
              <w:spacing w:after="100"/>
              <w:rPr>
                <w:rFonts w:eastAsia="Times New Roman"/>
                <w:sz w:val="20"/>
                <w:szCs w:val="20"/>
              </w:rPr>
            </w:pPr>
          </w:p>
        </w:tc>
        <w:tc>
          <w:tcPr>
            <w:tcW w:w="0" w:type="auto"/>
            <w:gridSpan w:val="3"/>
            <w:vAlign w:val="center"/>
            <w:hideMark/>
          </w:tcPr>
          <w:p w14:paraId="6A7565F4" w14:textId="77777777" w:rsidR="00000000" w:rsidRDefault="00C1661D">
            <w:pPr>
              <w:spacing w:after="100"/>
              <w:rPr>
                <w:rFonts w:eastAsia="Times New Roman"/>
                <w:sz w:val="20"/>
                <w:szCs w:val="20"/>
              </w:rPr>
            </w:pPr>
          </w:p>
        </w:tc>
        <w:tc>
          <w:tcPr>
            <w:tcW w:w="0" w:type="auto"/>
            <w:gridSpan w:val="3"/>
            <w:vAlign w:val="center"/>
            <w:hideMark/>
          </w:tcPr>
          <w:p w14:paraId="34D53DDF" w14:textId="77777777" w:rsidR="00000000" w:rsidRDefault="00C1661D">
            <w:pPr>
              <w:spacing w:after="100"/>
              <w:rPr>
                <w:rFonts w:eastAsia="Times New Roman"/>
                <w:sz w:val="20"/>
                <w:szCs w:val="20"/>
              </w:rPr>
            </w:pPr>
          </w:p>
        </w:tc>
      </w:tr>
    </w:tbl>
    <w:p w14:paraId="4675CB43" w14:textId="77777777" w:rsidR="00000000" w:rsidRDefault="00C1661D">
      <w:pPr>
        <w:ind w:hanging="360"/>
        <w:jc w:val="both"/>
        <w:rPr>
          <w:rFonts w:eastAsia="Times New Roman"/>
        </w:rPr>
      </w:pPr>
      <w:r>
        <w:rPr>
          <w:rFonts w:eastAsia="Times New Roman"/>
          <w:color w:val="000000"/>
          <w:sz w:val="20"/>
          <w:szCs w:val="20"/>
        </w:rPr>
        <w:t>(1)Uncollectible accounts written off, net of recoveries.</w:t>
      </w:r>
    </w:p>
    <w:p w14:paraId="3003AA13" w14:textId="77777777" w:rsidR="00000000" w:rsidRDefault="00C1661D">
      <w:pPr>
        <w:ind w:hanging="360"/>
        <w:jc w:val="both"/>
        <w:rPr>
          <w:rFonts w:eastAsia="Times New Roman"/>
        </w:rPr>
      </w:pPr>
      <w:r>
        <w:rPr>
          <w:rFonts w:eastAsia="Times New Roman"/>
          <w:color w:val="000000"/>
          <w:sz w:val="20"/>
          <w:szCs w:val="20"/>
        </w:rPr>
        <w:t xml:space="preserve">(2)Primarily a notional interest deduction valuation </w:t>
      </w:r>
      <w:r>
        <w:rPr>
          <w:rFonts w:eastAsia="Times New Roman"/>
          <w:color w:val="000000"/>
          <w:sz w:val="20"/>
          <w:szCs w:val="20"/>
        </w:rPr>
        <w:t>allowance adjustment.</w:t>
      </w:r>
    </w:p>
    <w:p w14:paraId="17A0617D" w14:textId="77777777" w:rsidR="00000000" w:rsidRDefault="00C1661D">
      <w:pPr>
        <w:jc w:val="both"/>
        <w:divId w:val="1802966071"/>
        <w:rPr>
          <w:rFonts w:eastAsia="Times New Roman"/>
        </w:rPr>
      </w:pPr>
    </w:p>
    <w:p w14:paraId="7EC8AFEE" w14:textId="77777777" w:rsidR="00C1661D" w:rsidRDefault="00C1661D">
      <w:pPr>
        <w:jc w:val="center"/>
        <w:divId w:val="165747474"/>
        <w:rPr>
          <w:rFonts w:eastAsia="Times New Roman"/>
        </w:rPr>
      </w:pPr>
      <w:r>
        <w:rPr>
          <w:rFonts w:eastAsia="Times New Roman"/>
          <w:color w:val="000000"/>
          <w:sz w:val="20"/>
          <w:szCs w:val="20"/>
        </w:rPr>
        <w:t>S-4</w:t>
      </w:r>
    </w:p>
    <w:sectPr w:rsidR="00C1661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1661D"/>
    <w:rsid w:val="00C1661D"/>
  </w:rsids>
  <m:mathPr>
    <m:mathFont m:val="Cambria Math"/>
    <m:brkBin m:val="before"/>
    <m:brkBinSub m:val="--"/>
    <m:smallFrac m:val="0"/>
    <m:dispDef/>
    <m:lMargin m:val="0"/>
    <m:rMargin m:val="0"/>
    <m:defJc m:val="centerGroup"/>
    <m:wrapIndent m:val="1440"/>
    <m:intLim m:val="subSup"/>
    <m:naryLim m:val="undOvr"/>
  </m:mathPr>
  <w:attachedSchema w:val="http://www.xbrl.org/2003/iso4217"/>
  <w:attachedSchema w:val="http://www.xbrl.org/2009/utr"/>
  <w:attachedSchema w:val="http://fasb.org/srt/2022"/>
  <w:attachedSchema w:val="http://www.ugicorp.com/20220930"/>
  <w:attachedSchema w:val="http://www.w3.org/1999/xlink"/>
  <w:attachedSchema w:val="http://www.xbrl.org/inlineXBRL/transformation/2020-02-12"/>
  <w:attachedSchema w:val="http://www.xbrl.org/2003/linkbase"/>
  <w:attachedSchema w:val="http://www.xbrl.org/2003/instance"/>
  <w:attachedSchema w:val="http://www.xbrl.org/2013/inlineXBRL"/>
  <w:attachedSchema w:val="http://xbrl.org/2006/xbrldi"/>
  <w:attachedSchema w:val="http://www.sec.gov/inlineXBRL/transformation/2015-08-31"/>
  <w:attachedSchema w:val="http://xbrl.sec.gov/dei/2022"/>
  <w:attachedSchema w:val="http://xbrl.sec.gov/country/2022"/>
  <w:attachedSchema w:val="http://fasb.org/us-gaap/202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97B8D"/>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985">
      <w:marLeft w:val="0"/>
      <w:marRight w:val="0"/>
      <w:marTop w:val="200"/>
      <w:marBottom w:val="0"/>
      <w:divBdr>
        <w:top w:val="none" w:sz="0" w:space="0" w:color="auto"/>
        <w:left w:val="none" w:sz="0" w:space="0" w:color="auto"/>
        <w:bottom w:val="none" w:sz="0" w:space="0" w:color="auto"/>
        <w:right w:val="none" w:sz="0" w:space="0" w:color="auto"/>
      </w:divBdr>
    </w:div>
    <w:div w:id="2126775">
      <w:marLeft w:val="0"/>
      <w:marRight w:val="0"/>
      <w:marTop w:val="200"/>
      <w:marBottom w:val="0"/>
      <w:divBdr>
        <w:top w:val="none" w:sz="0" w:space="0" w:color="auto"/>
        <w:left w:val="none" w:sz="0" w:space="0" w:color="auto"/>
        <w:bottom w:val="none" w:sz="0" w:space="0" w:color="auto"/>
        <w:right w:val="none" w:sz="0" w:space="0" w:color="auto"/>
      </w:divBdr>
    </w:div>
    <w:div w:id="5597093">
      <w:marLeft w:val="0"/>
      <w:marRight w:val="0"/>
      <w:marTop w:val="200"/>
      <w:marBottom w:val="0"/>
      <w:divBdr>
        <w:top w:val="none" w:sz="0" w:space="0" w:color="auto"/>
        <w:left w:val="none" w:sz="0" w:space="0" w:color="auto"/>
        <w:bottom w:val="none" w:sz="0" w:space="0" w:color="auto"/>
        <w:right w:val="none" w:sz="0" w:space="0" w:color="auto"/>
      </w:divBdr>
    </w:div>
    <w:div w:id="7954267">
      <w:marLeft w:val="0"/>
      <w:marRight w:val="0"/>
      <w:marTop w:val="0"/>
      <w:marBottom w:val="0"/>
      <w:divBdr>
        <w:top w:val="none" w:sz="0" w:space="0" w:color="auto"/>
        <w:left w:val="none" w:sz="0" w:space="0" w:color="auto"/>
        <w:bottom w:val="none" w:sz="0" w:space="0" w:color="auto"/>
        <w:right w:val="none" w:sz="0" w:space="0" w:color="auto"/>
      </w:divBdr>
      <w:divsChild>
        <w:div w:id="2019311807">
          <w:marLeft w:val="0"/>
          <w:marRight w:val="0"/>
          <w:marTop w:val="0"/>
          <w:marBottom w:val="0"/>
          <w:divBdr>
            <w:top w:val="none" w:sz="0" w:space="0" w:color="auto"/>
            <w:left w:val="none" w:sz="0" w:space="0" w:color="auto"/>
            <w:bottom w:val="none" w:sz="0" w:space="0" w:color="auto"/>
            <w:right w:val="none" w:sz="0" w:space="0" w:color="auto"/>
          </w:divBdr>
        </w:div>
      </w:divsChild>
    </w:div>
    <w:div w:id="9381750">
      <w:marLeft w:val="0"/>
      <w:marRight w:val="0"/>
      <w:marTop w:val="0"/>
      <w:marBottom w:val="0"/>
      <w:divBdr>
        <w:top w:val="none" w:sz="0" w:space="0" w:color="auto"/>
        <w:left w:val="none" w:sz="0" w:space="0" w:color="auto"/>
        <w:bottom w:val="none" w:sz="0" w:space="0" w:color="auto"/>
        <w:right w:val="none" w:sz="0" w:space="0" w:color="auto"/>
      </w:divBdr>
      <w:divsChild>
        <w:div w:id="1850943784">
          <w:marLeft w:val="0"/>
          <w:marRight w:val="0"/>
          <w:marTop w:val="0"/>
          <w:marBottom w:val="0"/>
          <w:divBdr>
            <w:top w:val="none" w:sz="0" w:space="0" w:color="auto"/>
            <w:left w:val="none" w:sz="0" w:space="0" w:color="auto"/>
            <w:bottom w:val="none" w:sz="0" w:space="0" w:color="auto"/>
            <w:right w:val="none" w:sz="0" w:space="0" w:color="auto"/>
          </w:divBdr>
        </w:div>
      </w:divsChild>
    </w:div>
    <w:div w:id="11615865">
      <w:marLeft w:val="0"/>
      <w:marRight w:val="0"/>
      <w:marTop w:val="0"/>
      <w:marBottom w:val="0"/>
      <w:divBdr>
        <w:top w:val="none" w:sz="0" w:space="0" w:color="auto"/>
        <w:left w:val="none" w:sz="0" w:space="0" w:color="auto"/>
        <w:bottom w:val="none" w:sz="0" w:space="0" w:color="auto"/>
        <w:right w:val="none" w:sz="0" w:space="0" w:color="auto"/>
      </w:divBdr>
      <w:divsChild>
        <w:div w:id="1697194083">
          <w:marLeft w:val="0"/>
          <w:marRight w:val="0"/>
          <w:marTop w:val="0"/>
          <w:marBottom w:val="0"/>
          <w:divBdr>
            <w:top w:val="none" w:sz="0" w:space="0" w:color="auto"/>
            <w:left w:val="none" w:sz="0" w:space="0" w:color="auto"/>
            <w:bottom w:val="none" w:sz="0" w:space="0" w:color="auto"/>
            <w:right w:val="none" w:sz="0" w:space="0" w:color="auto"/>
          </w:divBdr>
        </w:div>
      </w:divsChild>
    </w:div>
    <w:div w:id="13965747">
      <w:marLeft w:val="0"/>
      <w:marRight w:val="0"/>
      <w:marTop w:val="200"/>
      <w:marBottom w:val="0"/>
      <w:divBdr>
        <w:top w:val="none" w:sz="0" w:space="0" w:color="auto"/>
        <w:left w:val="none" w:sz="0" w:space="0" w:color="auto"/>
        <w:bottom w:val="none" w:sz="0" w:space="0" w:color="auto"/>
        <w:right w:val="none" w:sz="0" w:space="0" w:color="auto"/>
      </w:divBdr>
    </w:div>
    <w:div w:id="24598975">
      <w:marLeft w:val="0"/>
      <w:marRight w:val="0"/>
      <w:marTop w:val="200"/>
      <w:marBottom w:val="0"/>
      <w:divBdr>
        <w:top w:val="none" w:sz="0" w:space="0" w:color="auto"/>
        <w:left w:val="none" w:sz="0" w:space="0" w:color="auto"/>
        <w:bottom w:val="none" w:sz="0" w:space="0" w:color="auto"/>
        <w:right w:val="none" w:sz="0" w:space="0" w:color="auto"/>
      </w:divBdr>
    </w:div>
    <w:div w:id="28770812">
      <w:marLeft w:val="0"/>
      <w:marRight w:val="0"/>
      <w:marTop w:val="0"/>
      <w:marBottom w:val="0"/>
      <w:divBdr>
        <w:top w:val="none" w:sz="0" w:space="0" w:color="auto"/>
        <w:left w:val="none" w:sz="0" w:space="0" w:color="auto"/>
        <w:bottom w:val="none" w:sz="0" w:space="0" w:color="auto"/>
        <w:right w:val="none" w:sz="0" w:space="0" w:color="auto"/>
      </w:divBdr>
      <w:divsChild>
        <w:div w:id="696202320">
          <w:marLeft w:val="0"/>
          <w:marRight w:val="0"/>
          <w:marTop w:val="0"/>
          <w:marBottom w:val="0"/>
          <w:divBdr>
            <w:top w:val="none" w:sz="0" w:space="0" w:color="auto"/>
            <w:left w:val="none" w:sz="0" w:space="0" w:color="auto"/>
            <w:bottom w:val="none" w:sz="0" w:space="0" w:color="auto"/>
            <w:right w:val="none" w:sz="0" w:space="0" w:color="auto"/>
          </w:divBdr>
        </w:div>
      </w:divsChild>
    </w:div>
    <w:div w:id="29041707">
      <w:marLeft w:val="0"/>
      <w:marRight w:val="0"/>
      <w:marTop w:val="0"/>
      <w:marBottom w:val="0"/>
      <w:divBdr>
        <w:top w:val="none" w:sz="0" w:space="0" w:color="auto"/>
        <w:left w:val="none" w:sz="0" w:space="0" w:color="auto"/>
        <w:bottom w:val="none" w:sz="0" w:space="0" w:color="auto"/>
        <w:right w:val="none" w:sz="0" w:space="0" w:color="auto"/>
      </w:divBdr>
    </w:div>
    <w:div w:id="29233883">
      <w:marLeft w:val="0"/>
      <w:marRight w:val="0"/>
      <w:marTop w:val="200"/>
      <w:marBottom w:val="0"/>
      <w:divBdr>
        <w:top w:val="none" w:sz="0" w:space="0" w:color="auto"/>
        <w:left w:val="none" w:sz="0" w:space="0" w:color="auto"/>
        <w:bottom w:val="none" w:sz="0" w:space="0" w:color="auto"/>
        <w:right w:val="none" w:sz="0" w:space="0" w:color="auto"/>
      </w:divBdr>
    </w:div>
    <w:div w:id="42795209">
      <w:marLeft w:val="0"/>
      <w:marRight w:val="0"/>
      <w:marTop w:val="0"/>
      <w:marBottom w:val="0"/>
      <w:divBdr>
        <w:top w:val="none" w:sz="0" w:space="0" w:color="auto"/>
        <w:left w:val="none" w:sz="0" w:space="0" w:color="auto"/>
        <w:bottom w:val="none" w:sz="0" w:space="0" w:color="auto"/>
        <w:right w:val="none" w:sz="0" w:space="0" w:color="auto"/>
      </w:divBdr>
    </w:div>
    <w:div w:id="45490052">
      <w:marLeft w:val="0"/>
      <w:marRight w:val="0"/>
      <w:marTop w:val="40"/>
      <w:marBottom w:val="0"/>
      <w:divBdr>
        <w:top w:val="none" w:sz="0" w:space="0" w:color="auto"/>
        <w:left w:val="none" w:sz="0" w:space="0" w:color="auto"/>
        <w:bottom w:val="none" w:sz="0" w:space="0" w:color="auto"/>
        <w:right w:val="none" w:sz="0" w:space="0" w:color="auto"/>
      </w:divBdr>
    </w:div>
    <w:div w:id="45490891">
      <w:marLeft w:val="0"/>
      <w:marRight w:val="0"/>
      <w:marTop w:val="0"/>
      <w:marBottom w:val="0"/>
      <w:divBdr>
        <w:top w:val="none" w:sz="0" w:space="0" w:color="auto"/>
        <w:left w:val="none" w:sz="0" w:space="0" w:color="auto"/>
        <w:bottom w:val="none" w:sz="0" w:space="0" w:color="auto"/>
        <w:right w:val="none" w:sz="0" w:space="0" w:color="auto"/>
      </w:divBdr>
      <w:divsChild>
        <w:div w:id="1025985778">
          <w:marLeft w:val="0"/>
          <w:marRight w:val="0"/>
          <w:marTop w:val="0"/>
          <w:marBottom w:val="0"/>
          <w:divBdr>
            <w:top w:val="none" w:sz="0" w:space="0" w:color="auto"/>
            <w:left w:val="none" w:sz="0" w:space="0" w:color="auto"/>
            <w:bottom w:val="none" w:sz="0" w:space="0" w:color="auto"/>
            <w:right w:val="none" w:sz="0" w:space="0" w:color="auto"/>
          </w:divBdr>
        </w:div>
      </w:divsChild>
    </w:div>
    <w:div w:id="46685424">
      <w:marLeft w:val="0"/>
      <w:marRight w:val="0"/>
      <w:marTop w:val="0"/>
      <w:marBottom w:val="0"/>
      <w:divBdr>
        <w:top w:val="none" w:sz="0" w:space="0" w:color="auto"/>
        <w:left w:val="none" w:sz="0" w:space="0" w:color="auto"/>
        <w:bottom w:val="none" w:sz="0" w:space="0" w:color="auto"/>
        <w:right w:val="none" w:sz="0" w:space="0" w:color="auto"/>
      </w:divBdr>
      <w:divsChild>
        <w:div w:id="1102264911">
          <w:marLeft w:val="0"/>
          <w:marRight w:val="0"/>
          <w:marTop w:val="0"/>
          <w:marBottom w:val="0"/>
          <w:divBdr>
            <w:top w:val="none" w:sz="0" w:space="0" w:color="auto"/>
            <w:left w:val="none" w:sz="0" w:space="0" w:color="auto"/>
            <w:bottom w:val="none" w:sz="0" w:space="0" w:color="auto"/>
            <w:right w:val="none" w:sz="0" w:space="0" w:color="auto"/>
          </w:divBdr>
        </w:div>
      </w:divsChild>
    </w:div>
    <w:div w:id="46731103">
      <w:marLeft w:val="0"/>
      <w:marRight w:val="0"/>
      <w:marTop w:val="100"/>
      <w:marBottom w:val="0"/>
      <w:divBdr>
        <w:top w:val="none" w:sz="0" w:space="0" w:color="auto"/>
        <w:left w:val="none" w:sz="0" w:space="0" w:color="auto"/>
        <w:bottom w:val="none" w:sz="0" w:space="0" w:color="auto"/>
        <w:right w:val="none" w:sz="0" w:space="0" w:color="auto"/>
      </w:divBdr>
    </w:div>
    <w:div w:id="50274443">
      <w:marLeft w:val="0"/>
      <w:marRight w:val="0"/>
      <w:marTop w:val="0"/>
      <w:marBottom w:val="0"/>
      <w:divBdr>
        <w:top w:val="none" w:sz="0" w:space="0" w:color="auto"/>
        <w:left w:val="none" w:sz="0" w:space="0" w:color="auto"/>
        <w:bottom w:val="none" w:sz="0" w:space="0" w:color="auto"/>
        <w:right w:val="none" w:sz="0" w:space="0" w:color="auto"/>
      </w:divBdr>
    </w:div>
    <w:div w:id="50275474">
      <w:marLeft w:val="0"/>
      <w:marRight w:val="0"/>
      <w:marTop w:val="0"/>
      <w:marBottom w:val="0"/>
      <w:divBdr>
        <w:top w:val="none" w:sz="0" w:space="0" w:color="auto"/>
        <w:left w:val="none" w:sz="0" w:space="0" w:color="auto"/>
        <w:bottom w:val="none" w:sz="0" w:space="0" w:color="auto"/>
        <w:right w:val="none" w:sz="0" w:space="0" w:color="auto"/>
      </w:divBdr>
      <w:divsChild>
        <w:div w:id="1885292335">
          <w:marLeft w:val="0"/>
          <w:marRight w:val="0"/>
          <w:marTop w:val="0"/>
          <w:marBottom w:val="0"/>
          <w:divBdr>
            <w:top w:val="none" w:sz="0" w:space="0" w:color="auto"/>
            <w:left w:val="none" w:sz="0" w:space="0" w:color="auto"/>
            <w:bottom w:val="none" w:sz="0" w:space="0" w:color="auto"/>
            <w:right w:val="none" w:sz="0" w:space="0" w:color="auto"/>
          </w:divBdr>
        </w:div>
      </w:divsChild>
    </w:div>
    <w:div w:id="52513140">
      <w:marLeft w:val="0"/>
      <w:marRight w:val="0"/>
      <w:marTop w:val="0"/>
      <w:marBottom w:val="0"/>
      <w:divBdr>
        <w:top w:val="none" w:sz="0" w:space="0" w:color="auto"/>
        <w:left w:val="none" w:sz="0" w:space="0" w:color="auto"/>
        <w:bottom w:val="none" w:sz="0" w:space="0" w:color="auto"/>
        <w:right w:val="none" w:sz="0" w:space="0" w:color="auto"/>
      </w:divBdr>
      <w:divsChild>
        <w:div w:id="1354266429">
          <w:marLeft w:val="0"/>
          <w:marRight w:val="0"/>
          <w:marTop w:val="0"/>
          <w:marBottom w:val="0"/>
          <w:divBdr>
            <w:top w:val="none" w:sz="0" w:space="0" w:color="auto"/>
            <w:left w:val="none" w:sz="0" w:space="0" w:color="auto"/>
            <w:bottom w:val="none" w:sz="0" w:space="0" w:color="auto"/>
            <w:right w:val="none" w:sz="0" w:space="0" w:color="auto"/>
          </w:divBdr>
        </w:div>
      </w:divsChild>
    </w:div>
    <w:div w:id="53284335">
      <w:marLeft w:val="0"/>
      <w:marRight w:val="0"/>
      <w:marTop w:val="0"/>
      <w:marBottom w:val="0"/>
      <w:divBdr>
        <w:top w:val="none" w:sz="0" w:space="0" w:color="auto"/>
        <w:left w:val="none" w:sz="0" w:space="0" w:color="auto"/>
        <w:bottom w:val="none" w:sz="0" w:space="0" w:color="auto"/>
        <w:right w:val="none" w:sz="0" w:space="0" w:color="auto"/>
      </w:divBdr>
      <w:divsChild>
        <w:div w:id="1118839840">
          <w:marLeft w:val="0"/>
          <w:marRight w:val="0"/>
          <w:marTop w:val="0"/>
          <w:marBottom w:val="0"/>
          <w:divBdr>
            <w:top w:val="none" w:sz="0" w:space="0" w:color="auto"/>
            <w:left w:val="none" w:sz="0" w:space="0" w:color="auto"/>
            <w:bottom w:val="none" w:sz="0" w:space="0" w:color="auto"/>
            <w:right w:val="none" w:sz="0" w:space="0" w:color="auto"/>
          </w:divBdr>
        </w:div>
      </w:divsChild>
    </w:div>
    <w:div w:id="55982866">
      <w:marLeft w:val="0"/>
      <w:marRight w:val="0"/>
      <w:marTop w:val="200"/>
      <w:marBottom w:val="0"/>
      <w:divBdr>
        <w:top w:val="none" w:sz="0" w:space="0" w:color="auto"/>
        <w:left w:val="none" w:sz="0" w:space="0" w:color="auto"/>
        <w:bottom w:val="none" w:sz="0" w:space="0" w:color="auto"/>
        <w:right w:val="none" w:sz="0" w:space="0" w:color="auto"/>
      </w:divBdr>
    </w:div>
    <w:div w:id="58408470">
      <w:marLeft w:val="0"/>
      <w:marRight w:val="0"/>
      <w:marTop w:val="0"/>
      <w:marBottom w:val="0"/>
      <w:divBdr>
        <w:top w:val="none" w:sz="0" w:space="0" w:color="auto"/>
        <w:left w:val="none" w:sz="0" w:space="0" w:color="auto"/>
        <w:bottom w:val="none" w:sz="0" w:space="0" w:color="auto"/>
        <w:right w:val="none" w:sz="0" w:space="0" w:color="auto"/>
      </w:divBdr>
    </w:div>
    <w:div w:id="58944068">
      <w:marLeft w:val="0"/>
      <w:marRight w:val="0"/>
      <w:marTop w:val="0"/>
      <w:marBottom w:val="0"/>
      <w:divBdr>
        <w:top w:val="none" w:sz="0" w:space="0" w:color="auto"/>
        <w:left w:val="none" w:sz="0" w:space="0" w:color="auto"/>
        <w:bottom w:val="none" w:sz="0" w:space="0" w:color="auto"/>
        <w:right w:val="none" w:sz="0" w:space="0" w:color="auto"/>
      </w:divBdr>
    </w:div>
    <w:div w:id="61022658">
      <w:marLeft w:val="0"/>
      <w:marRight w:val="0"/>
      <w:marTop w:val="0"/>
      <w:marBottom w:val="0"/>
      <w:divBdr>
        <w:top w:val="none" w:sz="0" w:space="0" w:color="auto"/>
        <w:left w:val="none" w:sz="0" w:space="0" w:color="auto"/>
        <w:bottom w:val="none" w:sz="0" w:space="0" w:color="auto"/>
        <w:right w:val="none" w:sz="0" w:space="0" w:color="auto"/>
      </w:divBdr>
      <w:divsChild>
        <w:div w:id="2019848613">
          <w:marLeft w:val="0"/>
          <w:marRight w:val="0"/>
          <w:marTop w:val="0"/>
          <w:marBottom w:val="0"/>
          <w:divBdr>
            <w:top w:val="none" w:sz="0" w:space="0" w:color="auto"/>
            <w:left w:val="none" w:sz="0" w:space="0" w:color="auto"/>
            <w:bottom w:val="none" w:sz="0" w:space="0" w:color="auto"/>
            <w:right w:val="none" w:sz="0" w:space="0" w:color="auto"/>
          </w:divBdr>
        </w:div>
      </w:divsChild>
    </w:div>
    <w:div w:id="63067477">
      <w:marLeft w:val="0"/>
      <w:marRight w:val="0"/>
      <w:marTop w:val="0"/>
      <w:marBottom w:val="0"/>
      <w:divBdr>
        <w:top w:val="none" w:sz="0" w:space="0" w:color="auto"/>
        <w:left w:val="none" w:sz="0" w:space="0" w:color="auto"/>
        <w:bottom w:val="none" w:sz="0" w:space="0" w:color="auto"/>
        <w:right w:val="none" w:sz="0" w:space="0" w:color="auto"/>
      </w:divBdr>
    </w:div>
    <w:div w:id="68160208">
      <w:marLeft w:val="0"/>
      <w:marRight w:val="0"/>
      <w:marTop w:val="0"/>
      <w:marBottom w:val="0"/>
      <w:divBdr>
        <w:top w:val="none" w:sz="0" w:space="0" w:color="auto"/>
        <w:left w:val="none" w:sz="0" w:space="0" w:color="auto"/>
        <w:bottom w:val="none" w:sz="0" w:space="0" w:color="auto"/>
        <w:right w:val="none" w:sz="0" w:space="0" w:color="auto"/>
      </w:divBdr>
    </w:div>
    <w:div w:id="73204621">
      <w:marLeft w:val="0"/>
      <w:marRight w:val="0"/>
      <w:marTop w:val="200"/>
      <w:marBottom w:val="0"/>
      <w:divBdr>
        <w:top w:val="none" w:sz="0" w:space="0" w:color="auto"/>
        <w:left w:val="none" w:sz="0" w:space="0" w:color="auto"/>
        <w:bottom w:val="none" w:sz="0" w:space="0" w:color="auto"/>
        <w:right w:val="none" w:sz="0" w:space="0" w:color="auto"/>
      </w:divBdr>
    </w:div>
    <w:div w:id="74282453">
      <w:marLeft w:val="0"/>
      <w:marRight w:val="0"/>
      <w:marTop w:val="60"/>
      <w:marBottom w:val="0"/>
      <w:divBdr>
        <w:top w:val="none" w:sz="0" w:space="0" w:color="auto"/>
        <w:left w:val="none" w:sz="0" w:space="0" w:color="auto"/>
        <w:bottom w:val="none" w:sz="0" w:space="0" w:color="auto"/>
        <w:right w:val="none" w:sz="0" w:space="0" w:color="auto"/>
      </w:divBdr>
    </w:div>
    <w:div w:id="79832064">
      <w:marLeft w:val="0"/>
      <w:marRight w:val="0"/>
      <w:marTop w:val="0"/>
      <w:marBottom w:val="0"/>
      <w:divBdr>
        <w:top w:val="none" w:sz="0" w:space="0" w:color="auto"/>
        <w:left w:val="none" w:sz="0" w:space="0" w:color="auto"/>
        <w:bottom w:val="none" w:sz="0" w:space="0" w:color="auto"/>
        <w:right w:val="none" w:sz="0" w:space="0" w:color="auto"/>
      </w:divBdr>
      <w:divsChild>
        <w:div w:id="1152140920">
          <w:marLeft w:val="0"/>
          <w:marRight w:val="0"/>
          <w:marTop w:val="0"/>
          <w:marBottom w:val="0"/>
          <w:divBdr>
            <w:top w:val="none" w:sz="0" w:space="0" w:color="auto"/>
            <w:left w:val="none" w:sz="0" w:space="0" w:color="auto"/>
            <w:bottom w:val="none" w:sz="0" w:space="0" w:color="auto"/>
            <w:right w:val="none" w:sz="0" w:space="0" w:color="auto"/>
          </w:divBdr>
        </w:div>
      </w:divsChild>
    </w:div>
    <w:div w:id="82142921">
      <w:marLeft w:val="0"/>
      <w:marRight w:val="0"/>
      <w:marTop w:val="0"/>
      <w:marBottom w:val="0"/>
      <w:divBdr>
        <w:top w:val="none" w:sz="0" w:space="0" w:color="auto"/>
        <w:left w:val="none" w:sz="0" w:space="0" w:color="auto"/>
        <w:bottom w:val="none" w:sz="0" w:space="0" w:color="auto"/>
        <w:right w:val="none" w:sz="0" w:space="0" w:color="auto"/>
      </w:divBdr>
    </w:div>
    <w:div w:id="83578635">
      <w:marLeft w:val="0"/>
      <w:marRight w:val="0"/>
      <w:marTop w:val="200"/>
      <w:marBottom w:val="0"/>
      <w:divBdr>
        <w:top w:val="none" w:sz="0" w:space="0" w:color="auto"/>
        <w:left w:val="none" w:sz="0" w:space="0" w:color="auto"/>
        <w:bottom w:val="none" w:sz="0" w:space="0" w:color="auto"/>
        <w:right w:val="none" w:sz="0" w:space="0" w:color="auto"/>
      </w:divBdr>
    </w:div>
    <w:div w:id="83887846">
      <w:marLeft w:val="0"/>
      <w:marRight w:val="0"/>
      <w:marTop w:val="200"/>
      <w:marBottom w:val="0"/>
      <w:divBdr>
        <w:top w:val="none" w:sz="0" w:space="0" w:color="auto"/>
        <w:left w:val="none" w:sz="0" w:space="0" w:color="auto"/>
        <w:bottom w:val="none" w:sz="0" w:space="0" w:color="auto"/>
        <w:right w:val="none" w:sz="0" w:space="0" w:color="auto"/>
      </w:divBdr>
    </w:div>
    <w:div w:id="85617078">
      <w:marLeft w:val="0"/>
      <w:marRight w:val="0"/>
      <w:marTop w:val="200"/>
      <w:marBottom w:val="0"/>
      <w:divBdr>
        <w:top w:val="none" w:sz="0" w:space="0" w:color="auto"/>
        <w:left w:val="none" w:sz="0" w:space="0" w:color="auto"/>
        <w:bottom w:val="none" w:sz="0" w:space="0" w:color="auto"/>
        <w:right w:val="none" w:sz="0" w:space="0" w:color="auto"/>
      </w:divBdr>
    </w:div>
    <w:div w:id="93022200">
      <w:marLeft w:val="0"/>
      <w:marRight w:val="0"/>
      <w:marTop w:val="280"/>
      <w:marBottom w:val="0"/>
      <w:divBdr>
        <w:top w:val="none" w:sz="0" w:space="0" w:color="auto"/>
        <w:left w:val="none" w:sz="0" w:space="0" w:color="auto"/>
        <w:bottom w:val="none" w:sz="0" w:space="0" w:color="auto"/>
        <w:right w:val="none" w:sz="0" w:space="0" w:color="auto"/>
      </w:divBdr>
    </w:div>
    <w:div w:id="94059792">
      <w:marLeft w:val="0"/>
      <w:marRight w:val="0"/>
      <w:marTop w:val="200"/>
      <w:marBottom w:val="0"/>
      <w:divBdr>
        <w:top w:val="none" w:sz="0" w:space="0" w:color="auto"/>
        <w:left w:val="none" w:sz="0" w:space="0" w:color="auto"/>
        <w:bottom w:val="none" w:sz="0" w:space="0" w:color="auto"/>
        <w:right w:val="none" w:sz="0" w:space="0" w:color="auto"/>
      </w:divBdr>
    </w:div>
    <w:div w:id="96290913">
      <w:marLeft w:val="0"/>
      <w:marRight w:val="0"/>
      <w:marTop w:val="0"/>
      <w:marBottom w:val="0"/>
      <w:divBdr>
        <w:top w:val="none" w:sz="0" w:space="0" w:color="auto"/>
        <w:left w:val="none" w:sz="0" w:space="0" w:color="auto"/>
        <w:bottom w:val="none" w:sz="0" w:space="0" w:color="auto"/>
        <w:right w:val="none" w:sz="0" w:space="0" w:color="auto"/>
      </w:divBdr>
      <w:divsChild>
        <w:div w:id="1314063069">
          <w:marLeft w:val="0"/>
          <w:marRight w:val="0"/>
          <w:marTop w:val="0"/>
          <w:marBottom w:val="0"/>
          <w:divBdr>
            <w:top w:val="none" w:sz="0" w:space="0" w:color="auto"/>
            <w:left w:val="none" w:sz="0" w:space="0" w:color="auto"/>
            <w:bottom w:val="none" w:sz="0" w:space="0" w:color="auto"/>
            <w:right w:val="none" w:sz="0" w:space="0" w:color="auto"/>
          </w:divBdr>
        </w:div>
        <w:div w:id="1947494067">
          <w:marLeft w:val="0"/>
          <w:marRight w:val="0"/>
          <w:marTop w:val="0"/>
          <w:marBottom w:val="0"/>
          <w:divBdr>
            <w:top w:val="none" w:sz="0" w:space="0" w:color="auto"/>
            <w:left w:val="none" w:sz="0" w:space="0" w:color="auto"/>
            <w:bottom w:val="none" w:sz="0" w:space="0" w:color="auto"/>
            <w:right w:val="none" w:sz="0" w:space="0" w:color="auto"/>
          </w:divBdr>
        </w:div>
        <w:div w:id="163864762">
          <w:marLeft w:val="0"/>
          <w:marRight w:val="0"/>
          <w:marTop w:val="0"/>
          <w:marBottom w:val="0"/>
          <w:divBdr>
            <w:top w:val="none" w:sz="0" w:space="0" w:color="auto"/>
            <w:left w:val="none" w:sz="0" w:space="0" w:color="auto"/>
            <w:bottom w:val="none" w:sz="0" w:space="0" w:color="auto"/>
            <w:right w:val="none" w:sz="0" w:space="0" w:color="auto"/>
          </w:divBdr>
        </w:div>
        <w:div w:id="1500579063">
          <w:marLeft w:val="0"/>
          <w:marRight w:val="0"/>
          <w:marTop w:val="0"/>
          <w:marBottom w:val="0"/>
          <w:divBdr>
            <w:top w:val="none" w:sz="0" w:space="0" w:color="auto"/>
            <w:left w:val="none" w:sz="0" w:space="0" w:color="auto"/>
            <w:bottom w:val="none" w:sz="0" w:space="0" w:color="auto"/>
            <w:right w:val="none" w:sz="0" w:space="0" w:color="auto"/>
          </w:divBdr>
        </w:div>
      </w:divsChild>
    </w:div>
    <w:div w:id="96366064">
      <w:marLeft w:val="0"/>
      <w:marRight w:val="0"/>
      <w:marTop w:val="0"/>
      <w:marBottom w:val="0"/>
      <w:divBdr>
        <w:top w:val="none" w:sz="0" w:space="0" w:color="auto"/>
        <w:left w:val="none" w:sz="0" w:space="0" w:color="auto"/>
        <w:bottom w:val="none" w:sz="0" w:space="0" w:color="auto"/>
        <w:right w:val="none" w:sz="0" w:space="0" w:color="auto"/>
      </w:divBdr>
    </w:div>
    <w:div w:id="100344817">
      <w:marLeft w:val="0"/>
      <w:marRight w:val="0"/>
      <w:marTop w:val="0"/>
      <w:marBottom w:val="0"/>
      <w:divBdr>
        <w:top w:val="none" w:sz="0" w:space="0" w:color="auto"/>
        <w:left w:val="none" w:sz="0" w:space="0" w:color="auto"/>
        <w:bottom w:val="none" w:sz="0" w:space="0" w:color="auto"/>
        <w:right w:val="none" w:sz="0" w:space="0" w:color="auto"/>
      </w:divBdr>
      <w:divsChild>
        <w:div w:id="816995968">
          <w:marLeft w:val="0"/>
          <w:marRight w:val="0"/>
          <w:marTop w:val="0"/>
          <w:marBottom w:val="0"/>
          <w:divBdr>
            <w:top w:val="none" w:sz="0" w:space="0" w:color="auto"/>
            <w:left w:val="none" w:sz="0" w:space="0" w:color="auto"/>
            <w:bottom w:val="none" w:sz="0" w:space="0" w:color="auto"/>
            <w:right w:val="none" w:sz="0" w:space="0" w:color="auto"/>
          </w:divBdr>
        </w:div>
      </w:divsChild>
    </w:div>
    <w:div w:id="101926771">
      <w:marLeft w:val="0"/>
      <w:marRight w:val="0"/>
      <w:marTop w:val="180"/>
      <w:marBottom w:val="0"/>
      <w:divBdr>
        <w:top w:val="none" w:sz="0" w:space="0" w:color="auto"/>
        <w:left w:val="none" w:sz="0" w:space="0" w:color="auto"/>
        <w:bottom w:val="none" w:sz="0" w:space="0" w:color="auto"/>
        <w:right w:val="none" w:sz="0" w:space="0" w:color="auto"/>
      </w:divBdr>
    </w:div>
    <w:div w:id="106241925">
      <w:marLeft w:val="0"/>
      <w:marRight w:val="0"/>
      <w:marTop w:val="200"/>
      <w:marBottom w:val="0"/>
      <w:divBdr>
        <w:top w:val="none" w:sz="0" w:space="0" w:color="auto"/>
        <w:left w:val="none" w:sz="0" w:space="0" w:color="auto"/>
        <w:bottom w:val="none" w:sz="0" w:space="0" w:color="auto"/>
        <w:right w:val="none" w:sz="0" w:space="0" w:color="auto"/>
      </w:divBdr>
    </w:div>
    <w:div w:id="106587180">
      <w:marLeft w:val="0"/>
      <w:marRight w:val="0"/>
      <w:marTop w:val="200"/>
      <w:marBottom w:val="0"/>
      <w:divBdr>
        <w:top w:val="none" w:sz="0" w:space="0" w:color="auto"/>
        <w:left w:val="none" w:sz="0" w:space="0" w:color="auto"/>
        <w:bottom w:val="none" w:sz="0" w:space="0" w:color="auto"/>
        <w:right w:val="none" w:sz="0" w:space="0" w:color="auto"/>
      </w:divBdr>
    </w:div>
    <w:div w:id="107965885">
      <w:marLeft w:val="0"/>
      <w:marRight w:val="0"/>
      <w:marTop w:val="0"/>
      <w:marBottom w:val="0"/>
      <w:divBdr>
        <w:top w:val="none" w:sz="0" w:space="0" w:color="auto"/>
        <w:left w:val="none" w:sz="0" w:space="0" w:color="auto"/>
        <w:bottom w:val="none" w:sz="0" w:space="0" w:color="auto"/>
        <w:right w:val="none" w:sz="0" w:space="0" w:color="auto"/>
      </w:divBdr>
      <w:divsChild>
        <w:div w:id="630790598">
          <w:marLeft w:val="0"/>
          <w:marRight w:val="0"/>
          <w:marTop w:val="0"/>
          <w:marBottom w:val="0"/>
          <w:divBdr>
            <w:top w:val="none" w:sz="0" w:space="0" w:color="auto"/>
            <w:left w:val="none" w:sz="0" w:space="0" w:color="auto"/>
            <w:bottom w:val="none" w:sz="0" w:space="0" w:color="auto"/>
            <w:right w:val="none" w:sz="0" w:space="0" w:color="auto"/>
          </w:divBdr>
        </w:div>
      </w:divsChild>
    </w:div>
    <w:div w:id="109056734">
      <w:marLeft w:val="0"/>
      <w:marRight w:val="0"/>
      <w:marTop w:val="0"/>
      <w:marBottom w:val="0"/>
      <w:divBdr>
        <w:top w:val="none" w:sz="0" w:space="0" w:color="auto"/>
        <w:left w:val="none" w:sz="0" w:space="0" w:color="auto"/>
        <w:bottom w:val="none" w:sz="0" w:space="0" w:color="auto"/>
        <w:right w:val="none" w:sz="0" w:space="0" w:color="auto"/>
      </w:divBdr>
    </w:div>
    <w:div w:id="110784014">
      <w:marLeft w:val="0"/>
      <w:marRight w:val="0"/>
      <w:marTop w:val="120"/>
      <w:marBottom w:val="0"/>
      <w:divBdr>
        <w:top w:val="none" w:sz="0" w:space="0" w:color="auto"/>
        <w:left w:val="none" w:sz="0" w:space="0" w:color="auto"/>
        <w:bottom w:val="none" w:sz="0" w:space="0" w:color="auto"/>
        <w:right w:val="none" w:sz="0" w:space="0" w:color="auto"/>
      </w:divBdr>
    </w:div>
    <w:div w:id="110904699">
      <w:marLeft w:val="0"/>
      <w:marRight w:val="0"/>
      <w:marTop w:val="0"/>
      <w:marBottom w:val="0"/>
      <w:divBdr>
        <w:top w:val="none" w:sz="0" w:space="0" w:color="auto"/>
        <w:left w:val="none" w:sz="0" w:space="0" w:color="auto"/>
        <w:bottom w:val="none" w:sz="0" w:space="0" w:color="auto"/>
        <w:right w:val="none" w:sz="0" w:space="0" w:color="auto"/>
      </w:divBdr>
    </w:div>
    <w:div w:id="114570345">
      <w:marLeft w:val="0"/>
      <w:marRight w:val="0"/>
      <w:marTop w:val="0"/>
      <w:marBottom w:val="0"/>
      <w:divBdr>
        <w:top w:val="none" w:sz="0" w:space="0" w:color="auto"/>
        <w:left w:val="none" w:sz="0" w:space="0" w:color="auto"/>
        <w:bottom w:val="none" w:sz="0" w:space="0" w:color="auto"/>
        <w:right w:val="none" w:sz="0" w:space="0" w:color="auto"/>
      </w:divBdr>
    </w:div>
    <w:div w:id="117145039">
      <w:marLeft w:val="0"/>
      <w:marRight w:val="0"/>
      <w:marTop w:val="0"/>
      <w:marBottom w:val="0"/>
      <w:divBdr>
        <w:top w:val="none" w:sz="0" w:space="0" w:color="auto"/>
        <w:left w:val="none" w:sz="0" w:space="0" w:color="auto"/>
        <w:bottom w:val="none" w:sz="0" w:space="0" w:color="auto"/>
        <w:right w:val="none" w:sz="0" w:space="0" w:color="auto"/>
      </w:divBdr>
      <w:divsChild>
        <w:div w:id="826435218">
          <w:marLeft w:val="0"/>
          <w:marRight w:val="0"/>
          <w:marTop w:val="0"/>
          <w:marBottom w:val="0"/>
          <w:divBdr>
            <w:top w:val="none" w:sz="0" w:space="0" w:color="auto"/>
            <w:left w:val="none" w:sz="0" w:space="0" w:color="auto"/>
            <w:bottom w:val="none" w:sz="0" w:space="0" w:color="auto"/>
            <w:right w:val="none" w:sz="0" w:space="0" w:color="auto"/>
          </w:divBdr>
        </w:div>
      </w:divsChild>
    </w:div>
    <w:div w:id="123549804">
      <w:marLeft w:val="0"/>
      <w:marRight w:val="0"/>
      <w:marTop w:val="0"/>
      <w:marBottom w:val="0"/>
      <w:divBdr>
        <w:top w:val="none" w:sz="0" w:space="0" w:color="auto"/>
        <w:left w:val="none" w:sz="0" w:space="0" w:color="auto"/>
        <w:bottom w:val="none" w:sz="0" w:space="0" w:color="auto"/>
        <w:right w:val="none" w:sz="0" w:space="0" w:color="auto"/>
      </w:divBdr>
      <w:divsChild>
        <w:div w:id="1919250265">
          <w:marLeft w:val="0"/>
          <w:marRight w:val="0"/>
          <w:marTop w:val="0"/>
          <w:marBottom w:val="0"/>
          <w:divBdr>
            <w:top w:val="none" w:sz="0" w:space="0" w:color="auto"/>
            <w:left w:val="none" w:sz="0" w:space="0" w:color="auto"/>
            <w:bottom w:val="none" w:sz="0" w:space="0" w:color="auto"/>
            <w:right w:val="none" w:sz="0" w:space="0" w:color="auto"/>
          </w:divBdr>
        </w:div>
        <w:div w:id="1423718800">
          <w:marLeft w:val="0"/>
          <w:marRight w:val="0"/>
          <w:marTop w:val="0"/>
          <w:marBottom w:val="0"/>
          <w:divBdr>
            <w:top w:val="none" w:sz="0" w:space="0" w:color="auto"/>
            <w:left w:val="none" w:sz="0" w:space="0" w:color="auto"/>
            <w:bottom w:val="none" w:sz="0" w:space="0" w:color="auto"/>
            <w:right w:val="none" w:sz="0" w:space="0" w:color="auto"/>
          </w:divBdr>
        </w:div>
        <w:div w:id="1399785544">
          <w:marLeft w:val="0"/>
          <w:marRight w:val="0"/>
          <w:marTop w:val="0"/>
          <w:marBottom w:val="0"/>
          <w:divBdr>
            <w:top w:val="none" w:sz="0" w:space="0" w:color="auto"/>
            <w:left w:val="none" w:sz="0" w:space="0" w:color="auto"/>
            <w:bottom w:val="none" w:sz="0" w:space="0" w:color="auto"/>
            <w:right w:val="none" w:sz="0" w:space="0" w:color="auto"/>
          </w:divBdr>
        </w:div>
        <w:div w:id="868100809">
          <w:marLeft w:val="0"/>
          <w:marRight w:val="0"/>
          <w:marTop w:val="0"/>
          <w:marBottom w:val="0"/>
          <w:divBdr>
            <w:top w:val="none" w:sz="0" w:space="0" w:color="auto"/>
            <w:left w:val="none" w:sz="0" w:space="0" w:color="auto"/>
            <w:bottom w:val="none" w:sz="0" w:space="0" w:color="auto"/>
            <w:right w:val="none" w:sz="0" w:space="0" w:color="auto"/>
          </w:divBdr>
        </w:div>
      </w:divsChild>
    </w:div>
    <w:div w:id="125393471">
      <w:marLeft w:val="0"/>
      <w:marRight w:val="0"/>
      <w:marTop w:val="0"/>
      <w:marBottom w:val="0"/>
      <w:divBdr>
        <w:top w:val="none" w:sz="0" w:space="0" w:color="auto"/>
        <w:left w:val="none" w:sz="0" w:space="0" w:color="auto"/>
        <w:bottom w:val="none" w:sz="0" w:space="0" w:color="auto"/>
        <w:right w:val="none" w:sz="0" w:space="0" w:color="auto"/>
      </w:divBdr>
    </w:div>
    <w:div w:id="128406134">
      <w:marLeft w:val="0"/>
      <w:marRight w:val="0"/>
      <w:marTop w:val="0"/>
      <w:marBottom w:val="0"/>
      <w:divBdr>
        <w:top w:val="none" w:sz="0" w:space="0" w:color="auto"/>
        <w:left w:val="none" w:sz="0" w:space="0" w:color="auto"/>
        <w:bottom w:val="none" w:sz="0" w:space="0" w:color="auto"/>
        <w:right w:val="none" w:sz="0" w:space="0" w:color="auto"/>
      </w:divBdr>
      <w:divsChild>
        <w:div w:id="1309625203">
          <w:marLeft w:val="0"/>
          <w:marRight w:val="0"/>
          <w:marTop w:val="0"/>
          <w:marBottom w:val="0"/>
          <w:divBdr>
            <w:top w:val="none" w:sz="0" w:space="0" w:color="auto"/>
            <w:left w:val="none" w:sz="0" w:space="0" w:color="auto"/>
            <w:bottom w:val="none" w:sz="0" w:space="0" w:color="auto"/>
            <w:right w:val="none" w:sz="0" w:space="0" w:color="auto"/>
          </w:divBdr>
        </w:div>
      </w:divsChild>
    </w:div>
    <w:div w:id="129709716">
      <w:marLeft w:val="0"/>
      <w:marRight w:val="0"/>
      <w:marTop w:val="0"/>
      <w:marBottom w:val="0"/>
      <w:divBdr>
        <w:top w:val="none" w:sz="0" w:space="0" w:color="auto"/>
        <w:left w:val="none" w:sz="0" w:space="0" w:color="auto"/>
        <w:bottom w:val="none" w:sz="0" w:space="0" w:color="auto"/>
        <w:right w:val="none" w:sz="0" w:space="0" w:color="auto"/>
      </w:divBdr>
      <w:divsChild>
        <w:div w:id="1774668005">
          <w:marLeft w:val="0"/>
          <w:marRight w:val="0"/>
          <w:marTop w:val="0"/>
          <w:marBottom w:val="0"/>
          <w:divBdr>
            <w:top w:val="none" w:sz="0" w:space="0" w:color="auto"/>
            <w:left w:val="none" w:sz="0" w:space="0" w:color="auto"/>
            <w:bottom w:val="none" w:sz="0" w:space="0" w:color="auto"/>
            <w:right w:val="none" w:sz="0" w:space="0" w:color="auto"/>
          </w:divBdr>
        </w:div>
      </w:divsChild>
    </w:div>
    <w:div w:id="131681998">
      <w:marLeft w:val="0"/>
      <w:marRight w:val="0"/>
      <w:marTop w:val="0"/>
      <w:marBottom w:val="0"/>
      <w:divBdr>
        <w:top w:val="none" w:sz="0" w:space="0" w:color="auto"/>
        <w:left w:val="none" w:sz="0" w:space="0" w:color="auto"/>
        <w:bottom w:val="none" w:sz="0" w:space="0" w:color="auto"/>
        <w:right w:val="none" w:sz="0" w:space="0" w:color="auto"/>
      </w:divBdr>
    </w:div>
    <w:div w:id="134026696">
      <w:marLeft w:val="0"/>
      <w:marRight w:val="0"/>
      <w:marTop w:val="200"/>
      <w:marBottom w:val="0"/>
      <w:divBdr>
        <w:top w:val="none" w:sz="0" w:space="0" w:color="auto"/>
        <w:left w:val="none" w:sz="0" w:space="0" w:color="auto"/>
        <w:bottom w:val="none" w:sz="0" w:space="0" w:color="auto"/>
        <w:right w:val="none" w:sz="0" w:space="0" w:color="auto"/>
      </w:divBdr>
    </w:div>
    <w:div w:id="136269526">
      <w:marLeft w:val="0"/>
      <w:marRight w:val="0"/>
      <w:marTop w:val="200"/>
      <w:marBottom w:val="0"/>
      <w:divBdr>
        <w:top w:val="none" w:sz="0" w:space="0" w:color="auto"/>
        <w:left w:val="none" w:sz="0" w:space="0" w:color="auto"/>
        <w:bottom w:val="none" w:sz="0" w:space="0" w:color="auto"/>
        <w:right w:val="none" w:sz="0" w:space="0" w:color="auto"/>
      </w:divBdr>
    </w:div>
    <w:div w:id="139465904">
      <w:marLeft w:val="0"/>
      <w:marRight w:val="0"/>
      <w:marTop w:val="200"/>
      <w:marBottom w:val="0"/>
      <w:divBdr>
        <w:top w:val="none" w:sz="0" w:space="0" w:color="auto"/>
        <w:left w:val="none" w:sz="0" w:space="0" w:color="auto"/>
        <w:bottom w:val="none" w:sz="0" w:space="0" w:color="auto"/>
        <w:right w:val="none" w:sz="0" w:space="0" w:color="auto"/>
      </w:divBdr>
    </w:div>
    <w:div w:id="140390658">
      <w:marLeft w:val="0"/>
      <w:marRight w:val="0"/>
      <w:marTop w:val="200"/>
      <w:marBottom w:val="0"/>
      <w:divBdr>
        <w:top w:val="none" w:sz="0" w:space="0" w:color="auto"/>
        <w:left w:val="none" w:sz="0" w:space="0" w:color="auto"/>
        <w:bottom w:val="none" w:sz="0" w:space="0" w:color="auto"/>
        <w:right w:val="none" w:sz="0" w:space="0" w:color="auto"/>
      </w:divBdr>
    </w:div>
    <w:div w:id="141049764">
      <w:marLeft w:val="0"/>
      <w:marRight w:val="0"/>
      <w:marTop w:val="0"/>
      <w:marBottom w:val="0"/>
      <w:divBdr>
        <w:top w:val="none" w:sz="0" w:space="0" w:color="auto"/>
        <w:left w:val="none" w:sz="0" w:space="0" w:color="auto"/>
        <w:bottom w:val="none" w:sz="0" w:space="0" w:color="auto"/>
        <w:right w:val="none" w:sz="0" w:space="0" w:color="auto"/>
      </w:divBdr>
      <w:divsChild>
        <w:div w:id="268662142">
          <w:marLeft w:val="0"/>
          <w:marRight w:val="0"/>
          <w:marTop w:val="0"/>
          <w:marBottom w:val="0"/>
          <w:divBdr>
            <w:top w:val="none" w:sz="0" w:space="0" w:color="auto"/>
            <w:left w:val="none" w:sz="0" w:space="0" w:color="auto"/>
            <w:bottom w:val="none" w:sz="0" w:space="0" w:color="auto"/>
            <w:right w:val="none" w:sz="0" w:space="0" w:color="auto"/>
          </w:divBdr>
        </w:div>
      </w:divsChild>
    </w:div>
    <w:div w:id="141697693">
      <w:marLeft w:val="0"/>
      <w:marRight w:val="0"/>
      <w:marTop w:val="0"/>
      <w:marBottom w:val="0"/>
      <w:divBdr>
        <w:top w:val="none" w:sz="0" w:space="0" w:color="auto"/>
        <w:left w:val="none" w:sz="0" w:space="0" w:color="auto"/>
        <w:bottom w:val="none" w:sz="0" w:space="0" w:color="auto"/>
        <w:right w:val="none" w:sz="0" w:space="0" w:color="auto"/>
      </w:divBdr>
      <w:divsChild>
        <w:div w:id="95054996">
          <w:marLeft w:val="0"/>
          <w:marRight w:val="0"/>
          <w:marTop w:val="0"/>
          <w:marBottom w:val="0"/>
          <w:divBdr>
            <w:top w:val="none" w:sz="0" w:space="0" w:color="auto"/>
            <w:left w:val="none" w:sz="0" w:space="0" w:color="auto"/>
            <w:bottom w:val="none" w:sz="0" w:space="0" w:color="auto"/>
            <w:right w:val="none" w:sz="0" w:space="0" w:color="auto"/>
          </w:divBdr>
        </w:div>
      </w:divsChild>
    </w:div>
    <w:div w:id="146169739">
      <w:marLeft w:val="0"/>
      <w:marRight w:val="0"/>
      <w:marTop w:val="200"/>
      <w:marBottom w:val="0"/>
      <w:divBdr>
        <w:top w:val="none" w:sz="0" w:space="0" w:color="auto"/>
        <w:left w:val="none" w:sz="0" w:space="0" w:color="auto"/>
        <w:bottom w:val="none" w:sz="0" w:space="0" w:color="auto"/>
        <w:right w:val="none" w:sz="0" w:space="0" w:color="auto"/>
      </w:divBdr>
    </w:div>
    <w:div w:id="148181079">
      <w:marLeft w:val="0"/>
      <w:marRight w:val="0"/>
      <w:marTop w:val="0"/>
      <w:marBottom w:val="0"/>
      <w:divBdr>
        <w:top w:val="none" w:sz="0" w:space="0" w:color="auto"/>
        <w:left w:val="none" w:sz="0" w:space="0" w:color="auto"/>
        <w:bottom w:val="none" w:sz="0" w:space="0" w:color="auto"/>
        <w:right w:val="none" w:sz="0" w:space="0" w:color="auto"/>
      </w:divBdr>
      <w:divsChild>
        <w:div w:id="1253512554">
          <w:marLeft w:val="0"/>
          <w:marRight w:val="0"/>
          <w:marTop w:val="0"/>
          <w:marBottom w:val="0"/>
          <w:divBdr>
            <w:top w:val="none" w:sz="0" w:space="0" w:color="auto"/>
            <w:left w:val="none" w:sz="0" w:space="0" w:color="auto"/>
            <w:bottom w:val="none" w:sz="0" w:space="0" w:color="auto"/>
            <w:right w:val="none" w:sz="0" w:space="0" w:color="auto"/>
          </w:divBdr>
        </w:div>
      </w:divsChild>
    </w:div>
    <w:div w:id="148519001">
      <w:marLeft w:val="0"/>
      <w:marRight w:val="0"/>
      <w:marTop w:val="200"/>
      <w:marBottom w:val="0"/>
      <w:divBdr>
        <w:top w:val="none" w:sz="0" w:space="0" w:color="auto"/>
        <w:left w:val="none" w:sz="0" w:space="0" w:color="auto"/>
        <w:bottom w:val="none" w:sz="0" w:space="0" w:color="auto"/>
        <w:right w:val="none" w:sz="0" w:space="0" w:color="auto"/>
      </w:divBdr>
    </w:div>
    <w:div w:id="155923481">
      <w:marLeft w:val="0"/>
      <w:marRight w:val="0"/>
      <w:marTop w:val="0"/>
      <w:marBottom w:val="0"/>
      <w:divBdr>
        <w:top w:val="none" w:sz="0" w:space="0" w:color="auto"/>
        <w:left w:val="none" w:sz="0" w:space="0" w:color="auto"/>
        <w:bottom w:val="none" w:sz="0" w:space="0" w:color="auto"/>
        <w:right w:val="none" w:sz="0" w:space="0" w:color="auto"/>
      </w:divBdr>
      <w:divsChild>
        <w:div w:id="81269781">
          <w:marLeft w:val="0"/>
          <w:marRight w:val="0"/>
          <w:marTop w:val="0"/>
          <w:marBottom w:val="0"/>
          <w:divBdr>
            <w:top w:val="none" w:sz="0" w:space="0" w:color="auto"/>
            <w:left w:val="none" w:sz="0" w:space="0" w:color="auto"/>
            <w:bottom w:val="none" w:sz="0" w:space="0" w:color="auto"/>
            <w:right w:val="none" w:sz="0" w:space="0" w:color="auto"/>
          </w:divBdr>
        </w:div>
      </w:divsChild>
    </w:div>
    <w:div w:id="159003324">
      <w:marLeft w:val="0"/>
      <w:marRight w:val="0"/>
      <w:marTop w:val="200"/>
      <w:marBottom w:val="0"/>
      <w:divBdr>
        <w:top w:val="none" w:sz="0" w:space="0" w:color="auto"/>
        <w:left w:val="none" w:sz="0" w:space="0" w:color="auto"/>
        <w:bottom w:val="none" w:sz="0" w:space="0" w:color="auto"/>
        <w:right w:val="none" w:sz="0" w:space="0" w:color="auto"/>
      </w:divBdr>
    </w:div>
    <w:div w:id="162595689">
      <w:marLeft w:val="0"/>
      <w:marRight w:val="0"/>
      <w:marTop w:val="0"/>
      <w:marBottom w:val="0"/>
      <w:divBdr>
        <w:top w:val="none" w:sz="0" w:space="0" w:color="auto"/>
        <w:left w:val="none" w:sz="0" w:space="0" w:color="auto"/>
        <w:bottom w:val="none" w:sz="0" w:space="0" w:color="auto"/>
        <w:right w:val="none" w:sz="0" w:space="0" w:color="auto"/>
      </w:divBdr>
      <w:divsChild>
        <w:div w:id="2087804765">
          <w:marLeft w:val="0"/>
          <w:marRight w:val="0"/>
          <w:marTop w:val="0"/>
          <w:marBottom w:val="0"/>
          <w:divBdr>
            <w:top w:val="none" w:sz="0" w:space="0" w:color="auto"/>
            <w:left w:val="none" w:sz="0" w:space="0" w:color="auto"/>
            <w:bottom w:val="none" w:sz="0" w:space="0" w:color="auto"/>
            <w:right w:val="none" w:sz="0" w:space="0" w:color="auto"/>
          </w:divBdr>
        </w:div>
      </w:divsChild>
    </w:div>
    <w:div w:id="174342011">
      <w:marLeft w:val="0"/>
      <w:marRight w:val="0"/>
      <w:marTop w:val="0"/>
      <w:marBottom w:val="0"/>
      <w:divBdr>
        <w:top w:val="none" w:sz="0" w:space="0" w:color="auto"/>
        <w:left w:val="none" w:sz="0" w:space="0" w:color="auto"/>
        <w:bottom w:val="none" w:sz="0" w:space="0" w:color="auto"/>
        <w:right w:val="none" w:sz="0" w:space="0" w:color="auto"/>
      </w:divBdr>
    </w:div>
    <w:div w:id="175191235">
      <w:marLeft w:val="0"/>
      <w:marRight w:val="0"/>
      <w:marTop w:val="0"/>
      <w:marBottom w:val="0"/>
      <w:divBdr>
        <w:top w:val="none" w:sz="0" w:space="0" w:color="auto"/>
        <w:left w:val="none" w:sz="0" w:space="0" w:color="auto"/>
        <w:bottom w:val="none" w:sz="0" w:space="0" w:color="auto"/>
        <w:right w:val="none" w:sz="0" w:space="0" w:color="auto"/>
      </w:divBdr>
      <w:divsChild>
        <w:div w:id="2080323224">
          <w:marLeft w:val="0"/>
          <w:marRight w:val="0"/>
          <w:marTop w:val="0"/>
          <w:marBottom w:val="0"/>
          <w:divBdr>
            <w:top w:val="none" w:sz="0" w:space="0" w:color="auto"/>
            <w:left w:val="none" w:sz="0" w:space="0" w:color="auto"/>
            <w:bottom w:val="none" w:sz="0" w:space="0" w:color="auto"/>
            <w:right w:val="none" w:sz="0" w:space="0" w:color="auto"/>
          </w:divBdr>
        </w:div>
        <w:div w:id="158229577">
          <w:marLeft w:val="0"/>
          <w:marRight w:val="0"/>
          <w:marTop w:val="0"/>
          <w:marBottom w:val="0"/>
          <w:divBdr>
            <w:top w:val="none" w:sz="0" w:space="0" w:color="auto"/>
            <w:left w:val="none" w:sz="0" w:space="0" w:color="auto"/>
            <w:bottom w:val="none" w:sz="0" w:space="0" w:color="auto"/>
            <w:right w:val="none" w:sz="0" w:space="0" w:color="auto"/>
          </w:divBdr>
        </w:div>
        <w:div w:id="1623724403">
          <w:marLeft w:val="0"/>
          <w:marRight w:val="0"/>
          <w:marTop w:val="0"/>
          <w:marBottom w:val="0"/>
          <w:divBdr>
            <w:top w:val="none" w:sz="0" w:space="0" w:color="auto"/>
            <w:left w:val="none" w:sz="0" w:space="0" w:color="auto"/>
            <w:bottom w:val="none" w:sz="0" w:space="0" w:color="auto"/>
            <w:right w:val="none" w:sz="0" w:space="0" w:color="auto"/>
          </w:divBdr>
        </w:div>
        <w:div w:id="1707288055">
          <w:marLeft w:val="0"/>
          <w:marRight w:val="0"/>
          <w:marTop w:val="0"/>
          <w:marBottom w:val="0"/>
          <w:divBdr>
            <w:top w:val="none" w:sz="0" w:space="0" w:color="auto"/>
            <w:left w:val="none" w:sz="0" w:space="0" w:color="auto"/>
            <w:bottom w:val="none" w:sz="0" w:space="0" w:color="auto"/>
            <w:right w:val="none" w:sz="0" w:space="0" w:color="auto"/>
          </w:divBdr>
        </w:div>
      </w:divsChild>
    </w:div>
    <w:div w:id="180171064">
      <w:marLeft w:val="0"/>
      <w:marRight w:val="0"/>
      <w:marTop w:val="0"/>
      <w:marBottom w:val="0"/>
      <w:divBdr>
        <w:top w:val="none" w:sz="0" w:space="0" w:color="auto"/>
        <w:left w:val="none" w:sz="0" w:space="0" w:color="auto"/>
        <w:bottom w:val="none" w:sz="0" w:space="0" w:color="auto"/>
        <w:right w:val="none" w:sz="0" w:space="0" w:color="auto"/>
      </w:divBdr>
    </w:div>
    <w:div w:id="191844225">
      <w:marLeft w:val="0"/>
      <w:marRight w:val="0"/>
      <w:marTop w:val="120"/>
      <w:marBottom w:val="0"/>
      <w:divBdr>
        <w:top w:val="none" w:sz="0" w:space="0" w:color="auto"/>
        <w:left w:val="none" w:sz="0" w:space="0" w:color="auto"/>
        <w:bottom w:val="none" w:sz="0" w:space="0" w:color="auto"/>
        <w:right w:val="none" w:sz="0" w:space="0" w:color="auto"/>
      </w:divBdr>
    </w:div>
    <w:div w:id="192306410">
      <w:marLeft w:val="0"/>
      <w:marRight w:val="0"/>
      <w:marTop w:val="200"/>
      <w:marBottom w:val="0"/>
      <w:divBdr>
        <w:top w:val="none" w:sz="0" w:space="0" w:color="auto"/>
        <w:left w:val="none" w:sz="0" w:space="0" w:color="auto"/>
        <w:bottom w:val="none" w:sz="0" w:space="0" w:color="auto"/>
        <w:right w:val="none" w:sz="0" w:space="0" w:color="auto"/>
      </w:divBdr>
    </w:div>
    <w:div w:id="193228438">
      <w:marLeft w:val="0"/>
      <w:marRight w:val="0"/>
      <w:marTop w:val="0"/>
      <w:marBottom w:val="0"/>
      <w:divBdr>
        <w:top w:val="none" w:sz="0" w:space="0" w:color="auto"/>
        <w:left w:val="none" w:sz="0" w:space="0" w:color="auto"/>
        <w:bottom w:val="none" w:sz="0" w:space="0" w:color="auto"/>
        <w:right w:val="none" w:sz="0" w:space="0" w:color="auto"/>
      </w:divBdr>
    </w:div>
    <w:div w:id="195317348">
      <w:marLeft w:val="0"/>
      <w:marRight w:val="0"/>
      <w:marTop w:val="0"/>
      <w:marBottom w:val="0"/>
      <w:divBdr>
        <w:top w:val="none" w:sz="0" w:space="0" w:color="auto"/>
        <w:left w:val="none" w:sz="0" w:space="0" w:color="auto"/>
        <w:bottom w:val="none" w:sz="0" w:space="0" w:color="auto"/>
        <w:right w:val="none" w:sz="0" w:space="0" w:color="auto"/>
      </w:divBdr>
    </w:div>
    <w:div w:id="195436376">
      <w:marLeft w:val="0"/>
      <w:marRight w:val="0"/>
      <w:marTop w:val="0"/>
      <w:marBottom w:val="0"/>
      <w:divBdr>
        <w:top w:val="none" w:sz="0" w:space="0" w:color="auto"/>
        <w:left w:val="none" w:sz="0" w:space="0" w:color="auto"/>
        <w:bottom w:val="none" w:sz="0" w:space="0" w:color="auto"/>
        <w:right w:val="none" w:sz="0" w:space="0" w:color="auto"/>
      </w:divBdr>
    </w:div>
    <w:div w:id="196357725">
      <w:marLeft w:val="0"/>
      <w:marRight w:val="0"/>
      <w:marTop w:val="20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sChild>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sChild>
    </w:div>
    <w:div w:id="198131965">
      <w:marLeft w:val="0"/>
      <w:marRight w:val="0"/>
      <w:marTop w:val="0"/>
      <w:marBottom w:val="0"/>
      <w:divBdr>
        <w:top w:val="none" w:sz="0" w:space="0" w:color="auto"/>
        <w:left w:val="none" w:sz="0" w:space="0" w:color="auto"/>
        <w:bottom w:val="none" w:sz="0" w:space="0" w:color="auto"/>
        <w:right w:val="none" w:sz="0" w:space="0" w:color="auto"/>
      </w:divBdr>
    </w:div>
    <w:div w:id="199561496">
      <w:marLeft w:val="0"/>
      <w:marRight w:val="0"/>
      <w:marTop w:val="0"/>
      <w:marBottom w:val="0"/>
      <w:divBdr>
        <w:top w:val="none" w:sz="0" w:space="0" w:color="auto"/>
        <w:left w:val="none" w:sz="0" w:space="0" w:color="auto"/>
        <w:bottom w:val="none" w:sz="0" w:space="0" w:color="auto"/>
        <w:right w:val="none" w:sz="0" w:space="0" w:color="auto"/>
      </w:divBdr>
    </w:div>
    <w:div w:id="204298239">
      <w:marLeft w:val="0"/>
      <w:marRight w:val="0"/>
      <w:marTop w:val="20"/>
      <w:marBottom w:val="0"/>
      <w:divBdr>
        <w:top w:val="none" w:sz="0" w:space="0" w:color="auto"/>
        <w:left w:val="none" w:sz="0" w:space="0" w:color="auto"/>
        <w:bottom w:val="none" w:sz="0" w:space="0" w:color="auto"/>
        <w:right w:val="none" w:sz="0" w:space="0" w:color="auto"/>
      </w:divBdr>
    </w:div>
    <w:div w:id="208349603">
      <w:marLeft w:val="0"/>
      <w:marRight w:val="0"/>
      <w:marTop w:val="200"/>
      <w:marBottom w:val="0"/>
      <w:divBdr>
        <w:top w:val="none" w:sz="0" w:space="0" w:color="auto"/>
        <w:left w:val="none" w:sz="0" w:space="0" w:color="auto"/>
        <w:bottom w:val="none" w:sz="0" w:space="0" w:color="auto"/>
        <w:right w:val="none" w:sz="0" w:space="0" w:color="auto"/>
      </w:divBdr>
    </w:div>
    <w:div w:id="215509667">
      <w:marLeft w:val="0"/>
      <w:marRight w:val="0"/>
      <w:marTop w:val="0"/>
      <w:marBottom w:val="0"/>
      <w:divBdr>
        <w:top w:val="none" w:sz="0" w:space="0" w:color="auto"/>
        <w:left w:val="none" w:sz="0" w:space="0" w:color="auto"/>
        <w:bottom w:val="none" w:sz="0" w:space="0" w:color="auto"/>
        <w:right w:val="none" w:sz="0" w:space="0" w:color="auto"/>
      </w:divBdr>
      <w:divsChild>
        <w:div w:id="1260941554">
          <w:marLeft w:val="0"/>
          <w:marRight w:val="0"/>
          <w:marTop w:val="0"/>
          <w:marBottom w:val="0"/>
          <w:divBdr>
            <w:top w:val="none" w:sz="0" w:space="0" w:color="auto"/>
            <w:left w:val="none" w:sz="0" w:space="0" w:color="auto"/>
            <w:bottom w:val="none" w:sz="0" w:space="0" w:color="auto"/>
            <w:right w:val="none" w:sz="0" w:space="0" w:color="auto"/>
          </w:divBdr>
        </w:div>
      </w:divsChild>
    </w:div>
    <w:div w:id="216860499">
      <w:marLeft w:val="0"/>
      <w:marRight w:val="0"/>
      <w:marTop w:val="200"/>
      <w:marBottom w:val="0"/>
      <w:divBdr>
        <w:top w:val="none" w:sz="0" w:space="0" w:color="auto"/>
        <w:left w:val="none" w:sz="0" w:space="0" w:color="auto"/>
        <w:bottom w:val="none" w:sz="0" w:space="0" w:color="auto"/>
        <w:right w:val="none" w:sz="0" w:space="0" w:color="auto"/>
      </w:divBdr>
    </w:div>
    <w:div w:id="217480635">
      <w:marLeft w:val="0"/>
      <w:marRight w:val="0"/>
      <w:marTop w:val="0"/>
      <w:marBottom w:val="0"/>
      <w:divBdr>
        <w:top w:val="none" w:sz="0" w:space="0" w:color="auto"/>
        <w:left w:val="none" w:sz="0" w:space="0" w:color="auto"/>
        <w:bottom w:val="none" w:sz="0" w:space="0" w:color="auto"/>
        <w:right w:val="none" w:sz="0" w:space="0" w:color="auto"/>
      </w:divBdr>
    </w:div>
    <w:div w:id="218170145">
      <w:marLeft w:val="0"/>
      <w:marRight w:val="0"/>
      <w:marTop w:val="0"/>
      <w:marBottom w:val="160"/>
      <w:divBdr>
        <w:top w:val="none" w:sz="0" w:space="0" w:color="auto"/>
        <w:left w:val="none" w:sz="0" w:space="0" w:color="auto"/>
        <w:bottom w:val="none" w:sz="0" w:space="0" w:color="auto"/>
        <w:right w:val="none" w:sz="0" w:space="0" w:color="auto"/>
      </w:divBdr>
    </w:div>
    <w:div w:id="218371856">
      <w:marLeft w:val="0"/>
      <w:marRight w:val="0"/>
      <w:marTop w:val="0"/>
      <w:marBottom w:val="0"/>
      <w:divBdr>
        <w:top w:val="none" w:sz="0" w:space="0" w:color="auto"/>
        <w:left w:val="none" w:sz="0" w:space="0" w:color="auto"/>
        <w:bottom w:val="none" w:sz="0" w:space="0" w:color="auto"/>
        <w:right w:val="none" w:sz="0" w:space="0" w:color="auto"/>
      </w:divBdr>
    </w:div>
    <w:div w:id="219950637">
      <w:marLeft w:val="0"/>
      <w:marRight w:val="0"/>
      <w:marTop w:val="0"/>
      <w:marBottom w:val="0"/>
      <w:divBdr>
        <w:top w:val="none" w:sz="0" w:space="0" w:color="auto"/>
        <w:left w:val="none" w:sz="0" w:space="0" w:color="auto"/>
        <w:bottom w:val="none" w:sz="0" w:space="0" w:color="auto"/>
        <w:right w:val="none" w:sz="0" w:space="0" w:color="auto"/>
      </w:divBdr>
    </w:div>
    <w:div w:id="220867278">
      <w:marLeft w:val="0"/>
      <w:marRight w:val="0"/>
      <w:marTop w:val="0"/>
      <w:marBottom w:val="0"/>
      <w:divBdr>
        <w:top w:val="none" w:sz="0" w:space="0" w:color="auto"/>
        <w:left w:val="none" w:sz="0" w:space="0" w:color="auto"/>
        <w:bottom w:val="none" w:sz="0" w:space="0" w:color="auto"/>
        <w:right w:val="none" w:sz="0" w:space="0" w:color="auto"/>
      </w:divBdr>
      <w:divsChild>
        <w:div w:id="266277095">
          <w:marLeft w:val="0"/>
          <w:marRight w:val="0"/>
          <w:marTop w:val="0"/>
          <w:marBottom w:val="0"/>
          <w:divBdr>
            <w:top w:val="none" w:sz="0" w:space="0" w:color="auto"/>
            <w:left w:val="none" w:sz="0" w:space="0" w:color="auto"/>
            <w:bottom w:val="none" w:sz="0" w:space="0" w:color="auto"/>
            <w:right w:val="none" w:sz="0" w:space="0" w:color="auto"/>
          </w:divBdr>
        </w:div>
      </w:divsChild>
    </w:div>
    <w:div w:id="222065011">
      <w:marLeft w:val="0"/>
      <w:marRight w:val="0"/>
      <w:marTop w:val="0"/>
      <w:marBottom w:val="160"/>
      <w:divBdr>
        <w:top w:val="none" w:sz="0" w:space="0" w:color="auto"/>
        <w:left w:val="none" w:sz="0" w:space="0" w:color="auto"/>
        <w:bottom w:val="none" w:sz="0" w:space="0" w:color="auto"/>
        <w:right w:val="none" w:sz="0" w:space="0" w:color="auto"/>
      </w:divBdr>
    </w:div>
    <w:div w:id="222566511">
      <w:marLeft w:val="0"/>
      <w:marRight w:val="0"/>
      <w:marTop w:val="0"/>
      <w:marBottom w:val="0"/>
      <w:divBdr>
        <w:top w:val="none" w:sz="0" w:space="0" w:color="auto"/>
        <w:left w:val="none" w:sz="0" w:space="0" w:color="auto"/>
        <w:bottom w:val="none" w:sz="0" w:space="0" w:color="auto"/>
        <w:right w:val="none" w:sz="0" w:space="0" w:color="auto"/>
      </w:divBdr>
    </w:div>
    <w:div w:id="227889241">
      <w:marLeft w:val="0"/>
      <w:marRight w:val="0"/>
      <w:marTop w:val="200"/>
      <w:marBottom w:val="0"/>
      <w:divBdr>
        <w:top w:val="none" w:sz="0" w:space="0" w:color="auto"/>
        <w:left w:val="none" w:sz="0" w:space="0" w:color="auto"/>
        <w:bottom w:val="none" w:sz="0" w:space="0" w:color="auto"/>
        <w:right w:val="none" w:sz="0" w:space="0" w:color="auto"/>
      </w:divBdr>
    </w:div>
    <w:div w:id="229459211">
      <w:marLeft w:val="0"/>
      <w:marRight w:val="0"/>
      <w:marTop w:val="200"/>
      <w:marBottom w:val="0"/>
      <w:divBdr>
        <w:top w:val="none" w:sz="0" w:space="0" w:color="auto"/>
        <w:left w:val="none" w:sz="0" w:space="0" w:color="auto"/>
        <w:bottom w:val="none" w:sz="0" w:space="0" w:color="auto"/>
        <w:right w:val="none" w:sz="0" w:space="0" w:color="auto"/>
      </w:divBdr>
    </w:div>
    <w:div w:id="229852378">
      <w:marLeft w:val="0"/>
      <w:marRight w:val="0"/>
      <w:marTop w:val="200"/>
      <w:marBottom w:val="0"/>
      <w:divBdr>
        <w:top w:val="none" w:sz="0" w:space="0" w:color="auto"/>
        <w:left w:val="none" w:sz="0" w:space="0" w:color="auto"/>
        <w:bottom w:val="none" w:sz="0" w:space="0" w:color="auto"/>
        <w:right w:val="none" w:sz="0" w:space="0" w:color="auto"/>
      </w:divBdr>
    </w:div>
    <w:div w:id="231081298">
      <w:marLeft w:val="0"/>
      <w:marRight w:val="0"/>
      <w:marTop w:val="0"/>
      <w:marBottom w:val="0"/>
      <w:divBdr>
        <w:top w:val="none" w:sz="0" w:space="0" w:color="auto"/>
        <w:left w:val="none" w:sz="0" w:space="0" w:color="auto"/>
        <w:bottom w:val="none" w:sz="0" w:space="0" w:color="auto"/>
        <w:right w:val="none" w:sz="0" w:space="0" w:color="auto"/>
      </w:divBdr>
    </w:div>
    <w:div w:id="231082004">
      <w:marLeft w:val="0"/>
      <w:marRight w:val="0"/>
      <w:marTop w:val="0"/>
      <w:marBottom w:val="0"/>
      <w:divBdr>
        <w:top w:val="none" w:sz="0" w:space="0" w:color="auto"/>
        <w:left w:val="none" w:sz="0" w:space="0" w:color="auto"/>
        <w:bottom w:val="none" w:sz="0" w:space="0" w:color="auto"/>
        <w:right w:val="none" w:sz="0" w:space="0" w:color="auto"/>
      </w:divBdr>
      <w:divsChild>
        <w:div w:id="1097214849">
          <w:marLeft w:val="0"/>
          <w:marRight w:val="0"/>
          <w:marTop w:val="0"/>
          <w:marBottom w:val="0"/>
          <w:divBdr>
            <w:top w:val="none" w:sz="0" w:space="0" w:color="auto"/>
            <w:left w:val="none" w:sz="0" w:space="0" w:color="auto"/>
            <w:bottom w:val="none" w:sz="0" w:space="0" w:color="auto"/>
            <w:right w:val="none" w:sz="0" w:space="0" w:color="auto"/>
          </w:divBdr>
        </w:div>
      </w:divsChild>
    </w:div>
    <w:div w:id="231551520">
      <w:marLeft w:val="0"/>
      <w:marRight w:val="0"/>
      <w:marTop w:val="0"/>
      <w:marBottom w:val="200"/>
      <w:divBdr>
        <w:top w:val="none" w:sz="0" w:space="0" w:color="auto"/>
        <w:left w:val="none" w:sz="0" w:space="0" w:color="auto"/>
        <w:bottom w:val="none" w:sz="0" w:space="0" w:color="auto"/>
        <w:right w:val="none" w:sz="0" w:space="0" w:color="auto"/>
      </w:divBdr>
    </w:div>
    <w:div w:id="234511940">
      <w:marLeft w:val="0"/>
      <w:marRight w:val="0"/>
      <w:marTop w:val="0"/>
      <w:marBottom w:val="0"/>
      <w:divBdr>
        <w:top w:val="none" w:sz="0" w:space="0" w:color="auto"/>
        <w:left w:val="none" w:sz="0" w:space="0" w:color="auto"/>
        <w:bottom w:val="none" w:sz="0" w:space="0" w:color="auto"/>
        <w:right w:val="none" w:sz="0" w:space="0" w:color="auto"/>
      </w:divBdr>
      <w:divsChild>
        <w:div w:id="1782266204">
          <w:marLeft w:val="0"/>
          <w:marRight w:val="0"/>
          <w:marTop w:val="0"/>
          <w:marBottom w:val="0"/>
          <w:divBdr>
            <w:top w:val="none" w:sz="0" w:space="0" w:color="auto"/>
            <w:left w:val="none" w:sz="0" w:space="0" w:color="auto"/>
            <w:bottom w:val="none" w:sz="0" w:space="0" w:color="auto"/>
            <w:right w:val="none" w:sz="0" w:space="0" w:color="auto"/>
          </w:divBdr>
        </w:div>
      </w:divsChild>
    </w:div>
    <w:div w:id="236331315">
      <w:marLeft w:val="0"/>
      <w:marRight w:val="0"/>
      <w:marTop w:val="0"/>
      <w:marBottom w:val="0"/>
      <w:divBdr>
        <w:top w:val="none" w:sz="0" w:space="0" w:color="auto"/>
        <w:left w:val="none" w:sz="0" w:space="0" w:color="auto"/>
        <w:bottom w:val="none" w:sz="0" w:space="0" w:color="auto"/>
        <w:right w:val="none" w:sz="0" w:space="0" w:color="auto"/>
      </w:divBdr>
    </w:div>
    <w:div w:id="240604885">
      <w:marLeft w:val="0"/>
      <w:marRight w:val="0"/>
      <w:marTop w:val="0"/>
      <w:marBottom w:val="0"/>
      <w:divBdr>
        <w:top w:val="none" w:sz="0" w:space="0" w:color="auto"/>
        <w:left w:val="none" w:sz="0" w:space="0" w:color="auto"/>
        <w:bottom w:val="none" w:sz="0" w:space="0" w:color="auto"/>
        <w:right w:val="none" w:sz="0" w:space="0" w:color="auto"/>
      </w:divBdr>
      <w:divsChild>
        <w:div w:id="271669598">
          <w:marLeft w:val="0"/>
          <w:marRight w:val="0"/>
          <w:marTop w:val="0"/>
          <w:marBottom w:val="0"/>
          <w:divBdr>
            <w:top w:val="none" w:sz="0" w:space="0" w:color="auto"/>
            <w:left w:val="none" w:sz="0" w:space="0" w:color="auto"/>
            <w:bottom w:val="none" w:sz="0" w:space="0" w:color="auto"/>
            <w:right w:val="none" w:sz="0" w:space="0" w:color="auto"/>
          </w:divBdr>
        </w:div>
      </w:divsChild>
    </w:div>
    <w:div w:id="242447861">
      <w:marLeft w:val="0"/>
      <w:marRight w:val="0"/>
      <w:marTop w:val="0"/>
      <w:marBottom w:val="0"/>
      <w:divBdr>
        <w:top w:val="none" w:sz="0" w:space="0" w:color="auto"/>
        <w:left w:val="none" w:sz="0" w:space="0" w:color="auto"/>
        <w:bottom w:val="none" w:sz="0" w:space="0" w:color="auto"/>
        <w:right w:val="none" w:sz="0" w:space="0" w:color="auto"/>
      </w:divBdr>
    </w:div>
    <w:div w:id="242763420">
      <w:marLeft w:val="0"/>
      <w:marRight w:val="0"/>
      <w:marTop w:val="200"/>
      <w:marBottom w:val="0"/>
      <w:divBdr>
        <w:top w:val="none" w:sz="0" w:space="0" w:color="auto"/>
        <w:left w:val="none" w:sz="0" w:space="0" w:color="auto"/>
        <w:bottom w:val="none" w:sz="0" w:space="0" w:color="auto"/>
        <w:right w:val="none" w:sz="0" w:space="0" w:color="auto"/>
      </w:divBdr>
    </w:div>
    <w:div w:id="244580806">
      <w:marLeft w:val="0"/>
      <w:marRight w:val="0"/>
      <w:marTop w:val="0"/>
      <w:marBottom w:val="0"/>
      <w:divBdr>
        <w:top w:val="none" w:sz="0" w:space="0" w:color="auto"/>
        <w:left w:val="none" w:sz="0" w:space="0" w:color="auto"/>
        <w:bottom w:val="none" w:sz="0" w:space="0" w:color="auto"/>
        <w:right w:val="none" w:sz="0" w:space="0" w:color="auto"/>
      </w:divBdr>
      <w:divsChild>
        <w:div w:id="367461240">
          <w:marLeft w:val="0"/>
          <w:marRight w:val="0"/>
          <w:marTop w:val="0"/>
          <w:marBottom w:val="0"/>
          <w:divBdr>
            <w:top w:val="none" w:sz="0" w:space="0" w:color="auto"/>
            <w:left w:val="none" w:sz="0" w:space="0" w:color="auto"/>
            <w:bottom w:val="none" w:sz="0" w:space="0" w:color="auto"/>
            <w:right w:val="none" w:sz="0" w:space="0" w:color="auto"/>
          </w:divBdr>
        </w:div>
      </w:divsChild>
    </w:div>
    <w:div w:id="245308172">
      <w:marLeft w:val="0"/>
      <w:marRight w:val="0"/>
      <w:marTop w:val="0"/>
      <w:marBottom w:val="0"/>
      <w:divBdr>
        <w:top w:val="none" w:sz="0" w:space="0" w:color="auto"/>
        <w:left w:val="none" w:sz="0" w:space="0" w:color="auto"/>
        <w:bottom w:val="none" w:sz="0" w:space="0" w:color="auto"/>
        <w:right w:val="none" w:sz="0" w:space="0" w:color="auto"/>
      </w:divBdr>
      <w:divsChild>
        <w:div w:id="2099522920">
          <w:marLeft w:val="0"/>
          <w:marRight w:val="0"/>
          <w:marTop w:val="0"/>
          <w:marBottom w:val="0"/>
          <w:divBdr>
            <w:top w:val="none" w:sz="0" w:space="0" w:color="auto"/>
            <w:left w:val="none" w:sz="0" w:space="0" w:color="auto"/>
            <w:bottom w:val="none" w:sz="0" w:space="0" w:color="auto"/>
            <w:right w:val="none" w:sz="0" w:space="0" w:color="auto"/>
          </w:divBdr>
        </w:div>
        <w:div w:id="150484470">
          <w:marLeft w:val="0"/>
          <w:marRight w:val="0"/>
          <w:marTop w:val="0"/>
          <w:marBottom w:val="0"/>
          <w:divBdr>
            <w:top w:val="none" w:sz="0" w:space="0" w:color="auto"/>
            <w:left w:val="none" w:sz="0" w:space="0" w:color="auto"/>
            <w:bottom w:val="none" w:sz="0" w:space="0" w:color="auto"/>
            <w:right w:val="none" w:sz="0" w:space="0" w:color="auto"/>
          </w:divBdr>
        </w:div>
        <w:div w:id="1227910299">
          <w:marLeft w:val="0"/>
          <w:marRight w:val="0"/>
          <w:marTop w:val="0"/>
          <w:marBottom w:val="0"/>
          <w:divBdr>
            <w:top w:val="none" w:sz="0" w:space="0" w:color="auto"/>
            <w:left w:val="none" w:sz="0" w:space="0" w:color="auto"/>
            <w:bottom w:val="none" w:sz="0" w:space="0" w:color="auto"/>
            <w:right w:val="none" w:sz="0" w:space="0" w:color="auto"/>
          </w:divBdr>
        </w:div>
        <w:div w:id="323244328">
          <w:marLeft w:val="0"/>
          <w:marRight w:val="0"/>
          <w:marTop w:val="0"/>
          <w:marBottom w:val="0"/>
          <w:divBdr>
            <w:top w:val="none" w:sz="0" w:space="0" w:color="auto"/>
            <w:left w:val="none" w:sz="0" w:space="0" w:color="auto"/>
            <w:bottom w:val="none" w:sz="0" w:space="0" w:color="auto"/>
            <w:right w:val="none" w:sz="0" w:space="0" w:color="auto"/>
          </w:divBdr>
        </w:div>
      </w:divsChild>
    </w:div>
    <w:div w:id="246308060">
      <w:marLeft w:val="0"/>
      <w:marRight w:val="0"/>
      <w:marTop w:val="0"/>
      <w:marBottom w:val="0"/>
      <w:divBdr>
        <w:top w:val="none" w:sz="0" w:space="0" w:color="auto"/>
        <w:left w:val="none" w:sz="0" w:space="0" w:color="auto"/>
        <w:bottom w:val="none" w:sz="0" w:space="0" w:color="auto"/>
        <w:right w:val="none" w:sz="0" w:space="0" w:color="auto"/>
      </w:divBdr>
      <w:divsChild>
        <w:div w:id="1528442380">
          <w:marLeft w:val="0"/>
          <w:marRight w:val="0"/>
          <w:marTop w:val="0"/>
          <w:marBottom w:val="0"/>
          <w:divBdr>
            <w:top w:val="none" w:sz="0" w:space="0" w:color="auto"/>
            <w:left w:val="none" w:sz="0" w:space="0" w:color="auto"/>
            <w:bottom w:val="none" w:sz="0" w:space="0" w:color="auto"/>
            <w:right w:val="none" w:sz="0" w:space="0" w:color="auto"/>
          </w:divBdr>
        </w:div>
      </w:divsChild>
    </w:div>
    <w:div w:id="253823129">
      <w:marLeft w:val="0"/>
      <w:marRight w:val="0"/>
      <w:marTop w:val="0"/>
      <w:marBottom w:val="0"/>
      <w:divBdr>
        <w:top w:val="none" w:sz="0" w:space="0" w:color="auto"/>
        <w:left w:val="none" w:sz="0" w:space="0" w:color="auto"/>
        <w:bottom w:val="none" w:sz="0" w:space="0" w:color="auto"/>
        <w:right w:val="none" w:sz="0" w:space="0" w:color="auto"/>
      </w:divBdr>
    </w:div>
    <w:div w:id="255721574">
      <w:marLeft w:val="0"/>
      <w:marRight w:val="0"/>
      <w:marTop w:val="200"/>
      <w:marBottom w:val="0"/>
      <w:divBdr>
        <w:top w:val="none" w:sz="0" w:space="0" w:color="auto"/>
        <w:left w:val="none" w:sz="0" w:space="0" w:color="auto"/>
        <w:bottom w:val="none" w:sz="0" w:space="0" w:color="auto"/>
        <w:right w:val="none" w:sz="0" w:space="0" w:color="auto"/>
      </w:divBdr>
    </w:div>
    <w:div w:id="256863490">
      <w:marLeft w:val="0"/>
      <w:marRight w:val="0"/>
      <w:marTop w:val="0"/>
      <w:marBottom w:val="0"/>
      <w:divBdr>
        <w:top w:val="none" w:sz="0" w:space="0" w:color="auto"/>
        <w:left w:val="none" w:sz="0" w:space="0" w:color="auto"/>
        <w:bottom w:val="none" w:sz="0" w:space="0" w:color="auto"/>
        <w:right w:val="none" w:sz="0" w:space="0" w:color="auto"/>
      </w:divBdr>
      <w:divsChild>
        <w:div w:id="2051565857">
          <w:marLeft w:val="0"/>
          <w:marRight w:val="0"/>
          <w:marTop w:val="0"/>
          <w:marBottom w:val="0"/>
          <w:divBdr>
            <w:top w:val="none" w:sz="0" w:space="0" w:color="auto"/>
            <w:left w:val="none" w:sz="0" w:space="0" w:color="auto"/>
            <w:bottom w:val="none" w:sz="0" w:space="0" w:color="auto"/>
            <w:right w:val="none" w:sz="0" w:space="0" w:color="auto"/>
          </w:divBdr>
        </w:div>
        <w:div w:id="825364155">
          <w:marLeft w:val="0"/>
          <w:marRight w:val="0"/>
          <w:marTop w:val="0"/>
          <w:marBottom w:val="0"/>
          <w:divBdr>
            <w:top w:val="none" w:sz="0" w:space="0" w:color="auto"/>
            <w:left w:val="none" w:sz="0" w:space="0" w:color="auto"/>
            <w:bottom w:val="none" w:sz="0" w:space="0" w:color="auto"/>
            <w:right w:val="none" w:sz="0" w:space="0" w:color="auto"/>
          </w:divBdr>
        </w:div>
        <w:div w:id="990056857">
          <w:marLeft w:val="0"/>
          <w:marRight w:val="0"/>
          <w:marTop w:val="0"/>
          <w:marBottom w:val="0"/>
          <w:divBdr>
            <w:top w:val="none" w:sz="0" w:space="0" w:color="auto"/>
            <w:left w:val="none" w:sz="0" w:space="0" w:color="auto"/>
            <w:bottom w:val="none" w:sz="0" w:space="0" w:color="auto"/>
            <w:right w:val="none" w:sz="0" w:space="0" w:color="auto"/>
          </w:divBdr>
        </w:div>
        <w:div w:id="540284376">
          <w:marLeft w:val="0"/>
          <w:marRight w:val="0"/>
          <w:marTop w:val="0"/>
          <w:marBottom w:val="0"/>
          <w:divBdr>
            <w:top w:val="none" w:sz="0" w:space="0" w:color="auto"/>
            <w:left w:val="none" w:sz="0" w:space="0" w:color="auto"/>
            <w:bottom w:val="none" w:sz="0" w:space="0" w:color="auto"/>
            <w:right w:val="none" w:sz="0" w:space="0" w:color="auto"/>
          </w:divBdr>
        </w:div>
      </w:divsChild>
    </w:div>
    <w:div w:id="262110519">
      <w:marLeft w:val="0"/>
      <w:marRight w:val="0"/>
      <w:marTop w:val="0"/>
      <w:marBottom w:val="160"/>
      <w:divBdr>
        <w:top w:val="none" w:sz="0" w:space="0" w:color="auto"/>
        <w:left w:val="none" w:sz="0" w:space="0" w:color="auto"/>
        <w:bottom w:val="none" w:sz="0" w:space="0" w:color="auto"/>
        <w:right w:val="none" w:sz="0" w:space="0" w:color="auto"/>
      </w:divBdr>
    </w:div>
    <w:div w:id="264575180">
      <w:marLeft w:val="0"/>
      <w:marRight w:val="0"/>
      <w:marTop w:val="0"/>
      <w:marBottom w:val="0"/>
      <w:divBdr>
        <w:top w:val="none" w:sz="0" w:space="0" w:color="auto"/>
        <w:left w:val="none" w:sz="0" w:space="0" w:color="auto"/>
        <w:bottom w:val="none" w:sz="0" w:space="0" w:color="auto"/>
        <w:right w:val="none" w:sz="0" w:space="0" w:color="auto"/>
      </w:divBdr>
    </w:div>
    <w:div w:id="267978809">
      <w:marLeft w:val="0"/>
      <w:marRight w:val="0"/>
      <w:marTop w:val="200"/>
      <w:marBottom w:val="0"/>
      <w:divBdr>
        <w:top w:val="none" w:sz="0" w:space="0" w:color="auto"/>
        <w:left w:val="none" w:sz="0" w:space="0" w:color="auto"/>
        <w:bottom w:val="none" w:sz="0" w:space="0" w:color="auto"/>
        <w:right w:val="none" w:sz="0" w:space="0" w:color="auto"/>
      </w:divBdr>
    </w:div>
    <w:div w:id="270401941">
      <w:marLeft w:val="0"/>
      <w:marRight w:val="0"/>
      <w:marTop w:val="200"/>
      <w:marBottom w:val="0"/>
      <w:divBdr>
        <w:top w:val="none" w:sz="0" w:space="0" w:color="auto"/>
        <w:left w:val="none" w:sz="0" w:space="0" w:color="auto"/>
        <w:bottom w:val="none" w:sz="0" w:space="0" w:color="auto"/>
        <w:right w:val="none" w:sz="0" w:space="0" w:color="auto"/>
      </w:divBdr>
    </w:div>
    <w:div w:id="274486282">
      <w:marLeft w:val="0"/>
      <w:marRight w:val="0"/>
      <w:marTop w:val="0"/>
      <w:marBottom w:val="0"/>
      <w:divBdr>
        <w:top w:val="none" w:sz="0" w:space="0" w:color="auto"/>
        <w:left w:val="none" w:sz="0" w:space="0" w:color="auto"/>
        <w:bottom w:val="none" w:sz="0" w:space="0" w:color="auto"/>
        <w:right w:val="none" w:sz="0" w:space="0" w:color="auto"/>
      </w:divBdr>
    </w:div>
    <w:div w:id="274989264">
      <w:marLeft w:val="0"/>
      <w:marRight w:val="0"/>
      <w:marTop w:val="0"/>
      <w:marBottom w:val="0"/>
      <w:divBdr>
        <w:top w:val="none" w:sz="0" w:space="0" w:color="auto"/>
        <w:left w:val="none" w:sz="0" w:space="0" w:color="auto"/>
        <w:bottom w:val="none" w:sz="0" w:space="0" w:color="auto"/>
        <w:right w:val="none" w:sz="0" w:space="0" w:color="auto"/>
      </w:divBdr>
      <w:divsChild>
        <w:div w:id="1849103242">
          <w:marLeft w:val="0"/>
          <w:marRight w:val="0"/>
          <w:marTop w:val="0"/>
          <w:marBottom w:val="0"/>
          <w:divBdr>
            <w:top w:val="none" w:sz="0" w:space="0" w:color="auto"/>
            <w:left w:val="none" w:sz="0" w:space="0" w:color="auto"/>
            <w:bottom w:val="none" w:sz="0" w:space="0" w:color="auto"/>
            <w:right w:val="none" w:sz="0" w:space="0" w:color="auto"/>
          </w:divBdr>
        </w:div>
      </w:divsChild>
    </w:div>
    <w:div w:id="275406754">
      <w:marLeft w:val="0"/>
      <w:marRight w:val="0"/>
      <w:marTop w:val="0"/>
      <w:marBottom w:val="0"/>
      <w:divBdr>
        <w:top w:val="none" w:sz="0" w:space="0" w:color="auto"/>
        <w:left w:val="none" w:sz="0" w:space="0" w:color="auto"/>
        <w:bottom w:val="none" w:sz="0" w:space="0" w:color="auto"/>
        <w:right w:val="none" w:sz="0" w:space="0" w:color="auto"/>
      </w:divBdr>
    </w:div>
    <w:div w:id="275790639">
      <w:marLeft w:val="0"/>
      <w:marRight w:val="0"/>
      <w:marTop w:val="0"/>
      <w:marBottom w:val="0"/>
      <w:divBdr>
        <w:top w:val="none" w:sz="0" w:space="0" w:color="auto"/>
        <w:left w:val="none" w:sz="0" w:space="0" w:color="auto"/>
        <w:bottom w:val="none" w:sz="0" w:space="0" w:color="auto"/>
        <w:right w:val="none" w:sz="0" w:space="0" w:color="auto"/>
      </w:divBdr>
      <w:divsChild>
        <w:div w:id="1152330035">
          <w:marLeft w:val="0"/>
          <w:marRight w:val="0"/>
          <w:marTop w:val="0"/>
          <w:marBottom w:val="0"/>
          <w:divBdr>
            <w:top w:val="none" w:sz="0" w:space="0" w:color="auto"/>
            <w:left w:val="none" w:sz="0" w:space="0" w:color="auto"/>
            <w:bottom w:val="none" w:sz="0" w:space="0" w:color="auto"/>
            <w:right w:val="none" w:sz="0" w:space="0" w:color="auto"/>
          </w:divBdr>
        </w:div>
      </w:divsChild>
    </w:div>
    <w:div w:id="276185509">
      <w:marLeft w:val="0"/>
      <w:marRight w:val="0"/>
      <w:marTop w:val="0"/>
      <w:marBottom w:val="0"/>
      <w:divBdr>
        <w:top w:val="none" w:sz="0" w:space="0" w:color="auto"/>
        <w:left w:val="none" w:sz="0" w:space="0" w:color="auto"/>
        <w:bottom w:val="none" w:sz="0" w:space="0" w:color="auto"/>
        <w:right w:val="none" w:sz="0" w:space="0" w:color="auto"/>
      </w:divBdr>
    </w:div>
    <w:div w:id="278218117">
      <w:marLeft w:val="0"/>
      <w:marRight w:val="0"/>
      <w:marTop w:val="0"/>
      <w:marBottom w:val="160"/>
      <w:divBdr>
        <w:top w:val="none" w:sz="0" w:space="0" w:color="auto"/>
        <w:left w:val="none" w:sz="0" w:space="0" w:color="auto"/>
        <w:bottom w:val="none" w:sz="0" w:space="0" w:color="auto"/>
        <w:right w:val="none" w:sz="0" w:space="0" w:color="auto"/>
      </w:divBdr>
    </w:div>
    <w:div w:id="279578352">
      <w:marLeft w:val="0"/>
      <w:marRight w:val="0"/>
      <w:marTop w:val="0"/>
      <w:marBottom w:val="160"/>
      <w:divBdr>
        <w:top w:val="none" w:sz="0" w:space="0" w:color="auto"/>
        <w:left w:val="none" w:sz="0" w:space="0" w:color="auto"/>
        <w:bottom w:val="none" w:sz="0" w:space="0" w:color="auto"/>
        <w:right w:val="none" w:sz="0" w:space="0" w:color="auto"/>
      </w:divBdr>
    </w:div>
    <w:div w:id="280301991">
      <w:marLeft w:val="0"/>
      <w:marRight w:val="0"/>
      <w:marTop w:val="200"/>
      <w:marBottom w:val="0"/>
      <w:divBdr>
        <w:top w:val="none" w:sz="0" w:space="0" w:color="auto"/>
        <w:left w:val="none" w:sz="0" w:space="0" w:color="auto"/>
        <w:bottom w:val="none" w:sz="0" w:space="0" w:color="auto"/>
        <w:right w:val="none" w:sz="0" w:space="0" w:color="auto"/>
      </w:divBdr>
    </w:div>
    <w:div w:id="282226379">
      <w:marLeft w:val="0"/>
      <w:marRight w:val="0"/>
      <w:marTop w:val="0"/>
      <w:marBottom w:val="0"/>
      <w:divBdr>
        <w:top w:val="none" w:sz="0" w:space="0" w:color="auto"/>
        <w:left w:val="none" w:sz="0" w:space="0" w:color="auto"/>
        <w:bottom w:val="none" w:sz="0" w:space="0" w:color="auto"/>
        <w:right w:val="none" w:sz="0" w:space="0" w:color="auto"/>
      </w:divBdr>
    </w:div>
    <w:div w:id="283007565">
      <w:marLeft w:val="0"/>
      <w:marRight w:val="0"/>
      <w:marTop w:val="200"/>
      <w:marBottom w:val="0"/>
      <w:divBdr>
        <w:top w:val="none" w:sz="0" w:space="0" w:color="auto"/>
        <w:left w:val="none" w:sz="0" w:space="0" w:color="auto"/>
        <w:bottom w:val="none" w:sz="0" w:space="0" w:color="auto"/>
        <w:right w:val="none" w:sz="0" w:space="0" w:color="auto"/>
      </w:divBdr>
    </w:div>
    <w:div w:id="284317027">
      <w:marLeft w:val="0"/>
      <w:marRight w:val="0"/>
      <w:marTop w:val="200"/>
      <w:marBottom w:val="0"/>
      <w:divBdr>
        <w:top w:val="none" w:sz="0" w:space="0" w:color="auto"/>
        <w:left w:val="none" w:sz="0" w:space="0" w:color="auto"/>
        <w:bottom w:val="none" w:sz="0" w:space="0" w:color="auto"/>
        <w:right w:val="none" w:sz="0" w:space="0" w:color="auto"/>
      </w:divBdr>
    </w:div>
    <w:div w:id="287511429">
      <w:marLeft w:val="0"/>
      <w:marRight w:val="0"/>
      <w:marTop w:val="200"/>
      <w:marBottom w:val="0"/>
      <w:divBdr>
        <w:top w:val="none" w:sz="0" w:space="0" w:color="auto"/>
        <w:left w:val="none" w:sz="0" w:space="0" w:color="auto"/>
        <w:bottom w:val="none" w:sz="0" w:space="0" w:color="auto"/>
        <w:right w:val="none" w:sz="0" w:space="0" w:color="auto"/>
      </w:divBdr>
    </w:div>
    <w:div w:id="287586427">
      <w:marLeft w:val="0"/>
      <w:marRight w:val="0"/>
      <w:marTop w:val="0"/>
      <w:marBottom w:val="0"/>
      <w:divBdr>
        <w:top w:val="none" w:sz="0" w:space="0" w:color="auto"/>
        <w:left w:val="none" w:sz="0" w:space="0" w:color="auto"/>
        <w:bottom w:val="none" w:sz="0" w:space="0" w:color="auto"/>
        <w:right w:val="none" w:sz="0" w:space="0" w:color="auto"/>
      </w:divBdr>
      <w:divsChild>
        <w:div w:id="796028019">
          <w:marLeft w:val="0"/>
          <w:marRight w:val="0"/>
          <w:marTop w:val="0"/>
          <w:marBottom w:val="0"/>
          <w:divBdr>
            <w:top w:val="none" w:sz="0" w:space="0" w:color="auto"/>
            <w:left w:val="none" w:sz="0" w:space="0" w:color="auto"/>
            <w:bottom w:val="none" w:sz="0" w:space="0" w:color="auto"/>
            <w:right w:val="none" w:sz="0" w:space="0" w:color="auto"/>
          </w:divBdr>
        </w:div>
      </w:divsChild>
    </w:div>
    <w:div w:id="288320297">
      <w:marLeft w:val="0"/>
      <w:marRight w:val="0"/>
      <w:marTop w:val="0"/>
      <w:marBottom w:val="0"/>
      <w:divBdr>
        <w:top w:val="none" w:sz="0" w:space="0" w:color="auto"/>
        <w:left w:val="none" w:sz="0" w:space="0" w:color="auto"/>
        <w:bottom w:val="none" w:sz="0" w:space="0" w:color="auto"/>
        <w:right w:val="none" w:sz="0" w:space="0" w:color="auto"/>
      </w:divBdr>
    </w:div>
    <w:div w:id="289482402">
      <w:marLeft w:val="0"/>
      <w:marRight w:val="0"/>
      <w:marTop w:val="0"/>
      <w:marBottom w:val="0"/>
      <w:divBdr>
        <w:top w:val="none" w:sz="0" w:space="0" w:color="auto"/>
        <w:left w:val="none" w:sz="0" w:space="0" w:color="auto"/>
        <w:bottom w:val="none" w:sz="0" w:space="0" w:color="auto"/>
        <w:right w:val="none" w:sz="0" w:space="0" w:color="auto"/>
      </w:divBdr>
      <w:divsChild>
        <w:div w:id="482476596">
          <w:marLeft w:val="0"/>
          <w:marRight w:val="0"/>
          <w:marTop w:val="0"/>
          <w:marBottom w:val="0"/>
          <w:divBdr>
            <w:top w:val="none" w:sz="0" w:space="0" w:color="auto"/>
            <w:left w:val="none" w:sz="0" w:space="0" w:color="auto"/>
            <w:bottom w:val="none" w:sz="0" w:space="0" w:color="auto"/>
            <w:right w:val="none" w:sz="0" w:space="0" w:color="auto"/>
          </w:divBdr>
        </w:div>
      </w:divsChild>
    </w:div>
    <w:div w:id="289749178">
      <w:marLeft w:val="0"/>
      <w:marRight w:val="0"/>
      <w:marTop w:val="0"/>
      <w:marBottom w:val="0"/>
      <w:divBdr>
        <w:top w:val="none" w:sz="0" w:space="0" w:color="auto"/>
        <w:left w:val="none" w:sz="0" w:space="0" w:color="auto"/>
        <w:bottom w:val="none" w:sz="0" w:space="0" w:color="auto"/>
        <w:right w:val="none" w:sz="0" w:space="0" w:color="auto"/>
      </w:divBdr>
    </w:div>
    <w:div w:id="290594856">
      <w:marLeft w:val="0"/>
      <w:marRight w:val="0"/>
      <w:marTop w:val="200"/>
      <w:marBottom w:val="0"/>
      <w:divBdr>
        <w:top w:val="none" w:sz="0" w:space="0" w:color="auto"/>
        <w:left w:val="none" w:sz="0" w:space="0" w:color="auto"/>
        <w:bottom w:val="none" w:sz="0" w:space="0" w:color="auto"/>
        <w:right w:val="none" w:sz="0" w:space="0" w:color="auto"/>
      </w:divBdr>
    </w:div>
    <w:div w:id="293415404">
      <w:marLeft w:val="0"/>
      <w:marRight w:val="0"/>
      <w:marTop w:val="0"/>
      <w:marBottom w:val="0"/>
      <w:divBdr>
        <w:top w:val="none" w:sz="0" w:space="0" w:color="auto"/>
        <w:left w:val="none" w:sz="0" w:space="0" w:color="auto"/>
        <w:bottom w:val="none" w:sz="0" w:space="0" w:color="auto"/>
        <w:right w:val="none" w:sz="0" w:space="0" w:color="auto"/>
      </w:divBdr>
      <w:divsChild>
        <w:div w:id="789321073">
          <w:marLeft w:val="0"/>
          <w:marRight w:val="0"/>
          <w:marTop w:val="0"/>
          <w:marBottom w:val="0"/>
          <w:divBdr>
            <w:top w:val="none" w:sz="0" w:space="0" w:color="auto"/>
            <w:left w:val="none" w:sz="0" w:space="0" w:color="auto"/>
            <w:bottom w:val="none" w:sz="0" w:space="0" w:color="auto"/>
            <w:right w:val="none" w:sz="0" w:space="0" w:color="auto"/>
          </w:divBdr>
        </w:div>
      </w:divsChild>
    </w:div>
    <w:div w:id="294068425">
      <w:marLeft w:val="0"/>
      <w:marRight w:val="0"/>
      <w:marTop w:val="0"/>
      <w:marBottom w:val="0"/>
      <w:divBdr>
        <w:top w:val="none" w:sz="0" w:space="0" w:color="auto"/>
        <w:left w:val="none" w:sz="0" w:space="0" w:color="auto"/>
        <w:bottom w:val="none" w:sz="0" w:space="0" w:color="auto"/>
        <w:right w:val="none" w:sz="0" w:space="0" w:color="auto"/>
      </w:divBdr>
    </w:div>
    <w:div w:id="304504833">
      <w:marLeft w:val="0"/>
      <w:marRight w:val="0"/>
      <w:marTop w:val="0"/>
      <w:marBottom w:val="0"/>
      <w:divBdr>
        <w:top w:val="none" w:sz="0" w:space="0" w:color="auto"/>
        <w:left w:val="none" w:sz="0" w:space="0" w:color="auto"/>
        <w:bottom w:val="none" w:sz="0" w:space="0" w:color="auto"/>
        <w:right w:val="none" w:sz="0" w:space="0" w:color="auto"/>
      </w:divBdr>
      <w:divsChild>
        <w:div w:id="435058286">
          <w:marLeft w:val="0"/>
          <w:marRight w:val="0"/>
          <w:marTop w:val="0"/>
          <w:marBottom w:val="0"/>
          <w:divBdr>
            <w:top w:val="none" w:sz="0" w:space="0" w:color="auto"/>
            <w:left w:val="none" w:sz="0" w:space="0" w:color="auto"/>
            <w:bottom w:val="none" w:sz="0" w:space="0" w:color="auto"/>
            <w:right w:val="none" w:sz="0" w:space="0" w:color="auto"/>
          </w:divBdr>
        </w:div>
      </w:divsChild>
    </w:div>
    <w:div w:id="305359259">
      <w:marLeft w:val="0"/>
      <w:marRight w:val="0"/>
      <w:marTop w:val="0"/>
      <w:marBottom w:val="0"/>
      <w:divBdr>
        <w:top w:val="none" w:sz="0" w:space="0" w:color="auto"/>
        <w:left w:val="none" w:sz="0" w:space="0" w:color="auto"/>
        <w:bottom w:val="none" w:sz="0" w:space="0" w:color="auto"/>
        <w:right w:val="none" w:sz="0" w:space="0" w:color="auto"/>
      </w:divBdr>
      <w:divsChild>
        <w:div w:id="524446644">
          <w:marLeft w:val="0"/>
          <w:marRight w:val="0"/>
          <w:marTop w:val="0"/>
          <w:marBottom w:val="0"/>
          <w:divBdr>
            <w:top w:val="none" w:sz="0" w:space="0" w:color="auto"/>
            <w:left w:val="none" w:sz="0" w:space="0" w:color="auto"/>
            <w:bottom w:val="none" w:sz="0" w:space="0" w:color="auto"/>
            <w:right w:val="none" w:sz="0" w:space="0" w:color="auto"/>
          </w:divBdr>
        </w:div>
      </w:divsChild>
    </w:div>
    <w:div w:id="306933001">
      <w:marLeft w:val="0"/>
      <w:marRight w:val="0"/>
      <w:marTop w:val="0"/>
      <w:marBottom w:val="0"/>
      <w:divBdr>
        <w:top w:val="none" w:sz="0" w:space="0" w:color="auto"/>
        <w:left w:val="none" w:sz="0" w:space="0" w:color="auto"/>
        <w:bottom w:val="none" w:sz="0" w:space="0" w:color="auto"/>
        <w:right w:val="none" w:sz="0" w:space="0" w:color="auto"/>
      </w:divBdr>
    </w:div>
    <w:div w:id="306984065">
      <w:marLeft w:val="0"/>
      <w:marRight w:val="0"/>
      <w:marTop w:val="0"/>
      <w:marBottom w:val="0"/>
      <w:divBdr>
        <w:top w:val="none" w:sz="0" w:space="0" w:color="auto"/>
        <w:left w:val="none" w:sz="0" w:space="0" w:color="auto"/>
        <w:bottom w:val="none" w:sz="0" w:space="0" w:color="auto"/>
        <w:right w:val="none" w:sz="0" w:space="0" w:color="auto"/>
      </w:divBdr>
      <w:divsChild>
        <w:div w:id="411463618">
          <w:marLeft w:val="0"/>
          <w:marRight w:val="0"/>
          <w:marTop w:val="0"/>
          <w:marBottom w:val="0"/>
          <w:divBdr>
            <w:top w:val="none" w:sz="0" w:space="0" w:color="auto"/>
            <w:left w:val="none" w:sz="0" w:space="0" w:color="auto"/>
            <w:bottom w:val="none" w:sz="0" w:space="0" w:color="auto"/>
            <w:right w:val="none" w:sz="0" w:space="0" w:color="auto"/>
          </w:divBdr>
        </w:div>
      </w:divsChild>
    </w:div>
    <w:div w:id="310603089">
      <w:marLeft w:val="0"/>
      <w:marRight w:val="0"/>
      <w:marTop w:val="0"/>
      <w:marBottom w:val="0"/>
      <w:divBdr>
        <w:top w:val="none" w:sz="0" w:space="0" w:color="auto"/>
        <w:left w:val="none" w:sz="0" w:space="0" w:color="auto"/>
        <w:bottom w:val="none" w:sz="0" w:space="0" w:color="auto"/>
        <w:right w:val="none" w:sz="0" w:space="0" w:color="auto"/>
      </w:divBdr>
      <w:divsChild>
        <w:div w:id="1164201393">
          <w:marLeft w:val="0"/>
          <w:marRight w:val="0"/>
          <w:marTop w:val="0"/>
          <w:marBottom w:val="0"/>
          <w:divBdr>
            <w:top w:val="none" w:sz="0" w:space="0" w:color="auto"/>
            <w:left w:val="none" w:sz="0" w:space="0" w:color="auto"/>
            <w:bottom w:val="none" w:sz="0" w:space="0" w:color="auto"/>
            <w:right w:val="none" w:sz="0" w:space="0" w:color="auto"/>
          </w:divBdr>
        </w:div>
      </w:divsChild>
    </w:div>
    <w:div w:id="311640323">
      <w:marLeft w:val="0"/>
      <w:marRight w:val="0"/>
      <w:marTop w:val="60"/>
      <w:marBottom w:val="0"/>
      <w:divBdr>
        <w:top w:val="none" w:sz="0" w:space="0" w:color="auto"/>
        <w:left w:val="none" w:sz="0" w:space="0" w:color="auto"/>
        <w:bottom w:val="none" w:sz="0" w:space="0" w:color="auto"/>
        <w:right w:val="none" w:sz="0" w:space="0" w:color="auto"/>
      </w:divBdr>
    </w:div>
    <w:div w:id="314335696">
      <w:marLeft w:val="0"/>
      <w:marRight w:val="0"/>
      <w:marTop w:val="200"/>
      <w:marBottom w:val="0"/>
      <w:divBdr>
        <w:top w:val="none" w:sz="0" w:space="0" w:color="auto"/>
        <w:left w:val="none" w:sz="0" w:space="0" w:color="auto"/>
        <w:bottom w:val="none" w:sz="0" w:space="0" w:color="auto"/>
        <w:right w:val="none" w:sz="0" w:space="0" w:color="auto"/>
      </w:divBdr>
    </w:div>
    <w:div w:id="318267361">
      <w:marLeft w:val="0"/>
      <w:marRight w:val="0"/>
      <w:marTop w:val="0"/>
      <w:marBottom w:val="0"/>
      <w:divBdr>
        <w:top w:val="none" w:sz="0" w:space="0" w:color="auto"/>
        <w:left w:val="none" w:sz="0" w:space="0" w:color="auto"/>
        <w:bottom w:val="none" w:sz="0" w:space="0" w:color="auto"/>
        <w:right w:val="none" w:sz="0" w:space="0" w:color="auto"/>
      </w:divBdr>
    </w:div>
    <w:div w:id="318508512">
      <w:marLeft w:val="0"/>
      <w:marRight w:val="0"/>
      <w:marTop w:val="200"/>
      <w:marBottom w:val="0"/>
      <w:divBdr>
        <w:top w:val="none" w:sz="0" w:space="0" w:color="auto"/>
        <w:left w:val="none" w:sz="0" w:space="0" w:color="auto"/>
        <w:bottom w:val="none" w:sz="0" w:space="0" w:color="auto"/>
        <w:right w:val="none" w:sz="0" w:space="0" w:color="auto"/>
      </w:divBdr>
    </w:div>
    <w:div w:id="322122452">
      <w:marLeft w:val="0"/>
      <w:marRight w:val="0"/>
      <w:marTop w:val="0"/>
      <w:marBottom w:val="0"/>
      <w:divBdr>
        <w:top w:val="none" w:sz="0" w:space="0" w:color="auto"/>
        <w:left w:val="none" w:sz="0" w:space="0" w:color="auto"/>
        <w:bottom w:val="none" w:sz="0" w:space="0" w:color="auto"/>
        <w:right w:val="none" w:sz="0" w:space="0" w:color="auto"/>
      </w:divBdr>
    </w:div>
    <w:div w:id="322392191">
      <w:marLeft w:val="0"/>
      <w:marRight w:val="0"/>
      <w:marTop w:val="60"/>
      <w:marBottom w:val="0"/>
      <w:divBdr>
        <w:top w:val="none" w:sz="0" w:space="0" w:color="auto"/>
        <w:left w:val="none" w:sz="0" w:space="0" w:color="auto"/>
        <w:bottom w:val="none" w:sz="0" w:space="0" w:color="auto"/>
        <w:right w:val="none" w:sz="0" w:space="0" w:color="auto"/>
      </w:divBdr>
    </w:div>
    <w:div w:id="326790485">
      <w:marLeft w:val="0"/>
      <w:marRight w:val="0"/>
      <w:marTop w:val="100"/>
      <w:marBottom w:val="0"/>
      <w:divBdr>
        <w:top w:val="none" w:sz="0" w:space="0" w:color="auto"/>
        <w:left w:val="none" w:sz="0" w:space="0" w:color="auto"/>
        <w:bottom w:val="none" w:sz="0" w:space="0" w:color="auto"/>
        <w:right w:val="none" w:sz="0" w:space="0" w:color="auto"/>
      </w:divBdr>
    </w:div>
    <w:div w:id="327950651">
      <w:marLeft w:val="0"/>
      <w:marRight w:val="0"/>
      <w:marTop w:val="200"/>
      <w:marBottom w:val="0"/>
      <w:divBdr>
        <w:top w:val="none" w:sz="0" w:space="0" w:color="auto"/>
        <w:left w:val="none" w:sz="0" w:space="0" w:color="auto"/>
        <w:bottom w:val="none" w:sz="0" w:space="0" w:color="auto"/>
        <w:right w:val="none" w:sz="0" w:space="0" w:color="auto"/>
      </w:divBdr>
    </w:div>
    <w:div w:id="331835744">
      <w:marLeft w:val="0"/>
      <w:marRight w:val="0"/>
      <w:marTop w:val="0"/>
      <w:marBottom w:val="0"/>
      <w:divBdr>
        <w:top w:val="none" w:sz="0" w:space="0" w:color="auto"/>
        <w:left w:val="none" w:sz="0" w:space="0" w:color="auto"/>
        <w:bottom w:val="none" w:sz="0" w:space="0" w:color="auto"/>
        <w:right w:val="none" w:sz="0" w:space="0" w:color="auto"/>
      </w:divBdr>
      <w:divsChild>
        <w:div w:id="165747474">
          <w:marLeft w:val="0"/>
          <w:marRight w:val="0"/>
          <w:marTop w:val="0"/>
          <w:marBottom w:val="0"/>
          <w:divBdr>
            <w:top w:val="none" w:sz="0" w:space="0" w:color="auto"/>
            <w:left w:val="none" w:sz="0" w:space="0" w:color="auto"/>
            <w:bottom w:val="none" w:sz="0" w:space="0" w:color="auto"/>
            <w:right w:val="none" w:sz="0" w:space="0" w:color="auto"/>
          </w:divBdr>
        </w:div>
      </w:divsChild>
    </w:div>
    <w:div w:id="336664132">
      <w:marLeft w:val="0"/>
      <w:marRight w:val="0"/>
      <w:marTop w:val="0"/>
      <w:marBottom w:val="0"/>
      <w:divBdr>
        <w:top w:val="none" w:sz="0" w:space="0" w:color="auto"/>
        <w:left w:val="none" w:sz="0" w:space="0" w:color="auto"/>
        <w:bottom w:val="none" w:sz="0" w:space="0" w:color="auto"/>
        <w:right w:val="none" w:sz="0" w:space="0" w:color="auto"/>
      </w:divBdr>
    </w:div>
    <w:div w:id="336809709">
      <w:marLeft w:val="0"/>
      <w:marRight w:val="0"/>
      <w:marTop w:val="0"/>
      <w:marBottom w:val="0"/>
      <w:divBdr>
        <w:top w:val="none" w:sz="0" w:space="0" w:color="auto"/>
        <w:left w:val="none" w:sz="0" w:space="0" w:color="auto"/>
        <w:bottom w:val="none" w:sz="0" w:space="0" w:color="auto"/>
        <w:right w:val="none" w:sz="0" w:space="0" w:color="auto"/>
      </w:divBdr>
    </w:div>
    <w:div w:id="337387512">
      <w:marLeft w:val="0"/>
      <w:marRight w:val="0"/>
      <w:marTop w:val="0"/>
      <w:marBottom w:val="200"/>
      <w:divBdr>
        <w:top w:val="none" w:sz="0" w:space="0" w:color="auto"/>
        <w:left w:val="none" w:sz="0" w:space="0" w:color="auto"/>
        <w:bottom w:val="none" w:sz="0" w:space="0" w:color="auto"/>
        <w:right w:val="none" w:sz="0" w:space="0" w:color="auto"/>
      </w:divBdr>
    </w:div>
    <w:div w:id="337581571">
      <w:marLeft w:val="0"/>
      <w:marRight w:val="0"/>
      <w:marTop w:val="0"/>
      <w:marBottom w:val="0"/>
      <w:divBdr>
        <w:top w:val="none" w:sz="0" w:space="0" w:color="auto"/>
        <w:left w:val="none" w:sz="0" w:space="0" w:color="auto"/>
        <w:bottom w:val="none" w:sz="0" w:space="0" w:color="auto"/>
        <w:right w:val="none" w:sz="0" w:space="0" w:color="auto"/>
      </w:divBdr>
      <w:divsChild>
        <w:div w:id="263460720">
          <w:marLeft w:val="0"/>
          <w:marRight w:val="0"/>
          <w:marTop w:val="0"/>
          <w:marBottom w:val="0"/>
          <w:divBdr>
            <w:top w:val="none" w:sz="0" w:space="0" w:color="auto"/>
            <w:left w:val="none" w:sz="0" w:space="0" w:color="auto"/>
            <w:bottom w:val="none" w:sz="0" w:space="0" w:color="auto"/>
            <w:right w:val="none" w:sz="0" w:space="0" w:color="auto"/>
          </w:divBdr>
        </w:div>
        <w:div w:id="801078248">
          <w:marLeft w:val="0"/>
          <w:marRight w:val="0"/>
          <w:marTop w:val="0"/>
          <w:marBottom w:val="0"/>
          <w:divBdr>
            <w:top w:val="none" w:sz="0" w:space="0" w:color="auto"/>
            <w:left w:val="none" w:sz="0" w:space="0" w:color="auto"/>
            <w:bottom w:val="none" w:sz="0" w:space="0" w:color="auto"/>
            <w:right w:val="none" w:sz="0" w:space="0" w:color="auto"/>
          </w:divBdr>
        </w:div>
        <w:div w:id="814570631">
          <w:marLeft w:val="0"/>
          <w:marRight w:val="0"/>
          <w:marTop w:val="0"/>
          <w:marBottom w:val="0"/>
          <w:divBdr>
            <w:top w:val="none" w:sz="0" w:space="0" w:color="auto"/>
            <w:left w:val="none" w:sz="0" w:space="0" w:color="auto"/>
            <w:bottom w:val="none" w:sz="0" w:space="0" w:color="auto"/>
            <w:right w:val="none" w:sz="0" w:space="0" w:color="auto"/>
          </w:divBdr>
        </w:div>
        <w:div w:id="1413351749">
          <w:marLeft w:val="0"/>
          <w:marRight w:val="0"/>
          <w:marTop w:val="0"/>
          <w:marBottom w:val="0"/>
          <w:divBdr>
            <w:top w:val="none" w:sz="0" w:space="0" w:color="auto"/>
            <w:left w:val="none" w:sz="0" w:space="0" w:color="auto"/>
            <w:bottom w:val="none" w:sz="0" w:space="0" w:color="auto"/>
            <w:right w:val="none" w:sz="0" w:space="0" w:color="auto"/>
          </w:divBdr>
        </w:div>
      </w:divsChild>
    </w:div>
    <w:div w:id="338460284">
      <w:marLeft w:val="0"/>
      <w:marRight w:val="0"/>
      <w:marTop w:val="200"/>
      <w:marBottom w:val="0"/>
      <w:divBdr>
        <w:top w:val="none" w:sz="0" w:space="0" w:color="auto"/>
        <w:left w:val="none" w:sz="0" w:space="0" w:color="auto"/>
        <w:bottom w:val="none" w:sz="0" w:space="0" w:color="auto"/>
        <w:right w:val="none" w:sz="0" w:space="0" w:color="auto"/>
      </w:divBdr>
    </w:div>
    <w:div w:id="340084035">
      <w:marLeft w:val="0"/>
      <w:marRight w:val="0"/>
      <w:marTop w:val="0"/>
      <w:marBottom w:val="0"/>
      <w:divBdr>
        <w:top w:val="none" w:sz="0" w:space="0" w:color="auto"/>
        <w:left w:val="none" w:sz="0" w:space="0" w:color="auto"/>
        <w:bottom w:val="none" w:sz="0" w:space="0" w:color="auto"/>
        <w:right w:val="none" w:sz="0" w:space="0" w:color="auto"/>
      </w:divBdr>
      <w:divsChild>
        <w:div w:id="904072523">
          <w:marLeft w:val="0"/>
          <w:marRight w:val="0"/>
          <w:marTop w:val="0"/>
          <w:marBottom w:val="0"/>
          <w:divBdr>
            <w:top w:val="none" w:sz="0" w:space="0" w:color="auto"/>
            <w:left w:val="none" w:sz="0" w:space="0" w:color="auto"/>
            <w:bottom w:val="none" w:sz="0" w:space="0" w:color="auto"/>
            <w:right w:val="none" w:sz="0" w:space="0" w:color="auto"/>
          </w:divBdr>
        </w:div>
      </w:divsChild>
    </w:div>
    <w:div w:id="340741562">
      <w:marLeft w:val="0"/>
      <w:marRight w:val="0"/>
      <w:marTop w:val="0"/>
      <w:marBottom w:val="160"/>
      <w:divBdr>
        <w:top w:val="none" w:sz="0" w:space="0" w:color="auto"/>
        <w:left w:val="none" w:sz="0" w:space="0" w:color="auto"/>
        <w:bottom w:val="none" w:sz="0" w:space="0" w:color="auto"/>
        <w:right w:val="none" w:sz="0" w:space="0" w:color="auto"/>
      </w:divBdr>
    </w:div>
    <w:div w:id="344674653">
      <w:marLeft w:val="0"/>
      <w:marRight w:val="0"/>
      <w:marTop w:val="0"/>
      <w:marBottom w:val="200"/>
      <w:divBdr>
        <w:top w:val="none" w:sz="0" w:space="0" w:color="auto"/>
        <w:left w:val="none" w:sz="0" w:space="0" w:color="auto"/>
        <w:bottom w:val="none" w:sz="0" w:space="0" w:color="auto"/>
        <w:right w:val="none" w:sz="0" w:space="0" w:color="auto"/>
      </w:divBdr>
    </w:div>
    <w:div w:id="345404161">
      <w:marLeft w:val="0"/>
      <w:marRight w:val="0"/>
      <w:marTop w:val="200"/>
      <w:marBottom w:val="0"/>
      <w:divBdr>
        <w:top w:val="none" w:sz="0" w:space="0" w:color="auto"/>
        <w:left w:val="none" w:sz="0" w:space="0" w:color="auto"/>
        <w:bottom w:val="none" w:sz="0" w:space="0" w:color="auto"/>
        <w:right w:val="none" w:sz="0" w:space="0" w:color="auto"/>
      </w:divBdr>
    </w:div>
    <w:div w:id="345450169">
      <w:marLeft w:val="0"/>
      <w:marRight w:val="0"/>
      <w:marTop w:val="0"/>
      <w:marBottom w:val="0"/>
      <w:divBdr>
        <w:top w:val="none" w:sz="0" w:space="0" w:color="auto"/>
        <w:left w:val="none" w:sz="0" w:space="0" w:color="auto"/>
        <w:bottom w:val="none" w:sz="0" w:space="0" w:color="auto"/>
        <w:right w:val="none" w:sz="0" w:space="0" w:color="auto"/>
      </w:divBdr>
      <w:divsChild>
        <w:div w:id="1150099312">
          <w:marLeft w:val="0"/>
          <w:marRight w:val="0"/>
          <w:marTop w:val="0"/>
          <w:marBottom w:val="0"/>
          <w:divBdr>
            <w:top w:val="none" w:sz="0" w:space="0" w:color="auto"/>
            <w:left w:val="none" w:sz="0" w:space="0" w:color="auto"/>
            <w:bottom w:val="none" w:sz="0" w:space="0" w:color="auto"/>
            <w:right w:val="none" w:sz="0" w:space="0" w:color="auto"/>
          </w:divBdr>
        </w:div>
      </w:divsChild>
    </w:div>
    <w:div w:id="347603603">
      <w:marLeft w:val="0"/>
      <w:marRight w:val="0"/>
      <w:marTop w:val="0"/>
      <w:marBottom w:val="0"/>
      <w:divBdr>
        <w:top w:val="none" w:sz="0" w:space="0" w:color="auto"/>
        <w:left w:val="none" w:sz="0" w:space="0" w:color="auto"/>
        <w:bottom w:val="none" w:sz="0" w:space="0" w:color="auto"/>
        <w:right w:val="none" w:sz="0" w:space="0" w:color="auto"/>
      </w:divBdr>
      <w:divsChild>
        <w:div w:id="1086193861">
          <w:marLeft w:val="0"/>
          <w:marRight w:val="0"/>
          <w:marTop w:val="0"/>
          <w:marBottom w:val="0"/>
          <w:divBdr>
            <w:top w:val="none" w:sz="0" w:space="0" w:color="auto"/>
            <w:left w:val="none" w:sz="0" w:space="0" w:color="auto"/>
            <w:bottom w:val="none" w:sz="0" w:space="0" w:color="auto"/>
            <w:right w:val="none" w:sz="0" w:space="0" w:color="auto"/>
          </w:divBdr>
        </w:div>
      </w:divsChild>
    </w:div>
    <w:div w:id="348914312">
      <w:marLeft w:val="0"/>
      <w:marRight w:val="0"/>
      <w:marTop w:val="0"/>
      <w:marBottom w:val="0"/>
      <w:divBdr>
        <w:top w:val="none" w:sz="0" w:space="0" w:color="auto"/>
        <w:left w:val="none" w:sz="0" w:space="0" w:color="auto"/>
        <w:bottom w:val="none" w:sz="0" w:space="0" w:color="auto"/>
        <w:right w:val="none" w:sz="0" w:space="0" w:color="auto"/>
      </w:divBdr>
      <w:divsChild>
        <w:div w:id="1823545009">
          <w:marLeft w:val="0"/>
          <w:marRight w:val="0"/>
          <w:marTop w:val="0"/>
          <w:marBottom w:val="0"/>
          <w:divBdr>
            <w:top w:val="none" w:sz="0" w:space="0" w:color="auto"/>
            <w:left w:val="none" w:sz="0" w:space="0" w:color="auto"/>
            <w:bottom w:val="none" w:sz="0" w:space="0" w:color="auto"/>
            <w:right w:val="none" w:sz="0" w:space="0" w:color="auto"/>
          </w:divBdr>
        </w:div>
      </w:divsChild>
    </w:div>
    <w:div w:id="349528231">
      <w:marLeft w:val="0"/>
      <w:marRight w:val="0"/>
      <w:marTop w:val="0"/>
      <w:marBottom w:val="0"/>
      <w:divBdr>
        <w:top w:val="none" w:sz="0" w:space="0" w:color="auto"/>
        <w:left w:val="none" w:sz="0" w:space="0" w:color="auto"/>
        <w:bottom w:val="none" w:sz="0" w:space="0" w:color="auto"/>
        <w:right w:val="none" w:sz="0" w:space="0" w:color="auto"/>
      </w:divBdr>
    </w:div>
    <w:div w:id="350837335">
      <w:marLeft w:val="0"/>
      <w:marRight w:val="0"/>
      <w:marTop w:val="200"/>
      <w:marBottom w:val="0"/>
      <w:divBdr>
        <w:top w:val="none" w:sz="0" w:space="0" w:color="auto"/>
        <w:left w:val="none" w:sz="0" w:space="0" w:color="auto"/>
        <w:bottom w:val="none" w:sz="0" w:space="0" w:color="auto"/>
        <w:right w:val="none" w:sz="0" w:space="0" w:color="auto"/>
      </w:divBdr>
    </w:div>
    <w:div w:id="351153939">
      <w:marLeft w:val="0"/>
      <w:marRight w:val="0"/>
      <w:marTop w:val="0"/>
      <w:marBottom w:val="0"/>
      <w:divBdr>
        <w:top w:val="none" w:sz="0" w:space="0" w:color="auto"/>
        <w:left w:val="none" w:sz="0" w:space="0" w:color="auto"/>
        <w:bottom w:val="none" w:sz="0" w:space="0" w:color="auto"/>
        <w:right w:val="none" w:sz="0" w:space="0" w:color="auto"/>
      </w:divBdr>
      <w:divsChild>
        <w:div w:id="1171947179">
          <w:marLeft w:val="0"/>
          <w:marRight w:val="0"/>
          <w:marTop w:val="0"/>
          <w:marBottom w:val="0"/>
          <w:divBdr>
            <w:top w:val="none" w:sz="0" w:space="0" w:color="auto"/>
            <w:left w:val="none" w:sz="0" w:space="0" w:color="auto"/>
            <w:bottom w:val="none" w:sz="0" w:space="0" w:color="auto"/>
            <w:right w:val="none" w:sz="0" w:space="0" w:color="auto"/>
          </w:divBdr>
        </w:div>
      </w:divsChild>
    </w:div>
    <w:div w:id="354771993">
      <w:marLeft w:val="0"/>
      <w:marRight w:val="0"/>
      <w:marTop w:val="0"/>
      <w:marBottom w:val="0"/>
      <w:divBdr>
        <w:top w:val="none" w:sz="0" w:space="0" w:color="auto"/>
        <w:left w:val="none" w:sz="0" w:space="0" w:color="auto"/>
        <w:bottom w:val="none" w:sz="0" w:space="0" w:color="auto"/>
        <w:right w:val="none" w:sz="0" w:space="0" w:color="auto"/>
      </w:divBdr>
      <w:divsChild>
        <w:div w:id="2038578798">
          <w:marLeft w:val="0"/>
          <w:marRight w:val="0"/>
          <w:marTop w:val="0"/>
          <w:marBottom w:val="0"/>
          <w:divBdr>
            <w:top w:val="none" w:sz="0" w:space="0" w:color="auto"/>
            <w:left w:val="none" w:sz="0" w:space="0" w:color="auto"/>
            <w:bottom w:val="none" w:sz="0" w:space="0" w:color="auto"/>
            <w:right w:val="none" w:sz="0" w:space="0" w:color="auto"/>
          </w:divBdr>
        </w:div>
      </w:divsChild>
    </w:div>
    <w:div w:id="355041213">
      <w:marLeft w:val="0"/>
      <w:marRight w:val="0"/>
      <w:marTop w:val="0"/>
      <w:marBottom w:val="0"/>
      <w:divBdr>
        <w:top w:val="none" w:sz="0" w:space="0" w:color="auto"/>
        <w:left w:val="none" w:sz="0" w:space="0" w:color="auto"/>
        <w:bottom w:val="none" w:sz="0" w:space="0" w:color="auto"/>
        <w:right w:val="none" w:sz="0" w:space="0" w:color="auto"/>
      </w:divBdr>
    </w:div>
    <w:div w:id="357000826">
      <w:marLeft w:val="0"/>
      <w:marRight w:val="0"/>
      <w:marTop w:val="0"/>
      <w:marBottom w:val="0"/>
      <w:divBdr>
        <w:top w:val="none" w:sz="0" w:space="0" w:color="auto"/>
        <w:left w:val="none" w:sz="0" w:space="0" w:color="auto"/>
        <w:bottom w:val="none" w:sz="0" w:space="0" w:color="auto"/>
        <w:right w:val="none" w:sz="0" w:space="0" w:color="auto"/>
      </w:divBdr>
    </w:div>
    <w:div w:id="359548820">
      <w:marLeft w:val="0"/>
      <w:marRight w:val="0"/>
      <w:marTop w:val="0"/>
      <w:marBottom w:val="0"/>
      <w:divBdr>
        <w:top w:val="none" w:sz="0" w:space="0" w:color="auto"/>
        <w:left w:val="none" w:sz="0" w:space="0" w:color="auto"/>
        <w:bottom w:val="none" w:sz="0" w:space="0" w:color="auto"/>
        <w:right w:val="none" w:sz="0" w:space="0" w:color="auto"/>
      </w:divBdr>
      <w:divsChild>
        <w:div w:id="163130682">
          <w:marLeft w:val="0"/>
          <w:marRight w:val="0"/>
          <w:marTop w:val="0"/>
          <w:marBottom w:val="0"/>
          <w:divBdr>
            <w:top w:val="none" w:sz="0" w:space="0" w:color="auto"/>
            <w:left w:val="none" w:sz="0" w:space="0" w:color="auto"/>
            <w:bottom w:val="none" w:sz="0" w:space="0" w:color="auto"/>
            <w:right w:val="none" w:sz="0" w:space="0" w:color="auto"/>
          </w:divBdr>
        </w:div>
      </w:divsChild>
    </w:div>
    <w:div w:id="361321398">
      <w:marLeft w:val="0"/>
      <w:marRight w:val="0"/>
      <w:marTop w:val="0"/>
      <w:marBottom w:val="0"/>
      <w:divBdr>
        <w:top w:val="none" w:sz="0" w:space="0" w:color="auto"/>
        <w:left w:val="none" w:sz="0" w:space="0" w:color="auto"/>
        <w:bottom w:val="none" w:sz="0" w:space="0" w:color="auto"/>
        <w:right w:val="none" w:sz="0" w:space="0" w:color="auto"/>
      </w:divBdr>
    </w:div>
    <w:div w:id="363286013">
      <w:marLeft w:val="0"/>
      <w:marRight w:val="0"/>
      <w:marTop w:val="0"/>
      <w:marBottom w:val="200"/>
      <w:divBdr>
        <w:top w:val="none" w:sz="0" w:space="0" w:color="auto"/>
        <w:left w:val="none" w:sz="0" w:space="0" w:color="auto"/>
        <w:bottom w:val="none" w:sz="0" w:space="0" w:color="auto"/>
        <w:right w:val="none" w:sz="0" w:space="0" w:color="auto"/>
      </w:divBdr>
    </w:div>
    <w:div w:id="364402301">
      <w:marLeft w:val="0"/>
      <w:marRight w:val="0"/>
      <w:marTop w:val="100"/>
      <w:marBottom w:val="0"/>
      <w:divBdr>
        <w:top w:val="none" w:sz="0" w:space="0" w:color="auto"/>
        <w:left w:val="none" w:sz="0" w:space="0" w:color="auto"/>
        <w:bottom w:val="none" w:sz="0" w:space="0" w:color="auto"/>
        <w:right w:val="none" w:sz="0" w:space="0" w:color="auto"/>
      </w:divBdr>
    </w:div>
    <w:div w:id="364794832">
      <w:marLeft w:val="0"/>
      <w:marRight w:val="0"/>
      <w:marTop w:val="0"/>
      <w:marBottom w:val="0"/>
      <w:divBdr>
        <w:top w:val="none" w:sz="0" w:space="0" w:color="auto"/>
        <w:left w:val="none" w:sz="0" w:space="0" w:color="auto"/>
        <w:bottom w:val="none" w:sz="0" w:space="0" w:color="auto"/>
        <w:right w:val="none" w:sz="0" w:space="0" w:color="auto"/>
      </w:divBdr>
    </w:div>
    <w:div w:id="365759498">
      <w:marLeft w:val="0"/>
      <w:marRight w:val="0"/>
      <w:marTop w:val="0"/>
      <w:marBottom w:val="0"/>
      <w:divBdr>
        <w:top w:val="none" w:sz="0" w:space="0" w:color="auto"/>
        <w:left w:val="none" w:sz="0" w:space="0" w:color="auto"/>
        <w:bottom w:val="none" w:sz="0" w:space="0" w:color="auto"/>
        <w:right w:val="none" w:sz="0" w:space="0" w:color="auto"/>
      </w:divBdr>
    </w:div>
    <w:div w:id="367142761">
      <w:marLeft w:val="0"/>
      <w:marRight w:val="0"/>
      <w:marTop w:val="200"/>
      <w:marBottom w:val="0"/>
      <w:divBdr>
        <w:top w:val="none" w:sz="0" w:space="0" w:color="auto"/>
        <w:left w:val="none" w:sz="0" w:space="0" w:color="auto"/>
        <w:bottom w:val="none" w:sz="0" w:space="0" w:color="auto"/>
        <w:right w:val="none" w:sz="0" w:space="0" w:color="auto"/>
      </w:divBdr>
    </w:div>
    <w:div w:id="368190641">
      <w:marLeft w:val="0"/>
      <w:marRight w:val="0"/>
      <w:marTop w:val="0"/>
      <w:marBottom w:val="0"/>
      <w:divBdr>
        <w:top w:val="none" w:sz="0" w:space="0" w:color="auto"/>
        <w:left w:val="none" w:sz="0" w:space="0" w:color="auto"/>
        <w:bottom w:val="none" w:sz="0" w:space="0" w:color="auto"/>
        <w:right w:val="none" w:sz="0" w:space="0" w:color="auto"/>
      </w:divBdr>
    </w:div>
    <w:div w:id="369106989">
      <w:marLeft w:val="0"/>
      <w:marRight w:val="0"/>
      <w:marTop w:val="0"/>
      <w:marBottom w:val="0"/>
      <w:divBdr>
        <w:top w:val="none" w:sz="0" w:space="0" w:color="auto"/>
        <w:left w:val="none" w:sz="0" w:space="0" w:color="auto"/>
        <w:bottom w:val="none" w:sz="0" w:space="0" w:color="auto"/>
        <w:right w:val="none" w:sz="0" w:space="0" w:color="auto"/>
      </w:divBdr>
    </w:div>
    <w:div w:id="371198506">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100"/>
      <w:marBottom w:val="0"/>
      <w:divBdr>
        <w:top w:val="none" w:sz="0" w:space="0" w:color="auto"/>
        <w:left w:val="none" w:sz="0" w:space="0" w:color="auto"/>
        <w:bottom w:val="none" w:sz="0" w:space="0" w:color="auto"/>
        <w:right w:val="none" w:sz="0" w:space="0" w:color="auto"/>
      </w:divBdr>
    </w:div>
    <w:div w:id="375398901">
      <w:marLeft w:val="0"/>
      <w:marRight w:val="0"/>
      <w:marTop w:val="200"/>
      <w:marBottom w:val="0"/>
      <w:divBdr>
        <w:top w:val="none" w:sz="0" w:space="0" w:color="auto"/>
        <w:left w:val="none" w:sz="0" w:space="0" w:color="auto"/>
        <w:bottom w:val="none" w:sz="0" w:space="0" w:color="auto"/>
        <w:right w:val="none" w:sz="0" w:space="0" w:color="auto"/>
      </w:divBdr>
    </w:div>
    <w:div w:id="375856341">
      <w:marLeft w:val="0"/>
      <w:marRight w:val="0"/>
      <w:marTop w:val="0"/>
      <w:marBottom w:val="0"/>
      <w:divBdr>
        <w:top w:val="none" w:sz="0" w:space="0" w:color="auto"/>
        <w:left w:val="none" w:sz="0" w:space="0" w:color="auto"/>
        <w:bottom w:val="none" w:sz="0" w:space="0" w:color="auto"/>
        <w:right w:val="none" w:sz="0" w:space="0" w:color="auto"/>
      </w:divBdr>
      <w:divsChild>
        <w:div w:id="1165514595">
          <w:marLeft w:val="0"/>
          <w:marRight w:val="0"/>
          <w:marTop w:val="0"/>
          <w:marBottom w:val="0"/>
          <w:divBdr>
            <w:top w:val="none" w:sz="0" w:space="0" w:color="auto"/>
            <w:left w:val="none" w:sz="0" w:space="0" w:color="auto"/>
            <w:bottom w:val="none" w:sz="0" w:space="0" w:color="auto"/>
            <w:right w:val="none" w:sz="0" w:space="0" w:color="auto"/>
          </w:divBdr>
        </w:div>
      </w:divsChild>
    </w:div>
    <w:div w:id="380593248">
      <w:marLeft w:val="0"/>
      <w:marRight w:val="0"/>
      <w:marTop w:val="0"/>
      <w:marBottom w:val="0"/>
      <w:divBdr>
        <w:top w:val="none" w:sz="0" w:space="0" w:color="auto"/>
        <w:left w:val="none" w:sz="0" w:space="0" w:color="auto"/>
        <w:bottom w:val="none" w:sz="0" w:space="0" w:color="auto"/>
        <w:right w:val="none" w:sz="0" w:space="0" w:color="auto"/>
      </w:divBdr>
    </w:div>
    <w:div w:id="383410554">
      <w:marLeft w:val="0"/>
      <w:marRight w:val="0"/>
      <w:marTop w:val="0"/>
      <w:marBottom w:val="0"/>
      <w:divBdr>
        <w:top w:val="none" w:sz="0" w:space="0" w:color="auto"/>
        <w:left w:val="none" w:sz="0" w:space="0" w:color="auto"/>
        <w:bottom w:val="none" w:sz="0" w:space="0" w:color="auto"/>
        <w:right w:val="none" w:sz="0" w:space="0" w:color="auto"/>
      </w:divBdr>
      <w:divsChild>
        <w:div w:id="1239169282">
          <w:marLeft w:val="0"/>
          <w:marRight w:val="0"/>
          <w:marTop w:val="0"/>
          <w:marBottom w:val="0"/>
          <w:divBdr>
            <w:top w:val="none" w:sz="0" w:space="0" w:color="auto"/>
            <w:left w:val="none" w:sz="0" w:space="0" w:color="auto"/>
            <w:bottom w:val="none" w:sz="0" w:space="0" w:color="auto"/>
            <w:right w:val="none" w:sz="0" w:space="0" w:color="auto"/>
          </w:divBdr>
        </w:div>
      </w:divsChild>
    </w:div>
    <w:div w:id="383598802">
      <w:marLeft w:val="0"/>
      <w:marRight w:val="0"/>
      <w:marTop w:val="100"/>
      <w:marBottom w:val="0"/>
      <w:divBdr>
        <w:top w:val="none" w:sz="0" w:space="0" w:color="auto"/>
        <w:left w:val="none" w:sz="0" w:space="0" w:color="auto"/>
        <w:bottom w:val="none" w:sz="0" w:space="0" w:color="auto"/>
        <w:right w:val="none" w:sz="0" w:space="0" w:color="auto"/>
      </w:divBdr>
    </w:div>
    <w:div w:id="389547138">
      <w:marLeft w:val="0"/>
      <w:marRight w:val="0"/>
      <w:marTop w:val="0"/>
      <w:marBottom w:val="0"/>
      <w:divBdr>
        <w:top w:val="none" w:sz="0" w:space="0" w:color="auto"/>
        <w:left w:val="none" w:sz="0" w:space="0" w:color="auto"/>
        <w:bottom w:val="none" w:sz="0" w:space="0" w:color="auto"/>
        <w:right w:val="none" w:sz="0" w:space="0" w:color="auto"/>
      </w:divBdr>
    </w:div>
    <w:div w:id="390077283">
      <w:marLeft w:val="0"/>
      <w:marRight w:val="0"/>
      <w:marTop w:val="0"/>
      <w:marBottom w:val="0"/>
      <w:divBdr>
        <w:top w:val="none" w:sz="0" w:space="0" w:color="auto"/>
        <w:left w:val="none" w:sz="0" w:space="0" w:color="auto"/>
        <w:bottom w:val="none" w:sz="0" w:space="0" w:color="auto"/>
        <w:right w:val="none" w:sz="0" w:space="0" w:color="auto"/>
      </w:divBdr>
      <w:divsChild>
        <w:div w:id="1735393380">
          <w:marLeft w:val="0"/>
          <w:marRight w:val="0"/>
          <w:marTop w:val="0"/>
          <w:marBottom w:val="0"/>
          <w:divBdr>
            <w:top w:val="none" w:sz="0" w:space="0" w:color="auto"/>
            <w:left w:val="none" w:sz="0" w:space="0" w:color="auto"/>
            <w:bottom w:val="none" w:sz="0" w:space="0" w:color="auto"/>
            <w:right w:val="none" w:sz="0" w:space="0" w:color="auto"/>
          </w:divBdr>
        </w:div>
      </w:divsChild>
    </w:div>
    <w:div w:id="394396564">
      <w:marLeft w:val="0"/>
      <w:marRight w:val="0"/>
      <w:marTop w:val="200"/>
      <w:marBottom w:val="0"/>
      <w:divBdr>
        <w:top w:val="none" w:sz="0" w:space="0" w:color="auto"/>
        <w:left w:val="none" w:sz="0" w:space="0" w:color="auto"/>
        <w:bottom w:val="none" w:sz="0" w:space="0" w:color="auto"/>
        <w:right w:val="none" w:sz="0" w:space="0" w:color="auto"/>
      </w:divBdr>
    </w:div>
    <w:div w:id="397635419">
      <w:marLeft w:val="0"/>
      <w:marRight w:val="0"/>
      <w:marTop w:val="0"/>
      <w:marBottom w:val="0"/>
      <w:divBdr>
        <w:top w:val="none" w:sz="0" w:space="0" w:color="auto"/>
        <w:left w:val="none" w:sz="0" w:space="0" w:color="auto"/>
        <w:bottom w:val="none" w:sz="0" w:space="0" w:color="auto"/>
        <w:right w:val="none" w:sz="0" w:space="0" w:color="auto"/>
      </w:divBdr>
      <w:divsChild>
        <w:div w:id="1091507232">
          <w:marLeft w:val="0"/>
          <w:marRight w:val="0"/>
          <w:marTop w:val="0"/>
          <w:marBottom w:val="0"/>
          <w:divBdr>
            <w:top w:val="none" w:sz="0" w:space="0" w:color="auto"/>
            <w:left w:val="none" w:sz="0" w:space="0" w:color="auto"/>
            <w:bottom w:val="none" w:sz="0" w:space="0" w:color="auto"/>
            <w:right w:val="none" w:sz="0" w:space="0" w:color="auto"/>
          </w:divBdr>
        </w:div>
      </w:divsChild>
    </w:div>
    <w:div w:id="397820906">
      <w:marLeft w:val="0"/>
      <w:marRight w:val="0"/>
      <w:marTop w:val="200"/>
      <w:marBottom w:val="0"/>
      <w:divBdr>
        <w:top w:val="none" w:sz="0" w:space="0" w:color="auto"/>
        <w:left w:val="none" w:sz="0" w:space="0" w:color="auto"/>
        <w:bottom w:val="none" w:sz="0" w:space="0" w:color="auto"/>
        <w:right w:val="none" w:sz="0" w:space="0" w:color="auto"/>
      </w:divBdr>
    </w:div>
    <w:div w:id="399865301">
      <w:marLeft w:val="0"/>
      <w:marRight w:val="0"/>
      <w:marTop w:val="0"/>
      <w:marBottom w:val="0"/>
      <w:divBdr>
        <w:top w:val="none" w:sz="0" w:space="0" w:color="auto"/>
        <w:left w:val="none" w:sz="0" w:space="0" w:color="auto"/>
        <w:bottom w:val="none" w:sz="0" w:space="0" w:color="auto"/>
        <w:right w:val="none" w:sz="0" w:space="0" w:color="auto"/>
      </w:divBdr>
      <w:divsChild>
        <w:div w:id="1278952420">
          <w:marLeft w:val="0"/>
          <w:marRight w:val="0"/>
          <w:marTop w:val="0"/>
          <w:marBottom w:val="0"/>
          <w:divBdr>
            <w:top w:val="none" w:sz="0" w:space="0" w:color="auto"/>
            <w:left w:val="none" w:sz="0" w:space="0" w:color="auto"/>
            <w:bottom w:val="none" w:sz="0" w:space="0" w:color="auto"/>
            <w:right w:val="none" w:sz="0" w:space="0" w:color="auto"/>
          </w:divBdr>
        </w:div>
      </w:divsChild>
    </w:div>
    <w:div w:id="401149103">
      <w:marLeft w:val="0"/>
      <w:marRight w:val="0"/>
      <w:marTop w:val="0"/>
      <w:marBottom w:val="0"/>
      <w:divBdr>
        <w:top w:val="none" w:sz="0" w:space="0" w:color="auto"/>
        <w:left w:val="none" w:sz="0" w:space="0" w:color="auto"/>
        <w:bottom w:val="none" w:sz="0" w:space="0" w:color="auto"/>
        <w:right w:val="none" w:sz="0" w:space="0" w:color="auto"/>
      </w:divBdr>
      <w:divsChild>
        <w:div w:id="730883343">
          <w:marLeft w:val="0"/>
          <w:marRight w:val="0"/>
          <w:marTop w:val="0"/>
          <w:marBottom w:val="0"/>
          <w:divBdr>
            <w:top w:val="none" w:sz="0" w:space="0" w:color="auto"/>
            <w:left w:val="none" w:sz="0" w:space="0" w:color="auto"/>
            <w:bottom w:val="none" w:sz="0" w:space="0" w:color="auto"/>
            <w:right w:val="none" w:sz="0" w:space="0" w:color="auto"/>
          </w:divBdr>
        </w:div>
      </w:divsChild>
    </w:div>
    <w:div w:id="403264178">
      <w:marLeft w:val="0"/>
      <w:marRight w:val="0"/>
      <w:marTop w:val="0"/>
      <w:marBottom w:val="0"/>
      <w:divBdr>
        <w:top w:val="none" w:sz="0" w:space="0" w:color="auto"/>
        <w:left w:val="none" w:sz="0" w:space="0" w:color="auto"/>
        <w:bottom w:val="none" w:sz="0" w:space="0" w:color="auto"/>
        <w:right w:val="none" w:sz="0" w:space="0" w:color="auto"/>
      </w:divBdr>
    </w:div>
    <w:div w:id="403452201">
      <w:marLeft w:val="0"/>
      <w:marRight w:val="0"/>
      <w:marTop w:val="0"/>
      <w:marBottom w:val="0"/>
      <w:divBdr>
        <w:top w:val="none" w:sz="0" w:space="0" w:color="auto"/>
        <w:left w:val="none" w:sz="0" w:space="0" w:color="auto"/>
        <w:bottom w:val="none" w:sz="0" w:space="0" w:color="auto"/>
        <w:right w:val="none" w:sz="0" w:space="0" w:color="auto"/>
      </w:divBdr>
    </w:div>
    <w:div w:id="416831960">
      <w:marLeft w:val="0"/>
      <w:marRight w:val="0"/>
      <w:marTop w:val="200"/>
      <w:marBottom w:val="0"/>
      <w:divBdr>
        <w:top w:val="none" w:sz="0" w:space="0" w:color="auto"/>
        <w:left w:val="none" w:sz="0" w:space="0" w:color="auto"/>
        <w:bottom w:val="none" w:sz="0" w:space="0" w:color="auto"/>
        <w:right w:val="none" w:sz="0" w:space="0" w:color="auto"/>
      </w:divBdr>
    </w:div>
    <w:div w:id="417796534">
      <w:marLeft w:val="0"/>
      <w:marRight w:val="0"/>
      <w:marTop w:val="200"/>
      <w:marBottom w:val="0"/>
      <w:divBdr>
        <w:top w:val="none" w:sz="0" w:space="0" w:color="auto"/>
        <w:left w:val="none" w:sz="0" w:space="0" w:color="auto"/>
        <w:bottom w:val="none" w:sz="0" w:space="0" w:color="auto"/>
        <w:right w:val="none" w:sz="0" w:space="0" w:color="auto"/>
      </w:divBdr>
    </w:div>
    <w:div w:id="419525117">
      <w:marLeft w:val="0"/>
      <w:marRight w:val="0"/>
      <w:marTop w:val="200"/>
      <w:marBottom w:val="0"/>
      <w:divBdr>
        <w:top w:val="none" w:sz="0" w:space="0" w:color="auto"/>
        <w:left w:val="none" w:sz="0" w:space="0" w:color="auto"/>
        <w:bottom w:val="none" w:sz="0" w:space="0" w:color="auto"/>
        <w:right w:val="none" w:sz="0" w:space="0" w:color="auto"/>
      </w:divBdr>
    </w:div>
    <w:div w:id="422992058">
      <w:marLeft w:val="0"/>
      <w:marRight w:val="0"/>
      <w:marTop w:val="200"/>
      <w:marBottom w:val="0"/>
      <w:divBdr>
        <w:top w:val="none" w:sz="0" w:space="0" w:color="auto"/>
        <w:left w:val="none" w:sz="0" w:space="0" w:color="auto"/>
        <w:bottom w:val="none" w:sz="0" w:space="0" w:color="auto"/>
        <w:right w:val="none" w:sz="0" w:space="0" w:color="auto"/>
      </w:divBdr>
    </w:div>
    <w:div w:id="427390995">
      <w:marLeft w:val="0"/>
      <w:marRight w:val="0"/>
      <w:marTop w:val="0"/>
      <w:marBottom w:val="0"/>
      <w:divBdr>
        <w:top w:val="none" w:sz="0" w:space="0" w:color="auto"/>
        <w:left w:val="none" w:sz="0" w:space="0" w:color="auto"/>
        <w:bottom w:val="none" w:sz="0" w:space="0" w:color="auto"/>
        <w:right w:val="none" w:sz="0" w:space="0" w:color="auto"/>
      </w:divBdr>
    </w:div>
    <w:div w:id="428165672">
      <w:marLeft w:val="0"/>
      <w:marRight w:val="0"/>
      <w:marTop w:val="200"/>
      <w:marBottom w:val="0"/>
      <w:divBdr>
        <w:top w:val="none" w:sz="0" w:space="0" w:color="auto"/>
        <w:left w:val="none" w:sz="0" w:space="0" w:color="auto"/>
        <w:bottom w:val="none" w:sz="0" w:space="0" w:color="auto"/>
        <w:right w:val="none" w:sz="0" w:space="0" w:color="auto"/>
      </w:divBdr>
    </w:div>
    <w:div w:id="428815085">
      <w:marLeft w:val="0"/>
      <w:marRight w:val="0"/>
      <w:marTop w:val="200"/>
      <w:marBottom w:val="0"/>
      <w:divBdr>
        <w:top w:val="none" w:sz="0" w:space="0" w:color="auto"/>
        <w:left w:val="none" w:sz="0" w:space="0" w:color="auto"/>
        <w:bottom w:val="none" w:sz="0" w:space="0" w:color="auto"/>
        <w:right w:val="none" w:sz="0" w:space="0" w:color="auto"/>
      </w:divBdr>
    </w:div>
    <w:div w:id="430471798">
      <w:marLeft w:val="0"/>
      <w:marRight w:val="0"/>
      <w:marTop w:val="0"/>
      <w:marBottom w:val="0"/>
      <w:divBdr>
        <w:top w:val="none" w:sz="0" w:space="0" w:color="auto"/>
        <w:left w:val="none" w:sz="0" w:space="0" w:color="auto"/>
        <w:bottom w:val="none" w:sz="0" w:space="0" w:color="auto"/>
        <w:right w:val="none" w:sz="0" w:space="0" w:color="auto"/>
      </w:divBdr>
      <w:divsChild>
        <w:div w:id="227344508">
          <w:marLeft w:val="0"/>
          <w:marRight w:val="0"/>
          <w:marTop w:val="0"/>
          <w:marBottom w:val="0"/>
          <w:divBdr>
            <w:top w:val="none" w:sz="0" w:space="0" w:color="auto"/>
            <w:left w:val="none" w:sz="0" w:space="0" w:color="auto"/>
            <w:bottom w:val="none" w:sz="0" w:space="0" w:color="auto"/>
            <w:right w:val="none" w:sz="0" w:space="0" w:color="auto"/>
          </w:divBdr>
        </w:div>
      </w:divsChild>
    </w:div>
    <w:div w:id="432627823">
      <w:marLeft w:val="0"/>
      <w:marRight w:val="0"/>
      <w:marTop w:val="0"/>
      <w:marBottom w:val="0"/>
      <w:divBdr>
        <w:top w:val="none" w:sz="0" w:space="0" w:color="auto"/>
        <w:left w:val="none" w:sz="0" w:space="0" w:color="auto"/>
        <w:bottom w:val="none" w:sz="0" w:space="0" w:color="auto"/>
        <w:right w:val="none" w:sz="0" w:space="0" w:color="auto"/>
      </w:divBdr>
      <w:divsChild>
        <w:div w:id="131216929">
          <w:marLeft w:val="0"/>
          <w:marRight w:val="0"/>
          <w:marTop w:val="0"/>
          <w:marBottom w:val="0"/>
          <w:divBdr>
            <w:top w:val="none" w:sz="0" w:space="0" w:color="auto"/>
            <w:left w:val="none" w:sz="0" w:space="0" w:color="auto"/>
            <w:bottom w:val="none" w:sz="0" w:space="0" w:color="auto"/>
            <w:right w:val="none" w:sz="0" w:space="0" w:color="auto"/>
          </w:divBdr>
        </w:div>
      </w:divsChild>
    </w:div>
    <w:div w:id="434129292">
      <w:marLeft w:val="0"/>
      <w:marRight w:val="0"/>
      <w:marTop w:val="0"/>
      <w:marBottom w:val="0"/>
      <w:divBdr>
        <w:top w:val="none" w:sz="0" w:space="0" w:color="auto"/>
        <w:left w:val="none" w:sz="0" w:space="0" w:color="auto"/>
        <w:bottom w:val="none" w:sz="0" w:space="0" w:color="auto"/>
        <w:right w:val="none" w:sz="0" w:space="0" w:color="auto"/>
      </w:divBdr>
    </w:div>
    <w:div w:id="434448918">
      <w:marLeft w:val="0"/>
      <w:marRight w:val="0"/>
      <w:marTop w:val="200"/>
      <w:marBottom w:val="0"/>
      <w:divBdr>
        <w:top w:val="none" w:sz="0" w:space="0" w:color="auto"/>
        <w:left w:val="none" w:sz="0" w:space="0" w:color="auto"/>
        <w:bottom w:val="none" w:sz="0" w:space="0" w:color="auto"/>
        <w:right w:val="none" w:sz="0" w:space="0" w:color="auto"/>
      </w:divBdr>
    </w:div>
    <w:div w:id="434786915">
      <w:marLeft w:val="0"/>
      <w:marRight w:val="0"/>
      <w:marTop w:val="0"/>
      <w:marBottom w:val="0"/>
      <w:divBdr>
        <w:top w:val="none" w:sz="0" w:space="0" w:color="auto"/>
        <w:left w:val="none" w:sz="0" w:space="0" w:color="auto"/>
        <w:bottom w:val="none" w:sz="0" w:space="0" w:color="auto"/>
        <w:right w:val="none" w:sz="0" w:space="0" w:color="auto"/>
      </w:divBdr>
      <w:divsChild>
        <w:div w:id="1414624458">
          <w:marLeft w:val="0"/>
          <w:marRight w:val="0"/>
          <w:marTop w:val="0"/>
          <w:marBottom w:val="0"/>
          <w:divBdr>
            <w:top w:val="none" w:sz="0" w:space="0" w:color="auto"/>
            <w:left w:val="none" w:sz="0" w:space="0" w:color="auto"/>
            <w:bottom w:val="none" w:sz="0" w:space="0" w:color="auto"/>
            <w:right w:val="none" w:sz="0" w:space="0" w:color="auto"/>
          </w:divBdr>
        </w:div>
      </w:divsChild>
    </w:div>
    <w:div w:id="436370458">
      <w:marLeft w:val="0"/>
      <w:marRight w:val="0"/>
      <w:marTop w:val="0"/>
      <w:marBottom w:val="0"/>
      <w:divBdr>
        <w:top w:val="none" w:sz="0" w:space="0" w:color="auto"/>
        <w:left w:val="none" w:sz="0" w:space="0" w:color="auto"/>
        <w:bottom w:val="none" w:sz="0" w:space="0" w:color="auto"/>
        <w:right w:val="none" w:sz="0" w:space="0" w:color="auto"/>
      </w:divBdr>
      <w:divsChild>
        <w:div w:id="199587175">
          <w:marLeft w:val="0"/>
          <w:marRight w:val="0"/>
          <w:marTop w:val="0"/>
          <w:marBottom w:val="0"/>
          <w:divBdr>
            <w:top w:val="none" w:sz="0" w:space="0" w:color="auto"/>
            <w:left w:val="none" w:sz="0" w:space="0" w:color="auto"/>
            <w:bottom w:val="none" w:sz="0" w:space="0" w:color="auto"/>
            <w:right w:val="none" w:sz="0" w:space="0" w:color="auto"/>
          </w:divBdr>
        </w:div>
      </w:divsChild>
    </w:div>
    <w:div w:id="439183286">
      <w:marLeft w:val="0"/>
      <w:marRight w:val="0"/>
      <w:marTop w:val="0"/>
      <w:marBottom w:val="0"/>
      <w:divBdr>
        <w:top w:val="none" w:sz="0" w:space="0" w:color="auto"/>
        <w:left w:val="none" w:sz="0" w:space="0" w:color="auto"/>
        <w:bottom w:val="none" w:sz="0" w:space="0" w:color="auto"/>
        <w:right w:val="none" w:sz="0" w:space="0" w:color="auto"/>
      </w:divBdr>
      <w:divsChild>
        <w:div w:id="1892616450">
          <w:marLeft w:val="0"/>
          <w:marRight w:val="0"/>
          <w:marTop w:val="0"/>
          <w:marBottom w:val="0"/>
          <w:divBdr>
            <w:top w:val="none" w:sz="0" w:space="0" w:color="auto"/>
            <w:left w:val="none" w:sz="0" w:space="0" w:color="auto"/>
            <w:bottom w:val="none" w:sz="0" w:space="0" w:color="auto"/>
            <w:right w:val="none" w:sz="0" w:space="0" w:color="auto"/>
          </w:divBdr>
        </w:div>
      </w:divsChild>
    </w:div>
    <w:div w:id="439833549">
      <w:marLeft w:val="0"/>
      <w:marRight w:val="0"/>
      <w:marTop w:val="60"/>
      <w:marBottom w:val="0"/>
      <w:divBdr>
        <w:top w:val="none" w:sz="0" w:space="0" w:color="auto"/>
        <w:left w:val="none" w:sz="0" w:space="0" w:color="auto"/>
        <w:bottom w:val="none" w:sz="0" w:space="0" w:color="auto"/>
        <w:right w:val="none" w:sz="0" w:space="0" w:color="auto"/>
      </w:divBdr>
    </w:div>
    <w:div w:id="445586637">
      <w:marLeft w:val="0"/>
      <w:marRight w:val="0"/>
      <w:marTop w:val="0"/>
      <w:marBottom w:val="0"/>
      <w:divBdr>
        <w:top w:val="none" w:sz="0" w:space="0" w:color="auto"/>
        <w:left w:val="none" w:sz="0" w:space="0" w:color="auto"/>
        <w:bottom w:val="none" w:sz="0" w:space="0" w:color="auto"/>
        <w:right w:val="none" w:sz="0" w:space="0" w:color="auto"/>
      </w:divBdr>
    </w:div>
    <w:div w:id="447046071">
      <w:marLeft w:val="0"/>
      <w:marRight w:val="0"/>
      <w:marTop w:val="0"/>
      <w:marBottom w:val="0"/>
      <w:divBdr>
        <w:top w:val="none" w:sz="0" w:space="0" w:color="auto"/>
        <w:left w:val="none" w:sz="0" w:space="0" w:color="auto"/>
        <w:bottom w:val="none" w:sz="0" w:space="0" w:color="auto"/>
        <w:right w:val="none" w:sz="0" w:space="0" w:color="auto"/>
      </w:divBdr>
    </w:div>
    <w:div w:id="448478559">
      <w:marLeft w:val="0"/>
      <w:marRight w:val="0"/>
      <w:marTop w:val="0"/>
      <w:marBottom w:val="0"/>
      <w:divBdr>
        <w:top w:val="none" w:sz="0" w:space="0" w:color="auto"/>
        <w:left w:val="none" w:sz="0" w:space="0" w:color="auto"/>
        <w:bottom w:val="none" w:sz="0" w:space="0" w:color="auto"/>
        <w:right w:val="none" w:sz="0" w:space="0" w:color="auto"/>
      </w:divBdr>
    </w:div>
    <w:div w:id="450972895">
      <w:marLeft w:val="0"/>
      <w:marRight w:val="0"/>
      <w:marTop w:val="0"/>
      <w:marBottom w:val="0"/>
      <w:divBdr>
        <w:top w:val="none" w:sz="0" w:space="0" w:color="auto"/>
        <w:left w:val="none" w:sz="0" w:space="0" w:color="auto"/>
        <w:bottom w:val="none" w:sz="0" w:space="0" w:color="auto"/>
        <w:right w:val="none" w:sz="0" w:space="0" w:color="auto"/>
      </w:divBdr>
      <w:divsChild>
        <w:div w:id="362678867">
          <w:marLeft w:val="0"/>
          <w:marRight w:val="0"/>
          <w:marTop w:val="0"/>
          <w:marBottom w:val="0"/>
          <w:divBdr>
            <w:top w:val="none" w:sz="0" w:space="0" w:color="auto"/>
            <w:left w:val="none" w:sz="0" w:space="0" w:color="auto"/>
            <w:bottom w:val="none" w:sz="0" w:space="0" w:color="auto"/>
            <w:right w:val="none" w:sz="0" w:space="0" w:color="auto"/>
          </w:divBdr>
        </w:div>
      </w:divsChild>
    </w:div>
    <w:div w:id="451361801">
      <w:marLeft w:val="0"/>
      <w:marRight w:val="0"/>
      <w:marTop w:val="0"/>
      <w:marBottom w:val="0"/>
      <w:divBdr>
        <w:top w:val="none" w:sz="0" w:space="0" w:color="auto"/>
        <w:left w:val="none" w:sz="0" w:space="0" w:color="auto"/>
        <w:bottom w:val="none" w:sz="0" w:space="0" w:color="auto"/>
        <w:right w:val="none" w:sz="0" w:space="0" w:color="auto"/>
      </w:divBdr>
    </w:div>
    <w:div w:id="452527545">
      <w:marLeft w:val="0"/>
      <w:marRight w:val="0"/>
      <w:marTop w:val="0"/>
      <w:marBottom w:val="0"/>
      <w:divBdr>
        <w:top w:val="none" w:sz="0" w:space="0" w:color="auto"/>
        <w:left w:val="none" w:sz="0" w:space="0" w:color="auto"/>
        <w:bottom w:val="none" w:sz="0" w:space="0" w:color="auto"/>
        <w:right w:val="none" w:sz="0" w:space="0" w:color="auto"/>
      </w:divBdr>
    </w:div>
    <w:div w:id="456880093">
      <w:marLeft w:val="0"/>
      <w:marRight w:val="0"/>
      <w:marTop w:val="0"/>
      <w:marBottom w:val="0"/>
      <w:divBdr>
        <w:top w:val="none" w:sz="0" w:space="0" w:color="auto"/>
        <w:left w:val="none" w:sz="0" w:space="0" w:color="auto"/>
        <w:bottom w:val="none" w:sz="0" w:space="0" w:color="auto"/>
        <w:right w:val="none" w:sz="0" w:space="0" w:color="auto"/>
      </w:divBdr>
    </w:div>
    <w:div w:id="457800965">
      <w:marLeft w:val="0"/>
      <w:marRight w:val="0"/>
      <w:marTop w:val="0"/>
      <w:marBottom w:val="0"/>
      <w:divBdr>
        <w:top w:val="none" w:sz="0" w:space="0" w:color="auto"/>
        <w:left w:val="none" w:sz="0" w:space="0" w:color="auto"/>
        <w:bottom w:val="none" w:sz="0" w:space="0" w:color="auto"/>
        <w:right w:val="none" w:sz="0" w:space="0" w:color="auto"/>
      </w:divBdr>
      <w:divsChild>
        <w:div w:id="1267301138">
          <w:marLeft w:val="0"/>
          <w:marRight w:val="0"/>
          <w:marTop w:val="0"/>
          <w:marBottom w:val="0"/>
          <w:divBdr>
            <w:top w:val="none" w:sz="0" w:space="0" w:color="auto"/>
            <w:left w:val="none" w:sz="0" w:space="0" w:color="auto"/>
            <w:bottom w:val="none" w:sz="0" w:space="0" w:color="auto"/>
            <w:right w:val="none" w:sz="0" w:space="0" w:color="auto"/>
          </w:divBdr>
        </w:div>
      </w:divsChild>
    </w:div>
    <w:div w:id="462693309">
      <w:marLeft w:val="0"/>
      <w:marRight w:val="0"/>
      <w:marTop w:val="0"/>
      <w:marBottom w:val="0"/>
      <w:divBdr>
        <w:top w:val="none" w:sz="0" w:space="0" w:color="auto"/>
        <w:left w:val="none" w:sz="0" w:space="0" w:color="auto"/>
        <w:bottom w:val="none" w:sz="0" w:space="0" w:color="auto"/>
        <w:right w:val="none" w:sz="0" w:space="0" w:color="auto"/>
      </w:divBdr>
      <w:divsChild>
        <w:div w:id="526986704">
          <w:marLeft w:val="0"/>
          <w:marRight w:val="0"/>
          <w:marTop w:val="0"/>
          <w:marBottom w:val="0"/>
          <w:divBdr>
            <w:top w:val="none" w:sz="0" w:space="0" w:color="auto"/>
            <w:left w:val="none" w:sz="0" w:space="0" w:color="auto"/>
            <w:bottom w:val="none" w:sz="0" w:space="0" w:color="auto"/>
            <w:right w:val="none" w:sz="0" w:space="0" w:color="auto"/>
          </w:divBdr>
        </w:div>
      </w:divsChild>
    </w:div>
    <w:div w:id="463163913">
      <w:marLeft w:val="0"/>
      <w:marRight w:val="0"/>
      <w:marTop w:val="0"/>
      <w:marBottom w:val="0"/>
      <w:divBdr>
        <w:top w:val="none" w:sz="0" w:space="0" w:color="auto"/>
        <w:left w:val="none" w:sz="0" w:space="0" w:color="auto"/>
        <w:bottom w:val="none" w:sz="0" w:space="0" w:color="auto"/>
        <w:right w:val="none" w:sz="0" w:space="0" w:color="auto"/>
      </w:divBdr>
    </w:div>
    <w:div w:id="466319216">
      <w:marLeft w:val="0"/>
      <w:marRight w:val="0"/>
      <w:marTop w:val="200"/>
      <w:marBottom w:val="0"/>
      <w:divBdr>
        <w:top w:val="none" w:sz="0" w:space="0" w:color="auto"/>
        <w:left w:val="none" w:sz="0" w:space="0" w:color="auto"/>
        <w:bottom w:val="none" w:sz="0" w:space="0" w:color="auto"/>
        <w:right w:val="none" w:sz="0" w:space="0" w:color="auto"/>
      </w:divBdr>
    </w:div>
    <w:div w:id="467674842">
      <w:marLeft w:val="0"/>
      <w:marRight w:val="0"/>
      <w:marTop w:val="0"/>
      <w:marBottom w:val="0"/>
      <w:divBdr>
        <w:top w:val="none" w:sz="0" w:space="0" w:color="auto"/>
        <w:left w:val="none" w:sz="0" w:space="0" w:color="auto"/>
        <w:bottom w:val="none" w:sz="0" w:space="0" w:color="auto"/>
        <w:right w:val="none" w:sz="0" w:space="0" w:color="auto"/>
      </w:divBdr>
    </w:div>
    <w:div w:id="469056260">
      <w:marLeft w:val="0"/>
      <w:marRight w:val="0"/>
      <w:marTop w:val="0"/>
      <w:marBottom w:val="0"/>
      <w:divBdr>
        <w:top w:val="none" w:sz="0" w:space="0" w:color="auto"/>
        <w:left w:val="none" w:sz="0" w:space="0" w:color="auto"/>
        <w:bottom w:val="none" w:sz="0" w:space="0" w:color="auto"/>
        <w:right w:val="none" w:sz="0" w:space="0" w:color="auto"/>
      </w:divBdr>
    </w:div>
    <w:div w:id="470364767">
      <w:marLeft w:val="0"/>
      <w:marRight w:val="0"/>
      <w:marTop w:val="0"/>
      <w:marBottom w:val="0"/>
      <w:divBdr>
        <w:top w:val="none" w:sz="0" w:space="0" w:color="auto"/>
        <w:left w:val="none" w:sz="0" w:space="0" w:color="auto"/>
        <w:bottom w:val="none" w:sz="0" w:space="0" w:color="auto"/>
        <w:right w:val="none" w:sz="0" w:space="0" w:color="auto"/>
      </w:divBdr>
      <w:divsChild>
        <w:div w:id="411322500">
          <w:marLeft w:val="0"/>
          <w:marRight w:val="0"/>
          <w:marTop w:val="0"/>
          <w:marBottom w:val="0"/>
          <w:divBdr>
            <w:top w:val="none" w:sz="0" w:space="0" w:color="auto"/>
            <w:left w:val="none" w:sz="0" w:space="0" w:color="auto"/>
            <w:bottom w:val="none" w:sz="0" w:space="0" w:color="auto"/>
            <w:right w:val="none" w:sz="0" w:space="0" w:color="auto"/>
          </w:divBdr>
        </w:div>
      </w:divsChild>
    </w:div>
    <w:div w:id="471481459">
      <w:marLeft w:val="0"/>
      <w:marRight w:val="0"/>
      <w:marTop w:val="0"/>
      <w:marBottom w:val="0"/>
      <w:divBdr>
        <w:top w:val="none" w:sz="0" w:space="0" w:color="auto"/>
        <w:left w:val="none" w:sz="0" w:space="0" w:color="auto"/>
        <w:bottom w:val="none" w:sz="0" w:space="0" w:color="auto"/>
        <w:right w:val="none" w:sz="0" w:space="0" w:color="auto"/>
      </w:divBdr>
      <w:divsChild>
        <w:div w:id="1874806014">
          <w:marLeft w:val="0"/>
          <w:marRight w:val="0"/>
          <w:marTop w:val="0"/>
          <w:marBottom w:val="0"/>
          <w:divBdr>
            <w:top w:val="none" w:sz="0" w:space="0" w:color="auto"/>
            <w:left w:val="none" w:sz="0" w:space="0" w:color="auto"/>
            <w:bottom w:val="none" w:sz="0" w:space="0" w:color="auto"/>
            <w:right w:val="none" w:sz="0" w:space="0" w:color="auto"/>
          </w:divBdr>
        </w:div>
        <w:div w:id="1907716169">
          <w:marLeft w:val="0"/>
          <w:marRight w:val="0"/>
          <w:marTop w:val="0"/>
          <w:marBottom w:val="0"/>
          <w:divBdr>
            <w:top w:val="none" w:sz="0" w:space="0" w:color="auto"/>
            <w:left w:val="none" w:sz="0" w:space="0" w:color="auto"/>
            <w:bottom w:val="none" w:sz="0" w:space="0" w:color="auto"/>
            <w:right w:val="none" w:sz="0" w:space="0" w:color="auto"/>
          </w:divBdr>
        </w:div>
        <w:div w:id="1486968744">
          <w:marLeft w:val="0"/>
          <w:marRight w:val="0"/>
          <w:marTop w:val="0"/>
          <w:marBottom w:val="0"/>
          <w:divBdr>
            <w:top w:val="none" w:sz="0" w:space="0" w:color="auto"/>
            <w:left w:val="none" w:sz="0" w:space="0" w:color="auto"/>
            <w:bottom w:val="none" w:sz="0" w:space="0" w:color="auto"/>
            <w:right w:val="none" w:sz="0" w:space="0" w:color="auto"/>
          </w:divBdr>
        </w:div>
        <w:div w:id="1861159237">
          <w:marLeft w:val="0"/>
          <w:marRight w:val="0"/>
          <w:marTop w:val="0"/>
          <w:marBottom w:val="0"/>
          <w:divBdr>
            <w:top w:val="none" w:sz="0" w:space="0" w:color="auto"/>
            <w:left w:val="none" w:sz="0" w:space="0" w:color="auto"/>
            <w:bottom w:val="none" w:sz="0" w:space="0" w:color="auto"/>
            <w:right w:val="none" w:sz="0" w:space="0" w:color="auto"/>
          </w:divBdr>
        </w:div>
      </w:divsChild>
    </w:div>
    <w:div w:id="472986655">
      <w:marLeft w:val="0"/>
      <w:marRight w:val="0"/>
      <w:marTop w:val="0"/>
      <w:marBottom w:val="0"/>
      <w:divBdr>
        <w:top w:val="none" w:sz="0" w:space="0" w:color="auto"/>
        <w:left w:val="none" w:sz="0" w:space="0" w:color="auto"/>
        <w:bottom w:val="none" w:sz="0" w:space="0" w:color="auto"/>
        <w:right w:val="none" w:sz="0" w:space="0" w:color="auto"/>
      </w:divBdr>
    </w:div>
    <w:div w:id="473719541">
      <w:marLeft w:val="0"/>
      <w:marRight w:val="0"/>
      <w:marTop w:val="0"/>
      <w:marBottom w:val="200"/>
      <w:divBdr>
        <w:top w:val="none" w:sz="0" w:space="0" w:color="auto"/>
        <w:left w:val="none" w:sz="0" w:space="0" w:color="auto"/>
        <w:bottom w:val="none" w:sz="0" w:space="0" w:color="auto"/>
        <w:right w:val="none" w:sz="0" w:space="0" w:color="auto"/>
      </w:divBdr>
    </w:div>
    <w:div w:id="480120817">
      <w:marLeft w:val="0"/>
      <w:marRight w:val="0"/>
      <w:marTop w:val="0"/>
      <w:marBottom w:val="0"/>
      <w:divBdr>
        <w:top w:val="none" w:sz="0" w:space="0" w:color="auto"/>
        <w:left w:val="none" w:sz="0" w:space="0" w:color="auto"/>
        <w:bottom w:val="none" w:sz="0" w:space="0" w:color="auto"/>
        <w:right w:val="none" w:sz="0" w:space="0" w:color="auto"/>
      </w:divBdr>
    </w:div>
    <w:div w:id="481166189">
      <w:marLeft w:val="0"/>
      <w:marRight w:val="0"/>
      <w:marTop w:val="100"/>
      <w:marBottom w:val="0"/>
      <w:divBdr>
        <w:top w:val="none" w:sz="0" w:space="0" w:color="auto"/>
        <w:left w:val="none" w:sz="0" w:space="0" w:color="auto"/>
        <w:bottom w:val="none" w:sz="0" w:space="0" w:color="auto"/>
        <w:right w:val="none" w:sz="0" w:space="0" w:color="auto"/>
      </w:divBdr>
    </w:div>
    <w:div w:id="482742207">
      <w:marLeft w:val="0"/>
      <w:marRight w:val="0"/>
      <w:marTop w:val="200"/>
      <w:marBottom w:val="0"/>
      <w:divBdr>
        <w:top w:val="none" w:sz="0" w:space="0" w:color="auto"/>
        <w:left w:val="none" w:sz="0" w:space="0" w:color="auto"/>
        <w:bottom w:val="none" w:sz="0" w:space="0" w:color="auto"/>
        <w:right w:val="none" w:sz="0" w:space="0" w:color="auto"/>
      </w:divBdr>
    </w:div>
    <w:div w:id="488597834">
      <w:marLeft w:val="0"/>
      <w:marRight w:val="0"/>
      <w:marTop w:val="0"/>
      <w:marBottom w:val="0"/>
      <w:divBdr>
        <w:top w:val="none" w:sz="0" w:space="0" w:color="auto"/>
        <w:left w:val="none" w:sz="0" w:space="0" w:color="auto"/>
        <w:bottom w:val="none" w:sz="0" w:space="0" w:color="auto"/>
        <w:right w:val="none" w:sz="0" w:space="0" w:color="auto"/>
      </w:divBdr>
      <w:divsChild>
        <w:div w:id="439959404">
          <w:marLeft w:val="0"/>
          <w:marRight w:val="0"/>
          <w:marTop w:val="0"/>
          <w:marBottom w:val="0"/>
          <w:divBdr>
            <w:top w:val="none" w:sz="0" w:space="0" w:color="auto"/>
            <w:left w:val="none" w:sz="0" w:space="0" w:color="auto"/>
            <w:bottom w:val="none" w:sz="0" w:space="0" w:color="auto"/>
            <w:right w:val="none" w:sz="0" w:space="0" w:color="auto"/>
          </w:divBdr>
        </w:div>
      </w:divsChild>
    </w:div>
    <w:div w:id="490678483">
      <w:marLeft w:val="0"/>
      <w:marRight w:val="0"/>
      <w:marTop w:val="0"/>
      <w:marBottom w:val="0"/>
      <w:divBdr>
        <w:top w:val="none" w:sz="0" w:space="0" w:color="auto"/>
        <w:left w:val="none" w:sz="0" w:space="0" w:color="auto"/>
        <w:bottom w:val="none" w:sz="0" w:space="0" w:color="auto"/>
        <w:right w:val="none" w:sz="0" w:space="0" w:color="auto"/>
      </w:divBdr>
      <w:divsChild>
        <w:div w:id="484973220">
          <w:marLeft w:val="0"/>
          <w:marRight w:val="0"/>
          <w:marTop w:val="0"/>
          <w:marBottom w:val="0"/>
          <w:divBdr>
            <w:top w:val="none" w:sz="0" w:space="0" w:color="auto"/>
            <w:left w:val="none" w:sz="0" w:space="0" w:color="auto"/>
            <w:bottom w:val="none" w:sz="0" w:space="0" w:color="auto"/>
            <w:right w:val="none" w:sz="0" w:space="0" w:color="auto"/>
          </w:divBdr>
        </w:div>
      </w:divsChild>
    </w:div>
    <w:div w:id="492066927">
      <w:marLeft w:val="0"/>
      <w:marRight w:val="0"/>
      <w:marTop w:val="0"/>
      <w:marBottom w:val="0"/>
      <w:divBdr>
        <w:top w:val="none" w:sz="0" w:space="0" w:color="auto"/>
        <w:left w:val="none" w:sz="0" w:space="0" w:color="auto"/>
        <w:bottom w:val="none" w:sz="0" w:space="0" w:color="auto"/>
        <w:right w:val="none" w:sz="0" w:space="0" w:color="auto"/>
      </w:divBdr>
      <w:divsChild>
        <w:div w:id="468327580">
          <w:marLeft w:val="0"/>
          <w:marRight w:val="0"/>
          <w:marTop w:val="0"/>
          <w:marBottom w:val="0"/>
          <w:divBdr>
            <w:top w:val="none" w:sz="0" w:space="0" w:color="auto"/>
            <w:left w:val="none" w:sz="0" w:space="0" w:color="auto"/>
            <w:bottom w:val="none" w:sz="0" w:space="0" w:color="auto"/>
            <w:right w:val="none" w:sz="0" w:space="0" w:color="auto"/>
          </w:divBdr>
        </w:div>
        <w:div w:id="371076670">
          <w:marLeft w:val="0"/>
          <w:marRight w:val="0"/>
          <w:marTop w:val="0"/>
          <w:marBottom w:val="0"/>
          <w:divBdr>
            <w:top w:val="none" w:sz="0" w:space="0" w:color="auto"/>
            <w:left w:val="none" w:sz="0" w:space="0" w:color="auto"/>
            <w:bottom w:val="none" w:sz="0" w:space="0" w:color="auto"/>
            <w:right w:val="none" w:sz="0" w:space="0" w:color="auto"/>
          </w:divBdr>
        </w:div>
      </w:divsChild>
    </w:div>
    <w:div w:id="493494082">
      <w:marLeft w:val="0"/>
      <w:marRight w:val="0"/>
      <w:marTop w:val="0"/>
      <w:marBottom w:val="0"/>
      <w:divBdr>
        <w:top w:val="none" w:sz="0" w:space="0" w:color="auto"/>
        <w:left w:val="none" w:sz="0" w:space="0" w:color="auto"/>
        <w:bottom w:val="none" w:sz="0" w:space="0" w:color="auto"/>
        <w:right w:val="none" w:sz="0" w:space="0" w:color="auto"/>
      </w:divBdr>
      <w:divsChild>
        <w:div w:id="1146819039">
          <w:marLeft w:val="0"/>
          <w:marRight w:val="0"/>
          <w:marTop w:val="0"/>
          <w:marBottom w:val="0"/>
          <w:divBdr>
            <w:top w:val="none" w:sz="0" w:space="0" w:color="auto"/>
            <w:left w:val="none" w:sz="0" w:space="0" w:color="auto"/>
            <w:bottom w:val="none" w:sz="0" w:space="0" w:color="auto"/>
            <w:right w:val="none" w:sz="0" w:space="0" w:color="auto"/>
          </w:divBdr>
        </w:div>
      </w:divsChild>
    </w:div>
    <w:div w:id="496304575">
      <w:marLeft w:val="0"/>
      <w:marRight w:val="0"/>
      <w:marTop w:val="0"/>
      <w:marBottom w:val="0"/>
      <w:divBdr>
        <w:top w:val="none" w:sz="0" w:space="0" w:color="auto"/>
        <w:left w:val="none" w:sz="0" w:space="0" w:color="auto"/>
        <w:bottom w:val="none" w:sz="0" w:space="0" w:color="auto"/>
        <w:right w:val="none" w:sz="0" w:space="0" w:color="auto"/>
      </w:divBdr>
    </w:div>
    <w:div w:id="500196785">
      <w:marLeft w:val="0"/>
      <w:marRight w:val="0"/>
      <w:marTop w:val="0"/>
      <w:marBottom w:val="0"/>
      <w:divBdr>
        <w:top w:val="none" w:sz="0" w:space="0" w:color="auto"/>
        <w:left w:val="none" w:sz="0" w:space="0" w:color="auto"/>
        <w:bottom w:val="none" w:sz="0" w:space="0" w:color="auto"/>
        <w:right w:val="none" w:sz="0" w:space="0" w:color="auto"/>
      </w:divBdr>
      <w:divsChild>
        <w:div w:id="89470684">
          <w:marLeft w:val="0"/>
          <w:marRight w:val="0"/>
          <w:marTop w:val="0"/>
          <w:marBottom w:val="0"/>
          <w:divBdr>
            <w:top w:val="none" w:sz="0" w:space="0" w:color="auto"/>
            <w:left w:val="none" w:sz="0" w:space="0" w:color="auto"/>
            <w:bottom w:val="none" w:sz="0" w:space="0" w:color="auto"/>
            <w:right w:val="none" w:sz="0" w:space="0" w:color="auto"/>
          </w:divBdr>
        </w:div>
      </w:divsChild>
    </w:div>
    <w:div w:id="502093497">
      <w:marLeft w:val="0"/>
      <w:marRight w:val="0"/>
      <w:marTop w:val="200"/>
      <w:marBottom w:val="0"/>
      <w:divBdr>
        <w:top w:val="none" w:sz="0" w:space="0" w:color="auto"/>
        <w:left w:val="none" w:sz="0" w:space="0" w:color="auto"/>
        <w:bottom w:val="none" w:sz="0" w:space="0" w:color="auto"/>
        <w:right w:val="none" w:sz="0" w:space="0" w:color="auto"/>
      </w:divBdr>
    </w:div>
    <w:div w:id="502166100">
      <w:marLeft w:val="0"/>
      <w:marRight w:val="0"/>
      <w:marTop w:val="0"/>
      <w:marBottom w:val="0"/>
      <w:divBdr>
        <w:top w:val="none" w:sz="0" w:space="0" w:color="auto"/>
        <w:left w:val="none" w:sz="0" w:space="0" w:color="auto"/>
        <w:bottom w:val="none" w:sz="0" w:space="0" w:color="auto"/>
        <w:right w:val="none" w:sz="0" w:space="0" w:color="auto"/>
      </w:divBdr>
      <w:divsChild>
        <w:div w:id="1563590499">
          <w:marLeft w:val="0"/>
          <w:marRight w:val="0"/>
          <w:marTop w:val="0"/>
          <w:marBottom w:val="0"/>
          <w:divBdr>
            <w:top w:val="none" w:sz="0" w:space="0" w:color="auto"/>
            <w:left w:val="none" w:sz="0" w:space="0" w:color="auto"/>
            <w:bottom w:val="none" w:sz="0" w:space="0" w:color="auto"/>
            <w:right w:val="none" w:sz="0" w:space="0" w:color="auto"/>
          </w:divBdr>
        </w:div>
      </w:divsChild>
    </w:div>
    <w:div w:id="503664682">
      <w:marLeft w:val="0"/>
      <w:marRight w:val="0"/>
      <w:marTop w:val="0"/>
      <w:marBottom w:val="0"/>
      <w:divBdr>
        <w:top w:val="none" w:sz="0" w:space="0" w:color="auto"/>
        <w:left w:val="none" w:sz="0" w:space="0" w:color="auto"/>
        <w:bottom w:val="none" w:sz="0" w:space="0" w:color="auto"/>
        <w:right w:val="none" w:sz="0" w:space="0" w:color="auto"/>
      </w:divBdr>
      <w:divsChild>
        <w:div w:id="1450733383">
          <w:marLeft w:val="0"/>
          <w:marRight w:val="0"/>
          <w:marTop w:val="0"/>
          <w:marBottom w:val="0"/>
          <w:divBdr>
            <w:top w:val="none" w:sz="0" w:space="0" w:color="auto"/>
            <w:left w:val="none" w:sz="0" w:space="0" w:color="auto"/>
            <w:bottom w:val="none" w:sz="0" w:space="0" w:color="auto"/>
            <w:right w:val="none" w:sz="0" w:space="0" w:color="auto"/>
          </w:divBdr>
        </w:div>
      </w:divsChild>
    </w:div>
    <w:div w:id="505243871">
      <w:marLeft w:val="0"/>
      <w:marRight w:val="0"/>
      <w:marTop w:val="0"/>
      <w:marBottom w:val="0"/>
      <w:divBdr>
        <w:top w:val="none" w:sz="0" w:space="0" w:color="auto"/>
        <w:left w:val="none" w:sz="0" w:space="0" w:color="auto"/>
        <w:bottom w:val="none" w:sz="0" w:space="0" w:color="auto"/>
        <w:right w:val="none" w:sz="0" w:space="0" w:color="auto"/>
      </w:divBdr>
    </w:div>
    <w:div w:id="508450943">
      <w:marLeft w:val="0"/>
      <w:marRight w:val="0"/>
      <w:marTop w:val="200"/>
      <w:marBottom w:val="0"/>
      <w:divBdr>
        <w:top w:val="none" w:sz="0" w:space="0" w:color="auto"/>
        <w:left w:val="none" w:sz="0" w:space="0" w:color="auto"/>
        <w:bottom w:val="none" w:sz="0" w:space="0" w:color="auto"/>
        <w:right w:val="none" w:sz="0" w:space="0" w:color="auto"/>
      </w:divBdr>
    </w:div>
    <w:div w:id="509758099">
      <w:marLeft w:val="0"/>
      <w:marRight w:val="0"/>
      <w:marTop w:val="100"/>
      <w:marBottom w:val="0"/>
      <w:divBdr>
        <w:top w:val="none" w:sz="0" w:space="0" w:color="auto"/>
        <w:left w:val="none" w:sz="0" w:space="0" w:color="auto"/>
        <w:bottom w:val="none" w:sz="0" w:space="0" w:color="auto"/>
        <w:right w:val="none" w:sz="0" w:space="0" w:color="auto"/>
      </w:divBdr>
    </w:div>
    <w:div w:id="510488206">
      <w:marLeft w:val="0"/>
      <w:marRight w:val="0"/>
      <w:marTop w:val="0"/>
      <w:marBottom w:val="0"/>
      <w:divBdr>
        <w:top w:val="none" w:sz="0" w:space="0" w:color="auto"/>
        <w:left w:val="none" w:sz="0" w:space="0" w:color="auto"/>
        <w:bottom w:val="none" w:sz="0" w:space="0" w:color="auto"/>
        <w:right w:val="none" w:sz="0" w:space="0" w:color="auto"/>
      </w:divBdr>
    </w:div>
    <w:div w:id="515077194">
      <w:marLeft w:val="0"/>
      <w:marRight w:val="0"/>
      <w:marTop w:val="120"/>
      <w:marBottom w:val="0"/>
      <w:divBdr>
        <w:top w:val="none" w:sz="0" w:space="0" w:color="auto"/>
        <w:left w:val="none" w:sz="0" w:space="0" w:color="auto"/>
        <w:bottom w:val="none" w:sz="0" w:space="0" w:color="auto"/>
        <w:right w:val="none" w:sz="0" w:space="0" w:color="auto"/>
      </w:divBdr>
    </w:div>
    <w:div w:id="517937548">
      <w:marLeft w:val="0"/>
      <w:marRight w:val="0"/>
      <w:marTop w:val="200"/>
      <w:marBottom w:val="0"/>
      <w:divBdr>
        <w:top w:val="none" w:sz="0" w:space="0" w:color="auto"/>
        <w:left w:val="none" w:sz="0" w:space="0" w:color="auto"/>
        <w:bottom w:val="none" w:sz="0" w:space="0" w:color="auto"/>
        <w:right w:val="none" w:sz="0" w:space="0" w:color="auto"/>
      </w:divBdr>
    </w:div>
    <w:div w:id="520969447">
      <w:marLeft w:val="0"/>
      <w:marRight w:val="0"/>
      <w:marTop w:val="100"/>
      <w:marBottom w:val="0"/>
      <w:divBdr>
        <w:top w:val="none" w:sz="0" w:space="0" w:color="auto"/>
        <w:left w:val="none" w:sz="0" w:space="0" w:color="auto"/>
        <w:bottom w:val="none" w:sz="0" w:space="0" w:color="auto"/>
        <w:right w:val="none" w:sz="0" w:space="0" w:color="auto"/>
      </w:divBdr>
    </w:div>
    <w:div w:id="525754016">
      <w:marLeft w:val="0"/>
      <w:marRight w:val="0"/>
      <w:marTop w:val="0"/>
      <w:marBottom w:val="0"/>
      <w:divBdr>
        <w:top w:val="none" w:sz="0" w:space="0" w:color="auto"/>
        <w:left w:val="none" w:sz="0" w:space="0" w:color="auto"/>
        <w:bottom w:val="none" w:sz="0" w:space="0" w:color="auto"/>
        <w:right w:val="none" w:sz="0" w:space="0" w:color="auto"/>
      </w:divBdr>
      <w:divsChild>
        <w:div w:id="2013096054">
          <w:marLeft w:val="0"/>
          <w:marRight w:val="0"/>
          <w:marTop w:val="0"/>
          <w:marBottom w:val="0"/>
          <w:divBdr>
            <w:top w:val="none" w:sz="0" w:space="0" w:color="auto"/>
            <w:left w:val="none" w:sz="0" w:space="0" w:color="auto"/>
            <w:bottom w:val="none" w:sz="0" w:space="0" w:color="auto"/>
            <w:right w:val="none" w:sz="0" w:space="0" w:color="auto"/>
          </w:divBdr>
        </w:div>
      </w:divsChild>
    </w:div>
    <w:div w:id="529993630">
      <w:marLeft w:val="0"/>
      <w:marRight w:val="0"/>
      <w:marTop w:val="0"/>
      <w:marBottom w:val="0"/>
      <w:divBdr>
        <w:top w:val="none" w:sz="0" w:space="0" w:color="auto"/>
        <w:left w:val="none" w:sz="0" w:space="0" w:color="auto"/>
        <w:bottom w:val="none" w:sz="0" w:space="0" w:color="auto"/>
        <w:right w:val="none" w:sz="0" w:space="0" w:color="auto"/>
      </w:divBdr>
    </w:div>
    <w:div w:id="530729498">
      <w:marLeft w:val="0"/>
      <w:marRight w:val="0"/>
      <w:marTop w:val="0"/>
      <w:marBottom w:val="0"/>
      <w:divBdr>
        <w:top w:val="none" w:sz="0" w:space="0" w:color="auto"/>
        <w:left w:val="none" w:sz="0" w:space="0" w:color="auto"/>
        <w:bottom w:val="none" w:sz="0" w:space="0" w:color="auto"/>
        <w:right w:val="none" w:sz="0" w:space="0" w:color="auto"/>
      </w:divBdr>
    </w:div>
    <w:div w:id="532576835">
      <w:marLeft w:val="0"/>
      <w:marRight w:val="0"/>
      <w:marTop w:val="0"/>
      <w:marBottom w:val="0"/>
      <w:divBdr>
        <w:top w:val="none" w:sz="0" w:space="0" w:color="auto"/>
        <w:left w:val="none" w:sz="0" w:space="0" w:color="auto"/>
        <w:bottom w:val="none" w:sz="0" w:space="0" w:color="auto"/>
        <w:right w:val="none" w:sz="0" w:space="0" w:color="auto"/>
      </w:divBdr>
      <w:divsChild>
        <w:div w:id="1230268604">
          <w:marLeft w:val="0"/>
          <w:marRight w:val="0"/>
          <w:marTop w:val="0"/>
          <w:marBottom w:val="0"/>
          <w:divBdr>
            <w:top w:val="none" w:sz="0" w:space="0" w:color="auto"/>
            <w:left w:val="none" w:sz="0" w:space="0" w:color="auto"/>
            <w:bottom w:val="none" w:sz="0" w:space="0" w:color="auto"/>
            <w:right w:val="none" w:sz="0" w:space="0" w:color="auto"/>
          </w:divBdr>
        </w:div>
      </w:divsChild>
    </w:div>
    <w:div w:id="536159305">
      <w:marLeft w:val="0"/>
      <w:marRight w:val="0"/>
      <w:marTop w:val="200"/>
      <w:marBottom w:val="0"/>
      <w:divBdr>
        <w:top w:val="none" w:sz="0" w:space="0" w:color="auto"/>
        <w:left w:val="none" w:sz="0" w:space="0" w:color="auto"/>
        <w:bottom w:val="none" w:sz="0" w:space="0" w:color="auto"/>
        <w:right w:val="none" w:sz="0" w:space="0" w:color="auto"/>
      </w:divBdr>
    </w:div>
    <w:div w:id="537165676">
      <w:marLeft w:val="0"/>
      <w:marRight w:val="0"/>
      <w:marTop w:val="0"/>
      <w:marBottom w:val="0"/>
      <w:divBdr>
        <w:top w:val="none" w:sz="0" w:space="0" w:color="auto"/>
        <w:left w:val="none" w:sz="0" w:space="0" w:color="auto"/>
        <w:bottom w:val="none" w:sz="0" w:space="0" w:color="auto"/>
        <w:right w:val="none" w:sz="0" w:space="0" w:color="auto"/>
      </w:divBdr>
      <w:divsChild>
        <w:div w:id="1550340102">
          <w:marLeft w:val="0"/>
          <w:marRight w:val="0"/>
          <w:marTop w:val="0"/>
          <w:marBottom w:val="0"/>
          <w:divBdr>
            <w:top w:val="none" w:sz="0" w:space="0" w:color="auto"/>
            <w:left w:val="none" w:sz="0" w:space="0" w:color="auto"/>
            <w:bottom w:val="none" w:sz="0" w:space="0" w:color="auto"/>
            <w:right w:val="none" w:sz="0" w:space="0" w:color="auto"/>
          </w:divBdr>
        </w:div>
      </w:divsChild>
    </w:div>
    <w:div w:id="537789133">
      <w:marLeft w:val="0"/>
      <w:marRight w:val="0"/>
      <w:marTop w:val="0"/>
      <w:marBottom w:val="0"/>
      <w:divBdr>
        <w:top w:val="none" w:sz="0" w:space="0" w:color="auto"/>
        <w:left w:val="none" w:sz="0" w:space="0" w:color="auto"/>
        <w:bottom w:val="none" w:sz="0" w:space="0" w:color="auto"/>
        <w:right w:val="none" w:sz="0" w:space="0" w:color="auto"/>
      </w:divBdr>
    </w:div>
    <w:div w:id="538275572">
      <w:marLeft w:val="0"/>
      <w:marRight w:val="0"/>
      <w:marTop w:val="0"/>
      <w:marBottom w:val="0"/>
      <w:divBdr>
        <w:top w:val="none" w:sz="0" w:space="0" w:color="auto"/>
        <w:left w:val="none" w:sz="0" w:space="0" w:color="auto"/>
        <w:bottom w:val="none" w:sz="0" w:space="0" w:color="auto"/>
        <w:right w:val="none" w:sz="0" w:space="0" w:color="auto"/>
      </w:divBdr>
      <w:divsChild>
        <w:div w:id="637953088">
          <w:marLeft w:val="0"/>
          <w:marRight w:val="0"/>
          <w:marTop w:val="0"/>
          <w:marBottom w:val="0"/>
          <w:divBdr>
            <w:top w:val="none" w:sz="0" w:space="0" w:color="auto"/>
            <w:left w:val="none" w:sz="0" w:space="0" w:color="auto"/>
            <w:bottom w:val="none" w:sz="0" w:space="0" w:color="auto"/>
            <w:right w:val="none" w:sz="0" w:space="0" w:color="auto"/>
          </w:divBdr>
        </w:div>
      </w:divsChild>
    </w:div>
    <w:div w:id="538394723">
      <w:marLeft w:val="0"/>
      <w:marRight w:val="0"/>
      <w:marTop w:val="0"/>
      <w:marBottom w:val="0"/>
      <w:divBdr>
        <w:top w:val="none" w:sz="0" w:space="0" w:color="auto"/>
        <w:left w:val="none" w:sz="0" w:space="0" w:color="auto"/>
        <w:bottom w:val="none" w:sz="0" w:space="0" w:color="auto"/>
        <w:right w:val="none" w:sz="0" w:space="0" w:color="auto"/>
      </w:divBdr>
    </w:div>
    <w:div w:id="540023398">
      <w:marLeft w:val="0"/>
      <w:marRight w:val="0"/>
      <w:marTop w:val="0"/>
      <w:marBottom w:val="200"/>
      <w:divBdr>
        <w:top w:val="none" w:sz="0" w:space="0" w:color="auto"/>
        <w:left w:val="none" w:sz="0" w:space="0" w:color="auto"/>
        <w:bottom w:val="none" w:sz="0" w:space="0" w:color="auto"/>
        <w:right w:val="none" w:sz="0" w:space="0" w:color="auto"/>
      </w:divBdr>
    </w:div>
    <w:div w:id="545871078">
      <w:marLeft w:val="0"/>
      <w:marRight w:val="0"/>
      <w:marTop w:val="0"/>
      <w:marBottom w:val="0"/>
      <w:divBdr>
        <w:top w:val="none" w:sz="0" w:space="0" w:color="auto"/>
        <w:left w:val="none" w:sz="0" w:space="0" w:color="auto"/>
        <w:bottom w:val="none" w:sz="0" w:space="0" w:color="auto"/>
        <w:right w:val="none" w:sz="0" w:space="0" w:color="auto"/>
      </w:divBdr>
    </w:div>
    <w:div w:id="551189525">
      <w:marLeft w:val="0"/>
      <w:marRight w:val="0"/>
      <w:marTop w:val="0"/>
      <w:marBottom w:val="0"/>
      <w:divBdr>
        <w:top w:val="none" w:sz="0" w:space="0" w:color="auto"/>
        <w:left w:val="none" w:sz="0" w:space="0" w:color="auto"/>
        <w:bottom w:val="none" w:sz="0" w:space="0" w:color="auto"/>
        <w:right w:val="none" w:sz="0" w:space="0" w:color="auto"/>
      </w:divBdr>
      <w:divsChild>
        <w:div w:id="1042903275">
          <w:marLeft w:val="0"/>
          <w:marRight w:val="0"/>
          <w:marTop w:val="0"/>
          <w:marBottom w:val="0"/>
          <w:divBdr>
            <w:top w:val="none" w:sz="0" w:space="0" w:color="auto"/>
            <w:left w:val="none" w:sz="0" w:space="0" w:color="auto"/>
            <w:bottom w:val="none" w:sz="0" w:space="0" w:color="auto"/>
            <w:right w:val="none" w:sz="0" w:space="0" w:color="auto"/>
          </w:divBdr>
        </w:div>
      </w:divsChild>
    </w:div>
    <w:div w:id="552884430">
      <w:marLeft w:val="0"/>
      <w:marRight w:val="0"/>
      <w:marTop w:val="0"/>
      <w:marBottom w:val="0"/>
      <w:divBdr>
        <w:top w:val="none" w:sz="0" w:space="0" w:color="auto"/>
        <w:left w:val="none" w:sz="0" w:space="0" w:color="auto"/>
        <w:bottom w:val="none" w:sz="0" w:space="0" w:color="auto"/>
        <w:right w:val="none" w:sz="0" w:space="0" w:color="auto"/>
      </w:divBdr>
    </w:div>
    <w:div w:id="553002650">
      <w:marLeft w:val="0"/>
      <w:marRight w:val="0"/>
      <w:marTop w:val="0"/>
      <w:marBottom w:val="0"/>
      <w:divBdr>
        <w:top w:val="none" w:sz="0" w:space="0" w:color="auto"/>
        <w:left w:val="none" w:sz="0" w:space="0" w:color="auto"/>
        <w:bottom w:val="none" w:sz="0" w:space="0" w:color="auto"/>
        <w:right w:val="none" w:sz="0" w:space="0" w:color="auto"/>
      </w:divBdr>
    </w:div>
    <w:div w:id="553808130">
      <w:marLeft w:val="0"/>
      <w:marRight w:val="0"/>
      <w:marTop w:val="200"/>
      <w:marBottom w:val="0"/>
      <w:divBdr>
        <w:top w:val="none" w:sz="0" w:space="0" w:color="auto"/>
        <w:left w:val="none" w:sz="0" w:space="0" w:color="auto"/>
        <w:bottom w:val="none" w:sz="0" w:space="0" w:color="auto"/>
        <w:right w:val="none" w:sz="0" w:space="0" w:color="auto"/>
      </w:divBdr>
    </w:div>
    <w:div w:id="554582145">
      <w:marLeft w:val="0"/>
      <w:marRight w:val="0"/>
      <w:marTop w:val="0"/>
      <w:marBottom w:val="0"/>
      <w:divBdr>
        <w:top w:val="none" w:sz="0" w:space="0" w:color="auto"/>
        <w:left w:val="none" w:sz="0" w:space="0" w:color="auto"/>
        <w:bottom w:val="none" w:sz="0" w:space="0" w:color="auto"/>
        <w:right w:val="none" w:sz="0" w:space="0" w:color="auto"/>
      </w:divBdr>
      <w:divsChild>
        <w:div w:id="753628579">
          <w:marLeft w:val="0"/>
          <w:marRight w:val="0"/>
          <w:marTop w:val="0"/>
          <w:marBottom w:val="0"/>
          <w:divBdr>
            <w:top w:val="none" w:sz="0" w:space="0" w:color="auto"/>
            <w:left w:val="none" w:sz="0" w:space="0" w:color="auto"/>
            <w:bottom w:val="none" w:sz="0" w:space="0" w:color="auto"/>
            <w:right w:val="none" w:sz="0" w:space="0" w:color="auto"/>
          </w:divBdr>
        </w:div>
      </w:divsChild>
    </w:div>
    <w:div w:id="554777440">
      <w:marLeft w:val="0"/>
      <w:marRight w:val="0"/>
      <w:marTop w:val="200"/>
      <w:marBottom w:val="0"/>
      <w:divBdr>
        <w:top w:val="none" w:sz="0" w:space="0" w:color="auto"/>
        <w:left w:val="none" w:sz="0" w:space="0" w:color="auto"/>
        <w:bottom w:val="none" w:sz="0" w:space="0" w:color="auto"/>
        <w:right w:val="none" w:sz="0" w:space="0" w:color="auto"/>
      </w:divBdr>
    </w:div>
    <w:div w:id="554972117">
      <w:marLeft w:val="0"/>
      <w:marRight w:val="0"/>
      <w:marTop w:val="200"/>
      <w:marBottom w:val="0"/>
      <w:divBdr>
        <w:top w:val="none" w:sz="0" w:space="0" w:color="auto"/>
        <w:left w:val="none" w:sz="0" w:space="0" w:color="auto"/>
        <w:bottom w:val="none" w:sz="0" w:space="0" w:color="auto"/>
        <w:right w:val="none" w:sz="0" w:space="0" w:color="auto"/>
      </w:divBdr>
    </w:div>
    <w:div w:id="557013794">
      <w:marLeft w:val="0"/>
      <w:marRight w:val="0"/>
      <w:marTop w:val="0"/>
      <w:marBottom w:val="0"/>
      <w:divBdr>
        <w:top w:val="none" w:sz="0" w:space="0" w:color="auto"/>
        <w:left w:val="none" w:sz="0" w:space="0" w:color="auto"/>
        <w:bottom w:val="none" w:sz="0" w:space="0" w:color="auto"/>
        <w:right w:val="none" w:sz="0" w:space="0" w:color="auto"/>
      </w:divBdr>
      <w:divsChild>
        <w:div w:id="1673948362">
          <w:marLeft w:val="0"/>
          <w:marRight w:val="0"/>
          <w:marTop w:val="0"/>
          <w:marBottom w:val="0"/>
          <w:divBdr>
            <w:top w:val="none" w:sz="0" w:space="0" w:color="auto"/>
            <w:left w:val="none" w:sz="0" w:space="0" w:color="auto"/>
            <w:bottom w:val="none" w:sz="0" w:space="0" w:color="auto"/>
            <w:right w:val="none" w:sz="0" w:space="0" w:color="auto"/>
          </w:divBdr>
        </w:div>
      </w:divsChild>
    </w:div>
    <w:div w:id="559053028">
      <w:marLeft w:val="0"/>
      <w:marRight w:val="0"/>
      <w:marTop w:val="0"/>
      <w:marBottom w:val="0"/>
      <w:divBdr>
        <w:top w:val="none" w:sz="0" w:space="0" w:color="auto"/>
        <w:left w:val="none" w:sz="0" w:space="0" w:color="auto"/>
        <w:bottom w:val="none" w:sz="0" w:space="0" w:color="auto"/>
        <w:right w:val="none" w:sz="0" w:space="0" w:color="auto"/>
      </w:divBdr>
    </w:div>
    <w:div w:id="559945264">
      <w:marLeft w:val="0"/>
      <w:marRight w:val="0"/>
      <w:marTop w:val="100"/>
      <w:marBottom w:val="0"/>
      <w:divBdr>
        <w:top w:val="none" w:sz="0" w:space="0" w:color="auto"/>
        <w:left w:val="none" w:sz="0" w:space="0" w:color="auto"/>
        <w:bottom w:val="none" w:sz="0" w:space="0" w:color="auto"/>
        <w:right w:val="none" w:sz="0" w:space="0" w:color="auto"/>
      </w:divBdr>
    </w:div>
    <w:div w:id="562058515">
      <w:marLeft w:val="0"/>
      <w:marRight w:val="0"/>
      <w:marTop w:val="0"/>
      <w:marBottom w:val="0"/>
      <w:divBdr>
        <w:top w:val="none" w:sz="0" w:space="0" w:color="auto"/>
        <w:left w:val="none" w:sz="0" w:space="0" w:color="auto"/>
        <w:bottom w:val="none" w:sz="0" w:space="0" w:color="auto"/>
        <w:right w:val="none" w:sz="0" w:space="0" w:color="auto"/>
      </w:divBdr>
    </w:div>
    <w:div w:id="565338641">
      <w:marLeft w:val="0"/>
      <w:marRight w:val="0"/>
      <w:marTop w:val="0"/>
      <w:marBottom w:val="0"/>
      <w:divBdr>
        <w:top w:val="none" w:sz="0" w:space="0" w:color="auto"/>
        <w:left w:val="none" w:sz="0" w:space="0" w:color="auto"/>
        <w:bottom w:val="none" w:sz="0" w:space="0" w:color="auto"/>
        <w:right w:val="none" w:sz="0" w:space="0" w:color="auto"/>
      </w:divBdr>
      <w:divsChild>
        <w:div w:id="1219244109">
          <w:marLeft w:val="0"/>
          <w:marRight w:val="0"/>
          <w:marTop w:val="0"/>
          <w:marBottom w:val="0"/>
          <w:divBdr>
            <w:top w:val="none" w:sz="0" w:space="0" w:color="auto"/>
            <w:left w:val="none" w:sz="0" w:space="0" w:color="auto"/>
            <w:bottom w:val="none" w:sz="0" w:space="0" w:color="auto"/>
            <w:right w:val="none" w:sz="0" w:space="0" w:color="auto"/>
          </w:divBdr>
        </w:div>
      </w:divsChild>
    </w:div>
    <w:div w:id="566917226">
      <w:marLeft w:val="0"/>
      <w:marRight w:val="0"/>
      <w:marTop w:val="0"/>
      <w:marBottom w:val="0"/>
      <w:divBdr>
        <w:top w:val="none" w:sz="0" w:space="0" w:color="auto"/>
        <w:left w:val="none" w:sz="0" w:space="0" w:color="auto"/>
        <w:bottom w:val="none" w:sz="0" w:space="0" w:color="auto"/>
        <w:right w:val="none" w:sz="0" w:space="0" w:color="auto"/>
      </w:divBdr>
    </w:div>
    <w:div w:id="569004324">
      <w:marLeft w:val="0"/>
      <w:marRight w:val="0"/>
      <w:marTop w:val="100"/>
      <w:marBottom w:val="0"/>
      <w:divBdr>
        <w:top w:val="none" w:sz="0" w:space="0" w:color="auto"/>
        <w:left w:val="none" w:sz="0" w:space="0" w:color="auto"/>
        <w:bottom w:val="none" w:sz="0" w:space="0" w:color="auto"/>
        <w:right w:val="none" w:sz="0" w:space="0" w:color="auto"/>
      </w:divBdr>
    </w:div>
    <w:div w:id="575020485">
      <w:marLeft w:val="0"/>
      <w:marRight w:val="0"/>
      <w:marTop w:val="0"/>
      <w:marBottom w:val="0"/>
      <w:divBdr>
        <w:top w:val="none" w:sz="0" w:space="0" w:color="auto"/>
        <w:left w:val="none" w:sz="0" w:space="0" w:color="auto"/>
        <w:bottom w:val="none" w:sz="0" w:space="0" w:color="auto"/>
        <w:right w:val="none" w:sz="0" w:space="0" w:color="auto"/>
      </w:divBdr>
    </w:div>
    <w:div w:id="575170977">
      <w:marLeft w:val="0"/>
      <w:marRight w:val="0"/>
      <w:marTop w:val="0"/>
      <w:marBottom w:val="200"/>
      <w:divBdr>
        <w:top w:val="none" w:sz="0" w:space="0" w:color="auto"/>
        <w:left w:val="none" w:sz="0" w:space="0" w:color="auto"/>
        <w:bottom w:val="none" w:sz="0" w:space="0" w:color="auto"/>
        <w:right w:val="none" w:sz="0" w:space="0" w:color="auto"/>
      </w:divBdr>
    </w:div>
    <w:div w:id="575818334">
      <w:marLeft w:val="0"/>
      <w:marRight w:val="0"/>
      <w:marTop w:val="0"/>
      <w:marBottom w:val="0"/>
      <w:divBdr>
        <w:top w:val="none" w:sz="0" w:space="0" w:color="auto"/>
        <w:left w:val="none" w:sz="0" w:space="0" w:color="auto"/>
        <w:bottom w:val="none" w:sz="0" w:space="0" w:color="auto"/>
        <w:right w:val="none" w:sz="0" w:space="0" w:color="auto"/>
      </w:divBdr>
      <w:divsChild>
        <w:div w:id="756249242">
          <w:marLeft w:val="0"/>
          <w:marRight w:val="0"/>
          <w:marTop w:val="0"/>
          <w:marBottom w:val="0"/>
          <w:divBdr>
            <w:top w:val="none" w:sz="0" w:space="0" w:color="auto"/>
            <w:left w:val="none" w:sz="0" w:space="0" w:color="auto"/>
            <w:bottom w:val="none" w:sz="0" w:space="0" w:color="auto"/>
            <w:right w:val="none" w:sz="0" w:space="0" w:color="auto"/>
          </w:divBdr>
        </w:div>
      </w:divsChild>
    </w:div>
    <w:div w:id="580261486">
      <w:marLeft w:val="0"/>
      <w:marRight w:val="0"/>
      <w:marTop w:val="0"/>
      <w:marBottom w:val="0"/>
      <w:divBdr>
        <w:top w:val="none" w:sz="0" w:space="0" w:color="auto"/>
        <w:left w:val="none" w:sz="0" w:space="0" w:color="auto"/>
        <w:bottom w:val="none" w:sz="0" w:space="0" w:color="auto"/>
        <w:right w:val="none" w:sz="0" w:space="0" w:color="auto"/>
      </w:divBdr>
    </w:div>
    <w:div w:id="580331969">
      <w:marLeft w:val="0"/>
      <w:marRight w:val="0"/>
      <w:marTop w:val="0"/>
      <w:marBottom w:val="0"/>
      <w:divBdr>
        <w:top w:val="none" w:sz="0" w:space="0" w:color="auto"/>
        <w:left w:val="none" w:sz="0" w:space="0" w:color="auto"/>
        <w:bottom w:val="none" w:sz="0" w:space="0" w:color="auto"/>
        <w:right w:val="none" w:sz="0" w:space="0" w:color="auto"/>
      </w:divBdr>
    </w:div>
    <w:div w:id="580874118">
      <w:marLeft w:val="0"/>
      <w:marRight w:val="0"/>
      <w:marTop w:val="200"/>
      <w:marBottom w:val="0"/>
      <w:divBdr>
        <w:top w:val="none" w:sz="0" w:space="0" w:color="auto"/>
        <w:left w:val="none" w:sz="0" w:space="0" w:color="auto"/>
        <w:bottom w:val="none" w:sz="0" w:space="0" w:color="auto"/>
        <w:right w:val="none" w:sz="0" w:space="0" w:color="auto"/>
      </w:divBdr>
    </w:div>
    <w:div w:id="586353455">
      <w:marLeft w:val="0"/>
      <w:marRight w:val="0"/>
      <w:marTop w:val="0"/>
      <w:marBottom w:val="0"/>
      <w:divBdr>
        <w:top w:val="none" w:sz="0" w:space="0" w:color="auto"/>
        <w:left w:val="none" w:sz="0" w:space="0" w:color="auto"/>
        <w:bottom w:val="none" w:sz="0" w:space="0" w:color="auto"/>
        <w:right w:val="none" w:sz="0" w:space="0" w:color="auto"/>
      </w:divBdr>
    </w:div>
    <w:div w:id="586885937">
      <w:marLeft w:val="0"/>
      <w:marRight w:val="0"/>
      <w:marTop w:val="200"/>
      <w:marBottom w:val="0"/>
      <w:divBdr>
        <w:top w:val="none" w:sz="0" w:space="0" w:color="auto"/>
        <w:left w:val="none" w:sz="0" w:space="0" w:color="auto"/>
        <w:bottom w:val="none" w:sz="0" w:space="0" w:color="auto"/>
        <w:right w:val="none" w:sz="0" w:space="0" w:color="auto"/>
      </w:divBdr>
    </w:div>
    <w:div w:id="587886153">
      <w:marLeft w:val="0"/>
      <w:marRight w:val="0"/>
      <w:marTop w:val="0"/>
      <w:marBottom w:val="0"/>
      <w:divBdr>
        <w:top w:val="none" w:sz="0" w:space="0" w:color="auto"/>
        <w:left w:val="none" w:sz="0" w:space="0" w:color="auto"/>
        <w:bottom w:val="none" w:sz="0" w:space="0" w:color="auto"/>
        <w:right w:val="none" w:sz="0" w:space="0" w:color="auto"/>
      </w:divBdr>
    </w:div>
    <w:div w:id="588543934">
      <w:marLeft w:val="0"/>
      <w:marRight w:val="0"/>
      <w:marTop w:val="200"/>
      <w:marBottom w:val="0"/>
      <w:divBdr>
        <w:top w:val="none" w:sz="0" w:space="0" w:color="auto"/>
        <w:left w:val="none" w:sz="0" w:space="0" w:color="auto"/>
        <w:bottom w:val="none" w:sz="0" w:space="0" w:color="auto"/>
        <w:right w:val="none" w:sz="0" w:space="0" w:color="auto"/>
      </w:divBdr>
    </w:div>
    <w:div w:id="591090883">
      <w:marLeft w:val="0"/>
      <w:marRight w:val="0"/>
      <w:marTop w:val="0"/>
      <w:marBottom w:val="0"/>
      <w:divBdr>
        <w:top w:val="none" w:sz="0" w:space="0" w:color="auto"/>
        <w:left w:val="none" w:sz="0" w:space="0" w:color="auto"/>
        <w:bottom w:val="none" w:sz="0" w:space="0" w:color="auto"/>
        <w:right w:val="none" w:sz="0" w:space="0" w:color="auto"/>
      </w:divBdr>
    </w:div>
    <w:div w:id="591670061">
      <w:marLeft w:val="0"/>
      <w:marRight w:val="0"/>
      <w:marTop w:val="0"/>
      <w:marBottom w:val="0"/>
      <w:divBdr>
        <w:top w:val="none" w:sz="0" w:space="0" w:color="auto"/>
        <w:left w:val="none" w:sz="0" w:space="0" w:color="auto"/>
        <w:bottom w:val="none" w:sz="0" w:space="0" w:color="auto"/>
        <w:right w:val="none" w:sz="0" w:space="0" w:color="auto"/>
      </w:divBdr>
    </w:div>
    <w:div w:id="592203647">
      <w:marLeft w:val="0"/>
      <w:marRight w:val="0"/>
      <w:marTop w:val="0"/>
      <w:marBottom w:val="0"/>
      <w:divBdr>
        <w:top w:val="none" w:sz="0" w:space="0" w:color="auto"/>
        <w:left w:val="none" w:sz="0" w:space="0" w:color="auto"/>
        <w:bottom w:val="none" w:sz="0" w:space="0" w:color="auto"/>
        <w:right w:val="none" w:sz="0" w:space="0" w:color="auto"/>
      </w:divBdr>
    </w:div>
    <w:div w:id="595868429">
      <w:marLeft w:val="0"/>
      <w:marRight w:val="0"/>
      <w:marTop w:val="60"/>
      <w:marBottom w:val="0"/>
      <w:divBdr>
        <w:top w:val="none" w:sz="0" w:space="0" w:color="auto"/>
        <w:left w:val="none" w:sz="0" w:space="0" w:color="auto"/>
        <w:bottom w:val="none" w:sz="0" w:space="0" w:color="auto"/>
        <w:right w:val="none" w:sz="0" w:space="0" w:color="auto"/>
      </w:divBdr>
    </w:div>
    <w:div w:id="595989964">
      <w:marLeft w:val="0"/>
      <w:marRight w:val="0"/>
      <w:marTop w:val="0"/>
      <w:marBottom w:val="0"/>
      <w:divBdr>
        <w:top w:val="none" w:sz="0" w:space="0" w:color="auto"/>
        <w:left w:val="none" w:sz="0" w:space="0" w:color="auto"/>
        <w:bottom w:val="none" w:sz="0" w:space="0" w:color="auto"/>
        <w:right w:val="none" w:sz="0" w:space="0" w:color="auto"/>
      </w:divBdr>
    </w:div>
    <w:div w:id="598803085">
      <w:marLeft w:val="0"/>
      <w:marRight w:val="0"/>
      <w:marTop w:val="0"/>
      <w:marBottom w:val="0"/>
      <w:divBdr>
        <w:top w:val="none" w:sz="0" w:space="0" w:color="auto"/>
        <w:left w:val="none" w:sz="0" w:space="0" w:color="auto"/>
        <w:bottom w:val="none" w:sz="0" w:space="0" w:color="auto"/>
        <w:right w:val="none" w:sz="0" w:space="0" w:color="auto"/>
      </w:divBdr>
      <w:divsChild>
        <w:div w:id="726228055">
          <w:marLeft w:val="0"/>
          <w:marRight w:val="0"/>
          <w:marTop w:val="0"/>
          <w:marBottom w:val="0"/>
          <w:divBdr>
            <w:top w:val="none" w:sz="0" w:space="0" w:color="auto"/>
            <w:left w:val="none" w:sz="0" w:space="0" w:color="auto"/>
            <w:bottom w:val="none" w:sz="0" w:space="0" w:color="auto"/>
            <w:right w:val="none" w:sz="0" w:space="0" w:color="auto"/>
          </w:divBdr>
        </w:div>
      </w:divsChild>
    </w:div>
    <w:div w:id="600527907">
      <w:marLeft w:val="0"/>
      <w:marRight w:val="0"/>
      <w:marTop w:val="100"/>
      <w:marBottom w:val="0"/>
      <w:divBdr>
        <w:top w:val="none" w:sz="0" w:space="0" w:color="auto"/>
        <w:left w:val="none" w:sz="0" w:space="0" w:color="auto"/>
        <w:bottom w:val="none" w:sz="0" w:space="0" w:color="auto"/>
        <w:right w:val="none" w:sz="0" w:space="0" w:color="auto"/>
      </w:divBdr>
    </w:div>
    <w:div w:id="600647653">
      <w:marLeft w:val="0"/>
      <w:marRight w:val="0"/>
      <w:marTop w:val="0"/>
      <w:marBottom w:val="0"/>
      <w:divBdr>
        <w:top w:val="none" w:sz="0" w:space="0" w:color="auto"/>
        <w:left w:val="none" w:sz="0" w:space="0" w:color="auto"/>
        <w:bottom w:val="none" w:sz="0" w:space="0" w:color="auto"/>
        <w:right w:val="none" w:sz="0" w:space="0" w:color="auto"/>
      </w:divBdr>
    </w:div>
    <w:div w:id="602374076">
      <w:marLeft w:val="0"/>
      <w:marRight w:val="0"/>
      <w:marTop w:val="0"/>
      <w:marBottom w:val="0"/>
      <w:divBdr>
        <w:top w:val="none" w:sz="0" w:space="0" w:color="auto"/>
        <w:left w:val="none" w:sz="0" w:space="0" w:color="auto"/>
        <w:bottom w:val="none" w:sz="0" w:space="0" w:color="auto"/>
        <w:right w:val="none" w:sz="0" w:space="0" w:color="auto"/>
      </w:divBdr>
      <w:divsChild>
        <w:div w:id="324600663">
          <w:marLeft w:val="0"/>
          <w:marRight w:val="0"/>
          <w:marTop w:val="0"/>
          <w:marBottom w:val="0"/>
          <w:divBdr>
            <w:top w:val="none" w:sz="0" w:space="0" w:color="auto"/>
            <w:left w:val="none" w:sz="0" w:space="0" w:color="auto"/>
            <w:bottom w:val="none" w:sz="0" w:space="0" w:color="auto"/>
            <w:right w:val="none" w:sz="0" w:space="0" w:color="auto"/>
          </w:divBdr>
        </w:div>
      </w:divsChild>
    </w:div>
    <w:div w:id="605425059">
      <w:marLeft w:val="0"/>
      <w:marRight w:val="0"/>
      <w:marTop w:val="0"/>
      <w:marBottom w:val="0"/>
      <w:divBdr>
        <w:top w:val="none" w:sz="0" w:space="0" w:color="auto"/>
        <w:left w:val="none" w:sz="0" w:space="0" w:color="auto"/>
        <w:bottom w:val="none" w:sz="0" w:space="0" w:color="auto"/>
        <w:right w:val="none" w:sz="0" w:space="0" w:color="auto"/>
      </w:divBdr>
    </w:div>
    <w:div w:id="608243057">
      <w:marLeft w:val="0"/>
      <w:marRight w:val="0"/>
      <w:marTop w:val="0"/>
      <w:marBottom w:val="0"/>
      <w:divBdr>
        <w:top w:val="none" w:sz="0" w:space="0" w:color="auto"/>
        <w:left w:val="none" w:sz="0" w:space="0" w:color="auto"/>
        <w:bottom w:val="none" w:sz="0" w:space="0" w:color="auto"/>
        <w:right w:val="none" w:sz="0" w:space="0" w:color="auto"/>
      </w:divBdr>
      <w:divsChild>
        <w:div w:id="755707775">
          <w:marLeft w:val="0"/>
          <w:marRight w:val="0"/>
          <w:marTop w:val="0"/>
          <w:marBottom w:val="0"/>
          <w:divBdr>
            <w:top w:val="none" w:sz="0" w:space="0" w:color="auto"/>
            <w:left w:val="none" w:sz="0" w:space="0" w:color="auto"/>
            <w:bottom w:val="none" w:sz="0" w:space="0" w:color="auto"/>
            <w:right w:val="none" w:sz="0" w:space="0" w:color="auto"/>
          </w:divBdr>
        </w:div>
      </w:divsChild>
    </w:div>
    <w:div w:id="610673252">
      <w:marLeft w:val="0"/>
      <w:marRight w:val="0"/>
      <w:marTop w:val="100"/>
      <w:marBottom w:val="0"/>
      <w:divBdr>
        <w:top w:val="none" w:sz="0" w:space="0" w:color="auto"/>
        <w:left w:val="none" w:sz="0" w:space="0" w:color="auto"/>
        <w:bottom w:val="none" w:sz="0" w:space="0" w:color="auto"/>
        <w:right w:val="none" w:sz="0" w:space="0" w:color="auto"/>
      </w:divBdr>
    </w:div>
    <w:div w:id="612133075">
      <w:marLeft w:val="0"/>
      <w:marRight w:val="0"/>
      <w:marTop w:val="200"/>
      <w:marBottom w:val="0"/>
      <w:divBdr>
        <w:top w:val="none" w:sz="0" w:space="0" w:color="auto"/>
        <w:left w:val="none" w:sz="0" w:space="0" w:color="auto"/>
        <w:bottom w:val="none" w:sz="0" w:space="0" w:color="auto"/>
        <w:right w:val="none" w:sz="0" w:space="0" w:color="auto"/>
      </w:divBdr>
    </w:div>
    <w:div w:id="612638919">
      <w:marLeft w:val="0"/>
      <w:marRight w:val="0"/>
      <w:marTop w:val="0"/>
      <w:marBottom w:val="160"/>
      <w:divBdr>
        <w:top w:val="none" w:sz="0" w:space="0" w:color="auto"/>
        <w:left w:val="none" w:sz="0" w:space="0" w:color="auto"/>
        <w:bottom w:val="none" w:sz="0" w:space="0" w:color="auto"/>
        <w:right w:val="none" w:sz="0" w:space="0" w:color="auto"/>
      </w:divBdr>
    </w:div>
    <w:div w:id="615216295">
      <w:marLeft w:val="0"/>
      <w:marRight w:val="0"/>
      <w:marTop w:val="100"/>
      <w:marBottom w:val="60"/>
      <w:divBdr>
        <w:top w:val="none" w:sz="0" w:space="0" w:color="auto"/>
        <w:left w:val="none" w:sz="0" w:space="0" w:color="auto"/>
        <w:bottom w:val="none" w:sz="0" w:space="0" w:color="auto"/>
        <w:right w:val="none" w:sz="0" w:space="0" w:color="auto"/>
      </w:divBdr>
      <w:divsChild>
        <w:div w:id="2115322015">
          <w:marLeft w:val="0"/>
          <w:marRight w:val="0"/>
          <w:marTop w:val="0"/>
          <w:marBottom w:val="0"/>
          <w:divBdr>
            <w:top w:val="none" w:sz="0" w:space="0" w:color="auto"/>
            <w:left w:val="none" w:sz="0" w:space="0" w:color="auto"/>
            <w:bottom w:val="none" w:sz="0" w:space="0" w:color="auto"/>
            <w:right w:val="none" w:sz="0" w:space="0" w:color="auto"/>
          </w:divBdr>
        </w:div>
        <w:div w:id="938606810">
          <w:marLeft w:val="0"/>
          <w:marRight w:val="0"/>
          <w:marTop w:val="0"/>
          <w:marBottom w:val="0"/>
          <w:divBdr>
            <w:top w:val="none" w:sz="0" w:space="0" w:color="auto"/>
            <w:left w:val="none" w:sz="0" w:space="0" w:color="auto"/>
            <w:bottom w:val="none" w:sz="0" w:space="0" w:color="auto"/>
            <w:right w:val="none" w:sz="0" w:space="0" w:color="auto"/>
          </w:divBdr>
        </w:div>
        <w:div w:id="847909747">
          <w:marLeft w:val="0"/>
          <w:marRight w:val="0"/>
          <w:marTop w:val="0"/>
          <w:marBottom w:val="0"/>
          <w:divBdr>
            <w:top w:val="none" w:sz="0" w:space="0" w:color="auto"/>
            <w:left w:val="none" w:sz="0" w:space="0" w:color="auto"/>
            <w:bottom w:val="none" w:sz="0" w:space="0" w:color="auto"/>
            <w:right w:val="none" w:sz="0" w:space="0" w:color="auto"/>
          </w:divBdr>
        </w:div>
        <w:div w:id="752554457">
          <w:marLeft w:val="0"/>
          <w:marRight w:val="0"/>
          <w:marTop w:val="0"/>
          <w:marBottom w:val="0"/>
          <w:divBdr>
            <w:top w:val="none" w:sz="0" w:space="0" w:color="auto"/>
            <w:left w:val="none" w:sz="0" w:space="0" w:color="auto"/>
            <w:bottom w:val="none" w:sz="0" w:space="0" w:color="auto"/>
            <w:right w:val="none" w:sz="0" w:space="0" w:color="auto"/>
          </w:divBdr>
        </w:div>
        <w:div w:id="1302467049">
          <w:marLeft w:val="0"/>
          <w:marRight w:val="0"/>
          <w:marTop w:val="0"/>
          <w:marBottom w:val="0"/>
          <w:divBdr>
            <w:top w:val="none" w:sz="0" w:space="0" w:color="auto"/>
            <w:left w:val="none" w:sz="0" w:space="0" w:color="auto"/>
            <w:bottom w:val="none" w:sz="0" w:space="0" w:color="auto"/>
            <w:right w:val="none" w:sz="0" w:space="0" w:color="auto"/>
          </w:divBdr>
        </w:div>
        <w:div w:id="727846062">
          <w:marLeft w:val="0"/>
          <w:marRight w:val="0"/>
          <w:marTop w:val="0"/>
          <w:marBottom w:val="0"/>
          <w:divBdr>
            <w:top w:val="none" w:sz="0" w:space="0" w:color="auto"/>
            <w:left w:val="none" w:sz="0" w:space="0" w:color="auto"/>
            <w:bottom w:val="none" w:sz="0" w:space="0" w:color="auto"/>
            <w:right w:val="none" w:sz="0" w:space="0" w:color="auto"/>
          </w:divBdr>
        </w:div>
        <w:div w:id="156192743">
          <w:marLeft w:val="0"/>
          <w:marRight w:val="0"/>
          <w:marTop w:val="0"/>
          <w:marBottom w:val="0"/>
          <w:divBdr>
            <w:top w:val="none" w:sz="0" w:space="0" w:color="auto"/>
            <w:left w:val="none" w:sz="0" w:space="0" w:color="auto"/>
            <w:bottom w:val="none" w:sz="0" w:space="0" w:color="auto"/>
            <w:right w:val="none" w:sz="0" w:space="0" w:color="auto"/>
          </w:divBdr>
        </w:div>
        <w:div w:id="1971665482">
          <w:marLeft w:val="0"/>
          <w:marRight w:val="0"/>
          <w:marTop w:val="0"/>
          <w:marBottom w:val="0"/>
          <w:divBdr>
            <w:top w:val="none" w:sz="0" w:space="0" w:color="auto"/>
            <w:left w:val="none" w:sz="0" w:space="0" w:color="auto"/>
            <w:bottom w:val="none" w:sz="0" w:space="0" w:color="auto"/>
            <w:right w:val="none" w:sz="0" w:space="0" w:color="auto"/>
          </w:divBdr>
        </w:div>
        <w:div w:id="993799674">
          <w:marLeft w:val="0"/>
          <w:marRight w:val="0"/>
          <w:marTop w:val="0"/>
          <w:marBottom w:val="0"/>
          <w:divBdr>
            <w:top w:val="none" w:sz="0" w:space="0" w:color="auto"/>
            <w:left w:val="none" w:sz="0" w:space="0" w:color="auto"/>
            <w:bottom w:val="none" w:sz="0" w:space="0" w:color="auto"/>
            <w:right w:val="none" w:sz="0" w:space="0" w:color="auto"/>
          </w:divBdr>
        </w:div>
        <w:div w:id="1592814445">
          <w:marLeft w:val="0"/>
          <w:marRight w:val="0"/>
          <w:marTop w:val="0"/>
          <w:marBottom w:val="0"/>
          <w:divBdr>
            <w:top w:val="none" w:sz="0" w:space="0" w:color="auto"/>
            <w:left w:val="none" w:sz="0" w:space="0" w:color="auto"/>
            <w:bottom w:val="none" w:sz="0" w:space="0" w:color="auto"/>
            <w:right w:val="none" w:sz="0" w:space="0" w:color="auto"/>
          </w:divBdr>
        </w:div>
        <w:div w:id="1320504755">
          <w:marLeft w:val="0"/>
          <w:marRight w:val="0"/>
          <w:marTop w:val="0"/>
          <w:marBottom w:val="0"/>
          <w:divBdr>
            <w:top w:val="none" w:sz="0" w:space="0" w:color="auto"/>
            <w:left w:val="none" w:sz="0" w:space="0" w:color="auto"/>
            <w:bottom w:val="none" w:sz="0" w:space="0" w:color="auto"/>
            <w:right w:val="none" w:sz="0" w:space="0" w:color="auto"/>
          </w:divBdr>
        </w:div>
        <w:div w:id="1947036379">
          <w:marLeft w:val="0"/>
          <w:marRight w:val="0"/>
          <w:marTop w:val="0"/>
          <w:marBottom w:val="0"/>
          <w:divBdr>
            <w:top w:val="none" w:sz="0" w:space="0" w:color="auto"/>
            <w:left w:val="none" w:sz="0" w:space="0" w:color="auto"/>
            <w:bottom w:val="none" w:sz="0" w:space="0" w:color="auto"/>
            <w:right w:val="none" w:sz="0" w:space="0" w:color="auto"/>
          </w:divBdr>
        </w:div>
        <w:div w:id="119612207">
          <w:marLeft w:val="0"/>
          <w:marRight w:val="0"/>
          <w:marTop w:val="0"/>
          <w:marBottom w:val="0"/>
          <w:divBdr>
            <w:top w:val="none" w:sz="0" w:space="0" w:color="auto"/>
            <w:left w:val="none" w:sz="0" w:space="0" w:color="auto"/>
            <w:bottom w:val="none" w:sz="0" w:space="0" w:color="auto"/>
            <w:right w:val="none" w:sz="0" w:space="0" w:color="auto"/>
          </w:divBdr>
        </w:div>
        <w:div w:id="1104886896">
          <w:marLeft w:val="0"/>
          <w:marRight w:val="0"/>
          <w:marTop w:val="0"/>
          <w:marBottom w:val="0"/>
          <w:divBdr>
            <w:top w:val="none" w:sz="0" w:space="0" w:color="auto"/>
            <w:left w:val="none" w:sz="0" w:space="0" w:color="auto"/>
            <w:bottom w:val="none" w:sz="0" w:space="0" w:color="auto"/>
            <w:right w:val="none" w:sz="0" w:space="0" w:color="auto"/>
          </w:divBdr>
        </w:div>
        <w:div w:id="720055925">
          <w:marLeft w:val="0"/>
          <w:marRight w:val="0"/>
          <w:marTop w:val="0"/>
          <w:marBottom w:val="0"/>
          <w:divBdr>
            <w:top w:val="none" w:sz="0" w:space="0" w:color="auto"/>
            <w:left w:val="none" w:sz="0" w:space="0" w:color="auto"/>
            <w:bottom w:val="none" w:sz="0" w:space="0" w:color="auto"/>
            <w:right w:val="none" w:sz="0" w:space="0" w:color="auto"/>
          </w:divBdr>
        </w:div>
        <w:div w:id="1145124203">
          <w:marLeft w:val="0"/>
          <w:marRight w:val="0"/>
          <w:marTop w:val="0"/>
          <w:marBottom w:val="0"/>
          <w:divBdr>
            <w:top w:val="none" w:sz="0" w:space="0" w:color="auto"/>
            <w:left w:val="none" w:sz="0" w:space="0" w:color="auto"/>
            <w:bottom w:val="none" w:sz="0" w:space="0" w:color="auto"/>
            <w:right w:val="none" w:sz="0" w:space="0" w:color="auto"/>
          </w:divBdr>
        </w:div>
        <w:div w:id="1375736155">
          <w:marLeft w:val="0"/>
          <w:marRight w:val="0"/>
          <w:marTop w:val="0"/>
          <w:marBottom w:val="0"/>
          <w:divBdr>
            <w:top w:val="none" w:sz="0" w:space="0" w:color="auto"/>
            <w:left w:val="none" w:sz="0" w:space="0" w:color="auto"/>
            <w:bottom w:val="none" w:sz="0" w:space="0" w:color="auto"/>
            <w:right w:val="none" w:sz="0" w:space="0" w:color="auto"/>
          </w:divBdr>
        </w:div>
        <w:div w:id="1775009673">
          <w:marLeft w:val="0"/>
          <w:marRight w:val="0"/>
          <w:marTop w:val="0"/>
          <w:marBottom w:val="0"/>
          <w:divBdr>
            <w:top w:val="none" w:sz="0" w:space="0" w:color="auto"/>
            <w:left w:val="none" w:sz="0" w:space="0" w:color="auto"/>
            <w:bottom w:val="none" w:sz="0" w:space="0" w:color="auto"/>
            <w:right w:val="none" w:sz="0" w:space="0" w:color="auto"/>
          </w:divBdr>
        </w:div>
        <w:div w:id="1738166503">
          <w:marLeft w:val="0"/>
          <w:marRight w:val="0"/>
          <w:marTop w:val="0"/>
          <w:marBottom w:val="0"/>
          <w:divBdr>
            <w:top w:val="none" w:sz="0" w:space="0" w:color="auto"/>
            <w:left w:val="none" w:sz="0" w:space="0" w:color="auto"/>
            <w:bottom w:val="none" w:sz="0" w:space="0" w:color="auto"/>
            <w:right w:val="none" w:sz="0" w:space="0" w:color="auto"/>
          </w:divBdr>
        </w:div>
      </w:divsChild>
    </w:div>
    <w:div w:id="617300987">
      <w:marLeft w:val="0"/>
      <w:marRight w:val="0"/>
      <w:marTop w:val="0"/>
      <w:marBottom w:val="0"/>
      <w:divBdr>
        <w:top w:val="none" w:sz="0" w:space="0" w:color="auto"/>
        <w:left w:val="none" w:sz="0" w:space="0" w:color="auto"/>
        <w:bottom w:val="none" w:sz="0" w:space="0" w:color="auto"/>
        <w:right w:val="none" w:sz="0" w:space="0" w:color="auto"/>
      </w:divBdr>
      <w:divsChild>
        <w:div w:id="908619051">
          <w:marLeft w:val="0"/>
          <w:marRight w:val="0"/>
          <w:marTop w:val="0"/>
          <w:marBottom w:val="0"/>
          <w:divBdr>
            <w:top w:val="none" w:sz="0" w:space="0" w:color="auto"/>
            <w:left w:val="none" w:sz="0" w:space="0" w:color="auto"/>
            <w:bottom w:val="none" w:sz="0" w:space="0" w:color="auto"/>
            <w:right w:val="none" w:sz="0" w:space="0" w:color="auto"/>
          </w:divBdr>
        </w:div>
      </w:divsChild>
    </w:div>
    <w:div w:id="617494813">
      <w:marLeft w:val="0"/>
      <w:marRight w:val="0"/>
      <w:marTop w:val="60"/>
      <w:marBottom w:val="0"/>
      <w:divBdr>
        <w:top w:val="none" w:sz="0" w:space="0" w:color="auto"/>
        <w:left w:val="none" w:sz="0" w:space="0" w:color="auto"/>
        <w:bottom w:val="none" w:sz="0" w:space="0" w:color="auto"/>
        <w:right w:val="none" w:sz="0" w:space="0" w:color="auto"/>
      </w:divBdr>
    </w:div>
    <w:div w:id="619917522">
      <w:marLeft w:val="0"/>
      <w:marRight w:val="0"/>
      <w:marTop w:val="0"/>
      <w:marBottom w:val="0"/>
      <w:divBdr>
        <w:top w:val="none" w:sz="0" w:space="0" w:color="auto"/>
        <w:left w:val="none" w:sz="0" w:space="0" w:color="auto"/>
        <w:bottom w:val="none" w:sz="0" w:space="0" w:color="auto"/>
        <w:right w:val="none" w:sz="0" w:space="0" w:color="auto"/>
      </w:divBdr>
    </w:div>
    <w:div w:id="621810540">
      <w:marLeft w:val="0"/>
      <w:marRight w:val="0"/>
      <w:marTop w:val="0"/>
      <w:marBottom w:val="0"/>
      <w:divBdr>
        <w:top w:val="none" w:sz="0" w:space="0" w:color="auto"/>
        <w:left w:val="none" w:sz="0" w:space="0" w:color="auto"/>
        <w:bottom w:val="none" w:sz="0" w:space="0" w:color="auto"/>
        <w:right w:val="none" w:sz="0" w:space="0" w:color="auto"/>
      </w:divBdr>
    </w:div>
    <w:div w:id="622618004">
      <w:marLeft w:val="0"/>
      <w:marRight w:val="0"/>
      <w:marTop w:val="0"/>
      <w:marBottom w:val="0"/>
      <w:divBdr>
        <w:top w:val="none" w:sz="0" w:space="0" w:color="auto"/>
        <w:left w:val="none" w:sz="0" w:space="0" w:color="auto"/>
        <w:bottom w:val="none" w:sz="0" w:space="0" w:color="auto"/>
        <w:right w:val="none" w:sz="0" w:space="0" w:color="auto"/>
      </w:divBdr>
    </w:div>
    <w:div w:id="625819614">
      <w:marLeft w:val="0"/>
      <w:marRight w:val="0"/>
      <w:marTop w:val="200"/>
      <w:marBottom w:val="0"/>
      <w:divBdr>
        <w:top w:val="none" w:sz="0" w:space="0" w:color="auto"/>
        <w:left w:val="none" w:sz="0" w:space="0" w:color="auto"/>
        <w:bottom w:val="none" w:sz="0" w:space="0" w:color="auto"/>
        <w:right w:val="none" w:sz="0" w:space="0" w:color="auto"/>
      </w:divBdr>
    </w:div>
    <w:div w:id="626396558">
      <w:marLeft w:val="0"/>
      <w:marRight w:val="0"/>
      <w:marTop w:val="0"/>
      <w:marBottom w:val="0"/>
      <w:divBdr>
        <w:top w:val="none" w:sz="0" w:space="0" w:color="auto"/>
        <w:left w:val="none" w:sz="0" w:space="0" w:color="auto"/>
        <w:bottom w:val="none" w:sz="0" w:space="0" w:color="auto"/>
        <w:right w:val="none" w:sz="0" w:space="0" w:color="auto"/>
      </w:divBdr>
    </w:div>
    <w:div w:id="626813823">
      <w:marLeft w:val="0"/>
      <w:marRight w:val="0"/>
      <w:marTop w:val="200"/>
      <w:marBottom w:val="0"/>
      <w:divBdr>
        <w:top w:val="none" w:sz="0" w:space="0" w:color="auto"/>
        <w:left w:val="none" w:sz="0" w:space="0" w:color="auto"/>
        <w:bottom w:val="none" w:sz="0" w:space="0" w:color="auto"/>
        <w:right w:val="none" w:sz="0" w:space="0" w:color="auto"/>
      </w:divBdr>
    </w:div>
    <w:div w:id="630742790">
      <w:marLeft w:val="0"/>
      <w:marRight w:val="0"/>
      <w:marTop w:val="200"/>
      <w:marBottom w:val="0"/>
      <w:divBdr>
        <w:top w:val="none" w:sz="0" w:space="0" w:color="auto"/>
        <w:left w:val="none" w:sz="0" w:space="0" w:color="auto"/>
        <w:bottom w:val="none" w:sz="0" w:space="0" w:color="auto"/>
        <w:right w:val="none" w:sz="0" w:space="0" w:color="auto"/>
      </w:divBdr>
    </w:div>
    <w:div w:id="630869363">
      <w:marLeft w:val="0"/>
      <w:marRight w:val="0"/>
      <w:marTop w:val="0"/>
      <w:marBottom w:val="0"/>
      <w:divBdr>
        <w:top w:val="none" w:sz="0" w:space="0" w:color="auto"/>
        <w:left w:val="none" w:sz="0" w:space="0" w:color="auto"/>
        <w:bottom w:val="none" w:sz="0" w:space="0" w:color="auto"/>
        <w:right w:val="none" w:sz="0" w:space="0" w:color="auto"/>
      </w:divBdr>
      <w:divsChild>
        <w:div w:id="625507985">
          <w:marLeft w:val="0"/>
          <w:marRight w:val="0"/>
          <w:marTop w:val="0"/>
          <w:marBottom w:val="0"/>
          <w:divBdr>
            <w:top w:val="none" w:sz="0" w:space="0" w:color="auto"/>
            <w:left w:val="none" w:sz="0" w:space="0" w:color="auto"/>
            <w:bottom w:val="none" w:sz="0" w:space="0" w:color="auto"/>
            <w:right w:val="none" w:sz="0" w:space="0" w:color="auto"/>
          </w:divBdr>
        </w:div>
      </w:divsChild>
    </w:div>
    <w:div w:id="630944158">
      <w:marLeft w:val="0"/>
      <w:marRight w:val="0"/>
      <w:marTop w:val="0"/>
      <w:marBottom w:val="0"/>
      <w:divBdr>
        <w:top w:val="none" w:sz="0" w:space="0" w:color="auto"/>
        <w:left w:val="none" w:sz="0" w:space="0" w:color="auto"/>
        <w:bottom w:val="none" w:sz="0" w:space="0" w:color="auto"/>
        <w:right w:val="none" w:sz="0" w:space="0" w:color="auto"/>
      </w:divBdr>
    </w:div>
    <w:div w:id="631516637">
      <w:marLeft w:val="0"/>
      <w:marRight w:val="0"/>
      <w:marTop w:val="0"/>
      <w:marBottom w:val="0"/>
      <w:divBdr>
        <w:top w:val="none" w:sz="0" w:space="0" w:color="auto"/>
        <w:left w:val="none" w:sz="0" w:space="0" w:color="auto"/>
        <w:bottom w:val="none" w:sz="0" w:space="0" w:color="auto"/>
        <w:right w:val="none" w:sz="0" w:space="0" w:color="auto"/>
      </w:divBdr>
    </w:div>
    <w:div w:id="631786569">
      <w:marLeft w:val="0"/>
      <w:marRight w:val="0"/>
      <w:marTop w:val="0"/>
      <w:marBottom w:val="0"/>
      <w:divBdr>
        <w:top w:val="none" w:sz="0" w:space="0" w:color="auto"/>
        <w:left w:val="none" w:sz="0" w:space="0" w:color="auto"/>
        <w:bottom w:val="none" w:sz="0" w:space="0" w:color="auto"/>
        <w:right w:val="none" w:sz="0" w:space="0" w:color="auto"/>
      </w:divBdr>
      <w:divsChild>
        <w:div w:id="534074457">
          <w:marLeft w:val="0"/>
          <w:marRight w:val="0"/>
          <w:marTop w:val="0"/>
          <w:marBottom w:val="0"/>
          <w:divBdr>
            <w:top w:val="none" w:sz="0" w:space="0" w:color="auto"/>
            <w:left w:val="none" w:sz="0" w:space="0" w:color="auto"/>
            <w:bottom w:val="none" w:sz="0" w:space="0" w:color="auto"/>
            <w:right w:val="none" w:sz="0" w:space="0" w:color="auto"/>
          </w:divBdr>
        </w:div>
        <w:div w:id="4938689">
          <w:marLeft w:val="0"/>
          <w:marRight w:val="0"/>
          <w:marTop w:val="0"/>
          <w:marBottom w:val="0"/>
          <w:divBdr>
            <w:top w:val="none" w:sz="0" w:space="0" w:color="auto"/>
            <w:left w:val="none" w:sz="0" w:space="0" w:color="auto"/>
            <w:bottom w:val="none" w:sz="0" w:space="0" w:color="auto"/>
            <w:right w:val="none" w:sz="0" w:space="0" w:color="auto"/>
          </w:divBdr>
        </w:div>
        <w:div w:id="373390381">
          <w:marLeft w:val="0"/>
          <w:marRight w:val="0"/>
          <w:marTop w:val="0"/>
          <w:marBottom w:val="0"/>
          <w:divBdr>
            <w:top w:val="none" w:sz="0" w:space="0" w:color="auto"/>
            <w:left w:val="none" w:sz="0" w:space="0" w:color="auto"/>
            <w:bottom w:val="none" w:sz="0" w:space="0" w:color="auto"/>
            <w:right w:val="none" w:sz="0" w:space="0" w:color="auto"/>
          </w:divBdr>
        </w:div>
        <w:div w:id="1883588884">
          <w:marLeft w:val="0"/>
          <w:marRight w:val="0"/>
          <w:marTop w:val="0"/>
          <w:marBottom w:val="0"/>
          <w:divBdr>
            <w:top w:val="none" w:sz="0" w:space="0" w:color="auto"/>
            <w:left w:val="none" w:sz="0" w:space="0" w:color="auto"/>
            <w:bottom w:val="none" w:sz="0" w:space="0" w:color="auto"/>
            <w:right w:val="none" w:sz="0" w:space="0" w:color="auto"/>
          </w:divBdr>
        </w:div>
      </w:divsChild>
    </w:div>
    <w:div w:id="636765284">
      <w:marLeft w:val="0"/>
      <w:marRight w:val="0"/>
      <w:marTop w:val="100"/>
      <w:marBottom w:val="0"/>
      <w:divBdr>
        <w:top w:val="none" w:sz="0" w:space="0" w:color="auto"/>
        <w:left w:val="none" w:sz="0" w:space="0" w:color="auto"/>
        <w:bottom w:val="none" w:sz="0" w:space="0" w:color="auto"/>
        <w:right w:val="none" w:sz="0" w:space="0" w:color="auto"/>
      </w:divBdr>
    </w:div>
    <w:div w:id="638531722">
      <w:marLeft w:val="0"/>
      <w:marRight w:val="0"/>
      <w:marTop w:val="0"/>
      <w:marBottom w:val="0"/>
      <w:divBdr>
        <w:top w:val="none" w:sz="0" w:space="0" w:color="auto"/>
        <w:left w:val="none" w:sz="0" w:space="0" w:color="auto"/>
        <w:bottom w:val="none" w:sz="0" w:space="0" w:color="auto"/>
        <w:right w:val="none" w:sz="0" w:space="0" w:color="auto"/>
      </w:divBdr>
    </w:div>
    <w:div w:id="638607626">
      <w:marLeft w:val="0"/>
      <w:marRight w:val="0"/>
      <w:marTop w:val="0"/>
      <w:marBottom w:val="0"/>
      <w:divBdr>
        <w:top w:val="none" w:sz="0" w:space="0" w:color="auto"/>
        <w:left w:val="none" w:sz="0" w:space="0" w:color="auto"/>
        <w:bottom w:val="none" w:sz="0" w:space="0" w:color="auto"/>
        <w:right w:val="none" w:sz="0" w:space="0" w:color="auto"/>
      </w:divBdr>
      <w:divsChild>
        <w:div w:id="1885216251">
          <w:marLeft w:val="0"/>
          <w:marRight w:val="0"/>
          <w:marTop w:val="0"/>
          <w:marBottom w:val="0"/>
          <w:divBdr>
            <w:top w:val="none" w:sz="0" w:space="0" w:color="auto"/>
            <w:left w:val="none" w:sz="0" w:space="0" w:color="auto"/>
            <w:bottom w:val="none" w:sz="0" w:space="0" w:color="auto"/>
            <w:right w:val="none" w:sz="0" w:space="0" w:color="auto"/>
          </w:divBdr>
        </w:div>
      </w:divsChild>
    </w:div>
    <w:div w:id="639309485">
      <w:marLeft w:val="0"/>
      <w:marRight w:val="0"/>
      <w:marTop w:val="0"/>
      <w:marBottom w:val="0"/>
      <w:divBdr>
        <w:top w:val="none" w:sz="0" w:space="0" w:color="auto"/>
        <w:left w:val="none" w:sz="0" w:space="0" w:color="auto"/>
        <w:bottom w:val="none" w:sz="0" w:space="0" w:color="auto"/>
        <w:right w:val="none" w:sz="0" w:space="0" w:color="auto"/>
      </w:divBdr>
      <w:divsChild>
        <w:div w:id="1909345453">
          <w:marLeft w:val="0"/>
          <w:marRight w:val="0"/>
          <w:marTop w:val="0"/>
          <w:marBottom w:val="0"/>
          <w:divBdr>
            <w:top w:val="none" w:sz="0" w:space="0" w:color="auto"/>
            <w:left w:val="none" w:sz="0" w:space="0" w:color="auto"/>
            <w:bottom w:val="none" w:sz="0" w:space="0" w:color="auto"/>
            <w:right w:val="none" w:sz="0" w:space="0" w:color="auto"/>
          </w:divBdr>
        </w:div>
      </w:divsChild>
    </w:div>
    <w:div w:id="640114050">
      <w:marLeft w:val="0"/>
      <w:marRight w:val="0"/>
      <w:marTop w:val="120"/>
      <w:marBottom w:val="0"/>
      <w:divBdr>
        <w:top w:val="none" w:sz="0" w:space="0" w:color="auto"/>
        <w:left w:val="none" w:sz="0" w:space="0" w:color="auto"/>
        <w:bottom w:val="none" w:sz="0" w:space="0" w:color="auto"/>
        <w:right w:val="none" w:sz="0" w:space="0" w:color="auto"/>
      </w:divBdr>
    </w:div>
    <w:div w:id="643852446">
      <w:marLeft w:val="0"/>
      <w:marRight w:val="0"/>
      <w:marTop w:val="0"/>
      <w:marBottom w:val="0"/>
      <w:divBdr>
        <w:top w:val="none" w:sz="0" w:space="0" w:color="auto"/>
        <w:left w:val="none" w:sz="0" w:space="0" w:color="auto"/>
        <w:bottom w:val="none" w:sz="0" w:space="0" w:color="auto"/>
        <w:right w:val="none" w:sz="0" w:space="0" w:color="auto"/>
      </w:divBdr>
    </w:div>
    <w:div w:id="646401453">
      <w:marLeft w:val="0"/>
      <w:marRight w:val="0"/>
      <w:marTop w:val="0"/>
      <w:marBottom w:val="0"/>
      <w:divBdr>
        <w:top w:val="none" w:sz="0" w:space="0" w:color="auto"/>
        <w:left w:val="none" w:sz="0" w:space="0" w:color="auto"/>
        <w:bottom w:val="none" w:sz="0" w:space="0" w:color="auto"/>
        <w:right w:val="none" w:sz="0" w:space="0" w:color="auto"/>
      </w:divBdr>
      <w:divsChild>
        <w:div w:id="643238303">
          <w:marLeft w:val="0"/>
          <w:marRight w:val="0"/>
          <w:marTop w:val="0"/>
          <w:marBottom w:val="0"/>
          <w:divBdr>
            <w:top w:val="none" w:sz="0" w:space="0" w:color="auto"/>
            <w:left w:val="none" w:sz="0" w:space="0" w:color="auto"/>
            <w:bottom w:val="none" w:sz="0" w:space="0" w:color="auto"/>
            <w:right w:val="none" w:sz="0" w:space="0" w:color="auto"/>
          </w:divBdr>
        </w:div>
      </w:divsChild>
    </w:div>
    <w:div w:id="648830054">
      <w:marLeft w:val="0"/>
      <w:marRight w:val="0"/>
      <w:marTop w:val="0"/>
      <w:marBottom w:val="0"/>
      <w:divBdr>
        <w:top w:val="none" w:sz="0" w:space="0" w:color="auto"/>
        <w:left w:val="none" w:sz="0" w:space="0" w:color="auto"/>
        <w:bottom w:val="none" w:sz="0" w:space="0" w:color="auto"/>
        <w:right w:val="none" w:sz="0" w:space="0" w:color="auto"/>
      </w:divBdr>
      <w:divsChild>
        <w:div w:id="1337537721">
          <w:marLeft w:val="0"/>
          <w:marRight w:val="0"/>
          <w:marTop w:val="0"/>
          <w:marBottom w:val="0"/>
          <w:divBdr>
            <w:top w:val="none" w:sz="0" w:space="0" w:color="auto"/>
            <w:left w:val="none" w:sz="0" w:space="0" w:color="auto"/>
            <w:bottom w:val="none" w:sz="0" w:space="0" w:color="auto"/>
            <w:right w:val="none" w:sz="0" w:space="0" w:color="auto"/>
          </w:divBdr>
        </w:div>
      </w:divsChild>
    </w:div>
    <w:div w:id="649792080">
      <w:marLeft w:val="0"/>
      <w:marRight w:val="0"/>
      <w:marTop w:val="0"/>
      <w:marBottom w:val="0"/>
      <w:divBdr>
        <w:top w:val="none" w:sz="0" w:space="0" w:color="auto"/>
        <w:left w:val="none" w:sz="0" w:space="0" w:color="auto"/>
        <w:bottom w:val="none" w:sz="0" w:space="0" w:color="auto"/>
        <w:right w:val="none" w:sz="0" w:space="0" w:color="auto"/>
      </w:divBdr>
      <w:divsChild>
        <w:div w:id="476186682">
          <w:marLeft w:val="0"/>
          <w:marRight w:val="0"/>
          <w:marTop w:val="0"/>
          <w:marBottom w:val="0"/>
          <w:divBdr>
            <w:top w:val="none" w:sz="0" w:space="0" w:color="auto"/>
            <w:left w:val="none" w:sz="0" w:space="0" w:color="auto"/>
            <w:bottom w:val="none" w:sz="0" w:space="0" w:color="auto"/>
            <w:right w:val="none" w:sz="0" w:space="0" w:color="auto"/>
          </w:divBdr>
        </w:div>
      </w:divsChild>
    </w:div>
    <w:div w:id="649940909">
      <w:marLeft w:val="0"/>
      <w:marRight w:val="0"/>
      <w:marTop w:val="0"/>
      <w:marBottom w:val="0"/>
      <w:divBdr>
        <w:top w:val="none" w:sz="0" w:space="0" w:color="auto"/>
        <w:left w:val="none" w:sz="0" w:space="0" w:color="auto"/>
        <w:bottom w:val="none" w:sz="0" w:space="0" w:color="auto"/>
        <w:right w:val="none" w:sz="0" w:space="0" w:color="auto"/>
      </w:divBdr>
      <w:divsChild>
        <w:div w:id="845053938">
          <w:marLeft w:val="0"/>
          <w:marRight w:val="0"/>
          <w:marTop w:val="0"/>
          <w:marBottom w:val="0"/>
          <w:divBdr>
            <w:top w:val="none" w:sz="0" w:space="0" w:color="auto"/>
            <w:left w:val="none" w:sz="0" w:space="0" w:color="auto"/>
            <w:bottom w:val="none" w:sz="0" w:space="0" w:color="auto"/>
            <w:right w:val="none" w:sz="0" w:space="0" w:color="auto"/>
          </w:divBdr>
        </w:div>
      </w:divsChild>
    </w:div>
    <w:div w:id="650600309">
      <w:marLeft w:val="0"/>
      <w:marRight w:val="0"/>
      <w:marTop w:val="0"/>
      <w:marBottom w:val="0"/>
      <w:divBdr>
        <w:top w:val="none" w:sz="0" w:space="0" w:color="auto"/>
        <w:left w:val="none" w:sz="0" w:space="0" w:color="auto"/>
        <w:bottom w:val="none" w:sz="0" w:space="0" w:color="auto"/>
        <w:right w:val="none" w:sz="0" w:space="0" w:color="auto"/>
      </w:divBdr>
      <w:divsChild>
        <w:div w:id="475801774">
          <w:marLeft w:val="0"/>
          <w:marRight w:val="0"/>
          <w:marTop w:val="0"/>
          <w:marBottom w:val="0"/>
          <w:divBdr>
            <w:top w:val="none" w:sz="0" w:space="0" w:color="auto"/>
            <w:left w:val="none" w:sz="0" w:space="0" w:color="auto"/>
            <w:bottom w:val="none" w:sz="0" w:space="0" w:color="auto"/>
            <w:right w:val="none" w:sz="0" w:space="0" w:color="auto"/>
          </w:divBdr>
        </w:div>
      </w:divsChild>
    </w:div>
    <w:div w:id="651446705">
      <w:marLeft w:val="0"/>
      <w:marRight w:val="0"/>
      <w:marTop w:val="200"/>
      <w:marBottom w:val="0"/>
      <w:divBdr>
        <w:top w:val="none" w:sz="0" w:space="0" w:color="auto"/>
        <w:left w:val="none" w:sz="0" w:space="0" w:color="auto"/>
        <w:bottom w:val="none" w:sz="0" w:space="0" w:color="auto"/>
        <w:right w:val="none" w:sz="0" w:space="0" w:color="auto"/>
      </w:divBdr>
    </w:div>
    <w:div w:id="653533530">
      <w:marLeft w:val="0"/>
      <w:marRight w:val="0"/>
      <w:marTop w:val="0"/>
      <w:marBottom w:val="0"/>
      <w:divBdr>
        <w:top w:val="none" w:sz="0" w:space="0" w:color="auto"/>
        <w:left w:val="none" w:sz="0" w:space="0" w:color="auto"/>
        <w:bottom w:val="none" w:sz="0" w:space="0" w:color="auto"/>
        <w:right w:val="none" w:sz="0" w:space="0" w:color="auto"/>
      </w:divBdr>
    </w:div>
    <w:div w:id="655887035">
      <w:marLeft w:val="0"/>
      <w:marRight w:val="0"/>
      <w:marTop w:val="0"/>
      <w:marBottom w:val="0"/>
      <w:divBdr>
        <w:top w:val="none" w:sz="0" w:space="0" w:color="auto"/>
        <w:left w:val="none" w:sz="0" w:space="0" w:color="auto"/>
        <w:bottom w:val="none" w:sz="0" w:space="0" w:color="auto"/>
        <w:right w:val="none" w:sz="0" w:space="0" w:color="auto"/>
      </w:divBdr>
    </w:div>
    <w:div w:id="657804189">
      <w:marLeft w:val="0"/>
      <w:marRight w:val="0"/>
      <w:marTop w:val="0"/>
      <w:marBottom w:val="0"/>
      <w:divBdr>
        <w:top w:val="none" w:sz="0" w:space="0" w:color="auto"/>
        <w:left w:val="none" w:sz="0" w:space="0" w:color="auto"/>
        <w:bottom w:val="none" w:sz="0" w:space="0" w:color="auto"/>
        <w:right w:val="none" w:sz="0" w:space="0" w:color="auto"/>
      </w:divBdr>
    </w:div>
    <w:div w:id="658047560">
      <w:marLeft w:val="0"/>
      <w:marRight w:val="0"/>
      <w:marTop w:val="180"/>
      <w:marBottom w:val="0"/>
      <w:divBdr>
        <w:top w:val="none" w:sz="0" w:space="0" w:color="auto"/>
        <w:left w:val="none" w:sz="0" w:space="0" w:color="auto"/>
        <w:bottom w:val="none" w:sz="0" w:space="0" w:color="auto"/>
        <w:right w:val="none" w:sz="0" w:space="0" w:color="auto"/>
      </w:divBdr>
    </w:div>
    <w:div w:id="660742275">
      <w:marLeft w:val="0"/>
      <w:marRight w:val="0"/>
      <w:marTop w:val="100"/>
      <w:marBottom w:val="0"/>
      <w:divBdr>
        <w:top w:val="none" w:sz="0" w:space="0" w:color="auto"/>
        <w:left w:val="none" w:sz="0" w:space="0" w:color="auto"/>
        <w:bottom w:val="none" w:sz="0" w:space="0" w:color="auto"/>
        <w:right w:val="none" w:sz="0" w:space="0" w:color="auto"/>
      </w:divBdr>
    </w:div>
    <w:div w:id="662705224">
      <w:marLeft w:val="0"/>
      <w:marRight w:val="0"/>
      <w:marTop w:val="0"/>
      <w:marBottom w:val="0"/>
      <w:divBdr>
        <w:top w:val="none" w:sz="0" w:space="0" w:color="auto"/>
        <w:left w:val="none" w:sz="0" w:space="0" w:color="auto"/>
        <w:bottom w:val="none" w:sz="0" w:space="0" w:color="auto"/>
        <w:right w:val="none" w:sz="0" w:space="0" w:color="auto"/>
      </w:divBdr>
    </w:div>
    <w:div w:id="666325512">
      <w:marLeft w:val="0"/>
      <w:marRight w:val="0"/>
      <w:marTop w:val="0"/>
      <w:marBottom w:val="0"/>
      <w:divBdr>
        <w:top w:val="none" w:sz="0" w:space="0" w:color="auto"/>
        <w:left w:val="none" w:sz="0" w:space="0" w:color="auto"/>
        <w:bottom w:val="none" w:sz="0" w:space="0" w:color="auto"/>
        <w:right w:val="none" w:sz="0" w:space="0" w:color="auto"/>
      </w:divBdr>
    </w:div>
    <w:div w:id="667367049">
      <w:marLeft w:val="0"/>
      <w:marRight w:val="0"/>
      <w:marTop w:val="0"/>
      <w:marBottom w:val="0"/>
      <w:divBdr>
        <w:top w:val="none" w:sz="0" w:space="0" w:color="auto"/>
        <w:left w:val="none" w:sz="0" w:space="0" w:color="auto"/>
        <w:bottom w:val="none" w:sz="0" w:space="0" w:color="auto"/>
        <w:right w:val="none" w:sz="0" w:space="0" w:color="auto"/>
      </w:divBdr>
      <w:divsChild>
        <w:div w:id="1247836320">
          <w:marLeft w:val="0"/>
          <w:marRight w:val="0"/>
          <w:marTop w:val="0"/>
          <w:marBottom w:val="0"/>
          <w:divBdr>
            <w:top w:val="none" w:sz="0" w:space="0" w:color="auto"/>
            <w:left w:val="none" w:sz="0" w:space="0" w:color="auto"/>
            <w:bottom w:val="none" w:sz="0" w:space="0" w:color="auto"/>
            <w:right w:val="none" w:sz="0" w:space="0" w:color="auto"/>
          </w:divBdr>
        </w:div>
        <w:div w:id="789858189">
          <w:marLeft w:val="0"/>
          <w:marRight w:val="0"/>
          <w:marTop w:val="0"/>
          <w:marBottom w:val="0"/>
          <w:divBdr>
            <w:top w:val="none" w:sz="0" w:space="0" w:color="auto"/>
            <w:left w:val="none" w:sz="0" w:space="0" w:color="auto"/>
            <w:bottom w:val="none" w:sz="0" w:space="0" w:color="auto"/>
            <w:right w:val="none" w:sz="0" w:space="0" w:color="auto"/>
          </w:divBdr>
        </w:div>
        <w:div w:id="2026905838">
          <w:marLeft w:val="0"/>
          <w:marRight w:val="0"/>
          <w:marTop w:val="0"/>
          <w:marBottom w:val="0"/>
          <w:divBdr>
            <w:top w:val="none" w:sz="0" w:space="0" w:color="auto"/>
            <w:left w:val="none" w:sz="0" w:space="0" w:color="auto"/>
            <w:bottom w:val="none" w:sz="0" w:space="0" w:color="auto"/>
            <w:right w:val="none" w:sz="0" w:space="0" w:color="auto"/>
          </w:divBdr>
        </w:div>
        <w:div w:id="1792432882">
          <w:marLeft w:val="0"/>
          <w:marRight w:val="0"/>
          <w:marTop w:val="0"/>
          <w:marBottom w:val="0"/>
          <w:divBdr>
            <w:top w:val="none" w:sz="0" w:space="0" w:color="auto"/>
            <w:left w:val="none" w:sz="0" w:space="0" w:color="auto"/>
            <w:bottom w:val="none" w:sz="0" w:space="0" w:color="auto"/>
            <w:right w:val="none" w:sz="0" w:space="0" w:color="auto"/>
          </w:divBdr>
        </w:div>
      </w:divsChild>
    </w:div>
    <w:div w:id="670570620">
      <w:marLeft w:val="0"/>
      <w:marRight w:val="0"/>
      <w:marTop w:val="0"/>
      <w:marBottom w:val="0"/>
      <w:divBdr>
        <w:top w:val="none" w:sz="0" w:space="0" w:color="auto"/>
        <w:left w:val="none" w:sz="0" w:space="0" w:color="auto"/>
        <w:bottom w:val="none" w:sz="0" w:space="0" w:color="auto"/>
        <w:right w:val="none" w:sz="0" w:space="0" w:color="auto"/>
      </w:divBdr>
    </w:div>
    <w:div w:id="670572782">
      <w:marLeft w:val="0"/>
      <w:marRight w:val="0"/>
      <w:marTop w:val="200"/>
      <w:marBottom w:val="0"/>
      <w:divBdr>
        <w:top w:val="none" w:sz="0" w:space="0" w:color="auto"/>
        <w:left w:val="none" w:sz="0" w:space="0" w:color="auto"/>
        <w:bottom w:val="none" w:sz="0" w:space="0" w:color="auto"/>
        <w:right w:val="none" w:sz="0" w:space="0" w:color="auto"/>
      </w:divBdr>
    </w:div>
    <w:div w:id="673801092">
      <w:marLeft w:val="0"/>
      <w:marRight w:val="0"/>
      <w:marTop w:val="0"/>
      <w:marBottom w:val="0"/>
      <w:divBdr>
        <w:top w:val="none" w:sz="0" w:space="0" w:color="auto"/>
        <w:left w:val="none" w:sz="0" w:space="0" w:color="auto"/>
        <w:bottom w:val="none" w:sz="0" w:space="0" w:color="auto"/>
        <w:right w:val="none" w:sz="0" w:space="0" w:color="auto"/>
      </w:divBdr>
    </w:div>
    <w:div w:id="673993742">
      <w:marLeft w:val="0"/>
      <w:marRight w:val="0"/>
      <w:marTop w:val="200"/>
      <w:marBottom w:val="0"/>
      <w:divBdr>
        <w:top w:val="none" w:sz="0" w:space="0" w:color="auto"/>
        <w:left w:val="none" w:sz="0" w:space="0" w:color="auto"/>
        <w:bottom w:val="none" w:sz="0" w:space="0" w:color="auto"/>
        <w:right w:val="none" w:sz="0" w:space="0" w:color="auto"/>
      </w:divBdr>
    </w:div>
    <w:div w:id="676732888">
      <w:marLeft w:val="0"/>
      <w:marRight w:val="0"/>
      <w:marTop w:val="0"/>
      <w:marBottom w:val="0"/>
      <w:divBdr>
        <w:top w:val="none" w:sz="0" w:space="0" w:color="auto"/>
        <w:left w:val="none" w:sz="0" w:space="0" w:color="auto"/>
        <w:bottom w:val="none" w:sz="0" w:space="0" w:color="auto"/>
        <w:right w:val="none" w:sz="0" w:space="0" w:color="auto"/>
      </w:divBdr>
    </w:div>
    <w:div w:id="678119034">
      <w:marLeft w:val="0"/>
      <w:marRight w:val="0"/>
      <w:marTop w:val="0"/>
      <w:marBottom w:val="0"/>
      <w:divBdr>
        <w:top w:val="none" w:sz="0" w:space="0" w:color="auto"/>
        <w:left w:val="none" w:sz="0" w:space="0" w:color="auto"/>
        <w:bottom w:val="none" w:sz="0" w:space="0" w:color="auto"/>
        <w:right w:val="none" w:sz="0" w:space="0" w:color="auto"/>
      </w:divBdr>
      <w:divsChild>
        <w:div w:id="64182102">
          <w:marLeft w:val="0"/>
          <w:marRight w:val="0"/>
          <w:marTop w:val="0"/>
          <w:marBottom w:val="0"/>
          <w:divBdr>
            <w:top w:val="none" w:sz="0" w:space="0" w:color="auto"/>
            <w:left w:val="none" w:sz="0" w:space="0" w:color="auto"/>
            <w:bottom w:val="none" w:sz="0" w:space="0" w:color="auto"/>
            <w:right w:val="none" w:sz="0" w:space="0" w:color="auto"/>
          </w:divBdr>
        </w:div>
      </w:divsChild>
    </w:div>
    <w:div w:id="680082534">
      <w:marLeft w:val="0"/>
      <w:marRight w:val="0"/>
      <w:marTop w:val="200"/>
      <w:marBottom w:val="0"/>
      <w:divBdr>
        <w:top w:val="none" w:sz="0" w:space="0" w:color="auto"/>
        <w:left w:val="none" w:sz="0" w:space="0" w:color="auto"/>
        <w:bottom w:val="none" w:sz="0" w:space="0" w:color="auto"/>
        <w:right w:val="none" w:sz="0" w:space="0" w:color="auto"/>
      </w:divBdr>
    </w:div>
    <w:div w:id="682584580">
      <w:marLeft w:val="0"/>
      <w:marRight w:val="0"/>
      <w:marTop w:val="0"/>
      <w:marBottom w:val="0"/>
      <w:divBdr>
        <w:top w:val="none" w:sz="0" w:space="0" w:color="auto"/>
        <w:left w:val="none" w:sz="0" w:space="0" w:color="auto"/>
        <w:bottom w:val="none" w:sz="0" w:space="0" w:color="auto"/>
        <w:right w:val="none" w:sz="0" w:space="0" w:color="auto"/>
      </w:divBdr>
    </w:div>
    <w:div w:id="687294834">
      <w:marLeft w:val="0"/>
      <w:marRight w:val="0"/>
      <w:marTop w:val="200"/>
      <w:marBottom w:val="0"/>
      <w:divBdr>
        <w:top w:val="none" w:sz="0" w:space="0" w:color="auto"/>
        <w:left w:val="none" w:sz="0" w:space="0" w:color="auto"/>
        <w:bottom w:val="none" w:sz="0" w:space="0" w:color="auto"/>
        <w:right w:val="none" w:sz="0" w:space="0" w:color="auto"/>
      </w:divBdr>
    </w:div>
    <w:div w:id="688138980">
      <w:marLeft w:val="0"/>
      <w:marRight w:val="0"/>
      <w:marTop w:val="0"/>
      <w:marBottom w:val="160"/>
      <w:divBdr>
        <w:top w:val="none" w:sz="0" w:space="0" w:color="auto"/>
        <w:left w:val="none" w:sz="0" w:space="0" w:color="auto"/>
        <w:bottom w:val="none" w:sz="0" w:space="0" w:color="auto"/>
        <w:right w:val="none" w:sz="0" w:space="0" w:color="auto"/>
      </w:divBdr>
    </w:div>
    <w:div w:id="689340018">
      <w:marLeft w:val="0"/>
      <w:marRight w:val="0"/>
      <w:marTop w:val="0"/>
      <w:marBottom w:val="0"/>
      <w:divBdr>
        <w:top w:val="none" w:sz="0" w:space="0" w:color="auto"/>
        <w:left w:val="none" w:sz="0" w:space="0" w:color="auto"/>
        <w:bottom w:val="none" w:sz="0" w:space="0" w:color="auto"/>
        <w:right w:val="none" w:sz="0" w:space="0" w:color="auto"/>
      </w:divBdr>
      <w:divsChild>
        <w:div w:id="1241326812">
          <w:marLeft w:val="0"/>
          <w:marRight w:val="0"/>
          <w:marTop w:val="0"/>
          <w:marBottom w:val="0"/>
          <w:divBdr>
            <w:top w:val="none" w:sz="0" w:space="0" w:color="auto"/>
            <w:left w:val="none" w:sz="0" w:space="0" w:color="auto"/>
            <w:bottom w:val="none" w:sz="0" w:space="0" w:color="auto"/>
            <w:right w:val="none" w:sz="0" w:space="0" w:color="auto"/>
          </w:divBdr>
        </w:div>
      </w:divsChild>
    </w:div>
    <w:div w:id="689599044">
      <w:marLeft w:val="0"/>
      <w:marRight w:val="0"/>
      <w:marTop w:val="0"/>
      <w:marBottom w:val="0"/>
      <w:divBdr>
        <w:top w:val="none" w:sz="0" w:space="0" w:color="auto"/>
        <w:left w:val="none" w:sz="0" w:space="0" w:color="auto"/>
        <w:bottom w:val="none" w:sz="0" w:space="0" w:color="auto"/>
        <w:right w:val="none" w:sz="0" w:space="0" w:color="auto"/>
      </w:divBdr>
      <w:divsChild>
        <w:div w:id="1085567272">
          <w:marLeft w:val="0"/>
          <w:marRight w:val="0"/>
          <w:marTop w:val="0"/>
          <w:marBottom w:val="0"/>
          <w:divBdr>
            <w:top w:val="none" w:sz="0" w:space="0" w:color="auto"/>
            <w:left w:val="none" w:sz="0" w:space="0" w:color="auto"/>
            <w:bottom w:val="none" w:sz="0" w:space="0" w:color="auto"/>
            <w:right w:val="none" w:sz="0" w:space="0" w:color="auto"/>
          </w:divBdr>
        </w:div>
      </w:divsChild>
    </w:div>
    <w:div w:id="691490272">
      <w:marLeft w:val="0"/>
      <w:marRight w:val="0"/>
      <w:marTop w:val="0"/>
      <w:marBottom w:val="0"/>
      <w:divBdr>
        <w:top w:val="none" w:sz="0" w:space="0" w:color="auto"/>
        <w:left w:val="none" w:sz="0" w:space="0" w:color="auto"/>
        <w:bottom w:val="none" w:sz="0" w:space="0" w:color="auto"/>
        <w:right w:val="none" w:sz="0" w:space="0" w:color="auto"/>
      </w:divBdr>
      <w:divsChild>
        <w:div w:id="744106354">
          <w:marLeft w:val="0"/>
          <w:marRight w:val="0"/>
          <w:marTop w:val="0"/>
          <w:marBottom w:val="0"/>
          <w:divBdr>
            <w:top w:val="none" w:sz="0" w:space="0" w:color="auto"/>
            <w:left w:val="none" w:sz="0" w:space="0" w:color="auto"/>
            <w:bottom w:val="none" w:sz="0" w:space="0" w:color="auto"/>
            <w:right w:val="none" w:sz="0" w:space="0" w:color="auto"/>
          </w:divBdr>
        </w:div>
        <w:div w:id="31854540">
          <w:marLeft w:val="0"/>
          <w:marRight w:val="0"/>
          <w:marTop w:val="0"/>
          <w:marBottom w:val="0"/>
          <w:divBdr>
            <w:top w:val="none" w:sz="0" w:space="0" w:color="auto"/>
            <w:left w:val="none" w:sz="0" w:space="0" w:color="auto"/>
            <w:bottom w:val="none" w:sz="0" w:space="0" w:color="auto"/>
            <w:right w:val="none" w:sz="0" w:space="0" w:color="auto"/>
          </w:divBdr>
        </w:div>
        <w:div w:id="250044592">
          <w:marLeft w:val="0"/>
          <w:marRight w:val="0"/>
          <w:marTop w:val="0"/>
          <w:marBottom w:val="0"/>
          <w:divBdr>
            <w:top w:val="none" w:sz="0" w:space="0" w:color="auto"/>
            <w:left w:val="none" w:sz="0" w:space="0" w:color="auto"/>
            <w:bottom w:val="none" w:sz="0" w:space="0" w:color="auto"/>
            <w:right w:val="none" w:sz="0" w:space="0" w:color="auto"/>
          </w:divBdr>
        </w:div>
        <w:div w:id="1512255162">
          <w:marLeft w:val="0"/>
          <w:marRight w:val="0"/>
          <w:marTop w:val="0"/>
          <w:marBottom w:val="0"/>
          <w:divBdr>
            <w:top w:val="none" w:sz="0" w:space="0" w:color="auto"/>
            <w:left w:val="none" w:sz="0" w:space="0" w:color="auto"/>
            <w:bottom w:val="none" w:sz="0" w:space="0" w:color="auto"/>
            <w:right w:val="none" w:sz="0" w:space="0" w:color="auto"/>
          </w:divBdr>
        </w:div>
      </w:divsChild>
    </w:div>
    <w:div w:id="699206913">
      <w:marLeft w:val="0"/>
      <w:marRight w:val="0"/>
      <w:marTop w:val="195"/>
      <w:marBottom w:val="0"/>
      <w:divBdr>
        <w:top w:val="none" w:sz="0" w:space="0" w:color="auto"/>
        <w:left w:val="none" w:sz="0" w:space="0" w:color="auto"/>
        <w:bottom w:val="none" w:sz="0" w:space="0" w:color="auto"/>
        <w:right w:val="none" w:sz="0" w:space="0" w:color="auto"/>
      </w:divBdr>
    </w:div>
    <w:div w:id="700057664">
      <w:marLeft w:val="0"/>
      <w:marRight w:val="0"/>
      <w:marTop w:val="0"/>
      <w:marBottom w:val="0"/>
      <w:divBdr>
        <w:top w:val="none" w:sz="0" w:space="0" w:color="auto"/>
        <w:left w:val="none" w:sz="0" w:space="0" w:color="auto"/>
        <w:bottom w:val="none" w:sz="0" w:space="0" w:color="auto"/>
        <w:right w:val="none" w:sz="0" w:space="0" w:color="auto"/>
      </w:divBdr>
    </w:div>
    <w:div w:id="700083761">
      <w:marLeft w:val="0"/>
      <w:marRight w:val="0"/>
      <w:marTop w:val="0"/>
      <w:marBottom w:val="0"/>
      <w:divBdr>
        <w:top w:val="none" w:sz="0" w:space="0" w:color="auto"/>
        <w:left w:val="none" w:sz="0" w:space="0" w:color="auto"/>
        <w:bottom w:val="none" w:sz="0" w:space="0" w:color="auto"/>
        <w:right w:val="none" w:sz="0" w:space="0" w:color="auto"/>
      </w:divBdr>
      <w:divsChild>
        <w:div w:id="395008828">
          <w:marLeft w:val="0"/>
          <w:marRight w:val="0"/>
          <w:marTop w:val="0"/>
          <w:marBottom w:val="0"/>
          <w:divBdr>
            <w:top w:val="none" w:sz="0" w:space="0" w:color="auto"/>
            <w:left w:val="none" w:sz="0" w:space="0" w:color="auto"/>
            <w:bottom w:val="none" w:sz="0" w:space="0" w:color="auto"/>
            <w:right w:val="none" w:sz="0" w:space="0" w:color="auto"/>
          </w:divBdr>
        </w:div>
        <w:div w:id="1050373887">
          <w:marLeft w:val="0"/>
          <w:marRight w:val="0"/>
          <w:marTop w:val="0"/>
          <w:marBottom w:val="0"/>
          <w:divBdr>
            <w:top w:val="none" w:sz="0" w:space="0" w:color="auto"/>
            <w:left w:val="none" w:sz="0" w:space="0" w:color="auto"/>
            <w:bottom w:val="none" w:sz="0" w:space="0" w:color="auto"/>
            <w:right w:val="none" w:sz="0" w:space="0" w:color="auto"/>
          </w:divBdr>
        </w:div>
        <w:div w:id="1576355700">
          <w:marLeft w:val="0"/>
          <w:marRight w:val="0"/>
          <w:marTop w:val="0"/>
          <w:marBottom w:val="0"/>
          <w:divBdr>
            <w:top w:val="none" w:sz="0" w:space="0" w:color="auto"/>
            <w:left w:val="none" w:sz="0" w:space="0" w:color="auto"/>
            <w:bottom w:val="none" w:sz="0" w:space="0" w:color="auto"/>
            <w:right w:val="none" w:sz="0" w:space="0" w:color="auto"/>
          </w:divBdr>
        </w:div>
        <w:div w:id="1189486001">
          <w:marLeft w:val="0"/>
          <w:marRight w:val="0"/>
          <w:marTop w:val="0"/>
          <w:marBottom w:val="0"/>
          <w:divBdr>
            <w:top w:val="none" w:sz="0" w:space="0" w:color="auto"/>
            <w:left w:val="none" w:sz="0" w:space="0" w:color="auto"/>
            <w:bottom w:val="none" w:sz="0" w:space="0" w:color="auto"/>
            <w:right w:val="none" w:sz="0" w:space="0" w:color="auto"/>
          </w:divBdr>
        </w:div>
      </w:divsChild>
    </w:div>
    <w:div w:id="701051447">
      <w:marLeft w:val="0"/>
      <w:marRight w:val="0"/>
      <w:marTop w:val="200"/>
      <w:marBottom w:val="0"/>
      <w:divBdr>
        <w:top w:val="none" w:sz="0" w:space="0" w:color="auto"/>
        <w:left w:val="none" w:sz="0" w:space="0" w:color="auto"/>
        <w:bottom w:val="none" w:sz="0" w:space="0" w:color="auto"/>
        <w:right w:val="none" w:sz="0" w:space="0" w:color="auto"/>
      </w:divBdr>
    </w:div>
    <w:div w:id="702369687">
      <w:marLeft w:val="0"/>
      <w:marRight w:val="0"/>
      <w:marTop w:val="0"/>
      <w:marBottom w:val="0"/>
      <w:divBdr>
        <w:top w:val="none" w:sz="0" w:space="0" w:color="auto"/>
        <w:left w:val="none" w:sz="0" w:space="0" w:color="auto"/>
        <w:bottom w:val="none" w:sz="0" w:space="0" w:color="auto"/>
        <w:right w:val="none" w:sz="0" w:space="0" w:color="auto"/>
      </w:divBdr>
      <w:divsChild>
        <w:div w:id="1920485075">
          <w:marLeft w:val="0"/>
          <w:marRight w:val="0"/>
          <w:marTop w:val="0"/>
          <w:marBottom w:val="0"/>
          <w:divBdr>
            <w:top w:val="none" w:sz="0" w:space="0" w:color="auto"/>
            <w:left w:val="none" w:sz="0" w:space="0" w:color="auto"/>
            <w:bottom w:val="none" w:sz="0" w:space="0" w:color="auto"/>
            <w:right w:val="none" w:sz="0" w:space="0" w:color="auto"/>
          </w:divBdr>
        </w:div>
      </w:divsChild>
    </w:div>
    <w:div w:id="703869585">
      <w:marLeft w:val="0"/>
      <w:marRight w:val="0"/>
      <w:marTop w:val="100"/>
      <w:marBottom w:val="0"/>
      <w:divBdr>
        <w:top w:val="none" w:sz="0" w:space="0" w:color="auto"/>
        <w:left w:val="none" w:sz="0" w:space="0" w:color="auto"/>
        <w:bottom w:val="none" w:sz="0" w:space="0" w:color="auto"/>
        <w:right w:val="none" w:sz="0" w:space="0" w:color="auto"/>
      </w:divBdr>
    </w:div>
    <w:div w:id="705444792">
      <w:marLeft w:val="0"/>
      <w:marRight w:val="0"/>
      <w:marTop w:val="200"/>
      <w:marBottom w:val="0"/>
      <w:divBdr>
        <w:top w:val="none" w:sz="0" w:space="0" w:color="auto"/>
        <w:left w:val="none" w:sz="0" w:space="0" w:color="auto"/>
        <w:bottom w:val="none" w:sz="0" w:space="0" w:color="auto"/>
        <w:right w:val="none" w:sz="0" w:space="0" w:color="auto"/>
      </w:divBdr>
    </w:div>
    <w:div w:id="706217295">
      <w:marLeft w:val="0"/>
      <w:marRight w:val="0"/>
      <w:marTop w:val="0"/>
      <w:marBottom w:val="0"/>
      <w:divBdr>
        <w:top w:val="none" w:sz="0" w:space="0" w:color="auto"/>
        <w:left w:val="none" w:sz="0" w:space="0" w:color="auto"/>
        <w:bottom w:val="none" w:sz="0" w:space="0" w:color="auto"/>
        <w:right w:val="none" w:sz="0" w:space="0" w:color="auto"/>
      </w:divBdr>
      <w:divsChild>
        <w:div w:id="1654144079">
          <w:marLeft w:val="0"/>
          <w:marRight w:val="0"/>
          <w:marTop w:val="0"/>
          <w:marBottom w:val="0"/>
          <w:divBdr>
            <w:top w:val="none" w:sz="0" w:space="0" w:color="auto"/>
            <w:left w:val="none" w:sz="0" w:space="0" w:color="auto"/>
            <w:bottom w:val="none" w:sz="0" w:space="0" w:color="auto"/>
            <w:right w:val="none" w:sz="0" w:space="0" w:color="auto"/>
          </w:divBdr>
        </w:div>
      </w:divsChild>
    </w:div>
    <w:div w:id="706681445">
      <w:marLeft w:val="0"/>
      <w:marRight w:val="0"/>
      <w:marTop w:val="0"/>
      <w:marBottom w:val="0"/>
      <w:divBdr>
        <w:top w:val="none" w:sz="0" w:space="0" w:color="auto"/>
        <w:left w:val="none" w:sz="0" w:space="0" w:color="auto"/>
        <w:bottom w:val="none" w:sz="0" w:space="0" w:color="auto"/>
        <w:right w:val="none" w:sz="0" w:space="0" w:color="auto"/>
      </w:divBdr>
    </w:div>
    <w:div w:id="707679473">
      <w:marLeft w:val="0"/>
      <w:marRight w:val="0"/>
      <w:marTop w:val="0"/>
      <w:marBottom w:val="0"/>
      <w:divBdr>
        <w:top w:val="none" w:sz="0" w:space="0" w:color="auto"/>
        <w:left w:val="none" w:sz="0" w:space="0" w:color="auto"/>
        <w:bottom w:val="none" w:sz="0" w:space="0" w:color="auto"/>
        <w:right w:val="none" w:sz="0" w:space="0" w:color="auto"/>
      </w:divBdr>
    </w:div>
    <w:div w:id="707680432">
      <w:marLeft w:val="0"/>
      <w:marRight w:val="0"/>
      <w:marTop w:val="0"/>
      <w:marBottom w:val="0"/>
      <w:divBdr>
        <w:top w:val="none" w:sz="0" w:space="0" w:color="auto"/>
        <w:left w:val="none" w:sz="0" w:space="0" w:color="auto"/>
        <w:bottom w:val="none" w:sz="0" w:space="0" w:color="auto"/>
        <w:right w:val="none" w:sz="0" w:space="0" w:color="auto"/>
      </w:divBdr>
    </w:div>
    <w:div w:id="707998719">
      <w:marLeft w:val="0"/>
      <w:marRight w:val="0"/>
      <w:marTop w:val="0"/>
      <w:marBottom w:val="0"/>
      <w:divBdr>
        <w:top w:val="none" w:sz="0" w:space="0" w:color="auto"/>
        <w:left w:val="none" w:sz="0" w:space="0" w:color="auto"/>
        <w:bottom w:val="none" w:sz="0" w:space="0" w:color="auto"/>
        <w:right w:val="none" w:sz="0" w:space="0" w:color="auto"/>
      </w:divBdr>
    </w:div>
    <w:div w:id="709382579">
      <w:marLeft w:val="0"/>
      <w:marRight w:val="0"/>
      <w:marTop w:val="200"/>
      <w:marBottom w:val="0"/>
      <w:divBdr>
        <w:top w:val="none" w:sz="0" w:space="0" w:color="auto"/>
        <w:left w:val="none" w:sz="0" w:space="0" w:color="auto"/>
        <w:bottom w:val="none" w:sz="0" w:space="0" w:color="auto"/>
        <w:right w:val="none" w:sz="0" w:space="0" w:color="auto"/>
      </w:divBdr>
    </w:div>
    <w:div w:id="713963850">
      <w:marLeft w:val="0"/>
      <w:marRight w:val="0"/>
      <w:marTop w:val="0"/>
      <w:marBottom w:val="0"/>
      <w:divBdr>
        <w:top w:val="none" w:sz="0" w:space="0" w:color="auto"/>
        <w:left w:val="none" w:sz="0" w:space="0" w:color="auto"/>
        <w:bottom w:val="none" w:sz="0" w:space="0" w:color="auto"/>
        <w:right w:val="none" w:sz="0" w:space="0" w:color="auto"/>
      </w:divBdr>
    </w:div>
    <w:div w:id="714236275">
      <w:marLeft w:val="0"/>
      <w:marRight w:val="0"/>
      <w:marTop w:val="120"/>
      <w:marBottom w:val="0"/>
      <w:divBdr>
        <w:top w:val="none" w:sz="0" w:space="0" w:color="auto"/>
        <w:left w:val="none" w:sz="0" w:space="0" w:color="auto"/>
        <w:bottom w:val="none" w:sz="0" w:space="0" w:color="auto"/>
        <w:right w:val="none" w:sz="0" w:space="0" w:color="auto"/>
      </w:divBdr>
    </w:div>
    <w:div w:id="715395470">
      <w:marLeft w:val="0"/>
      <w:marRight w:val="0"/>
      <w:marTop w:val="0"/>
      <w:marBottom w:val="0"/>
      <w:divBdr>
        <w:top w:val="none" w:sz="0" w:space="0" w:color="auto"/>
        <w:left w:val="none" w:sz="0" w:space="0" w:color="auto"/>
        <w:bottom w:val="none" w:sz="0" w:space="0" w:color="auto"/>
        <w:right w:val="none" w:sz="0" w:space="0" w:color="auto"/>
      </w:divBdr>
    </w:div>
    <w:div w:id="717361977">
      <w:marLeft w:val="0"/>
      <w:marRight w:val="0"/>
      <w:marTop w:val="0"/>
      <w:marBottom w:val="0"/>
      <w:divBdr>
        <w:top w:val="none" w:sz="0" w:space="0" w:color="auto"/>
        <w:left w:val="none" w:sz="0" w:space="0" w:color="auto"/>
        <w:bottom w:val="none" w:sz="0" w:space="0" w:color="auto"/>
        <w:right w:val="none" w:sz="0" w:space="0" w:color="auto"/>
      </w:divBdr>
    </w:div>
    <w:div w:id="718481945">
      <w:marLeft w:val="0"/>
      <w:marRight w:val="0"/>
      <w:marTop w:val="0"/>
      <w:marBottom w:val="0"/>
      <w:divBdr>
        <w:top w:val="none" w:sz="0" w:space="0" w:color="auto"/>
        <w:left w:val="none" w:sz="0" w:space="0" w:color="auto"/>
        <w:bottom w:val="none" w:sz="0" w:space="0" w:color="auto"/>
        <w:right w:val="none" w:sz="0" w:space="0" w:color="auto"/>
      </w:divBdr>
      <w:divsChild>
        <w:div w:id="1530871068">
          <w:marLeft w:val="0"/>
          <w:marRight w:val="0"/>
          <w:marTop w:val="0"/>
          <w:marBottom w:val="0"/>
          <w:divBdr>
            <w:top w:val="none" w:sz="0" w:space="0" w:color="auto"/>
            <w:left w:val="none" w:sz="0" w:space="0" w:color="auto"/>
            <w:bottom w:val="none" w:sz="0" w:space="0" w:color="auto"/>
            <w:right w:val="none" w:sz="0" w:space="0" w:color="auto"/>
          </w:divBdr>
        </w:div>
        <w:div w:id="91903908">
          <w:marLeft w:val="0"/>
          <w:marRight w:val="0"/>
          <w:marTop w:val="0"/>
          <w:marBottom w:val="0"/>
          <w:divBdr>
            <w:top w:val="none" w:sz="0" w:space="0" w:color="auto"/>
            <w:left w:val="none" w:sz="0" w:space="0" w:color="auto"/>
            <w:bottom w:val="none" w:sz="0" w:space="0" w:color="auto"/>
            <w:right w:val="none" w:sz="0" w:space="0" w:color="auto"/>
          </w:divBdr>
        </w:div>
        <w:div w:id="1646663354">
          <w:marLeft w:val="0"/>
          <w:marRight w:val="0"/>
          <w:marTop w:val="0"/>
          <w:marBottom w:val="0"/>
          <w:divBdr>
            <w:top w:val="none" w:sz="0" w:space="0" w:color="auto"/>
            <w:left w:val="none" w:sz="0" w:space="0" w:color="auto"/>
            <w:bottom w:val="none" w:sz="0" w:space="0" w:color="auto"/>
            <w:right w:val="none" w:sz="0" w:space="0" w:color="auto"/>
          </w:divBdr>
        </w:div>
        <w:div w:id="1870143831">
          <w:marLeft w:val="0"/>
          <w:marRight w:val="0"/>
          <w:marTop w:val="0"/>
          <w:marBottom w:val="0"/>
          <w:divBdr>
            <w:top w:val="none" w:sz="0" w:space="0" w:color="auto"/>
            <w:left w:val="none" w:sz="0" w:space="0" w:color="auto"/>
            <w:bottom w:val="none" w:sz="0" w:space="0" w:color="auto"/>
            <w:right w:val="none" w:sz="0" w:space="0" w:color="auto"/>
          </w:divBdr>
        </w:div>
      </w:divsChild>
    </w:div>
    <w:div w:id="718742604">
      <w:marLeft w:val="0"/>
      <w:marRight w:val="0"/>
      <w:marTop w:val="200"/>
      <w:marBottom w:val="0"/>
      <w:divBdr>
        <w:top w:val="none" w:sz="0" w:space="0" w:color="auto"/>
        <w:left w:val="none" w:sz="0" w:space="0" w:color="auto"/>
        <w:bottom w:val="none" w:sz="0" w:space="0" w:color="auto"/>
        <w:right w:val="none" w:sz="0" w:space="0" w:color="auto"/>
      </w:divBdr>
    </w:div>
    <w:div w:id="721904252">
      <w:marLeft w:val="0"/>
      <w:marRight w:val="0"/>
      <w:marTop w:val="0"/>
      <w:marBottom w:val="0"/>
      <w:divBdr>
        <w:top w:val="none" w:sz="0" w:space="0" w:color="auto"/>
        <w:left w:val="none" w:sz="0" w:space="0" w:color="auto"/>
        <w:bottom w:val="none" w:sz="0" w:space="0" w:color="auto"/>
        <w:right w:val="none" w:sz="0" w:space="0" w:color="auto"/>
      </w:divBdr>
      <w:divsChild>
        <w:div w:id="1296368891">
          <w:marLeft w:val="0"/>
          <w:marRight w:val="0"/>
          <w:marTop w:val="0"/>
          <w:marBottom w:val="0"/>
          <w:divBdr>
            <w:top w:val="none" w:sz="0" w:space="0" w:color="auto"/>
            <w:left w:val="none" w:sz="0" w:space="0" w:color="auto"/>
            <w:bottom w:val="none" w:sz="0" w:space="0" w:color="auto"/>
            <w:right w:val="none" w:sz="0" w:space="0" w:color="auto"/>
          </w:divBdr>
        </w:div>
      </w:divsChild>
    </w:div>
    <w:div w:id="723871122">
      <w:marLeft w:val="0"/>
      <w:marRight w:val="0"/>
      <w:marTop w:val="0"/>
      <w:marBottom w:val="0"/>
      <w:divBdr>
        <w:top w:val="none" w:sz="0" w:space="0" w:color="auto"/>
        <w:left w:val="none" w:sz="0" w:space="0" w:color="auto"/>
        <w:bottom w:val="none" w:sz="0" w:space="0" w:color="auto"/>
        <w:right w:val="none" w:sz="0" w:space="0" w:color="auto"/>
      </w:divBdr>
      <w:divsChild>
        <w:div w:id="1521550557">
          <w:marLeft w:val="0"/>
          <w:marRight w:val="0"/>
          <w:marTop w:val="0"/>
          <w:marBottom w:val="0"/>
          <w:divBdr>
            <w:top w:val="none" w:sz="0" w:space="0" w:color="auto"/>
            <w:left w:val="none" w:sz="0" w:space="0" w:color="auto"/>
            <w:bottom w:val="none" w:sz="0" w:space="0" w:color="auto"/>
            <w:right w:val="none" w:sz="0" w:space="0" w:color="auto"/>
          </w:divBdr>
        </w:div>
        <w:div w:id="166098915">
          <w:marLeft w:val="0"/>
          <w:marRight w:val="0"/>
          <w:marTop w:val="0"/>
          <w:marBottom w:val="0"/>
          <w:divBdr>
            <w:top w:val="none" w:sz="0" w:space="0" w:color="auto"/>
            <w:left w:val="none" w:sz="0" w:space="0" w:color="auto"/>
            <w:bottom w:val="none" w:sz="0" w:space="0" w:color="auto"/>
            <w:right w:val="none" w:sz="0" w:space="0" w:color="auto"/>
          </w:divBdr>
        </w:div>
        <w:div w:id="1608656680">
          <w:marLeft w:val="0"/>
          <w:marRight w:val="0"/>
          <w:marTop w:val="0"/>
          <w:marBottom w:val="0"/>
          <w:divBdr>
            <w:top w:val="none" w:sz="0" w:space="0" w:color="auto"/>
            <w:left w:val="none" w:sz="0" w:space="0" w:color="auto"/>
            <w:bottom w:val="none" w:sz="0" w:space="0" w:color="auto"/>
            <w:right w:val="none" w:sz="0" w:space="0" w:color="auto"/>
          </w:divBdr>
        </w:div>
        <w:div w:id="932319885">
          <w:marLeft w:val="0"/>
          <w:marRight w:val="0"/>
          <w:marTop w:val="0"/>
          <w:marBottom w:val="0"/>
          <w:divBdr>
            <w:top w:val="none" w:sz="0" w:space="0" w:color="auto"/>
            <w:left w:val="none" w:sz="0" w:space="0" w:color="auto"/>
            <w:bottom w:val="none" w:sz="0" w:space="0" w:color="auto"/>
            <w:right w:val="none" w:sz="0" w:space="0" w:color="auto"/>
          </w:divBdr>
        </w:div>
      </w:divsChild>
    </w:div>
    <w:div w:id="724067432">
      <w:marLeft w:val="0"/>
      <w:marRight w:val="0"/>
      <w:marTop w:val="0"/>
      <w:marBottom w:val="0"/>
      <w:divBdr>
        <w:top w:val="none" w:sz="0" w:space="0" w:color="auto"/>
        <w:left w:val="none" w:sz="0" w:space="0" w:color="auto"/>
        <w:bottom w:val="none" w:sz="0" w:space="0" w:color="auto"/>
        <w:right w:val="none" w:sz="0" w:space="0" w:color="auto"/>
      </w:divBdr>
      <w:divsChild>
        <w:div w:id="99377463">
          <w:marLeft w:val="0"/>
          <w:marRight w:val="0"/>
          <w:marTop w:val="0"/>
          <w:marBottom w:val="0"/>
          <w:divBdr>
            <w:top w:val="none" w:sz="0" w:space="0" w:color="auto"/>
            <w:left w:val="none" w:sz="0" w:space="0" w:color="auto"/>
            <w:bottom w:val="none" w:sz="0" w:space="0" w:color="auto"/>
            <w:right w:val="none" w:sz="0" w:space="0" w:color="auto"/>
          </w:divBdr>
        </w:div>
      </w:divsChild>
    </w:div>
    <w:div w:id="725182914">
      <w:marLeft w:val="0"/>
      <w:marRight w:val="0"/>
      <w:marTop w:val="0"/>
      <w:marBottom w:val="0"/>
      <w:divBdr>
        <w:top w:val="none" w:sz="0" w:space="0" w:color="auto"/>
        <w:left w:val="none" w:sz="0" w:space="0" w:color="auto"/>
        <w:bottom w:val="none" w:sz="0" w:space="0" w:color="auto"/>
        <w:right w:val="none" w:sz="0" w:space="0" w:color="auto"/>
      </w:divBdr>
      <w:divsChild>
        <w:div w:id="2025008943">
          <w:marLeft w:val="0"/>
          <w:marRight w:val="0"/>
          <w:marTop w:val="0"/>
          <w:marBottom w:val="0"/>
          <w:divBdr>
            <w:top w:val="none" w:sz="0" w:space="0" w:color="auto"/>
            <w:left w:val="none" w:sz="0" w:space="0" w:color="auto"/>
            <w:bottom w:val="none" w:sz="0" w:space="0" w:color="auto"/>
            <w:right w:val="none" w:sz="0" w:space="0" w:color="auto"/>
          </w:divBdr>
        </w:div>
      </w:divsChild>
    </w:div>
    <w:div w:id="728116223">
      <w:marLeft w:val="0"/>
      <w:marRight w:val="0"/>
      <w:marTop w:val="0"/>
      <w:marBottom w:val="0"/>
      <w:divBdr>
        <w:top w:val="none" w:sz="0" w:space="0" w:color="auto"/>
        <w:left w:val="none" w:sz="0" w:space="0" w:color="auto"/>
        <w:bottom w:val="none" w:sz="0" w:space="0" w:color="auto"/>
        <w:right w:val="none" w:sz="0" w:space="0" w:color="auto"/>
      </w:divBdr>
      <w:divsChild>
        <w:div w:id="845631711">
          <w:marLeft w:val="0"/>
          <w:marRight w:val="0"/>
          <w:marTop w:val="0"/>
          <w:marBottom w:val="0"/>
          <w:divBdr>
            <w:top w:val="none" w:sz="0" w:space="0" w:color="auto"/>
            <w:left w:val="none" w:sz="0" w:space="0" w:color="auto"/>
            <w:bottom w:val="none" w:sz="0" w:space="0" w:color="auto"/>
            <w:right w:val="none" w:sz="0" w:space="0" w:color="auto"/>
          </w:divBdr>
        </w:div>
      </w:divsChild>
    </w:div>
    <w:div w:id="728308714">
      <w:marLeft w:val="0"/>
      <w:marRight w:val="0"/>
      <w:marTop w:val="200"/>
      <w:marBottom w:val="0"/>
      <w:divBdr>
        <w:top w:val="none" w:sz="0" w:space="0" w:color="auto"/>
        <w:left w:val="none" w:sz="0" w:space="0" w:color="auto"/>
        <w:bottom w:val="none" w:sz="0" w:space="0" w:color="auto"/>
        <w:right w:val="none" w:sz="0" w:space="0" w:color="auto"/>
      </w:divBdr>
    </w:div>
    <w:div w:id="729304008">
      <w:marLeft w:val="0"/>
      <w:marRight w:val="0"/>
      <w:marTop w:val="200"/>
      <w:marBottom w:val="0"/>
      <w:divBdr>
        <w:top w:val="none" w:sz="0" w:space="0" w:color="auto"/>
        <w:left w:val="none" w:sz="0" w:space="0" w:color="auto"/>
        <w:bottom w:val="none" w:sz="0" w:space="0" w:color="auto"/>
        <w:right w:val="none" w:sz="0" w:space="0" w:color="auto"/>
      </w:divBdr>
    </w:div>
    <w:div w:id="731851487">
      <w:marLeft w:val="0"/>
      <w:marRight w:val="0"/>
      <w:marTop w:val="0"/>
      <w:marBottom w:val="0"/>
      <w:divBdr>
        <w:top w:val="none" w:sz="0" w:space="0" w:color="auto"/>
        <w:left w:val="none" w:sz="0" w:space="0" w:color="auto"/>
        <w:bottom w:val="none" w:sz="0" w:space="0" w:color="auto"/>
        <w:right w:val="none" w:sz="0" w:space="0" w:color="auto"/>
      </w:divBdr>
      <w:divsChild>
        <w:div w:id="834614016">
          <w:marLeft w:val="0"/>
          <w:marRight w:val="0"/>
          <w:marTop w:val="0"/>
          <w:marBottom w:val="0"/>
          <w:divBdr>
            <w:top w:val="none" w:sz="0" w:space="0" w:color="auto"/>
            <w:left w:val="none" w:sz="0" w:space="0" w:color="auto"/>
            <w:bottom w:val="none" w:sz="0" w:space="0" w:color="auto"/>
            <w:right w:val="none" w:sz="0" w:space="0" w:color="auto"/>
          </w:divBdr>
        </w:div>
      </w:divsChild>
    </w:div>
    <w:div w:id="734745006">
      <w:marLeft w:val="0"/>
      <w:marRight w:val="0"/>
      <w:marTop w:val="200"/>
      <w:marBottom w:val="0"/>
      <w:divBdr>
        <w:top w:val="none" w:sz="0" w:space="0" w:color="auto"/>
        <w:left w:val="none" w:sz="0" w:space="0" w:color="auto"/>
        <w:bottom w:val="none" w:sz="0" w:space="0" w:color="auto"/>
        <w:right w:val="none" w:sz="0" w:space="0" w:color="auto"/>
      </w:divBdr>
    </w:div>
    <w:div w:id="738670484">
      <w:marLeft w:val="0"/>
      <w:marRight w:val="0"/>
      <w:marTop w:val="0"/>
      <w:marBottom w:val="0"/>
      <w:divBdr>
        <w:top w:val="none" w:sz="0" w:space="0" w:color="auto"/>
        <w:left w:val="none" w:sz="0" w:space="0" w:color="auto"/>
        <w:bottom w:val="none" w:sz="0" w:space="0" w:color="auto"/>
        <w:right w:val="none" w:sz="0" w:space="0" w:color="auto"/>
      </w:divBdr>
    </w:div>
    <w:div w:id="739836378">
      <w:marLeft w:val="0"/>
      <w:marRight w:val="0"/>
      <w:marTop w:val="0"/>
      <w:marBottom w:val="0"/>
      <w:divBdr>
        <w:top w:val="none" w:sz="0" w:space="0" w:color="auto"/>
        <w:left w:val="none" w:sz="0" w:space="0" w:color="auto"/>
        <w:bottom w:val="none" w:sz="0" w:space="0" w:color="auto"/>
        <w:right w:val="none" w:sz="0" w:space="0" w:color="auto"/>
      </w:divBdr>
      <w:divsChild>
        <w:div w:id="1969386408">
          <w:marLeft w:val="0"/>
          <w:marRight w:val="0"/>
          <w:marTop w:val="0"/>
          <w:marBottom w:val="0"/>
          <w:divBdr>
            <w:top w:val="none" w:sz="0" w:space="0" w:color="auto"/>
            <w:left w:val="none" w:sz="0" w:space="0" w:color="auto"/>
            <w:bottom w:val="none" w:sz="0" w:space="0" w:color="auto"/>
            <w:right w:val="none" w:sz="0" w:space="0" w:color="auto"/>
          </w:divBdr>
        </w:div>
      </w:divsChild>
    </w:div>
    <w:div w:id="744227812">
      <w:marLeft w:val="0"/>
      <w:marRight w:val="0"/>
      <w:marTop w:val="200"/>
      <w:marBottom w:val="0"/>
      <w:divBdr>
        <w:top w:val="none" w:sz="0" w:space="0" w:color="auto"/>
        <w:left w:val="none" w:sz="0" w:space="0" w:color="auto"/>
        <w:bottom w:val="none" w:sz="0" w:space="0" w:color="auto"/>
        <w:right w:val="none" w:sz="0" w:space="0" w:color="auto"/>
      </w:divBdr>
    </w:div>
    <w:div w:id="744498825">
      <w:marLeft w:val="0"/>
      <w:marRight w:val="0"/>
      <w:marTop w:val="200"/>
      <w:marBottom w:val="0"/>
      <w:divBdr>
        <w:top w:val="none" w:sz="0" w:space="0" w:color="auto"/>
        <w:left w:val="none" w:sz="0" w:space="0" w:color="auto"/>
        <w:bottom w:val="none" w:sz="0" w:space="0" w:color="auto"/>
        <w:right w:val="none" w:sz="0" w:space="0" w:color="auto"/>
      </w:divBdr>
    </w:div>
    <w:div w:id="746344227">
      <w:marLeft w:val="0"/>
      <w:marRight w:val="0"/>
      <w:marTop w:val="100"/>
      <w:marBottom w:val="0"/>
      <w:divBdr>
        <w:top w:val="none" w:sz="0" w:space="0" w:color="auto"/>
        <w:left w:val="none" w:sz="0" w:space="0" w:color="auto"/>
        <w:bottom w:val="none" w:sz="0" w:space="0" w:color="auto"/>
        <w:right w:val="none" w:sz="0" w:space="0" w:color="auto"/>
      </w:divBdr>
    </w:div>
    <w:div w:id="747963292">
      <w:marLeft w:val="0"/>
      <w:marRight w:val="0"/>
      <w:marTop w:val="200"/>
      <w:marBottom w:val="0"/>
      <w:divBdr>
        <w:top w:val="none" w:sz="0" w:space="0" w:color="auto"/>
        <w:left w:val="none" w:sz="0" w:space="0" w:color="auto"/>
        <w:bottom w:val="none" w:sz="0" w:space="0" w:color="auto"/>
        <w:right w:val="none" w:sz="0" w:space="0" w:color="auto"/>
      </w:divBdr>
    </w:div>
    <w:div w:id="754127467">
      <w:marLeft w:val="0"/>
      <w:marRight w:val="0"/>
      <w:marTop w:val="0"/>
      <w:marBottom w:val="0"/>
      <w:divBdr>
        <w:top w:val="none" w:sz="0" w:space="0" w:color="auto"/>
        <w:left w:val="none" w:sz="0" w:space="0" w:color="auto"/>
        <w:bottom w:val="none" w:sz="0" w:space="0" w:color="auto"/>
        <w:right w:val="none" w:sz="0" w:space="0" w:color="auto"/>
      </w:divBdr>
    </w:div>
    <w:div w:id="757212965">
      <w:marLeft w:val="0"/>
      <w:marRight w:val="0"/>
      <w:marTop w:val="0"/>
      <w:marBottom w:val="160"/>
      <w:divBdr>
        <w:top w:val="none" w:sz="0" w:space="0" w:color="auto"/>
        <w:left w:val="none" w:sz="0" w:space="0" w:color="auto"/>
        <w:bottom w:val="none" w:sz="0" w:space="0" w:color="auto"/>
        <w:right w:val="none" w:sz="0" w:space="0" w:color="auto"/>
      </w:divBdr>
    </w:div>
    <w:div w:id="757601117">
      <w:marLeft w:val="0"/>
      <w:marRight w:val="0"/>
      <w:marTop w:val="0"/>
      <w:marBottom w:val="200"/>
      <w:divBdr>
        <w:top w:val="none" w:sz="0" w:space="0" w:color="auto"/>
        <w:left w:val="none" w:sz="0" w:space="0" w:color="auto"/>
        <w:bottom w:val="none" w:sz="0" w:space="0" w:color="auto"/>
        <w:right w:val="none" w:sz="0" w:space="0" w:color="auto"/>
      </w:divBdr>
    </w:div>
    <w:div w:id="761267863">
      <w:marLeft w:val="0"/>
      <w:marRight w:val="0"/>
      <w:marTop w:val="200"/>
      <w:marBottom w:val="0"/>
      <w:divBdr>
        <w:top w:val="none" w:sz="0" w:space="0" w:color="auto"/>
        <w:left w:val="none" w:sz="0" w:space="0" w:color="auto"/>
        <w:bottom w:val="none" w:sz="0" w:space="0" w:color="auto"/>
        <w:right w:val="none" w:sz="0" w:space="0" w:color="auto"/>
      </w:divBdr>
    </w:div>
    <w:div w:id="762411993">
      <w:marLeft w:val="0"/>
      <w:marRight w:val="0"/>
      <w:marTop w:val="200"/>
      <w:marBottom w:val="0"/>
      <w:divBdr>
        <w:top w:val="none" w:sz="0" w:space="0" w:color="auto"/>
        <w:left w:val="none" w:sz="0" w:space="0" w:color="auto"/>
        <w:bottom w:val="none" w:sz="0" w:space="0" w:color="auto"/>
        <w:right w:val="none" w:sz="0" w:space="0" w:color="auto"/>
      </w:divBdr>
    </w:div>
    <w:div w:id="765464557">
      <w:marLeft w:val="0"/>
      <w:marRight w:val="0"/>
      <w:marTop w:val="0"/>
      <w:marBottom w:val="0"/>
      <w:divBdr>
        <w:top w:val="none" w:sz="0" w:space="0" w:color="auto"/>
        <w:left w:val="none" w:sz="0" w:space="0" w:color="auto"/>
        <w:bottom w:val="none" w:sz="0" w:space="0" w:color="auto"/>
        <w:right w:val="none" w:sz="0" w:space="0" w:color="auto"/>
      </w:divBdr>
    </w:div>
    <w:div w:id="765882554">
      <w:marLeft w:val="0"/>
      <w:marRight w:val="0"/>
      <w:marTop w:val="0"/>
      <w:marBottom w:val="0"/>
      <w:divBdr>
        <w:top w:val="none" w:sz="0" w:space="0" w:color="auto"/>
        <w:left w:val="none" w:sz="0" w:space="0" w:color="auto"/>
        <w:bottom w:val="none" w:sz="0" w:space="0" w:color="auto"/>
        <w:right w:val="none" w:sz="0" w:space="0" w:color="auto"/>
      </w:divBdr>
    </w:div>
    <w:div w:id="767190231">
      <w:marLeft w:val="0"/>
      <w:marRight w:val="0"/>
      <w:marTop w:val="0"/>
      <w:marBottom w:val="0"/>
      <w:divBdr>
        <w:top w:val="none" w:sz="0" w:space="0" w:color="auto"/>
        <w:left w:val="none" w:sz="0" w:space="0" w:color="auto"/>
        <w:bottom w:val="none" w:sz="0" w:space="0" w:color="auto"/>
        <w:right w:val="none" w:sz="0" w:space="0" w:color="auto"/>
      </w:divBdr>
      <w:divsChild>
        <w:div w:id="700088197">
          <w:marLeft w:val="0"/>
          <w:marRight w:val="0"/>
          <w:marTop w:val="0"/>
          <w:marBottom w:val="0"/>
          <w:divBdr>
            <w:top w:val="none" w:sz="0" w:space="0" w:color="auto"/>
            <w:left w:val="none" w:sz="0" w:space="0" w:color="auto"/>
            <w:bottom w:val="none" w:sz="0" w:space="0" w:color="auto"/>
            <w:right w:val="none" w:sz="0" w:space="0" w:color="auto"/>
          </w:divBdr>
        </w:div>
      </w:divsChild>
    </w:div>
    <w:div w:id="767583580">
      <w:marLeft w:val="0"/>
      <w:marRight w:val="0"/>
      <w:marTop w:val="0"/>
      <w:marBottom w:val="0"/>
      <w:divBdr>
        <w:top w:val="none" w:sz="0" w:space="0" w:color="auto"/>
        <w:left w:val="none" w:sz="0" w:space="0" w:color="auto"/>
        <w:bottom w:val="none" w:sz="0" w:space="0" w:color="auto"/>
        <w:right w:val="none" w:sz="0" w:space="0" w:color="auto"/>
      </w:divBdr>
    </w:div>
    <w:div w:id="768237214">
      <w:marLeft w:val="0"/>
      <w:marRight w:val="0"/>
      <w:marTop w:val="0"/>
      <w:marBottom w:val="0"/>
      <w:divBdr>
        <w:top w:val="none" w:sz="0" w:space="0" w:color="auto"/>
        <w:left w:val="none" w:sz="0" w:space="0" w:color="auto"/>
        <w:bottom w:val="none" w:sz="0" w:space="0" w:color="auto"/>
        <w:right w:val="none" w:sz="0" w:space="0" w:color="auto"/>
      </w:divBdr>
    </w:div>
    <w:div w:id="768356044">
      <w:marLeft w:val="0"/>
      <w:marRight w:val="0"/>
      <w:marTop w:val="0"/>
      <w:marBottom w:val="160"/>
      <w:divBdr>
        <w:top w:val="none" w:sz="0" w:space="0" w:color="auto"/>
        <w:left w:val="none" w:sz="0" w:space="0" w:color="auto"/>
        <w:bottom w:val="none" w:sz="0" w:space="0" w:color="auto"/>
        <w:right w:val="none" w:sz="0" w:space="0" w:color="auto"/>
      </w:divBdr>
    </w:div>
    <w:div w:id="768505158">
      <w:marLeft w:val="0"/>
      <w:marRight w:val="0"/>
      <w:marTop w:val="0"/>
      <w:marBottom w:val="0"/>
      <w:divBdr>
        <w:top w:val="none" w:sz="0" w:space="0" w:color="auto"/>
        <w:left w:val="none" w:sz="0" w:space="0" w:color="auto"/>
        <w:bottom w:val="none" w:sz="0" w:space="0" w:color="auto"/>
        <w:right w:val="none" w:sz="0" w:space="0" w:color="auto"/>
      </w:divBdr>
    </w:div>
    <w:div w:id="768889236">
      <w:marLeft w:val="0"/>
      <w:marRight w:val="0"/>
      <w:marTop w:val="0"/>
      <w:marBottom w:val="0"/>
      <w:divBdr>
        <w:top w:val="none" w:sz="0" w:space="0" w:color="auto"/>
        <w:left w:val="none" w:sz="0" w:space="0" w:color="auto"/>
        <w:bottom w:val="none" w:sz="0" w:space="0" w:color="auto"/>
        <w:right w:val="none" w:sz="0" w:space="0" w:color="auto"/>
      </w:divBdr>
      <w:divsChild>
        <w:div w:id="469517835">
          <w:marLeft w:val="0"/>
          <w:marRight w:val="0"/>
          <w:marTop w:val="0"/>
          <w:marBottom w:val="0"/>
          <w:divBdr>
            <w:top w:val="none" w:sz="0" w:space="0" w:color="auto"/>
            <w:left w:val="none" w:sz="0" w:space="0" w:color="auto"/>
            <w:bottom w:val="none" w:sz="0" w:space="0" w:color="auto"/>
            <w:right w:val="none" w:sz="0" w:space="0" w:color="auto"/>
          </w:divBdr>
        </w:div>
      </w:divsChild>
    </w:div>
    <w:div w:id="769008733">
      <w:marLeft w:val="0"/>
      <w:marRight w:val="0"/>
      <w:marTop w:val="100"/>
      <w:marBottom w:val="60"/>
      <w:divBdr>
        <w:top w:val="none" w:sz="0" w:space="0" w:color="auto"/>
        <w:left w:val="none" w:sz="0" w:space="0" w:color="auto"/>
        <w:bottom w:val="none" w:sz="0" w:space="0" w:color="auto"/>
        <w:right w:val="none" w:sz="0" w:space="0" w:color="auto"/>
      </w:divBdr>
    </w:div>
    <w:div w:id="771896629">
      <w:marLeft w:val="0"/>
      <w:marRight w:val="0"/>
      <w:marTop w:val="200"/>
      <w:marBottom w:val="0"/>
      <w:divBdr>
        <w:top w:val="none" w:sz="0" w:space="0" w:color="auto"/>
        <w:left w:val="none" w:sz="0" w:space="0" w:color="auto"/>
        <w:bottom w:val="none" w:sz="0" w:space="0" w:color="auto"/>
        <w:right w:val="none" w:sz="0" w:space="0" w:color="auto"/>
      </w:divBdr>
    </w:div>
    <w:div w:id="774130200">
      <w:marLeft w:val="0"/>
      <w:marRight w:val="0"/>
      <w:marTop w:val="0"/>
      <w:marBottom w:val="0"/>
      <w:divBdr>
        <w:top w:val="none" w:sz="0" w:space="0" w:color="auto"/>
        <w:left w:val="none" w:sz="0" w:space="0" w:color="auto"/>
        <w:bottom w:val="none" w:sz="0" w:space="0" w:color="auto"/>
        <w:right w:val="none" w:sz="0" w:space="0" w:color="auto"/>
      </w:divBdr>
    </w:div>
    <w:div w:id="774599606">
      <w:marLeft w:val="0"/>
      <w:marRight w:val="0"/>
      <w:marTop w:val="0"/>
      <w:marBottom w:val="0"/>
      <w:divBdr>
        <w:top w:val="none" w:sz="0" w:space="0" w:color="auto"/>
        <w:left w:val="none" w:sz="0" w:space="0" w:color="auto"/>
        <w:bottom w:val="none" w:sz="0" w:space="0" w:color="auto"/>
        <w:right w:val="none" w:sz="0" w:space="0" w:color="auto"/>
      </w:divBdr>
    </w:div>
    <w:div w:id="775060873">
      <w:marLeft w:val="0"/>
      <w:marRight w:val="0"/>
      <w:marTop w:val="0"/>
      <w:marBottom w:val="160"/>
      <w:divBdr>
        <w:top w:val="none" w:sz="0" w:space="0" w:color="auto"/>
        <w:left w:val="none" w:sz="0" w:space="0" w:color="auto"/>
        <w:bottom w:val="none" w:sz="0" w:space="0" w:color="auto"/>
        <w:right w:val="none" w:sz="0" w:space="0" w:color="auto"/>
      </w:divBdr>
    </w:div>
    <w:div w:id="775905140">
      <w:marLeft w:val="0"/>
      <w:marRight w:val="0"/>
      <w:marTop w:val="0"/>
      <w:marBottom w:val="0"/>
      <w:divBdr>
        <w:top w:val="none" w:sz="0" w:space="0" w:color="auto"/>
        <w:left w:val="none" w:sz="0" w:space="0" w:color="auto"/>
        <w:bottom w:val="none" w:sz="0" w:space="0" w:color="auto"/>
        <w:right w:val="none" w:sz="0" w:space="0" w:color="auto"/>
      </w:divBdr>
    </w:div>
    <w:div w:id="776220227">
      <w:marLeft w:val="0"/>
      <w:marRight w:val="0"/>
      <w:marTop w:val="0"/>
      <w:marBottom w:val="0"/>
      <w:divBdr>
        <w:top w:val="none" w:sz="0" w:space="0" w:color="auto"/>
        <w:left w:val="none" w:sz="0" w:space="0" w:color="auto"/>
        <w:bottom w:val="none" w:sz="0" w:space="0" w:color="auto"/>
        <w:right w:val="none" w:sz="0" w:space="0" w:color="auto"/>
      </w:divBdr>
    </w:div>
    <w:div w:id="779297435">
      <w:marLeft w:val="0"/>
      <w:marRight w:val="0"/>
      <w:marTop w:val="100"/>
      <w:marBottom w:val="0"/>
      <w:divBdr>
        <w:top w:val="none" w:sz="0" w:space="0" w:color="auto"/>
        <w:left w:val="none" w:sz="0" w:space="0" w:color="auto"/>
        <w:bottom w:val="none" w:sz="0" w:space="0" w:color="auto"/>
        <w:right w:val="none" w:sz="0" w:space="0" w:color="auto"/>
      </w:divBdr>
    </w:div>
    <w:div w:id="783693531">
      <w:marLeft w:val="0"/>
      <w:marRight w:val="0"/>
      <w:marTop w:val="200"/>
      <w:marBottom w:val="0"/>
      <w:divBdr>
        <w:top w:val="none" w:sz="0" w:space="0" w:color="auto"/>
        <w:left w:val="none" w:sz="0" w:space="0" w:color="auto"/>
        <w:bottom w:val="none" w:sz="0" w:space="0" w:color="auto"/>
        <w:right w:val="none" w:sz="0" w:space="0" w:color="auto"/>
      </w:divBdr>
    </w:div>
    <w:div w:id="786852245">
      <w:marLeft w:val="0"/>
      <w:marRight w:val="0"/>
      <w:marTop w:val="0"/>
      <w:marBottom w:val="0"/>
      <w:divBdr>
        <w:top w:val="none" w:sz="0" w:space="0" w:color="auto"/>
        <w:left w:val="none" w:sz="0" w:space="0" w:color="auto"/>
        <w:bottom w:val="none" w:sz="0" w:space="0" w:color="auto"/>
        <w:right w:val="none" w:sz="0" w:space="0" w:color="auto"/>
      </w:divBdr>
      <w:divsChild>
        <w:div w:id="137184278">
          <w:marLeft w:val="0"/>
          <w:marRight w:val="0"/>
          <w:marTop w:val="0"/>
          <w:marBottom w:val="0"/>
          <w:divBdr>
            <w:top w:val="none" w:sz="0" w:space="0" w:color="auto"/>
            <w:left w:val="none" w:sz="0" w:space="0" w:color="auto"/>
            <w:bottom w:val="none" w:sz="0" w:space="0" w:color="auto"/>
            <w:right w:val="none" w:sz="0" w:space="0" w:color="auto"/>
          </w:divBdr>
        </w:div>
      </w:divsChild>
    </w:div>
    <w:div w:id="795635021">
      <w:marLeft w:val="0"/>
      <w:marRight w:val="0"/>
      <w:marTop w:val="0"/>
      <w:marBottom w:val="0"/>
      <w:divBdr>
        <w:top w:val="none" w:sz="0" w:space="0" w:color="auto"/>
        <w:left w:val="none" w:sz="0" w:space="0" w:color="auto"/>
        <w:bottom w:val="none" w:sz="0" w:space="0" w:color="auto"/>
        <w:right w:val="none" w:sz="0" w:space="0" w:color="auto"/>
      </w:divBdr>
    </w:div>
    <w:div w:id="797383990">
      <w:marLeft w:val="0"/>
      <w:marRight w:val="0"/>
      <w:marTop w:val="0"/>
      <w:marBottom w:val="0"/>
      <w:divBdr>
        <w:top w:val="none" w:sz="0" w:space="0" w:color="auto"/>
        <w:left w:val="none" w:sz="0" w:space="0" w:color="auto"/>
        <w:bottom w:val="none" w:sz="0" w:space="0" w:color="auto"/>
        <w:right w:val="none" w:sz="0" w:space="0" w:color="auto"/>
      </w:divBdr>
      <w:divsChild>
        <w:div w:id="1063597845">
          <w:marLeft w:val="0"/>
          <w:marRight w:val="0"/>
          <w:marTop w:val="0"/>
          <w:marBottom w:val="0"/>
          <w:divBdr>
            <w:top w:val="none" w:sz="0" w:space="0" w:color="auto"/>
            <w:left w:val="none" w:sz="0" w:space="0" w:color="auto"/>
            <w:bottom w:val="none" w:sz="0" w:space="0" w:color="auto"/>
            <w:right w:val="none" w:sz="0" w:space="0" w:color="auto"/>
          </w:divBdr>
        </w:div>
        <w:div w:id="649751954">
          <w:marLeft w:val="0"/>
          <w:marRight w:val="0"/>
          <w:marTop w:val="0"/>
          <w:marBottom w:val="0"/>
          <w:divBdr>
            <w:top w:val="none" w:sz="0" w:space="0" w:color="auto"/>
            <w:left w:val="none" w:sz="0" w:space="0" w:color="auto"/>
            <w:bottom w:val="none" w:sz="0" w:space="0" w:color="auto"/>
            <w:right w:val="none" w:sz="0" w:space="0" w:color="auto"/>
          </w:divBdr>
        </w:div>
      </w:divsChild>
    </w:div>
    <w:div w:id="798032151">
      <w:marLeft w:val="0"/>
      <w:marRight w:val="0"/>
      <w:marTop w:val="200"/>
      <w:marBottom w:val="0"/>
      <w:divBdr>
        <w:top w:val="none" w:sz="0" w:space="0" w:color="auto"/>
        <w:left w:val="none" w:sz="0" w:space="0" w:color="auto"/>
        <w:bottom w:val="none" w:sz="0" w:space="0" w:color="auto"/>
        <w:right w:val="none" w:sz="0" w:space="0" w:color="auto"/>
      </w:divBdr>
    </w:div>
    <w:div w:id="800807140">
      <w:marLeft w:val="0"/>
      <w:marRight w:val="0"/>
      <w:marTop w:val="80"/>
      <w:marBottom w:val="0"/>
      <w:divBdr>
        <w:top w:val="none" w:sz="0" w:space="0" w:color="auto"/>
        <w:left w:val="none" w:sz="0" w:space="0" w:color="auto"/>
        <w:bottom w:val="none" w:sz="0" w:space="0" w:color="auto"/>
        <w:right w:val="none" w:sz="0" w:space="0" w:color="auto"/>
      </w:divBdr>
    </w:div>
    <w:div w:id="800927414">
      <w:marLeft w:val="0"/>
      <w:marRight w:val="0"/>
      <w:marTop w:val="60"/>
      <w:marBottom w:val="0"/>
      <w:divBdr>
        <w:top w:val="none" w:sz="0" w:space="0" w:color="auto"/>
        <w:left w:val="none" w:sz="0" w:space="0" w:color="auto"/>
        <w:bottom w:val="none" w:sz="0" w:space="0" w:color="auto"/>
        <w:right w:val="none" w:sz="0" w:space="0" w:color="auto"/>
      </w:divBdr>
    </w:div>
    <w:div w:id="803356340">
      <w:marLeft w:val="0"/>
      <w:marRight w:val="0"/>
      <w:marTop w:val="200"/>
      <w:marBottom w:val="0"/>
      <w:divBdr>
        <w:top w:val="none" w:sz="0" w:space="0" w:color="auto"/>
        <w:left w:val="none" w:sz="0" w:space="0" w:color="auto"/>
        <w:bottom w:val="none" w:sz="0" w:space="0" w:color="auto"/>
        <w:right w:val="none" w:sz="0" w:space="0" w:color="auto"/>
      </w:divBdr>
    </w:div>
    <w:div w:id="803816386">
      <w:marLeft w:val="0"/>
      <w:marRight w:val="0"/>
      <w:marTop w:val="200"/>
      <w:marBottom w:val="0"/>
      <w:divBdr>
        <w:top w:val="none" w:sz="0" w:space="0" w:color="auto"/>
        <w:left w:val="none" w:sz="0" w:space="0" w:color="auto"/>
        <w:bottom w:val="none" w:sz="0" w:space="0" w:color="auto"/>
        <w:right w:val="none" w:sz="0" w:space="0" w:color="auto"/>
      </w:divBdr>
    </w:div>
    <w:div w:id="808281284">
      <w:marLeft w:val="0"/>
      <w:marRight w:val="0"/>
      <w:marTop w:val="200"/>
      <w:marBottom w:val="0"/>
      <w:divBdr>
        <w:top w:val="none" w:sz="0" w:space="0" w:color="auto"/>
        <w:left w:val="none" w:sz="0" w:space="0" w:color="auto"/>
        <w:bottom w:val="none" w:sz="0" w:space="0" w:color="auto"/>
        <w:right w:val="none" w:sz="0" w:space="0" w:color="auto"/>
      </w:divBdr>
    </w:div>
    <w:div w:id="813369633">
      <w:marLeft w:val="0"/>
      <w:marRight w:val="0"/>
      <w:marTop w:val="0"/>
      <w:marBottom w:val="0"/>
      <w:divBdr>
        <w:top w:val="none" w:sz="0" w:space="0" w:color="auto"/>
        <w:left w:val="none" w:sz="0" w:space="0" w:color="auto"/>
        <w:bottom w:val="none" w:sz="0" w:space="0" w:color="auto"/>
        <w:right w:val="none" w:sz="0" w:space="0" w:color="auto"/>
      </w:divBdr>
      <w:divsChild>
        <w:div w:id="1472790929">
          <w:marLeft w:val="0"/>
          <w:marRight w:val="0"/>
          <w:marTop w:val="0"/>
          <w:marBottom w:val="0"/>
          <w:divBdr>
            <w:top w:val="none" w:sz="0" w:space="0" w:color="auto"/>
            <w:left w:val="none" w:sz="0" w:space="0" w:color="auto"/>
            <w:bottom w:val="none" w:sz="0" w:space="0" w:color="auto"/>
            <w:right w:val="none" w:sz="0" w:space="0" w:color="auto"/>
          </w:divBdr>
        </w:div>
      </w:divsChild>
    </w:div>
    <w:div w:id="815100120">
      <w:marLeft w:val="0"/>
      <w:marRight w:val="0"/>
      <w:marTop w:val="100"/>
      <w:marBottom w:val="0"/>
      <w:divBdr>
        <w:top w:val="none" w:sz="0" w:space="0" w:color="auto"/>
        <w:left w:val="none" w:sz="0" w:space="0" w:color="auto"/>
        <w:bottom w:val="none" w:sz="0" w:space="0" w:color="auto"/>
        <w:right w:val="none" w:sz="0" w:space="0" w:color="auto"/>
      </w:divBdr>
    </w:div>
    <w:div w:id="817499906">
      <w:marLeft w:val="0"/>
      <w:marRight w:val="0"/>
      <w:marTop w:val="0"/>
      <w:marBottom w:val="0"/>
      <w:divBdr>
        <w:top w:val="none" w:sz="0" w:space="0" w:color="auto"/>
        <w:left w:val="none" w:sz="0" w:space="0" w:color="auto"/>
        <w:bottom w:val="none" w:sz="0" w:space="0" w:color="auto"/>
        <w:right w:val="none" w:sz="0" w:space="0" w:color="auto"/>
      </w:divBdr>
    </w:div>
    <w:div w:id="818301029">
      <w:marLeft w:val="0"/>
      <w:marRight w:val="0"/>
      <w:marTop w:val="0"/>
      <w:marBottom w:val="0"/>
      <w:divBdr>
        <w:top w:val="none" w:sz="0" w:space="0" w:color="auto"/>
        <w:left w:val="none" w:sz="0" w:space="0" w:color="auto"/>
        <w:bottom w:val="none" w:sz="0" w:space="0" w:color="auto"/>
        <w:right w:val="none" w:sz="0" w:space="0" w:color="auto"/>
      </w:divBdr>
      <w:divsChild>
        <w:div w:id="1807357207">
          <w:marLeft w:val="0"/>
          <w:marRight w:val="0"/>
          <w:marTop w:val="0"/>
          <w:marBottom w:val="0"/>
          <w:divBdr>
            <w:top w:val="none" w:sz="0" w:space="0" w:color="auto"/>
            <w:left w:val="none" w:sz="0" w:space="0" w:color="auto"/>
            <w:bottom w:val="none" w:sz="0" w:space="0" w:color="auto"/>
            <w:right w:val="none" w:sz="0" w:space="0" w:color="auto"/>
          </w:divBdr>
        </w:div>
      </w:divsChild>
    </w:div>
    <w:div w:id="819926546">
      <w:marLeft w:val="0"/>
      <w:marRight w:val="0"/>
      <w:marTop w:val="0"/>
      <w:marBottom w:val="0"/>
      <w:divBdr>
        <w:top w:val="none" w:sz="0" w:space="0" w:color="auto"/>
        <w:left w:val="none" w:sz="0" w:space="0" w:color="auto"/>
        <w:bottom w:val="none" w:sz="0" w:space="0" w:color="auto"/>
        <w:right w:val="none" w:sz="0" w:space="0" w:color="auto"/>
      </w:divBdr>
      <w:divsChild>
        <w:div w:id="243222621">
          <w:marLeft w:val="0"/>
          <w:marRight w:val="0"/>
          <w:marTop w:val="0"/>
          <w:marBottom w:val="0"/>
          <w:divBdr>
            <w:top w:val="none" w:sz="0" w:space="0" w:color="auto"/>
            <w:left w:val="none" w:sz="0" w:space="0" w:color="auto"/>
            <w:bottom w:val="none" w:sz="0" w:space="0" w:color="auto"/>
            <w:right w:val="none" w:sz="0" w:space="0" w:color="auto"/>
          </w:divBdr>
        </w:div>
      </w:divsChild>
    </w:div>
    <w:div w:id="822083859">
      <w:marLeft w:val="0"/>
      <w:marRight w:val="0"/>
      <w:marTop w:val="0"/>
      <w:marBottom w:val="0"/>
      <w:divBdr>
        <w:top w:val="none" w:sz="0" w:space="0" w:color="auto"/>
        <w:left w:val="none" w:sz="0" w:space="0" w:color="auto"/>
        <w:bottom w:val="none" w:sz="0" w:space="0" w:color="auto"/>
        <w:right w:val="none" w:sz="0" w:space="0" w:color="auto"/>
      </w:divBdr>
    </w:div>
    <w:div w:id="822477406">
      <w:marLeft w:val="0"/>
      <w:marRight w:val="0"/>
      <w:marTop w:val="0"/>
      <w:marBottom w:val="0"/>
      <w:divBdr>
        <w:top w:val="none" w:sz="0" w:space="0" w:color="auto"/>
        <w:left w:val="none" w:sz="0" w:space="0" w:color="auto"/>
        <w:bottom w:val="none" w:sz="0" w:space="0" w:color="auto"/>
        <w:right w:val="none" w:sz="0" w:space="0" w:color="auto"/>
      </w:divBdr>
      <w:divsChild>
        <w:div w:id="2106918130">
          <w:marLeft w:val="0"/>
          <w:marRight w:val="0"/>
          <w:marTop w:val="0"/>
          <w:marBottom w:val="0"/>
          <w:divBdr>
            <w:top w:val="none" w:sz="0" w:space="0" w:color="auto"/>
            <w:left w:val="none" w:sz="0" w:space="0" w:color="auto"/>
            <w:bottom w:val="none" w:sz="0" w:space="0" w:color="auto"/>
            <w:right w:val="none" w:sz="0" w:space="0" w:color="auto"/>
          </w:divBdr>
        </w:div>
      </w:divsChild>
    </w:div>
    <w:div w:id="825442476">
      <w:marLeft w:val="0"/>
      <w:marRight w:val="0"/>
      <w:marTop w:val="200"/>
      <w:marBottom w:val="0"/>
      <w:divBdr>
        <w:top w:val="none" w:sz="0" w:space="0" w:color="auto"/>
        <w:left w:val="none" w:sz="0" w:space="0" w:color="auto"/>
        <w:bottom w:val="none" w:sz="0" w:space="0" w:color="auto"/>
        <w:right w:val="none" w:sz="0" w:space="0" w:color="auto"/>
      </w:divBdr>
    </w:div>
    <w:div w:id="830950530">
      <w:marLeft w:val="0"/>
      <w:marRight w:val="0"/>
      <w:marTop w:val="60"/>
      <w:marBottom w:val="0"/>
      <w:divBdr>
        <w:top w:val="none" w:sz="0" w:space="0" w:color="auto"/>
        <w:left w:val="none" w:sz="0" w:space="0" w:color="auto"/>
        <w:bottom w:val="none" w:sz="0" w:space="0" w:color="auto"/>
        <w:right w:val="none" w:sz="0" w:space="0" w:color="auto"/>
      </w:divBdr>
    </w:div>
    <w:div w:id="831066900">
      <w:marLeft w:val="0"/>
      <w:marRight w:val="0"/>
      <w:marTop w:val="0"/>
      <w:marBottom w:val="0"/>
      <w:divBdr>
        <w:top w:val="none" w:sz="0" w:space="0" w:color="auto"/>
        <w:left w:val="none" w:sz="0" w:space="0" w:color="auto"/>
        <w:bottom w:val="none" w:sz="0" w:space="0" w:color="auto"/>
        <w:right w:val="none" w:sz="0" w:space="0" w:color="auto"/>
      </w:divBdr>
      <w:divsChild>
        <w:div w:id="480733012">
          <w:marLeft w:val="0"/>
          <w:marRight w:val="0"/>
          <w:marTop w:val="0"/>
          <w:marBottom w:val="0"/>
          <w:divBdr>
            <w:top w:val="none" w:sz="0" w:space="0" w:color="auto"/>
            <w:left w:val="none" w:sz="0" w:space="0" w:color="auto"/>
            <w:bottom w:val="none" w:sz="0" w:space="0" w:color="auto"/>
            <w:right w:val="none" w:sz="0" w:space="0" w:color="auto"/>
          </w:divBdr>
        </w:div>
      </w:divsChild>
    </w:div>
    <w:div w:id="832573522">
      <w:marLeft w:val="0"/>
      <w:marRight w:val="0"/>
      <w:marTop w:val="0"/>
      <w:marBottom w:val="0"/>
      <w:divBdr>
        <w:top w:val="none" w:sz="0" w:space="0" w:color="auto"/>
        <w:left w:val="none" w:sz="0" w:space="0" w:color="auto"/>
        <w:bottom w:val="none" w:sz="0" w:space="0" w:color="auto"/>
        <w:right w:val="none" w:sz="0" w:space="0" w:color="auto"/>
      </w:divBdr>
    </w:div>
    <w:div w:id="835656250">
      <w:marLeft w:val="0"/>
      <w:marRight w:val="0"/>
      <w:marTop w:val="200"/>
      <w:marBottom w:val="0"/>
      <w:divBdr>
        <w:top w:val="none" w:sz="0" w:space="0" w:color="auto"/>
        <w:left w:val="none" w:sz="0" w:space="0" w:color="auto"/>
        <w:bottom w:val="none" w:sz="0" w:space="0" w:color="auto"/>
        <w:right w:val="none" w:sz="0" w:space="0" w:color="auto"/>
      </w:divBdr>
    </w:div>
    <w:div w:id="838228174">
      <w:marLeft w:val="0"/>
      <w:marRight w:val="0"/>
      <w:marTop w:val="200"/>
      <w:marBottom w:val="0"/>
      <w:divBdr>
        <w:top w:val="none" w:sz="0" w:space="0" w:color="auto"/>
        <w:left w:val="none" w:sz="0" w:space="0" w:color="auto"/>
        <w:bottom w:val="none" w:sz="0" w:space="0" w:color="auto"/>
        <w:right w:val="none" w:sz="0" w:space="0" w:color="auto"/>
      </w:divBdr>
    </w:div>
    <w:div w:id="840856952">
      <w:marLeft w:val="0"/>
      <w:marRight w:val="0"/>
      <w:marTop w:val="200"/>
      <w:marBottom w:val="0"/>
      <w:divBdr>
        <w:top w:val="none" w:sz="0" w:space="0" w:color="auto"/>
        <w:left w:val="none" w:sz="0" w:space="0" w:color="auto"/>
        <w:bottom w:val="none" w:sz="0" w:space="0" w:color="auto"/>
        <w:right w:val="none" w:sz="0" w:space="0" w:color="auto"/>
      </w:divBdr>
    </w:div>
    <w:div w:id="841508760">
      <w:marLeft w:val="0"/>
      <w:marRight w:val="0"/>
      <w:marTop w:val="200"/>
      <w:marBottom w:val="0"/>
      <w:divBdr>
        <w:top w:val="none" w:sz="0" w:space="0" w:color="auto"/>
        <w:left w:val="none" w:sz="0" w:space="0" w:color="auto"/>
        <w:bottom w:val="none" w:sz="0" w:space="0" w:color="auto"/>
        <w:right w:val="none" w:sz="0" w:space="0" w:color="auto"/>
      </w:divBdr>
    </w:div>
    <w:div w:id="841747566">
      <w:marLeft w:val="0"/>
      <w:marRight w:val="0"/>
      <w:marTop w:val="0"/>
      <w:marBottom w:val="0"/>
      <w:divBdr>
        <w:top w:val="none" w:sz="0" w:space="0" w:color="auto"/>
        <w:left w:val="none" w:sz="0" w:space="0" w:color="auto"/>
        <w:bottom w:val="none" w:sz="0" w:space="0" w:color="auto"/>
        <w:right w:val="none" w:sz="0" w:space="0" w:color="auto"/>
      </w:divBdr>
    </w:div>
    <w:div w:id="842861583">
      <w:marLeft w:val="0"/>
      <w:marRight w:val="0"/>
      <w:marTop w:val="200"/>
      <w:marBottom w:val="0"/>
      <w:divBdr>
        <w:top w:val="none" w:sz="0" w:space="0" w:color="auto"/>
        <w:left w:val="none" w:sz="0" w:space="0" w:color="auto"/>
        <w:bottom w:val="none" w:sz="0" w:space="0" w:color="auto"/>
        <w:right w:val="none" w:sz="0" w:space="0" w:color="auto"/>
      </w:divBdr>
    </w:div>
    <w:div w:id="844907205">
      <w:marLeft w:val="0"/>
      <w:marRight w:val="0"/>
      <w:marTop w:val="0"/>
      <w:marBottom w:val="0"/>
      <w:divBdr>
        <w:top w:val="none" w:sz="0" w:space="0" w:color="auto"/>
        <w:left w:val="none" w:sz="0" w:space="0" w:color="auto"/>
        <w:bottom w:val="none" w:sz="0" w:space="0" w:color="auto"/>
        <w:right w:val="none" w:sz="0" w:space="0" w:color="auto"/>
      </w:divBdr>
    </w:div>
    <w:div w:id="845484154">
      <w:marLeft w:val="0"/>
      <w:marRight w:val="0"/>
      <w:marTop w:val="0"/>
      <w:marBottom w:val="0"/>
      <w:divBdr>
        <w:top w:val="none" w:sz="0" w:space="0" w:color="auto"/>
        <w:left w:val="none" w:sz="0" w:space="0" w:color="auto"/>
        <w:bottom w:val="none" w:sz="0" w:space="0" w:color="auto"/>
        <w:right w:val="none" w:sz="0" w:space="0" w:color="auto"/>
      </w:divBdr>
      <w:divsChild>
        <w:div w:id="1630012072">
          <w:marLeft w:val="0"/>
          <w:marRight w:val="0"/>
          <w:marTop w:val="0"/>
          <w:marBottom w:val="0"/>
          <w:divBdr>
            <w:top w:val="none" w:sz="0" w:space="0" w:color="auto"/>
            <w:left w:val="none" w:sz="0" w:space="0" w:color="auto"/>
            <w:bottom w:val="none" w:sz="0" w:space="0" w:color="auto"/>
            <w:right w:val="none" w:sz="0" w:space="0" w:color="auto"/>
          </w:divBdr>
        </w:div>
        <w:div w:id="1943486335">
          <w:marLeft w:val="0"/>
          <w:marRight w:val="0"/>
          <w:marTop w:val="0"/>
          <w:marBottom w:val="0"/>
          <w:divBdr>
            <w:top w:val="none" w:sz="0" w:space="0" w:color="auto"/>
            <w:left w:val="none" w:sz="0" w:space="0" w:color="auto"/>
            <w:bottom w:val="none" w:sz="0" w:space="0" w:color="auto"/>
            <w:right w:val="none" w:sz="0" w:space="0" w:color="auto"/>
          </w:divBdr>
        </w:div>
        <w:div w:id="207957322">
          <w:marLeft w:val="0"/>
          <w:marRight w:val="0"/>
          <w:marTop w:val="0"/>
          <w:marBottom w:val="0"/>
          <w:divBdr>
            <w:top w:val="none" w:sz="0" w:space="0" w:color="auto"/>
            <w:left w:val="none" w:sz="0" w:space="0" w:color="auto"/>
            <w:bottom w:val="none" w:sz="0" w:space="0" w:color="auto"/>
            <w:right w:val="none" w:sz="0" w:space="0" w:color="auto"/>
          </w:divBdr>
        </w:div>
        <w:div w:id="2090733066">
          <w:marLeft w:val="0"/>
          <w:marRight w:val="0"/>
          <w:marTop w:val="0"/>
          <w:marBottom w:val="0"/>
          <w:divBdr>
            <w:top w:val="none" w:sz="0" w:space="0" w:color="auto"/>
            <w:left w:val="none" w:sz="0" w:space="0" w:color="auto"/>
            <w:bottom w:val="none" w:sz="0" w:space="0" w:color="auto"/>
            <w:right w:val="none" w:sz="0" w:space="0" w:color="auto"/>
          </w:divBdr>
        </w:div>
      </w:divsChild>
    </w:div>
    <w:div w:id="846165921">
      <w:marLeft w:val="0"/>
      <w:marRight w:val="0"/>
      <w:marTop w:val="200"/>
      <w:marBottom w:val="0"/>
      <w:divBdr>
        <w:top w:val="none" w:sz="0" w:space="0" w:color="auto"/>
        <w:left w:val="none" w:sz="0" w:space="0" w:color="auto"/>
        <w:bottom w:val="none" w:sz="0" w:space="0" w:color="auto"/>
        <w:right w:val="none" w:sz="0" w:space="0" w:color="auto"/>
      </w:divBdr>
    </w:div>
    <w:div w:id="846210387">
      <w:marLeft w:val="0"/>
      <w:marRight w:val="0"/>
      <w:marTop w:val="0"/>
      <w:marBottom w:val="0"/>
      <w:divBdr>
        <w:top w:val="none" w:sz="0" w:space="0" w:color="auto"/>
        <w:left w:val="none" w:sz="0" w:space="0" w:color="auto"/>
        <w:bottom w:val="none" w:sz="0" w:space="0" w:color="auto"/>
        <w:right w:val="none" w:sz="0" w:space="0" w:color="auto"/>
      </w:divBdr>
    </w:div>
    <w:div w:id="848103746">
      <w:marLeft w:val="0"/>
      <w:marRight w:val="0"/>
      <w:marTop w:val="0"/>
      <w:marBottom w:val="0"/>
      <w:divBdr>
        <w:top w:val="none" w:sz="0" w:space="0" w:color="auto"/>
        <w:left w:val="none" w:sz="0" w:space="0" w:color="auto"/>
        <w:bottom w:val="none" w:sz="0" w:space="0" w:color="auto"/>
        <w:right w:val="none" w:sz="0" w:space="0" w:color="auto"/>
      </w:divBdr>
    </w:div>
    <w:div w:id="850677515">
      <w:marLeft w:val="0"/>
      <w:marRight w:val="0"/>
      <w:marTop w:val="100"/>
      <w:marBottom w:val="0"/>
      <w:divBdr>
        <w:top w:val="none" w:sz="0" w:space="0" w:color="auto"/>
        <w:left w:val="none" w:sz="0" w:space="0" w:color="auto"/>
        <w:bottom w:val="none" w:sz="0" w:space="0" w:color="auto"/>
        <w:right w:val="none" w:sz="0" w:space="0" w:color="auto"/>
      </w:divBdr>
    </w:div>
    <w:div w:id="852184851">
      <w:marLeft w:val="0"/>
      <w:marRight w:val="0"/>
      <w:marTop w:val="100"/>
      <w:marBottom w:val="0"/>
      <w:divBdr>
        <w:top w:val="none" w:sz="0" w:space="0" w:color="auto"/>
        <w:left w:val="none" w:sz="0" w:space="0" w:color="auto"/>
        <w:bottom w:val="none" w:sz="0" w:space="0" w:color="auto"/>
        <w:right w:val="none" w:sz="0" w:space="0" w:color="auto"/>
      </w:divBdr>
    </w:div>
    <w:div w:id="856426664">
      <w:marLeft w:val="0"/>
      <w:marRight w:val="0"/>
      <w:marTop w:val="0"/>
      <w:marBottom w:val="0"/>
      <w:divBdr>
        <w:top w:val="none" w:sz="0" w:space="0" w:color="auto"/>
        <w:left w:val="none" w:sz="0" w:space="0" w:color="auto"/>
        <w:bottom w:val="none" w:sz="0" w:space="0" w:color="auto"/>
        <w:right w:val="none" w:sz="0" w:space="0" w:color="auto"/>
      </w:divBdr>
    </w:div>
    <w:div w:id="856964661">
      <w:marLeft w:val="0"/>
      <w:marRight w:val="0"/>
      <w:marTop w:val="0"/>
      <w:marBottom w:val="0"/>
      <w:divBdr>
        <w:top w:val="none" w:sz="0" w:space="0" w:color="auto"/>
        <w:left w:val="none" w:sz="0" w:space="0" w:color="auto"/>
        <w:bottom w:val="none" w:sz="0" w:space="0" w:color="auto"/>
        <w:right w:val="none" w:sz="0" w:space="0" w:color="auto"/>
      </w:divBdr>
    </w:div>
    <w:div w:id="857163565">
      <w:marLeft w:val="0"/>
      <w:marRight w:val="0"/>
      <w:marTop w:val="200"/>
      <w:marBottom w:val="0"/>
      <w:divBdr>
        <w:top w:val="none" w:sz="0" w:space="0" w:color="auto"/>
        <w:left w:val="none" w:sz="0" w:space="0" w:color="auto"/>
        <w:bottom w:val="none" w:sz="0" w:space="0" w:color="auto"/>
        <w:right w:val="none" w:sz="0" w:space="0" w:color="auto"/>
      </w:divBdr>
    </w:div>
    <w:div w:id="858199211">
      <w:marLeft w:val="0"/>
      <w:marRight w:val="0"/>
      <w:marTop w:val="0"/>
      <w:marBottom w:val="0"/>
      <w:divBdr>
        <w:top w:val="none" w:sz="0" w:space="0" w:color="auto"/>
        <w:left w:val="none" w:sz="0" w:space="0" w:color="auto"/>
        <w:bottom w:val="none" w:sz="0" w:space="0" w:color="auto"/>
        <w:right w:val="none" w:sz="0" w:space="0" w:color="auto"/>
      </w:divBdr>
      <w:divsChild>
        <w:div w:id="748113048">
          <w:marLeft w:val="0"/>
          <w:marRight w:val="0"/>
          <w:marTop w:val="0"/>
          <w:marBottom w:val="0"/>
          <w:divBdr>
            <w:top w:val="none" w:sz="0" w:space="0" w:color="auto"/>
            <w:left w:val="none" w:sz="0" w:space="0" w:color="auto"/>
            <w:bottom w:val="none" w:sz="0" w:space="0" w:color="auto"/>
            <w:right w:val="none" w:sz="0" w:space="0" w:color="auto"/>
          </w:divBdr>
        </w:div>
        <w:div w:id="222838149">
          <w:marLeft w:val="0"/>
          <w:marRight w:val="0"/>
          <w:marTop w:val="0"/>
          <w:marBottom w:val="0"/>
          <w:divBdr>
            <w:top w:val="none" w:sz="0" w:space="0" w:color="auto"/>
            <w:left w:val="none" w:sz="0" w:space="0" w:color="auto"/>
            <w:bottom w:val="none" w:sz="0" w:space="0" w:color="auto"/>
            <w:right w:val="none" w:sz="0" w:space="0" w:color="auto"/>
          </w:divBdr>
        </w:div>
        <w:div w:id="574097859">
          <w:marLeft w:val="0"/>
          <w:marRight w:val="0"/>
          <w:marTop w:val="0"/>
          <w:marBottom w:val="0"/>
          <w:divBdr>
            <w:top w:val="none" w:sz="0" w:space="0" w:color="auto"/>
            <w:left w:val="none" w:sz="0" w:space="0" w:color="auto"/>
            <w:bottom w:val="none" w:sz="0" w:space="0" w:color="auto"/>
            <w:right w:val="none" w:sz="0" w:space="0" w:color="auto"/>
          </w:divBdr>
        </w:div>
        <w:div w:id="305864337">
          <w:marLeft w:val="0"/>
          <w:marRight w:val="0"/>
          <w:marTop w:val="0"/>
          <w:marBottom w:val="0"/>
          <w:divBdr>
            <w:top w:val="none" w:sz="0" w:space="0" w:color="auto"/>
            <w:left w:val="none" w:sz="0" w:space="0" w:color="auto"/>
            <w:bottom w:val="none" w:sz="0" w:space="0" w:color="auto"/>
            <w:right w:val="none" w:sz="0" w:space="0" w:color="auto"/>
          </w:divBdr>
        </w:div>
      </w:divsChild>
    </w:div>
    <w:div w:id="862744335">
      <w:marLeft w:val="0"/>
      <w:marRight w:val="0"/>
      <w:marTop w:val="0"/>
      <w:marBottom w:val="0"/>
      <w:divBdr>
        <w:top w:val="none" w:sz="0" w:space="0" w:color="auto"/>
        <w:left w:val="none" w:sz="0" w:space="0" w:color="auto"/>
        <w:bottom w:val="none" w:sz="0" w:space="0" w:color="auto"/>
        <w:right w:val="none" w:sz="0" w:space="0" w:color="auto"/>
      </w:divBdr>
      <w:divsChild>
        <w:div w:id="1475875636">
          <w:marLeft w:val="0"/>
          <w:marRight w:val="0"/>
          <w:marTop w:val="0"/>
          <w:marBottom w:val="0"/>
          <w:divBdr>
            <w:top w:val="none" w:sz="0" w:space="0" w:color="auto"/>
            <w:left w:val="none" w:sz="0" w:space="0" w:color="auto"/>
            <w:bottom w:val="none" w:sz="0" w:space="0" w:color="auto"/>
            <w:right w:val="none" w:sz="0" w:space="0" w:color="auto"/>
          </w:divBdr>
        </w:div>
      </w:divsChild>
    </w:div>
    <w:div w:id="863206339">
      <w:marLeft w:val="0"/>
      <w:marRight w:val="0"/>
      <w:marTop w:val="200"/>
      <w:marBottom w:val="0"/>
      <w:divBdr>
        <w:top w:val="none" w:sz="0" w:space="0" w:color="auto"/>
        <w:left w:val="none" w:sz="0" w:space="0" w:color="auto"/>
        <w:bottom w:val="none" w:sz="0" w:space="0" w:color="auto"/>
        <w:right w:val="none" w:sz="0" w:space="0" w:color="auto"/>
      </w:divBdr>
    </w:div>
    <w:div w:id="864289849">
      <w:marLeft w:val="0"/>
      <w:marRight w:val="0"/>
      <w:marTop w:val="200"/>
      <w:marBottom w:val="0"/>
      <w:divBdr>
        <w:top w:val="none" w:sz="0" w:space="0" w:color="auto"/>
        <w:left w:val="none" w:sz="0" w:space="0" w:color="auto"/>
        <w:bottom w:val="none" w:sz="0" w:space="0" w:color="auto"/>
        <w:right w:val="none" w:sz="0" w:space="0" w:color="auto"/>
      </w:divBdr>
    </w:div>
    <w:div w:id="868420721">
      <w:marLeft w:val="0"/>
      <w:marRight w:val="0"/>
      <w:marTop w:val="0"/>
      <w:marBottom w:val="0"/>
      <w:divBdr>
        <w:top w:val="none" w:sz="0" w:space="0" w:color="auto"/>
        <w:left w:val="none" w:sz="0" w:space="0" w:color="auto"/>
        <w:bottom w:val="none" w:sz="0" w:space="0" w:color="auto"/>
        <w:right w:val="none" w:sz="0" w:space="0" w:color="auto"/>
      </w:divBdr>
      <w:divsChild>
        <w:div w:id="1033388907">
          <w:marLeft w:val="0"/>
          <w:marRight w:val="0"/>
          <w:marTop w:val="0"/>
          <w:marBottom w:val="0"/>
          <w:divBdr>
            <w:top w:val="none" w:sz="0" w:space="0" w:color="auto"/>
            <w:left w:val="none" w:sz="0" w:space="0" w:color="auto"/>
            <w:bottom w:val="none" w:sz="0" w:space="0" w:color="auto"/>
            <w:right w:val="none" w:sz="0" w:space="0" w:color="auto"/>
          </w:divBdr>
        </w:div>
        <w:div w:id="66080670">
          <w:marLeft w:val="0"/>
          <w:marRight w:val="0"/>
          <w:marTop w:val="0"/>
          <w:marBottom w:val="0"/>
          <w:divBdr>
            <w:top w:val="none" w:sz="0" w:space="0" w:color="auto"/>
            <w:left w:val="none" w:sz="0" w:space="0" w:color="auto"/>
            <w:bottom w:val="none" w:sz="0" w:space="0" w:color="auto"/>
            <w:right w:val="none" w:sz="0" w:space="0" w:color="auto"/>
          </w:divBdr>
        </w:div>
        <w:div w:id="29186828">
          <w:marLeft w:val="0"/>
          <w:marRight w:val="0"/>
          <w:marTop w:val="0"/>
          <w:marBottom w:val="0"/>
          <w:divBdr>
            <w:top w:val="none" w:sz="0" w:space="0" w:color="auto"/>
            <w:left w:val="none" w:sz="0" w:space="0" w:color="auto"/>
            <w:bottom w:val="none" w:sz="0" w:space="0" w:color="auto"/>
            <w:right w:val="none" w:sz="0" w:space="0" w:color="auto"/>
          </w:divBdr>
        </w:div>
        <w:div w:id="257711202">
          <w:marLeft w:val="0"/>
          <w:marRight w:val="0"/>
          <w:marTop w:val="0"/>
          <w:marBottom w:val="0"/>
          <w:divBdr>
            <w:top w:val="none" w:sz="0" w:space="0" w:color="auto"/>
            <w:left w:val="none" w:sz="0" w:space="0" w:color="auto"/>
            <w:bottom w:val="none" w:sz="0" w:space="0" w:color="auto"/>
            <w:right w:val="none" w:sz="0" w:space="0" w:color="auto"/>
          </w:divBdr>
        </w:div>
      </w:divsChild>
    </w:div>
    <w:div w:id="869801729">
      <w:marLeft w:val="0"/>
      <w:marRight w:val="0"/>
      <w:marTop w:val="0"/>
      <w:marBottom w:val="0"/>
      <w:divBdr>
        <w:top w:val="none" w:sz="0" w:space="0" w:color="auto"/>
        <w:left w:val="none" w:sz="0" w:space="0" w:color="auto"/>
        <w:bottom w:val="none" w:sz="0" w:space="0" w:color="auto"/>
        <w:right w:val="none" w:sz="0" w:space="0" w:color="auto"/>
      </w:divBdr>
      <w:divsChild>
        <w:div w:id="1654021688">
          <w:marLeft w:val="0"/>
          <w:marRight w:val="0"/>
          <w:marTop w:val="0"/>
          <w:marBottom w:val="0"/>
          <w:divBdr>
            <w:top w:val="none" w:sz="0" w:space="0" w:color="auto"/>
            <w:left w:val="none" w:sz="0" w:space="0" w:color="auto"/>
            <w:bottom w:val="none" w:sz="0" w:space="0" w:color="auto"/>
            <w:right w:val="none" w:sz="0" w:space="0" w:color="auto"/>
          </w:divBdr>
        </w:div>
      </w:divsChild>
    </w:div>
    <w:div w:id="870147187">
      <w:marLeft w:val="0"/>
      <w:marRight w:val="0"/>
      <w:marTop w:val="0"/>
      <w:marBottom w:val="0"/>
      <w:divBdr>
        <w:top w:val="none" w:sz="0" w:space="0" w:color="auto"/>
        <w:left w:val="none" w:sz="0" w:space="0" w:color="auto"/>
        <w:bottom w:val="none" w:sz="0" w:space="0" w:color="auto"/>
        <w:right w:val="none" w:sz="0" w:space="0" w:color="auto"/>
      </w:divBdr>
    </w:div>
    <w:div w:id="870269339">
      <w:marLeft w:val="0"/>
      <w:marRight w:val="0"/>
      <w:marTop w:val="200"/>
      <w:marBottom w:val="0"/>
      <w:divBdr>
        <w:top w:val="none" w:sz="0" w:space="0" w:color="auto"/>
        <w:left w:val="none" w:sz="0" w:space="0" w:color="auto"/>
        <w:bottom w:val="none" w:sz="0" w:space="0" w:color="auto"/>
        <w:right w:val="none" w:sz="0" w:space="0" w:color="auto"/>
      </w:divBdr>
    </w:div>
    <w:div w:id="872887368">
      <w:marLeft w:val="0"/>
      <w:marRight w:val="0"/>
      <w:marTop w:val="100"/>
      <w:marBottom w:val="0"/>
      <w:divBdr>
        <w:top w:val="none" w:sz="0" w:space="0" w:color="auto"/>
        <w:left w:val="none" w:sz="0" w:space="0" w:color="auto"/>
        <w:bottom w:val="none" w:sz="0" w:space="0" w:color="auto"/>
        <w:right w:val="none" w:sz="0" w:space="0" w:color="auto"/>
      </w:divBdr>
    </w:div>
    <w:div w:id="881400451">
      <w:marLeft w:val="0"/>
      <w:marRight w:val="0"/>
      <w:marTop w:val="200"/>
      <w:marBottom w:val="0"/>
      <w:divBdr>
        <w:top w:val="none" w:sz="0" w:space="0" w:color="auto"/>
        <w:left w:val="none" w:sz="0" w:space="0" w:color="auto"/>
        <w:bottom w:val="none" w:sz="0" w:space="0" w:color="auto"/>
        <w:right w:val="none" w:sz="0" w:space="0" w:color="auto"/>
      </w:divBdr>
    </w:div>
    <w:div w:id="885020936">
      <w:marLeft w:val="0"/>
      <w:marRight w:val="0"/>
      <w:marTop w:val="0"/>
      <w:marBottom w:val="0"/>
      <w:divBdr>
        <w:top w:val="none" w:sz="0" w:space="0" w:color="auto"/>
        <w:left w:val="none" w:sz="0" w:space="0" w:color="auto"/>
        <w:bottom w:val="none" w:sz="0" w:space="0" w:color="auto"/>
        <w:right w:val="none" w:sz="0" w:space="0" w:color="auto"/>
      </w:divBdr>
    </w:div>
    <w:div w:id="886525201">
      <w:marLeft w:val="0"/>
      <w:marRight w:val="0"/>
      <w:marTop w:val="200"/>
      <w:marBottom w:val="0"/>
      <w:divBdr>
        <w:top w:val="none" w:sz="0" w:space="0" w:color="auto"/>
        <w:left w:val="none" w:sz="0" w:space="0" w:color="auto"/>
        <w:bottom w:val="none" w:sz="0" w:space="0" w:color="auto"/>
        <w:right w:val="none" w:sz="0" w:space="0" w:color="auto"/>
      </w:divBdr>
    </w:div>
    <w:div w:id="889413609">
      <w:marLeft w:val="0"/>
      <w:marRight w:val="0"/>
      <w:marTop w:val="0"/>
      <w:marBottom w:val="0"/>
      <w:divBdr>
        <w:top w:val="none" w:sz="0" w:space="0" w:color="auto"/>
        <w:left w:val="none" w:sz="0" w:space="0" w:color="auto"/>
        <w:bottom w:val="none" w:sz="0" w:space="0" w:color="auto"/>
        <w:right w:val="none" w:sz="0" w:space="0" w:color="auto"/>
      </w:divBdr>
      <w:divsChild>
        <w:div w:id="1003556363">
          <w:marLeft w:val="0"/>
          <w:marRight w:val="0"/>
          <w:marTop w:val="0"/>
          <w:marBottom w:val="0"/>
          <w:divBdr>
            <w:top w:val="none" w:sz="0" w:space="0" w:color="auto"/>
            <w:left w:val="none" w:sz="0" w:space="0" w:color="auto"/>
            <w:bottom w:val="none" w:sz="0" w:space="0" w:color="auto"/>
            <w:right w:val="none" w:sz="0" w:space="0" w:color="auto"/>
          </w:divBdr>
        </w:div>
      </w:divsChild>
    </w:div>
    <w:div w:id="898318896">
      <w:marLeft w:val="0"/>
      <w:marRight w:val="0"/>
      <w:marTop w:val="0"/>
      <w:marBottom w:val="0"/>
      <w:divBdr>
        <w:top w:val="none" w:sz="0" w:space="0" w:color="auto"/>
        <w:left w:val="none" w:sz="0" w:space="0" w:color="auto"/>
        <w:bottom w:val="none" w:sz="0" w:space="0" w:color="auto"/>
        <w:right w:val="none" w:sz="0" w:space="0" w:color="auto"/>
      </w:divBdr>
    </w:div>
    <w:div w:id="902565274">
      <w:marLeft w:val="0"/>
      <w:marRight w:val="0"/>
      <w:marTop w:val="0"/>
      <w:marBottom w:val="160"/>
      <w:divBdr>
        <w:top w:val="none" w:sz="0" w:space="0" w:color="auto"/>
        <w:left w:val="none" w:sz="0" w:space="0" w:color="auto"/>
        <w:bottom w:val="none" w:sz="0" w:space="0" w:color="auto"/>
        <w:right w:val="none" w:sz="0" w:space="0" w:color="auto"/>
      </w:divBdr>
    </w:div>
    <w:div w:id="904755546">
      <w:marLeft w:val="0"/>
      <w:marRight w:val="0"/>
      <w:marTop w:val="0"/>
      <w:marBottom w:val="0"/>
      <w:divBdr>
        <w:top w:val="none" w:sz="0" w:space="0" w:color="auto"/>
        <w:left w:val="none" w:sz="0" w:space="0" w:color="auto"/>
        <w:bottom w:val="none" w:sz="0" w:space="0" w:color="auto"/>
        <w:right w:val="none" w:sz="0" w:space="0" w:color="auto"/>
      </w:divBdr>
    </w:div>
    <w:div w:id="908074330">
      <w:marLeft w:val="0"/>
      <w:marRight w:val="0"/>
      <w:marTop w:val="100"/>
      <w:marBottom w:val="0"/>
      <w:divBdr>
        <w:top w:val="none" w:sz="0" w:space="0" w:color="auto"/>
        <w:left w:val="none" w:sz="0" w:space="0" w:color="auto"/>
        <w:bottom w:val="none" w:sz="0" w:space="0" w:color="auto"/>
        <w:right w:val="none" w:sz="0" w:space="0" w:color="auto"/>
      </w:divBdr>
    </w:div>
    <w:div w:id="910768970">
      <w:marLeft w:val="0"/>
      <w:marRight w:val="0"/>
      <w:marTop w:val="200"/>
      <w:marBottom w:val="0"/>
      <w:divBdr>
        <w:top w:val="none" w:sz="0" w:space="0" w:color="auto"/>
        <w:left w:val="none" w:sz="0" w:space="0" w:color="auto"/>
        <w:bottom w:val="none" w:sz="0" w:space="0" w:color="auto"/>
        <w:right w:val="none" w:sz="0" w:space="0" w:color="auto"/>
      </w:divBdr>
    </w:div>
    <w:div w:id="911156666">
      <w:marLeft w:val="0"/>
      <w:marRight w:val="0"/>
      <w:marTop w:val="0"/>
      <w:marBottom w:val="0"/>
      <w:divBdr>
        <w:top w:val="none" w:sz="0" w:space="0" w:color="auto"/>
        <w:left w:val="none" w:sz="0" w:space="0" w:color="auto"/>
        <w:bottom w:val="none" w:sz="0" w:space="0" w:color="auto"/>
        <w:right w:val="none" w:sz="0" w:space="0" w:color="auto"/>
      </w:divBdr>
      <w:divsChild>
        <w:div w:id="2106682217">
          <w:marLeft w:val="0"/>
          <w:marRight w:val="0"/>
          <w:marTop w:val="0"/>
          <w:marBottom w:val="0"/>
          <w:divBdr>
            <w:top w:val="none" w:sz="0" w:space="0" w:color="auto"/>
            <w:left w:val="none" w:sz="0" w:space="0" w:color="auto"/>
            <w:bottom w:val="none" w:sz="0" w:space="0" w:color="auto"/>
            <w:right w:val="none" w:sz="0" w:space="0" w:color="auto"/>
          </w:divBdr>
        </w:div>
      </w:divsChild>
    </w:div>
    <w:div w:id="913903700">
      <w:marLeft w:val="0"/>
      <w:marRight w:val="0"/>
      <w:marTop w:val="0"/>
      <w:marBottom w:val="200"/>
      <w:divBdr>
        <w:top w:val="none" w:sz="0" w:space="0" w:color="auto"/>
        <w:left w:val="none" w:sz="0" w:space="0" w:color="auto"/>
        <w:bottom w:val="none" w:sz="0" w:space="0" w:color="auto"/>
        <w:right w:val="none" w:sz="0" w:space="0" w:color="auto"/>
      </w:divBdr>
    </w:div>
    <w:div w:id="917330789">
      <w:marLeft w:val="0"/>
      <w:marRight w:val="0"/>
      <w:marTop w:val="0"/>
      <w:marBottom w:val="0"/>
      <w:divBdr>
        <w:top w:val="none" w:sz="0" w:space="0" w:color="auto"/>
        <w:left w:val="none" w:sz="0" w:space="0" w:color="auto"/>
        <w:bottom w:val="none" w:sz="0" w:space="0" w:color="auto"/>
        <w:right w:val="none" w:sz="0" w:space="0" w:color="auto"/>
      </w:divBdr>
    </w:div>
    <w:div w:id="917903296">
      <w:marLeft w:val="0"/>
      <w:marRight w:val="0"/>
      <w:marTop w:val="0"/>
      <w:marBottom w:val="0"/>
      <w:divBdr>
        <w:top w:val="none" w:sz="0" w:space="0" w:color="auto"/>
        <w:left w:val="none" w:sz="0" w:space="0" w:color="auto"/>
        <w:bottom w:val="none" w:sz="0" w:space="0" w:color="auto"/>
        <w:right w:val="none" w:sz="0" w:space="0" w:color="auto"/>
      </w:divBdr>
    </w:div>
    <w:div w:id="919606744">
      <w:marLeft w:val="0"/>
      <w:marRight w:val="0"/>
      <w:marTop w:val="100"/>
      <w:marBottom w:val="0"/>
      <w:divBdr>
        <w:top w:val="none" w:sz="0" w:space="0" w:color="auto"/>
        <w:left w:val="none" w:sz="0" w:space="0" w:color="auto"/>
        <w:bottom w:val="none" w:sz="0" w:space="0" w:color="auto"/>
        <w:right w:val="none" w:sz="0" w:space="0" w:color="auto"/>
      </w:divBdr>
    </w:div>
    <w:div w:id="923102592">
      <w:marLeft w:val="0"/>
      <w:marRight w:val="0"/>
      <w:marTop w:val="0"/>
      <w:marBottom w:val="0"/>
      <w:divBdr>
        <w:top w:val="none" w:sz="0" w:space="0" w:color="auto"/>
        <w:left w:val="none" w:sz="0" w:space="0" w:color="auto"/>
        <w:bottom w:val="none" w:sz="0" w:space="0" w:color="auto"/>
        <w:right w:val="none" w:sz="0" w:space="0" w:color="auto"/>
      </w:divBdr>
    </w:div>
    <w:div w:id="923758522">
      <w:marLeft w:val="0"/>
      <w:marRight w:val="0"/>
      <w:marTop w:val="200"/>
      <w:marBottom w:val="0"/>
      <w:divBdr>
        <w:top w:val="none" w:sz="0" w:space="0" w:color="auto"/>
        <w:left w:val="none" w:sz="0" w:space="0" w:color="auto"/>
        <w:bottom w:val="none" w:sz="0" w:space="0" w:color="auto"/>
        <w:right w:val="none" w:sz="0" w:space="0" w:color="auto"/>
      </w:divBdr>
    </w:div>
    <w:div w:id="925843545">
      <w:marLeft w:val="0"/>
      <w:marRight w:val="0"/>
      <w:marTop w:val="60"/>
      <w:marBottom w:val="0"/>
      <w:divBdr>
        <w:top w:val="none" w:sz="0" w:space="0" w:color="auto"/>
        <w:left w:val="none" w:sz="0" w:space="0" w:color="auto"/>
        <w:bottom w:val="none" w:sz="0" w:space="0" w:color="auto"/>
        <w:right w:val="none" w:sz="0" w:space="0" w:color="auto"/>
      </w:divBdr>
    </w:div>
    <w:div w:id="930967419">
      <w:marLeft w:val="0"/>
      <w:marRight w:val="0"/>
      <w:marTop w:val="0"/>
      <w:marBottom w:val="0"/>
      <w:divBdr>
        <w:top w:val="none" w:sz="0" w:space="0" w:color="auto"/>
        <w:left w:val="none" w:sz="0" w:space="0" w:color="auto"/>
        <w:bottom w:val="none" w:sz="0" w:space="0" w:color="auto"/>
        <w:right w:val="none" w:sz="0" w:space="0" w:color="auto"/>
      </w:divBdr>
    </w:div>
    <w:div w:id="943197044">
      <w:marLeft w:val="0"/>
      <w:marRight w:val="0"/>
      <w:marTop w:val="200"/>
      <w:marBottom w:val="0"/>
      <w:divBdr>
        <w:top w:val="none" w:sz="0" w:space="0" w:color="auto"/>
        <w:left w:val="none" w:sz="0" w:space="0" w:color="auto"/>
        <w:bottom w:val="none" w:sz="0" w:space="0" w:color="auto"/>
        <w:right w:val="none" w:sz="0" w:space="0" w:color="auto"/>
      </w:divBdr>
    </w:div>
    <w:div w:id="943851010">
      <w:marLeft w:val="0"/>
      <w:marRight w:val="0"/>
      <w:marTop w:val="0"/>
      <w:marBottom w:val="0"/>
      <w:divBdr>
        <w:top w:val="none" w:sz="0" w:space="0" w:color="auto"/>
        <w:left w:val="none" w:sz="0" w:space="0" w:color="auto"/>
        <w:bottom w:val="none" w:sz="0" w:space="0" w:color="auto"/>
        <w:right w:val="none" w:sz="0" w:space="0" w:color="auto"/>
      </w:divBdr>
    </w:div>
    <w:div w:id="945116828">
      <w:marLeft w:val="0"/>
      <w:marRight w:val="0"/>
      <w:marTop w:val="0"/>
      <w:marBottom w:val="0"/>
      <w:divBdr>
        <w:top w:val="none" w:sz="0" w:space="0" w:color="auto"/>
        <w:left w:val="none" w:sz="0" w:space="0" w:color="auto"/>
        <w:bottom w:val="none" w:sz="0" w:space="0" w:color="auto"/>
        <w:right w:val="none" w:sz="0" w:space="0" w:color="auto"/>
      </w:divBdr>
      <w:divsChild>
        <w:div w:id="1302344692">
          <w:marLeft w:val="0"/>
          <w:marRight w:val="0"/>
          <w:marTop w:val="0"/>
          <w:marBottom w:val="0"/>
          <w:divBdr>
            <w:top w:val="none" w:sz="0" w:space="0" w:color="auto"/>
            <w:left w:val="none" w:sz="0" w:space="0" w:color="auto"/>
            <w:bottom w:val="none" w:sz="0" w:space="0" w:color="auto"/>
            <w:right w:val="none" w:sz="0" w:space="0" w:color="auto"/>
          </w:divBdr>
        </w:div>
      </w:divsChild>
    </w:div>
    <w:div w:id="951325968">
      <w:marLeft w:val="0"/>
      <w:marRight w:val="0"/>
      <w:marTop w:val="100"/>
      <w:marBottom w:val="0"/>
      <w:divBdr>
        <w:top w:val="none" w:sz="0" w:space="0" w:color="auto"/>
        <w:left w:val="none" w:sz="0" w:space="0" w:color="auto"/>
        <w:bottom w:val="none" w:sz="0" w:space="0" w:color="auto"/>
        <w:right w:val="none" w:sz="0" w:space="0" w:color="auto"/>
      </w:divBdr>
    </w:div>
    <w:div w:id="951352703">
      <w:marLeft w:val="0"/>
      <w:marRight w:val="0"/>
      <w:marTop w:val="0"/>
      <w:marBottom w:val="0"/>
      <w:divBdr>
        <w:top w:val="none" w:sz="0" w:space="0" w:color="auto"/>
        <w:left w:val="none" w:sz="0" w:space="0" w:color="auto"/>
        <w:bottom w:val="none" w:sz="0" w:space="0" w:color="auto"/>
        <w:right w:val="none" w:sz="0" w:space="0" w:color="auto"/>
      </w:divBdr>
      <w:divsChild>
        <w:div w:id="1679652884">
          <w:marLeft w:val="0"/>
          <w:marRight w:val="0"/>
          <w:marTop w:val="0"/>
          <w:marBottom w:val="0"/>
          <w:divBdr>
            <w:top w:val="none" w:sz="0" w:space="0" w:color="auto"/>
            <w:left w:val="none" w:sz="0" w:space="0" w:color="auto"/>
            <w:bottom w:val="none" w:sz="0" w:space="0" w:color="auto"/>
            <w:right w:val="none" w:sz="0" w:space="0" w:color="auto"/>
          </w:divBdr>
        </w:div>
      </w:divsChild>
    </w:div>
    <w:div w:id="953707109">
      <w:marLeft w:val="0"/>
      <w:marRight w:val="0"/>
      <w:marTop w:val="0"/>
      <w:marBottom w:val="0"/>
      <w:divBdr>
        <w:top w:val="none" w:sz="0" w:space="0" w:color="auto"/>
        <w:left w:val="none" w:sz="0" w:space="0" w:color="auto"/>
        <w:bottom w:val="none" w:sz="0" w:space="0" w:color="auto"/>
        <w:right w:val="none" w:sz="0" w:space="0" w:color="auto"/>
      </w:divBdr>
    </w:div>
    <w:div w:id="957642360">
      <w:marLeft w:val="0"/>
      <w:marRight w:val="0"/>
      <w:marTop w:val="200"/>
      <w:marBottom w:val="0"/>
      <w:divBdr>
        <w:top w:val="none" w:sz="0" w:space="0" w:color="auto"/>
        <w:left w:val="none" w:sz="0" w:space="0" w:color="auto"/>
        <w:bottom w:val="none" w:sz="0" w:space="0" w:color="auto"/>
        <w:right w:val="none" w:sz="0" w:space="0" w:color="auto"/>
      </w:divBdr>
    </w:div>
    <w:div w:id="958757839">
      <w:marLeft w:val="0"/>
      <w:marRight w:val="0"/>
      <w:marTop w:val="0"/>
      <w:marBottom w:val="0"/>
      <w:divBdr>
        <w:top w:val="none" w:sz="0" w:space="0" w:color="auto"/>
        <w:left w:val="none" w:sz="0" w:space="0" w:color="auto"/>
        <w:bottom w:val="none" w:sz="0" w:space="0" w:color="auto"/>
        <w:right w:val="none" w:sz="0" w:space="0" w:color="auto"/>
      </w:divBdr>
      <w:divsChild>
        <w:div w:id="1777166702">
          <w:marLeft w:val="0"/>
          <w:marRight w:val="0"/>
          <w:marTop w:val="0"/>
          <w:marBottom w:val="0"/>
          <w:divBdr>
            <w:top w:val="none" w:sz="0" w:space="0" w:color="auto"/>
            <w:left w:val="none" w:sz="0" w:space="0" w:color="auto"/>
            <w:bottom w:val="none" w:sz="0" w:space="0" w:color="auto"/>
            <w:right w:val="none" w:sz="0" w:space="0" w:color="auto"/>
          </w:divBdr>
        </w:div>
      </w:divsChild>
    </w:div>
    <w:div w:id="959920952">
      <w:marLeft w:val="0"/>
      <w:marRight w:val="0"/>
      <w:marTop w:val="0"/>
      <w:marBottom w:val="0"/>
      <w:divBdr>
        <w:top w:val="none" w:sz="0" w:space="0" w:color="auto"/>
        <w:left w:val="none" w:sz="0" w:space="0" w:color="auto"/>
        <w:bottom w:val="none" w:sz="0" w:space="0" w:color="auto"/>
        <w:right w:val="none" w:sz="0" w:space="0" w:color="auto"/>
      </w:divBdr>
    </w:div>
    <w:div w:id="960037495">
      <w:marLeft w:val="0"/>
      <w:marRight w:val="0"/>
      <w:marTop w:val="0"/>
      <w:marBottom w:val="0"/>
      <w:divBdr>
        <w:top w:val="none" w:sz="0" w:space="0" w:color="auto"/>
        <w:left w:val="none" w:sz="0" w:space="0" w:color="auto"/>
        <w:bottom w:val="none" w:sz="0" w:space="0" w:color="auto"/>
        <w:right w:val="none" w:sz="0" w:space="0" w:color="auto"/>
      </w:divBdr>
    </w:div>
    <w:div w:id="960183457">
      <w:marLeft w:val="0"/>
      <w:marRight w:val="0"/>
      <w:marTop w:val="0"/>
      <w:marBottom w:val="0"/>
      <w:divBdr>
        <w:top w:val="none" w:sz="0" w:space="0" w:color="auto"/>
        <w:left w:val="none" w:sz="0" w:space="0" w:color="auto"/>
        <w:bottom w:val="none" w:sz="0" w:space="0" w:color="auto"/>
        <w:right w:val="none" w:sz="0" w:space="0" w:color="auto"/>
      </w:divBdr>
    </w:div>
    <w:div w:id="961426666">
      <w:marLeft w:val="0"/>
      <w:marRight w:val="0"/>
      <w:marTop w:val="0"/>
      <w:marBottom w:val="0"/>
      <w:divBdr>
        <w:top w:val="none" w:sz="0" w:space="0" w:color="auto"/>
        <w:left w:val="none" w:sz="0" w:space="0" w:color="auto"/>
        <w:bottom w:val="none" w:sz="0" w:space="0" w:color="auto"/>
        <w:right w:val="none" w:sz="0" w:space="0" w:color="auto"/>
      </w:divBdr>
    </w:div>
    <w:div w:id="962686458">
      <w:marLeft w:val="0"/>
      <w:marRight w:val="0"/>
      <w:marTop w:val="100"/>
      <w:marBottom w:val="0"/>
      <w:divBdr>
        <w:top w:val="none" w:sz="0" w:space="0" w:color="auto"/>
        <w:left w:val="none" w:sz="0" w:space="0" w:color="auto"/>
        <w:bottom w:val="none" w:sz="0" w:space="0" w:color="auto"/>
        <w:right w:val="none" w:sz="0" w:space="0" w:color="auto"/>
      </w:divBdr>
    </w:div>
    <w:div w:id="963776965">
      <w:marLeft w:val="0"/>
      <w:marRight w:val="0"/>
      <w:marTop w:val="0"/>
      <w:marBottom w:val="0"/>
      <w:divBdr>
        <w:top w:val="none" w:sz="0" w:space="0" w:color="auto"/>
        <w:left w:val="none" w:sz="0" w:space="0" w:color="auto"/>
        <w:bottom w:val="none" w:sz="0" w:space="0" w:color="auto"/>
        <w:right w:val="none" w:sz="0" w:space="0" w:color="auto"/>
      </w:divBdr>
      <w:divsChild>
        <w:div w:id="399521080">
          <w:marLeft w:val="0"/>
          <w:marRight w:val="0"/>
          <w:marTop w:val="0"/>
          <w:marBottom w:val="0"/>
          <w:divBdr>
            <w:top w:val="none" w:sz="0" w:space="0" w:color="auto"/>
            <w:left w:val="none" w:sz="0" w:space="0" w:color="auto"/>
            <w:bottom w:val="none" w:sz="0" w:space="0" w:color="auto"/>
            <w:right w:val="none" w:sz="0" w:space="0" w:color="auto"/>
          </w:divBdr>
        </w:div>
      </w:divsChild>
    </w:div>
    <w:div w:id="965236584">
      <w:marLeft w:val="0"/>
      <w:marRight w:val="0"/>
      <w:marTop w:val="0"/>
      <w:marBottom w:val="0"/>
      <w:divBdr>
        <w:top w:val="none" w:sz="0" w:space="0" w:color="auto"/>
        <w:left w:val="none" w:sz="0" w:space="0" w:color="auto"/>
        <w:bottom w:val="none" w:sz="0" w:space="0" w:color="auto"/>
        <w:right w:val="none" w:sz="0" w:space="0" w:color="auto"/>
      </w:divBdr>
      <w:divsChild>
        <w:div w:id="1037048642">
          <w:marLeft w:val="0"/>
          <w:marRight w:val="0"/>
          <w:marTop w:val="0"/>
          <w:marBottom w:val="0"/>
          <w:divBdr>
            <w:top w:val="none" w:sz="0" w:space="0" w:color="auto"/>
            <w:left w:val="none" w:sz="0" w:space="0" w:color="auto"/>
            <w:bottom w:val="none" w:sz="0" w:space="0" w:color="auto"/>
            <w:right w:val="none" w:sz="0" w:space="0" w:color="auto"/>
          </w:divBdr>
        </w:div>
      </w:divsChild>
    </w:div>
    <w:div w:id="968048597">
      <w:marLeft w:val="0"/>
      <w:marRight w:val="0"/>
      <w:marTop w:val="60"/>
      <w:marBottom w:val="0"/>
      <w:divBdr>
        <w:top w:val="none" w:sz="0" w:space="0" w:color="auto"/>
        <w:left w:val="none" w:sz="0" w:space="0" w:color="auto"/>
        <w:bottom w:val="none" w:sz="0" w:space="0" w:color="auto"/>
        <w:right w:val="none" w:sz="0" w:space="0" w:color="auto"/>
      </w:divBdr>
    </w:div>
    <w:div w:id="969434780">
      <w:marLeft w:val="0"/>
      <w:marRight w:val="0"/>
      <w:marTop w:val="200"/>
      <w:marBottom w:val="0"/>
      <w:divBdr>
        <w:top w:val="none" w:sz="0" w:space="0" w:color="auto"/>
        <w:left w:val="none" w:sz="0" w:space="0" w:color="auto"/>
        <w:bottom w:val="none" w:sz="0" w:space="0" w:color="auto"/>
        <w:right w:val="none" w:sz="0" w:space="0" w:color="auto"/>
      </w:divBdr>
    </w:div>
    <w:div w:id="971711613">
      <w:marLeft w:val="0"/>
      <w:marRight w:val="0"/>
      <w:marTop w:val="0"/>
      <w:marBottom w:val="0"/>
      <w:divBdr>
        <w:top w:val="none" w:sz="0" w:space="0" w:color="auto"/>
        <w:left w:val="none" w:sz="0" w:space="0" w:color="auto"/>
        <w:bottom w:val="none" w:sz="0" w:space="0" w:color="auto"/>
        <w:right w:val="none" w:sz="0" w:space="0" w:color="auto"/>
      </w:divBdr>
    </w:div>
    <w:div w:id="973027376">
      <w:marLeft w:val="0"/>
      <w:marRight w:val="0"/>
      <w:marTop w:val="200"/>
      <w:marBottom w:val="0"/>
      <w:divBdr>
        <w:top w:val="none" w:sz="0" w:space="0" w:color="auto"/>
        <w:left w:val="none" w:sz="0" w:space="0" w:color="auto"/>
        <w:bottom w:val="none" w:sz="0" w:space="0" w:color="auto"/>
        <w:right w:val="none" w:sz="0" w:space="0" w:color="auto"/>
      </w:divBdr>
    </w:div>
    <w:div w:id="974800126">
      <w:marLeft w:val="0"/>
      <w:marRight w:val="0"/>
      <w:marTop w:val="200"/>
      <w:marBottom w:val="0"/>
      <w:divBdr>
        <w:top w:val="none" w:sz="0" w:space="0" w:color="auto"/>
        <w:left w:val="none" w:sz="0" w:space="0" w:color="auto"/>
        <w:bottom w:val="none" w:sz="0" w:space="0" w:color="auto"/>
        <w:right w:val="none" w:sz="0" w:space="0" w:color="auto"/>
      </w:divBdr>
    </w:div>
    <w:div w:id="978001927">
      <w:marLeft w:val="0"/>
      <w:marRight w:val="0"/>
      <w:marTop w:val="0"/>
      <w:marBottom w:val="0"/>
      <w:divBdr>
        <w:top w:val="none" w:sz="0" w:space="0" w:color="auto"/>
        <w:left w:val="none" w:sz="0" w:space="0" w:color="auto"/>
        <w:bottom w:val="none" w:sz="0" w:space="0" w:color="auto"/>
        <w:right w:val="none" w:sz="0" w:space="0" w:color="auto"/>
      </w:divBdr>
    </w:div>
    <w:div w:id="979074352">
      <w:marLeft w:val="0"/>
      <w:marRight w:val="0"/>
      <w:marTop w:val="200"/>
      <w:marBottom w:val="0"/>
      <w:divBdr>
        <w:top w:val="none" w:sz="0" w:space="0" w:color="auto"/>
        <w:left w:val="none" w:sz="0" w:space="0" w:color="auto"/>
        <w:bottom w:val="none" w:sz="0" w:space="0" w:color="auto"/>
        <w:right w:val="none" w:sz="0" w:space="0" w:color="auto"/>
      </w:divBdr>
    </w:div>
    <w:div w:id="983243361">
      <w:marLeft w:val="0"/>
      <w:marRight w:val="0"/>
      <w:marTop w:val="100"/>
      <w:marBottom w:val="0"/>
      <w:divBdr>
        <w:top w:val="none" w:sz="0" w:space="0" w:color="auto"/>
        <w:left w:val="none" w:sz="0" w:space="0" w:color="auto"/>
        <w:bottom w:val="none" w:sz="0" w:space="0" w:color="auto"/>
        <w:right w:val="none" w:sz="0" w:space="0" w:color="auto"/>
      </w:divBdr>
    </w:div>
    <w:div w:id="983386569">
      <w:marLeft w:val="0"/>
      <w:marRight w:val="0"/>
      <w:marTop w:val="0"/>
      <w:marBottom w:val="0"/>
      <w:divBdr>
        <w:top w:val="none" w:sz="0" w:space="0" w:color="auto"/>
        <w:left w:val="none" w:sz="0" w:space="0" w:color="auto"/>
        <w:bottom w:val="none" w:sz="0" w:space="0" w:color="auto"/>
        <w:right w:val="none" w:sz="0" w:space="0" w:color="auto"/>
      </w:divBdr>
      <w:divsChild>
        <w:div w:id="2086297445">
          <w:marLeft w:val="0"/>
          <w:marRight w:val="0"/>
          <w:marTop w:val="0"/>
          <w:marBottom w:val="0"/>
          <w:divBdr>
            <w:top w:val="none" w:sz="0" w:space="0" w:color="auto"/>
            <w:left w:val="none" w:sz="0" w:space="0" w:color="auto"/>
            <w:bottom w:val="none" w:sz="0" w:space="0" w:color="auto"/>
            <w:right w:val="none" w:sz="0" w:space="0" w:color="auto"/>
          </w:divBdr>
        </w:div>
      </w:divsChild>
    </w:div>
    <w:div w:id="983973426">
      <w:marLeft w:val="0"/>
      <w:marRight w:val="0"/>
      <w:marTop w:val="200"/>
      <w:marBottom w:val="0"/>
      <w:divBdr>
        <w:top w:val="none" w:sz="0" w:space="0" w:color="auto"/>
        <w:left w:val="none" w:sz="0" w:space="0" w:color="auto"/>
        <w:bottom w:val="none" w:sz="0" w:space="0" w:color="auto"/>
        <w:right w:val="none" w:sz="0" w:space="0" w:color="auto"/>
      </w:divBdr>
    </w:div>
    <w:div w:id="984430345">
      <w:marLeft w:val="0"/>
      <w:marRight w:val="0"/>
      <w:marTop w:val="0"/>
      <w:marBottom w:val="0"/>
      <w:divBdr>
        <w:top w:val="none" w:sz="0" w:space="0" w:color="auto"/>
        <w:left w:val="none" w:sz="0" w:space="0" w:color="auto"/>
        <w:bottom w:val="none" w:sz="0" w:space="0" w:color="auto"/>
        <w:right w:val="none" w:sz="0" w:space="0" w:color="auto"/>
      </w:divBdr>
    </w:div>
    <w:div w:id="985623068">
      <w:marLeft w:val="0"/>
      <w:marRight w:val="0"/>
      <w:marTop w:val="0"/>
      <w:marBottom w:val="0"/>
      <w:divBdr>
        <w:top w:val="none" w:sz="0" w:space="0" w:color="auto"/>
        <w:left w:val="none" w:sz="0" w:space="0" w:color="auto"/>
        <w:bottom w:val="none" w:sz="0" w:space="0" w:color="auto"/>
        <w:right w:val="none" w:sz="0" w:space="0" w:color="auto"/>
      </w:divBdr>
      <w:divsChild>
        <w:div w:id="1337004113">
          <w:marLeft w:val="0"/>
          <w:marRight w:val="0"/>
          <w:marTop w:val="0"/>
          <w:marBottom w:val="0"/>
          <w:divBdr>
            <w:top w:val="none" w:sz="0" w:space="0" w:color="auto"/>
            <w:left w:val="none" w:sz="0" w:space="0" w:color="auto"/>
            <w:bottom w:val="none" w:sz="0" w:space="0" w:color="auto"/>
            <w:right w:val="none" w:sz="0" w:space="0" w:color="auto"/>
          </w:divBdr>
        </w:div>
        <w:div w:id="2009357267">
          <w:marLeft w:val="0"/>
          <w:marRight w:val="0"/>
          <w:marTop w:val="0"/>
          <w:marBottom w:val="0"/>
          <w:divBdr>
            <w:top w:val="none" w:sz="0" w:space="0" w:color="auto"/>
            <w:left w:val="none" w:sz="0" w:space="0" w:color="auto"/>
            <w:bottom w:val="none" w:sz="0" w:space="0" w:color="auto"/>
            <w:right w:val="none" w:sz="0" w:space="0" w:color="auto"/>
          </w:divBdr>
        </w:div>
        <w:div w:id="1261137450">
          <w:marLeft w:val="0"/>
          <w:marRight w:val="0"/>
          <w:marTop w:val="0"/>
          <w:marBottom w:val="0"/>
          <w:divBdr>
            <w:top w:val="none" w:sz="0" w:space="0" w:color="auto"/>
            <w:left w:val="none" w:sz="0" w:space="0" w:color="auto"/>
            <w:bottom w:val="none" w:sz="0" w:space="0" w:color="auto"/>
            <w:right w:val="none" w:sz="0" w:space="0" w:color="auto"/>
          </w:divBdr>
        </w:div>
        <w:div w:id="1521620818">
          <w:marLeft w:val="0"/>
          <w:marRight w:val="0"/>
          <w:marTop w:val="0"/>
          <w:marBottom w:val="0"/>
          <w:divBdr>
            <w:top w:val="none" w:sz="0" w:space="0" w:color="auto"/>
            <w:left w:val="none" w:sz="0" w:space="0" w:color="auto"/>
            <w:bottom w:val="none" w:sz="0" w:space="0" w:color="auto"/>
            <w:right w:val="none" w:sz="0" w:space="0" w:color="auto"/>
          </w:divBdr>
        </w:div>
      </w:divsChild>
    </w:div>
    <w:div w:id="986277666">
      <w:marLeft w:val="0"/>
      <w:marRight w:val="0"/>
      <w:marTop w:val="0"/>
      <w:marBottom w:val="0"/>
      <w:divBdr>
        <w:top w:val="none" w:sz="0" w:space="0" w:color="auto"/>
        <w:left w:val="none" w:sz="0" w:space="0" w:color="auto"/>
        <w:bottom w:val="none" w:sz="0" w:space="0" w:color="auto"/>
        <w:right w:val="none" w:sz="0" w:space="0" w:color="auto"/>
      </w:divBdr>
    </w:div>
    <w:div w:id="993141719">
      <w:marLeft w:val="0"/>
      <w:marRight w:val="0"/>
      <w:marTop w:val="0"/>
      <w:marBottom w:val="0"/>
      <w:divBdr>
        <w:top w:val="none" w:sz="0" w:space="0" w:color="auto"/>
        <w:left w:val="none" w:sz="0" w:space="0" w:color="auto"/>
        <w:bottom w:val="none" w:sz="0" w:space="0" w:color="auto"/>
        <w:right w:val="none" w:sz="0" w:space="0" w:color="auto"/>
      </w:divBdr>
      <w:divsChild>
        <w:div w:id="2117599944">
          <w:marLeft w:val="0"/>
          <w:marRight w:val="0"/>
          <w:marTop w:val="0"/>
          <w:marBottom w:val="0"/>
          <w:divBdr>
            <w:top w:val="none" w:sz="0" w:space="0" w:color="auto"/>
            <w:left w:val="none" w:sz="0" w:space="0" w:color="auto"/>
            <w:bottom w:val="none" w:sz="0" w:space="0" w:color="auto"/>
            <w:right w:val="none" w:sz="0" w:space="0" w:color="auto"/>
          </w:divBdr>
        </w:div>
        <w:div w:id="1025862395">
          <w:marLeft w:val="0"/>
          <w:marRight w:val="0"/>
          <w:marTop w:val="0"/>
          <w:marBottom w:val="0"/>
          <w:divBdr>
            <w:top w:val="none" w:sz="0" w:space="0" w:color="auto"/>
            <w:left w:val="none" w:sz="0" w:space="0" w:color="auto"/>
            <w:bottom w:val="none" w:sz="0" w:space="0" w:color="auto"/>
            <w:right w:val="none" w:sz="0" w:space="0" w:color="auto"/>
          </w:divBdr>
        </w:div>
        <w:div w:id="1038968854">
          <w:marLeft w:val="0"/>
          <w:marRight w:val="0"/>
          <w:marTop w:val="0"/>
          <w:marBottom w:val="0"/>
          <w:divBdr>
            <w:top w:val="none" w:sz="0" w:space="0" w:color="auto"/>
            <w:left w:val="none" w:sz="0" w:space="0" w:color="auto"/>
            <w:bottom w:val="none" w:sz="0" w:space="0" w:color="auto"/>
            <w:right w:val="none" w:sz="0" w:space="0" w:color="auto"/>
          </w:divBdr>
        </w:div>
        <w:div w:id="779838022">
          <w:marLeft w:val="0"/>
          <w:marRight w:val="0"/>
          <w:marTop w:val="0"/>
          <w:marBottom w:val="0"/>
          <w:divBdr>
            <w:top w:val="none" w:sz="0" w:space="0" w:color="auto"/>
            <w:left w:val="none" w:sz="0" w:space="0" w:color="auto"/>
            <w:bottom w:val="none" w:sz="0" w:space="0" w:color="auto"/>
            <w:right w:val="none" w:sz="0" w:space="0" w:color="auto"/>
          </w:divBdr>
        </w:div>
      </w:divsChild>
    </w:div>
    <w:div w:id="1000158814">
      <w:marLeft w:val="0"/>
      <w:marRight w:val="0"/>
      <w:marTop w:val="225"/>
      <w:marBottom w:val="0"/>
      <w:divBdr>
        <w:top w:val="none" w:sz="0" w:space="0" w:color="auto"/>
        <w:left w:val="none" w:sz="0" w:space="0" w:color="auto"/>
        <w:bottom w:val="none" w:sz="0" w:space="0" w:color="auto"/>
        <w:right w:val="none" w:sz="0" w:space="0" w:color="auto"/>
      </w:divBdr>
    </w:div>
    <w:div w:id="1002780451">
      <w:marLeft w:val="0"/>
      <w:marRight w:val="0"/>
      <w:marTop w:val="200"/>
      <w:marBottom w:val="0"/>
      <w:divBdr>
        <w:top w:val="none" w:sz="0" w:space="0" w:color="auto"/>
        <w:left w:val="none" w:sz="0" w:space="0" w:color="auto"/>
        <w:bottom w:val="none" w:sz="0" w:space="0" w:color="auto"/>
        <w:right w:val="none" w:sz="0" w:space="0" w:color="auto"/>
      </w:divBdr>
    </w:div>
    <w:div w:id="1002855528">
      <w:marLeft w:val="0"/>
      <w:marRight w:val="0"/>
      <w:marTop w:val="200"/>
      <w:marBottom w:val="0"/>
      <w:divBdr>
        <w:top w:val="none" w:sz="0" w:space="0" w:color="auto"/>
        <w:left w:val="none" w:sz="0" w:space="0" w:color="auto"/>
        <w:bottom w:val="none" w:sz="0" w:space="0" w:color="auto"/>
        <w:right w:val="none" w:sz="0" w:space="0" w:color="auto"/>
      </w:divBdr>
    </w:div>
    <w:div w:id="1005009404">
      <w:marLeft w:val="0"/>
      <w:marRight w:val="0"/>
      <w:marTop w:val="0"/>
      <w:marBottom w:val="0"/>
      <w:divBdr>
        <w:top w:val="none" w:sz="0" w:space="0" w:color="auto"/>
        <w:left w:val="none" w:sz="0" w:space="0" w:color="auto"/>
        <w:bottom w:val="none" w:sz="0" w:space="0" w:color="auto"/>
        <w:right w:val="none" w:sz="0" w:space="0" w:color="auto"/>
      </w:divBdr>
      <w:divsChild>
        <w:div w:id="135143224">
          <w:marLeft w:val="0"/>
          <w:marRight w:val="0"/>
          <w:marTop w:val="0"/>
          <w:marBottom w:val="0"/>
          <w:divBdr>
            <w:top w:val="none" w:sz="0" w:space="0" w:color="auto"/>
            <w:left w:val="none" w:sz="0" w:space="0" w:color="auto"/>
            <w:bottom w:val="none" w:sz="0" w:space="0" w:color="auto"/>
            <w:right w:val="none" w:sz="0" w:space="0" w:color="auto"/>
          </w:divBdr>
        </w:div>
      </w:divsChild>
    </w:div>
    <w:div w:id="1011449397">
      <w:marLeft w:val="0"/>
      <w:marRight w:val="0"/>
      <w:marTop w:val="0"/>
      <w:marBottom w:val="0"/>
      <w:divBdr>
        <w:top w:val="none" w:sz="0" w:space="0" w:color="auto"/>
        <w:left w:val="none" w:sz="0" w:space="0" w:color="auto"/>
        <w:bottom w:val="none" w:sz="0" w:space="0" w:color="auto"/>
        <w:right w:val="none" w:sz="0" w:space="0" w:color="auto"/>
      </w:divBdr>
      <w:divsChild>
        <w:div w:id="834029531">
          <w:marLeft w:val="0"/>
          <w:marRight w:val="0"/>
          <w:marTop w:val="0"/>
          <w:marBottom w:val="0"/>
          <w:divBdr>
            <w:top w:val="none" w:sz="0" w:space="0" w:color="auto"/>
            <w:left w:val="none" w:sz="0" w:space="0" w:color="auto"/>
            <w:bottom w:val="none" w:sz="0" w:space="0" w:color="auto"/>
            <w:right w:val="none" w:sz="0" w:space="0" w:color="auto"/>
          </w:divBdr>
        </w:div>
      </w:divsChild>
    </w:div>
    <w:div w:id="1012295572">
      <w:marLeft w:val="0"/>
      <w:marRight w:val="0"/>
      <w:marTop w:val="0"/>
      <w:marBottom w:val="0"/>
      <w:divBdr>
        <w:top w:val="none" w:sz="0" w:space="0" w:color="auto"/>
        <w:left w:val="none" w:sz="0" w:space="0" w:color="auto"/>
        <w:bottom w:val="none" w:sz="0" w:space="0" w:color="auto"/>
        <w:right w:val="none" w:sz="0" w:space="0" w:color="auto"/>
      </w:divBdr>
    </w:div>
    <w:div w:id="1012679332">
      <w:marLeft w:val="0"/>
      <w:marRight w:val="0"/>
      <w:marTop w:val="0"/>
      <w:marBottom w:val="0"/>
      <w:divBdr>
        <w:top w:val="none" w:sz="0" w:space="0" w:color="auto"/>
        <w:left w:val="none" w:sz="0" w:space="0" w:color="auto"/>
        <w:bottom w:val="none" w:sz="0" w:space="0" w:color="auto"/>
        <w:right w:val="none" w:sz="0" w:space="0" w:color="auto"/>
      </w:divBdr>
      <w:divsChild>
        <w:div w:id="1895654570">
          <w:marLeft w:val="0"/>
          <w:marRight w:val="0"/>
          <w:marTop w:val="0"/>
          <w:marBottom w:val="0"/>
          <w:divBdr>
            <w:top w:val="none" w:sz="0" w:space="0" w:color="auto"/>
            <w:left w:val="none" w:sz="0" w:space="0" w:color="auto"/>
            <w:bottom w:val="none" w:sz="0" w:space="0" w:color="auto"/>
            <w:right w:val="none" w:sz="0" w:space="0" w:color="auto"/>
          </w:divBdr>
        </w:div>
        <w:div w:id="1696736410">
          <w:marLeft w:val="0"/>
          <w:marRight w:val="0"/>
          <w:marTop w:val="0"/>
          <w:marBottom w:val="0"/>
          <w:divBdr>
            <w:top w:val="none" w:sz="0" w:space="0" w:color="auto"/>
            <w:left w:val="none" w:sz="0" w:space="0" w:color="auto"/>
            <w:bottom w:val="none" w:sz="0" w:space="0" w:color="auto"/>
            <w:right w:val="none" w:sz="0" w:space="0" w:color="auto"/>
          </w:divBdr>
        </w:div>
        <w:div w:id="1211503867">
          <w:marLeft w:val="0"/>
          <w:marRight w:val="0"/>
          <w:marTop w:val="0"/>
          <w:marBottom w:val="0"/>
          <w:divBdr>
            <w:top w:val="none" w:sz="0" w:space="0" w:color="auto"/>
            <w:left w:val="none" w:sz="0" w:space="0" w:color="auto"/>
            <w:bottom w:val="none" w:sz="0" w:space="0" w:color="auto"/>
            <w:right w:val="none" w:sz="0" w:space="0" w:color="auto"/>
          </w:divBdr>
        </w:div>
        <w:div w:id="1946300471">
          <w:marLeft w:val="0"/>
          <w:marRight w:val="0"/>
          <w:marTop w:val="0"/>
          <w:marBottom w:val="0"/>
          <w:divBdr>
            <w:top w:val="none" w:sz="0" w:space="0" w:color="auto"/>
            <w:left w:val="none" w:sz="0" w:space="0" w:color="auto"/>
            <w:bottom w:val="none" w:sz="0" w:space="0" w:color="auto"/>
            <w:right w:val="none" w:sz="0" w:space="0" w:color="auto"/>
          </w:divBdr>
        </w:div>
      </w:divsChild>
    </w:div>
    <w:div w:id="1019085070">
      <w:marLeft w:val="0"/>
      <w:marRight w:val="0"/>
      <w:marTop w:val="0"/>
      <w:marBottom w:val="0"/>
      <w:divBdr>
        <w:top w:val="none" w:sz="0" w:space="0" w:color="auto"/>
        <w:left w:val="none" w:sz="0" w:space="0" w:color="auto"/>
        <w:bottom w:val="none" w:sz="0" w:space="0" w:color="auto"/>
        <w:right w:val="none" w:sz="0" w:space="0" w:color="auto"/>
      </w:divBdr>
      <w:divsChild>
        <w:div w:id="404111603">
          <w:marLeft w:val="0"/>
          <w:marRight w:val="0"/>
          <w:marTop w:val="0"/>
          <w:marBottom w:val="0"/>
          <w:divBdr>
            <w:top w:val="none" w:sz="0" w:space="0" w:color="auto"/>
            <w:left w:val="none" w:sz="0" w:space="0" w:color="auto"/>
            <w:bottom w:val="none" w:sz="0" w:space="0" w:color="auto"/>
            <w:right w:val="none" w:sz="0" w:space="0" w:color="auto"/>
          </w:divBdr>
        </w:div>
      </w:divsChild>
    </w:div>
    <w:div w:id="1022362194">
      <w:marLeft w:val="0"/>
      <w:marRight w:val="0"/>
      <w:marTop w:val="0"/>
      <w:marBottom w:val="0"/>
      <w:divBdr>
        <w:top w:val="none" w:sz="0" w:space="0" w:color="auto"/>
        <w:left w:val="none" w:sz="0" w:space="0" w:color="auto"/>
        <w:bottom w:val="none" w:sz="0" w:space="0" w:color="auto"/>
        <w:right w:val="none" w:sz="0" w:space="0" w:color="auto"/>
      </w:divBdr>
      <w:divsChild>
        <w:div w:id="1210189402">
          <w:marLeft w:val="0"/>
          <w:marRight w:val="0"/>
          <w:marTop w:val="0"/>
          <w:marBottom w:val="0"/>
          <w:divBdr>
            <w:top w:val="none" w:sz="0" w:space="0" w:color="auto"/>
            <w:left w:val="none" w:sz="0" w:space="0" w:color="auto"/>
            <w:bottom w:val="none" w:sz="0" w:space="0" w:color="auto"/>
            <w:right w:val="none" w:sz="0" w:space="0" w:color="auto"/>
          </w:divBdr>
        </w:div>
      </w:divsChild>
    </w:div>
    <w:div w:id="1023366617">
      <w:marLeft w:val="0"/>
      <w:marRight w:val="0"/>
      <w:marTop w:val="0"/>
      <w:marBottom w:val="0"/>
      <w:divBdr>
        <w:top w:val="none" w:sz="0" w:space="0" w:color="auto"/>
        <w:left w:val="none" w:sz="0" w:space="0" w:color="auto"/>
        <w:bottom w:val="none" w:sz="0" w:space="0" w:color="auto"/>
        <w:right w:val="none" w:sz="0" w:space="0" w:color="auto"/>
      </w:divBdr>
    </w:div>
    <w:div w:id="1023550578">
      <w:marLeft w:val="0"/>
      <w:marRight w:val="0"/>
      <w:marTop w:val="200"/>
      <w:marBottom w:val="0"/>
      <w:divBdr>
        <w:top w:val="none" w:sz="0" w:space="0" w:color="auto"/>
        <w:left w:val="none" w:sz="0" w:space="0" w:color="auto"/>
        <w:bottom w:val="none" w:sz="0" w:space="0" w:color="auto"/>
        <w:right w:val="none" w:sz="0" w:space="0" w:color="auto"/>
      </w:divBdr>
      <w:divsChild>
        <w:div w:id="1017079158">
          <w:marLeft w:val="0"/>
          <w:marRight w:val="0"/>
          <w:marTop w:val="0"/>
          <w:marBottom w:val="0"/>
          <w:divBdr>
            <w:top w:val="none" w:sz="0" w:space="0" w:color="auto"/>
            <w:left w:val="none" w:sz="0" w:space="0" w:color="auto"/>
            <w:bottom w:val="none" w:sz="0" w:space="0" w:color="auto"/>
            <w:right w:val="none" w:sz="0" w:space="0" w:color="auto"/>
          </w:divBdr>
        </w:div>
        <w:div w:id="1998731364">
          <w:marLeft w:val="0"/>
          <w:marRight w:val="0"/>
          <w:marTop w:val="0"/>
          <w:marBottom w:val="0"/>
          <w:divBdr>
            <w:top w:val="none" w:sz="0" w:space="0" w:color="auto"/>
            <w:left w:val="none" w:sz="0" w:space="0" w:color="auto"/>
            <w:bottom w:val="none" w:sz="0" w:space="0" w:color="auto"/>
            <w:right w:val="none" w:sz="0" w:space="0" w:color="auto"/>
          </w:divBdr>
        </w:div>
        <w:div w:id="1964118748">
          <w:marLeft w:val="0"/>
          <w:marRight w:val="0"/>
          <w:marTop w:val="0"/>
          <w:marBottom w:val="0"/>
          <w:divBdr>
            <w:top w:val="none" w:sz="0" w:space="0" w:color="auto"/>
            <w:left w:val="none" w:sz="0" w:space="0" w:color="auto"/>
            <w:bottom w:val="none" w:sz="0" w:space="0" w:color="auto"/>
            <w:right w:val="none" w:sz="0" w:space="0" w:color="auto"/>
          </w:divBdr>
        </w:div>
        <w:div w:id="335615385">
          <w:marLeft w:val="0"/>
          <w:marRight w:val="0"/>
          <w:marTop w:val="0"/>
          <w:marBottom w:val="0"/>
          <w:divBdr>
            <w:top w:val="none" w:sz="0" w:space="0" w:color="auto"/>
            <w:left w:val="none" w:sz="0" w:space="0" w:color="auto"/>
            <w:bottom w:val="none" w:sz="0" w:space="0" w:color="auto"/>
            <w:right w:val="none" w:sz="0" w:space="0" w:color="auto"/>
          </w:divBdr>
        </w:div>
        <w:div w:id="228729482">
          <w:marLeft w:val="0"/>
          <w:marRight w:val="0"/>
          <w:marTop w:val="0"/>
          <w:marBottom w:val="0"/>
          <w:divBdr>
            <w:top w:val="none" w:sz="0" w:space="0" w:color="auto"/>
            <w:left w:val="none" w:sz="0" w:space="0" w:color="auto"/>
            <w:bottom w:val="none" w:sz="0" w:space="0" w:color="auto"/>
            <w:right w:val="none" w:sz="0" w:space="0" w:color="auto"/>
          </w:divBdr>
        </w:div>
        <w:div w:id="238685362">
          <w:marLeft w:val="0"/>
          <w:marRight w:val="0"/>
          <w:marTop w:val="0"/>
          <w:marBottom w:val="0"/>
          <w:divBdr>
            <w:top w:val="none" w:sz="0" w:space="0" w:color="auto"/>
            <w:left w:val="none" w:sz="0" w:space="0" w:color="auto"/>
            <w:bottom w:val="none" w:sz="0" w:space="0" w:color="auto"/>
            <w:right w:val="none" w:sz="0" w:space="0" w:color="auto"/>
          </w:divBdr>
        </w:div>
        <w:div w:id="381901177">
          <w:marLeft w:val="0"/>
          <w:marRight w:val="0"/>
          <w:marTop w:val="0"/>
          <w:marBottom w:val="0"/>
          <w:divBdr>
            <w:top w:val="none" w:sz="0" w:space="0" w:color="auto"/>
            <w:left w:val="none" w:sz="0" w:space="0" w:color="auto"/>
            <w:bottom w:val="none" w:sz="0" w:space="0" w:color="auto"/>
            <w:right w:val="none" w:sz="0" w:space="0" w:color="auto"/>
          </w:divBdr>
        </w:div>
        <w:div w:id="573785054">
          <w:marLeft w:val="0"/>
          <w:marRight w:val="0"/>
          <w:marTop w:val="0"/>
          <w:marBottom w:val="0"/>
          <w:divBdr>
            <w:top w:val="none" w:sz="0" w:space="0" w:color="auto"/>
            <w:left w:val="none" w:sz="0" w:space="0" w:color="auto"/>
            <w:bottom w:val="none" w:sz="0" w:space="0" w:color="auto"/>
            <w:right w:val="none" w:sz="0" w:space="0" w:color="auto"/>
          </w:divBdr>
        </w:div>
      </w:divsChild>
    </w:div>
    <w:div w:id="1027371585">
      <w:marLeft w:val="0"/>
      <w:marRight w:val="0"/>
      <w:marTop w:val="100"/>
      <w:marBottom w:val="0"/>
      <w:divBdr>
        <w:top w:val="none" w:sz="0" w:space="0" w:color="auto"/>
        <w:left w:val="none" w:sz="0" w:space="0" w:color="auto"/>
        <w:bottom w:val="none" w:sz="0" w:space="0" w:color="auto"/>
        <w:right w:val="none" w:sz="0" w:space="0" w:color="auto"/>
      </w:divBdr>
    </w:div>
    <w:div w:id="1027373063">
      <w:marLeft w:val="0"/>
      <w:marRight w:val="0"/>
      <w:marTop w:val="0"/>
      <w:marBottom w:val="0"/>
      <w:divBdr>
        <w:top w:val="none" w:sz="0" w:space="0" w:color="auto"/>
        <w:left w:val="none" w:sz="0" w:space="0" w:color="auto"/>
        <w:bottom w:val="none" w:sz="0" w:space="0" w:color="auto"/>
        <w:right w:val="none" w:sz="0" w:space="0" w:color="auto"/>
      </w:divBdr>
    </w:div>
    <w:div w:id="1027605512">
      <w:marLeft w:val="0"/>
      <w:marRight w:val="0"/>
      <w:marTop w:val="0"/>
      <w:marBottom w:val="0"/>
      <w:divBdr>
        <w:top w:val="none" w:sz="0" w:space="0" w:color="auto"/>
        <w:left w:val="none" w:sz="0" w:space="0" w:color="auto"/>
        <w:bottom w:val="none" w:sz="0" w:space="0" w:color="auto"/>
        <w:right w:val="none" w:sz="0" w:space="0" w:color="auto"/>
      </w:divBdr>
    </w:div>
    <w:div w:id="1029376540">
      <w:marLeft w:val="0"/>
      <w:marRight w:val="0"/>
      <w:marTop w:val="100"/>
      <w:marBottom w:val="0"/>
      <w:divBdr>
        <w:top w:val="none" w:sz="0" w:space="0" w:color="auto"/>
        <w:left w:val="none" w:sz="0" w:space="0" w:color="auto"/>
        <w:bottom w:val="none" w:sz="0" w:space="0" w:color="auto"/>
        <w:right w:val="none" w:sz="0" w:space="0" w:color="auto"/>
      </w:divBdr>
    </w:div>
    <w:div w:id="1043823211">
      <w:marLeft w:val="0"/>
      <w:marRight w:val="0"/>
      <w:marTop w:val="200"/>
      <w:marBottom w:val="0"/>
      <w:divBdr>
        <w:top w:val="none" w:sz="0" w:space="0" w:color="auto"/>
        <w:left w:val="none" w:sz="0" w:space="0" w:color="auto"/>
        <w:bottom w:val="none" w:sz="0" w:space="0" w:color="auto"/>
        <w:right w:val="none" w:sz="0" w:space="0" w:color="auto"/>
      </w:divBdr>
    </w:div>
    <w:div w:id="1043864243">
      <w:marLeft w:val="0"/>
      <w:marRight w:val="0"/>
      <w:marTop w:val="0"/>
      <w:marBottom w:val="0"/>
      <w:divBdr>
        <w:top w:val="none" w:sz="0" w:space="0" w:color="auto"/>
        <w:left w:val="none" w:sz="0" w:space="0" w:color="auto"/>
        <w:bottom w:val="none" w:sz="0" w:space="0" w:color="auto"/>
        <w:right w:val="none" w:sz="0" w:space="0" w:color="auto"/>
      </w:divBdr>
      <w:divsChild>
        <w:div w:id="371611419">
          <w:marLeft w:val="0"/>
          <w:marRight w:val="0"/>
          <w:marTop w:val="0"/>
          <w:marBottom w:val="0"/>
          <w:divBdr>
            <w:top w:val="none" w:sz="0" w:space="0" w:color="auto"/>
            <w:left w:val="none" w:sz="0" w:space="0" w:color="auto"/>
            <w:bottom w:val="none" w:sz="0" w:space="0" w:color="auto"/>
            <w:right w:val="none" w:sz="0" w:space="0" w:color="auto"/>
          </w:divBdr>
        </w:div>
      </w:divsChild>
    </w:div>
    <w:div w:id="1044409796">
      <w:marLeft w:val="0"/>
      <w:marRight w:val="0"/>
      <w:marTop w:val="100"/>
      <w:marBottom w:val="0"/>
      <w:divBdr>
        <w:top w:val="none" w:sz="0" w:space="0" w:color="auto"/>
        <w:left w:val="none" w:sz="0" w:space="0" w:color="auto"/>
        <w:bottom w:val="none" w:sz="0" w:space="0" w:color="auto"/>
        <w:right w:val="none" w:sz="0" w:space="0" w:color="auto"/>
      </w:divBdr>
    </w:div>
    <w:div w:id="1044984181">
      <w:marLeft w:val="0"/>
      <w:marRight w:val="0"/>
      <w:marTop w:val="0"/>
      <w:marBottom w:val="0"/>
      <w:divBdr>
        <w:top w:val="none" w:sz="0" w:space="0" w:color="auto"/>
        <w:left w:val="none" w:sz="0" w:space="0" w:color="auto"/>
        <w:bottom w:val="none" w:sz="0" w:space="0" w:color="auto"/>
        <w:right w:val="none" w:sz="0" w:space="0" w:color="auto"/>
      </w:divBdr>
    </w:div>
    <w:div w:id="1045713488">
      <w:marLeft w:val="0"/>
      <w:marRight w:val="0"/>
      <w:marTop w:val="0"/>
      <w:marBottom w:val="0"/>
      <w:divBdr>
        <w:top w:val="none" w:sz="0" w:space="0" w:color="auto"/>
        <w:left w:val="none" w:sz="0" w:space="0" w:color="auto"/>
        <w:bottom w:val="none" w:sz="0" w:space="0" w:color="auto"/>
        <w:right w:val="none" w:sz="0" w:space="0" w:color="auto"/>
      </w:divBdr>
    </w:div>
    <w:div w:id="1046219420">
      <w:marLeft w:val="0"/>
      <w:marRight w:val="0"/>
      <w:marTop w:val="0"/>
      <w:marBottom w:val="0"/>
      <w:divBdr>
        <w:top w:val="none" w:sz="0" w:space="0" w:color="auto"/>
        <w:left w:val="none" w:sz="0" w:space="0" w:color="auto"/>
        <w:bottom w:val="none" w:sz="0" w:space="0" w:color="auto"/>
        <w:right w:val="none" w:sz="0" w:space="0" w:color="auto"/>
      </w:divBdr>
    </w:div>
    <w:div w:id="1047294106">
      <w:marLeft w:val="0"/>
      <w:marRight w:val="0"/>
      <w:marTop w:val="0"/>
      <w:marBottom w:val="0"/>
      <w:divBdr>
        <w:top w:val="none" w:sz="0" w:space="0" w:color="auto"/>
        <w:left w:val="none" w:sz="0" w:space="0" w:color="auto"/>
        <w:bottom w:val="none" w:sz="0" w:space="0" w:color="auto"/>
        <w:right w:val="none" w:sz="0" w:space="0" w:color="auto"/>
      </w:divBdr>
    </w:div>
    <w:div w:id="1048069374">
      <w:marLeft w:val="0"/>
      <w:marRight w:val="0"/>
      <w:marTop w:val="0"/>
      <w:marBottom w:val="0"/>
      <w:divBdr>
        <w:top w:val="none" w:sz="0" w:space="0" w:color="auto"/>
        <w:left w:val="none" w:sz="0" w:space="0" w:color="auto"/>
        <w:bottom w:val="none" w:sz="0" w:space="0" w:color="auto"/>
        <w:right w:val="none" w:sz="0" w:space="0" w:color="auto"/>
      </w:divBdr>
    </w:div>
    <w:div w:id="1055740717">
      <w:marLeft w:val="0"/>
      <w:marRight w:val="0"/>
      <w:marTop w:val="0"/>
      <w:marBottom w:val="0"/>
      <w:divBdr>
        <w:top w:val="none" w:sz="0" w:space="0" w:color="auto"/>
        <w:left w:val="none" w:sz="0" w:space="0" w:color="auto"/>
        <w:bottom w:val="none" w:sz="0" w:space="0" w:color="auto"/>
        <w:right w:val="none" w:sz="0" w:space="0" w:color="auto"/>
      </w:divBdr>
    </w:div>
    <w:div w:id="1056969666">
      <w:marLeft w:val="0"/>
      <w:marRight w:val="0"/>
      <w:marTop w:val="0"/>
      <w:marBottom w:val="0"/>
      <w:divBdr>
        <w:top w:val="none" w:sz="0" w:space="0" w:color="auto"/>
        <w:left w:val="none" w:sz="0" w:space="0" w:color="auto"/>
        <w:bottom w:val="none" w:sz="0" w:space="0" w:color="auto"/>
        <w:right w:val="none" w:sz="0" w:space="0" w:color="auto"/>
      </w:divBdr>
    </w:div>
    <w:div w:id="1060833493">
      <w:marLeft w:val="0"/>
      <w:marRight w:val="0"/>
      <w:marTop w:val="0"/>
      <w:marBottom w:val="0"/>
      <w:divBdr>
        <w:top w:val="none" w:sz="0" w:space="0" w:color="auto"/>
        <w:left w:val="none" w:sz="0" w:space="0" w:color="auto"/>
        <w:bottom w:val="none" w:sz="0" w:space="0" w:color="auto"/>
        <w:right w:val="none" w:sz="0" w:space="0" w:color="auto"/>
      </w:divBdr>
      <w:divsChild>
        <w:div w:id="1543446065">
          <w:marLeft w:val="0"/>
          <w:marRight w:val="0"/>
          <w:marTop w:val="0"/>
          <w:marBottom w:val="0"/>
          <w:divBdr>
            <w:top w:val="none" w:sz="0" w:space="0" w:color="auto"/>
            <w:left w:val="none" w:sz="0" w:space="0" w:color="auto"/>
            <w:bottom w:val="none" w:sz="0" w:space="0" w:color="auto"/>
            <w:right w:val="none" w:sz="0" w:space="0" w:color="auto"/>
          </w:divBdr>
        </w:div>
        <w:div w:id="1322269205">
          <w:marLeft w:val="0"/>
          <w:marRight w:val="0"/>
          <w:marTop w:val="0"/>
          <w:marBottom w:val="0"/>
          <w:divBdr>
            <w:top w:val="none" w:sz="0" w:space="0" w:color="auto"/>
            <w:left w:val="none" w:sz="0" w:space="0" w:color="auto"/>
            <w:bottom w:val="none" w:sz="0" w:space="0" w:color="auto"/>
            <w:right w:val="none" w:sz="0" w:space="0" w:color="auto"/>
          </w:divBdr>
        </w:div>
        <w:div w:id="1528643325">
          <w:marLeft w:val="0"/>
          <w:marRight w:val="0"/>
          <w:marTop w:val="0"/>
          <w:marBottom w:val="0"/>
          <w:divBdr>
            <w:top w:val="none" w:sz="0" w:space="0" w:color="auto"/>
            <w:left w:val="none" w:sz="0" w:space="0" w:color="auto"/>
            <w:bottom w:val="none" w:sz="0" w:space="0" w:color="auto"/>
            <w:right w:val="none" w:sz="0" w:space="0" w:color="auto"/>
          </w:divBdr>
        </w:div>
        <w:div w:id="406808668">
          <w:marLeft w:val="0"/>
          <w:marRight w:val="0"/>
          <w:marTop w:val="0"/>
          <w:marBottom w:val="0"/>
          <w:divBdr>
            <w:top w:val="none" w:sz="0" w:space="0" w:color="auto"/>
            <w:left w:val="none" w:sz="0" w:space="0" w:color="auto"/>
            <w:bottom w:val="none" w:sz="0" w:space="0" w:color="auto"/>
            <w:right w:val="none" w:sz="0" w:space="0" w:color="auto"/>
          </w:divBdr>
        </w:div>
      </w:divsChild>
    </w:div>
    <w:div w:id="1061370763">
      <w:marLeft w:val="0"/>
      <w:marRight w:val="0"/>
      <w:marTop w:val="0"/>
      <w:marBottom w:val="0"/>
      <w:divBdr>
        <w:top w:val="none" w:sz="0" w:space="0" w:color="auto"/>
        <w:left w:val="none" w:sz="0" w:space="0" w:color="auto"/>
        <w:bottom w:val="none" w:sz="0" w:space="0" w:color="auto"/>
        <w:right w:val="none" w:sz="0" w:space="0" w:color="auto"/>
      </w:divBdr>
    </w:div>
    <w:div w:id="1062682374">
      <w:marLeft w:val="0"/>
      <w:marRight w:val="0"/>
      <w:marTop w:val="200"/>
      <w:marBottom w:val="0"/>
      <w:divBdr>
        <w:top w:val="none" w:sz="0" w:space="0" w:color="auto"/>
        <w:left w:val="none" w:sz="0" w:space="0" w:color="auto"/>
        <w:bottom w:val="none" w:sz="0" w:space="0" w:color="auto"/>
        <w:right w:val="none" w:sz="0" w:space="0" w:color="auto"/>
      </w:divBdr>
    </w:div>
    <w:div w:id="1065758128">
      <w:marLeft w:val="0"/>
      <w:marRight w:val="0"/>
      <w:marTop w:val="100"/>
      <w:marBottom w:val="0"/>
      <w:divBdr>
        <w:top w:val="none" w:sz="0" w:space="0" w:color="auto"/>
        <w:left w:val="none" w:sz="0" w:space="0" w:color="auto"/>
        <w:bottom w:val="none" w:sz="0" w:space="0" w:color="auto"/>
        <w:right w:val="none" w:sz="0" w:space="0" w:color="auto"/>
      </w:divBdr>
    </w:div>
    <w:div w:id="1066490490">
      <w:marLeft w:val="0"/>
      <w:marRight w:val="0"/>
      <w:marTop w:val="0"/>
      <w:marBottom w:val="0"/>
      <w:divBdr>
        <w:top w:val="none" w:sz="0" w:space="0" w:color="auto"/>
        <w:left w:val="none" w:sz="0" w:space="0" w:color="auto"/>
        <w:bottom w:val="none" w:sz="0" w:space="0" w:color="auto"/>
        <w:right w:val="none" w:sz="0" w:space="0" w:color="auto"/>
      </w:divBdr>
    </w:div>
    <w:div w:id="1067456090">
      <w:marLeft w:val="0"/>
      <w:marRight w:val="0"/>
      <w:marTop w:val="0"/>
      <w:marBottom w:val="0"/>
      <w:divBdr>
        <w:top w:val="none" w:sz="0" w:space="0" w:color="auto"/>
        <w:left w:val="none" w:sz="0" w:space="0" w:color="auto"/>
        <w:bottom w:val="none" w:sz="0" w:space="0" w:color="auto"/>
        <w:right w:val="none" w:sz="0" w:space="0" w:color="auto"/>
      </w:divBdr>
      <w:divsChild>
        <w:div w:id="1083141441">
          <w:marLeft w:val="0"/>
          <w:marRight w:val="0"/>
          <w:marTop w:val="0"/>
          <w:marBottom w:val="0"/>
          <w:divBdr>
            <w:top w:val="none" w:sz="0" w:space="0" w:color="auto"/>
            <w:left w:val="none" w:sz="0" w:space="0" w:color="auto"/>
            <w:bottom w:val="none" w:sz="0" w:space="0" w:color="auto"/>
            <w:right w:val="none" w:sz="0" w:space="0" w:color="auto"/>
          </w:divBdr>
        </w:div>
        <w:div w:id="2043244222">
          <w:marLeft w:val="0"/>
          <w:marRight w:val="0"/>
          <w:marTop w:val="0"/>
          <w:marBottom w:val="0"/>
          <w:divBdr>
            <w:top w:val="none" w:sz="0" w:space="0" w:color="auto"/>
            <w:left w:val="none" w:sz="0" w:space="0" w:color="auto"/>
            <w:bottom w:val="none" w:sz="0" w:space="0" w:color="auto"/>
            <w:right w:val="none" w:sz="0" w:space="0" w:color="auto"/>
          </w:divBdr>
        </w:div>
        <w:div w:id="107428497">
          <w:marLeft w:val="0"/>
          <w:marRight w:val="0"/>
          <w:marTop w:val="0"/>
          <w:marBottom w:val="0"/>
          <w:divBdr>
            <w:top w:val="none" w:sz="0" w:space="0" w:color="auto"/>
            <w:left w:val="none" w:sz="0" w:space="0" w:color="auto"/>
            <w:bottom w:val="none" w:sz="0" w:space="0" w:color="auto"/>
            <w:right w:val="none" w:sz="0" w:space="0" w:color="auto"/>
          </w:divBdr>
        </w:div>
        <w:div w:id="2032602471">
          <w:marLeft w:val="0"/>
          <w:marRight w:val="0"/>
          <w:marTop w:val="0"/>
          <w:marBottom w:val="0"/>
          <w:divBdr>
            <w:top w:val="none" w:sz="0" w:space="0" w:color="auto"/>
            <w:left w:val="none" w:sz="0" w:space="0" w:color="auto"/>
            <w:bottom w:val="none" w:sz="0" w:space="0" w:color="auto"/>
            <w:right w:val="none" w:sz="0" w:space="0" w:color="auto"/>
          </w:divBdr>
        </w:div>
      </w:divsChild>
    </w:div>
    <w:div w:id="1067729446">
      <w:marLeft w:val="0"/>
      <w:marRight w:val="0"/>
      <w:marTop w:val="0"/>
      <w:marBottom w:val="0"/>
      <w:divBdr>
        <w:top w:val="none" w:sz="0" w:space="0" w:color="auto"/>
        <w:left w:val="none" w:sz="0" w:space="0" w:color="auto"/>
        <w:bottom w:val="none" w:sz="0" w:space="0" w:color="auto"/>
        <w:right w:val="none" w:sz="0" w:space="0" w:color="auto"/>
      </w:divBdr>
      <w:divsChild>
        <w:div w:id="1789395433">
          <w:marLeft w:val="0"/>
          <w:marRight w:val="0"/>
          <w:marTop w:val="0"/>
          <w:marBottom w:val="0"/>
          <w:divBdr>
            <w:top w:val="none" w:sz="0" w:space="0" w:color="auto"/>
            <w:left w:val="none" w:sz="0" w:space="0" w:color="auto"/>
            <w:bottom w:val="none" w:sz="0" w:space="0" w:color="auto"/>
            <w:right w:val="none" w:sz="0" w:space="0" w:color="auto"/>
          </w:divBdr>
        </w:div>
      </w:divsChild>
    </w:div>
    <w:div w:id="1071611345">
      <w:marLeft w:val="0"/>
      <w:marRight w:val="0"/>
      <w:marTop w:val="0"/>
      <w:marBottom w:val="0"/>
      <w:divBdr>
        <w:top w:val="none" w:sz="0" w:space="0" w:color="auto"/>
        <w:left w:val="none" w:sz="0" w:space="0" w:color="auto"/>
        <w:bottom w:val="none" w:sz="0" w:space="0" w:color="auto"/>
        <w:right w:val="none" w:sz="0" w:space="0" w:color="auto"/>
      </w:divBdr>
    </w:div>
    <w:div w:id="1072049849">
      <w:marLeft w:val="0"/>
      <w:marRight w:val="0"/>
      <w:marTop w:val="0"/>
      <w:marBottom w:val="200"/>
      <w:divBdr>
        <w:top w:val="none" w:sz="0" w:space="0" w:color="auto"/>
        <w:left w:val="none" w:sz="0" w:space="0" w:color="auto"/>
        <w:bottom w:val="none" w:sz="0" w:space="0" w:color="auto"/>
        <w:right w:val="none" w:sz="0" w:space="0" w:color="auto"/>
      </w:divBdr>
    </w:div>
    <w:div w:id="1082071668">
      <w:marLeft w:val="0"/>
      <w:marRight w:val="0"/>
      <w:marTop w:val="0"/>
      <w:marBottom w:val="0"/>
      <w:divBdr>
        <w:top w:val="none" w:sz="0" w:space="0" w:color="auto"/>
        <w:left w:val="none" w:sz="0" w:space="0" w:color="auto"/>
        <w:bottom w:val="none" w:sz="0" w:space="0" w:color="auto"/>
        <w:right w:val="none" w:sz="0" w:space="0" w:color="auto"/>
      </w:divBdr>
    </w:div>
    <w:div w:id="1084957595">
      <w:marLeft w:val="0"/>
      <w:marRight w:val="0"/>
      <w:marTop w:val="0"/>
      <w:marBottom w:val="160"/>
      <w:divBdr>
        <w:top w:val="none" w:sz="0" w:space="0" w:color="auto"/>
        <w:left w:val="none" w:sz="0" w:space="0" w:color="auto"/>
        <w:bottom w:val="none" w:sz="0" w:space="0" w:color="auto"/>
        <w:right w:val="none" w:sz="0" w:space="0" w:color="auto"/>
      </w:divBdr>
    </w:div>
    <w:div w:id="1088236048">
      <w:marLeft w:val="0"/>
      <w:marRight w:val="0"/>
      <w:marTop w:val="0"/>
      <w:marBottom w:val="0"/>
      <w:divBdr>
        <w:top w:val="none" w:sz="0" w:space="0" w:color="auto"/>
        <w:left w:val="none" w:sz="0" w:space="0" w:color="auto"/>
        <w:bottom w:val="none" w:sz="0" w:space="0" w:color="auto"/>
        <w:right w:val="none" w:sz="0" w:space="0" w:color="auto"/>
      </w:divBdr>
    </w:div>
    <w:div w:id="1090736512">
      <w:marLeft w:val="0"/>
      <w:marRight w:val="0"/>
      <w:marTop w:val="200"/>
      <w:marBottom w:val="0"/>
      <w:divBdr>
        <w:top w:val="none" w:sz="0" w:space="0" w:color="auto"/>
        <w:left w:val="none" w:sz="0" w:space="0" w:color="auto"/>
        <w:bottom w:val="none" w:sz="0" w:space="0" w:color="auto"/>
        <w:right w:val="none" w:sz="0" w:space="0" w:color="auto"/>
      </w:divBdr>
    </w:div>
    <w:div w:id="1092749469">
      <w:marLeft w:val="0"/>
      <w:marRight w:val="0"/>
      <w:marTop w:val="200"/>
      <w:marBottom w:val="0"/>
      <w:divBdr>
        <w:top w:val="none" w:sz="0" w:space="0" w:color="auto"/>
        <w:left w:val="none" w:sz="0" w:space="0" w:color="auto"/>
        <w:bottom w:val="none" w:sz="0" w:space="0" w:color="auto"/>
        <w:right w:val="none" w:sz="0" w:space="0" w:color="auto"/>
      </w:divBdr>
    </w:div>
    <w:div w:id="1093667170">
      <w:marLeft w:val="0"/>
      <w:marRight w:val="0"/>
      <w:marTop w:val="0"/>
      <w:marBottom w:val="0"/>
      <w:divBdr>
        <w:top w:val="none" w:sz="0" w:space="0" w:color="auto"/>
        <w:left w:val="none" w:sz="0" w:space="0" w:color="auto"/>
        <w:bottom w:val="none" w:sz="0" w:space="0" w:color="auto"/>
        <w:right w:val="none" w:sz="0" w:space="0" w:color="auto"/>
      </w:divBdr>
      <w:divsChild>
        <w:div w:id="634068165">
          <w:marLeft w:val="0"/>
          <w:marRight w:val="0"/>
          <w:marTop w:val="0"/>
          <w:marBottom w:val="0"/>
          <w:divBdr>
            <w:top w:val="none" w:sz="0" w:space="0" w:color="auto"/>
            <w:left w:val="none" w:sz="0" w:space="0" w:color="auto"/>
            <w:bottom w:val="none" w:sz="0" w:space="0" w:color="auto"/>
            <w:right w:val="none" w:sz="0" w:space="0" w:color="auto"/>
          </w:divBdr>
        </w:div>
      </w:divsChild>
    </w:div>
    <w:div w:id="1094394837">
      <w:marLeft w:val="0"/>
      <w:marRight w:val="0"/>
      <w:marTop w:val="200"/>
      <w:marBottom w:val="0"/>
      <w:divBdr>
        <w:top w:val="none" w:sz="0" w:space="0" w:color="auto"/>
        <w:left w:val="none" w:sz="0" w:space="0" w:color="auto"/>
        <w:bottom w:val="none" w:sz="0" w:space="0" w:color="auto"/>
        <w:right w:val="none" w:sz="0" w:space="0" w:color="auto"/>
      </w:divBdr>
    </w:div>
    <w:div w:id="1094597599">
      <w:marLeft w:val="0"/>
      <w:marRight w:val="0"/>
      <w:marTop w:val="0"/>
      <w:marBottom w:val="0"/>
      <w:divBdr>
        <w:top w:val="none" w:sz="0" w:space="0" w:color="auto"/>
        <w:left w:val="none" w:sz="0" w:space="0" w:color="auto"/>
        <w:bottom w:val="none" w:sz="0" w:space="0" w:color="auto"/>
        <w:right w:val="none" w:sz="0" w:space="0" w:color="auto"/>
      </w:divBdr>
      <w:divsChild>
        <w:div w:id="1848518840">
          <w:marLeft w:val="0"/>
          <w:marRight w:val="0"/>
          <w:marTop w:val="0"/>
          <w:marBottom w:val="0"/>
          <w:divBdr>
            <w:top w:val="none" w:sz="0" w:space="0" w:color="auto"/>
            <w:left w:val="none" w:sz="0" w:space="0" w:color="auto"/>
            <w:bottom w:val="none" w:sz="0" w:space="0" w:color="auto"/>
            <w:right w:val="none" w:sz="0" w:space="0" w:color="auto"/>
          </w:divBdr>
        </w:div>
      </w:divsChild>
    </w:div>
    <w:div w:id="1100031241">
      <w:marLeft w:val="0"/>
      <w:marRight w:val="0"/>
      <w:marTop w:val="200"/>
      <w:marBottom w:val="0"/>
      <w:divBdr>
        <w:top w:val="none" w:sz="0" w:space="0" w:color="auto"/>
        <w:left w:val="none" w:sz="0" w:space="0" w:color="auto"/>
        <w:bottom w:val="none" w:sz="0" w:space="0" w:color="auto"/>
        <w:right w:val="none" w:sz="0" w:space="0" w:color="auto"/>
      </w:divBdr>
    </w:div>
    <w:div w:id="1100687933">
      <w:marLeft w:val="0"/>
      <w:marRight w:val="0"/>
      <w:marTop w:val="200"/>
      <w:marBottom w:val="0"/>
      <w:divBdr>
        <w:top w:val="none" w:sz="0" w:space="0" w:color="auto"/>
        <w:left w:val="none" w:sz="0" w:space="0" w:color="auto"/>
        <w:bottom w:val="none" w:sz="0" w:space="0" w:color="auto"/>
        <w:right w:val="none" w:sz="0" w:space="0" w:color="auto"/>
      </w:divBdr>
    </w:div>
    <w:div w:id="1104492541">
      <w:marLeft w:val="0"/>
      <w:marRight w:val="0"/>
      <w:marTop w:val="0"/>
      <w:marBottom w:val="0"/>
      <w:divBdr>
        <w:top w:val="none" w:sz="0" w:space="0" w:color="auto"/>
        <w:left w:val="none" w:sz="0" w:space="0" w:color="auto"/>
        <w:bottom w:val="none" w:sz="0" w:space="0" w:color="auto"/>
        <w:right w:val="none" w:sz="0" w:space="0" w:color="auto"/>
      </w:divBdr>
      <w:divsChild>
        <w:div w:id="294530503">
          <w:marLeft w:val="0"/>
          <w:marRight w:val="0"/>
          <w:marTop w:val="0"/>
          <w:marBottom w:val="0"/>
          <w:divBdr>
            <w:top w:val="none" w:sz="0" w:space="0" w:color="auto"/>
            <w:left w:val="none" w:sz="0" w:space="0" w:color="auto"/>
            <w:bottom w:val="none" w:sz="0" w:space="0" w:color="auto"/>
            <w:right w:val="none" w:sz="0" w:space="0" w:color="auto"/>
          </w:divBdr>
        </w:div>
      </w:divsChild>
    </w:div>
    <w:div w:id="1107192872">
      <w:marLeft w:val="0"/>
      <w:marRight w:val="0"/>
      <w:marTop w:val="0"/>
      <w:marBottom w:val="0"/>
      <w:divBdr>
        <w:top w:val="none" w:sz="0" w:space="0" w:color="auto"/>
        <w:left w:val="none" w:sz="0" w:space="0" w:color="auto"/>
        <w:bottom w:val="none" w:sz="0" w:space="0" w:color="auto"/>
        <w:right w:val="none" w:sz="0" w:space="0" w:color="auto"/>
      </w:divBdr>
      <w:divsChild>
        <w:div w:id="1627271250">
          <w:marLeft w:val="0"/>
          <w:marRight w:val="0"/>
          <w:marTop w:val="0"/>
          <w:marBottom w:val="0"/>
          <w:divBdr>
            <w:top w:val="none" w:sz="0" w:space="0" w:color="auto"/>
            <w:left w:val="none" w:sz="0" w:space="0" w:color="auto"/>
            <w:bottom w:val="none" w:sz="0" w:space="0" w:color="auto"/>
            <w:right w:val="none" w:sz="0" w:space="0" w:color="auto"/>
          </w:divBdr>
        </w:div>
      </w:divsChild>
    </w:div>
    <w:div w:id="1109621109">
      <w:marLeft w:val="0"/>
      <w:marRight w:val="0"/>
      <w:marTop w:val="0"/>
      <w:marBottom w:val="0"/>
      <w:divBdr>
        <w:top w:val="none" w:sz="0" w:space="0" w:color="auto"/>
        <w:left w:val="none" w:sz="0" w:space="0" w:color="auto"/>
        <w:bottom w:val="none" w:sz="0" w:space="0" w:color="auto"/>
        <w:right w:val="none" w:sz="0" w:space="0" w:color="auto"/>
      </w:divBdr>
      <w:divsChild>
        <w:div w:id="526912191">
          <w:marLeft w:val="0"/>
          <w:marRight w:val="0"/>
          <w:marTop w:val="0"/>
          <w:marBottom w:val="0"/>
          <w:divBdr>
            <w:top w:val="none" w:sz="0" w:space="0" w:color="auto"/>
            <w:left w:val="none" w:sz="0" w:space="0" w:color="auto"/>
            <w:bottom w:val="none" w:sz="0" w:space="0" w:color="auto"/>
            <w:right w:val="none" w:sz="0" w:space="0" w:color="auto"/>
          </w:divBdr>
        </w:div>
      </w:divsChild>
    </w:div>
    <w:div w:id="1111242662">
      <w:marLeft w:val="0"/>
      <w:marRight w:val="0"/>
      <w:marTop w:val="0"/>
      <w:marBottom w:val="0"/>
      <w:divBdr>
        <w:top w:val="none" w:sz="0" w:space="0" w:color="auto"/>
        <w:left w:val="none" w:sz="0" w:space="0" w:color="auto"/>
        <w:bottom w:val="none" w:sz="0" w:space="0" w:color="auto"/>
        <w:right w:val="none" w:sz="0" w:space="0" w:color="auto"/>
      </w:divBdr>
    </w:div>
    <w:div w:id="1115756697">
      <w:marLeft w:val="0"/>
      <w:marRight w:val="0"/>
      <w:marTop w:val="0"/>
      <w:marBottom w:val="0"/>
      <w:divBdr>
        <w:top w:val="none" w:sz="0" w:space="0" w:color="auto"/>
        <w:left w:val="none" w:sz="0" w:space="0" w:color="auto"/>
        <w:bottom w:val="none" w:sz="0" w:space="0" w:color="auto"/>
        <w:right w:val="none" w:sz="0" w:space="0" w:color="auto"/>
      </w:divBdr>
      <w:divsChild>
        <w:div w:id="1673724846">
          <w:marLeft w:val="0"/>
          <w:marRight w:val="0"/>
          <w:marTop w:val="0"/>
          <w:marBottom w:val="0"/>
          <w:divBdr>
            <w:top w:val="none" w:sz="0" w:space="0" w:color="auto"/>
            <w:left w:val="none" w:sz="0" w:space="0" w:color="auto"/>
            <w:bottom w:val="none" w:sz="0" w:space="0" w:color="auto"/>
            <w:right w:val="none" w:sz="0" w:space="0" w:color="auto"/>
          </w:divBdr>
        </w:div>
      </w:divsChild>
    </w:div>
    <w:div w:id="1115902482">
      <w:marLeft w:val="0"/>
      <w:marRight w:val="0"/>
      <w:marTop w:val="0"/>
      <w:marBottom w:val="0"/>
      <w:divBdr>
        <w:top w:val="none" w:sz="0" w:space="0" w:color="auto"/>
        <w:left w:val="none" w:sz="0" w:space="0" w:color="auto"/>
        <w:bottom w:val="none" w:sz="0" w:space="0" w:color="auto"/>
        <w:right w:val="none" w:sz="0" w:space="0" w:color="auto"/>
      </w:divBdr>
    </w:div>
    <w:div w:id="1119034288">
      <w:marLeft w:val="0"/>
      <w:marRight w:val="0"/>
      <w:marTop w:val="200"/>
      <w:marBottom w:val="0"/>
      <w:divBdr>
        <w:top w:val="none" w:sz="0" w:space="0" w:color="auto"/>
        <w:left w:val="none" w:sz="0" w:space="0" w:color="auto"/>
        <w:bottom w:val="none" w:sz="0" w:space="0" w:color="auto"/>
        <w:right w:val="none" w:sz="0" w:space="0" w:color="auto"/>
      </w:divBdr>
    </w:div>
    <w:div w:id="1119421714">
      <w:marLeft w:val="0"/>
      <w:marRight w:val="0"/>
      <w:marTop w:val="0"/>
      <w:marBottom w:val="0"/>
      <w:divBdr>
        <w:top w:val="none" w:sz="0" w:space="0" w:color="auto"/>
        <w:left w:val="none" w:sz="0" w:space="0" w:color="auto"/>
        <w:bottom w:val="none" w:sz="0" w:space="0" w:color="auto"/>
        <w:right w:val="none" w:sz="0" w:space="0" w:color="auto"/>
      </w:divBdr>
    </w:div>
    <w:div w:id="1120996578">
      <w:marLeft w:val="0"/>
      <w:marRight w:val="0"/>
      <w:marTop w:val="0"/>
      <w:marBottom w:val="0"/>
      <w:divBdr>
        <w:top w:val="none" w:sz="0" w:space="0" w:color="auto"/>
        <w:left w:val="none" w:sz="0" w:space="0" w:color="auto"/>
        <w:bottom w:val="none" w:sz="0" w:space="0" w:color="auto"/>
        <w:right w:val="none" w:sz="0" w:space="0" w:color="auto"/>
      </w:divBdr>
      <w:divsChild>
        <w:div w:id="1862864211">
          <w:marLeft w:val="0"/>
          <w:marRight w:val="0"/>
          <w:marTop w:val="0"/>
          <w:marBottom w:val="0"/>
          <w:divBdr>
            <w:top w:val="none" w:sz="0" w:space="0" w:color="auto"/>
            <w:left w:val="none" w:sz="0" w:space="0" w:color="auto"/>
            <w:bottom w:val="none" w:sz="0" w:space="0" w:color="auto"/>
            <w:right w:val="none" w:sz="0" w:space="0" w:color="auto"/>
          </w:divBdr>
        </w:div>
      </w:divsChild>
    </w:div>
    <w:div w:id="1121799569">
      <w:marLeft w:val="0"/>
      <w:marRight w:val="0"/>
      <w:marTop w:val="0"/>
      <w:marBottom w:val="0"/>
      <w:divBdr>
        <w:top w:val="none" w:sz="0" w:space="0" w:color="auto"/>
        <w:left w:val="none" w:sz="0" w:space="0" w:color="auto"/>
        <w:bottom w:val="none" w:sz="0" w:space="0" w:color="auto"/>
        <w:right w:val="none" w:sz="0" w:space="0" w:color="auto"/>
      </w:divBdr>
    </w:div>
    <w:div w:id="1122387372">
      <w:marLeft w:val="0"/>
      <w:marRight w:val="0"/>
      <w:marTop w:val="60"/>
      <w:marBottom w:val="0"/>
      <w:divBdr>
        <w:top w:val="none" w:sz="0" w:space="0" w:color="auto"/>
        <w:left w:val="none" w:sz="0" w:space="0" w:color="auto"/>
        <w:bottom w:val="none" w:sz="0" w:space="0" w:color="auto"/>
        <w:right w:val="none" w:sz="0" w:space="0" w:color="auto"/>
      </w:divBdr>
    </w:div>
    <w:div w:id="1125613087">
      <w:marLeft w:val="0"/>
      <w:marRight w:val="0"/>
      <w:marTop w:val="0"/>
      <w:marBottom w:val="0"/>
      <w:divBdr>
        <w:top w:val="none" w:sz="0" w:space="0" w:color="auto"/>
        <w:left w:val="none" w:sz="0" w:space="0" w:color="auto"/>
        <w:bottom w:val="none" w:sz="0" w:space="0" w:color="auto"/>
        <w:right w:val="none" w:sz="0" w:space="0" w:color="auto"/>
      </w:divBdr>
      <w:divsChild>
        <w:div w:id="1885020177">
          <w:marLeft w:val="0"/>
          <w:marRight w:val="0"/>
          <w:marTop w:val="0"/>
          <w:marBottom w:val="0"/>
          <w:divBdr>
            <w:top w:val="none" w:sz="0" w:space="0" w:color="auto"/>
            <w:left w:val="none" w:sz="0" w:space="0" w:color="auto"/>
            <w:bottom w:val="none" w:sz="0" w:space="0" w:color="auto"/>
            <w:right w:val="none" w:sz="0" w:space="0" w:color="auto"/>
          </w:divBdr>
        </w:div>
      </w:divsChild>
    </w:div>
    <w:div w:id="1131021294">
      <w:marLeft w:val="0"/>
      <w:marRight w:val="0"/>
      <w:marTop w:val="200"/>
      <w:marBottom w:val="0"/>
      <w:divBdr>
        <w:top w:val="none" w:sz="0" w:space="0" w:color="auto"/>
        <w:left w:val="none" w:sz="0" w:space="0" w:color="auto"/>
        <w:bottom w:val="none" w:sz="0" w:space="0" w:color="auto"/>
        <w:right w:val="none" w:sz="0" w:space="0" w:color="auto"/>
      </w:divBdr>
    </w:div>
    <w:div w:id="1131288268">
      <w:marLeft w:val="0"/>
      <w:marRight w:val="0"/>
      <w:marTop w:val="0"/>
      <w:marBottom w:val="0"/>
      <w:divBdr>
        <w:top w:val="none" w:sz="0" w:space="0" w:color="auto"/>
        <w:left w:val="none" w:sz="0" w:space="0" w:color="auto"/>
        <w:bottom w:val="none" w:sz="0" w:space="0" w:color="auto"/>
        <w:right w:val="none" w:sz="0" w:space="0" w:color="auto"/>
      </w:divBdr>
    </w:div>
    <w:div w:id="1135875718">
      <w:marLeft w:val="0"/>
      <w:marRight w:val="0"/>
      <w:marTop w:val="0"/>
      <w:marBottom w:val="0"/>
      <w:divBdr>
        <w:top w:val="none" w:sz="0" w:space="0" w:color="auto"/>
        <w:left w:val="none" w:sz="0" w:space="0" w:color="auto"/>
        <w:bottom w:val="none" w:sz="0" w:space="0" w:color="auto"/>
        <w:right w:val="none" w:sz="0" w:space="0" w:color="auto"/>
      </w:divBdr>
      <w:divsChild>
        <w:div w:id="333847789">
          <w:marLeft w:val="0"/>
          <w:marRight w:val="0"/>
          <w:marTop w:val="0"/>
          <w:marBottom w:val="0"/>
          <w:divBdr>
            <w:top w:val="none" w:sz="0" w:space="0" w:color="auto"/>
            <w:left w:val="none" w:sz="0" w:space="0" w:color="auto"/>
            <w:bottom w:val="none" w:sz="0" w:space="0" w:color="auto"/>
            <w:right w:val="none" w:sz="0" w:space="0" w:color="auto"/>
          </w:divBdr>
        </w:div>
      </w:divsChild>
    </w:div>
    <w:div w:id="1136993330">
      <w:marLeft w:val="0"/>
      <w:marRight w:val="0"/>
      <w:marTop w:val="200"/>
      <w:marBottom w:val="0"/>
      <w:divBdr>
        <w:top w:val="none" w:sz="0" w:space="0" w:color="auto"/>
        <w:left w:val="none" w:sz="0" w:space="0" w:color="auto"/>
        <w:bottom w:val="none" w:sz="0" w:space="0" w:color="auto"/>
        <w:right w:val="none" w:sz="0" w:space="0" w:color="auto"/>
      </w:divBdr>
    </w:div>
    <w:div w:id="1138375759">
      <w:marLeft w:val="0"/>
      <w:marRight w:val="0"/>
      <w:marTop w:val="0"/>
      <w:marBottom w:val="0"/>
      <w:divBdr>
        <w:top w:val="none" w:sz="0" w:space="0" w:color="auto"/>
        <w:left w:val="none" w:sz="0" w:space="0" w:color="auto"/>
        <w:bottom w:val="none" w:sz="0" w:space="0" w:color="auto"/>
        <w:right w:val="none" w:sz="0" w:space="0" w:color="auto"/>
      </w:divBdr>
    </w:div>
    <w:div w:id="1147165647">
      <w:marLeft w:val="0"/>
      <w:marRight w:val="0"/>
      <w:marTop w:val="0"/>
      <w:marBottom w:val="0"/>
      <w:divBdr>
        <w:top w:val="none" w:sz="0" w:space="0" w:color="auto"/>
        <w:left w:val="none" w:sz="0" w:space="0" w:color="auto"/>
        <w:bottom w:val="none" w:sz="0" w:space="0" w:color="auto"/>
        <w:right w:val="none" w:sz="0" w:space="0" w:color="auto"/>
      </w:divBdr>
    </w:div>
    <w:div w:id="1147819488">
      <w:marLeft w:val="0"/>
      <w:marRight w:val="0"/>
      <w:marTop w:val="0"/>
      <w:marBottom w:val="0"/>
      <w:divBdr>
        <w:top w:val="none" w:sz="0" w:space="0" w:color="auto"/>
        <w:left w:val="none" w:sz="0" w:space="0" w:color="auto"/>
        <w:bottom w:val="none" w:sz="0" w:space="0" w:color="auto"/>
        <w:right w:val="none" w:sz="0" w:space="0" w:color="auto"/>
      </w:divBdr>
    </w:div>
    <w:div w:id="1148518559">
      <w:marLeft w:val="0"/>
      <w:marRight w:val="0"/>
      <w:marTop w:val="0"/>
      <w:marBottom w:val="0"/>
      <w:divBdr>
        <w:top w:val="none" w:sz="0" w:space="0" w:color="auto"/>
        <w:left w:val="none" w:sz="0" w:space="0" w:color="auto"/>
        <w:bottom w:val="none" w:sz="0" w:space="0" w:color="auto"/>
        <w:right w:val="none" w:sz="0" w:space="0" w:color="auto"/>
      </w:divBdr>
      <w:divsChild>
        <w:div w:id="1656252448">
          <w:marLeft w:val="0"/>
          <w:marRight w:val="0"/>
          <w:marTop w:val="0"/>
          <w:marBottom w:val="0"/>
          <w:divBdr>
            <w:top w:val="none" w:sz="0" w:space="0" w:color="auto"/>
            <w:left w:val="none" w:sz="0" w:space="0" w:color="auto"/>
            <w:bottom w:val="none" w:sz="0" w:space="0" w:color="auto"/>
            <w:right w:val="none" w:sz="0" w:space="0" w:color="auto"/>
          </w:divBdr>
        </w:div>
      </w:divsChild>
    </w:div>
    <w:div w:id="1153907296">
      <w:marLeft w:val="0"/>
      <w:marRight w:val="0"/>
      <w:marTop w:val="0"/>
      <w:marBottom w:val="0"/>
      <w:divBdr>
        <w:top w:val="none" w:sz="0" w:space="0" w:color="auto"/>
        <w:left w:val="none" w:sz="0" w:space="0" w:color="auto"/>
        <w:bottom w:val="none" w:sz="0" w:space="0" w:color="auto"/>
        <w:right w:val="none" w:sz="0" w:space="0" w:color="auto"/>
      </w:divBdr>
      <w:divsChild>
        <w:div w:id="503785176">
          <w:marLeft w:val="0"/>
          <w:marRight w:val="0"/>
          <w:marTop w:val="0"/>
          <w:marBottom w:val="0"/>
          <w:divBdr>
            <w:top w:val="none" w:sz="0" w:space="0" w:color="auto"/>
            <w:left w:val="none" w:sz="0" w:space="0" w:color="auto"/>
            <w:bottom w:val="none" w:sz="0" w:space="0" w:color="auto"/>
            <w:right w:val="none" w:sz="0" w:space="0" w:color="auto"/>
          </w:divBdr>
        </w:div>
      </w:divsChild>
    </w:div>
    <w:div w:id="1157266609">
      <w:marLeft w:val="0"/>
      <w:marRight w:val="0"/>
      <w:marTop w:val="0"/>
      <w:marBottom w:val="0"/>
      <w:divBdr>
        <w:top w:val="none" w:sz="0" w:space="0" w:color="auto"/>
        <w:left w:val="none" w:sz="0" w:space="0" w:color="auto"/>
        <w:bottom w:val="none" w:sz="0" w:space="0" w:color="auto"/>
        <w:right w:val="none" w:sz="0" w:space="0" w:color="auto"/>
      </w:divBdr>
      <w:divsChild>
        <w:div w:id="1241214048">
          <w:marLeft w:val="0"/>
          <w:marRight w:val="0"/>
          <w:marTop w:val="0"/>
          <w:marBottom w:val="0"/>
          <w:divBdr>
            <w:top w:val="none" w:sz="0" w:space="0" w:color="auto"/>
            <w:left w:val="none" w:sz="0" w:space="0" w:color="auto"/>
            <w:bottom w:val="none" w:sz="0" w:space="0" w:color="auto"/>
            <w:right w:val="none" w:sz="0" w:space="0" w:color="auto"/>
          </w:divBdr>
        </w:div>
      </w:divsChild>
    </w:div>
    <w:div w:id="1157453494">
      <w:marLeft w:val="0"/>
      <w:marRight w:val="0"/>
      <w:marTop w:val="200"/>
      <w:marBottom w:val="0"/>
      <w:divBdr>
        <w:top w:val="none" w:sz="0" w:space="0" w:color="auto"/>
        <w:left w:val="none" w:sz="0" w:space="0" w:color="auto"/>
        <w:bottom w:val="none" w:sz="0" w:space="0" w:color="auto"/>
        <w:right w:val="none" w:sz="0" w:space="0" w:color="auto"/>
      </w:divBdr>
    </w:div>
    <w:div w:id="1160849918">
      <w:marLeft w:val="0"/>
      <w:marRight w:val="0"/>
      <w:marTop w:val="0"/>
      <w:marBottom w:val="0"/>
      <w:divBdr>
        <w:top w:val="none" w:sz="0" w:space="0" w:color="auto"/>
        <w:left w:val="none" w:sz="0" w:space="0" w:color="auto"/>
        <w:bottom w:val="none" w:sz="0" w:space="0" w:color="auto"/>
        <w:right w:val="none" w:sz="0" w:space="0" w:color="auto"/>
      </w:divBdr>
      <w:divsChild>
        <w:div w:id="9918325">
          <w:marLeft w:val="0"/>
          <w:marRight w:val="0"/>
          <w:marTop w:val="0"/>
          <w:marBottom w:val="0"/>
          <w:divBdr>
            <w:top w:val="none" w:sz="0" w:space="0" w:color="auto"/>
            <w:left w:val="none" w:sz="0" w:space="0" w:color="auto"/>
            <w:bottom w:val="none" w:sz="0" w:space="0" w:color="auto"/>
            <w:right w:val="none" w:sz="0" w:space="0" w:color="auto"/>
          </w:divBdr>
        </w:div>
      </w:divsChild>
    </w:div>
    <w:div w:id="1161314862">
      <w:marLeft w:val="0"/>
      <w:marRight w:val="0"/>
      <w:marTop w:val="0"/>
      <w:marBottom w:val="0"/>
      <w:divBdr>
        <w:top w:val="none" w:sz="0" w:space="0" w:color="auto"/>
        <w:left w:val="none" w:sz="0" w:space="0" w:color="auto"/>
        <w:bottom w:val="none" w:sz="0" w:space="0" w:color="auto"/>
        <w:right w:val="none" w:sz="0" w:space="0" w:color="auto"/>
      </w:divBdr>
    </w:div>
    <w:div w:id="1165169145">
      <w:marLeft w:val="0"/>
      <w:marRight w:val="0"/>
      <w:marTop w:val="200"/>
      <w:marBottom w:val="0"/>
      <w:divBdr>
        <w:top w:val="none" w:sz="0" w:space="0" w:color="auto"/>
        <w:left w:val="none" w:sz="0" w:space="0" w:color="auto"/>
        <w:bottom w:val="none" w:sz="0" w:space="0" w:color="auto"/>
        <w:right w:val="none" w:sz="0" w:space="0" w:color="auto"/>
      </w:divBdr>
    </w:div>
    <w:div w:id="1167135685">
      <w:marLeft w:val="0"/>
      <w:marRight w:val="0"/>
      <w:marTop w:val="0"/>
      <w:marBottom w:val="0"/>
      <w:divBdr>
        <w:top w:val="none" w:sz="0" w:space="0" w:color="auto"/>
        <w:left w:val="none" w:sz="0" w:space="0" w:color="auto"/>
        <w:bottom w:val="none" w:sz="0" w:space="0" w:color="auto"/>
        <w:right w:val="none" w:sz="0" w:space="0" w:color="auto"/>
      </w:divBdr>
    </w:div>
    <w:div w:id="1169174294">
      <w:marLeft w:val="0"/>
      <w:marRight w:val="0"/>
      <w:marTop w:val="0"/>
      <w:marBottom w:val="0"/>
      <w:divBdr>
        <w:top w:val="none" w:sz="0" w:space="0" w:color="auto"/>
        <w:left w:val="none" w:sz="0" w:space="0" w:color="auto"/>
        <w:bottom w:val="none" w:sz="0" w:space="0" w:color="auto"/>
        <w:right w:val="none" w:sz="0" w:space="0" w:color="auto"/>
      </w:divBdr>
      <w:divsChild>
        <w:div w:id="1429541748">
          <w:marLeft w:val="0"/>
          <w:marRight w:val="0"/>
          <w:marTop w:val="0"/>
          <w:marBottom w:val="0"/>
          <w:divBdr>
            <w:top w:val="none" w:sz="0" w:space="0" w:color="auto"/>
            <w:left w:val="none" w:sz="0" w:space="0" w:color="auto"/>
            <w:bottom w:val="none" w:sz="0" w:space="0" w:color="auto"/>
            <w:right w:val="none" w:sz="0" w:space="0" w:color="auto"/>
          </w:divBdr>
        </w:div>
      </w:divsChild>
    </w:div>
    <w:div w:id="1169758736">
      <w:marLeft w:val="0"/>
      <w:marRight w:val="0"/>
      <w:marTop w:val="200"/>
      <w:marBottom w:val="0"/>
      <w:divBdr>
        <w:top w:val="none" w:sz="0" w:space="0" w:color="auto"/>
        <w:left w:val="none" w:sz="0" w:space="0" w:color="auto"/>
        <w:bottom w:val="none" w:sz="0" w:space="0" w:color="auto"/>
        <w:right w:val="none" w:sz="0" w:space="0" w:color="auto"/>
      </w:divBdr>
    </w:div>
    <w:div w:id="1170019706">
      <w:marLeft w:val="0"/>
      <w:marRight w:val="0"/>
      <w:marTop w:val="0"/>
      <w:marBottom w:val="0"/>
      <w:divBdr>
        <w:top w:val="none" w:sz="0" w:space="0" w:color="auto"/>
        <w:left w:val="none" w:sz="0" w:space="0" w:color="auto"/>
        <w:bottom w:val="none" w:sz="0" w:space="0" w:color="auto"/>
        <w:right w:val="none" w:sz="0" w:space="0" w:color="auto"/>
      </w:divBdr>
      <w:divsChild>
        <w:div w:id="238902574">
          <w:marLeft w:val="0"/>
          <w:marRight w:val="0"/>
          <w:marTop w:val="0"/>
          <w:marBottom w:val="0"/>
          <w:divBdr>
            <w:top w:val="none" w:sz="0" w:space="0" w:color="auto"/>
            <w:left w:val="none" w:sz="0" w:space="0" w:color="auto"/>
            <w:bottom w:val="none" w:sz="0" w:space="0" w:color="auto"/>
            <w:right w:val="none" w:sz="0" w:space="0" w:color="auto"/>
          </w:divBdr>
        </w:div>
      </w:divsChild>
    </w:div>
    <w:div w:id="1170290476">
      <w:marLeft w:val="0"/>
      <w:marRight w:val="0"/>
      <w:marTop w:val="0"/>
      <w:marBottom w:val="0"/>
      <w:divBdr>
        <w:top w:val="none" w:sz="0" w:space="0" w:color="auto"/>
        <w:left w:val="none" w:sz="0" w:space="0" w:color="auto"/>
        <w:bottom w:val="none" w:sz="0" w:space="0" w:color="auto"/>
        <w:right w:val="none" w:sz="0" w:space="0" w:color="auto"/>
      </w:divBdr>
      <w:divsChild>
        <w:div w:id="1184249411">
          <w:marLeft w:val="0"/>
          <w:marRight w:val="0"/>
          <w:marTop w:val="0"/>
          <w:marBottom w:val="0"/>
          <w:divBdr>
            <w:top w:val="none" w:sz="0" w:space="0" w:color="auto"/>
            <w:left w:val="none" w:sz="0" w:space="0" w:color="auto"/>
            <w:bottom w:val="none" w:sz="0" w:space="0" w:color="auto"/>
            <w:right w:val="none" w:sz="0" w:space="0" w:color="auto"/>
          </w:divBdr>
        </w:div>
      </w:divsChild>
    </w:div>
    <w:div w:id="1173184364">
      <w:marLeft w:val="0"/>
      <w:marRight w:val="0"/>
      <w:marTop w:val="0"/>
      <w:marBottom w:val="0"/>
      <w:divBdr>
        <w:top w:val="none" w:sz="0" w:space="0" w:color="auto"/>
        <w:left w:val="none" w:sz="0" w:space="0" w:color="auto"/>
        <w:bottom w:val="none" w:sz="0" w:space="0" w:color="auto"/>
        <w:right w:val="none" w:sz="0" w:space="0" w:color="auto"/>
      </w:divBdr>
    </w:div>
    <w:div w:id="1173569325">
      <w:marLeft w:val="0"/>
      <w:marRight w:val="0"/>
      <w:marTop w:val="200"/>
      <w:marBottom w:val="0"/>
      <w:divBdr>
        <w:top w:val="none" w:sz="0" w:space="0" w:color="auto"/>
        <w:left w:val="none" w:sz="0" w:space="0" w:color="auto"/>
        <w:bottom w:val="none" w:sz="0" w:space="0" w:color="auto"/>
        <w:right w:val="none" w:sz="0" w:space="0" w:color="auto"/>
      </w:divBdr>
    </w:div>
    <w:div w:id="1174952636">
      <w:marLeft w:val="0"/>
      <w:marRight w:val="0"/>
      <w:marTop w:val="200"/>
      <w:marBottom w:val="0"/>
      <w:divBdr>
        <w:top w:val="none" w:sz="0" w:space="0" w:color="auto"/>
        <w:left w:val="none" w:sz="0" w:space="0" w:color="auto"/>
        <w:bottom w:val="none" w:sz="0" w:space="0" w:color="auto"/>
        <w:right w:val="none" w:sz="0" w:space="0" w:color="auto"/>
      </w:divBdr>
    </w:div>
    <w:div w:id="1179781606">
      <w:marLeft w:val="0"/>
      <w:marRight w:val="0"/>
      <w:marTop w:val="0"/>
      <w:marBottom w:val="0"/>
      <w:divBdr>
        <w:top w:val="none" w:sz="0" w:space="0" w:color="auto"/>
        <w:left w:val="none" w:sz="0" w:space="0" w:color="auto"/>
        <w:bottom w:val="none" w:sz="0" w:space="0" w:color="auto"/>
        <w:right w:val="none" w:sz="0" w:space="0" w:color="auto"/>
      </w:divBdr>
      <w:divsChild>
        <w:div w:id="1896815790">
          <w:marLeft w:val="0"/>
          <w:marRight w:val="0"/>
          <w:marTop w:val="0"/>
          <w:marBottom w:val="0"/>
          <w:divBdr>
            <w:top w:val="none" w:sz="0" w:space="0" w:color="auto"/>
            <w:left w:val="none" w:sz="0" w:space="0" w:color="auto"/>
            <w:bottom w:val="none" w:sz="0" w:space="0" w:color="auto"/>
            <w:right w:val="none" w:sz="0" w:space="0" w:color="auto"/>
          </w:divBdr>
        </w:div>
      </w:divsChild>
    </w:div>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 w:id="1189294960">
      <w:marLeft w:val="0"/>
      <w:marRight w:val="0"/>
      <w:marTop w:val="0"/>
      <w:marBottom w:val="0"/>
      <w:divBdr>
        <w:top w:val="none" w:sz="0" w:space="0" w:color="auto"/>
        <w:left w:val="none" w:sz="0" w:space="0" w:color="auto"/>
        <w:bottom w:val="none" w:sz="0" w:space="0" w:color="auto"/>
        <w:right w:val="none" w:sz="0" w:space="0" w:color="auto"/>
      </w:divBdr>
      <w:divsChild>
        <w:div w:id="898202785">
          <w:marLeft w:val="0"/>
          <w:marRight w:val="0"/>
          <w:marTop w:val="0"/>
          <w:marBottom w:val="0"/>
          <w:divBdr>
            <w:top w:val="none" w:sz="0" w:space="0" w:color="auto"/>
            <w:left w:val="none" w:sz="0" w:space="0" w:color="auto"/>
            <w:bottom w:val="none" w:sz="0" w:space="0" w:color="auto"/>
            <w:right w:val="none" w:sz="0" w:space="0" w:color="auto"/>
          </w:divBdr>
        </w:div>
        <w:div w:id="1511526458">
          <w:marLeft w:val="0"/>
          <w:marRight w:val="0"/>
          <w:marTop w:val="0"/>
          <w:marBottom w:val="0"/>
          <w:divBdr>
            <w:top w:val="none" w:sz="0" w:space="0" w:color="auto"/>
            <w:left w:val="none" w:sz="0" w:space="0" w:color="auto"/>
            <w:bottom w:val="none" w:sz="0" w:space="0" w:color="auto"/>
            <w:right w:val="none" w:sz="0" w:space="0" w:color="auto"/>
          </w:divBdr>
        </w:div>
        <w:div w:id="134104740">
          <w:marLeft w:val="0"/>
          <w:marRight w:val="0"/>
          <w:marTop w:val="0"/>
          <w:marBottom w:val="0"/>
          <w:divBdr>
            <w:top w:val="none" w:sz="0" w:space="0" w:color="auto"/>
            <w:left w:val="none" w:sz="0" w:space="0" w:color="auto"/>
            <w:bottom w:val="none" w:sz="0" w:space="0" w:color="auto"/>
            <w:right w:val="none" w:sz="0" w:space="0" w:color="auto"/>
          </w:divBdr>
        </w:div>
        <w:div w:id="678240981">
          <w:marLeft w:val="0"/>
          <w:marRight w:val="0"/>
          <w:marTop w:val="0"/>
          <w:marBottom w:val="0"/>
          <w:divBdr>
            <w:top w:val="none" w:sz="0" w:space="0" w:color="auto"/>
            <w:left w:val="none" w:sz="0" w:space="0" w:color="auto"/>
            <w:bottom w:val="none" w:sz="0" w:space="0" w:color="auto"/>
            <w:right w:val="none" w:sz="0" w:space="0" w:color="auto"/>
          </w:divBdr>
        </w:div>
      </w:divsChild>
    </w:div>
    <w:div w:id="1193884911">
      <w:marLeft w:val="0"/>
      <w:marRight w:val="0"/>
      <w:marTop w:val="200"/>
      <w:marBottom w:val="0"/>
      <w:divBdr>
        <w:top w:val="none" w:sz="0" w:space="0" w:color="auto"/>
        <w:left w:val="none" w:sz="0" w:space="0" w:color="auto"/>
        <w:bottom w:val="none" w:sz="0" w:space="0" w:color="auto"/>
        <w:right w:val="none" w:sz="0" w:space="0" w:color="auto"/>
      </w:divBdr>
    </w:div>
    <w:div w:id="1194688366">
      <w:marLeft w:val="0"/>
      <w:marRight w:val="0"/>
      <w:marTop w:val="0"/>
      <w:marBottom w:val="0"/>
      <w:divBdr>
        <w:top w:val="none" w:sz="0" w:space="0" w:color="auto"/>
        <w:left w:val="none" w:sz="0" w:space="0" w:color="auto"/>
        <w:bottom w:val="none" w:sz="0" w:space="0" w:color="auto"/>
        <w:right w:val="none" w:sz="0" w:space="0" w:color="auto"/>
      </w:divBdr>
    </w:div>
    <w:div w:id="1194883302">
      <w:marLeft w:val="0"/>
      <w:marRight w:val="0"/>
      <w:marTop w:val="200"/>
      <w:marBottom w:val="0"/>
      <w:divBdr>
        <w:top w:val="none" w:sz="0" w:space="0" w:color="auto"/>
        <w:left w:val="none" w:sz="0" w:space="0" w:color="auto"/>
        <w:bottom w:val="none" w:sz="0" w:space="0" w:color="auto"/>
        <w:right w:val="none" w:sz="0" w:space="0" w:color="auto"/>
      </w:divBdr>
    </w:div>
    <w:div w:id="1196306038">
      <w:marLeft w:val="0"/>
      <w:marRight w:val="0"/>
      <w:marTop w:val="0"/>
      <w:marBottom w:val="0"/>
      <w:divBdr>
        <w:top w:val="none" w:sz="0" w:space="0" w:color="auto"/>
        <w:left w:val="none" w:sz="0" w:space="0" w:color="auto"/>
        <w:bottom w:val="none" w:sz="0" w:space="0" w:color="auto"/>
        <w:right w:val="none" w:sz="0" w:space="0" w:color="auto"/>
      </w:divBdr>
      <w:divsChild>
        <w:div w:id="547381994">
          <w:marLeft w:val="0"/>
          <w:marRight w:val="0"/>
          <w:marTop w:val="0"/>
          <w:marBottom w:val="0"/>
          <w:divBdr>
            <w:top w:val="none" w:sz="0" w:space="0" w:color="auto"/>
            <w:left w:val="none" w:sz="0" w:space="0" w:color="auto"/>
            <w:bottom w:val="none" w:sz="0" w:space="0" w:color="auto"/>
            <w:right w:val="none" w:sz="0" w:space="0" w:color="auto"/>
          </w:divBdr>
        </w:div>
      </w:divsChild>
    </w:div>
    <w:div w:id="1198078743">
      <w:marLeft w:val="0"/>
      <w:marRight w:val="0"/>
      <w:marTop w:val="200"/>
      <w:marBottom w:val="0"/>
      <w:divBdr>
        <w:top w:val="none" w:sz="0" w:space="0" w:color="auto"/>
        <w:left w:val="none" w:sz="0" w:space="0" w:color="auto"/>
        <w:bottom w:val="none" w:sz="0" w:space="0" w:color="auto"/>
        <w:right w:val="none" w:sz="0" w:space="0" w:color="auto"/>
      </w:divBdr>
    </w:div>
    <w:div w:id="1198816593">
      <w:marLeft w:val="0"/>
      <w:marRight w:val="0"/>
      <w:marTop w:val="0"/>
      <w:marBottom w:val="0"/>
      <w:divBdr>
        <w:top w:val="none" w:sz="0" w:space="0" w:color="auto"/>
        <w:left w:val="none" w:sz="0" w:space="0" w:color="auto"/>
        <w:bottom w:val="none" w:sz="0" w:space="0" w:color="auto"/>
        <w:right w:val="none" w:sz="0" w:space="0" w:color="auto"/>
      </w:divBdr>
    </w:div>
    <w:div w:id="1199320502">
      <w:marLeft w:val="0"/>
      <w:marRight w:val="0"/>
      <w:marTop w:val="200"/>
      <w:marBottom w:val="0"/>
      <w:divBdr>
        <w:top w:val="none" w:sz="0" w:space="0" w:color="auto"/>
        <w:left w:val="none" w:sz="0" w:space="0" w:color="auto"/>
        <w:bottom w:val="none" w:sz="0" w:space="0" w:color="auto"/>
        <w:right w:val="none" w:sz="0" w:space="0" w:color="auto"/>
      </w:divBdr>
    </w:div>
    <w:div w:id="1199514392">
      <w:marLeft w:val="0"/>
      <w:marRight w:val="0"/>
      <w:marTop w:val="200"/>
      <w:marBottom w:val="0"/>
      <w:divBdr>
        <w:top w:val="none" w:sz="0" w:space="0" w:color="auto"/>
        <w:left w:val="none" w:sz="0" w:space="0" w:color="auto"/>
        <w:bottom w:val="none" w:sz="0" w:space="0" w:color="auto"/>
        <w:right w:val="none" w:sz="0" w:space="0" w:color="auto"/>
      </w:divBdr>
    </w:div>
    <w:div w:id="1201749533">
      <w:marLeft w:val="0"/>
      <w:marRight w:val="0"/>
      <w:marTop w:val="0"/>
      <w:marBottom w:val="0"/>
      <w:divBdr>
        <w:top w:val="none" w:sz="0" w:space="0" w:color="auto"/>
        <w:left w:val="none" w:sz="0" w:space="0" w:color="auto"/>
        <w:bottom w:val="none" w:sz="0" w:space="0" w:color="auto"/>
        <w:right w:val="none" w:sz="0" w:space="0" w:color="auto"/>
      </w:divBdr>
    </w:div>
    <w:div w:id="1204946582">
      <w:marLeft w:val="0"/>
      <w:marRight w:val="0"/>
      <w:marTop w:val="0"/>
      <w:marBottom w:val="0"/>
      <w:divBdr>
        <w:top w:val="none" w:sz="0" w:space="0" w:color="auto"/>
        <w:left w:val="none" w:sz="0" w:space="0" w:color="auto"/>
        <w:bottom w:val="none" w:sz="0" w:space="0" w:color="auto"/>
        <w:right w:val="none" w:sz="0" w:space="0" w:color="auto"/>
      </w:divBdr>
    </w:div>
    <w:div w:id="1205294559">
      <w:marLeft w:val="0"/>
      <w:marRight w:val="0"/>
      <w:marTop w:val="0"/>
      <w:marBottom w:val="0"/>
      <w:divBdr>
        <w:top w:val="none" w:sz="0" w:space="0" w:color="auto"/>
        <w:left w:val="none" w:sz="0" w:space="0" w:color="auto"/>
        <w:bottom w:val="none" w:sz="0" w:space="0" w:color="auto"/>
        <w:right w:val="none" w:sz="0" w:space="0" w:color="auto"/>
      </w:divBdr>
    </w:div>
    <w:div w:id="1205408282">
      <w:marLeft w:val="0"/>
      <w:marRight w:val="0"/>
      <w:marTop w:val="0"/>
      <w:marBottom w:val="0"/>
      <w:divBdr>
        <w:top w:val="none" w:sz="0" w:space="0" w:color="auto"/>
        <w:left w:val="none" w:sz="0" w:space="0" w:color="auto"/>
        <w:bottom w:val="none" w:sz="0" w:space="0" w:color="auto"/>
        <w:right w:val="none" w:sz="0" w:space="0" w:color="auto"/>
      </w:divBdr>
      <w:divsChild>
        <w:div w:id="198787011">
          <w:marLeft w:val="0"/>
          <w:marRight w:val="0"/>
          <w:marTop w:val="0"/>
          <w:marBottom w:val="0"/>
          <w:divBdr>
            <w:top w:val="none" w:sz="0" w:space="0" w:color="auto"/>
            <w:left w:val="none" w:sz="0" w:space="0" w:color="auto"/>
            <w:bottom w:val="none" w:sz="0" w:space="0" w:color="auto"/>
            <w:right w:val="none" w:sz="0" w:space="0" w:color="auto"/>
          </w:divBdr>
        </w:div>
      </w:divsChild>
    </w:div>
    <w:div w:id="1207764215">
      <w:marLeft w:val="0"/>
      <w:marRight w:val="0"/>
      <w:marTop w:val="0"/>
      <w:marBottom w:val="0"/>
      <w:divBdr>
        <w:top w:val="none" w:sz="0" w:space="0" w:color="auto"/>
        <w:left w:val="none" w:sz="0" w:space="0" w:color="auto"/>
        <w:bottom w:val="none" w:sz="0" w:space="0" w:color="auto"/>
        <w:right w:val="none" w:sz="0" w:space="0" w:color="auto"/>
      </w:divBdr>
    </w:div>
    <w:div w:id="1210339068">
      <w:marLeft w:val="0"/>
      <w:marRight w:val="0"/>
      <w:marTop w:val="0"/>
      <w:marBottom w:val="0"/>
      <w:divBdr>
        <w:top w:val="none" w:sz="0" w:space="0" w:color="auto"/>
        <w:left w:val="none" w:sz="0" w:space="0" w:color="auto"/>
        <w:bottom w:val="none" w:sz="0" w:space="0" w:color="auto"/>
        <w:right w:val="none" w:sz="0" w:space="0" w:color="auto"/>
      </w:divBdr>
      <w:divsChild>
        <w:div w:id="1618829984">
          <w:marLeft w:val="0"/>
          <w:marRight w:val="0"/>
          <w:marTop w:val="0"/>
          <w:marBottom w:val="0"/>
          <w:divBdr>
            <w:top w:val="none" w:sz="0" w:space="0" w:color="auto"/>
            <w:left w:val="none" w:sz="0" w:space="0" w:color="auto"/>
            <w:bottom w:val="none" w:sz="0" w:space="0" w:color="auto"/>
            <w:right w:val="none" w:sz="0" w:space="0" w:color="auto"/>
          </w:divBdr>
        </w:div>
        <w:div w:id="1052509283">
          <w:marLeft w:val="0"/>
          <w:marRight w:val="0"/>
          <w:marTop w:val="0"/>
          <w:marBottom w:val="0"/>
          <w:divBdr>
            <w:top w:val="none" w:sz="0" w:space="0" w:color="auto"/>
            <w:left w:val="none" w:sz="0" w:space="0" w:color="auto"/>
            <w:bottom w:val="none" w:sz="0" w:space="0" w:color="auto"/>
            <w:right w:val="none" w:sz="0" w:space="0" w:color="auto"/>
          </w:divBdr>
        </w:div>
      </w:divsChild>
    </w:div>
    <w:div w:id="1211840667">
      <w:marLeft w:val="0"/>
      <w:marRight w:val="0"/>
      <w:marTop w:val="0"/>
      <w:marBottom w:val="0"/>
      <w:divBdr>
        <w:top w:val="none" w:sz="0" w:space="0" w:color="auto"/>
        <w:left w:val="none" w:sz="0" w:space="0" w:color="auto"/>
        <w:bottom w:val="none" w:sz="0" w:space="0" w:color="auto"/>
        <w:right w:val="none" w:sz="0" w:space="0" w:color="auto"/>
      </w:divBdr>
      <w:divsChild>
        <w:div w:id="1779716804">
          <w:marLeft w:val="0"/>
          <w:marRight w:val="0"/>
          <w:marTop w:val="0"/>
          <w:marBottom w:val="0"/>
          <w:divBdr>
            <w:top w:val="none" w:sz="0" w:space="0" w:color="auto"/>
            <w:left w:val="none" w:sz="0" w:space="0" w:color="auto"/>
            <w:bottom w:val="none" w:sz="0" w:space="0" w:color="auto"/>
            <w:right w:val="none" w:sz="0" w:space="0" w:color="auto"/>
          </w:divBdr>
        </w:div>
      </w:divsChild>
    </w:div>
    <w:div w:id="1212883731">
      <w:marLeft w:val="0"/>
      <w:marRight w:val="0"/>
      <w:marTop w:val="280"/>
      <w:marBottom w:val="0"/>
      <w:divBdr>
        <w:top w:val="none" w:sz="0" w:space="0" w:color="auto"/>
        <w:left w:val="none" w:sz="0" w:space="0" w:color="auto"/>
        <w:bottom w:val="none" w:sz="0" w:space="0" w:color="auto"/>
        <w:right w:val="none" w:sz="0" w:space="0" w:color="auto"/>
      </w:divBdr>
    </w:div>
    <w:div w:id="1218084518">
      <w:marLeft w:val="0"/>
      <w:marRight w:val="0"/>
      <w:marTop w:val="0"/>
      <w:marBottom w:val="0"/>
      <w:divBdr>
        <w:top w:val="none" w:sz="0" w:space="0" w:color="auto"/>
        <w:left w:val="none" w:sz="0" w:space="0" w:color="auto"/>
        <w:bottom w:val="none" w:sz="0" w:space="0" w:color="auto"/>
        <w:right w:val="none" w:sz="0" w:space="0" w:color="auto"/>
      </w:divBdr>
    </w:div>
    <w:div w:id="1222516522">
      <w:marLeft w:val="0"/>
      <w:marRight w:val="0"/>
      <w:marTop w:val="0"/>
      <w:marBottom w:val="0"/>
      <w:divBdr>
        <w:top w:val="none" w:sz="0" w:space="0" w:color="auto"/>
        <w:left w:val="none" w:sz="0" w:space="0" w:color="auto"/>
        <w:bottom w:val="none" w:sz="0" w:space="0" w:color="auto"/>
        <w:right w:val="none" w:sz="0" w:space="0" w:color="auto"/>
      </w:divBdr>
      <w:divsChild>
        <w:div w:id="1577284131">
          <w:marLeft w:val="0"/>
          <w:marRight w:val="0"/>
          <w:marTop w:val="0"/>
          <w:marBottom w:val="0"/>
          <w:divBdr>
            <w:top w:val="none" w:sz="0" w:space="0" w:color="auto"/>
            <w:left w:val="none" w:sz="0" w:space="0" w:color="auto"/>
            <w:bottom w:val="none" w:sz="0" w:space="0" w:color="auto"/>
            <w:right w:val="none" w:sz="0" w:space="0" w:color="auto"/>
          </w:divBdr>
        </w:div>
      </w:divsChild>
    </w:div>
    <w:div w:id="1222592076">
      <w:marLeft w:val="0"/>
      <w:marRight w:val="0"/>
      <w:marTop w:val="0"/>
      <w:marBottom w:val="0"/>
      <w:divBdr>
        <w:top w:val="none" w:sz="0" w:space="0" w:color="auto"/>
        <w:left w:val="none" w:sz="0" w:space="0" w:color="auto"/>
        <w:bottom w:val="none" w:sz="0" w:space="0" w:color="auto"/>
        <w:right w:val="none" w:sz="0" w:space="0" w:color="auto"/>
      </w:divBdr>
      <w:divsChild>
        <w:div w:id="1033312514">
          <w:marLeft w:val="0"/>
          <w:marRight w:val="0"/>
          <w:marTop w:val="0"/>
          <w:marBottom w:val="0"/>
          <w:divBdr>
            <w:top w:val="none" w:sz="0" w:space="0" w:color="auto"/>
            <w:left w:val="none" w:sz="0" w:space="0" w:color="auto"/>
            <w:bottom w:val="none" w:sz="0" w:space="0" w:color="auto"/>
            <w:right w:val="none" w:sz="0" w:space="0" w:color="auto"/>
          </w:divBdr>
        </w:div>
        <w:div w:id="1629555090">
          <w:marLeft w:val="0"/>
          <w:marRight w:val="0"/>
          <w:marTop w:val="0"/>
          <w:marBottom w:val="0"/>
          <w:divBdr>
            <w:top w:val="none" w:sz="0" w:space="0" w:color="auto"/>
            <w:left w:val="none" w:sz="0" w:space="0" w:color="auto"/>
            <w:bottom w:val="none" w:sz="0" w:space="0" w:color="auto"/>
            <w:right w:val="none" w:sz="0" w:space="0" w:color="auto"/>
          </w:divBdr>
        </w:div>
        <w:div w:id="834222066">
          <w:marLeft w:val="0"/>
          <w:marRight w:val="0"/>
          <w:marTop w:val="0"/>
          <w:marBottom w:val="0"/>
          <w:divBdr>
            <w:top w:val="none" w:sz="0" w:space="0" w:color="auto"/>
            <w:left w:val="none" w:sz="0" w:space="0" w:color="auto"/>
            <w:bottom w:val="none" w:sz="0" w:space="0" w:color="auto"/>
            <w:right w:val="none" w:sz="0" w:space="0" w:color="auto"/>
          </w:divBdr>
        </w:div>
        <w:div w:id="1289048652">
          <w:marLeft w:val="0"/>
          <w:marRight w:val="0"/>
          <w:marTop w:val="0"/>
          <w:marBottom w:val="0"/>
          <w:divBdr>
            <w:top w:val="none" w:sz="0" w:space="0" w:color="auto"/>
            <w:left w:val="none" w:sz="0" w:space="0" w:color="auto"/>
            <w:bottom w:val="none" w:sz="0" w:space="0" w:color="auto"/>
            <w:right w:val="none" w:sz="0" w:space="0" w:color="auto"/>
          </w:divBdr>
        </w:div>
      </w:divsChild>
    </w:div>
    <w:div w:id="1231968199">
      <w:marLeft w:val="0"/>
      <w:marRight w:val="0"/>
      <w:marTop w:val="0"/>
      <w:marBottom w:val="0"/>
      <w:divBdr>
        <w:top w:val="none" w:sz="0" w:space="0" w:color="auto"/>
        <w:left w:val="none" w:sz="0" w:space="0" w:color="auto"/>
        <w:bottom w:val="none" w:sz="0" w:space="0" w:color="auto"/>
        <w:right w:val="none" w:sz="0" w:space="0" w:color="auto"/>
      </w:divBdr>
      <w:divsChild>
        <w:div w:id="556162115">
          <w:marLeft w:val="0"/>
          <w:marRight w:val="0"/>
          <w:marTop w:val="0"/>
          <w:marBottom w:val="0"/>
          <w:divBdr>
            <w:top w:val="none" w:sz="0" w:space="0" w:color="auto"/>
            <w:left w:val="none" w:sz="0" w:space="0" w:color="auto"/>
            <w:bottom w:val="none" w:sz="0" w:space="0" w:color="auto"/>
            <w:right w:val="none" w:sz="0" w:space="0" w:color="auto"/>
          </w:divBdr>
        </w:div>
        <w:div w:id="161899687">
          <w:marLeft w:val="0"/>
          <w:marRight w:val="0"/>
          <w:marTop w:val="0"/>
          <w:marBottom w:val="0"/>
          <w:divBdr>
            <w:top w:val="none" w:sz="0" w:space="0" w:color="auto"/>
            <w:left w:val="none" w:sz="0" w:space="0" w:color="auto"/>
            <w:bottom w:val="none" w:sz="0" w:space="0" w:color="auto"/>
            <w:right w:val="none" w:sz="0" w:space="0" w:color="auto"/>
          </w:divBdr>
        </w:div>
        <w:div w:id="1912231625">
          <w:marLeft w:val="0"/>
          <w:marRight w:val="0"/>
          <w:marTop w:val="0"/>
          <w:marBottom w:val="0"/>
          <w:divBdr>
            <w:top w:val="none" w:sz="0" w:space="0" w:color="auto"/>
            <w:left w:val="none" w:sz="0" w:space="0" w:color="auto"/>
            <w:bottom w:val="none" w:sz="0" w:space="0" w:color="auto"/>
            <w:right w:val="none" w:sz="0" w:space="0" w:color="auto"/>
          </w:divBdr>
        </w:div>
        <w:div w:id="92672860">
          <w:marLeft w:val="0"/>
          <w:marRight w:val="0"/>
          <w:marTop w:val="0"/>
          <w:marBottom w:val="0"/>
          <w:divBdr>
            <w:top w:val="none" w:sz="0" w:space="0" w:color="auto"/>
            <w:left w:val="none" w:sz="0" w:space="0" w:color="auto"/>
            <w:bottom w:val="none" w:sz="0" w:space="0" w:color="auto"/>
            <w:right w:val="none" w:sz="0" w:space="0" w:color="auto"/>
          </w:divBdr>
        </w:div>
      </w:divsChild>
    </w:div>
    <w:div w:id="1233082010">
      <w:marLeft w:val="0"/>
      <w:marRight w:val="0"/>
      <w:marTop w:val="200"/>
      <w:marBottom w:val="0"/>
      <w:divBdr>
        <w:top w:val="none" w:sz="0" w:space="0" w:color="auto"/>
        <w:left w:val="none" w:sz="0" w:space="0" w:color="auto"/>
        <w:bottom w:val="none" w:sz="0" w:space="0" w:color="auto"/>
        <w:right w:val="none" w:sz="0" w:space="0" w:color="auto"/>
      </w:divBdr>
    </w:div>
    <w:div w:id="1234581449">
      <w:marLeft w:val="0"/>
      <w:marRight w:val="0"/>
      <w:marTop w:val="100"/>
      <w:marBottom w:val="0"/>
      <w:divBdr>
        <w:top w:val="none" w:sz="0" w:space="0" w:color="auto"/>
        <w:left w:val="none" w:sz="0" w:space="0" w:color="auto"/>
        <w:bottom w:val="none" w:sz="0" w:space="0" w:color="auto"/>
        <w:right w:val="none" w:sz="0" w:space="0" w:color="auto"/>
      </w:divBdr>
    </w:div>
    <w:div w:id="1234777418">
      <w:marLeft w:val="0"/>
      <w:marRight w:val="0"/>
      <w:marTop w:val="200"/>
      <w:marBottom w:val="0"/>
      <w:divBdr>
        <w:top w:val="none" w:sz="0" w:space="0" w:color="auto"/>
        <w:left w:val="none" w:sz="0" w:space="0" w:color="auto"/>
        <w:bottom w:val="none" w:sz="0" w:space="0" w:color="auto"/>
        <w:right w:val="none" w:sz="0" w:space="0" w:color="auto"/>
      </w:divBdr>
    </w:div>
    <w:div w:id="1240091639">
      <w:marLeft w:val="0"/>
      <w:marRight w:val="0"/>
      <w:marTop w:val="0"/>
      <w:marBottom w:val="200"/>
      <w:divBdr>
        <w:top w:val="none" w:sz="0" w:space="0" w:color="auto"/>
        <w:left w:val="none" w:sz="0" w:space="0" w:color="auto"/>
        <w:bottom w:val="none" w:sz="0" w:space="0" w:color="auto"/>
        <w:right w:val="none" w:sz="0" w:space="0" w:color="auto"/>
      </w:divBdr>
    </w:div>
    <w:div w:id="1244031342">
      <w:marLeft w:val="0"/>
      <w:marRight w:val="0"/>
      <w:marTop w:val="200"/>
      <w:marBottom w:val="0"/>
      <w:divBdr>
        <w:top w:val="none" w:sz="0" w:space="0" w:color="auto"/>
        <w:left w:val="none" w:sz="0" w:space="0" w:color="auto"/>
        <w:bottom w:val="none" w:sz="0" w:space="0" w:color="auto"/>
        <w:right w:val="none" w:sz="0" w:space="0" w:color="auto"/>
      </w:divBdr>
    </w:div>
    <w:div w:id="1244221257">
      <w:marLeft w:val="0"/>
      <w:marRight w:val="0"/>
      <w:marTop w:val="200"/>
      <w:marBottom w:val="0"/>
      <w:divBdr>
        <w:top w:val="none" w:sz="0" w:space="0" w:color="auto"/>
        <w:left w:val="none" w:sz="0" w:space="0" w:color="auto"/>
        <w:bottom w:val="none" w:sz="0" w:space="0" w:color="auto"/>
        <w:right w:val="none" w:sz="0" w:space="0" w:color="auto"/>
      </w:divBdr>
    </w:div>
    <w:div w:id="1246113622">
      <w:marLeft w:val="0"/>
      <w:marRight w:val="0"/>
      <w:marTop w:val="0"/>
      <w:marBottom w:val="0"/>
      <w:divBdr>
        <w:top w:val="none" w:sz="0" w:space="0" w:color="auto"/>
        <w:left w:val="none" w:sz="0" w:space="0" w:color="auto"/>
        <w:bottom w:val="none" w:sz="0" w:space="0" w:color="auto"/>
        <w:right w:val="none" w:sz="0" w:space="0" w:color="auto"/>
      </w:divBdr>
    </w:div>
    <w:div w:id="1249267689">
      <w:marLeft w:val="0"/>
      <w:marRight w:val="0"/>
      <w:marTop w:val="0"/>
      <w:marBottom w:val="0"/>
      <w:divBdr>
        <w:top w:val="none" w:sz="0" w:space="0" w:color="auto"/>
        <w:left w:val="none" w:sz="0" w:space="0" w:color="auto"/>
        <w:bottom w:val="none" w:sz="0" w:space="0" w:color="auto"/>
        <w:right w:val="none" w:sz="0" w:space="0" w:color="auto"/>
      </w:divBdr>
    </w:div>
    <w:div w:id="1249848109">
      <w:marLeft w:val="0"/>
      <w:marRight w:val="0"/>
      <w:marTop w:val="0"/>
      <w:marBottom w:val="0"/>
      <w:divBdr>
        <w:top w:val="none" w:sz="0" w:space="0" w:color="auto"/>
        <w:left w:val="none" w:sz="0" w:space="0" w:color="auto"/>
        <w:bottom w:val="none" w:sz="0" w:space="0" w:color="auto"/>
        <w:right w:val="none" w:sz="0" w:space="0" w:color="auto"/>
      </w:divBdr>
    </w:div>
    <w:div w:id="1258056760">
      <w:marLeft w:val="0"/>
      <w:marRight w:val="0"/>
      <w:marTop w:val="200"/>
      <w:marBottom w:val="0"/>
      <w:divBdr>
        <w:top w:val="none" w:sz="0" w:space="0" w:color="auto"/>
        <w:left w:val="none" w:sz="0" w:space="0" w:color="auto"/>
        <w:bottom w:val="none" w:sz="0" w:space="0" w:color="auto"/>
        <w:right w:val="none" w:sz="0" w:space="0" w:color="auto"/>
      </w:divBdr>
    </w:div>
    <w:div w:id="1258178326">
      <w:marLeft w:val="0"/>
      <w:marRight w:val="0"/>
      <w:marTop w:val="200"/>
      <w:marBottom w:val="0"/>
      <w:divBdr>
        <w:top w:val="none" w:sz="0" w:space="0" w:color="auto"/>
        <w:left w:val="none" w:sz="0" w:space="0" w:color="auto"/>
        <w:bottom w:val="none" w:sz="0" w:space="0" w:color="auto"/>
        <w:right w:val="none" w:sz="0" w:space="0" w:color="auto"/>
      </w:divBdr>
    </w:div>
    <w:div w:id="1258439678">
      <w:marLeft w:val="0"/>
      <w:marRight w:val="0"/>
      <w:marTop w:val="0"/>
      <w:marBottom w:val="0"/>
      <w:divBdr>
        <w:top w:val="none" w:sz="0" w:space="0" w:color="auto"/>
        <w:left w:val="none" w:sz="0" w:space="0" w:color="auto"/>
        <w:bottom w:val="none" w:sz="0" w:space="0" w:color="auto"/>
        <w:right w:val="none" w:sz="0" w:space="0" w:color="auto"/>
      </w:divBdr>
      <w:divsChild>
        <w:div w:id="1363285849">
          <w:marLeft w:val="0"/>
          <w:marRight w:val="0"/>
          <w:marTop w:val="0"/>
          <w:marBottom w:val="0"/>
          <w:divBdr>
            <w:top w:val="none" w:sz="0" w:space="0" w:color="auto"/>
            <w:left w:val="none" w:sz="0" w:space="0" w:color="auto"/>
            <w:bottom w:val="none" w:sz="0" w:space="0" w:color="auto"/>
            <w:right w:val="none" w:sz="0" w:space="0" w:color="auto"/>
          </w:divBdr>
        </w:div>
      </w:divsChild>
    </w:div>
    <w:div w:id="1258557925">
      <w:marLeft w:val="0"/>
      <w:marRight w:val="0"/>
      <w:marTop w:val="0"/>
      <w:marBottom w:val="0"/>
      <w:divBdr>
        <w:top w:val="none" w:sz="0" w:space="0" w:color="auto"/>
        <w:left w:val="none" w:sz="0" w:space="0" w:color="auto"/>
        <w:bottom w:val="none" w:sz="0" w:space="0" w:color="auto"/>
        <w:right w:val="none" w:sz="0" w:space="0" w:color="auto"/>
      </w:divBdr>
    </w:div>
    <w:div w:id="1259212676">
      <w:marLeft w:val="0"/>
      <w:marRight w:val="0"/>
      <w:marTop w:val="0"/>
      <w:marBottom w:val="0"/>
      <w:divBdr>
        <w:top w:val="none" w:sz="0" w:space="0" w:color="auto"/>
        <w:left w:val="none" w:sz="0" w:space="0" w:color="auto"/>
        <w:bottom w:val="none" w:sz="0" w:space="0" w:color="auto"/>
        <w:right w:val="none" w:sz="0" w:space="0" w:color="auto"/>
      </w:divBdr>
      <w:divsChild>
        <w:div w:id="1810970630">
          <w:marLeft w:val="0"/>
          <w:marRight w:val="0"/>
          <w:marTop w:val="0"/>
          <w:marBottom w:val="0"/>
          <w:divBdr>
            <w:top w:val="none" w:sz="0" w:space="0" w:color="auto"/>
            <w:left w:val="none" w:sz="0" w:space="0" w:color="auto"/>
            <w:bottom w:val="none" w:sz="0" w:space="0" w:color="auto"/>
            <w:right w:val="none" w:sz="0" w:space="0" w:color="auto"/>
          </w:divBdr>
        </w:div>
      </w:divsChild>
    </w:div>
    <w:div w:id="1260215467">
      <w:marLeft w:val="0"/>
      <w:marRight w:val="0"/>
      <w:marTop w:val="0"/>
      <w:marBottom w:val="16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sChild>
        <w:div w:id="1439135387">
          <w:marLeft w:val="0"/>
          <w:marRight w:val="0"/>
          <w:marTop w:val="0"/>
          <w:marBottom w:val="0"/>
          <w:divBdr>
            <w:top w:val="none" w:sz="0" w:space="0" w:color="auto"/>
            <w:left w:val="none" w:sz="0" w:space="0" w:color="auto"/>
            <w:bottom w:val="none" w:sz="0" w:space="0" w:color="auto"/>
            <w:right w:val="none" w:sz="0" w:space="0" w:color="auto"/>
          </w:divBdr>
        </w:div>
      </w:divsChild>
    </w:div>
    <w:div w:id="1264537637">
      <w:marLeft w:val="0"/>
      <w:marRight w:val="0"/>
      <w:marTop w:val="0"/>
      <w:marBottom w:val="0"/>
      <w:divBdr>
        <w:top w:val="none" w:sz="0" w:space="0" w:color="auto"/>
        <w:left w:val="none" w:sz="0" w:space="0" w:color="auto"/>
        <w:bottom w:val="none" w:sz="0" w:space="0" w:color="auto"/>
        <w:right w:val="none" w:sz="0" w:space="0" w:color="auto"/>
      </w:divBdr>
    </w:div>
    <w:div w:id="1266964925">
      <w:marLeft w:val="0"/>
      <w:marRight w:val="0"/>
      <w:marTop w:val="0"/>
      <w:marBottom w:val="0"/>
      <w:divBdr>
        <w:top w:val="none" w:sz="0" w:space="0" w:color="auto"/>
        <w:left w:val="none" w:sz="0" w:space="0" w:color="auto"/>
        <w:bottom w:val="none" w:sz="0" w:space="0" w:color="auto"/>
        <w:right w:val="none" w:sz="0" w:space="0" w:color="auto"/>
      </w:divBdr>
      <w:divsChild>
        <w:div w:id="1770661823">
          <w:marLeft w:val="0"/>
          <w:marRight w:val="0"/>
          <w:marTop w:val="0"/>
          <w:marBottom w:val="0"/>
          <w:divBdr>
            <w:top w:val="none" w:sz="0" w:space="0" w:color="auto"/>
            <w:left w:val="none" w:sz="0" w:space="0" w:color="auto"/>
            <w:bottom w:val="none" w:sz="0" w:space="0" w:color="auto"/>
            <w:right w:val="none" w:sz="0" w:space="0" w:color="auto"/>
          </w:divBdr>
        </w:div>
        <w:div w:id="1377004707">
          <w:marLeft w:val="0"/>
          <w:marRight w:val="0"/>
          <w:marTop w:val="0"/>
          <w:marBottom w:val="0"/>
          <w:divBdr>
            <w:top w:val="none" w:sz="0" w:space="0" w:color="auto"/>
            <w:left w:val="none" w:sz="0" w:space="0" w:color="auto"/>
            <w:bottom w:val="none" w:sz="0" w:space="0" w:color="auto"/>
            <w:right w:val="none" w:sz="0" w:space="0" w:color="auto"/>
          </w:divBdr>
        </w:div>
        <w:div w:id="1078556805">
          <w:marLeft w:val="0"/>
          <w:marRight w:val="0"/>
          <w:marTop w:val="0"/>
          <w:marBottom w:val="0"/>
          <w:divBdr>
            <w:top w:val="none" w:sz="0" w:space="0" w:color="auto"/>
            <w:left w:val="none" w:sz="0" w:space="0" w:color="auto"/>
            <w:bottom w:val="none" w:sz="0" w:space="0" w:color="auto"/>
            <w:right w:val="none" w:sz="0" w:space="0" w:color="auto"/>
          </w:divBdr>
        </w:div>
        <w:div w:id="1045521020">
          <w:marLeft w:val="0"/>
          <w:marRight w:val="0"/>
          <w:marTop w:val="0"/>
          <w:marBottom w:val="0"/>
          <w:divBdr>
            <w:top w:val="none" w:sz="0" w:space="0" w:color="auto"/>
            <w:left w:val="none" w:sz="0" w:space="0" w:color="auto"/>
            <w:bottom w:val="none" w:sz="0" w:space="0" w:color="auto"/>
            <w:right w:val="none" w:sz="0" w:space="0" w:color="auto"/>
          </w:divBdr>
        </w:div>
      </w:divsChild>
    </w:div>
    <w:div w:id="1268074013">
      <w:marLeft w:val="0"/>
      <w:marRight w:val="0"/>
      <w:marTop w:val="200"/>
      <w:marBottom w:val="0"/>
      <w:divBdr>
        <w:top w:val="none" w:sz="0" w:space="0" w:color="auto"/>
        <w:left w:val="none" w:sz="0" w:space="0" w:color="auto"/>
        <w:bottom w:val="none" w:sz="0" w:space="0" w:color="auto"/>
        <w:right w:val="none" w:sz="0" w:space="0" w:color="auto"/>
      </w:divBdr>
    </w:div>
    <w:div w:id="1268081211">
      <w:marLeft w:val="0"/>
      <w:marRight w:val="0"/>
      <w:marTop w:val="0"/>
      <w:marBottom w:val="0"/>
      <w:divBdr>
        <w:top w:val="none" w:sz="0" w:space="0" w:color="auto"/>
        <w:left w:val="none" w:sz="0" w:space="0" w:color="auto"/>
        <w:bottom w:val="none" w:sz="0" w:space="0" w:color="auto"/>
        <w:right w:val="none" w:sz="0" w:space="0" w:color="auto"/>
      </w:divBdr>
    </w:div>
    <w:div w:id="1273048552">
      <w:marLeft w:val="0"/>
      <w:marRight w:val="0"/>
      <w:marTop w:val="100"/>
      <w:marBottom w:val="0"/>
      <w:divBdr>
        <w:top w:val="none" w:sz="0" w:space="0" w:color="auto"/>
        <w:left w:val="none" w:sz="0" w:space="0" w:color="auto"/>
        <w:bottom w:val="none" w:sz="0" w:space="0" w:color="auto"/>
        <w:right w:val="none" w:sz="0" w:space="0" w:color="auto"/>
      </w:divBdr>
    </w:div>
    <w:div w:id="1273247650">
      <w:marLeft w:val="0"/>
      <w:marRight w:val="0"/>
      <w:marTop w:val="0"/>
      <w:marBottom w:val="0"/>
      <w:divBdr>
        <w:top w:val="none" w:sz="0" w:space="0" w:color="auto"/>
        <w:left w:val="none" w:sz="0" w:space="0" w:color="auto"/>
        <w:bottom w:val="none" w:sz="0" w:space="0" w:color="auto"/>
        <w:right w:val="none" w:sz="0" w:space="0" w:color="auto"/>
      </w:divBdr>
      <w:divsChild>
        <w:div w:id="1731029175">
          <w:marLeft w:val="0"/>
          <w:marRight w:val="0"/>
          <w:marTop w:val="0"/>
          <w:marBottom w:val="0"/>
          <w:divBdr>
            <w:top w:val="none" w:sz="0" w:space="0" w:color="auto"/>
            <w:left w:val="none" w:sz="0" w:space="0" w:color="auto"/>
            <w:bottom w:val="none" w:sz="0" w:space="0" w:color="auto"/>
            <w:right w:val="none" w:sz="0" w:space="0" w:color="auto"/>
          </w:divBdr>
        </w:div>
      </w:divsChild>
    </w:div>
    <w:div w:id="1274021219">
      <w:marLeft w:val="0"/>
      <w:marRight w:val="0"/>
      <w:marTop w:val="0"/>
      <w:marBottom w:val="0"/>
      <w:divBdr>
        <w:top w:val="none" w:sz="0" w:space="0" w:color="auto"/>
        <w:left w:val="none" w:sz="0" w:space="0" w:color="auto"/>
        <w:bottom w:val="none" w:sz="0" w:space="0" w:color="auto"/>
        <w:right w:val="none" w:sz="0" w:space="0" w:color="auto"/>
      </w:divBdr>
      <w:divsChild>
        <w:div w:id="1732803711">
          <w:marLeft w:val="0"/>
          <w:marRight w:val="0"/>
          <w:marTop w:val="0"/>
          <w:marBottom w:val="0"/>
          <w:divBdr>
            <w:top w:val="none" w:sz="0" w:space="0" w:color="auto"/>
            <w:left w:val="none" w:sz="0" w:space="0" w:color="auto"/>
            <w:bottom w:val="none" w:sz="0" w:space="0" w:color="auto"/>
            <w:right w:val="none" w:sz="0" w:space="0" w:color="auto"/>
          </w:divBdr>
        </w:div>
      </w:divsChild>
    </w:div>
    <w:div w:id="1275093387">
      <w:marLeft w:val="0"/>
      <w:marRight w:val="0"/>
      <w:marTop w:val="0"/>
      <w:marBottom w:val="0"/>
      <w:divBdr>
        <w:top w:val="none" w:sz="0" w:space="0" w:color="auto"/>
        <w:left w:val="none" w:sz="0" w:space="0" w:color="auto"/>
        <w:bottom w:val="none" w:sz="0" w:space="0" w:color="auto"/>
        <w:right w:val="none" w:sz="0" w:space="0" w:color="auto"/>
      </w:divBdr>
      <w:divsChild>
        <w:div w:id="412092228">
          <w:marLeft w:val="0"/>
          <w:marRight w:val="0"/>
          <w:marTop w:val="0"/>
          <w:marBottom w:val="0"/>
          <w:divBdr>
            <w:top w:val="none" w:sz="0" w:space="0" w:color="auto"/>
            <w:left w:val="none" w:sz="0" w:space="0" w:color="auto"/>
            <w:bottom w:val="none" w:sz="0" w:space="0" w:color="auto"/>
            <w:right w:val="none" w:sz="0" w:space="0" w:color="auto"/>
          </w:divBdr>
        </w:div>
      </w:divsChild>
    </w:div>
    <w:div w:id="1276062549">
      <w:marLeft w:val="0"/>
      <w:marRight w:val="0"/>
      <w:marTop w:val="0"/>
      <w:marBottom w:val="0"/>
      <w:divBdr>
        <w:top w:val="none" w:sz="0" w:space="0" w:color="auto"/>
        <w:left w:val="none" w:sz="0" w:space="0" w:color="auto"/>
        <w:bottom w:val="none" w:sz="0" w:space="0" w:color="auto"/>
        <w:right w:val="none" w:sz="0" w:space="0" w:color="auto"/>
      </w:divBdr>
      <w:divsChild>
        <w:div w:id="1298874404">
          <w:marLeft w:val="0"/>
          <w:marRight w:val="0"/>
          <w:marTop w:val="0"/>
          <w:marBottom w:val="0"/>
          <w:divBdr>
            <w:top w:val="none" w:sz="0" w:space="0" w:color="auto"/>
            <w:left w:val="none" w:sz="0" w:space="0" w:color="auto"/>
            <w:bottom w:val="none" w:sz="0" w:space="0" w:color="auto"/>
            <w:right w:val="none" w:sz="0" w:space="0" w:color="auto"/>
          </w:divBdr>
        </w:div>
      </w:divsChild>
    </w:div>
    <w:div w:id="1276861178">
      <w:marLeft w:val="0"/>
      <w:marRight w:val="0"/>
      <w:marTop w:val="0"/>
      <w:marBottom w:val="0"/>
      <w:divBdr>
        <w:top w:val="none" w:sz="0" w:space="0" w:color="auto"/>
        <w:left w:val="none" w:sz="0" w:space="0" w:color="auto"/>
        <w:bottom w:val="none" w:sz="0" w:space="0" w:color="auto"/>
        <w:right w:val="none" w:sz="0" w:space="0" w:color="auto"/>
      </w:divBdr>
    </w:div>
    <w:div w:id="1277516225">
      <w:marLeft w:val="0"/>
      <w:marRight w:val="0"/>
      <w:marTop w:val="0"/>
      <w:marBottom w:val="0"/>
      <w:divBdr>
        <w:top w:val="none" w:sz="0" w:space="0" w:color="auto"/>
        <w:left w:val="none" w:sz="0" w:space="0" w:color="auto"/>
        <w:bottom w:val="none" w:sz="0" w:space="0" w:color="auto"/>
        <w:right w:val="none" w:sz="0" w:space="0" w:color="auto"/>
      </w:divBdr>
    </w:div>
    <w:div w:id="1278177666">
      <w:marLeft w:val="0"/>
      <w:marRight w:val="0"/>
      <w:marTop w:val="100"/>
      <w:marBottom w:val="0"/>
      <w:divBdr>
        <w:top w:val="none" w:sz="0" w:space="0" w:color="auto"/>
        <w:left w:val="none" w:sz="0" w:space="0" w:color="auto"/>
        <w:bottom w:val="none" w:sz="0" w:space="0" w:color="auto"/>
        <w:right w:val="none" w:sz="0" w:space="0" w:color="auto"/>
      </w:divBdr>
      <w:divsChild>
        <w:div w:id="97332452">
          <w:marLeft w:val="0"/>
          <w:marRight w:val="0"/>
          <w:marTop w:val="0"/>
          <w:marBottom w:val="0"/>
          <w:divBdr>
            <w:top w:val="none" w:sz="0" w:space="0" w:color="auto"/>
            <w:left w:val="none" w:sz="0" w:space="0" w:color="auto"/>
            <w:bottom w:val="none" w:sz="0" w:space="0" w:color="auto"/>
            <w:right w:val="none" w:sz="0" w:space="0" w:color="auto"/>
          </w:divBdr>
        </w:div>
        <w:div w:id="746656253">
          <w:marLeft w:val="0"/>
          <w:marRight w:val="0"/>
          <w:marTop w:val="0"/>
          <w:marBottom w:val="0"/>
          <w:divBdr>
            <w:top w:val="none" w:sz="0" w:space="0" w:color="auto"/>
            <w:left w:val="none" w:sz="0" w:space="0" w:color="auto"/>
            <w:bottom w:val="none" w:sz="0" w:space="0" w:color="auto"/>
            <w:right w:val="none" w:sz="0" w:space="0" w:color="auto"/>
          </w:divBdr>
        </w:div>
        <w:div w:id="626593446">
          <w:marLeft w:val="0"/>
          <w:marRight w:val="0"/>
          <w:marTop w:val="0"/>
          <w:marBottom w:val="0"/>
          <w:divBdr>
            <w:top w:val="none" w:sz="0" w:space="0" w:color="auto"/>
            <w:left w:val="none" w:sz="0" w:space="0" w:color="auto"/>
            <w:bottom w:val="none" w:sz="0" w:space="0" w:color="auto"/>
            <w:right w:val="none" w:sz="0" w:space="0" w:color="auto"/>
          </w:divBdr>
        </w:div>
        <w:div w:id="120802833">
          <w:marLeft w:val="0"/>
          <w:marRight w:val="0"/>
          <w:marTop w:val="0"/>
          <w:marBottom w:val="0"/>
          <w:divBdr>
            <w:top w:val="none" w:sz="0" w:space="0" w:color="auto"/>
            <w:left w:val="none" w:sz="0" w:space="0" w:color="auto"/>
            <w:bottom w:val="none" w:sz="0" w:space="0" w:color="auto"/>
            <w:right w:val="none" w:sz="0" w:space="0" w:color="auto"/>
          </w:divBdr>
        </w:div>
        <w:div w:id="1887719725">
          <w:marLeft w:val="0"/>
          <w:marRight w:val="0"/>
          <w:marTop w:val="0"/>
          <w:marBottom w:val="0"/>
          <w:divBdr>
            <w:top w:val="none" w:sz="0" w:space="0" w:color="auto"/>
            <w:left w:val="none" w:sz="0" w:space="0" w:color="auto"/>
            <w:bottom w:val="none" w:sz="0" w:space="0" w:color="auto"/>
            <w:right w:val="none" w:sz="0" w:space="0" w:color="auto"/>
          </w:divBdr>
        </w:div>
        <w:div w:id="1553926084">
          <w:marLeft w:val="0"/>
          <w:marRight w:val="0"/>
          <w:marTop w:val="0"/>
          <w:marBottom w:val="0"/>
          <w:divBdr>
            <w:top w:val="none" w:sz="0" w:space="0" w:color="auto"/>
            <w:left w:val="none" w:sz="0" w:space="0" w:color="auto"/>
            <w:bottom w:val="none" w:sz="0" w:space="0" w:color="auto"/>
            <w:right w:val="none" w:sz="0" w:space="0" w:color="auto"/>
          </w:divBdr>
        </w:div>
        <w:div w:id="1851410387">
          <w:marLeft w:val="0"/>
          <w:marRight w:val="0"/>
          <w:marTop w:val="0"/>
          <w:marBottom w:val="0"/>
          <w:divBdr>
            <w:top w:val="none" w:sz="0" w:space="0" w:color="auto"/>
            <w:left w:val="none" w:sz="0" w:space="0" w:color="auto"/>
            <w:bottom w:val="none" w:sz="0" w:space="0" w:color="auto"/>
            <w:right w:val="none" w:sz="0" w:space="0" w:color="auto"/>
          </w:divBdr>
        </w:div>
        <w:div w:id="246499388">
          <w:marLeft w:val="0"/>
          <w:marRight w:val="0"/>
          <w:marTop w:val="0"/>
          <w:marBottom w:val="0"/>
          <w:divBdr>
            <w:top w:val="none" w:sz="0" w:space="0" w:color="auto"/>
            <w:left w:val="none" w:sz="0" w:space="0" w:color="auto"/>
            <w:bottom w:val="none" w:sz="0" w:space="0" w:color="auto"/>
            <w:right w:val="none" w:sz="0" w:space="0" w:color="auto"/>
          </w:divBdr>
        </w:div>
        <w:div w:id="1077169377">
          <w:marLeft w:val="0"/>
          <w:marRight w:val="0"/>
          <w:marTop w:val="0"/>
          <w:marBottom w:val="0"/>
          <w:divBdr>
            <w:top w:val="none" w:sz="0" w:space="0" w:color="auto"/>
            <w:left w:val="none" w:sz="0" w:space="0" w:color="auto"/>
            <w:bottom w:val="none" w:sz="0" w:space="0" w:color="auto"/>
            <w:right w:val="none" w:sz="0" w:space="0" w:color="auto"/>
          </w:divBdr>
        </w:div>
        <w:div w:id="1794514542">
          <w:marLeft w:val="0"/>
          <w:marRight w:val="0"/>
          <w:marTop w:val="0"/>
          <w:marBottom w:val="0"/>
          <w:divBdr>
            <w:top w:val="none" w:sz="0" w:space="0" w:color="auto"/>
            <w:left w:val="none" w:sz="0" w:space="0" w:color="auto"/>
            <w:bottom w:val="none" w:sz="0" w:space="0" w:color="auto"/>
            <w:right w:val="none" w:sz="0" w:space="0" w:color="auto"/>
          </w:divBdr>
        </w:div>
        <w:div w:id="1755007900">
          <w:marLeft w:val="0"/>
          <w:marRight w:val="0"/>
          <w:marTop w:val="0"/>
          <w:marBottom w:val="0"/>
          <w:divBdr>
            <w:top w:val="none" w:sz="0" w:space="0" w:color="auto"/>
            <w:left w:val="none" w:sz="0" w:space="0" w:color="auto"/>
            <w:bottom w:val="none" w:sz="0" w:space="0" w:color="auto"/>
            <w:right w:val="none" w:sz="0" w:space="0" w:color="auto"/>
          </w:divBdr>
        </w:div>
        <w:div w:id="748113537">
          <w:marLeft w:val="0"/>
          <w:marRight w:val="0"/>
          <w:marTop w:val="0"/>
          <w:marBottom w:val="0"/>
          <w:divBdr>
            <w:top w:val="none" w:sz="0" w:space="0" w:color="auto"/>
            <w:left w:val="none" w:sz="0" w:space="0" w:color="auto"/>
            <w:bottom w:val="none" w:sz="0" w:space="0" w:color="auto"/>
            <w:right w:val="none" w:sz="0" w:space="0" w:color="auto"/>
          </w:divBdr>
        </w:div>
        <w:div w:id="1492939584">
          <w:marLeft w:val="0"/>
          <w:marRight w:val="0"/>
          <w:marTop w:val="0"/>
          <w:marBottom w:val="0"/>
          <w:divBdr>
            <w:top w:val="none" w:sz="0" w:space="0" w:color="auto"/>
            <w:left w:val="none" w:sz="0" w:space="0" w:color="auto"/>
            <w:bottom w:val="none" w:sz="0" w:space="0" w:color="auto"/>
            <w:right w:val="none" w:sz="0" w:space="0" w:color="auto"/>
          </w:divBdr>
        </w:div>
        <w:div w:id="2044473281">
          <w:marLeft w:val="0"/>
          <w:marRight w:val="0"/>
          <w:marTop w:val="0"/>
          <w:marBottom w:val="0"/>
          <w:divBdr>
            <w:top w:val="none" w:sz="0" w:space="0" w:color="auto"/>
            <w:left w:val="none" w:sz="0" w:space="0" w:color="auto"/>
            <w:bottom w:val="none" w:sz="0" w:space="0" w:color="auto"/>
            <w:right w:val="none" w:sz="0" w:space="0" w:color="auto"/>
          </w:divBdr>
        </w:div>
        <w:div w:id="281962131">
          <w:marLeft w:val="0"/>
          <w:marRight w:val="0"/>
          <w:marTop w:val="0"/>
          <w:marBottom w:val="0"/>
          <w:divBdr>
            <w:top w:val="none" w:sz="0" w:space="0" w:color="auto"/>
            <w:left w:val="none" w:sz="0" w:space="0" w:color="auto"/>
            <w:bottom w:val="none" w:sz="0" w:space="0" w:color="auto"/>
            <w:right w:val="none" w:sz="0" w:space="0" w:color="auto"/>
          </w:divBdr>
        </w:div>
        <w:div w:id="1171261989">
          <w:marLeft w:val="0"/>
          <w:marRight w:val="0"/>
          <w:marTop w:val="0"/>
          <w:marBottom w:val="0"/>
          <w:divBdr>
            <w:top w:val="none" w:sz="0" w:space="0" w:color="auto"/>
            <w:left w:val="none" w:sz="0" w:space="0" w:color="auto"/>
            <w:bottom w:val="none" w:sz="0" w:space="0" w:color="auto"/>
            <w:right w:val="none" w:sz="0" w:space="0" w:color="auto"/>
          </w:divBdr>
        </w:div>
        <w:div w:id="635141399">
          <w:marLeft w:val="0"/>
          <w:marRight w:val="0"/>
          <w:marTop w:val="0"/>
          <w:marBottom w:val="0"/>
          <w:divBdr>
            <w:top w:val="none" w:sz="0" w:space="0" w:color="auto"/>
            <w:left w:val="none" w:sz="0" w:space="0" w:color="auto"/>
            <w:bottom w:val="none" w:sz="0" w:space="0" w:color="auto"/>
            <w:right w:val="none" w:sz="0" w:space="0" w:color="auto"/>
          </w:divBdr>
        </w:div>
        <w:div w:id="384135952">
          <w:marLeft w:val="0"/>
          <w:marRight w:val="0"/>
          <w:marTop w:val="0"/>
          <w:marBottom w:val="0"/>
          <w:divBdr>
            <w:top w:val="none" w:sz="0" w:space="0" w:color="auto"/>
            <w:left w:val="none" w:sz="0" w:space="0" w:color="auto"/>
            <w:bottom w:val="none" w:sz="0" w:space="0" w:color="auto"/>
            <w:right w:val="none" w:sz="0" w:space="0" w:color="auto"/>
          </w:divBdr>
        </w:div>
        <w:div w:id="1278558230">
          <w:marLeft w:val="0"/>
          <w:marRight w:val="0"/>
          <w:marTop w:val="0"/>
          <w:marBottom w:val="0"/>
          <w:divBdr>
            <w:top w:val="none" w:sz="0" w:space="0" w:color="auto"/>
            <w:left w:val="none" w:sz="0" w:space="0" w:color="auto"/>
            <w:bottom w:val="none" w:sz="0" w:space="0" w:color="auto"/>
            <w:right w:val="none" w:sz="0" w:space="0" w:color="auto"/>
          </w:divBdr>
        </w:div>
        <w:div w:id="887765856">
          <w:marLeft w:val="0"/>
          <w:marRight w:val="0"/>
          <w:marTop w:val="0"/>
          <w:marBottom w:val="0"/>
          <w:divBdr>
            <w:top w:val="none" w:sz="0" w:space="0" w:color="auto"/>
            <w:left w:val="none" w:sz="0" w:space="0" w:color="auto"/>
            <w:bottom w:val="none" w:sz="0" w:space="0" w:color="auto"/>
            <w:right w:val="none" w:sz="0" w:space="0" w:color="auto"/>
          </w:divBdr>
        </w:div>
        <w:div w:id="2007394541">
          <w:marLeft w:val="0"/>
          <w:marRight w:val="0"/>
          <w:marTop w:val="0"/>
          <w:marBottom w:val="0"/>
          <w:divBdr>
            <w:top w:val="none" w:sz="0" w:space="0" w:color="auto"/>
            <w:left w:val="none" w:sz="0" w:space="0" w:color="auto"/>
            <w:bottom w:val="none" w:sz="0" w:space="0" w:color="auto"/>
            <w:right w:val="none" w:sz="0" w:space="0" w:color="auto"/>
          </w:divBdr>
        </w:div>
        <w:div w:id="1637493355">
          <w:marLeft w:val="0"/>
          <w:marRight w:val="0"/>
          <w:marTop w:val="0"/>
          <w:marBottom w:val="0"/>
          <w:divBdr>
            <w:top w:val="none" w:sz="0" w:space="0" w:color="auto"/>
            <w:left w:val="none" w:sz="0" w:space="0" w:color="auto"/>
            <w:bottom w:val="none" w:sz="0" w:space="0" w:color="auto"/>
            <w:right w:val="none" w:sz="0" w:space="0" w:color="auto"/>
          </w:divBdr>
        </w:div>
        <w:div w:id="1528329573">
          <w:marLeft w:val="0"/>
          <w:marRight w:val="0"/>
          <w:marTop w:val="0"/>
          <w:marBottom w:val="0"/>
          <w:divBdr>
            <w:top w:val="none" w:sz="0" w:space="0" w:color="auto"/>
            <w:left w:val="none" w:sz="0" w:space="0" w:color="auto"/>
            <w:bottom w:val="none" w:sz="0" w:space="0" w:color="auto"/>
            <w:right w:val="none" w:sz="0" w:space="0" w:color="auto"/>
          </w:divBdr>
        </w:div>
        <w:div w:id="1402828078">
          <w:marLeft w:val="0"/>
          <w:marRight w:val="0"/>
          <w:marTop w:val="0"/>
          <w:marBottom w:val="0"/>
          <w:divBdr>
            <w:top w:val="none" w:sz="0" w:space="0" w:color="auto"/>
            <w:left w:val="none" w:sz="0" w:space="0" w:color="auto"/>
            <w:bottom w:val="none" w:sz="0" w:space="0" w:color="auto"/>
            <w:right w:val="none" w:sz="0" w:space="0" w:color="auto"/>
          </w:divBdr>
        </w:div>
        <w:div w:id="100534646">
          <w:marLeft w:val="0"/>
          <w:marRight w:val="0"/>
          <w:marTop w:val="0"/>
          <w:marBottom w:val="0"/>
          <w:divBdr>
            <w:top w:val="none" w:sz="0" w:space="0" w:color="auto"/>
            <w:left w:val="none" w:sz="0" w:space="0" w:color="auto"/>
            <w:bottom w:val="none" w:sz="0" w:space="0" w:color="auto"/>
            <w:right w:val="none" w:sz="0" w:space="0" w:color="auto"/>
          </w:divBdr>
        </w:div>
        <w:div w:id="2101484841">
          <w:marLeft w:val="0"/>
          <w:marRight w:val="0"/>
          <w:marTop w:val="0"/>
          <w:marBottom w:val="0"/>
          <w:divBdr>
            <w:top w:val="none" w:sz="0" w:space="0" w:color="auto"/>
            <w:left w:val="none" w:sz="0" w:space="0" w:color="auto"/>
            <w:bottom w:val="none" w:sz="0" w:space="0" w:color="auto"/>
            <w:right w:val="none" w:sz="0" w:space="0" w:color="auto"/>
          </w:divBdr>
        </w:div>
        <w:div w:id="948507224">
          <w:marLeft w:val="0"/>
          <w:marRight w:val="0"/>
          <w:marTop w:val="0"/>
          <w:marBottom w:val="0"/>
          <w:divBdr>
            <w:top w:val="none" w:sz="0" w:space="0" w:color="auto"/>
            <w:left w:val="none" w:sz="0" w:space="0" w:color="auto"/>
            <w:bottom w:val="none" w:sz="0" w:space="0" w:color="auto"/>
            <w:right w:val="none" w:sz="0" w:space="0" w:color="auto"/>
          </w:divBdr>
        </w:div>
        <w:div w:id="918490720">
          <w:marLeft w:val="0"/>
          <w:marRight w:val="0"/>
          <w:marTop w:val="0"/>
          <w:marBottom w:val="0"/>
          <w:divBdr>
            <w:top w:val="none" w:sz="0" w:space="0" w:color="auto"/>
            <w:left w:val="none" w:sz="0" w:space="0" w:color="auto"/>
            <w:bottom w:val="none" w:sz="0" w:space="0" w:color="auto"/>
            <w:right w:val="none" w:sz="0" w:space="0" w:color="auto"/>
          </w:divBdr>
        </w:div>
        <w:div w:id="1934630620">
          <w:marLeft w:val="0"/>
          <w:marRight w:val="0"/>
          <w:marTop w:val="0"/>
          <w:marBottom w:val="0"/>
          <w:divBdr>
            <w:top w:val="none" w:sz="0" w:space="0" w:color="auto"/>
            <w:left w:val="none" w:sz="0" w:space="0" w:color="auto"/>
            <w:bottom w:val="none" w:sz="0" w:space="0" w:color="auto"/>
            <w:right w:val="none" w:sz="0" w:space="0" w:color="auto"/>
          </w:divBdr>
        </w:div>
      </w:divsChild>
    </w:div>
    <w:div w:id="1279678660">
      <w:marLeft w:val="0"/>
      <w:marRight w:val="0"/>
      <w:marTop w:val="100"/>
      <w:marBottom w:val="0"/>
      <w:divBdr>
        <w:top w:val="none" w:sz="0" w:space="0" w:color="auto"/>
        <w:left w:val="none" w:sz="0" w:space="0" w:color="auto"/>
        <w:bottom w:val="none" w:sz="0" w:space="0" w:color="auto"/>
        <w:right w:val="none" w:sz="0" w:space="0" w:color="auto"/>
      </w:divBdr>
    </w:div>
    <w:div w:id="1280726379">
      <w:marLeft w:val="0"/>
      <w:marRight w:val="0"/>
      <w:marTop w:val="0"/>
      <w:marBottom w:val="0"/>
      <w:divBdr>
        <w:top w:val="none" w:sz="0" w:space="0" w:color="auto"/>
        <w:left w:val="none" w:sz="0" w:space="0" w:color="auto"/>
        <w:bottom w:val="none" w:sz="0" w:space="0" w:color="auto"/>
        <w:right w:val="none" w:sz="0" w:space="0" w:color="auto"/>
      </w:divBdr>
      <w:divsChild>
        <w:div w:id="1984696867">
          <w:marLeft w:val="0"/>
          <w:marRight w:val="0"/>
          <w:marTop w:val="0"/>
          <w:marBottom w:val="0"/>
          <w:divBdr>
            <w:top w:val="none" w:sz="0" w:space="0" w:color="auto"/>
            <w:left w:val="none" w:sz="0" w:space="0" w:color="auto"/>
            <w:bottom w:val="none" w:sz="0" w:space="0" w:color="auto"/>
            <w:right w:val="none" w:sz="0" w:space="0" w:color="auto"/>
          </w:divBdr>
        </w:div>
      </w:divsChild>
    </w:div>
    <w:div w:id="1282805698">
      <w:marLeft w:val="0"/>
      <w:marRight w:val="0"/>
      <w:marTop w:val="0"/>
      <w:marBottom w:val="0"/>
      <w:divBdr>
        <w:top w:val="none" w:sz="0" w:space="0" w:color="auto"/>
        <w:left w:val="none" w:sz="0" w:space="0" w:color="auto"/>
        <w:bottom w:val="none" w:sz="0" w:space="0" w:color="auto"/>
        <w:right w:val="none" w:sz="0" w:space="0" w:color="auto"/>
      </w:divBdr>
      <w:divsChild>
        <w:div w:id="3826193">
          <w:marLeft w:val="0"/>
          <w:marRight w:val="0"/>
          <w:marTop w:val="0"/>
          <w:marBottom w:val="0"/>
          <w:divBdr>
            <w:top w:val="none" w:sz="0" w:space="0" w:color="auto"/>
            <w:left w:val="none" w:sz="0" w:space="0" w:color="auto"/>
            <w:bottom w:val="none" w:sz="0" w:space="0" w:color="auto"/>
            <w:right w:val="none" w:sz="0" w:space="0" w:color="auto"/>
          </w:divBdr>
        </w:div>
      </w:divsChild>
    </w:div>
    <w:div w:id="1284389444">
      <w:marLeft w:val="0"/>
      <w:marRight w:val="0"/>
      <w:marTop w:val="0"/>
      <w:marBottom w:val="0"/>
      <w:divBdr>
        <w:top w:val="none" w:sz="0" w:space="0" w:color="auto"/>
        <w:left w:val="none" w:sz="0" w:space="0" w:color="auto"/>
        <w:bottom w:val="none" w:sz="0" w:space="0" w:color="auto"/>
        <w:right w:val="none" w:sz="0" w:space="0" w:color="auto"/>
      </w:divBdr>
      <w:divsChild>
        <w:div w:id="948319817">
          <w:marLeft w:val="0"/>
          <w:marRight w:val="0"/>
          <w:marTop w:val="0"/>
          <w:marBottom w:val="0"/>
          <w:divBdr>
            <w:top w:val="none" w:sz="0" w:space="0" w:color="auto"/>
            <w:left w:val="none" w:sz="0" w:space="0" w:color="auto"/>
            <w:bottom w:val="none" w:sz="0" w:space="0" w:color="auto"/>
            <w:right w:val="none" w:sz="0" w:space="0" w:color="auto"/>
          </w:divBdr>
        </w:div>
        <w:div w:id="678314151">
          <w:marLeft w:val="0"/>
          <w:marRight w:val="0"/>
          <w:marTop w:val="0"/>
          <w:marBottom w:val="0"/>
          <w:divBdr>
            <w:top w:val="none" w:sz="0" w:space="0" w:color="auto"/>
            <w:left w:val="none" w:sz="0" w:space="0" w:color="auto"/>
            <w:bottom w:val="none" w:sz="0" w:space="0" w:color="auto"/>
            <w:right w:val="none" w:sz="0" w:space="0" w:color="auto"/>
          </w:divBdr>
        </w:div>
        <w:div w:id="1536458210">
          <w:marLeft w:val="0"/>
          <w:marRight w:val="0"/>
          <w:marTop w:val="0"/>
          <w:marBottom w:val="0"/>
          <w:divBdr>
            <w:top w:val="none" w:sz="0" w:space="0" w:color="auto"/>
            <w:left w:val="none" w:sz="0" w:space="0" w:color="auto"/>
            <w:bottom w:val="none" w:sz="0" w:space="0" w:color="auto"/>
            <w:right w:val="none" w:sz="0" w:space="0" w:color="auto"/>
          </w:divBdr>
        </w:div>
        <w:div w:id="2074504732">
          <w:marLeft w:val="0"/>
          <w:marRight w:val="0"/>
          <w:marTop w:val="0"/>
          <w:marBottom w:val="0"/>
          <w:divBdr>
            <w:top w:val="none" w:sz="0" w:space="0" w:color="auto"/>
            <w:left w:val="none" w:sz="0" w:space="0" w:color="auto"/>
            <w:bottom w:val="none" w:sz="0" w:space="0" w:color="auto"/>
            <w:right w:val="none" w:sz="0" w:space="0" w:color="auto"/>
          </w:divBdr>
        </w:div>
      </w:divsChild>
    </w:div>
    <w:div w:id="1286232742">
      <w:marLeft w:val="0"/>
      <w:marRight w:val="0"/>
      <w:marTop w:val="0"/>
      <w:marBottom w:val="0"/>
      <w:divBdr>
        <w:top w:val="none" w:sz="0" w:space="0" w:color="auto"/>
        <w:left w:val="none" w:sz="0" w:space="0" w:color="auto"/>
        <w:bottom w:val="none" w:sz="0" w:space="0" w:color="auto"/>
        <w:right w:val="none" w:sz="0" w:space="0" w:color="auto"/>
      </w:divBdr>
    </w:div>
    <w:div w:id="1287346088">
      <w:marLeft w:val="0"/>
      <w:marRight w:val="0"/>
      <w:marTop w:val="0"/>
      <w:marBottom w:val="0"/>
      <w:divBdr>
        <w:top w:val="none" w:sz="0" w:space="0" w:color="auto"/>
        <w:left w:val="none" w:sz="0" w:space="0" w:color="auto"/>
        <w:bottom w:val="none" w:sz="0" w:space="0" w:color="auto"/>
        <w:right w:val="none" w:sz="0" w:space="0" w:color="auto"/>
      </w:divBdr>
    </w:div>
    <w:div w:id="1292707132">
      <w:marLeft w:val="0"/>
      <w:marRight w:val="0"/>
      <w:marTop w:val="0"/>
      <w:marBottom w:val="0"/>
      <w:divBdr>
        <w:top w:val="none" w:sz="0" w:space="0" w:color="auto"/>
        <w:left w:val="none" w:sz="0" w:space="0" w:color="auto"/>
        <w:bottom w:val="none" w:sz="0" w:space="0" w:color="auto"/>
        <w:right w:val="none" w:sz="0" w:space="0" w:color="auto"/>
      </w:divBdr>
    </w:div>
    <w:div w:id="1298224414">
      <w:marLeft w:val="0"/>
      <w:marRight w:val="0"/>
      <w:marTop w:val="0"/>
      <w:marBottom w:val="0"/>
      <w:divBdr>
        <w:top w:val="none" w:sz="0" w:space="0" w:color="auto"/>
        <w:left w:val="none" w:sz="0" w:space="0" w:color="auto"/>
        <w:bottom w:val="none" w:sz="0" w:space="0" w:color="auto"/>
        <w:right w:val="none" w:sz="0" w:space="0" w:color="auto"/>
      </w:divBdr>
      <w:divsChild>
        <w:div w:id="637145011">
          <w:marLeft w:val="0"/>
          <w:marRight w:val="0"/>
          <w:marTop w:val="0"/>
          <w:marBottom w:val="0"/>
          <w:divBdr>
            <w:top w:val="none" w:sz="0" w:space="0" w:color="auto"/>
            <w:left w:val="none" w:sz="0" w:space="0" w:color="auto"/>
            <w:bottom w:val="none" w:sz="0" w:space="0" w:color="auto"/>
            <w:right w:val="none" w:sz="0" w:space="0" w:color="auto"/>
          </w:divBdr>
        </w:div>
      </w:divsChild>
    </w:div>
    <w:div w:id="1298299858">
      <w:marLeft w:val="0"/>
      <w:marRight w:val="0"/>
      <w:marTop w:val="200"/>
      <w:marBottom w:val="0"/>
      <w:divBdr>
        <w:top w:val="none" w:sz="0" w:space="0" w:color="auto"/>
        <w:left w:val="none" w:sz="0" w:space="0" w:color="auto"/>
        <w:bottom w:val="none" w:sz="0" w:space="0" w:color="auto"/>
        <w:right w:val="none" w:sz="0" w:space="0" w:color="auto"/>
      </w:divBdr>
    </w:div>
    <w:div w:id="1299459877">
      <w:marLeft w:val="0"/>
      <w:marRight w:val="0"/>
      <w:marTop w:val="200"/>
      <w:marBottom w:val="0"/>
      <w:divBdr>
        <w:top w:val="none" w:sz="0" w:space="0" w:color="auto"/>
        <w:left w:val="none" w:sz="0" w:space="0" w:color="auto"/>
        <w:bottom w:val="none" w:sz="0" w:space="0" w:color="auto"/>
        <w:right w:val="none" w:sz="0" w:space="0" w:color="auto"/>
      </w:divBdr>
    </w:div>
    <w:div w:id="1299997801">
      <w:marLeft w:val="0"/>
      <w:marRight w:val="0"/>
      <w:marTop w:val="0"/>
      <w:marBottom w:val="160"/>
      <w:divBdr>
        <w:top w:val="none" w:sz="0" w:space="0" w:color="auto"/>
        <w:left w:val="none" w:sz="0" w:space="0" w:color="auto"/>
        <w:bottom w:val="none" w:sz="0" w:space="0" w:color="auto"/>
        <w:right w:val="none" w:sz="0" w:space="0" w:color="auto"/>
      </w:divBdr>
    </w:div>
    <w:div w:id="1300572769">
      <w:marLeft w:val="0"/>
      <w:marRight w:val="0"/>
      <w:marTop w:val="0"/>
      <w:marBottom w:val="0"/>
      <w:divBdr>
        <w:top w:val="none" w:sz="0" w:space="0" w:color="auto"/>
        <w:left w:val="none" w:sz="0" w:space="0" w:color="auto"/>
        <w:bottom w:val="none" w:sz="0" w:space="0" w:color="auto"/>
        <w:right w:val="none" w:sz="0" w:space="0" w:color="auto"/>
      </w:divBdr>
    </w:div>
    <w:div w:id="1302343565">
      <w:marLeft w:val="0"/>
      <w:marRight w:val="0"/>
      <w:marTop w:val="0"/>
      <w:marBottom w:val="0"/>
      <w:divBdr>
        <w:top w:val="none" w:sz="0" w:space="0" w:color="auto"/>
        <w:left w:val="none" w:sz="0" w:space="0" w:color="auto"/>
        <w:bottom w:val="none" w:sz="0" w:space="0" w:color="auto"/>
        <w:right w:val="none" w:sz="0" w:space="0" w:color="auto"/>
      </w:divBdr>
    </w:div>
    <w:div w:id="1302879069">
      <w:marLeft w:val="0"/>
      <w:marRight w:val="0"/>
      <w:marTop w:val="100"/>
      <w:marBottom w:val="0"/>
      <w:divBdr>
        <w:top w:val="none" w:sz="0" w:space="0" w:color="auto"/>
        <w:left w:val="none" w:sz="0" w:space="0" w:color="auto"/>
        <w:bottom w:val="none" w:sz="0" w:space="0" w:color="auto"/>
        <w:right w:val="none" w:sz="0" w:space="0" w:color="auto"/>
      </w:divBdr>
    </w:div>
    <w:div w:id="1307273131">
      <w:marLeft w:val="0"/>
      <w:marRight w:val="0"/>
      <w:marTop w:val="0"/>
      <w:marBottom w:val="0"/>
      <w:divBdr>
        <w:top w:val="none" w:sz="0" w:space="0" w:color="auto"/>
        <w:left w:val="none" w:sz="0" w:space="0" w:color="auto"/>
        <w:bottom w:val="none" w:sz="0" w:space="0" w:color="auto"/>
        <w:right w:val="none" w:sz="0" w:space="0" w:color="auto"/>
      </w:divBdr>
    </w:div>
    <w:div w:id="1309214403">
      <w:marLeft w:val="0"/>
      <w:marRight w:val="0"/>
      <w:marTop w:val="0"/>
      <w:marBottom w:val="0"/>
      <w:divBdr>
        <w:top w:val="none" w:sz="0" w:space="0" w:color="auto"/>
        <w:left w:val="none" w:sz="0" w:space="0" w:color="auto"/>
        <w:bottom w:val="none" w:sz="0" w:space="0" w:color="auto"/>
        <w:right w:val="none" w:sz="0" w:space="0" w:color="auto"/>
      </w:divBdr>
    </w:div>
    <w:div w:id="1310674666">
      <w:marLeft w:val="0"/>
      <w:marRight w:val="0"/>
      <w:marTop w:val="0"/>
      <w:marBottom w:val="200"/>
      <w:divBdr>
        <w:top w:val="none" w:sz="0" w:space="0" w:color="auto"/>
        <w:left w:val="none" w:sz="0" w:space="0" w:color="auto"/>
        <w:bottom w:val="none" w:sz="0" w:space="0" w:color="auto"/>
        <w:right w:val="none" w:sz="0" w:space="0" w:color="auto"/>
      </w:divBdr>
    </w:div>
    <w:div w:id="1311592432">
      <w:marLeft w:val="0"/>
      <w:marRight w:val="0"/>
      <w:marTop w:val="200"/>
      <w:marBottom w:val="0"/>
      <w:divBdr>
        <w:top w:val="none" w:sz="0" w:space="0" w:color="auto"/>
        <w:left w:val="none" w:sz="0" w:space="0" w:color="auto"/>
        <w:bottom w:val="none" w:sz="0" w:space="0" w:color="auto"/>
        <w:right w:val="none" w:sz="0" w:space="0" w:color="auto"/>
      </w:divBdr>
    </w:div>
    <w:div w:id="1312783554">
      <w:marLeft w:val="0"/>
      <w:marRight w:val="0"/>
      <w:marTop w:val="100"/>
      <w:marBottom w:val="0"/>
      <w:divBdr>
        <w:top w:val="none" w:sz="0" w:space="0" w:color="auto"/>
        <w:left w:val="none" w:sz="0" w:space="0" w:color="auto"/>
        <w:bottom w:val="none" w:sz="0" w:space="0" w:color="auto"/>
        <w:right w:val="none" w:sz="0" w:space="0" w:color="auto"/>
      </w:divBdr>
      <w:divsChild>
        <w:div w:id="535972706">
          <w:marLeft w:val="0"/>
          <w:marRight w:val="0"/>
          <w:marTop w:val="0"/>
          <w:marBottom w:val="0"/>
          <w:divBdr>
            <w:top w:val="none" w:sz="0" w:space="0" w:color="auto"/>
            <w:left w:val="none" w:sz="0" w:space="0" w:color="auto"/>
            <w:bottom w:val="none" w:sz="0" w:space="0" w:color="auto"/>
            <w:right w:val="none" w:sz="0" w:space="0" w:color="auto"/>
          </w:divBdr>
        </w:div>
        <w:div w:id="160659030">
          <w:marLeft w:val="0"/>
          <w:marRight w:val="0"/>
          <w:marTop w:val="0"/>
          <w:marBottom w:val="0"/>
          <w:divBdr>
            <w:top w:val="none" w:sz="0" w:space="0" w:color="auto"/>
            <w:left w:val="none" w:sz="0" w:space="0" w:color="auto"/>
            <w:bottom w:val="none" w:sz="0" w:space="0" w:color="auto"/>
            <w:right w:val="none" w:sz="0" w:space="0" w:color="auto"/>
          </w:divBdr>
        </w:div>
        <w:div w:id="1926844199">
          <w:marLeft w:val="0"/>
          <w:marRight w:val="0"/>
          <w:marTop w:val="0"/>
          <w:marBottom w:val="0"/>
          <w:divBdr>
            <w:top w:val="none" w:sz="0" w:space="0" w:color="auto"/>
            <w:left w:val="none" w:sz="0" w:space="0" w:color="auto"/>
            <w:bottom w:val="none" w:sz="0" w:space="0" w:color="auto"/>
            <w:right w:val="none" w:sz="0" w:space="0" w:color="auto"/>
          </w:divBdr>
        </w:div>
      </w:divsChild>
    </w:div>
    <w:div w:id="1314143325">
      <w:marLeft w:val="0"/>
      <w:marRight w:val="0"/>
      <w:marTop w:val="0"/>
      <w:marBottom w:val="0"/>
      <w:divBdr>
        <w:top w:val="none" w:sz="0" w:space="0" w:color="auto"/>
        <w:left w:val="none" w:sz="0" w:space="0" w:color="auto"/>
        <w:bottom w:val="none" w:sz="0" w:space="0" w:color="auto"/>
        <w:right w:val="none" w:sz="0" w:space="0" w:color="auto"/>
      </w:divBdr>
    </w:div>
    <w:div w:id="1317996195">
      <w:marLeft w:val="0"/>
      <w:marRight w:val="0"/>
      <w:marTop w:val="0"/>
      <w:marBottom w:val="0"/>
      <w:divBdr>
        <w:top w:val="none" w:sz="0" w:space="0" w:color="auto"/>
        <w:left w:val="none" w:sz="0" w:space="0" w:color="auto"/>
        <w:bottom w:val="none" w:sz="0" w:space="0" w:color="auto"/>
        <w:right w:val="none" w:sz="0" w:space="0" w:color="auto"/>
      </w:divBdr>
    </w:div>
    <w:div w:id="1320310855">
      <w:marLeft w:val="0"/>
      <w:marRight w:val="0"/>
      <w:marTop w:val="0"/>
      <w:marBottom w:val="0"/>
      <w:divBdr>
        <w:top w:val="none" w:sz="0" w:space="0" w:color="auto"/>
        <w:left w:val="none" w:sz="0" w:space="0" w:color="auto"/>
        <w:bottom w:val="none" w:sz="0" w:space="0" w:color="auto"/>
        <w:right w:val="none" w:sz="0" w:space="0" w:color="auto"/>
      </w:divBdr>
    </w:div>
    <w:div w:id="1327901659">
      <w:marLeft w:val="0"/>
      <w:marRight w:val="0"/>
      <w:marTop w:val="200"/>
      <w:marBottom w:val="0"/>
      <w:divBdr>
        <w:top w:val="none" w:sz="0" w:space="0" w:color="auto"/>
        <w:left w:val="none" w:sz="0" w:space="0" w:color="auto"/>
        <w:bottom w:val="none" w:sz="0" w:space="0" w:color="auto"/>
        <w:right w:val="none" w:sz="0" w:space="0" w:color="auto"/>
      </w:divBdr>
    </w:div>
    <w:div w:id="1329945906">
      <w:marLeft w:val="0"/>
      <w:marRight w:val="0"/>
      <w:marTop w:val="200"/>
      <w:marBottom w:val="0"/>
      <w:divBdr>
        <w:top w:val="none" w:sz="0" w:space="0" w:color="auto"/>
        <w:left w:val="none" w:sz="0" w:space="0" w:color="auto"/>
        <w:bottom w:val="none" w:sz="0" w:space="0" w:color="auto"/>
        <w:right w:val="none" w:sz="0" w:space="0" w:color="auto"/>
      </w:divBdr>
    </w:div>
    <w:div w:id="1331175020">
      <w:marLeft w:val="0"/>
      <w:marRight w:val="0"/>
      <w:marTop w:val="0"/>
      <w:marBottom w:val="0"/>
      <w:divBdr>
        <w:top w:val="none" w:sz="0" w:space="0" w:color="auto"/>
        <w:left w:val="none" w:sz="0" w:space="0" w:color="auto"/>
        <w:bottom w:val="none" w:sz="0" w:space="0" w:color="auto"/>
        <w:right w:val="none" w:sz="0" w:space="0" w:color="auto"/>
      </w:divBdr>
      <w:divsChild>
        <w:div w:id="1922179583">
          <w:marLeft w:val="0"/>
          <w:marRight w:val="0"/>
          <w:marTop w:val="0"/>
          <w:marBottom w:val="0"/>
          <w:divBdr>
            <w:top w:val="none" w:sz="0" w:space="0" w:color="auto"/>
            <w:left w:val="none" w:sz="0" w:space="0" w:color="auto"/>
            <w:bottom w:val="none" w:sz="0" w:space="0" w:color="auto"/>
            <w:right w:val="none" w:sz="0" w:space="0" w:color="auto"/>
          </w:divBdr>
        </w:div>
      </w:divsChild>
    </w:div>
    <w:div w:id="1332028851">
      <w:marLeft w:val="0"/>
      <w:marRight w:val="0"/>
      <w:marTop w:val="200"/>
      <w:marBottom w:val="0"/>
      <w:divBdr>
        <w:top w:val="none" w:sz="0" w:space="0" w:color="auto"/>
        <w:left w:val="none" w:sz="0" w:space="0" w:color="auto"/>
        <w:bottom w:val="none" w:sz="0" w:space="0" w:color="auto"/>
        <w:right w:val="none" w:sz="0" w:space="0" w:color="auto"/>
      </w:divBdr>
    </w:div>
    <w:div w:id="1338921562">
      <w:marLeft w:val="0"/>
      <w:marRight w:val="0"/>
      <w:marTop w:val="0"/>
      <w:marBottom w:val="0"/>
      <w:divBdr>
        <w:top w:val="none" w:sz="0" w:space="0" w:color="auto"/>
        <w:left w:val="none" w:sz="0" w:space="0" w:color="auto"/>
        <w:bottom w:val="none" w:sz="0" w:space="0" w:color="auto"/>
        <w:right w:val="none" w:sz="0" w:space="0" w:color="auto"/>
      </w:divBdr>
      <w:divsChild>
        <w:div w:id="850795430">
          <w:marLeft w:val="0"/>
          <w:marRight w:val="0"/>
          <w:marTop w:val="0"/>
          <w:marBottom w:val="0"/>
          <w:divBdr>
            <w:top w:val="none" w:sz="0" w:space="0" w:color="auto"/>
            <w:left w:val="none" w:sz="0" w:space="0" w:color="auto"/>
            <w:bottom w:val="none" w:sz="0" w:space="0" w:color="auto"/>
            <w:right w:val="none" w:sz="0" w:space="0" w:color="auto"/>
          </w:divBdr>
        </w:div>
        <w:div w:id="921986177">
          <w:marLeft w:val="0"/>
          <w:marRight w:val="0"/>
          <w:marTop w:val="0"/>
          <w:marBottom w:val="0"/>
          <w:divBdr>
            <w:top w:val="none" w:sz="0" w:space="0" w:color="auto"/>
            <w:left w:val="none" w:sz="0" w:space="0" w:color="auto"/>
            <w:bottom w:val="none" w:sz="0" w:space="0" w:color="auto"/>
            <w:right w:val="none" w:sz="0" w:space="0" w:color="auto"/>
          </w:divBdr>
        </w:div>
        <w:div w:id="1453281863">
          <w:marLeft w:val="0"/>
          <w:marRight w:val="0"/>
          <w:marTop w:val="0"/>
          <w:marBottom w:val="0"/>
          <w:divBdr>
            <w:top w:val="none" w:sz="0" w:space="0" w:color="auto"/>
            <w:left w:val="none" w:sz="0" w:space="0" w:color="auto"/>
            <w:bottom w:val="none" w:sz="0" w:space="0" w:color="auto"/>
            <w:right w:val="none" w:sz="0" w:space="0" w:color="auto"/>
          </w:divBdr>
        </w:div>
        <w:div w:id="155268008">
          <w:marLeft w:val="0"/>
          <w:marRight w:val="0"/>
          <w:marTop w:val="0"/>
          <w:marBottom w:val="0"/>
          <w:divBdr>
            <w:top w:val="none" w:sz="0" w:space="0" w:color="auto"/>
            <w:left w:val="none" w:sz="0" w:space="0" w:color="auto"/>
            <w:bottom w:val="none" w:sz="0" w:space="0" w:color="auto"/>
            <w:right w:val="none" w:sz="0" w:space="0" w:color="auto"/>
          </w:divBdr>
        </w:div>
      </w:divsChild>
    </w:div>
    <w:div w:id="1340618333">
      <w:marLeft w:val="0"/>
      <w:marRight w:val="0"/>
      <w:marTop w:val="0"/>
      <w:marBottom w:val="0"/>
      <w:divBdr>
        <w:top w:val="none" w:sz="0" w:space="0" w:color="auto"/>
        <w:left w:val="none" w:sz="0" w:space="0" w:color="auto"/>
        <w:bottom w:val="none" w:sz="0" w:space="0" w:color="auto"/>
        <w:right w:val="none" w:sz="0" w:space="0" w:color="auto"/>
      </w:divBdr>
      <w:divsChild>
        <w:div w:id="1837063837">
          <w:marLeft w:val="0"/>
          <w:marRight w:val="0"/>
          <w:marTop w:val="0"/>
          <w:marBottom w:val="0"/>
          <w:divBdr>
            <w:top w:val="none" w:sz="0" w:space="0" w:color="auto"/>
            <w:left w:val="none" w:sz="0" w:space="0" w:color="auto"/>
            <w:bottom w:val="none" w:sz="0" w:space="0" w:color="auto"/>
            <w:right w:val="none" w:sz="0" w:space="0" w:color="auto"/>
          </w:divBdr>
        </w:div>
      </w:divsChild>
    </w:div>
    <w:div w:id="1342926161">
      <w:marLeft w:val="0"/>
      <w:marRight w:val="0"/>
      <w:marTop w:val="200"/>
      <w:marBottom w:val="0"/>
      <w:divBdr>
        <w:top w:val="none" w:sz="0" w:space="0" w:color="auto"/>
        <w:left w:val="none" w:sz="0" w:space="0" w:color="auto"/>
        <w:bottom w:val="none" w:sz="0" w:space="0" w:color="auto"/>
        <w:right w:val="none" w:sz="0" w:space="0" w:color="auto"/>
      </w:divBdr>
    </w:div>
    <w:div w:id="1344475100">
      <w:marLeft w:val="0"/>
      <w:marRight w:val="0"/>
      <w:marTop w:val="0"/>
      <w:marBottom w:val="0"/>
      <w:divBdr>
        <w:top w:val="none" w:sz="0" w:space="0" w:color="auto"/>
        <w:left w:val="none" w:sz="0" w:space="0" w:color="auto"/>
        <w:bottom w:val="none" w:sz="0" w:space="0" w:color="auto"/>
        <w:right w:val="none" w:sz="0" w:space="0" w:color="auto"/>
      </w:divBdr>
    </w:div>
    <w:div w:id="1346713626">
      <w:marLeft w:val="0"/>
      <w:marRight w:val="0"/>
      <w:marTop w:val="100"/>
      <w:marBottom w:val="0"/>
      <w:divBdr>
        <w:top w:val="none" w:sz="0" w:space="0" w:color="auto"/>
        <w:left w:val="none" w:sz="0" w:space="0" w:color="auto"/>
        <w:bottom w:val="none" w:sz="0" w:space="0" w:color="auto"/>
        <w:right w:val="none" w:sz="0" w:space="0" w:color="auto"/>
      </w:divBdr>
    </w:div>
    <w:div w:id="1347440858">
      <w:marLeft w:val="0"/>
      <w:marRight w:val="0"/>
      <w:marTop w:val="0"/>
      <w:marBottom w:val="0"/>
      <w:divBdr>
        <w:top w:val="none" w:sz="0" w:space="0" w:color="auto"/>
        <w:left w:val="none" w:sz="0" w:space="0" w:color="auto"/>
        <w:bottom w:val="none" w:sz="0" w:space="0" w:color="auto"/>
        <w:right w:val="none" w:sz="0" w:space="0" w:color="auto"/>
      </w:divBdr>
      <w:divsChild>
        <w:div w:id="1656762457">
          <w:marLeft w:val="0"/>
          <w:marRight w:val="0"/>
          <w:marTop w:val="0"/>
          <w:marBottom w:val="0"/>
          <w:divBdr>
            <w:top w:val="none" w:sz="0" w:space="0" w:color="auto"/>
            <w:left w:val="none" w:sz="0" w:space="0" w:color="auto"/>
            <w:bottom w:val="none" w:sz="0" w:space="0" w:color="auto"/>
            <w:right w:val="none" w:sz="0" w:space="0" w:color="auto"/>
          </w:divBdr>
        </w:div>
      </w:divsChild>
    </w:div>
    <w:div w:id="1348024165">
      <w:marLeft w:val="0"/>
      <w:marRight w:val="0"/>
      <w:marTop w:val="200"/>
      <w:marBottom w:val="0"/>
      <w:divBdr>
        <w:top w:val="none" w:sz="0" w:space="0" w:color="auto"/>
        <w:left w:val="none" w:sz="0" w:space="0" w:color="auto"/>
        <w:bottom w:val="none" w:sz="0" w:space="0" w:color="auto"/>
        <w:right w:val="none" w:sz="0" w:space="0" w:color="auto"/>
      </w:divBdr>
    </w:div>
    <w:div w:id="1351374682">
      <w:marLeft w:val="0"/>
      <w:marRight w:val="0"/>
      <w:marTop w:val="200"/>
      <w:marBottom w:val="0"/>
      <w:divBdr>
        <w:top w:val="none" w:sz="0" w:space="0" w:color="auto"/>
        <w:left w:val="none" w:sz="0" w:space="0" w:color="auto"/>
        <w:bottom w:val="none" w:sz="0" w:space="0" w:color="auto"/>
        <w:right w:val="none" w:sz="0" w:space="0" w:color="auto"/>
      </w:divBdr>
    </w:div>
    <w:div w:id="1352798974">
      <w:marLeft w:val="0"/>
      <w:marRight w:val="0"/>
      <w:marTop w:val="0"/>
      <w:marBottom w:val="0"/>
      <w:divBdr>
        <w:top w:val="none" w:sz="0" w:space="0" w:color="auto"/>
        <w:left w:val="none" w:sz="0" w:space="0" w:color="auto"/>
        <w:bottom w:val="none" w:sz="0" w:space="0" w:color="auto"/>
        <w:right w:val="none" w:sz="0" w:space="0" w:color="auto"/>
      </w:divBdr>
    </w:div>
    <w:div w:id="1353605056">
      <w:marLeft w:val="0"/>
      <w:marRight w:val="0"/>
      <w:marTop w:val="0"/>
      <w:marBottom w:val="0"/>
      <w:divBdr>
        <w:top w:val="none" w:sz="0" w:space="0" w:color="auto"/>
        <w:left w:val="none" w:sz="0" w:space="0" w:color="auto"/>
        <w:bottom w:val="none" w:sz="0" w:space="0" w:color="auto"/>
        <w:right w:val="none" w:sz="0" w:space="0" w:color="auto"/>
      </w:divBdr>
      <w:divsChild>
        <w:div w:id="251400265">
          <w:marLeft w:val="0"/>
          <w:marRight w:val="0"/>
          <w:marTop w:val="0"/>
          <w:marBottom w:val="0"/>
          <w:divBdr>
            <w:top w:val="none" w:sz="0" w:space="0" w:color="auto"/>
            <w:left w:val="none" w:sz="0" w:space="0" w:color="auto"/>
            <w:bottom w:val="none" w:sz="0" w:space="0" w:color="auto"/>
            <w:right w:val="none" w:sz="0" w:space="0" w:color="auto"/>
          </w:divBdr>
        </w:div>
      </w:divsChild>
    </w:div>
    <w:div w:id="1355302516">
      <w:marLeft w:val="0"/>
      <w:marRight w:val="0"/>
      <w:marTop w:val="0"/>
      <w:marBottom w:val="160"/>
      <w:divBdr>
        <w:top w:val="none" w:sz="0" w:space="0" w:color="auto"/>
        <w:left w:val="none" w:sz="0" w:space="0" w:color="auto"/>
        <w:bottom w:val="none" w:sz="0" w:space="0" w:color="auto"/>
        <w:right w:val="none" w:sz="0" w:space="0" w:color="auto"/>
      </w:divBdr>
    </w:div>
    <w:div w:id="1359157014">
      <w:marLeft w:val="0"/>
      <w:marRight w:val="0"/>
      <w:marTop w:val="0"/>
      <w:marBottom w:val="0"/>
      <w:divBdr>
        <w:top w:val="none" w:sz="0" w:space="0" w:color="auto"/>
        <w:left w:val="none" w:sz="0" w:space="0" w:color="auto"/>
        <w:bottom w:val="none" w:sz="0" w:space="0" w:color="auto"/>
        <w:right w:val="none" w:sz="0" w:space="0" w:color="auto"/>
      </w:divBdr>
      <w:divsChild>
        <w:div w:id="333991119">
          <w:marLeft w:val="0"/>
          <w:marRight w:val="0"/>
          <w:marTop w:val="0"/>
          <w:marBottom w:val="0"/>
          <w:divBdr>
            <w:top w:val="none" w:sz="0" w:space="0" w:color="auto"/>
            <w:left w:val="none" w:sz="0" w:space="0" w:color="auto"/>
            <w:bottom w:val="none" w:sz="0" w:space="0" w:color="auto"/>
            <w:right w:val="none" w:sz="0" w:space="0" w:color="auto"/>
          </w:divBdr>
        </w:div>
      </w:divsChild>
    </w:div>
    <w:div w:id="1359238887">
      <w:marLeft w:val="0"/>
      <w:marRight w:val="0"/>
      <w:marTop w:val="0"/>
      <w:marBottom w:val="0"/>
      <w:divBdr>
        <w:top w:val="none" w:sz="0" w:space="0" w:color="auto"/>
        <w:left w:val="none" w:sz="0" w:space="0" w:color="auto"/>
        <w:bottom w:val="none" w:sz="0" w:space="0" w:color="auto"/>
        <w:right w:val="none" w:sz="0" w:space="0" w:color="auto"/>
      </w:divBdr>
      <w:divsChild>
        <w:div w:id="1959336854">
          <w:marLeft w:val="0"/>
          <w:marRight w:val="0"/>
          <w:marTop w:val="0"/>
          <w:marBottom w:val="0"/>
          <w:divBdr>
            <w:top w:val="none" w:sz="0" w:space="0" w:color="auto"/>
            <w:left w:val="none" w:sz="0" w:space="0" w:color="auto"/>
            <w:bottom w:val="none" w:sz="0" w:space="0" w:color="auto"/>
            <w:right w:val="none" w:sz="0" w:space="0" w:color="auto"/>
          </w:divBdr>
        </w:div>
      </w:divsChild>
    </w:div>
    <w:div w:id="1362701777">
      <w:marLeft w:val="0"/>
      <w:marRight w:val="0"/>
      <w:marTop w:val="200"/>
      <w:marBottom w:val="0"/>
      <w:divBdr>
        <w:top w:val="none" w:sz="0" w:space="0" w:color="auto"/>
        <w:left w:val="none" w:sz="0" w:space="0" w:color="auto"/>
        <w:bottom w:val="none" w:sz="0" w:space="0" w:color="auto"/>
        <w:right w:val="none" w:sz="0" w:space="0" w:color="auto"/>
      </w:divBdr>
    </w:div>
    <w:div w:id="1367947848">
      <w:marLeft w:val="0"/>
      <w:marRight w:val="0"/>
      <w:marTop w:val="200"/>
      <w:marBottom w:val="0"/>
      <w:divBdr>
        <w:top w:val="none" w:sz="0" w:space="0" w:color="auto"/>
        <w:left w:val="none" w:sz="0" w:space="0" w:color="auto"/>
        <w:bottom w:val="none" w:sz="0" w:space="0" w:color="auto"/>
        <w:right w:val="none" w:sz="0" w:space="0" w:color="auto"/>
      </w:divBdr>
    </w:div>
    <w:div w:id="1369338812">
      <w:marLeft w:val="0"/>
      <w:marRight w:val="0"/>
      <w:marTop w:val="0"/>
      <w:marBottom w:val="0"/>
      <w:divBdr>
        <w:top w:val="none" w:sz="0" w:space="0" w:color="auto"/>
        <w:left w:val="none" w:sz="0" w:space="0" w:color="auto"/>
        <w:bottom w:val="none" w:sz="0" w:space="0" w:color="auto"/>
        <w:right w:val="none" w:sz="0" w:space="0" w:color="auto"/>
      </w:divBdr>
      <w:divsChild>
        <w:div w:id="280263194">
          <w:marLeft w:val="0"/>
          <w:marRight w:val="0"/>
          <w:marTop w:val="0"/>
          <w:marBottom w:val="0"/>
          <w:divBdr>
            <w:top w:val="none" w:sz="0" w:space="0" w:color="auto"/>
            <w:left w:val="none" w:sz="0" w:space="0" w:color="auto"/>
            <w:bottom w:val="none" w:sz="0" w:space="0" w:color="auto"/>
            <w:right w:val="none" w:sz="0" w:space="0" w:color="auto"/>
          </w:divBdr>
        </w:div>
        <w:div w:id="1763719612">
          <w:marLeft w:val="0"/>
          <w:marRight w:val="0"/>
          <w:marTop w:val="0"/>
          <w:marBottom w:val="0"/>
          <w:divBdr>
            <w:top w:val="none" w:sz="0" w:space="0" w:color="auto"/>
            <w:left w:val="none" w:sz="0" w:space="0" w:color="auto"/>
            <w:bottom w:val="none" w:sz="0" w:space="0" w:color="auto"/>
            <w:right w:val="none" w:sz="0" w:space="0" w:color="auto"/>
          </w:divBdr>
        </w:div>
        <w:div w:id="1909002004">
          <w:marLeft w:val="0"/>
          <w:marRight w:val="0"/>
          <w:marTop w:val="0"/>
          <w:marBottom w:val="0"/>
          <w:divBdr>
            <w:top w:val="none" w:sz="0" w:space="0" w:color="auto"/>
            <w:left w:val="none" w:sz="0" w:space="0" w:color="auto"/>
            <w:bottom w:val="none" w:sz="0" w:space="0" w:color="auto"/>
            <w:right w:val="none" w:sz="0" w:space="0" w:color="auto"/>
          </w:divBdr>
        </w:div>
        <w:div w:id="281032933">
          <w:marLeft w:val="0"/>
          <w:marRight w:val="0"/>
          <w:marTop w:val="0"/>
          <w:marBottom w:val="0"/>
          <w:divBdr>
            <w:top w:val="none" w:sz="0" w:space="0" w:color="auto"/>
            <w:left w:val="none" w:sz="0" w:space="0" w:color="auto"/>
            <w:bottom w:val="none" w:sz="0" w:space="0" w:color="auto"/>
            <w:right w:val="none" w:sz="0" w:space="0" w:color="auto"/>
          </w:divBdr>
        </w:div>
      </w:divsChild>
    </w:div>
    <w:div w:id="1370374840">
      <w:marLeft w:val="0"/>
      <w:marRight w:val="0"/>
      <w:marTop w:val="0"/>
      <w:marBottom w:val="0"/>
      <w:divBdr>
        <w:top w:val="none" w:sz="0" w:space="0" w:color="auto"/>
        <w:left w:val="none" w:sz="0" w:space="0" w:color="auto"/>
        <w:bottom w:val="none" w:sz="0" w:space="0" w:color="auto"/>
        <w:right w:val="none" w:sz="0" w:space="0" w:color="auto"/>
      </w:divBdr>
      <w:divsChild>
        <w:div w:id="2094665680">
          <w:marLeft w:val="0"/>
          <w:marRight w:val="0"/>
          <w:marTop w:val="0"/>
          <w:marBottom w:val="0"/>
          <w:divBdr>
            <w:top w:val="none" w:sz="0" w:space="0" w:color="auto"/>
            <w:left w:val="none" w:sz="0" w:space="0" w:color="auto"/>
            <w:bottom w:val="none" w:sz="0" w:space="0" w:color="auto"/>
            <w:right w:val="none" w:sz="0" w:space="0" w:color="auto"/>
          </w:divBdr>
        </w:div>
        <w:div w:id="584071088">
          <w:marLeft w:val="0"/>
          <w:marRight w:val="0"/>
          <w:marTop w:val="0"/>
          <w:marBottom w:val="0"/>
          <w:divBdr>
            <w:top w:val="none" w:sz="0" w:space="0" w:color="auto"/>
            <w:left w:val="none" w:sz="0" w:space="0" w:color="auto"/>
            <w:bottom w:val="none" w:sz="0" w:space="0" w:color="auto"/>
            <w:right w:val="none" w:sz="0" w:space="0" w:color="auto"/>
          </w:divBdr>
        </w:div>
        <w:div w:id="1792439109">
          <w:marLeft w:val="0"/>
          <w:marRight w:val="0"/>
          <w:marTop w:val="0"/>
          <w:marBottom w:val="0"/>
          <w:divBdr>
            <w:top w:val="none" w:sz="0" w:space="0" w:color="auto"/>
            <w:left w:val="none" w:sz="0" w:space="0" w:color="auto"/>
            <w:bottom w:val="none" w:sz="0" w:space="0" w:color="auto"/>
            <w:right w:val="none" w:sz="0" w:space="0" w:color="auto"/>
          </w:divBdr>
        </w:div>
        <w:div w:id="1279141179">
          <w:marLeft w:val="0"/>
          <w:marRight w:val="0"/>
          <w:marTop w:val="0"/>
          <w:marBottom w:val="0"/>
          <w:divBdr>
            <w:top w:val="none" w:sz="0" w:space="0" w:color="auto"/>
            <w:left w:val="none" w:sz="0" w:space="0" w:color="auto"/>
            <w:bottom w:val="none" w:sz="0" w:space="0" w:color="auto"/>
            <w:right w:val="none" w:sz="0" w:space="0" w:color="auto"/>
          </w:divBdr>
        </w:div>
      </w:divsChild>
    </w:div>
    <w:div w:id="1370572588">
      <w:marLeft w:val="0"/>
      <w:marRight w:val="0"/>
      <w:marTop w:val="0"/>
      <w:marBottom w:val="0"/>
      <w:divBdr>
        <w:top w:val="none" w:sz="0" w:space="0" w:color="auto"/>
        <w:left w:val="none" w:sz="0" w:space="0" w:color="auto"/>
        <w:bottom w:val="none" w:sz="0" w:space="0" w:color="auto"/>
        <w:right w:val="none" w:sz="0" w:space="0" w:color="auto"/>
      </w:divBdr>
      <w:divsChild>
        <w:div w:id="1288662226">
          <w:marLeft w:val="0"/>
          <w:marRight w:val="0"/>
          <w:marTop w:val="0"/>
          <w:marBottom w:val="0"/>
          <w:divBdr>
            <w:top w:val="none" w:sz="0" w:space="0" w:color="auto"/>
            <w:left w:val="none" w:sz="0" w:space="0" w:color="auto"/>
            <w:bottom w:val="none" w:sz="0" w:space="0" w:color="auto"/>
            <w:right w:val="none" w:sz="0" w:space="0" w:color="auto"/>
          </w:divBdr>
        </w:div>
      </w:divsChild>
    </w:div>
    <w:div w:id="1375233827">
      <w:marLeft w:val="0"/>
      <w:marRight w:val="0"/>
      <w:marTop w:val="0"/>
      <w:marBottom w:val="0"/>
      <w:divBdr>
        <w:top w:val="none" w:sz="0" w:space="0" w:color="auto"/>
        <w:left w:val="none" w:sz="0" w:space="0" w:color="auto"/>
        <w:bottom w:val="none" w:sz="0" w:space="0" w:color="auto"/>
        <w:right w:val="none" w:sz="0" w:space="0" w:color="auto"/>
      </w:divBdr>
      <w:divsChild>
        <w:div w:id="427509957">
          <w:marLeft w:val="0"/>
          <w:marRight w:val="0"/>
          <w:marTop w:val="0"/>
          <w:marBottom w:val="0"/>
          <w:divBdr>
            <w:top w:val="none" w:sz="0" w:space="0" w:color="auto"/>
            <w:left w:val="none" w:sz="0" w:space="0" w:color="auto"/>
            <w:bottom w:val="none" w:sz="0" w:space="0" w:color="auto"/>
            <w:right w:val="none" w:sz="0" w:space="0" w:color="auto"/>
          </w:divBdr>
        </w:div>
      </w:divsChild>
    </w:div>
    <w:div w:id="1375427903">
      <w:marLeft w:val="0"/>
      <w:marRight w:val="0"/>
      <w:marTop w:val="200"/>
      <w:marBottom w:val="0"/>
      <w:divBdr>
        <w:top w:val="none" w:sz="0" w:space="0" w:color="auto"/>
        <w:left w:val="none" w:sz="0" w:space="0" w:color="auto"/>
        <w:bottom w:val="none" w:sz="0" w:space="0" w:color="auto"/>
        <w:right w:val="none" w:sz="0" w:space="0" w:color="auto"/>
      </w:divBdr>
    </w:div>
    <w:div w:id="1375619972">
      <w:marLeft w:val="0"/>
      <w:marRight w:val="0"/>
      <w:marTop w:val="200"/>
      <w:marBottom w:val="0"/>
      <w:divBdr>
        <w:top w:val="none" w:sz="0" w:space="0" w:color="auto"/>
        <w:left w:val="none" w:sz="0" w:space="0" w:color="auto"/>
        <w:bottom w:val="none" w:sz="0" w:space="0" w:color="auto"/>
        <w:right w:val="none" w:sz="0" w:space="0" w:color="auto"/>
      </w:divBdr>
    </w:div>
    <w:div w:id="1375620697">
      <w:marLeft w:val="0"/>
      <w:marRight w:val="0"/>
      <w:marTop w:val="0"/>
      <w:marBottom w:val="0"/>
      <w:divBdr>
        <w:top w:val="none" w:sz="0" w:space="0" w:color="auto"/>
        <w:left w:val="none" w:sz="0" w:space="0" w:color="auto"/>
        <w:bottom w:val="none" w:sz="0" w:space="0" w:color="auto"/>
        <w:right w:val="none" w:sz="0" w:space="0" w:color="auto"/>
      </w:divBdr>
      <w:divsChild>
        <w:div w:id="1250122006">
          <w:marLeft w:val="0"/>
          <w:marRight w:val="0"/>
          <w:marTop w:val="0"/>
          <w:marBottom w:val="0"/>
          <w:divBdr>
            <w:top w:val="none" w:sz="0" w:space="0" w:color="auto"/>
            <w:left w:val="none" w:sz="0" w:space="0" w:color="auto"/>
            <w:bottom w:val="none" w:sz="0" w:space="0" w:color="auto"/>
            <w:right w:val="none" w:sz="0" w:space="0" w:color="auto"/>
          </w:divBdr>
        </w:div>
      </w:divsChild>
    </w:div>
    <w:div w:id="1378161388">
      <w:marLeft w:val="0"/>
      <w:marRight w:val="0"/>
      <w:marTop w:val="0"/>
      <w:marBottom w:val="0"/>
      <w:divBdr>
        <w:top w:val="none" w:sz="0" w:space="0" w:color="auto"/>
        <w:left w:val="none" w:sz="0" w:space="0" w:color="auto"/>
        <w:bottom w:val="none" w:sz="0" w:space="0" w:color="auto"/>
        <w:right w:val="none" w:sz="0" w:space="0" w:color="auto"/>
      </w:divBdr>
      <w:divsChild>
        <w:div w:id="1605652797">
          <w:marLeft w:val="0"/>
          <w:marRight w:val="0"/>
          <w:marTop w:val="0"/>
          <w:marBottom w:val="0"/>
          <w:divBdr>
            <w:top w:val="none" w:sz="0" w:space="0" w:color="auto"/>
            <w:left w:val="none" w:sz="0" w:space="0" w:color="auto"/>
            <w:bottom w:val="none" w:sz="0" w:space="0" w:color="auto"/>
            <w:right w:val="none" w:sz="0" w:space="0" w:color="auto"/>
          </w:divBdr>
        </w:div>
        <w:div w:id="1148590229">
          <w:marLeft w:val="0"/>
          <w:marRight w:val="0"/>
          <w:marTop w:val="0"/>
          <w:marBottom w:val="0"/>
          <w:divBdr>
            <w:top w:val="none" w:sz="0" w:space="0" w:color="auto"/>
            <w:left w:val="none" w:sz="0" w:space="0" w:color="auto"/>
            <w:bottom w:val="none" w:sz="0" w:space="0" w:color="auto"/>
            <w:right w:val="none" w:sz="0" w:space="0" w:color="auto"/>
          </w:divBdr>
        </w:div>
        <w:div w:id="695499223">
          <w:marLeft w:val="0"/>
          <w:marRight w:val="0"/>
          <w:marTop w:val="0"/>
          <w:marBottom w:val="0"/>
          <w:divBdr>
            <w:top w:val="none" w:sz="0" w:space="0" w:color="auto"/>
            <w:left w:val="none" w:sz="0" w:space="0" w:color="auto"/>
            <w:bottom w:val="none" w:sz="0" w:space="0" w:color="auto"/>
            <w:right w:val="none" w:sz="0" w:space="0" w:color="auto"/>
          </w:divBdr>
        </w:div>
        <w:div w:id="1464499488">
          <w:marLeft w:val="0"/>
          <w:marRight w:val="0"/>
          <w:marTop w:val="0"/>
          <w:marBottom w:val="0"/>
          <w:divBdr>
            <w:top w:val="none" w:sz="0" w:space="0" w:color="auto"/>
            <w:left w:val="none" w:sz="0" w:space="0" w:color="auto"/>
            <w:bottom w:val="none" w:sz="0" w:space="0" w:color="auto"/>
            <w:right w:val="none" w:sz="0" w:space="0" w:color="auto"/>
          </w:divBdr>
        </w:div>
      </w:divsChild>
    </w:div>
    <w:div w:id="1384476327">
      <w:marLeft w:val="0"/>
      <w:marRight w:val="0"/>
      <w:marTop w:val="0"/>
      <w:marBottom w:val="0"/>
      <w:divBdr>
        <w:top w:val="none" w:sz="0" w:space="0" w:color="auto"/>
        <w:left w:val="none" w:sz="0" w:space="0" w:color="auto"/>
        <w:bottom w:val="none" w:sz="0" w:space="0" w:color="auto"/>
        <w:right w:val="none" w:sz="0" w:space="0" w:color="auto"/>
      </w:divBdr>
    </w:div>
    <w:div w:id="1387409741">
      <w:marLeft w:val="0"/>
      <w:marRight w:val="0"/>
      <w:marTop w:val="0"/>
      <w:marBottom w:val="0"/>
      <w:divBdr>
        <w:top w:val="none" w:sz="0" w:space="0" w:color="auto"/>
        <w:left w:val="none" w:sz="0" w:space="0" w:color="auto"/>
        <w:bottom w:val="none" w:sz="0" w:space="0" w:color="auto"/>
        <w:right w:val="none" w:sz="0" w:space="0" w:color="auto"/>
      </w:divBdr>
    </w:div>
    <w:div w:id="1387756833">
      <w:marLeft w:val="0"/>
      <w:marRight w:val="0"/>
      <w:marTop w:val="0"/>
      <w:marBottom w:val="0"/>
      <w:divBdr>
        <w:top w:val="none" w:sz="0" w:space="0" w:color="auto"/>
        <w:left w:val="none" w:sz="0" w:space="0" w:color="auto"/>
        <w:bottom w:val="none" w:sz="0" w:space="0" w:color="auto"/>
        <w:right w:val="none" w:sz="0" w:space="0" w:color="auto"/>
      </w:divBdr>
    </w:div>
    <w:div w:id="1392461441">
      <w:marLeft w:val="0"/>
      <w:marRight w:val="0"/>
      <w:marTop w:val="0"/>
      <w:marBottom w:val="0"/>
      <w:divBdr>
        <w:top w:val="none" w:sz="0" w:space="0" w:color="auto"/>
        <w:left w:val="none" w:sz="0" w:space="0" w:color="auto"/>
        <w:bottom w:val="none" w:sz="0" w:space="0" w:color="auto"/>
        <w:right w:val="none" w:sz="0" w:space="0" w:color="auto"/>
      </w:divBdr>
      <w:divsChild>
        <w:div w:id="1109085221">
          <w:marLeft w:val="0"/>
          <w:marRight w:val="0"/>
          <w:marTop w:val="0"/>
          <w:marBottom w:val="0"/>
          <w:divBdr>
            <w:top w:val="none" w:sz="0" w:space="0" w:color="auto"/>
            <w:left w:val="none" w:sz="0" w:space="0" w:color="auto"/>
            <w:bottom w:val="none" w:sz="0" w:space="0" w:color="auto"/>
            <w:right w:val="none" w:sz="0" w:space="0" w:color="auto"/>
          </w:divBdr>
        </w:div>
      </w:divsChild>
    </w:div>
    <w:div w:id="1393232073">
      <w:marLeft w:val="0"/>
      <w:marRight w:val="0"/>
      <w:marTop w:val="200"/>
      <w:marBottom w:val="0"/>
      <w:divBdr>
        <w:top w:val="none" w:sz="0" w:space="0" w:color="auto"/>
        <w:left w:val="none" w:sz="0" w:space="0" w:color="auto"/>
        <w:bottom w:val="none" w:sz="0" w:space="0" w:color="auto"/>
        <w:right w:val="none" w:sz="0" w:space="0" w:color="auto"/>
      </w:divBdr>
    </w:div>
    <w:div w:id="1395661732">
      <w:marLeft w:val="0"/>
      <w:marRight w:val="0"/>
      <w:marTop w:val="0"/>
      <w:marBottom w:val="0"/>
      <w:divBdr>
        <w:top w:val="none" w:sz="0" w:space="0" w:color="auto"/>
        <w:left w:val="none" w:sz="0" w:space="0" w:color="auto"/>
        <w:bottom w:val="none" w:sz="0" w:space="0" w:color="auto"/>
        <w:right w:val="none" w:sz="0" w:space="0" w:color="auto"/>
      </w:divBdr>
    </w:div>
    <w:div w:id="1398626653">
      <w:marLeft w:val="0"/>
      <w:marRight w:val="0"/>
      <w:marTop w:val="0"/>
      <w:marBottom w:val="0"/>
      <w:divBdr>
        <w:top w:val="none" w:sz="0" w:space="0" w:color="auto"/>
        <w:left w:val="none" w:sz="0" w:space="0" w:color="auto"/>
        <w:bottom w:val="none" w:sz="0" w:space="0" w:color="auto"/>
        <w:right w:val="none" w:sz="0" w:space="0" w:color="auto"/>
      </w:divBdr>
      <w:divsChild>
        <w:div w:id="636230036">
          <w:marLeft w:val="0"/>
          <w:marRight w:val="0"/>
          <w:marTop w:val="0"/>
          <w:marBottom w:val="0"/>
          <w:divBdr>
            <w:top w:val="none" w:sz="0" w:space="0" w:color="auto"/>
            <w:left w:val="none" w:sz="0" w:space="0" w:color="auto"/>
            <w:bottom w:val="none" w:sz="0" w:space="0" w:color="auto"/>
            <w:right w:val="none" w:sz="0" w:space="0" w:color="auto"/>
          </w:divBdr>
        </w:div>
      </w:divsChild>
    </w:div>
    <w:div w:id="1400791018">
      <w:marLeft w:val="0"/>
      <w:marRight w:val="0"/>
      <w:marTop w:val="0"/>
      <w:marBottom w:val="0"/>
      <w:divBdr>
        <w:top w:val="none" w:sz="0" w:space="0" w:color="auto"/>
        <w:left w:val="none" w:sz="0" w:space="0" w:color="auto"/>
        <w:bottom w:val="none" w:sz="0" w:space="0" w:color="auto"/>
        <w:right w:val="none" w:sz="0" w:space="0" w:color="auto"/>
      </w:divBdr>
    </w:div>
    <w:div w:id="1408648321">
      <w:marLeft w:val="0"/>
      <w:marRight w:val="0"/>
      <w:marTop w:val="0"/>
      <w:marBottom w:val="0"/>
      <w:divBdr>
        <w:top w:val="none" w:sz="0" w:space="0" w:color="auto"/>
        <w:left w:val="none" w:sz="0" w:space="0" w:color="auto"/>
        <w:bottom w:val="none" w:sz="0" w:space="0" w:color="auto"/>
        <w:right w:val="none" w:sz="0" w:space="0" w:color="auto"/>
      </w:divBdr>
    </w:div>
    <w:div w:id="1412118482">
      <w:marLeft w:val="0"/>
      <w:marRight w:val="0"/>
      <w:marTop w:val="0"/>
      <w:marBottom w:val="0"/>
      <w:divBdr>
        <w:top w:val="none" w:sz="0" w:space="0" w:color="auto"/>
        <w:left w:val="none" w:sz="0" w:space="0" w:color="auto"/>
        <w:bottom w:val="none" w:sz="0" w:space="0" w:color="auto"/>
        <w:right w:val="none" w:sz="0" w:space="0" w:color="auto"/>
      </w:divBdr>
      <w:divsChild>
        <w:div w:id="507061149">
          <w:marLeft w:val="0"/>
          <w:marRight w:val="0"/>
          <w:marTop w:val="0"/>
          <w:marBottom w:val="0"/>
          <w:divBdr>
            <w:top w:val="none" w:sz="0" w:space="0" w:color="auto"/>
            <w:left w:val="none" w:sz="0" w:space="0" w:color="auto"/>
            <w:bottom w:val="none" w:sz="0" w:space="0" w:color="auto"/>
            <w:right w:val="none" w:sz="0" w:space="0" w:color="auto"/>
          </w:divBdr>
        </w:div>
      </w:divsChild>
    </w:div>
    <w:div w:id="1412192390">
      <w:marLeft w:val="0"/>
      <w:marRight w:val="0"/>
      <w:marTop w:val="0"/>
      <w:marBottom w:val="0"/>
      <w:divBdr>
        <w:top w:val="none" w:sz="0" w:space="0" w:color="auto"/>
        <w:left w:val="none" w:sz="0" w:space="0" w:color="auto"/>
        <w:bottom w:val="none" w:sz="0" w:space="0" w:color="auto"/>
        <w:right w:val="none" w:sz="0" w:space="0" w:color="auto"/>
      </w:divBdr>
    </w:div>
    <w:div w:id="1413620196">
      <w:marLeft w:val="0"/>
      <w:marRight w:val="0"/>
      <w:marTop w:val="200"/>
      <w:marBottom w:val="0"/>
      <w:divBdr>
        <w:top w:val="none" w:sz="0" w:space="0" w:color="auto"/>
        <w:left w:val="none" w:sz="0" w:space="0" w:color="auto"/>
        <w:bottom w:val="none" w:sz="0" w:space="0" w:color="auto"/>
        <w:right w:val="none" w:sz="0" w:space="0" w:color="auto"/>
      </w:divBdr>
    </w:div>
    <w:div w:id="1420129280">
      <w:marLeft w:val="0"/>
      <w:marRight w:val="0"/>
      <w:marTop w:val="200"/>
      <w:marBottom w:val="0"/>
      <w:divBdr>
        <w:top w:val="none" w:sz="0" w:space="0" w:color="auto"/>
        <w:left w:val="none" w:sz="0" w:space="0" w:color="auto"/>
        <w:bottom w:val="none" w:sz="0" w:space="0" w:color="auto"/>
        <w:right w:val="none" w:sz="0" w:space="0" w:color="auto"/>
      </w:divBdr>
    </w:div>
    <w:div w:id="1421368742">
      <w:marLeft w:val="0"/>
      <w:marRight w:val="0"/>
      <w:marTop w:val="100"/>
      <w:marBottom w:val="0"/>
      <w:divBdr>
        <w:top w:val="none" w:sz="0" w:space="0" w:color="auto"/>
        <w:left w:val="none" w:sz="0" w:space="0" w:color="auto"/>
        <w:bottom w:val="none" w:sz="0" w:space="0" w:color="auto"/>
        <w:right w:val="none" w:sz="0" w:space="0" w:color="auto"/>
      </w:divBdr>
      <w:divsChild>
        <w:div w:id="375856085">
          <w:marLeft w:val="0"/>
          <w:marRight w:val="0"/>
          <w:marTop w:val="0"/>
          <w:marBottom w:val="0"/>
          <w:divBdr>
            <w:top w:val="none" w:sz="0" w:space="0" w:color="auto"/>
            <w:left w:val="none" w:sz="0" w:space="0" w:color="auto"/>
            <w:bottom w:val="none" w:sz="0" w:space="0" w:color="auto"/>
            <w:right w:val="none" w:sz="0" w:space="0" w:color="auto"/>
          </w:divBdr>
        </w:div>
        <w:div w:id="1522469074">
          <w:marLeft w:val="0"/>
          <w:marRight w:val="0"/>
          <w:marTop w:val="0"/>
          <w:marBottom w:val="0"/>
          <w:divBdr>
            <w:top w:val="none" w:sz="0" w:space="0" w:color="auto"/>
            <w:left w:val="none" w:sz="0" w:space="0" w:color="auto"/>
            <w:bottom w:val="none" w:sz="0" w:space="0" w:color="auto"/>
            <w:right w:val="none" w:sz="0" w:space="0" w:color="auto"/>
          </w:divBdr>
        </w:div>
        <w:div w:id="1751538781">
          <w:marLeft w:val="0"/>
          <w:marRight w:val="0"/>
          <w:marTop w:val="0"/>
          <w:marBottom w:val="0"/>
          <w:divBdr>
            <w:top w:val="none" w:sz="0" w:space="0" w:color="auto"/>
            <w:left w:val="none" w:sz="0" w:space="0" w:color="auto"/>
            <w:bottom w:val="none" w:sz="0" w:space="0" w:color="auto"/>
            <w:right w:val="none" w:sz="0" w:space="0" w:color="auto"/>
          </w:divBdr>
        </w:div>
      </w:divsChild>
    </w:div>
    <w:div w:id="1422948205">
      <w:marLeft w:val="0"/>
      <w:marRight w:val="0"/>
      <w:marTop w:val="0"/>
      <w:marBottom w:val="0"/>
      <w:divBdr>
        <w:top w:val="none" w:sz="0" w:space="0" w:color="auto"/>
        <w:left w:val="none" w:sz="0" w:space="0" w:color="auto"/>
        <w:bottom w:val="none" w:sz="0" w:space="0" w:color="auto"/>
        <w:right w:val="none" w:sz="0" w:space="0" w:color="auto"/>
      </w:divBdr>
      <w:divsChild>
        <w:div w:id="836188756">
          <w:marLeft w:val="0"/>
          <w:marRight w:val="0"/>
          <w:marTop w:val="0"/>
          <w:marBottom w:val="0"/>
          <w:divBdr>
            <w:top w:val="none" w:sz="0" w:space="0" w:color="auto"/>
            <w:left w:val="none" w:sz="0" w:space="0" w:color="auto"/>
            <w:bottom w:val="none" w:sz="0" w:space="0" w:color="auto"/>
            <w:right w:val="none" w:sz="0" w:space="0" w:color="auto"/>
          </w:divBdr>
        </w:div>
      </w:divsChild>
    </w:div>
    <w:div w:id="1423797797">
      <w:marLeft w:val="0"/>
      <w:marRight w:val="0"/>
      <w:marTop w:val="0"/>
      <w:marBottom w:val="0"/>
      <w:divBdr>
        <w:top w:val="none" w:sz="0" w:space="0" w:color="auto"/>
        <w:left w:val="none" w:sz="0" w:space="0" w:color="auto"/>
        <w:bottom w:val="none" w:sz="0" w:space="0" w:color="auto"/>
        <w:right w:val="none" w:sz="0" w:space="0" w:color="auto"/>
      </w:divBdr>
    </w:div>
    <w:div w:id="1429739311">
      <w:marLeft w:val="0"/>
      <w:marRight w:val="0"/>
      <w:marTop w:val="0"/>
      <w:marBottom w:val="200"/>
      <w:divBdr>
        <w:top w:val="none" w:sz="0" w:space="0" w:color="auto"/>
        <w:left w:val="none" w:sz="0" w:space="0" w:color="auto"/>
        <w:bottom w:val="none" w:sz="0" w:space="0" w:color="auto"/>
        <w:right w:val="none" w:sz="0" w:space="0" w:color="auto"/>
      </w:divBdr>
    </w:div>
    <w:div w:id="1430391373">
      <w:marLeft w:val="0"/>
      <w:marRight w:val="0"/>
      <w:marTop w:val="200"/>
      <w:marBottom w:val="0"/>
      <w:divBdr>
        <w:top w:val="none" w:sz="0" w:space="0" w:color="auto"/>
        <w:left w:val="none" w:sz="0" w:space="0" w:color="auto"/>
        <w:bottom w:val="none" w:sz="0" w:space="0" w:color="auto"/>
        <w:right w:val="none" w:sz="0" w:space="0" w:color="auto"/>
      </w:divBdr>
    </w:div>
    <w:div w:id="1430853562">
      <w:marLeft w:val="0"/>
      <w:marRight w:val="0"/>
      <w:marTop w:val="0"/>
      <w:marBottom w:val="0"/>
      <w:divBdr>
        <w:top w:val="none" w:sz="0" w:space="0" w:color="auto"/>
        <w:left w:val="none" w:sz="0" w:space="0" w:color="auto"/>
        <w:bottom w:val="none" w:sz="0" w:space="0" w:color="auto"/>
        <w:right w:val="none" w:sz="0" w:space="0" w:color="auto"/>
      </w:divBdr>
      <w:divsChild>
        <w:div w:id="1459487843">
          <w:marLeft w:val="0"/>
          <w:marRight w:val="0"/>
          <w:marTop w:val="0"/>
          <w:marBottom w:val="0"/>
          <w:divBdr>
            <w:top w:val="none" w:sz="0" w:space="0" w:color="auto"/>
            <w:left w:val="none" w:sz="0" w:space="0" w:color="auto"/>
            <w:bottom w:val="none" w:sz="0" w:space="0" w:color="auto"/>
            <w:right w:val="none" w:sz="0" w:space="0" w:color="auto"/>
          </w:divBdr>
        </w:div>
      </w:divsChild>
    </w:div>
    <w:div w:id="1433625231">
      <w:marLeft w:val="0"/>
      <w:marRight w:val="0"/>
      <w:marTop w:val="200"/>
      <w:marBottom w:val="0"/>
      <w:divBdr>
        <w:top w:val="none" w:sz="0" w:space="0" w:color="auto"/>
        <w:left w:val="none" w:sz="0" w:space="0" w:color="auto"/>
        <w:bottom w:val="none" w:sz="0" w:space="0" w:color="auto"/>
        <w:right w:val="none" w:sz="0" w:space="0" w:color="auto"/>
      </w:divBdr>
    </w:div>
    <w:div w:id="1434983644">
      <w:marLeft w:val="0"/>
      <w:marRight w:val="0"/>
      <w:marTop w:val="200"/>
      <w:marBottom w:val="0"/>
      <w:divBdr>
        <w:top w:val="none" w:sz="0" w:space="0" w:color="auto"/>
        <w:left w:val="none" w:sz="0" w:space="0" w:color="auto"/>
        <w:bottom w:val="none" w:sz="0" w:space="0" w:color="auto"/>
        <w:right w:val="none" w:sz="0" w:space="0" w:color="auto"/>
      </w:divBdr>
    </w:div>
    <w:div w:id="1436637495">
      <w:marLeft w:val="0"/>
      <w:marRight w:val="0"/>
      <w:marTop w:val="0"/>
      <w:marBottom w:val="160"/>
      <w:divBdr>
        <w:top w:val="none" w:sz="0" w:space="0" w:color="auto"/>
        <w:left w:val="none" w:sz="0" w:space="0" w:color="auto"/>
        <w:bottom w:val="none" w:sz="0" w:space="0" w:color="auto"/>
        <w:right w:val="none" w:sz="0" w:space="0" w:color="auto"/>
      </w:divBdr>
    </w:div>
    <w:div w:id="1442647906">
      <w:marLeft w:val="0"/>
      <w:marRight w:val="0"/>
      <w:marTop w:val="200"/>
      <w:marBottom w:val="0"/>
      <w:divBdr>
        <w:top w:val="none" w:sz="0" w:space="0" w:color="auto"/>
        <w:left w:val="none" w:sz="0" w:space="0" w:color="auto"/>
        <w:bottom w:val="none" w:sz="0" w:space="0" w:color="auto"/>
        <w:right w:val="none" w:sz="0" w:space="0" w:color="auto"/>
      </w:divBdr>
    </w:div>
    <w:div w:id="1446193860">
      <w:marLeft w:val="0"/>
      <w:marRight w:val="0"/>
      <w:marTop w:val="0"/>
      <w:marBottom w:val="0"/>
      <w:divBdr>
        <w:top w:val="none" w:sz="0" w:space="0" w:color="auto"/>
        <w:left w:val="none" w:sz="0" w:space="0" w:color="auto"/>
        <w:bottom w:val="none" w:sz="0" w:space="0" w:color="auto"/>
        <w:right w:val="none" w:sz="0" w:space="0" w:color="auto"/>
      </w:divBdr>
      <w:divsChild>
        <w:div w:id="207958522">
          <w:marLeft w:val="0"/>
          <w:marRight w:val="0"/>
          <w:marTop w:val="0"/>
          <w:marBottom w:val="0"/>
          <w:divBdr>
            <w:top w:val="none" w:sz="0" w:space="0" w:color="auto"/>
            <w:left w:val="none" w:sz="0" w:space="0" w:color="auto"/>
            <w:bottom w:val="none" w:sz="0" w:space="0" w:color="auto"/>
            <w:right w:val="none" w:sz="0" w:space="0" w:color="auto"/>
          </w:divBdr>
        </w:div>
      </w:divsChild>
    </w:div>
    <w:div w:id="1446537210">
      <w:marLeft w:val="0"/>
      <w:marRight w:val="0"/>
      <w:marTop w:val="100"/>
      <w:marBottom w:val="0"/>
      <w:divBdr>
        <w:top w:val="none" w:sz="0" w:space="0" w:color="auto"/>
        <w:left w:val="none" w:sz="0" w:space="0" w:color="auto"/>
        <w:bottom w:val="none" w:sz="0" w:space="0" w:color="auto"/>
        <w:right w:val="none" w:sz="0" w:space="0" w:color="auto"/>
      </w:divBdr>
    </w:div>
    <w:div w:id="1453669063">
      <w:marLeft w:val="0"/>
      <w:marRight w:val="0"/>
      <w:marTop w:val="200"/>
      <w:marBottom w:val="0"/>
      <w:divBdr>
        <w:top w:val="none" w:sz="0" w:space="0" w:color="auto"/>
        <w:left w:val="none" w:sz="0" w:space="0" w:color="auto"/>
        <w:bottom w:val="none" w:sz="0" w:space="0" w:color="auto"/>
        <w:right w:val="none" w:sz="0" w:space="0" w:color="auto"/>
      </w:divBdr>
    </w:div>
    <w:div w:id="1455558641">
      <w:marLeft w:val="0"/>
      <w:marRight w:val="0"/>
      <w:marTop w:val="0"/>
      <w:marBottom w:val="0"/>
      <w:divBdr>
        <w:top w:val="none" w:sz="0" w:space="0" w:color="auto"/>
        <w:left w:val="none" w:sz="0" w:space="0" w:color="auto"/>
        <w:bottom w:val="none" w:sz="0" w:space="0" w:color="auto"/>
        <w:right w:val="none" w:sz="0" w:space="0" w:color="auto"/>
      </w:divBdr>
      <w:divsChild>
        <w:div w:id="1308241562">
          <w:marLeft w:val="0"/>
          <w:marRight w:val="0"/>
          <w:marTop w:val="0"/>
          <w:marBottom w:val="0"/>
          <w:divBdr>
            <w:top w:val="none" w:sz="0" w:space="0" w:color="auto"/>
            <w:left w:val="none" w:sz="0" w:space="0" w:color="auto"/>
            <w:bottom w:val="none" w:sz="0" w:space="0" w:color="auto"/>
            <w:right w:val="none" w:sz="0" w:space="0" w:color="auto"/>
          </w:divBdr>
        </w:div>
      </w:divsChild>
    </w:div>
    <w:div w:id="1456866948">
      <w:marLeft w:val="0"/>
      <w:marRight w:val="0"/>
      <w:marTop w:val="0"/>
      <w:marBottom w:val="0"/>
      <w:divBdr>
        <w:top w:val="none" w:sz="0" w:space="0" w:color="auto"/>
        <w:left w:val="none" w:sz="0" w:space="0" w:color="auto"/>
        <w:bottom w:val="none" w:sz="0" w:space="0" w:color="auto"/>
        <w:right w:val="none" w:sz="0" w:space="0" w:color="auto"/>
      </w:divBdr>
      <w:divsChild>
        <w:div w:id="1438407655">
          <w:marLeft w:val="0"/>
          <w:marRight w:val="0"/>
          <w:marTop w:val="0"/>
          <w:marBottom w:val="0"/>
          <w:divBdr>
            <w:top w:val="none" w:sz="0" w:space="0" w:color="auto"/>
            <w:left w:val="none" w:sz="0" w:space="0" w:color="auto"/>
            <w:bottom w:val="none" w:sz="0" w:space="0" w:color="auto"/>
            <w:right w:val="none" w:sz="0" w:space="0" w:color="auto"/>
          </w:divBdr>
        </w:div>
      </w:divsChild>
    </w:div>
    <w:div w:id="1457406159">
      <w:marLeft w:val="0"/>
      <w:marRight w:val="0"/>
      <w:marTop w:val="0"/>
      <w:marBottom w:val="0"/>
      <w:divBdr>
        <w:top w:val="none" w:sz="0" w:space="0" w:color="auto"/>
        <w:left w:val="none" w:sz="0" w:space="0" w:color="auto"/>
        <w:bottom w:val="none" w:sz="0" w:space="0" w:color="auto"/>
        <w:right w:val="none" w:sz="0" w:space="0" w:color="auto"/>
      </w:divBdr>
      <w:divsChild>
        <w:div w:id="1342783064">
          <w:marLeft w:val="0"/>
          <w:marRight w:val="0"/>
          <w:marTop w:val="0"/>
          <w:marBottom w:val="0"/>
          <w:divBdr>
            <w:top w:val="none" w:sz="0" w:space="0" w:color="auto"/>
            <w:left w:val="none" w:sz="0" w:space="0" w:color="auto"/>
            <w:bottom w:val="none" w:sz="0" w:space="0" w:color="auto"/>
            <w:right w:val="none" w:sz="0" w:space="0" w:color="auto"/>
          </w:divBdr>
        </w:div>
      </w:divsChild>
    </w:div>
    <w:div w:id="1458837124">
      <w:marLeft w:val="0"/>
      <w:marRight w:val="0"/>
      <w:marTop w:val="0"/>
      <w:marBottom w:val="0"/>
      <w:divBdr>
        <w:top w:val="none" w:sz="0" w:space="0" w:color="auto"/>
        <w:left w:val="none" w:sz="0" w:space="0" w:color="auto"/>
        <w:bottom w:val="none" w:sz="0" w:space="0" w:color="auto"/>
        <w:right w:val="none" w:sz="0" w:space="0" w:color="auto"/>
      </w:divBdr>
      <w:divsChild>
        <w:div w:id="1161501463">
          <w:marLeft w:val="0"/>
          <w:marRight w:val="0"/>
          <w:marTop w:val="0"/>
          <w:marBottom w:val="0"/>
          <w:divBdr>
            <w:top w:val="none" w:sz="0" w:space="0" w:color="auto"/>
            <w:left w:val="none" w:sz="0" w:space="0" w:color="auto"/>
            <w:bottom w:val="none" w:sz="0" w:space="0" w:color="auto"/>
            <w:right w:val="none" w:sz="0" w:space="0" w:color="auto"/>
          </w:divBdr>
        </w:div>
      </w:divsChild>
    </w:div>
    <w:div w:id="1460605624">
      <w:marLeft w:val="0"/>
      <w:marRight w:val="0"/>
      <w:marTop w:val="0"/>
      <w:marBottom w:val="0"/>
      <w:divBdr>
        <w:top w:val="none" w:sz="0" w:space="0" w:color="auto"/>
        <w:left w:val="none" w:sz="0" w:space="0" w:color="auto"/>
        <w:bottom w:val="none" w:sz="0" w:space="0" w:color="auto"/>
        <w:right w:val="none" w:sz="0" w:space="0" w:color="auto"/>
      </w:divBdr>
    </w:div>
    <w:div w:id="1463767109">
      <w:marLeft w:val="0"/>
      <w:marRight w:val="0"/>
      <w:marTop w:val="200"/>
      <w:marBottom w:val="0"/>
      <w:divBdr>
        <w:top w:val="none" w:sz="0" w:space="0" w:color="auto"/>
        <w:left w:val="none" w:sz="0" w:space="0" w:color="auto"/>
        <w:bottom w:val="none" w:sz="0" w:space="0" w:color="auto"/>
        <w:right w:val="none" w:sz="0" w:space="0" w:color="auto"/>
      </w:divBdr>
    </w:div>
    <w:div w:id="1465999564">
      <w:marLeft w:val="0"/>
      <w:marRight w:val="0"/>
      <w:marTop w:val="0"/>
      <w:marBottom w:val="0"/>
      <w:divBdr>
        <w:top w:val="none" w:sz="0" w:space="0" w:color="auto"/>
        <w:left w:val="none" w:sz="0" w:space="0" w:color="auto"/>
        <w:bottom w:val="none" w:sz="0" w:space="0" w:color="auto"/>
        <w:right w:val="none" w:sz="0" w:space="0" w:color="auto"/>
      </w:divBdr>
    </w:div>
    <w:div w:id="1466774425">
      <w:marLeft w:val="0"/>
      <w:marRight w:val="0"/>
      <w:marTop w:val="0"/>
      <w:marBottom w:val="0"/>
      <w:divBdr>
        <w:top w:val="none" w:sz="0" w:space="0" w:color="auto"/>
        <w:left w:val="none" w:sz="0" w:space="0" w:color="auto"/>
        <w:bottom w:val="none" w:sz="0" w:space="0" w:color="auto"/>
        <w:right w:val="none" w:sz="0" w:space="0" w:color="auto"/>
      </w:divBdr>
      <w:divsChild>
        <w:div w:id="149448503">
          <w:marLeft w:val="0"/>
          <w:marRight w:val="0"/>
          <w:marTop w:val="0"/>
          <w:marBottom w:val="0"/>
          <w:divBdr>
            <w:top w:val="none" w:sz="0" w:space="0" w:color="auto"/>
            <w:left w:val="none" w:sz="0" w:space="0" w:color="auto"/>
            <w:bottom w:val="none" w:sz="0" w:space="0" w:color="auto"/>
            <w:right w:val="none" w:sz="0" w:space="0" w:color="auto"/>
          </w:divBdr>
        </w:div>
      </w:divsChild>
    </w:div>
    <w:div w:id="1468356214">
      <w:marLeft w:val="0"/>
      <w:marRight w:val="0"/>
      <w:marTop w:val="0"/>
      <w:marBottom w:val="0"/>
      <w:divBdr>
        <w:top w:val="none" w:sz="0" w:space="0" w:color="auto"/>
        <w:left w:val="none" w:sz="0" w:space="0" w:color="auto"/>
        <w:bottom w:val="none" w:sz="0" w:space="0" w:color="auto"/>
        <w:right w:val="none" w:sz="0" w:space="0" w:color="auto"/>
      </w:divBdr>
      <w:divsChild>
        <w:div w:id="599799634">
          <w:marLeft w:val="0"/>
          <w:marRight w:val="0"/>
          <w:marTop w:val="0"/>
          <w:marBottom w:val="0"/>
          <w:divBdr>
            <w:top w:val="none" w:sz="0" w:space="0" w:color="auto"/>
            <w:left w:val="none" w:sz="0" w:space="0" w:color="auto"/>
            <w:bottom w:val="none" w:sz="0" w:space="0" w:color="auto"/>
            <w:right w:val="none" w:sz="0" w:space="0" w:color="auto"/>
          </w:divBdr>
        </w:div>
      </w:divsChild>
    </w:div>
    <w:div w:id="1470708903">
      <w:marLeft w:val="0"/>
      <w:marRight w:val="0"/>
      <w:marTop w:val="0"/>
      <w:marBottom w:val="0"/>
      <w:divBdr>
        <w:top w:val="none" w:sz="0" w:space="0" w:color="auto"/>
        <w:left w:val="none" w:sz="0" w:space="0" w:color="auto"/>
        <w:bottom w:val="none" w:sz="0" w:space="0" w:color="auto"/>
        <w:right w:val="none" w:sz="0" w:space="0" w:color="auto"/>
      </w:divBdr>
      <w:divsChild>
        <w:div w:id="233010296">
          <w:marLeft w:val="0"/>
          <w:marRight w:val="0"/>
          <w:marTop w:val="0"/>
          <w:marBottom w:val="0"/>
          <w:divBdr>
            <w:top w:val="none" w:sz="0" w:space="0" w:color="auto"/>
            <w:left w:val="none" w:sz="0" w:space="0" w:color="auto"/>
            <w:bottom w:val="none" w:sz="0" w:space="0" w:color="auto"/>
            <w:right w:val="none" w:sz="0" w:space="0" w:color="auto"/>
          </w:divBdr>
        </w:div>
      </w:divsChild>
    </w:div>
    <w:div w:id="1471290361">
      <w:marLeft w:val="0"/>
      <w:marRight w:val="0"/>
      <w:marTop w:val="0"/>
      <w:marBottom w:val="0"/>
      <w:divBdr>
        <w:top w:val="none" w:sz="0" w:space="0" w:color="auto"/>
        <w:left w:val="none" w:sz="0" w:space="0" w:color="auto"/>
        <w:bottom w:val="none" w:sz="0" w:space="0" w:color="auto"/>
        <w:right w:val="none" w:sz="0" w:space="0" w:color="auto"/>
      </w:divBdr>
    </w:div>
    <w:div w:id="1472401966">
      <w:marLeft w:val="0"/>
      <w:marRight w:val="0"/>
      <w:marTop w:val="200"/>
      <w:marBottom w:val="0"/>
      <w:divBdr>
        <w:top w:val="none" w:sz="0" w:space="0" w:color="auto"/>
        <w:left w:val="none" w:sz="0" w:space="0" w:color="auto"/>
        <w:bottom w:val="none" w:sz="0" w:space="0" w:color="auto"/>
        <w:right w:val="none" w:sz="0" w:space="0" w:color="auto"/>
      </w:divBdr>
    </w:div>
    <w:div w:id="1475105601">
      <w:marLeft w:val="0"/>
      <w:marRight w:val="0"/>
      <w:marTop w:val="180"/>
      <w:marBottom w:val="0"/>
      <w:divBdr>
        <w:top w:val="none" w:sz="0" w:space="0" w:color="auto"/>
        <w:left w:val="none" w:sz="0" w:space="0" w:color="auto"/>
        <w:bottom w:val="none" w:sz="0" w:space="0" w:color="auto"/>
        <w:right w:val="none" w:sz="0" w:space="0" w:color="auto"/>
      </w:divBdr>
    </w:div>
    <w:div w:id="1476794386">
      <w:marLeft w:val="0"/>
      <w:marRight w:val="0"/>
      <w:marTop w:val="200"/>
      <w:marBottom w:val="0"/>
      <w:divBdr>
        <w:top w:val="none" w:sz="0" w:space="0" w:color="auto"/>
        <w:left w:val="none" w:sz="0" w:space="0" w:color="auto"/>
        <w:bottom w:val="none" w:sz="0" w:space="0" w:color="auto"/>
        <w:right w:val="none" w:sz="0" w:space="0" w:color="auto"/>
      </w:divBdr>
    </w:div>
    <w:div w:id="1477140334">
      <w:marLeft w:val="0"/>
      <w:marRight w:val="0"/>
      <w:marTop w:val="0"/>
      <w:marBottom w:val="0"/>
      <w:divBdr>
        <w:top w:val="none" w:sz="0" w:space="0" w:color="auto"/>
        <w:left w:val="none" w:sz="0" w:space="0" w:color="auto"/>
        <w:bottom w:val="none" w:sz="0" w:space="0" w:color="auto"/>
        <w:right w:val="none" w:sz="0" w:space="0" w:color="auto"/>
      </w:divBdr>
      <w:divsChild>
        <w:div w:id="1116678643">
          <w:marLeft w:val="0"/>
          <w:marRight w:val="0"/>
          <w:marTop w:val="0"/>
          <w:marBottom w:val="0"/>
          <w:divBdr>
            <w:top w:val="none" w:sz="0" w:space="0" w:color="auto"/>
            <w:left w:val="none" w:sz="0" w:space="0" w:color="auto"/>
            <w:bottom w:val="none" w:sz="0" w:space="0" w:color="auto"/>
            <w:right w:val="none" w:sz="0" w:space="0" w:color="auto"/>
          </w:divBdr>
        </w:div>
        <w:div w:id="1609503385">
          <w:marLeft w:val="0"/>
          <w:marRight w:val="0"/>
          <w:marTop w:val="0"/>
          <w:marBottom w:val="0"/>
          <w:divBdr>
            <w:top w:val="none" w:sz="0" w:space="0" w:color="auto"/>
            <w:left w:val="none" w:sz="0" w:space="0" w:color="auto"/>
            <w:bottom w:val="none" w:sz="0" w:space="0" w:color="auto"/>
            <w:right w:val="none" w:sz="0" w:space="0" w:color="auto"/>
          </w:divBdr>
        </w:div>
        <w:div w:id="1980107832">
          <w:marLeft w:val="0"/>
          <w:marRight w:val="0"/>
          <w:marTop w:val="0"/>
          <w:marBottom w:val="0"/>
          <w:divBdr>
            <w:top w:val="none" w:sz="0" w:space="0" w:color="auto"/>
            <w:left w:val="none" w:sz="0" w:space="0" w:color="auto"/>
            <w:bottom w:val="none" w:sz="0" w:space="0" w:color="auto"/>
            <w:right w:val="none" w:sz="0" w:space="0" w:color="auto"/>
          </w:divBdr>
        </w:div>
        <w:div w:id="1471240397">
          <w:marLeft w:val="0"/>
          <w:marRight w:val="0"/>
          <w:marTop w:val="0"/>
          <w:marBottom w:val="0"/>
          <w:divBdr>
            <w:top w:val="none" w:sz="0" w:space="0" w:color="auto"/>
            <w:left w:val="none" w:sz="0" w:space="0" w:color="auto"/>
            <w:bottom w:val="none" w:sz="0" w:space="0" w:color="auto"/>
            <w:right w:val="none" w:sz="0" w:space="0" w:color="auto"/>
          </w:divBdr>
        </w:div>
      </w:divsChild>
    </w:div>
    <w:div w:id="1482038300">
      <w:marLeft w:val="0"/>
      <w:marRight w:val="0"/>
      <w:marTop w:val="200"/>
      <w:marBottom w:val="0"/>
      <w:divBdr>
        <w:top w:val="none" w:sz="0" w:space="0" w:color="auto"/>
        <w:left w:val="none" w:sz="0" w:space="0" w:color="auto"/>
        <w:bottom w:val="none" w:sz="0" w:space="0" w:color="auto"/>
        <w:right w:val="none" w:sz="0" w:space="0" w:color="auto"/>
      </w:divBdr>
    </w:div>
    <w:div w:id="1483235711">
      <w:marLeft w:val="0"/>
      <w:marRight w:val="0"/>
      <w:marTop w:val="200"/>
      <w:marBottom w:val="0"/>
      <w:divBdr>
        <w:top w:val="none" w:sz="0" w:space="0" w:color="auto"/>
        <w:left w:val="none" w:sz="0" w:space="0" w:color="auto"/>
        <w:bottom w:val="none" w:sz="0" w:space="0" w:color="auto"/>
        <w:right w:val="none" w:sz="0" w:space="0" w:color="auto"/>
      </w:divBdr>
    </w:div>
    <w:div w:id="1488130447">
      <w:marLeft w:val="0"/>
      <w:marRight w:val="0"/>
      <w:marTop w:val="0"/>
      <w:marBottom w:val="0"/>
      <w:divBdr>
        <w:top w:val="none" w:sz="0" w:space="0" w:color="auto"/>
        <w:left w:val="none" w:sz="0" w:space="0" w:color="auto"/>
        <w:bottom w:val="none" w:sz="0" w:space="0" w:color="auto"/>
        <w:right w:val="none" w:sz="0" w:space="0" w:color="auto"/>
      </w:divBdr>
    </w:div>
    <w:div w:id="1493764070">
      <w:marLeft w:val="0"/>
      <w:marRight w:val="0"/>
      <w:marTop w:val="0"/>
      <w:marBottom w:val="0"/>
      <w:divBdr>
        <w:top w:val="none" w:sz="0" w:space="0" w:color="auto"/>
        <w:left w:val="none" w:sz="0" w:space="0" w:color="auto"/>
        <w:bottom w:val="none" w:sz="0" w:space="0" w:color="auto"/>
        <w:right w:val="none" w:sz="0" w:space="0" w:color="auto"/>
      </w:divBdr>
    </w:div>
    <w:div w:id="1493908474">
      <w:marLeft w:val="0"/>
      <w:marRight w:val="0"/>
      <w:marTop w:val="200"/>
      <w:marBottom w:val="0"/>
      <w:divBdr>
        <w:top w:val="none" w:sz="0" w:space="0" w:color="auto"/>
        <w:left w:val="none" w:sz="0" w:space="0" w:color="auto"/>
        <w:bottom w:val="none" w:sz="0" w:space="0" w:color="auto"/>
        <w:right w:val="none" w:sz="0" w:space="0" w:color="auto"/>
      </w:divBdr>
    </w:div>
    <w:div w:id="1494369452">
      <w:marLeft w:val="0"/>
      <w:marRight w:val="0"/>
      <w:marTop w:val="0"/>
      <w:marBottom w:val="0"/>
      <w:divBdr>
        <w:top w:val="none" w:sz="0" w:space="0" w:color="auto"/>
        <w:left w:val="none" w:sz="0" w:space="0" w:color="auto"/>
        <w:bottom w:val="none" w:sz="0" w:space="0" w:color="auto"/>
        <w:right w:val="none" w:sz="0" w:space="0" w:color="auto"/>
      </w:divBdr>
      <w:divsChild>
        <w:div w:id="266273221">
          <w:marLeft w:val="0"/>
          <w:marRight w:val="0"/>
          <w:marTop w:val="0"/>
          <w:marBottom w:val="0"/>
          <w:divBdr>
            <w:top w:val="none" w:sz="0" w:space="0" w:color="auto"/>
            <w:left w:val="none" w:sz="0" w:space="0" w:color="auto"/>
            <w:bottom w:val="none" w:sz="0" w:space="0" w:color="auto"/>
            <w:right w:val="none" w:sz="0" w:space="0" w:color="auto"/>
          </w:divBdr>
        </w:div>
      </w:divsChild>
    </w:div>
    <w:div w:id="1496611171">
      <w:marLeft w:val="0"/>
      <w:marRight w:val="0"/>
      <w:marTop w:val="0"/>
      <w:marBottom w:val="0"/>
      <w:divBdr>
        <w:top w:val="none" w:sz="0" w:space="0" w:color="auto"/>
        <w:left w:val="none" w:sz="0" w:space="0" w:color="auto"/>
        <w:bottom w:val="none" w:sz="0" w:space="0" w:color="auto"/>
        <w:right w:val="none" w:sz="0" w:space="0" w:color="auto"/>
      </w:divBdr>
      <w:divsChild>
        <w:div w:id="1878200000">
          <w:marLeft w:val="0"/>
          <w:marRight w:val="0"/>
          <w:marTop w:val="0"/>
          <w:marBottom w:val="0"/>
          <w:divBdr>
            <w:top w:val="none" w:sz="0" w:space="0" w:color="auto"/>
            <w:left w:val="none" w:sz="0" w:space="0" w:color="auto"/>
            <w:bottom w:val="none" w:sz="0" w:space="0" w:color="auto"/>
            <w:right w:val="none" w:sz="0" w:space="0" w:color="auto"/>
          </w:divBdr>
        </w:div>
      </w:divsChild>
    </w:div>
    <w:div w:id="1501384617">
      <w:marLeft w:val="0"/>
      <w:marRight w:val="0"/>
      <w:marTop w:val="0"/>
      <w:marBottom w:val="0"/>
      <w:divBdr>
        <w:top w:val="none" w:sz="0" w:space="0" w:color="auto"/>
        <w:left w:val="none" w:sz="0" w:space="0" w:color="auto"/>
        <w:bottom w:val="none" w:sz="0" w:space="0" w:color="auto"/>
        <w:right w:val="none" w:sz="0" w:space="0" w:color="auto"/>
      </w:divBdr>
    </w:div>
    <w:div w:id="1506363824">
      <w:marLeft w:val="0"/>
      <w:marRight w:val="0"/>
      <w:marTop w:val="0"/>
      <w:marBottom w:val="200"/>
      <w:divBdr>
        <w:top w:val="none" w:sz="0" w:space="0" w:color="auto"/>
        <w:left w:val="none" w:sz="0" w:space="0" w:color="auto"/>
        <w:bottom w:val="none" w:sz="0" w:space="0" w:color="auto"/>
        <w:right w:val="none" w:sz="0" w:space="0" w:color="auto"/>
      </w:divBdr>
    </w:div>
    <w:div w:id="1507401902">
      <w:marLeft w:val="0"/>
      <w:marRight w:val="0"/>
      <w:marTop w:val="200"/>
      <w:marBottom w:val="0"/>
      <w:divBdr>
        <w:top w:val="none" w:sz="0" w:space="0" w:color="auto"/>
        <w:left w:val="none" w:sz="0" w:space="0" w:color="auto"/>
        <w:bottom w:val="none" w:sz="0" w:space="0" w:color="auto"/>
        <w:right w:val="none" w:sz="0" w:space="0" w:color="auto"/>
      </w:divBdr>
    </w:div>
    <w:div w:id="1509950950">
      <w:marLeft w:val="0"/>
      <w:marRight w:val="0"/>
      <w:marTop w:val="0"/>
      <w:marBottom w:val="0"/>
      <w:divBdr>
        <w:top w:val="none" w:sz="0" w:space="0" w:color="auto"/>
        <w:left w:val="none" w:sz="0" w:space="0" w:color="auto"/>
        <w:bottom w:val="none" w:sz="0" w:space="0" w:color="auto"/>
        <w:right w:val="none" w:sz="0" w:space="0" w:color="auto"/>
      </w:divBdr>
    </w:div>
    <w:div w:id="1514997358">
      <w:marLeft w:val="0"/>
      <w:marRight w:val="0"/>
      <w:marTop w:val="0"/>
      <w:marBottom w:val="0"/>
      <w:divBdr>
        <w:top w:val="none" w:sz="0" w:space="0" w:color="auto"/>
        <w:left w:val="none" w:sz="0" w:space="0" w:color="auto"/>
        <w:bottom w:val="none" w:sz="0" w:space="0" w:color="auto"/>
        <w:right w:val="none" w:sz="0" w:space="0" w:color="auto"/>
      </w:divBdr>
      <w:divsChild>
        <w:div w:id="962467070">
          <w:marLeft w:val="0"/>
          <w:marRight w:val="0"/>
          <w:marTop w:val="0"/>
          <w:marBottom w:val="0"/>
          <w:divBdr>
            <w:top w:val="none" w:sz="0" w:space="0" w:color="auto"/>
            <w:left w:val="none" w:sz="0" w:space="0" w:color="auto"/>
            <w:bottom w:val="none" w:sz="0" w:space="0" w:color="auto"/>
            <w:right w:val="none" w:sz="0" w:space="0" w:color="auto"/>
          </w:divBdr>
        </w:div>
      </w:divsChild>
    </w:div>
    <w:div w:id="1518077133">
      <w:marLeft w:val="0"/>
      <w:marRight w:val="0"/>
      <w:marTop w:val="100"/>
      <w:marBottom w:val="0"/>
      <w:divBdr>
        <w:top w:val="none" w:sz="0" w:space="0" w:color="auto"/>
        <w:left w:val="none" w:sz="0" w:space="0" w:color="auto"/>
        <w:bottom w:val="none" w:sz="0" w:space="0" w:color="auto"/>
        <w:right w:val="none" w:sz="0" w:space="0" w:color="auto"/>
      </w:divBdr>
      <w:divsChild>
        <w:div w:id="1237545760">
          <w:marLeft w:val="0"/>
          <w:marRight w:val="0"/>
          <w:marTop w:val="0"/>
          <w:marBottom w:val="240"/>
          <w:divBdr>
            <w:top w:val="none" w:sz="0" w:space="0" w:color="auto"/>
            <w:left w:val="none" w:sz="0" w:space="0" w:color="auto"/>
            <w:bottom w:val="none" w:sz="0" w:space="0" w:color="auto"/>
            <w:right w:val="none" w:sz="0" w:space="0" w:color="auto"/>
          </w:divBdr>
        </w:div>
      </w:divsChild>
    </w:div>
    <w:div w:id="1520464412">
      <w:marLeft w:val="0"/>
      <w:marRight w:val="0"/>
      <w:marTop w:val="225"/>
      <w:marBottom w:val="0"/>
      <w:divBdr>
        <w:top w:val="none" w:sz="0" w:space="0" w:color="auto"/>
        <w:left w:val="none" w:sz="0" w:space="0" w:color="auto"/>
        <w:bottom w:val="none" w:sz="0" w:space="0" w:color="auto"/>
        <w:right w:val="none" w:sz="0" w:space="0" w:color="auto"/>
      </w:divBdr>
    </w:div>
    <w:div w:id="1520509813">
      <w:marLeft w:val="0"/>
      <w:marRight w:val="0"/>
      <w:marTop w:val="0"/>
      <w:marBottom w:val="0"/>
      <w:divBdr>
        <w:top w:val="none" w:sz="0" w:space="0" w:color="auto"/>
        <w:left w:val="none" w:sz="0" w:space="0" w:color="auto"/>
        <w:bottom w:val="none" w:sz="0" w:space="0" w:color="auto"/>
        <w:right w:val="none" w:sz="0" w:space="0" w:color="auto"/>
      </w:divBdr>
      <w:divsChild>
        <w:div w:id="342561849">
          <w:marLeft w:val="0"/>
          <w:marRight w:val="0"/>
          <w:marTop w:val="0"/>
          <w:marBottom w:val="0"/>
          <w:divBdr>
            <w:top w:val="none" w:sz="0" w:space="0" w:color="auto"/>
            <w:left w:val="none" w:sz="0" w:space="0" w:color="auto"/>
            <w:bottom w:val="none" w:sz="0" w:space="0" w:color="auto"/>
            <w:right w:val="none" w:sz="0" w:space="0" w:color="auto"/>
          </w:divBdr>
        </w:div>
      </w:divsChild>
    </w:div>
    <w:div w:id="1522082548">
      <w:marLeft w:val="0"/>
      <w:marRight w:val="0"/>
      <w:marTop w:val="0"/>
      <w:marBottom w:val="0"/>
      <w:divBdr>
        <w:top w:val="none" w:sz="0" w:space="0" w:color="auto"/>
        <w:left w:val="none" w:sz="0" w:space="0" w:color="auto"/>
        <w:bottom w:val="none" w:sz="0" w:space="0" w:color="auto"/>
        <w:right w:val="none" w:sz="0" w:space="0" w:color="auto"/>
      </w:divBdr>
    </w:div>
    <w:div w:id="1526555158">
      <w:marLeft w:val="0"/>
      <w:marRight w:val="0"/>
      <w:marTop w:val="100"/>
      <w:marBottom w:val="0"/>
      <w:divBdr>
        <w:top w:val="none" w:sz="0" w:space="0" w:color="auto"/>
        <w:left w:val="none" w:sz="0" w:space="0" w:color="auto"/>
        <w:bottom w:val="none" w:sz="0" w:space="0" w:color="auto"/>
        <w:right w:val="none" w:sz="0" w:space="0" w:color="auto"/>
      </w:divBdr>
    </w:div>
    <w:div w:id="1527866881">
      <w:marLeft w:val="0"/>
      <w:marRight w:val="0"/>
      <w:marTop w:val="0"/>
      <w:marBottom w:val="0"/>
      <w:divBdr>
        <w:top w:val="none" w:sz="0" w:space="0" w:color="auto"/>
        <w:left w:val="none" w:sz="0" w:space="0" w:color="auto"/>
        <w:bottom w:val="none" w:sz="0" w:space="0" w:color="auto"/>
        <w:right w:val="none" w:sz="0" w:space="0" w:color="auto"/>
      </w:divBdr>
      <w:divsChild>
        <w:div w:id="762871682">
          <w:marLeft w:val="0"/>
          <w:marRight w:val="0"/>
          <w:marTop w:val="0"/>
          <w:marBottom w:val="0"/>
          <w:divBdr>
            <w:top w:val="none" w:sz="0" w:space="0" w:color="auto"/>
            <w:left w:val="none" w:sz="0" w:space="0" w:color="auto"/>
            <w:bottom w:val="none" w:sz="0" w:space="0" w:color="auto"/>
            <w:right w:val="none" w:sz="0" w:space="0" w:color="auto"/>
          </w:divBdr>
        </w:div>
      </w:divsChild>
    </w:div>
    <w:div w:id="1529372950">
      <w:marLeft w:val="0"/>
      <w:marRight w:val="0"/>
      <w:marTop w:val="0"/>
      <w:marBottom w:val="0"/>
      <w:divBdr>
        <w:top w:val="none" w:sz="0" w:space="0" w:color="auto"/>
        <w:left w:val="none" w:sz="0" w:space="0" w:color="auto"/>
        <w:bottom w:val="none" w:sz="0" w:space="0" w:color="auto"/>
        <w:right w:val="none" w:sz="0" w:space="0" w:color="auto"/>
      </w:divBdr>
      <w:divsChild>
        <w:div w:id="1383749580">
          <w:marLeft w:val="0"/>
          <w:marRight w:val="0"/>
          <w:marTop w:val="0"/>
          <w:marBottom w:val="0"/>
          <w:divBdr>
            <w:top w:val="none" w:sz="0" w:space="0" w:color="auto"/>
            <w:left w:val="none" w:sz="0" w:space="0" w:color="auto"/>
            <w:bottom w:val="none" w:sz="0" w:space="0" w:color="auto"/>
            <w:right w:val="none" w:sz="0" w:space="0" w:color="auto"/>
          </w:divBdr>
        </w:div>
      </w:divsChild>
    </w:div>
    <w:div w:id="1529834714">
      <w:marLeft w:val="0"/>
      <w:marRight w:val="0"/>
      <w:marTop w:val="100"/>
      <w:marBottom w:val="0"/>
      <w:divBdr>
        <w:top w:val="none" w:sz="0" w:space="0" w:color="auto"/>
        <w:left w:val="none" w:sz="0" w:space="0" w:color="auto"/>
        <w:bottom w:val="none" w:sz="0" w:space="0" w:color="auto"/>
        <w:right w:val="none" w:sz="0" w:space="0" w:color="auto"/>
      </w:divBdr>
    </w:div>
    <w:div w:id="1530027249">
      <w:marLeft w:val="0"/>
      <w:marRight w:val="0"/>
      <w:marTop w:val="0"/>
      <w:marBottom w:val="0"/>
      <w:divBdr>
        <w:top w:val="none" w:sz="0" w:space="0" w:color="auto"/>
        <w:left w:val="none" w:sz="0" w:space="0" w:color="auto"/>
        <w:bottom w:val="none" w:sz="0" w:space="0" w:color="auto"/>
        <w:right w:val="none" w:sz="0" w:space="0" w:color="auto"/>
      </w:divBdr>
    </w:div>
    <w:div w:id="1530027522">
      <w:marLeft w:val="0"/>
      <w:marRight w:val="0"/>
      <w:marTop w:val="0"/>
      <w:marBottom w:val="160"/>
      <w:divBdr>
        <w:top w:val="none" w:sz="0" w:space="0" w:color="auto"/>
        <w:left w:val="none" w:sz="0" w:space="0" w:color="auto"/>
        <w:bottom w:val="none" w:sz="0" w:space="0" w:color="auto"/>
        <w:right w:val="none" w:sz="0" w:space="0" w:color="auto"/>
      </w:divBdr>
    </w:div>
    <w:div w:id="1530295759">
      <w:marLeft w:val="0"/>
      <w:marRight w:val="0"/>
      <w:marTop w:val="0"/>
      <w:marBottom w:val="200"/>
      <w:divBdr>
        <w:top w:val="none" w:sz="0" w:space="0" w:color="auto"/>
        <w:left w:val="none" w:sz="0" w:space="0" w:color="auto"/>
        <w:bottom w:val="none" w:sz="0" w:space="0" w:color="auto"/>
        <w:right w:val="none" w:sz="0" w:space="0" w:color="auto"/>
      </w:divBdr>
    </w:div>
    <w:div w:id="1531064346">
      <w:marLeft w:val="0"/>
      <w:marRight w:val="0"/>
      <w:marTop w:val="0"/>
      <w:marBottom w:val="0"/>
      <w:divBdr>
        <w:top w:val="none" w:sz="0" w:space="0" w:color="auto"/>
        <w:left w:val="none" w:sz="0" w:space="0" w:color="auto"/>
        <w:bottom w:val="none" w:sz="0" w:space="0" w:color="auto"/>
        <w:right w:val="none" w:sz="0" w:space="0" w:color="auto"/>
      </w:divBdr>
      <w:divsChild>
        <w:div w:id="1513033360">
          <w:marLeft w:val="0"/>
          <w:marRight w:val="0"/>
          <w:marTop w:val="0"/>
          <w:marBottom w:val="0"/>
          <w:divBdr>
            <w:top w:val="none" w:sz="0" w:space="0" w:color="auto"/>
            <w:left w:val="none" w:sz="0" w:space="0" w:color="auto"/>
            <w:bottom w:val="none" w:sz="0" w:space="0" w:color="auto"/>
            <w:right w:val="none" w:sz="0" w:space="0" w:color="auto"/>
          </w:divBdr>
        </w:div>
        <w:div w:id="836307565">
          <w:marLeft w:val="0"/>
          <w:marRight w:val="0"/>
          <w:marTop w:val="0"/>
          <w:marBottom w:val="0"/>
          <w:divBdr>
            <w:top w:val="none" w:sz="0" w:space="0" w:color="auto"/>
            <w:left w:val="none" w:sz="0" w:space="0" w:color="auto"/>
            <w:bottom w:val="none" w:sz="0" w:space="0" w:color="auto"/>
            <w:right w:val="none" w:sz="0" w:space="0" w:color="auto"/>
          </w:divBdr>
        </w:div>
        <w:div w:id="139931183">
          <w:marLeft w:val="0"/>
          <w:marRight w:val="0"/>
          <w:marTop w:val="0"/>
          <w:marBottom w:val="0"/>
          <w:divBdr>
            <w:top w:val="none" w:sz="0" w:space="0" w:color="auto"/>
            <w:left w:val="none" w:sz="0" w:space="0" w:color="auto"/>
            <w:bottom w:val="none" w:sz="0" w:space="0" w:color="auto"/>
            <w:right w:val="none" w:sz="0" w:space="0" w:color="auto"/>
          </w:divBdr>
        </w:div>
        <w:div w:id="1629896777">
          <w:marLeft w:val="0"/>
          <w:marRight w:val="0"/>
          <w:marTop w:val="0"/>
          <w:marBottom w:val="0"/>
          <w:divBdr>
            <w:top w:val="none" w:sz="0" w:space="0" w:color="auto"/>
            <w:left w:val="none" w:sz="0" w:space="0" w:color="auto"/>
            <w:bottom w:val="none" w:sz="0" w:space="0" w:color="auto"/>
            <w:right w:val="none" w:sz="0" w:space="0" w:color="auto"/>
          </w:divBdr>
        </w:div>
      </w:divsChild>
    </w:div>
    <w:div w:id="1531410299">
      <w:marLeft w:val="0"/>
      <w:marRight w:val="0"/>
      <w:marTop w:val="200"/>
      <w:marBottom w:val="0"/>
      <w:divBdr>
        <w:top w:val="none" w:sz="0" w:space="0" w:color="auto"/>
        <w:left w:val="none" w:sz="0" w:space="0" w:color="auto"/>
        <w:bottom w:val="none" w:sz="0" w:space="0" w:color="auto"/>
        <w:right w:val="none" w:sz="0" w:space="0" w:color="auto"/>
      </w:divBdr>
    </w:div>
    <w:div w:id="1538160766">
      <w:marLeft w:val="0"/>
      <w:marRight w:val="0"/>
      <w:marTop w:val="60"/>
      <w:marBottom w:val="0"/>
      <w:divBdr>
        <w:top w:val="none" w:sz="0" w:space="0" w:color="auto"/>
        <w:left w:val="none" w:sz="0" w:space="0" w:color="auto"/>
        <w:bottom w:val="none" w:sz="0" w:space="0" w:color="auto"/>
        <w:right w:val="none" w:sz="0" w:space="0" w:color="auto"/>
      </w:divBdr>
    </w:div>
    <w:div w:id="1541624579">
      <w:marLeft w:val="0"/>
      <w:marRight w:val="0"/>
      <w:marTop w:val="0"/>
      <w:marBottom w:val="0"/>
      <w:divBdr>
        <w:top w:val="none" w:sz="0" w:space="0" w:color="auto"/>
        <w:left w:val="none" w:sz="0" w:space="0" w:color="auto"/>
        <w:bottom w:val="none" w:sz="0" w:space="0" w:color="auto"/>
        <w:right w:val="none" w:sz="0" w:space="0" w:color="auto"/>
      </w:divBdr>
    </w:div>
    <w:div w:id="1541933965">
      <w:marLeft w:val="0"/>
      <w:marRight w:val="0"/>
      <w:marTop w:val="0"/>
      <w:marBottom w:val="0"/>
      <w:divBdr>
        <w:top w:val="none" w:sz="0" w:space="0" w:color="auto"/>
        <w:left w:val="none" w:sz="0" w:space="0" w:color="auto"/>
        <w:bottom w:val="none" w:sz="0" w:space="0" w:color="auto"/>
        <w:right w:val="none" w:sz="0" w:space="0" w:color="auto"/>
      </w:divBdr>
      <w:divsChild>
        <w:div w:id="363598301">
          <w:marLeft w:val="0"/>
          <w:marRight w:val="0"/>
          <w:marTop w:val="0"/>
          <w:marBottom w:val="0"/>
          <w:divBdr>
            <w:top w:val="none" w:sz="0" w:space="0" w:color="auto"/>
            <w:left w:val="none" w:sz="0" w:space="0" w:color="auto"/>
            <w:bottom w:val="none" w:sz="0" w:space="0" w:color="auto"/>
            <w:right w:val="none" w:sz="0" w:space="0" w:color="auto"/>
          </w:divBdr>
        </w:div>
        <w:div w:id="1762026014">
          <w:marLeft w:val="0"/>
          <w:marRight w:val="0"/>
          <w:marTop w:val="0"/>
          <w:marBottom w:val="0"/>
          <w:divBdr>
            <w:top w:val="none" w:sz="0" w:space="0" w:color="auto"/>
            <w:left w:val="none" w:sz="0" w:space="0" w:color="auto"/>
            <w:bottom w:val="none" w:sz="0" w:space="0" w:color="auto"/>
            <w:right w:val="none" w:sz="0" w:space="0" w:color="auto"/>
          </w:divBdr>
        </w:div>
        <w:div w:id="1150636885">
          <w:marLeft w:val="0"/>
          <w:marRight w:val="0"/>
          <w:marTop w:val="0"/>
          <w:marBottom w:val="0"/>
          <w:divBdr>
            <w:top w:val="none" w:sz="0" w:space="0" w:color="auto"/>
            <w:left w:val="none" w:sz="0" w:space="0" w:color="auto"/>
            <w:bottom w:val="none" w:sz="0" w:space="0" w:color="auto"/>
            <w:right w:val="none" w:sz="0" w:space="0" w:color="auto"/>
          </w:divBdr>
        </w:div>
        <w:div w:id="2070498128">
          <w:marLeft w:val="0"/>
          <w:marRight w:val="0"/>
          <w:marTop w:val="0"/>
          <w:marBottom w:val="0"/>
          <w:divBdr>
            <w:top w:val="none" w:sz="0" w:space="0" w:color="auto"/>
            <w:left w:val="none" w:sz="0" w:space="0" w:color="auto"/>
            <w:bottom w:val="none" w:sz="0" w:space="0" w:color="auto"/>
            <w:right w:val="none" w:sz="0" w:space="0" w:color="auto"/>
          </w:divBdr>
        </w:div>
      </w:divsChild>
    </w:div>
    <w:div w:id="1542353238">
      <w:marLeft w:val="0"/>
      <w:marRight w:val="0"/>
      <w:marTop w:val="100"/>
      <w:marBottom w:val="0"/>
      <w:divBdr>
        <w:top w:val="none" w:sz="0" w:space="0" w:color="auto"/>
        <w:left w:val="none" w:sz="0" w:space="0" w:color="auto"/>
        <w:bottom w:val="none" w:sz="0" w:space="0" w:color="auto"/>
        <w:right w:val="none" w:sz="0" w:space="0" w:color="auto"/>
      </w:divBdr>
    </w:div>
    <w:div w:id="1549146609">
      <w:marLeft w:val="0"/>
      <w:marRight w:val="0"/>
      <w:marTop w:val="0"/>
      <w:marBottom w:val="0"/>
      <w:divBdr>
        <w:top w:val="none" w:sz="0" w:space="0" w:color="auto"/>
        <w:left w:val="none" w:sz="0" w:space="0" w:color="auto"/>
        <w:bottom w:val="none" w:sz="0" w:space="0" w:color="auto"/>
        <w:right w:val="none" w:sz="0" w:space="0" w:color="auto"/>
      </w:divBdr>
    </w:div>
    <w:div w:id="1550417237">
      <w:marLeft w:val="0"/>
      <w:marRight w:val="0"/>
      <w:marTop w:val="0"/>
      <w:marBottom w:val="0"/>
      <w:divBdr>
        <w:top w:val="none" w:sz="0" w:space="0" w:color="auto"/>
        <w:left w:val="none" w:sz="0" w:space="0" w:color="auto"/>
        <w:bottom w:val="none" w:sz="0" w:space="0" w:color="auto"/>
        <w:right w:val="none" w:sz="0" w:space="0" w:color="auto"/>
      </w:divBdr>
      <w:divsChild>
        <w:div w:id="265617801">
          <w:marLeft w:val="0"/>
          <w:marRight w:val="0"/>
          <w:marTop w:val="0"/>
          <w:marBottom w:val="0"/>
          <w:divBdr>
            <w:top w:val="none" w:sz="0" w:space="0" w:color="auto"/>
            <w:left w:val="none" w:sz="0" w:space="0" w:color="auto"/>
            <w:bottom w:val="none" w:sz="0" w:space="0" w:color="auto"/>
            <w:right w:val="none" w:sz="0" w:space="0" w:color="auto"/>
          </w:divBdr>
        </w:div>
      </w:divsChild>
    </w:div>
    <w:div w:id="1551766166">
      <w:marLeft w:val="0"/>
      <w:marRight w:val="0"/>
      <w:marTop w:val="0"/>
      <w:marBottom w:val="0"/>
      <w:divBdr>
        <w:top w:val="none" w:sz="0" w:space="0" w:color="auto"/>
        <w:left w:val="none" w:sz="0" w:space="0" w:color="auto"/>
        <w:bottom w:val="none" w:sz="0" w:space="0" w:color="auto"/>
        <w:right w:val="none" w:sz="0" w:space="0" w:color="auto"/>
      </w:divBdr>
      <w:divsChild>
        <w:div w:id="366610351">
          <w:marLeft w:val="0"/>
          <w:marRight w:val="0"/>
          <w:marTop w:val="0"/>
          <w:marBottom w:val="0"/>
          <w:divBdr>
            <w:top w:val="none" w:sz="0" w:space="0" w:color="auto"/>
            <w:left w:val="none" w:sz="0" w:space="0" w:color="auto"/>
            <w:bottom w:val="none" w:sz="0" w:space="0" w:color="auto"/>
            <w:right w:val="none" w:sz="0" w:space="0" w:color="auto"/>
          </w:divBdr>
        </w:div>
      </w:divsChild>
    </w:div>
    <w:div w:id="1555392046">
      <w:marLeft w:val="0"/>
      <w:marRight w:val="0"/>
      <w:marTop w:val="0"/>
      <w:marBottom w:val="0"/>
      <w:divBdr>
        <w:top w:val="none" w:sz="0" w:space="0" w:color="auto"/>
        <w:left w:val="none" w:sz="0" w:space="0" w:color="auto"/>
        <w:bottom w:val="none" w:sz="0" w:space="0" w:color="auto"/>
        <w:right w:val="none" w:sz="0" w:space="0" w:color="auto"/>
      </w:divBdr>
    </w:div>
    <w:div w:id="1557743138">
      <w:marLeft w:val="0"/>
      <w:marRight w:val="0"/>
      <w:marTop w:val="200"/>
      <w:marBottom w:val="0"/>
      <w:divBdr>
        <w:top w:val="none" w:sz="0" w:space="0" w:color="auto"/>
        <w:left w:val="none" w:sz="0" w:space="0" w:color="auto"/>
        <w:bottom w:val="none" w:sz="0" w:space="0" w:color="auto"/>
        <w:right w:val="none" w:sz="0" w:space="0" w:color="auto"/>
      </w:divBdr>
    </w:div>
    <w:div w:id="1558738633">
      <w:marLeft w:val="0"/>
      <w:marRight w:val="0"/>
      <w:marTop w:val="200"/>
      <w:marBottom w:val="0"/>
      <w:divBdr>
        <w:top w:val="none" w:sz="0" w:space="0" w:color="auto"/>
        <w:left w:val="none" w:sz="0" w:space="0" w:color="auto"/>
        <w:bottom w:val="none" w:sz="0" w:space="0" w:color="auto"/>
        <w:right w:val="none" w:sz="0" w:space="0" w:color="auto"/>
      </w:divBdr>
    </w:div>
    <w:div w:id="1564026115">
      <w:marLeft w:val="0"/>
      <w:marRight w:val="0"/>
      <w:marTop w:val="0"/>
      <w:marBottom w:val="0"/>
      <w:divBdr>
        <w:top w:val="none" w:sz="0" w:space="0" w:color="auto"/>
        <w:left w:val="none" w:sz="0" w:space="0" w:color="auto"/>
        <w:bottom w:val="none" w:sz="0" w:space="0" w:color="auto"/>
        <w:right w:val="none" w:sz="0" w:space="0" w:color="auto"/>
      </w:divBdr>
      <w:divsChild>
        <w:div w:id="410352601">
          <w:marLeft w:val="0"/>
          <w:marRight w:val="0"/>
          <w:marTop w:val="0"/>
          <w:marBottom w:val="0"/>
          <w:divBdr>
            <w:top w:val="none" w:sz="0" w:space="0" w:color="auto"/>
            <w:left w:val="none" w:sz="0" w:space="0" w:color="auto"/>
            <w:bottom w:val="none" w:sz="0" w:space="0" w:color="auto"/>
            <w:right w:val="none" w:sz="0" w:space="0" w:color="auto"/>
          </w:divBdr>
        </w:div>
      </w:divsChild>
    </w:div>
    <w:div w:id="1570114061">
      <w:marLeft w:val="0"/>
      <w:marRight w:val="0"/>
      <w:marTop w:val="0"/>
      <w:marBottom w:val="0"/>
      <w:divBdr>
        <w:top w:val="none" w:sz="0" w:space="0" w:color="auto"/>
        <w:left w:val="none" w:sz="0" w:space="0" w:color="auto"/>
        <w:bottom w:val="none" w:sz="0" w:space="0" w:color="auto"/>
        <w:right w:val="none" w:sz="0" w:space="0" w:color="auto"/>
      </w:divBdr>
    </w:div>
    <w:div w:id="1570771563">
      <w:marLeft w:val="0"/>
      <w:marRight w:val="0"/>
      <w:marTop w:val="0"/>
      <w:marBottom w:val="0"/>
      <w:divBdr>
        <w:top w:val="none" w:sz="0" w:space="0" w:color="auto"/>
        <w:left w:val="none" w:sz="0" w:space="0" w:color="auto"/>
        <w:bottom w:val="none" w:sz="0" w:space="0" w:color="auto"/>
        <w:right w:val="none" w:sz="0" w:space="0" w:color="auto"/>
      </w:divBdr>
      <w:divsChild>
        <w:div w:id="218443558">
          <w:marLeft w:val="0"/>
          <w:marRight w:val="0"/>
          <w:marTop w:val="0"/>
          <w:marBottom w:val="0"/>
          <w:divBdr>
            <w:top w:val="none" w:sz="0" w:space="0" w:color="auto"/>
            <w:left w:val="none" w:sz="0" w:space="0" w:color="auto"/>
            <w:bottom w:val="none" w:sz="0" w:space="0" w:color="auto"/>
            <w:right w:val="none" w:sz="0" w:space="0" w:color="auto"/>
          </w:divBdr>
        </w:div>
      </w:divsChild>
    </w:div>
    <w:div w:id="1573001311">
      <w:marLeft w:val="0"/>
      <w:marRight w:val="0"/>
      <w:marTop w:val="100"/>
      <w:marBottom w:val="0"/>
      <w:divBdr>
        <w:top w:val="none" w:sz="0" w:space="0" w:color="auto"/>
        <w:left w:val="none" w:sz="0" w:space="0" w:color="auto"/>
        <w:bottom w:val="none" w:sz="0" w:space="0" w:color="auto"/>
        <w:right w:val="none" w:sz="0" w:space="0" w:color="auto"/>
      </w:divBdr>
    </w:div>
    <w:div w:id="1576623449">
      <w:marLeft w:val="0"/>
      <w:marRight w:val="0"/>
      <w:marTop w:val="0"/>
      <w:marBottom w:val="0"/>
      <w:divBdr>
        <w:top w:val="none" w:sz="0" w:space="0" w:color="auto"/>
        <w:left w:val="none" w:sz="0" w:space="0" w:color="auto"/>
        <w:bottom w:val="none" w:sz="0" w:space="0" w:color="auto"/>
        <w:right w:val="none" w:sz="0" w:space="0" w:color="auto"/>
      </w:divBdr>
      <w:divsChild>
        <w:div w:id="611017797">
          <w:marLeft w:val="0"/>
          <w:marRight w:val="0"/>
          <w:marTop w:val="0"/>
          <w:marBottom w:val="0"/>
          <w:divBdr>
            <w:top w:val="none" w:sz="0" w:space="0" w:color="auto"/>
            <w:left w:val="none" w:sz="0" w:space="0" w:color="auto"/>
            <w:bottom w:val="none" w:sz="0" w:space="0" w:color="auto"/>
            <w:right w:val="none" w:sz="0" w:space="0" w:color="auto"/>
          </w:divBdr>
        </w:div>
      </w:divsChild>
    </w:div>
    <w:div w:id="1577862730">
      <w:marLeft w:val="0"/>
      <w:marRight w:val="0"/>
      <w:marTop w:val="200"/>
      <w:marBottom w:val="0"/>
      <w:divBdr>
        <w:top w:val="none" w:sz="0" w:space="0" w:color="auto"/>
        <w:left w:val="none" w:sz="0" w:space="0" w:color="auto"/>
        <w:bottom w:val="none" w:sz="0" w:space="0" w:color="auto"/>
        <w:right w:val="none" w:sz="0" w:space="0" w:color="auto"/>
      </w:divBdr>
    </w:div>
    <w:div w:id="1578133791">
      <w:marLeft w:val="0"/>
      <w:marRight w:val="0"/>
      <w:marTop w:val="0"/>
      <w:marBottom w:val="0"/>
      <w:divBdr>
        <w:top w:val="none" w:sz="0" w:space="0" w:color="auto"/>
        <w:left w:val="none" w:sz="0" w:space="0" w:color="auto"/>
        <w:bottom w:val="none" w:sz="0" w:space="0" w:color="auto"/>
        <w:right w:val="none" w:sz="0" w:space="0" w:color="auto"/>
      </w:divBdr>
      <w:divsChild>
        <w:div w:id="199904280">
          <w:marLeft w:val="0"/>
          <w:marRight w:val="0"/>
          <w:marTop w:val="0"/>
          <w:marBottom w:val="0"/>
          <w:divBdr>
            <w:top w:val="none" w:sz="0" w:space="0" w:color="auto"/>
            <w:left w:val="none" w:sz="0" w:space="0" w:color="auto"/>
            <w:bottom w:val="none" w:sz="0" w:space="0" w:color="auto"/>
            <w:right w:val="none" w:sz="0" w:space="0" w:color="auto"/>
          </w:divBdr>
        </w:div>
      </w:divsChild>
    </w:div>
    <w:div w:id="1579746811">
      <w:marLeft w:val="0"/>
      <w:marRight w:val="0"/>
      <w:marTop w:val="0"/>
      <w:marBottom w:val="0"/>
      <w:divBdr>
        <w:top w:val="none" w:sz="0" w:space="0" w:color="auto"/>
        <w:left w:val="none" w:sz="0" w:space="0" w:color="auto"/>
        <w:bottom w:val="none" w:sz="0" w:space="0" w:color="auto"/>
        <w:right w:val="none" w:sz="0" w:space="0" w:color="auto"/>
      </w:divBdr>
    </w:div>
    <w:div w:id="1582059271">
      <w:marLeft w:val="0"/>
      <w:marRight w:val="0"/>
      <w:marTop w:val="0"/>
      <w:marBottom w:val="0"/>
      <w:divBdr>
        <w:top w:val="none" w:sz="0" w:space="0" w:color="auto"/>
        <w:left w:val="none" w:sz="0" w:space="0" w:color="auto"/>
        <w:bottom w:val="none" w:sz="0" w:space="0" w:color="auto"/>
        <w:right w:val="none" w:sz="0" w:space="0" w:color="auto"/>
      </w:divBdr>
      <w:divsChild>
        <w:div w:id="1446580427">
          <w:marLeft w:val="0"/>
          <w:marRight w:val="0"/>
          <w:marTop w:val="0"/>
          <w:marBottom w:val="0"/>
          <w:divBdr>
            <w:top w:val="none" w:sz="0" w:space="0" w:color="auto"/>
            <w:left w:val="none" w:sz="0" w:space="0" w:color="auto"/>
            <w:bottom w:val="none" w:sz="0" w:space="0" w:color="auto"/>
            <w:right w:val="none" w:sz="0" w:space="0" w:color="auto"/>
          </w:divBdr>
        </w:div>
        <w:div w:id="1361660259">
          <w:marLeft w:val="0"/>
          <w:marRight w:val="0"/>
          <w:marTop w:val="0"/>
          <w:marBottom w:val="0"/>
          <w:divBdr>
            <w:top w:val="none" w:sz="0" w:space="0" w:color="auto"/>
            <w:left w:val="none" w:sz="0" w:space="0" w:color="auto"/>
            <w:bottom w:val="none" w:sz="0" w:space="0" w:color="auto"/>
            <w:right w:val="none" w:sz="0" w:space="0" w:color="auto"/>
          </w:divBdr>
        </w:div>
        <w:div w:id="1944220772">
          <w:marLeft w:val="0"/>
          <w:marRight w:val="0"/>
          <w:marTop w:val="0"/>
          <w:marBottom w:val="0"/>
          <w:divBdr>
            <w:top w:val="none" w:sz="0" w:space="0" w:color="auto"/>
            <w:left w:val="none" w:sz="0" w:space="0" w:color="auto"/>
            <w:bottom w:val="none" w:sz="0" w:space="0" w:color="auto"/>
            <w:right w:val="none" w:sz="0" w:space="0" w:color="auto"/>
          </w:divBdr>
        </w:div>
        <w:div w:id="1257448156">
          <w:marLeft w:val="0"/>
          <w:marRight w:val="0"/>
          <w:marTop w:val="0"/>
          <w:marBottom w:val="0"/>
          <w:divBdr>
            <w:top w:val="none" w:sz="0" w:space="0" w:color="auto"/>
            <w:left w:val="none" w:sz="0" w:space="0" w:color="auto"/>
            <w:bottom w:val="none" w:sz="0" w:space="0" w:color="auto"/>
            <w:right w:val="none" w:sz="0" w:space="0" w:color="auto"/>
          </w:divBdr>
        </w:div>
      </w:divsChild>
    </w:div>
    <w:div w:id="1582444686">
      <w:marLeft w:val="0"/>
      <w:marRight w:val="0"/>
      <w:marTop w:val="0"/>
      <w:marBottom w:val="0"/>
      <w:divBdr>
        <w:top w:val="none" w:sz="0" w:space="0" w:color="auto"/>
        <w:left w:val="none" w:sz="0" w:space="0" w:color="auto"/>
        <w:bottom w:val="none" w:sz="0" w:space="0" w:color="auto"/>
        <w:right w:val="none" w:sz="0" w:space="0" w:color="auto"/>
      </w:divBdr>
      <w:divsChild>
        <w:div w:id="1864661435">
          <w:marLeft w:val="0"/>
          <w:marRight w:val="0"/>
          <w:marTop w:val="0"/>
          <w:marBottom w:val="0"/>
          <w:divBdr>
            <w:top w:val="none" w:sz="0" w:space="0" w:color="auto"/>
            <w:left w:val="none" w:sz="0" w:space="0" w:color="auto"/>
            <w:bottom w:val="none" w:sz="0" w:space="0" w:color="auto"/>
            <w:right w:val="none" w:sz="0" w:space="0" w:color="auto"/>
          </w:divBdr>
        </w:div>
        <w:div w:id="477308016">
          <w:marLeft w:val="0"/>
          <w:marRight w:val="0"/>
          <w:marTop w:val="0"/>
          <w:marBottom w:val="0"/>
          <w:divBdr>
            <w:top w:val="none" w:sz="0" w:space="0" w:color="auto"/>
            <w:left w:val="none" w:sz="0" w:space="0" w:color="auto"/>
            <w:bottom w:val="none" w:sz="0" w:space="0" w:color="auto"/>
            <w:right w:val="none" w:sz="0" w:space="0" w:color="auto"/>
          </w:divBdr>
        </w:div>
        <w:div w:id="1737779354">
          <w:marLeft w:val="0"/>
          <w:marRight w:val="0"/>
          <w:marTop w:val="0"/>
          <w:marBottom w:val="0"/>
          <w:divBdr>
            <w:top w:val="none" w:sz="0" w:space="0" w:color="auto"/>
            <w:left w:val="none" w:sz="0" w:space="0" w:color="auto"/>
            <w:bottom w:val="none" w:sz="0" w:space="0" w:color="auto"/>
            <w:right w:val="none" w:sz="0" w:space="0" w:color="auto"/>
          </w:divBdr>
        </w:div>
        <w:div w:id="367343452">
          <w:marLeft w:val="0"/>
          <w:marRight w:val="0"/>
          <w:marTop w:val="0"/>
          <w:marBottom w:val="0"/>
          <w:divBdr>
            <w:top w:val="none" w:sz="0" w:space="0" w:color="auto"/>
            <w:left w:val="none" w:sz="0" w:space="0" w:color="auto"/>
            <w:bottom w:val="none" w:sz="0" w:space="0" w:color="auto"/>
            <w:right w:val="none" w:sz="0" w:space="0" w:color="auto"/>
          </w:divBdr>
        </w:div>
      </w:divsChild>
    </w:div>
    <w:div w:id="1583643951">
      <w:marLeft w:val="0"/>
      <w:marRight w:val="0"/>
      <w:marTop w:val="100"/>
      <w:marBottom w:val="0"/>
      <w:divBdr>
        <w:top w:val="none" w:sz="0" w:space="0" w:color="auto"/>
        <w:left w:val="none" w:sz="0" w:space="0" w:color="auto"/>
        <w:bottom w:val="none" w:sz="0" w:space="0" w:color="auto"/>
        <w:right w:val="none" w:sz="0" w:space="0" w:color="auto"/>
      </w:divBdr>
    </w:div>
    <w:div w:id="1584148649">
      <w:marLeft w:val="0"/>
      <w:marRight w:val="0"/>
      <w:marTop w:val="200"/>
      <w:marBottom w:val="0"/>
      <w:divBdr>
        <w:top w:val="none" w:sz="0" w:space="0" w:color="auto"/>
        <w:left w:val="none" w:sz="0" w:space="0" w:color="auto"/>
        <w:bottom w:val="none" w:sz="0" w:space="0" w:color="auto"/>
        <w:right w:val="none" w:sz="0" w:space="0" w:color="auto"/>
      </w:divBdr>
    </w:div>
    <w:div w:id="1585186469">
      <w:marLeft w:val="0"/>
      <w:marRight w:val="0"/>
      <w:marTop w:val="0"/>
      <w:marBottom w:val="0"/>
      <w:divBdr>
        <w:top w:val="none" w:sz="0" w:space="0" w:color="auto"/>
        <w:left w:val="none" w:sz="0" w:space="0" w:color="auto"/>
        <w:bottom w:val="none" w:sz="0" w:space="0" w:color="auto"/>
        <w:right w:val="none" w:sz="0" w:space="0" w:color="auto"/>
      </w:divBdr>
      <w:divsChild>
        <w:div w:id="143551738">
          <w:marLeft w:val="0"/>
          <w:marRight w:val="0"/>
          <w:marTop w:val="0"/>
          <w:marBottom w:val="0"/>
          <w:divBdr>
            <w:top w:val="none" w:sz="0" w:space="0" w:color="auto"/>
            <w:left w:val="none" w:sz="0" w:space="0" w:color="auto"/>
            <w:bottom w:val="none" w:sz="0" w:space="0" w:color="auto"/>
            <w:right w:val="none" w:sz="0" w:space="0" w:color="auto"/>
          </w:divBdr>
        </w:div>
      </w:divsChild>
    </w:div>
    <w:div w:id="1587307308">
      <w:marLeft w:val="0"/>
      <w:marRight w:val="0"/>
      <w:marTop w:val="0"/>
      <w:marBottom w:val="0"/>
      <w:divBdr>
        <w:top w:val="none" w:sz="0" w:space="0" w:color="auto"/>
        <w:left w:val="none" w:sz="0" w:space="0" w:color="auto"/>
        <w:bottom w:val="none" w:sz="0" w:space="0" w:color="auto"/>
        <w:right w:val="none" w:sz="0" w:space="0" w:color="auto"/>
      </w:divBdr>
      <w:divsChild>
        <w:div w:id="1655406283">
          <w:marLeft w:val="0"/>
          <w:marRight w:val="0"/>
          <w:marTop w:val="0"/>
          <w:marBottom w:val="0"/>
          <w:divBdr>
            <w:top w:val="none" w:sz="0" w:space="0" w:color="auto"/>
            <w:left w:val="none" w:sz="0" w:space="0" w:color="auto"/>
            <w:bottom w:val="none" w:sz="0" w:space="0" w:color="auto"/>
            <w:right w:val="none" w:sz="0" w:space="0" w:color="auto"/>
          </w:divBdr>
        </w:div>
      </w:divsChild>
    </w:div>
    <w:div w:id="1589149588">
      <w:marLeft w:val="0"/>
      <w:marRight w:val="0"/>
      <w:marTop w:val="0"/>
      <w:marBottom w:val="0"/>
      <w:divBdr>
        <w:top w:val="none" w:sz="0" w:space="0" w:color="auto"/>
        <w:left w:val="none" w:sz="0" w:space="0" w:color="auto"/>
        <w:bottom w:val="none" w:sz="0" w:space="0" w:color="auto"/>
        <w:right w:val="none" w:sz="0" w:space="0" w:color="auto"/>
      </w:divBdr>
      <w:divsChild>
        <w:div w:id="2111315375">
          <w:marLeft w:val="0"/>
          <w:marRight w:val="0"/>
          <w:marTop w:val="0"/>
          <w:marBottom w:val="0"/>
          <w:divBdr>
            <w:top w:val="none" w:sz="0" w:space="0" w:color="auto"/>
            <w:left w:val="none" w:sz="0" w:space="0" w:color="auto"/>
            <w:bottom w:val="none" w:sz="0" w:space="0" w:color="auto"/>
            <w:right w:val="none" w:sz="0" w:space="0" w:color="auto"/>
          </w:divBdr>
        </w:div>
      </w:divsChild>
    </w:div>
    <w:div w:id="1589390345">
      <w:marLeft w:val="0"/>
      <w:marRight w:val="0"/>
      <w:marTop w:val="0"/>
      <w:marBottom w:val="0"/>
      <w:divBdr>
        <w:top w:val="none" w:sz="0" w:space="0" w:color="auto"/>
        <w:left w:val="none" w:sz="0" w:space="0" w:color="auto"/>
        <w:bottom w:val="none" w:sz="0" w:space="0" w:color="auto"/>
        <w:right w:val="none" w:sz="0" w:space="0" w:color="auto"/>
      </w:divBdr>
      <w:divsChild>
        <w:div w:id="595986785">
          <w:marLeft w:val="0"/>
          <w:marRight w:val="0"/>
          <w:marTop w:val="0"/>
          <w:marBottom w:val="0"/>
          <w:divBdr>
            <w:top w:val="none" w:sz="0" w:space="0" w:color="auto"/>
            <w:left w:val="none" w:sz="0" w:space="0" w:color="auto"/>
            <w:bottom w:val="none" w:sz="0" w:space="0" w:color="auto"/>
            <w:right w:val="none" w:sz="0" w:space="0" w:color="auto"/>
          </w:divBdr>
        </w:div>
      </w:divsChild>
    </w:div>
    <w:div w:id="1589651004">
      <w:marLeft w:val="0"/>
      <w:marRight w:val="0"/>
      <w:marTop w:val="0"/>
      <w:marBottom w:val="0"/>
      <w:divBdr>
        <w:top w:val="none" w:sz="0" w:space="0" w:color="auto"/>
        <w:left w:val="none" w:sz="0" w:space="0" w:color="auto"/>
        <w:bottom w:val="none" w:sz="0" w:space="0" w:color="auto"/>
        <w:right w:val="none" w:sz="0" w:space="0" w:color="auto"/>
      </w:divBdr>
    </w:div>
    <w:div w:id="1591699179">
      <w:marLeft w:val="0"/>
      <w:marRight w:val="0"/>
      <w:marTop w:val="0"/>
      <w:marBottom w:val="0"/>
      <w:divBdr>
        <w:top w:val="none" w:sz="0" w:space="0" w:color="auto"/>
        <w:left w:val="none" w:sz="0" w:space="0" w:color="auto"/>
        <w:bottom w:val="none" w:sz="0" w:space="0" w:color="auto"/>
        <w:right w:val="none" w:sz="0" w:space="0" w:color="auto"/>
      </w:divBdr>
      <w:divsChild>
        <w:div w:id="849563733">
          <w:marLeft w:val="0"/>
          <w:marRight w:val="0"/>
          <w:marTop w:val="0"/>
          <w:marBottom w:val="0"/>
          <w:divBdr>
            <w:top w:val="none" w:sz="0" w:space="0" w:color="auto"/>
            <w:left w:val="none" w:sz="0" w:space="0" w:color="auto"/>
            <w:bottom w:val="none" w:sz="0" w:space="0" w:color="auto"/>
            <w:right w:val="none" w:sz="0" w:space="0" w:color="auto"/>
          </w:divBdr>
        </w:div>
      </w:divsChild>
    </w:div>
    <w:div w:id="1593736808">
      <w:marLeft w:val="0"/>
      <w:marRight w:val="0"/>
      <w:marTop w:val="200"/>
      <w:marBottom w:val="0"/>
      <w:divBdr>
        <w:top w:val="none" w:sz="0" w:space="0" w:color="auto"/>
        <w:left w:val="none" w:sz="0" w:space="0" w:color="auto"/>
        <w:bottom w:val="none" w:sz="0" w:space="0" w:color="auto"/>
        <w:right w:val="none" w:sz="0" w:space="0" w:color="auto"/>
      </w:divBdr>
    </w:div>
    <w:div w:id="1594849911">
      <w:marLeft w:val="0"/>
      <w:marRight w:val="0"/>
      <w:marTop w:val="200"/>
      <w:marBottom w:val="0"/>
      <w:divBdr>
        <w:top w:val="none" w:sz="0" w:space="0" w:color="auto"/>
        <w:left w:val="none" w:sz="0" w:space="0" w:color="auto"/>
        <w:bottom w:val="none" w:sz="0" w:space="0" w:color="auto"/>
        <w:right w:val="none" w:sz="0" w:space="0" w:color="auto"/>
      </w:divBdr>
    </w:div>
    <w:div w:id="1599169361">
      <w:marLeft w:val="0"/>
      <w:marRight w:val="0"/>
      <w:marTop w:val="200"/>
      <w:marBottom w:val="0"/>
      <w:divBdr>
        <w:top w:val="none" w:sz="0" w:space="0" w:color="auto"/>
        <w:left w:val="none" w:sz="0" w:space="0" w:color="auto"/>
        <w:bottom w:val="none" w:sz="0" w:space="0" w:color="auto"/>
        <w:right w:val="none" w:sz="0" w:space="0" w:color="auto"/>
      </w:divBdr>
    </w:div>
    <w:div w:id="1599437721">
      <w:marLeft w:val="0"/>
      <w:marRight w:val="0"/>
      <w:marTop w:val="200"/>
      <w:marBottom w:val="0"/>
      <w:divBdr>
        <w:top w:val="none" w:sz="0" w:space="0" w:color="auto"/>
        <w:left w:val="none" w:sz="0" w:space="0" w:color="auto"/>
        <w:bottom w:val="none" w:sz="0" w:space="0" w:color="auto"/>
        <w:right w:val="none" w:sz="0" w:space="0" w:color="auto"/>
      </w:divBdr>
    </w:div>
    <w:div w:id="1599750925">
      <w:marLeft w:val="0"/>
      <w:marRight w:val="0"/>
      <w:marTop w:val="0"/>
      <w:marBottom w:val="0"/>
      <w:divBdr>
        <w:top w:val="none" w:sz="0" w:space="0" w:color="auto"/>
        <w:left w:val="none" w:sz="0" w:space="0" w:color="auto"/>
        <w:bottom w:val="none" w:sz="0" w:space="0" w:color="auto"/>
        <w:right w:val="none" w:sz="0" w:space="0" w:color="auto"/>
      </w:divBdr>
      <w:divsChild>
        <w:div w:id="582229347">
          <w:marLeft w:val="0"/>
          <w:marRight w:val="0"/>
          <w:marTop w:val="0"/>
          <w:marBottom w:val="0"/>
          <w:divBdr>
            <w:top w:val="none" w:sz="0" w:space="0" w:color="auto"/>
            <w:left w:val="none" w:sz="0" w:space="0" w:color="auto"/>
            <w:bottom w:val="none" w:sz="0" w:space="0" w:color="auto"/>
            <w:right w:val="none" w:sz="0" w:space="0" w:color="auto"/>
          </w:divBdr>
        </w:div>
      </w:divsChild>
    </w:div>
    <w:div w:id="1600455599">
      <w:marLeft w:val="0"/>
      <w:marRight w:val="0"/>
      <w:marTop w:val="0"/>
      <w:marBottom w:val="200"/>
      <w:divBdr>
        <w:top w:val="none" w:sz="0" w:space="0" w:color="auto"/>
        <w:left w:val="none" w:sz="0" w:space="0" w:color="auto"/>
        <w:bottom w:val="none" w:sz="0" w:space="0" w:color="auto"/>
        <w:right w:val="none" w:sz="0" w:space="0" w:color="auto"/>
      </w:divBdr>
    </w:div>
    <w:div w:id="1601061318">
      <w:marLeft w:val="0"/>
      <w:marRight w:val="0"/>
      <w:marTop w:val="200"/>
      <w:marBottom w:val="0"/>
      <w:divBdr>
        <w:top w:val="none" w:sz="0" w:space="0" w:color="auto"/>
        <w:left w:val="none" w:sz="0" w:space="0" w:color="auto"/>
        <w:bottom w:val="none" w:sz="0" w:space="0" w:color="auto"/>
        <w:right w:val="none" w:sz="0" w:space="0" w:color="auto"/>
      </w:divBdr>
    </w:div>
    <w:div w:id="1601328810">
      <w:marLeft w:val="0"/>
      <w:marRight w:val="0"/>
      <w:marTop w:val="100"/>
      <w:marBottom w:val="0"/>
      <w:divBdr>
        <w:top w:val="none" w:sz="0" w:space="0" w:color="auto"/>
        <w:left w:val="none" w:sz="0" w:space="0" w:color="auto"/>
        <w:bottom w:val="none" w:sz="0" w:space="0" w:color="auto"/>
        <w:right w:val="none" w:sz="0" w:space="0" w:color="auto"/>
      </w:divBdr>
    </w:div>
    <w:div w:id="1603807244">
      <w:marLeft w:val="0"/>
      <w:marRight w:val="0"/>
      <w:marTop w:val="180"/>
      <w:marBottom w:val="0"/>
      <w:divBdr>
        <w:top w:val="none" w:sz="0" w:space="0" w:color="auto"/>
        <w:left w:val="none" w:sz="0" w:space="0" w:color="auto"/>
        <w:bottom w:val="none" w:sz="0" w:space="0" w:color="auto"/>
        <w:right w:val="none" w:sz="0" w:space="0" w:color="auto"/>
      </w:divBdr>
    </w:div>
    <w:div w:id="1603995612">
      <w:marLeft w:val="0"/>
      <w:marRight w:val="0"/>
      <w:marTop w:val="0"/>
      <w:marBottom w:val="0"/>
      <w:divBdr>
        <w:top w:val="none" w:sz="0" w:space="0" w:color="auto"/>
        <w:left w:val="none" w:sz="0" w:space="0" w:color="auto"/>
        <w:bottom w:val="none" w:sz="0" w:space="0" w:color="auto"/>
        <w:right w:val="none" w:sz="0" w:space="0" w:color="auto"/>
      </w:divBdr>
    </w:div>
    <w:div w:id="1604342068">
      <w:marLeft w:val="0"/>
      <w:marRight w:val="0"/>
      <w:marTop w:val="0"/>
      <w:marBottom w:val="0"/>
      <w:divBdr>
        <w:top w:val="none" w:sz="0" w:space="0" w:color="auto"/>
        <w:left w:val="none" w:sz="0" w:space="0" w:color="auto"/>
        <w:bottom w:val="none" w:sz="0" w:space="0" w:color="auto"/>
        <w:right w:val="none" w:sz="0" w:space="0" w:color="auto"/>
      </w:divBdr>
      <w:divsChild>
        <w:div w:id="1599213448">
          <w:marLeft w:val="0"/>
          <w:marRight w:val="0"/>
          <w:marTop w:val="0"/>
          <w:marBottom w:val="0"/>
          <w:divBdr>
            <w:top w:val="none" w:sz="0" w:space="0" w:color="auto"/>
            <w:left w:val="none" w:sz="0" w:space="0" w:color="auto"/>
            <w:bottom w:val="none" w:sz="0" w:space="0" w:color="auto"/>
            <w:right w:val="none" w:sz="0" w:space="0" w:color="auto"/>
          </w:divBdr>
        </w:div>
      </w:divsChild>
    </w:div>
    <w:div w:id="1606303043">
      <w:marLeft w:val="0"/>
      <w:marRight w:val="0"/>
      <w:marTop w:val="0"/>
      <w:marBottom w:val="0"/>
      <w:divBdr>
        <w:top w:val="none" w:sz="0" w:space="0" w:color="auto"/>
        <w:left w:val="none" w:sz="0" w:space="0" w:color="auto"/>
        <w:bottom w:val="none" w:sz="0" w:space="0" w:color="auto"/>
        <w:right w:val="none" w:sz="0" w:space="0" w:color="auto"/>
      </w:divBdr>
      <w:divsChild>
        <w:div w:id="562717755">
          <w:marLeft w:val="0"/>
          <w:marRight w:val="0"/>
          <w:marTop w:val="0"/>
          <w:marBottom w:val="0"/>
          <w:divBdr>
            <w:top w:val="none" w:sz="0" w:space="0" w:color="auto"/>
            <w:left w:val="none" w:sz="0" w:space="0" w:color="auto"/>
            <w:bottom w:val="none" w:sz="0" w:space="0" w:color="auto"/>
            <w:right w:val="none" w:sz="0" w:space="0" w:color="auto"/>
          </w:divBdr>
        </w:div>
      </w:divsChild>
    </w:div>
    <w:div w:id="1607690614">
      <w:marLeft w:val="0"/>
      <w:marRight w:val="0"/>
      <w:marTop w:val="0"/>
      <w:marBottom w:val="0"/>
      <w:divBdr>
        <w:top w:val="none" w:sz="0" w:space="0" w:color="auto"/>
        <w:left w:val="none" w:sz="0" w:space="0" w:color="auto"/>
        <w:bottom w:val="none" w:sz="0" w:space="0" w:color="auto"/>
        <w:right w:val="none" w:sz="0" w:space="0" w:color="auto"/>
      </w:divBdr>
    </w:div>
    <w:div w:id="1607808855">
      <w:marLeft w:val="0"/>
      <w:marRight w:val="0"/>
      <w:marTop w:val="100"/>
      <w:marBottom w:val="60"/>
      <w:divBdr>
        <w:top w:val="none" w:sz="0" w:space="0" w:color="auto"/>
        <w:left w:val="none" w:sz="0" w:space="0" w:color="auto"/>
        <w:bottom w:val="none" w:sz="0" w:space="0" w:color="auto"/>
        <w:right w:val="none" w:sz="0" w:space="0" w:color="auto"/>
      </w:divBdr>
    </w:div>
    <w:div w:id="1610353981">
      <w:marLeft w:val="0"/>
      <w:marRight w:val="0"/>
      <w:marTop w:val="200"/>
      <w:marBottom w:val="0"/>
      <w:divBdr>
        <w:top w:val="none" w:sz="0" w:space="0" w:color="auto"/>
        <w:left w:val="none" w:sz="0" w:space="0" w:color="auto"/>
        <w:bottom w:val="none" w:sz="0" w:space="0" w:color="auto"/>
        <w:right w:val="none" w:sz="0" w:space="0" w:color="auto"/>
      </w:divBdr>
    </w:div>
    <w:div w:id="1618370013">
      <w:marLeft w:val="0"/>
      <w:marRight w:val="0"/>
      <w:marTop w:val="60"/>
      <w:marBottom w:val="0"/>
      <w:divBdr>
        <w:top w:val="none" w:sz="0" w:space="0" w:color="auto"/>
        <w:left w:val="none" w:sz="0" w:space="0" w:color="auto"/>
        <w:bottom w:val="none" w:sz="0" w:space="0" w:color="auto"/>
        <w:right w:val="none" w:sz="0" w:space="0" w:color="auto"/>
      </w:divBdr>
    </w:div>
    <w:div w:id="1618491762">
      <w:marLeft w:val="0"/>
      <w:marRight w:val="0"/>
      <w:marTop w:val="200"/>
      <w:marBottom w:val="0"/>
      <w:divBdr>
        <w:top w:val="none" w:sz="0" w:space="0" w:color="auto"/>
        <w:left w:val="none" w:sz="0" w:space="0" w:color="auto"/>
        <w:bottom w:val="none" w:sz="0" w:space="0" w:color="auto"/>
        <w:right w:val="none" w:sz="0" w:space="0" w:color="auto"/>
      </w:divBdr>
    </w:div>
    <w:div w:id="1620453934">
      <w:marLeft w:val="0"/>
      <w:marRight w:val="0"/>
      <w:marTop w:val="0"/>
      <w:marBottom w:val="0"/>
      <w:divBdr>
        <w:top w:val="none" w:sz="0" w:space="0" w:color="auto"/>
        <w:left w:val="none" w:sz="0" w:space="0" w:color="auto"/>
        <w:bottom w:val="none" w:sz="0" w:space="0" w:color="auto"/>
        <w:right w:val="none" w:sz="0" w:space="0" w:color="auto"/>
      </w:divBdr>
      <w:divsChild>
        <w:div w:id="592663944">
          <w:marLeft w:val="0"/>
          <w:marRight w:val="0"/>
          <w:marTop w:val="0"/>
          <w:marBottom w:val="0"/>
          <w:divBdr>
            <w:top w:val="none" w:sz="0" w:space="0" w:color="auto"/>
            <w:left w:val="none" w:sz="0" w:space="0" w:color="auto"/>
            <w:bottom w:val="none" w:sz="0" w:space="0" w:color="auto"/>
            <w:right w:val="none" w:sz="0" w:space="0" w:color="auto"/>
          </w:divBdr>
        </w:div>
      </w:divsChild>
    </w:div>
    <w:div w:id="1620793496">
      <w:marLeft w:val="0"/>
      <w:marRight w:val="0"/>
      <w:marTop w:val="0"/>
      <w:marBottom w:val="200"/>
      <w:divBdr>
        <w:top w:val="none" w:sz="0" w:space="0" w:color="auto"/>
        <w:left w:val="none" w:sz="0" w:space="0" w:color="auto"/>
        <w:bottom w:val="none" w:sz="0" w:space="0" w:color="auto"/>
        <w:right w:val="none" w:sz="0" w:space="0" w:color="auto"/>
      </w:divBdr>
    </w:div>
    <w:div w:id="1625890149">
      <w:marLeft w:val="0"/>
      <w:marRight w:val="0"/>
      <w:marTop w:val="100"/>
      <w:marBottom w:val="0"/>
      <w:divBdr>
        <w:top w:val="none" w:sz="0" w:space="0" w:color="auto"/>
        <w:left w:val="none" w:sz="0" w:space="0" w:color="auto"/>
        <w:bottom w:val="none" w:sz="0" w:space="0" w:color="auto"/>
        <w:right w:val="none" w:sz="0" w:space="0" w:color="auto"/>
      </w:divBdr>
      <w:divsChild>
        <w:div w:id="162166075">
          <w:marLeft w:val="0"/>
          <w:marRight w:val="0"/>
          <w:marTop w:val="0"/>
          <w:marBottom w:val="0"/>
          <w:divBdr>
            <w:top w:val="none" w:sz="0" w:space="0" w:color="auto"/>
            <w:left w:val="none" w:sz="0" w:space="0" w:color="auto"/>
            <w:bottom w:val="none" w:sz="0" w:space="0" w:color="auto"/>
            <w:right w:val="none" w:sz="0" w:space="0" w:color="auto"/>
          </w:divBdr>
        </w:div>
      </w:divsChild>
    </w:div>
    <w:div w:id="1629242476">
      <w:marLeft w:val="0"/>
      <w:marRight w:val="0"/>
      <w:marTop w:val="0"/>
      <w:marBottom w:val="0"/>
      <w:divBdr>
        <w:top w:val="none" w:sz="0" w:space="0" w:color="auto"/>
        <w:left w:val="none" w:sz="0" w:space="0" w:color="auto"/>
        <w:bottom w:val="none" w:sz="0" w:space="0" w:color="auto"/>
        <w:right w:val="none" w:sz="0" w:space="0" w:color="auto"/>
      </w:divBdr>
      <w:divsChild>
        <w:div w:id="392429667">
          <w:marLeft w:val="0"/>
          <w:marRight w:val="0"/>
          <w:marTop w:val="0"/>
          <w:marBottom w:val="0"/>
          <w:divBdr>
            <w:top w:val="none" w:sz="0" w:space="0" w:color="auto"/>
            <w:left w:val="none" w:sz="0" w:space="0" w:color="auto"/>
            <w:bottom w:val="none" w:sz="0" w:space="0" w:color="auto"/>
            <w:right w:val="none" w:sz="0" w:space="0" w:color="auto"/>
          </w:divBdr>
        </w:div>
        <w:div w:id="1733965727">
          <w:marLeft w:val="0"/>
          <w:marRight w:val="0"/>
          <w:marTop w:val="0"/>
          <w:marBottom w:val="0"/>
          <w:divBdr>
            <w:top w:val="none" w:sz="0" w:space="0" w:color="auto"/>
            <w:left w:val="none" w:sz="0" w:space="0" w:color="auto"/>
            <w:bottom w:val="none" w:sz="0" w:space="0" w:color="auto"/>
            <w:right w:val="none" w:sz="0" w:space="0" w:color="auto"/>
          </w:divBdr>
        </w:div>
        <w:div w:id="1595899858">
          <w:marLeft w:val="0"/>
          <w:marRight w:val="0"/>
          <w:marTop w:val="0"/>
          <w:marBottom w:val="0"/>
          <w:divBdr>
            <w:top w:val="none" w:sz="0" w:space="0" w:color="auto"/>
            <w:left w:val="none" w:sz="0" w:space="0" w:color="auto"/>
            <w:bottom w:val="none" w:sz="0" w:space="0" w:color="auto"/>
            <w:right w:val="none" w:sz="0" w:space="0" w:color="auto"/>
          </w:divBdr>
        </w:div>
        <w:div w:id="953292010">
          <w:marLeft w:val="0"/>
          <w:marRight w:val="0"/>
          <w:marTop w:val="0"/>
          <w:marBottom w:val="0"/>
          <w:divBdr>
            <w:top w:val="none" w:sz="0" w:space="0" w:color="auto"/>
            <w:left w:val="none" w:sz="0" w:space="0" w:color="auto"/>
            <w:bottom w:val="none" w:sz="0" w:space="0" w:color="auto"/>
            <w:right w:val="none" w:sz="0" w:space="0" w:color="auto"/>
          </w:divBdr>
        </w:div>
      </w:divsChild>
    </w:div>
    <w:div w:id="1629317287">
      <w:marLeft w:val="0"/>
      <w:marRight w:val="0"/>
      <w:marTop w:val="280"/>
      <w:marBottom w:val="0"/>
      <w:divBdr>
        <w:top w:val="none" w:sz="0" w:space="0" w:color="auto"/>
        <w:left w:val="none" w:sz="0" w:space="0" w:color="auto"/>
        <w:bottom w:val="none" w:sz="0" w:space="0" w:color="auto"/>
        <w:right w:val="none" w:sz="0" w:space="0" w:color="auto"/>
      </w:divBdr>
    </w:div>
    <w:div w:id="1630091979">
      <w:marLeft w:val="0"/>
      <w:marRight w:val="0"/>
      <w:marTop w:val="0"/>
      <w:marBottom w:val="0"/>
      <w:divBdr>
        <w:top w:val="none" w:sz="0" w:space="0" w:color="auto"/>
        <w:left w:val="none" w:sz="0" w:space="0" w:color="auto"/>
        <w:bottom w:val="none" w:sz="0" w:space="0" w:color="auto"/>
        <w:right w:val="none" w:sz="0" w:space="0" w:color="auto"/>
      </w:divBdr>
    </w:div>
    <w:div w:id="1634368842">
      <w:marLeft w:val="0"/>
      <w:marRight w:val="0"/>
      <w:marTop w:val="0"/>
      <w:marBottom w:val="0"/>
      <w:divBdr>
        <w:top w:val="none" w:sz="0" w:space="0" w:color="auto"/>
        <w:left w:val="none" w:sz="0" w:space="0" w:color="auto"/>
        <w:bottom w:val="none" w:sz="0" w:space="0" w:color="auto"/>
        <w:right w:val="none" w:sz="0" w:space="0" w:color="auto"/>
      </w:divBdr>
      <w:divsChild>
        <w:div w:id="1547638551">
          <w:marLeft w:val="0"/>
          <w:marRight w:val="0"/>
          <w:marTop w:val="0"/>
          <w:marBottom w:val="0"/>
          <w:divBdr>
            <w:top w:val="none" w:sz="0" w:space="0" w:color="auto"/>
            <w:left w:val="none" w:sz="0" w:space="0" w:color="auto"/>
            <w:bottom w:val="none" w:sz="0" w:space="0" w:color="auto"/>
            <w:right w:val="none" w:sz="0" w:space="0" w:color="auto"/>
          </w:divBdr>
        </w:div>
      </w:divsChild>
    </w:div>
    <w:div w:id="1635479826">
      <w:marLeft w:val="0"/>
      <w:marRight w:val="0"/>
      <w:marTop w:val="200"/>
      <w:marBottom w:val="0"/>
      <w:divBdr>
        <w:top w:val="none" w:sz="0" w:space="0" w:color="auto"/>
        <w:left w:val="none" w:sz="0" w:space="0" w:color="auto"/>
        <w:bottom w:val="none" w:sz="0" w:space="0" w:color="auto"/>
        <w:right w:val="none" w:sz="0" w:space="0" w:color="auto"/>
      </w:divBdr>
    </w:div>
    <w:div w:id="1636326480">
      <w:marLeft w:val="0"/>
      <w:marRight w:val="0"/>
      <w:marTop w:val="120"/>
      <w:marBottom w:val="0"/>
      <w:divBdr>
        <w:top w:val="none" w:sz="0" w:space="0" w:color="auto"/>
        <w:left w:val="none" w:sz="0" w:space="0" w:color="auto"/>
        <w:bottom w:val="none" w:sz="0" w:space="0" w:color="auto"/>
        <w:right w:val="none" w:sz="0" w:space="0" w:color="auto"/>
      </w:divBdr>
    </w:div>
    <w:div w:id="1637834275">
      <w:marLeft w:val="0"/>
      <w:marRight w:val="0"/>
      <w:marTop w:val="200"/>
      <w:marBottom w:val="0"/>
      <w:divBdr>
        <w:top w:val="none" w:sz="0" w:space="0" w:color="auto"/>
        <w:left w:val="none" w:sz="0" w:space="0" w:color="auto"/>
        <w:bottom w:val="none" w:sz="0" w:space="0" w:color="auto"/>
        <w:right w:val="none" w:sz="0" w:space="0" w:color="auto"/>
      </w:divBdr>
    </w:div>
    <w:div w:id="1638223748">
      <w:marLeft w:val="0"/>
      <w:marRight w:val="0"/>
      <w:marTop w:val="0"/>
      <w:marBottom w:val="0"/>
      <w:divBdr>
        <w:top w:val="none" w:sz="0" w:space="0" w:color="auto"/>
        <w:left w:val="none" w:sz="0" w:space="0" w:color="auto"/>
        <w:bottom w:val="none" w:sz="0" w:space="0" w:color="auto"/>
        <w:right w:val="none" w:sz="0" w:space="0" w:color="auto"/>
      </w:divBdr>
      <w:divsChild>
        <w:div w:id="1225531990">
          <w:marLeft w:val="0"/>
          <w:marRight w:val="0"/>
          <w:marTop w:val="0"/>
          <w:marBottom w:val="0"/>
          <w:divBdr>
            <w:top w:val="none" w:sz="0" w:space="0" w:color="auto"/>
            <w:left w:val="none" w:sz="0" w:space="0" w:color="auto"/>
            <w:bottom w:val="none" w:sz="0" w:space="0" w:color="auto"/>
            <w:right w:val="none" w:sz="0" w:space="0" w:color="auto"/>
          </w:divBdr>
        </w:div>
      </w:divsChild>
    </w:div>
    <w:div w:id="1638685924">
      <w:marLeft w:val="0"/>
      <w:marRight w:val="0"/>
      <w:marTop w:val="200"/>
      <w:marBottom w:val="0"/>
      <w:divBdr>
        <w:top w:val="none" w:sz="0" w:space="0" w:color="auto"/>
        <w:left w:val="none" w:sz="0" w:space="0" w:color="auto"/>
        <w:bottom w:val="none" w:sz="0" w:space="0" w:color="auto"/>
        <w:right w:val="none" w:sz="0" w:space="0" w:color="auto"/>
      </w:divBdr>
    </w:div>
    <w:div w:id="1640721510">
      <w:marLeft w:val="0"/>
      <w:marRight w:val="0"/>
      <w:marTop w:val="0"/>
      <w:marBottom w:val="0"/>
      <w:divBdr>
        <w:top w:val="none" w:sz="0" w:space="0" w:color="auto"/>
        <w:left w:val="none" w:sz="0" w:space="0" w:color="auto"/>
        <w:bottom w:val="none" w:sz="0" w:space="0" w:color="auto"/>
        <w:right w:val="none" w:sz="0" w:space="0" w:color="auto"/>
      </w:divBdr>
    </w:div>
    <w:div w:id="1648516127">
      <w:marLeft w:val="0"/>
      <w:marRight w:val="0"/>
      <w:marTop w:val="0"/>
      <w:marBottom w:val="160"/>
      <w:divBdr>
        <w:top w:val="none" w:sz="0" w:space="0" w:color="auto"/>
        <w:left w:val="none" w:sz="0" w:space="0" w:color="auto"/>
        <w:bottom w:val="none" w:sz="0" w:space="0" w:color="auto"/>
        <w:right w:val="none" w:sz="0" w:space="0" w:color="auto"/>
      </w:divBdr>
    </w:div>
    <w:div w:id="1649047850">
      <w:marLeft w:val="0"/>
      <w:marRight w:val="0"/>
      <w:marTop w:val="200"/>
      <w:marBottom w:val="0"/>
      <w:divBdr>
        <w:top w:val="none" w:sz="0" w:space="0" w:color="auto"/>
        <w:left w:val="none" w:sz="0" w:space="0" w:color="auto"/>
        <w:bottom w:val="none" w:sz="0" w:space="0" w:color="auto"/>
        <w:right w:val="none" w:sz="0" w:space="0" w:color="auto"/>
      </w:divBdr>
    </w:div>
    <w:div w:id="1649245954">
      <w:marLeft w:val="0"/>
      <w:marRight w:val="0"/>
      <w:marTop w:val="0"/>
      <w:marBottom w:val="0"/>
      <w:divBdr>
        <w:top w:val="none" w:sz="0" w:space="0" w:color="auto"/>
        <w:left w:val="none" w:sz="0" w:space="0" w:color="auto"/>
        <w:bottom w:val="none" w:sz="0" w:space="0" w:color="auto"/>
        <w:right w:val="none" w:sz="0" w:space="0" w:color="auto"/>
      </w:divBdr>
      <w:divsChild>
        <w:div w:id="1630210526">
          <w:marLeft w:val="0"/>
          <w:marRight w:val="0"/>
          <w:marTop w:val="0"/>
          <w:marBottom w:val="0"/>
          <w:divBdr>
            <w:top w:val="none" w:sz="0" w:space="0" w:color="auto"/>
            <w:left w:val="none" w:sz="0" w:space="0" w:color="auto"/>
            <w:bottom w:val="none" w:sz="0" w:space="0" w:color="auto"/>
            <w:right w:val="none" w:sz="0" w:space="0" w:color="auto"/>
          </w:divBdr>
        </w:div>
        <w:div w:id="339239909">
          <w:marLeft w:val="0"/>
          <w:marRight w:val="0"/>
          <w:marTop w:val="0"/>
          <w:marBottom w:val="0"/>
          <w:divBdr>
            <w:top w:val="none" w:sz="0" w:space="0" w:color="auto"/>
            <w:left w:val="none" w:sz="0" w:space="0" w:color="auto"/>
            <w:bottom w:val="none" w:sz="0" w:space="0" w:color="auto"/>
            <w:right w:val="none" w:sz="0" w:space="0" w:color="auto"/>
          </w:divBdr>
        </w:div>
        <w:div w:id="1825776088">
          <w:marLeft w:val="0"/>
          <w:marRight w:val="0"/>
          <w:marTop w:val="0"/>
          <w:marBottom w:val="0"/>
          <w:divBdr>
            <w:top w:val="none" w:sz="0" w:space="0" w:color="auto"/>
            <w:left w:val="none" w:sz="0" w:space="0" w:color="auto"/>
            <w:bottom w:val="none" w:sz="0" w:space="0" w:color="auto"/>
            <w:right w:val="none" w:sz="0" w:space="0" w:color="auto"/>
          </w:divBdr>
        </w:div>
        <w:div w:id="1753775569">
          <w:marLeft w:val="0"/>
          <w:marRight w:val="0"/>
          <w:marTop w:val="0"/>
          <w:marBottom w:val="0"/>
          <w:divBdr>
            <w:top w:val="none" w:sz="0" w:space="0" w:color="auto"/>
            <w:left w:val="none" w:sz="0" w:space="0" w:color="auto"/>
            <w:bottom w:val="none" w:sz="0" w:space="0" w:color="auto"/>
            <w:right w:val="none" w:sz="0" w:space="0" w:color="auto"/>
          </w:divBdr>
        </w:div>
      </w:divsChild>
    </w:div>
    <w:div w:id="1650204892">
      <w:marLeft w:val="0"/>
      <w:marRight w:val="0"/>
      <w:marTop w:val="0"/>
      <w:marBottom w:val="0"/>
      <w:divBdr>
        <w:top w:val="none" w:sz="0" w:space="0" w:color="auto"/>
        <w:left w:val="none" w:sz="0" w:space="0" w:color="auto"/>
        <w:bottom w:val="none" w:sz="0" w:space="0" w:color="auto"/>
        <w:right w:val="none" w:sz="0" w:space="0" w:color="auto"/>
      </w:divBdr>
      <w:divsChild>
        <w:div w:id="155459165">
          <w:marLeft w:val="0"/>
          <w:marRight w:val="0"/>
          <w:marTop w:val="0"/>
          <w:marBottom w:val="0"/>
          <w:divBdr>
            <w:top w:val="none" w:sz="0" w:space="0" w:color="auto"/>
            <w:left w:val="none" w:sz="0" w:space="0" w:color="auto"/>
            <w:bottom w:val="none" w:sz="0" w:space="0" w:color="auto"/>
            <w:right w:val="none" w:sz="0" w:space="0" w:color="auto"/>
          </w:divBdr>
        </w:div>
      </w:divsChild>
    </w:div>
    <w:div w:id="1650404640">
      <w:marLeft w:val="0"/>
      <w:marRight w:val="0"/>
      <w:marTop w:val="200"/>
      <w:marBottom w:val="0"/>
      <w:divBdr>
        <w:top w:val="none" w:sz="0" w:space="0" w:color="auto"/>
        <w:left w:val="none" w:sz="0" w:space="0" w:color="auto"/>
        <w:bottom w:val="none" w:sz="0" w:space="0" w:color="auto"/>
        <w:right w:val="none" w:sz="0" w:space="0" w:color="auto"/>
      </w:divBdr>
    </w:div>
    <w:div w:id="1652439394">
      <w:marLeft w:val="0"/>
      <w:marRight w:val="0"/>
      <w:marTop w:val="0"/>
      <w:marBottom w:val="160"/>
      <w:divBdr>
        <w:top w:val="none" w:sz="0" w:space="0" w:color="auto"/>
        <w:left w:val="none" w:sz="0" w:space="0" w:color="auto"/>
        <w:bottom w:val="none" w:sz="0" w:space="0" w:color="auto"/>
        <w:right w:val="none" w:sz="0" w:space="0" w:color="auto"/>
      </w:divBdr>
    </w:div>
    <w:div w:id="1652905139">
      <w:marLeft w:val="0"/>
      <w:marRight w:val="0"/>
      <w:marTop w:val="0"/>
      <w:marBottom w:val="0"/>
      <w:divBdr>
        <w:top w:val="none" w:sz="0" w:space="0" w:color="auto"/>
        <w:left w:val="none" w:sz="0" w:space="0" w:color="auto"/>
        <w:bottom w:val="none" w:sz="0" w:space="0" w:color="auto"/>
        <w:right w:val="none" w:sz="0" w:space="0" w:color="auto"/>
      </w:divBdr>
    </w:div>
    <w:div w:id="1661226861">
      <w:marLeft w:val="0"/>
      <w:marRight w:val="0"/>
      <w:marTop w:val="200"/>
      <w:marBottom w:val="0"/>
      <w:divBdr>
        <w:top w:val="none" w:sz="0" w:space="0" w:color="auto"/>
        <w:left w:val="none" w:sz="0" w:space="0" w:color="auto"/>
        <w:bottom w:val="none" w:sz="0" w:space="0" w:color="auto"/>
        <w:right w:val="none" w:sz="0" w:space="0" w:color="auto"/>
      </w:divBdr>
    </w:div>
    <w:div w:id="1662540887">
      <w:marLeft w:val="0"/>
      <w:marRight w:val="0"/>
      <w:marTop w:val="100"/>
      <w:marBottom w:val="60"/>
      <w:divBdr>
        <w:top w:val="none" w:sz="0" w:space="0" w:color="auto"/>
        <w:left w:val="none" w:sz="0" w:space="0" w:color="auto"/>
        <w:bottom w:val="none" w:sz="0" w:space="0" w:color="auto"/>
        <w:right w:val="none" w:sz="0" w:space="0" w:color="auto"/>
      </w:divBdr>
    </w:div>
    <w:div w:id="1662730083">
      <w:marLeft w:val="0"/>
      <w:marRight w:val="0"/>
      <w:marTop w:val="200"/>
      <w:marBottom w:val="0"/>
      <w:divBdr>
        <w:top w:val="none" w:sz="0" w:space="0" w:color="auto"/>
        <w:left w:val="none" w:sz="0" w:space="0" w:color="auto"/>
        <w:bottom w:val="none" w:sz="0" w:space="0" w:color="auto"/>
        <w:right w:val="none" w:sz="0" w:space="0" w:color="auto"/>
      </w:divBdr>
    </w:div>
    <w:div w:id="1667977611">
      <w:marLeft w:val="0"/>
      <w:marRight w:val="0"/>
      <w:marTop w:val="200"/>
      <w:marBottom w:val="0"/>
      <w:divBdr>
        <w:top w:val="none" w:sz="0" w:space="0" w:color="auto"/>
        <w:left w:val="none" w:sz="0" w:space="0" w:color="auto"/>
        <w:bottom w:val="none" w:sz="0" w:space="0" w:color="auto"/>
        <w:right w:val="none" w:sz="0" w:space="0" w:color="auto"/>
      </w:divBdr>
    </w:div>
    <w:div w:id="1671517002">
      <w:marLeft w:val="0"/>
      <w:marRight w:val="0"/>
      <w:marTop w:val="0"/>
      <w:marBottom w:val="0"/>
      <w:divBdr>
        <w:top w:val="none" w:sz="0" w:space="0" w:color="auto"/>
        <w:left w:val="none" w:sz="0" w:space="0" w:color="auto"/>
        <w:bottom w:val="none" w:sz="0" w:space="0" w:color="auto"/>
        <w:right w:val="none" w:sz="0" w:space="0" w:color="auto"/>
      </w:divBdr>
      <w:divsChild>
        <w:div w:id="796877370">
          <w:marLeft w:val="0"/>
          <w:marRight w:val="0"/>
          <w:marTop w:val="0"/>
          <w:marBottom w:val="0"/>
          <w:divBdr>
            <w:top w:val="none" w:sz="0" w:space="0" w:color="auto"/>
            <w:left w:val="none" w:sz="0" w:space="0" w:color="auto"/>
            <w:bottom w:val="none" w:sz="0" w:space="0" w:color="auto"/>
            <w:right w:val="none" w:sz="0" w:space="0" w:color="auto"/>
          </w:divBdr>
        </w:div>
      </w:divsChild>
    </w:div>
    <w:div w:id="1675373571">
      <w:marLeft w:val="0"/>
      <w:marRight w:val="0"/>
      <w:marTop w:val="0"/>
      <w:marBottom w:val="0"/>
      <w:divBdr>
        <w:top w:val="none" w:sz="0" w:space="0" w:color="auto"/>
        <w:left w:val="none" w:sz="0" w:space="0" w:color="auto"/>
        <w:bottom w:val="none" w:sz="0" w:space="0" w:color="auto"/>
        <w:right w:val="none" w:sz="0" w:space="0" w:color="auto"/>
      </w:divBdr>
      <w:divsChild>
        <w:div w:id="1303580822">
          <w:marLeft w:val="0"/>
          <w:marRight w:val="0"/>
          <w:marTop w:val="0"/>
          <w:marBottom w:val="0"/>
          <w:divBdr>
            <w:top w:val="none" w:sz="0" w:space="0" w:color="auto"/>
            <w:left w:val="none" w:sz="0" w:space="0" w:color="auto"/>
            <w:bottom w:val="none" w:sz="0" w:space="0" w:color="auto"/>
            <w:right w:val="none" w:sz="0" w:space="0" w:color="auto"/>
          </w:divBdr>
        </w:div>
      </w:divsChild>
    </w:div>
    <w:div w:id="1675768056">
      <w:marLeft w:val="0"/>
      <w:marRight w:val="0"/>
      <w:marTop w:val="0"/>
      <w:marBottom w:val="0"/>
      <w:divBdr>
        <w:top w:val="none" w:sz="0" w:space="0" w:color="auto"/>
        <w:left w:val="none" w:sz="0" w:space="0" w:color="auto"/>
        <w:bottom w:val="none" w:sz="0" w:space="0" w:color="auto"/>
        <w:right w:val="none" w:sz="0" w:space="0" w:color="auto"/>
      </w:divBdr>
    </w:div>
    <w:div w:id="1679043971">
      <w:marLeft w:val="0"/>
      <w:marRight w:val="0"/>
      <w:marTop w:val="0"/>
      <w:marBottom w:val="0"/>
      <w:divBdr>
        <w:top w:val="none" w:sz="0" w:space="0" w:color="auto"/>
        <w:left w:val="none" w:sz="0" w:space="0" w:color="auto"/>
        <w:bottom w:val="none" w:sz="0" w:space="0" w:color="auto"/>
        <w:right w:val="none" w:sz="0" w:space="0" w:color="auto"/>
      </w:divBdr>
      <w:divsChild>
        <w:div w:id="1299336917">
          <w:marLeft w:val="0"/>
          <w:marRight w:val="0"/>
          <w:marTop w:val="0"/>
          <w:marBottom w:val="0"/>
          <w:divBdr>
            <w:top w:val="none" w:sz="0" w:space="0" w:color="auto"/>
            <w:left w:val="none" w:sz="0" w:space="0" w:color="auto"/>
            <w:bottom w:val="none" w:sz="0" w:space="0" w:color="auto"/>
            <w:right w:val="none" w:sz="0" w:space="0" w:color="auto"/>
          </w:divBdr>
        </w:div>
      </w:divsChild>
    </w:div>
    <w:div w:id="1679842931">
      <w:marLeft w:val="0"/>
      <w:marRight w:val="0"/>
      <w:marTop w:val="0"/>
      <w:marBottom w:val="0"/>
      <w:divBdr>
        <w:top w:val="none" w:sz="0" w:space="0" w:color="auto"/>
        <w:left w:val="none" w:sz="0" w:space="0" w:color="auto"/>
        <w:bottom w:val="none" w:sz="0" w:space="0" w:color="auto"/>
        <w:right w:val="none" w:sz="0" w:space="0" w:color="auto"/>
      </w:divBdr>
      <w:divsChild>
        <w:div w:id="2046102515">
          <w:marLeft w:val="0"/>
          <w:marRight w:val="0"/>
          <w:marTop w:val="0"/>
          <w:marBottom w:val="0"/>
          <w:divBdr>
            <w:top w:val="none" w:sz="0" w:space="0" w:color="auto"/>
            <w:left w:val="none" w:sz="0" w:space="0" w:color="auto"/>
            <w:bottom w:val="none" w:sz="0" w:space="0" w:color="auto"/>
            <w:right w:val="none" w:sz="0" w:space="0" w:color="auto"/>
          </w:divBdr>
        </w:div>
      </w:divsChild>
    </w:div>
    <w:div w:id="1684936442">
      <w:marLeft w:val="0"/>
      <w:marRight w:val="0"/>
      <w:marTop w:val="0"/>
      <w:marBottom w:val="0"/>
      <w:divBdr>
        <w:top w:val="none" w:sz="0" w:space="0" w:color="auto"/>
        <w:left w:val="none" w:sz="0" w:space="0" w:color="auto"/>
        <w:bottom w:val="none" w:sz="0" w:space="0" w:color="auto"/>
        <w:right w:val="none" w:sz="0" w:space="0" w:color="auto"/>
      </w:divBdr>
      <w:divsChild>
        <w:div w:id="150483747">
          <w:marLeft w:val="0"/>
          <w:marRight w:val="0"/>
          <w:marTop w:val="0"/>
          <w:marBottom w:val="0"/>
          <w:divBdr>
            <w:top w:val="none" w:sz="0" w:space="0" w:color="auto"/>
            <w:left w:val="none" w:sz="0" w:space="0" w:color="auto"/>
            <w:bottom w:val="none" w:sz="0" w:space="0" w:color="auto"/>
            <w:right w:val="none" w:sz="0" w:space="0" w:color="auto"/>
          </w:divBdr>
        </w:div>
      </w:divsChild>
    </w:div>
    <w:div w:id="1685551362">
      <w:marLeft w:val="0"/>
      <w:marRight w:val="0"/>
      <w:marTop w:val="0"/>
      <w:marBottom w:val="0"/>
      <w:divBdr>
        <w:top w:val="none" w:sz="0" w:space="0" w:color="auto"/>
        <w:left w:val="none" w:sz="0" w:space="0" w:color="auto"/>
        <w:bottom w:val="none" w:sz="0" w:space="0" w:color="auto"/>
        <w:right w:val="none" w:sz="0" w:space="0" w:color="auto"/>
      </w:divBdr>
    </w:div>
    <w:div w:id="1686707458">
      <w:marLeft w:val="0"/>
      <w:marRight w:val="0"/>
      <w:marTop w:val="0"/>
      <w:marBottom w:val="0"/>
      <w:divBdr>
        <w:top w:val="none" w:sz="0" w:space="0" w:color="auto"/>
        <w:left w:val="none" w:sz="0" w:space="0" w:color="auto"/>
        <w:bottom w:val="none" w:sz="0" w:space="0" w:color="auto"/>
        <w:right w:val="none" w:sz="0" w:space="0" w:color="auto"/>
      </w:divBdr>
      <w:divsChild>
        <w:div w:id="758252193">
          <w:marLeft w:val="0"/>
          <w:marRight w:val="0"/>
          <w:marTop w:val="0"/>
          <w:marBottom w:val="0"/>
          <w:divBdr>
            <w:top w:val="none" w:sz="0" w:space="0" w:color="auto"/>
            <w:left w:val="none" w:sz="0" w:space="0" w:color="auto"/>
            <w:bottom w:val="none" w:sz="0" w:space="0" w:color="auto"/>
            <w:right w:val="none" w:sz="0" w:space="0" w:color="auto"/>
          </w:divBdr>
        </w:div>
      </w:divsChild>
    </w:div>
    <w:div w:id="1686977335">
      <w:marLeft w:val="0"/>
      <w:marRight w:val="0"/>
      <w:marTop w:val="0"/>
      <w:marBottom w:val="200"/>
      <w:divBdr>
        <w:top w:val="none" w:sz="0" w:space="0" w:color="auto"/>
        <w:left w:val="none" w:sz="0" w:space="0" w:color="auto"/>
        <w:bottom w:val="none" w:sz="0" w:space="0" w:color="auto"/>
        <w:right w:val="none" w:sz="0" w:space="0" w:color="auto"/>
      </w:divBdr>
    </w:div>
    <w:div w:id="1687517799">
      <w:marLeft w:val="0"/>
      <w:marRight w:val="0"/>
      <w:marTop w:val="200"/>
      <w:marBottom w:val="0"/>
      <w:divBdr>
        <w:top w:val="none" w:sz="0" w:space="0" w:color="auto"/>
        <w:left w:val="none" w:sz="0" w:space="0" w:color="auto"/>
        <w:bottom w:val="none" w:sz="0" w:space="0" w:color="auto"/>
        <w:right w:val="none" w:sz="0" w:space="0" w:color="auto"/>
      </w:divBdr>
    </w:div>
    <w:div w:id="1688021456">
      <w:marLeft w:val="0"/>
      <w:marRight w:val="0"/>
      <w:marTop w:val="200"/>
      <w:marBottom w:val="0"/>
      <w:divBdr>
        <w:top w:val="none" w:sz="0" w:space="0" w:color="auto"/>
        <w:left w:val="none" w:sz="0" w:space="0" w:color="auto"/>
        <w:bottom w:val="none" w:sz="0" w:space="0" w:color="auto"/>
        <w:right w:val="none" w:sz="0" w:space="0" w:color="auto"/>
      </w:divBdr>
    </w:div>
    <w:div w:id="1688561042">
      <w:marLeft w:val="0"/>
      <w:marRight w:val="0"/>
      <w:marTop w:val="0"/>
      <w:marBottom w:val="0"/>
      <w:divBdr>
        <w:top w:val="none" w:sz="0" w:space="0" w:color="auto"/>
        <w:left w:val="none" w:sz="0" w:space="0" w:color="auto"/>
        <w:bottom w:val="none" w:sz="0" w:space="0" w:color="auto"/>
        <w:right w:val="none" w:sz="0" w:space="0" w:color="auto"/>
      </w:divBdr>
    </w:div>
    <w:div w:id="1688678984">
      <w:marLeft w:val="0"/>
      <w:marRight w:val="0"/>
      <w:marTop w:val="100"/>
      <w:marBottom w:val="0"/>
      <w:divBdr>
        <w:top w:val="none" w:sz="0" w:space="0" w:color="auto"/>
        <w:left w:val="none" w:sz="0" w:space="0" w:color="auto"/>
        <w:bottom w:val="none" w:sz="0" w:space="0" w:color="auto"/>
        <w:right w:val="none" w:sz="0" w:space="0" w:color="auto"/>
      </w:divBdr>
      <w:divsChild>
        <w:div w:id="25562887">
          <w:marLeft w:val="0"/>
          <w:marRight w:val="0"/>
          <w:marTop w:val="0"/>
          <w:marBottom w:val="0"/>
          <w:divBdr>
            <w:top w:val="none" w:sz="0" w:space="0" w:color="auto"/>
            <w:left w:val="none" w:sz="0" w:space="0" w:color="auto"/>
            <w:bottom w:val="none" w:sz="0" w:space="0" w:color="auto"/>
            <w:right w:val="none" w:sz="0" w:space="0" w:color="auto"/>
          </w:divBdr>
        </w:div>
        <w:div w:id="40517342">
          <w:marLeft w:val="0"/>
          <w:marRight w:val="0"/>
          <w:marTop w:val="0"/>
          <w:marBottom w:val="0"/>
          <w:divBdr>
            <w:top w:val="none" w:sz="0" w:space="0" w:color="auto"/>
            <w:left w:val="none" w:sz="0" w:space="0" w:color="auto"/>
            <w:bottom w:val="none" w:sz="0" w:space="0" w:color="auto"/>
            <w:right w:val="none" w:sz="0" w:space="0" w:color="auto"/>
          </w:divBdr>
        </w:div>
        <w:div w:id="1538854869">
          <w:marLeft w:val="0"/>
          <w:marRight w:val="0"/>
          <w:marTop w:val="0"/>
          <w:marBottom w:val="0"/>
          <w:divBdr>
            <w:top w:val="none" w:sz="0" w:space="0" w:color="auto"/>
            <w:left w:val="none" w:sz="0" w:space="0" w:color="auto"/>
            <w:bottom w:val="none" w:sz="0" w:space="0" w:color="auto"/>
            <w:right w:val="none" w:sz="0" w:space="0" w:color="auto"/>
          </w:divBdr>
        </w:div>
        <w:div w:id="1523476145">
          <w:marLeft w:val="0"/>
          <w:marRight w:val="0"/>
          <w:marTop w:val="0"/>
          <w:marBottom w:val="0"/>
          <w:divBdr>
            <w:top w:val="none" w:sz="0" w:space="0" w:color="auto"/>
            <w:left w:val="none" w:sz="0" w:space="0" w:color="auto"/>
            <w:bottom w:val="none" w:sz="0" w:space="0" w:color="auto"/>
            <w:right w:val="none" w:sz="0" w:space="0" w:color="auto"/>
          </w:divBdr>
        </w:div>
        <w:div w:id="1290236592">
          <w:marLeft w:val="0"/>
          <w:marRight w:val="0"/>
          <w:marTop w:val="0"/>
          <w:marBottom w:val="0"/>
          <w:divBdr>
            <w:top w:val="none" w:sz="0" w:space="0" w:color="auto"/>
            <w:left w:val="none" w:sz="0" w:space="0" w:color="auto"/>
            <w:bottom w:val="none" w:sz="0" w:space="0" w:color="auto"/>
            <w:right w:val="none" w:sz="0" w:space="0" w:color="auto"/>
          </w:divBdr>
        </w:div>
      </w:divsChild>
    </w:div>
    <w:div w:id="1691371828">
      <w:marLeft w:val="0"/>
      <w:marRight w:val="0"/>
      <w:marTop w:val="200"/>
      <w:marBottom w:val="0"/>
      <w:divBdr>
        <w:top w:val="none" w:sz="0" w:space="0" w:color="auto"/>
        <w:left w:val="none" w:sz="0" w:space="0" w:color="auto"/>
        <w:bottom w:val="none" w:sz="0" w:space="0" w:color="auto"/>
        <w:right w:val="none" w:sz="0" w:space="0" w:color="auto"/>
      </w:divBdr>
    </w:div>
    <w:div w:id="1692493272">
      <w:marLeft w:val="0"/>
      <w:marRight w:val="0"/>
      <w:marTop w:val="0"/>
      <w:marBottom w:val="0"/>
      <w:divBdr>
        <w:top w:val="none" w:sz="0" w:space="0" w:color="auto"/>
        <w:left w:val="none" w:sz="0" w:space="0" w:color="auto"/>
        <w:bottom w:val="none" w:sz="0" w:space="0" w:color="auto"/>
        <w:right w:val="none" w:sz="0" w:space="0" w:color="auto"/>
      </w:divBdr>
      <w:divsChild>
        <w:div w:id="1909684619">
          <w:marLeft w:val="0"/>
          <w:marRight w:val="0"/>
          <w:marTop w:val="0"/>
          <w:marBottom w:val="0"/>
          <w:divBdr>
            <w:top w:val="none" w:sz="0" w:space="0" w:color="auto"/>
            <w:left w:val="none" w:sz="0" w:space="0" w:color="auto"/>
            <w:bottom w:val="none" w:sz="0" w:space="0" w:color="auto"/>
            <w:right w:val="none" w:sz="0" w:space="0" w:color="auto"/>
          </w:divBdr>
        </w:div>
      </w:divsChild>
    </w:div>
    <w:div w:id="1694644315">
      <w:marLeft w:val="0"/>
      <w:marRight w:val="0"/>
      <w:marTop w:val="0"/>
      <w:marBottom w:val="0"/>
      <w:divBdr>
        <w:top w:val="none" w:sz="0" w:space="0" w:color="auto"/>
        <w:left w:val="none" w:sz="0" w:space="0" w:color="auto"/>
        <w:bottom w:val="none" w:sz="0" w:space="0" w:color="auto"/>
        <w:right w:val="none" w:sz="0" w:space="0" w:color="auto"/>
      </w:divBdr>
    </w:div>
    <w:div w:id="1695378051">
      <w:marLeft w:val="0"/>
      <w:marRight w:val="0"/>
      <w:marTop w:val="0"/>
      <w:marBottom w:val="0"/>
      <w:divBdr>
        <w:top w:val="none" w:sz="0" w:space="0" w:color="auto"/>
        <w:left w:val="none" w:sz="0" w:space="0" w:color="auto"/>
        <w:bottom w:val="none" w:sz="0" w:space="0" w:color="auto"/>
        <w:right w:val="none" w:sz="0" w:space="0" w:color="auto"/>
      </w:divBdr>
      <w:divsChild>
        <w:div w:id="422342780">
          <w:marLeft w:val="0"/>
          <w:marRight w:val="0"/>
          <w:marTop w:val="0"/>
          <w:marBottom w:val="0"/>
          <w:divBdr>
            <w:top w:val="none" w:sz="0" w:space="0" w:color="auto"/>
            <w:left w:val="none" w:sz="0" w:space="0" w:color="auto"/>
            <w:bottom w:val="none" w:sz="0" w:space="0" w:color="auto"/>
            <w:right w:val="none" w:sz="0" w:space="0" w:color="auto"/>
          </w:divBdr>
        </w:div>
        <w:div w:id="2038501770">
          <w:marLeft w:val="0"/>
          <w:marRight w:val="0"/>
          <w:marTop w:val="0"/>
          <w:marBottom w:val="0"/>
          <w:divBdr>
            <w:top w:val="none" w:sz="0" w:space="0" w:color="auto"/>
            <w:left w:val="none" w:sz="0" w:space="0" w:color="auto"/>
            <w:bottom w:val="none" w:sz="0" w:space="0" w:color="auto"/>
            <w:right w:val="none" w:sz="0" w:space="0" w:color="auto"/>
          </w:divBdr>
        </w:div>
        <w:div w:id="1488474805">
          <w:marLeft w:val="0"/>
          <w:marRight w:val="0"/>
          <w:marTop w:val="0"/>
          <w:marBottom w:val="0"/>
          <w:divBdr>
            <w:top w:val="none" w:sz="0" w:space="0" w:color="auto"/>
            <w:left w:val="none" w:sz="0" w:space="0" w:color="auto"/>
            <w:bottom w:val="none" w:sz="0" w:space="0" w:color="auto"/>
            <w:right w:val="none" w:sz="0" w:space="0" w:color="auto"/>
          </w:divBdr>
        </w:div>
        <w:div w:id="260379859">
          <w:marLeft w:val="0"/>
          <w:marRight w:val="0"/>
          <w:marTop w:val="0"/>
          <w:marBottom w:val="0"/>
          <w:divBdr>
            <w:top w:val="none" w:sz="0" w:space="0" w:color="auto"/>
            <w:left w:val="none" w:sz="0" w:space="0" w:color="auto"/>
            <w:bottom w:val="none" w:sz="0" w:space="0" w:color="auto"/>
            <w:right w:val="none" w:sz="0" w:space="0" w:color="auto"/>
          </w:divBdr>
        </w:div>
      </w:divsChild>
    </w:div>
    <w:div w:id="1698038491">
      <w:marLeft w:val="0"/>
      <w:marRight w:val="0"/>
      <w:marTop w:val="0"/>
      <w:marBottom w:val="0"/>
      <w:divBdr>
        <w:top w:val="none" w:sz="0" w:space="0" w:color="auto"/>
        <w:left w:val="none" w:sz="0" w:space="0" w:color="auto"/>
        <w:bottom w:val="none" w:sz="0" w:space="0" w:color="auto"/>
        <w:right w:val="none" w:sz="0" w:space="0" w:color="auto"/>
      </w:divBdr>
      <w:divsChild>
        <w:div w:id="680551157">
          <w:marLeft w:val="0"/>
          <w:marRight w:val="0"/>
          <w:marTop w:val="0"/>
          <w:marBottom w:val="0"/>
          <w:divBdr>
            <w:top w:val="none" w:sz="0" w:space="0" w:color="auto"/>
            <w:left w:val="none" w:sz="0" w:space="0" w:color="auto"/>
            <w:bottom w:val="none" w:sz="0" w:space="0" w:color="auto"/>
            <w:right w:val="none" w:sz="0" w:space="0" w:color="auto"/>
          </w:divBdr>
        </w:div>
      </w:divsChild>
    </w:div>
    <w:div w:id="1700810277">
      <w:marLeft w:val="0"/>
      <w:marRight w:val="0"/>
      <w:marTop w:val="200"/>
      <w:marBottom w:val="0"/>
      <w:divBdr>
        <w:top w:val="none" w:sz="0" w:space="0" w:color="auto"/>
        <w:left w:val="none" w:sz="0" w:space="0" w:color="auto"/>
        <w:bottom w:val="none" w:sz="0" w:space="0" w:color="auto"/>
        <w:right w:val="none" w:sz="0" w:space="0" w:color="auto"/>
      </w:divBdr>
    </w:div>
    <w:div w:id="1706365244">
      <w:marLeft w:val="0"/>
      <w:marRight w:val="0"/>
      <w:marTop w:val="200"/>
      <w:marBottom w:val="0"/>
      <w:divBdr>
        <w:top w:val="none" w:sz="0" w:space="0" w:color="auto"/>
        <w:left w:val="none" w:sz="0" w:space="0" w:color="auto"/>
        <w:bottom w:val="none" w:sz="0" w:space="0" w:color="auto"/>
        <w:right w:val="none" w:sz="0" w:space="0" w:color="auto"/>
      </w:divBdr>
    </w:div>
    <w:div w:id="1708290263">
      <w:marLeft w:val="0"/>
      <w:marRight w:val="0"/>
      <w:marTop w:val="200"/>
      <w:marBottom w:val="0"/>
      <w:divBdr>
        <w:top w:val="none" w:sz="0" w:space="0" w:color="auto"/>
        <w:left w:val="none" w:sz="0" w:space="0" w:color="auto"/>
        <w:bottom w:val="none" w:sz="0" w:space="0" w:color="auto"/>
        <w:right w:val="none" w:sz="0" w:space="0" w:color="auto"/>
      </w:divBdr>
    </w:div>
    <w:div w:id="1710958001">
      <w:marLeft w:val="0"/>
      <w:marRight w:val="0"/>
      <w:marTop w:val="200"/>
      <w:marBottom w:val="0"/>
      <w:divBdr>
        <w:top w:val="none" w:sz="0" w:space="0" w:color="auto"/>
        <w:left w:val="none" w:sz="0" w:space="0" w:color="auto"/>
        <w:bottom w:val="none" w:sz="0" w:space="0" w:color="auto"/>
        <w:right w:val="none" w:sz="0" w:space="0" w:color="auto"/>
      </w:divBdr>
    </w:div>
    <w:div w:id="1711300722">
      <w:marLeft w:val="0"/>
      <w:marRight w:val="0"/>
      <w:marTop w:val="0"/>
      <w:marBottom w:val="200"/>
      <w:divBdr>
        <w:top w:val="none" w:sz="0" w:space="0" w:color="auto"/>
        <w:left w:val="none" w:sz="0" w:space="0" w:color="auto"/>
        <w:bottom w:val="none" w:sz="0" w:space="0" w:color="auto"/>
        <w:right w:val="none" w:sz="0" w:space="0" w:color="auto"/>
      </w:divBdr>
    </w:div>
    <w:div w:id="1711681586">
      <w:marLeft w:val="0"/>
      <w:marRight w:val="0"/>
      <w:marTop w:val="100"/>
      <w:marBottom w:val="60"/>
      <w:divBdr>
        <w:top w:val="none" w:sz="0" w:space="0" w:color="auto"/>
        <w:left w:val="none" w:sz="0" w:space="0" w:color="auto"/>
        <w:bottom w:val="none" w:sz="0" w:space="0" w:color="auto"/>
        <w:right w:val="none" w:sz="0" w:space="0" w:color="auto"/>
      </w:divBdr>
    </w:div>
    <w:div w:id="1715108159">
      <w:marLeft w:val="0"/>
      <w:marRight w:val="0"/>
      <w:marTop w:val="225"/>
      <w:marBottom w:val="0"/>
      <w:divBdr>
        <w:top w:val="none" w:sz="0" w:space="0" w:color="auto"/>
        <w:left w:val="none" w:sz="0" w:space="0" w:color="auto"/>
        <w:bottom w:val="none" w:sz="0" w:space="0" w:color="auto"/>
        <w:right w:val="none" w:sz="0" w:space="0" w:color="auto"/>
      </w:divBdr>
    </w:div>
    <w:div w:id="1716192795">
      <w:marLeft w:val="0"/>
      <w:marRight w:val="0"/>
      <w:marTop w:val="0"/>
      <w:marBottom w:val="0"/>
      <w:divBdr>
        <w:top w:val="none" w:sz="0" w:space="0" w:color="auto"/>
        <w:left w:val="none" w:sz="0" w:space="0" w:color="auto"/>
        <w:bottom w:val="none" w:sz="0" w:space="0" w:color="auto"/>
        <w:right w:val="none" w:sz="0" w:space="0" w:color="auto"/>
      </w:divBdr>
    </w:div>
    <w:div w:id="1716929958">
      <w:marLeft w:val="0"/>
      <w:marRight w:val="0"/>
      <w:marTop w:val="200"/>
      <w:marBottom w:val="0"/>
      <w:divBdr>
        <w:top w:val="none" w:sz="0" w:space="0" w:color="auto"/>
        <w:left w:val="none" w:sz="0" w:space="0" w:color="auto"/>
        <w:bottom w:val="none" w:sz="0" w:space="0" w:color="auto"/>
        <w:right w:val="none" w:sz="0" w:space="0" w:color="auto"/>
      </w:divBdr>
    </w:div>
    <w:div w:id="1718050032">
      <w:marLeft w:val="0"/>
      <w:marRight w:val="0"/>
      <w:marTop w:val="100"/>
      <w:marBottom w:val="0"/>
      <w:divBdr>
        <w:top w:val="none" w:sz="0" w:space="0" w:color="auto"/>
        <w:left w:val="none" w:sz="0" w:space="0" w:color="auto"/>
        <w:bottom w:val="none" w:sz="0" w:space="0" w:color="auto"/>
        <w:right w:val="none" w:sz="0" w:space="0" w:color="auto"/>
      </w:divBdr>
    </w:div>
    <w:div w:id="1719013410">
      <w:marLeft w:val="0"/>
      <w:marRight w:val="0"/>
      <w:marTop w:val="60"/>
      <w:marBottom w:val="0"/>
      <w:divBdr>
        <w:top w:val="none" w:sz="0" w:space="0" w:color="auto"/>
        <w:left w:val="none" w:sz="0" w:space="0" w:color="auto"/>
        <w:bottom w:val="none" w:sz="0" w:space="0" w:color="auto"/>
        <w:right w:val="none" w:sz="0" w:space="0" w:color="auto"/>
      </w:divBdr>
    </w:div>
    <w:div w:id="1721249879">
      <w:marLeft w:val="0"/>
      <w:marRight w:val="0"/>
      <w:marTop w:val="0"/>
      <w:marBottom w:val="0"/>
      <w:divBdr>
        <w:top w:val="none" w:sz="0" w:space="0" w:color="auto"/>
        <w:left w:val="none" w:sz="0" w:space="0" w:color="auto"/>
        <w:bottom w:val="none" w:sz="0" w:space="0" w:color="auto"/>
        <w:right w:val="none" w:sz="0" w:space="0" w:color="auto"/>
      </w:divBdr>
    </w:div>
    <w:div w:id="1723944131">
      <w:marLeft w:val="0"/>
      <w:marRight w:val="0"/>
      <w:marTop w:val="200"/>
      <w:marBottom w:val="0"/>
      <w:divBdr>
        <w:top w:val="none" w:sz="0" w:space="0" w:color="auto"/>
        <w:left w:val="none" w:sz="0" w:space="0" w:color="auto"/>
        <w:bottom w:val="none" w:sz="0" w:space="0" w:color="auto"/>
        <w:right w:val="none" w:sz="0" w:space="0" w:color="auto"/>
      </w:divBdr>
    </w:div>
    <w:div w:id="1730691655">
      <w:marLeft w:val="0"/>
      <w:marRight w:val="0"/>
      <w:marTop w:val="0"/>
      <w:marBottom w:val="0"/>
      <w:divBdr>
        <w:top w:val="none" w:sz="0" w:space="0" w:color="auto"/>
        <w:left w:val="none" w:sz="0" w:space="0" w:color="auto"/>
        <w:bottom w:val="none" w:sz="0" w:space="0" w:color="auto"/>
        <w:right w:val="none" w:sz="0" w:space="0" w:color="auto"/>
      </w:divBdr>
      <w:divsChild>
        <w:div w:id="1691834370">
          <w:marLeft w:val="0"/>
          <w:marRight w:val="0"/>
          <w:marTop w:val="0"/>
          <w:marBottom w:val="0"/>
          <w:divBdr>
            <w:top w:val="none" w:sz="0" w:space="0" w:color="auto"/>
            <w:left w:val="none" w:sz="0" w:space="0" w:color="auto"/>
            <w:bottom w:val="none" w:sz="0" w:space="0" w:color="auto"/>
            <w:right w:val="none" w:sz="0" w:space="0" w:color="auto"/>
          </w:divBdr>
        </w:div>
      </w:divsChild>
    </w:div>
    <w:div w:id="1730956447">
      <w:marLeft w:val="0"/>
      <w:marRight w:val="0"/>
      <w:marTop w:val="0"/>
      <w:marBottom w:val="0"/>
      <w:divBdr>
        <w:top w:val="none" w:sz="0" w:space="0" w:color="auto"/>
        <w:left w:val="none" w:sz="0" w:space="0" w:color="auto"/>
        <w:bottom w:val="none" w:sz="0" w:space="0" w:color="auto"/>
        <w:right w:val="none" w:sz="0" w:space="0" w:color="auto"/>
      </w:divBdr>
      <w:divsChild>
        <w:div w:id="1022321703">
          <w:marLeft w:val="0"/>
          <w:marRight w:val="0"/>
          <w:marTop w:val="0"/>
          <w:marBottom w:val="0"/>
          <w:divBdr>
            <w:top w:val="none" w:sz="0" w:space="0" w:color="auto"/>
            <w:left w:val="none" w:sz="0" w:space="0" w:color="auto"/>
            <w:bottom w:val="none" w:sz="0" w:space="0" w:color="auto"/>
            <w:right w:val="none" w:sz="0" w:space="0" w:color="auto"/>
          </w:divBdr>
        </w:div>
        <w:div w:id="1126387224">
          <w:marLeft w:val="0"/>
          <w:marRight w:val="0"/>
          <w:marTop w:val="0"/>
          <w:marBottom w:val="0"/>
          <w:divBdr>
            <w:top w:val="none" w:sz="0" w:space="0" w:color="auto"/>
            <w:left w:val="none" w:sz="0" w:space="0" w:color="auto"/>
            <w:bottom w:val="none" w:sz="0" w:space="0" w:color="auto"/>
            <w:right w:val="none" w:sz="0" w:space="0" w:color="auto"/>
          </w:divBdr>
        </w:div>
        <w:div w:id="298071266">
          <w:marLeft w:val="0"/>
          <w:marRight w:val="0"/>
          <w:marTop w:val="0"/>
          <w:marBottom w:val="0"/>
          <w:divBdr>
            <w:top w:val="none" w:sz="0" w:space="0" w:color="auto"/>
            <w:left w:val="none" w:sz="0" w:space="0" w:color="auto"/>
            <w:bottom w:val="none" w:sz="0" w:space="0" w:color="auto"/>
            <w:right w:val="none" w:sz="0" w:space="0" w:color="auto"/>
          </w:divBdr>
        </w:div>
        <w:div w:id="1490249918">
          <w:marLeft w:val="0"/>
          <w:marRight w:val="0"/>
          <w:marTop w:val="0"/>
          <w:marBottom w:val="0"/>
          <w:divBdr>
            <w:top w:val="none" w:sz="0" w:space="0" w:color="auto"/>
            <w:left w:val="none" w:sz="0" w:space="0" w:color="auto"/>
            <w:bottom w:val="none" w:sz="0" w:space="0" w:color="auto"/>
            <w:right w:val="none" w:sz="0" w:space="0" w:color="auto"/>
          </w:divBdr>
        </w:div>
      </w:divsChild>
    </w:div>
    <w:div w:id="1733575901">
      <w:marLeft w:val="0"/>
      <w:marRight w:val="0"/>
      <w:marTop w:val="0"/>
      <w:marBottom w:val="0"/>
      <w:divBdr>
        <w:top w:val="none" w:sz="0" w:space="0" w:color="auto"/>
        <w:left w:val="none" w:sz="0" w:space="0" w:color="auto"/>
        <w:bottom w:val="none" w:sz="0" w:space="0" w:color="auto"/>
        <w:right w:val="none" w:sz="0" w:space="0" w:color="auto"/>
      </w:divBdr>
      <w:divsChild>
        <w:div w:id="1331520684">
          <w:marLeft w:val="0"/>
          <w:marRight w:val="0"/>
          <w:marTop w:val="0"/>
          <w:marBottom w:val="0"/>
          <w:divBdr>
            <w:top w:val="none" w:sz="0" w:space="0" w:color="auto"/>
            <w:left w:val="none" w:sz="0" w:space="0" w:color="auto"/>
            <w:bottom w:val="none" w:sz="0" w:space="0" w:color="auto"/>
            <w:right w:val="none" w:sz="0" w:space="0" w:color="auto"/>
          </w:divBdr>
        </w:div>
        <w:div w:id="932975968">
          <w:marLeft w:val="0"/>
          <w:marRight w:val="0"/>
          <w:marTop w:val="0"/>
          <w:marBottom w:val="0"/>
          <w:divBdr>
            <w:top w:val="none" w:sz="0" w:space="0" w:color="auto"/>
            <w:left w:val="none" w:sz="0" w:space="0" w:color="auto"/>
            <w:bottom w:val="none" w:sz="0" w:space="0" w:color="auto"/>
            <w:right w:val="none" w:sz="0" w:space="0" w:color="auto"/>
          </w:divBdr>
        </w:div>
        <w:div w:id="506137369">
          <w:marLeft w:val="0"/>
          <w:marRight w:val="0"/>
          <w:marTop w:val="0"/>
          <w:marBottom w:val="0"/>
          <w:divBdr>
            <w:top w:val="none" w:sz="0" w:space="0" w:color="auto"/>
            <w:left w:val="none" w:sz="0" w:space="0" w:color="auto"/>
            <w:bottom w:val="none" w:sz="0" w:space="0" w:color="auto"/>
            <w:right w:val="none" w:sz="0" w:space="0" w:color="auto"/>
          </w:divBdr>
        </w:div>
        <w:div w:id="1081635187">
          <w:marLeft w:val="0"/>
          <w:marRight w:val="0"/>
          <w:marTop w:val="0"/>
          <w:marBottom w:val="0"/>
          <w:divBdr>
            <w:top w:val="none" w:sz="0" w:space="0" w:color="auto"/>
            <w:left w:val="none" w:sz="0" w:space="0" w:color="auto"/>
            <w:bottom w:val="none" w:sz="0" w:space="0" w:color="auto"/>
            <w:right w:val="none" w:sz="0" w:space="0" w:color="auto"/>
          </w:divBdr>
        </w:div>
      </w:divsChild>
    </w:div>
    <w:div w:id="1733964330">
      <w:marLeft w:val="0"/>
      <w:marRight w:val="0"/>
      <w:marTop w:val="0"/>
      <w:marBottom w:val="0"/>
      <w:divBdr>
        <w:top w:val="none" w:sz="0" w:space="0" w:color="auto"/>
        <w:left w:val="none" w:sz="0" w:space="0" w:color="auto"/>
        <w:bottom w:val="none" w:sz="0" w:space="0" w:color="auto"/>
        <w:right w:val="none" w:sz="0" w:space="0" w:color="auto"/>
      </w:divBdr>
    </w:div>
    <w:div w:id="1734037473">
      <w:marLeft w:val="0"/>
      <w:marRight w:val="0"/>
      <w:marTop w:val="0"/>
      <w:marBottom w:val="0"/>
      <w:divBdr>
        <w:top w:val="none" w:sz="0" w:space="0" w:color="auto"/>
        <w:left w:val="none" w:sz="0" w:space="0" w:color="auto"/>
        <w:bottom w:val="none" w:sz="0" w:space="0" w:color="auto"/>
        <w:right w:val="none" w:sz="0" w:space="0" w:color="auto"/>
      </w:divBdr>
      <w:divsChild>
        <w:div w:id="153763397">
          <w:marLeft w:val="0"/>
          <w:marRight w:val="0"/>
          <w:marTop w:val="0"/>
          <w:marBottom w:val="0"/>
          <w:divBdr>
            <w:top w:val="none" w:sz="0" w:space="0" w:color="auto"/>
            <w:left w:val="none" w:sz="0" w:space="0" w:color="auto"/>
            <w:bottom w:val="none" w:sz="0" w:space="0" w:color="auto"/>
            <w:right w:val="none" w:sz="0" w:space="0" w:color="auto"/>
          </w:divBdr>
          <w:divsChild>
            <w:div w:id="21433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99">
      <w:marLeft w:val="0"/>
      <w:marRight w:val="0"/>
      <w:marTop w:val="200"/>
      <w:marBottom w:val="0"/>
      <w:divBdr>
        <w:top w:val="none" w:sz="0" w:space="0" w:color="auto"/>
        <w:left w:val="none" w:sz="0" w:space="0" w:color="auto"/>
        <w:bottom w:val="none" w:sz="0" w:space="0" w:color="auto"/>
        <w:right w:val="none" w:sz="0" w:space="0" w:color="auto"/>
      </w:divBdr>
    </w:div>
    <w:div w:id="1735808826">
      <w:marLeft w:val="0"/>
      <w:marRight w:val="0"/>
      <w:marTop w:val="0"/>
      <w:marBottom w:val="0"/>
      <w:divBdr>
        <w:top w:val="none" w:sz="0" w:space="0" w:color="auto"/>
        <w:left w:val="none" w:sz="0" w:space="0" w:color="auto"/>
        <w:bottom w:val="none" w:sz="0" w:space="0" w:color="auto"/>
        <w:right w:val="none" w:sz="0" w:space="0" w:color="auto"/>
      </w:divBdr>
      <w:divsChild>
        <w:div w:id="134833909">
          <w:marLeft w:val="0"/>
          <w:marRight w:val="0"/>
          <w:marTop w:val="0"/>
          <w:marBottom w:val="0"/>
          <w:divBdr>
            <w:top w:val="none" w:sz="0" w:space="0" w:color="auto"/>
            <w:left w:val="none" w:sz="0" w:space="0" w:color="auto"/>
            <w:bottom w:val="none" w:sz="0" w:space="0" w:color="auto"/>
            <w:right w:val="none" w:sz="0" w:space="0" w:color="auto"/>
          </w:divBdr>
        </w:div>
      </w:divsChild>
    </w:div>
    <w:div w:id="1745301899">
      <w:marLeft w:val="0"/>
      <w:marRight w:val="0"/>
      <w:marTop w:val="0"/>
      <w:marBottom w:val="0"/>
      <w:divBdr>
        <w:top w:val="none" w:sz="0" w:space="0" w:color="auto"/>
        <w:left w:val="none" w:sz="0" w:space="0" w:color="auto"/>
        <w:bottom w:val="none" w:sz="0" w:space="0" w:color="auto"/>
        <w:right w:val="none" w:sz="0" w:space="0" w:color="auto"/>
      </w:divBdr>
    </w:div>
    <w:div w:id="1745446788">
      <w:marLeft w:val="0"/>
      <w:marRight w:val="0"/>
      <w:marTop w:val="0"/>
      <w:marBottom w:val="200"/>
      <w:divBdr>
        <w:top w:val="none" w:sz="0" w:space="0" w:color="auto"/>
        <w:left w:val="none" w:sz="0" w:space="0" w:color="auto"/>
        <w:bottom w:val="none" w:sz="0" w:space="0" w:color="auto"/>
        <w:right w:val="none" w:sz="0" w:space="0" w:color="auto"/>
      </w:divBdr>
    </w:div>
    <w:div w:id="1748990483">
      <w:marLeft w:val="0"/>
      <w:marRight w:val="0"/>
      <w:marTop w:val="200"/>
      <w:marBottom w:val="0"/>
      <w:divBdr>
        <w:top w:val="none" w:sz="0" w:space="0" w:color="auto"/>
        <w:left w:val="none" w:sz="0" w:space="0" w:color="auto"/>
        <w:bottom w:val="none" w:sz="0" w:space="0" w:color="auto"/>
        <w:right w:val="none" w:sz="0" w:space="0" w:color="auto"/>
      </w:divBdr>
    </w:div>
    <w:div w:id="1749690727">
      <w:marLeft w:val="0"/>
      <w:marRight w:val="0"/>
      <w:marTop w:val="200"/>
      <w:marBottom w:val="0"/>
      <w:divBdr>
        <w:top w:val="none" w:sz="0" w:space="0" w:color="auto"/>
        <w:left w:val="none" w:sz="0" w:space="0" w:color="auto"/>
        <w:bottom w:val="none" w:sz="0" w:space="0" w:color="auto"/>
        <w:right w:val="none" w:sz="0" w:space="0" w:color="auto"/>
      </w:divBdr>
    </w:div>
    <w:div w:id="1749885680">
      <w:marLeft w:val="0"/>
      <w:marRight w:val="0"/>
      <w:marTop w:val="0"/>
      <w:marBottom w:val="0"/>
      <w:divBdr>
        <w:top w:val="none" w:sz="0" w:space="0" w:color="auto"/>
        <w:left w:val="none" w:sz="0" w:space="0" w:color="auto"/>
        <w:bottom w:val="none" w:sz="0" w:space="0" w:color="auto"/>
        <w:right w:val="none" w:sz="0" w:space="0" w:color="auto"/>
      </w:divBdr>
      <w:divsChild>
        <w:div w:id="1525436945">
          <w:marLeft w:val="0"/>
          <w:marRight w:val="0"/>
          <w:marTop w:val="0"/>
          <w:marBottom w:val="0"/>
          <w:divBdr>
            <w:top w:val="none" w:sz="0" w:space="0" w:color="auto"/>
            <w:left w:val="none" w:sz="0" w:space="0" w:color="auto"/>
            <w:bottom w:val="none" w:sz="0" w:space="0" w:color="auto"/>
            <w:right w:val="none" w:sz="0" w:space="0" w:color="auto"/>
          </w:divBdr>
        </w:div>
      </w:divsChild>
    </w:div>
    <w:div w:id="1750232252">
      <w:marLeft w:val="0"/>
      <w:marRight w:val="0"/>
      <w:marTop w:val="200"/>
      <w:marBottom w:val="0"/>
      <w:divBdr>
        <w:top w:val="none" w:sz="0" w:space="0" w:color="auto"/>
        <w:left w:val="none" w:sz="0" w:space="0" w:color="auto"/>
        <w:bottom w:val="none" w:sz="0" w:space="0" w:color="auto"/>
        <w:right w:val="none" w:sz="0" w:space="0" w:color="auto"/>
      </w:divBdr>
    </w:div>
    <w:div w:id="1750345695">
      <w:marLeft w:val="0"/>
      <w:marRight w:val="0"/>
      <w:marTop w:val="200"/>
      <w:marBottom w:val="0"/>
      <w:divBdr>
        <w:top w:val="none" w:sz="0" w:space="0" w:color="auto"/>
        <w:left w:val="none" w:sz="0" w:space="0" w:color="auto"/>
        <w:bottom w:val="none" w:sz="0" w:space="0" w:color="auto"/>
        <w:right w:val="none" w:sz="0" w:space="0" w:color="auto"/>
      </w:divBdr>
    </w:div>
    <w:div w:id="1750810553">
      <w:marLeft w:val="0"/>
      <w:marRight w:val="0"/>
      <w:marTop w:val="200"/>
      <w:marBottom w:val="0"/>
      <w:divBdr>
        <w:top w:val="none" w:sz="0" w:space="0" w:color="auto"/>
        <w:left w:val="none" w:sz="0" w:space="0" w:color="auto"/>
        <w:bottom w:val="none" w:sz="0" w:space="0" w:color="auto"/>
        <w:right w:val="none" w:sz="0" w:space="0" w:color="auto"/>
      </w:divBdr>
    </w:div>
    <w:div w:id="1752964579">
      <w:marLeft w:val="0"/>
      <w:marRight w:val="0"/>
      <w:marTop w:val="200"/>
      <w:marBottom w:val="0"/>
      <w:divBdr>
        <w:top w:val="none" w:sz="0" w:space="0" w:color="auto"/>
        <w:left w:val="none" w:sz="0" w:space="0" w:color="auto"/>
        <w:bottom w:val="none" w:sz="0" w:space="0" w:color="auto"/>
        <w:right w:val="none" w:sz="0" w:space="0" w:color="auto"/>
      </w:divBdr>
    </w:div>
    <w:div w:id="1756366634">
      <w:marLeft w:val="0"/>
      <w:marRight w:val="0"/>
      <w:marTop w:val="20"/>
      <w:marBottom w:val="0"/>
      <w:divBdr>
        <w:top w:val="none" w:sz="0" w:space="0" w:color="auto"/>
        <w:left w:val="none" w:sz="0" w:space="0" w:color="auto"/>
        <w:bottom w:val="none" w:sz="0" w:space="0" w:color="auto"/>
        <w:right w:val="none" w:sz="0" w:space="0" w:color="auto"/>
      </w:divBdr>
    </w:div>
    <w:div w:id="1757092915">
      <w:marLeft w:val="0"/>
      <w:marRight w:val="0"/>
      <w:marTop w:val="0"/>
      <w:marBottom w:val="0"/>
      <w:divBdr>
        <w:top w:val="none" w:sz="0" w:space="0" w:color="auto"/>
        <w:left w:val="none" w:sz="0" w:space="0" w:color="auto"/>
        <w:bottom w:val="none" w:sz="0" w:space="0" w:color="auto"/>
        <w:right w:val="none" w:sz="0" w:space="0" w:color="auto"/>
      </w:divBdr>
      <w:divsChild>
        <w:div w:id="2068063904">
          <w:marLeft w:val="0"/>
          <w:marRight w:val="0"/>
          <w:marTop w:val="0"/>
          <w:marBottom w:val="0"/>
          <w:divBdr>
            <w:top w:val="none" w:sz="0" w:space="0" w:color="auto"/>
            <w:left w:val="none" w:sz="0" w:space="0" w:color="auto"/>
            <w:bottom w:val="none" w:sz="0" w:space="0" w:color="auto"/>
            <w:right w:val="none" w:sz="0" w:space="0" w:color="auto"/>
          </w:divBdr>
        </w:div>
      </w:divsChild>
    </w:div>
    <w:div w:id="1757165541">
      <w:marLeft w:val="0"/>
      <w:marRight w:val="0"/>
      <w:marTop w:val="200"/>
      <w:marBottom w:val="0"/>
      <w:divBdr>
        <w:top w:val="none" w:sz="0" w:space="0" w:color="auto"/>
        <w:left w:val="none" w:sz="0" w:space="0" w:color="auto"/>
        <w:bottom w:val="none" w:sz="0" w:space="0" w:color="auto"/>
        <w:right w:val="none" w:sz="0" w:space="0" w:color="auto"/>
      </w:divBdr>
    </w:div>
    <w:div w:id="1758596523">
      <w:marLeft w:val="0"/>
      <w:marRight w:val="0"/>
      <w:marTop w:val="0"/>
      <w:marBottom w:val="0"/>
      <w:divBdr>
        <w:top w:val="none" w:sz="0" w:space="0" w:color="auto"/>
        <w:left w:val="none" w:sz="0" w:space="0" w:color="auto"/>
        <w:bottom w:val="none" w:sz="0" w:space="0" w:color="auto"/>
        <w:right w:val="none" w:sz="0" w:space="0" w:color="auto"/>
      </w:divBdr>
    </w:div>
    <w:div w:id="1762413390">
      <w:marLeft w:val="0"/>
      <w:marRight w:val="0"/>
      <w:marTop w:val="200"/>
      <w:marBottom w:val="0"/>
      <w:divBdr>
        <w:top w:val="none" w:sz="0" w:space="0" w:color="auto"/>
        <w:left w:val="none" w:sz="0" w:space="0" w:color="auto"/>
        <w:bottom w:val="none" w:sz="0" w:space="0" w:color="auto"/>
        <w:right w:val="none" w:sz="0" w:space="0" w:color="auto"/>
      </w:divBdr>
    </w:div>
    <w:div w:id="1763451865">
      <w:marLeft w:val="0"/>
      <w:marRight w:val="0"/>
      <w:marTop w:val="0"/>
      <w:marBottom w:val="0"/>
      <w:divBdr>
        <w:top w:val="none" w:sz="0" w:space="0" w:color="auto"/>
        <w:left w:val="none" w:sz="0" w:space="0" w:color="auto"/>
        <w:bottom w:val="none" w:sz="0" w:space="0" w:color="auto"/>
        <w:right w:val="none" w:sz="0" w:space="0" w:color="auto"/>
      </w:divBdr>
      <w:divsChild>
        <w:div w:id="1373072171">
          <w:marLeft w:val="0"/>
          <w:marRight w:val="0"/>
          <w:marTop w:val="0"/>
          <w:marBottom w:val="0"/>
          <w:divBdr>
            <w:top w:val="none" w:sz="0" w:space="0" w:color="auto"/>
            <w:left w:val="none" w:sz="0" w:space="0" w:color="auto"/>
            <w:bottom w:val="none" w:sz="0" w:space="0" w:color="auto"/>
            <w:right w:val="none" w:sz="0" w:space="0" w:color="auto"/>
          </w:divBdr>
        </w:div>
      </w:divsChild>
    </w:div>
    <w:div w:id="1763842052">
      <w:marLeft w:val="0"/>
      <w:marRight w:val="0"/>
      <w:marTop w:val="200"/>
      <w:marBottom w:val="0"/>
      <w:divBdr>
        <w:top w:val="none" w:sz="0" w:space="0" w:color="auto"/>
        <w:left w:val="none" w:sz="0" w:space="0" w:color="auto"/>
        <w:bottom w:val="none" w:sz="0" w:space="0" w:color="auto"/>
        <w:right w:val="none" w:sz="0" w:space="0" w:color="auto"/>
      </w:divBdr>
    </w:div>
    <w:div w:id="1764691331">
      <w:marLeft w:val="0"/>
      <w:marRight w:val="0"/>
      <w:marTop w:val="0"/>
      <w:marBottom w:val="0"/>
      <w:divBdr>
        <w:top w:val="none" w:sz="0" w:space="0" w:color="auto"/>
        <w:left w:val="none" w:sz="0" w:space="0" w:color="auto"/>
        <w:bottom w:val="none" w:sz="0" w:space="0" w:color="auto"/>
        <w:right w:val="none" w:sz="0" w:space="0" w:color="auto"/>
      </w:divBdr>
      <w:divsChild>
        <w:div w:id="2120488572">
          <w:marLeft w:val="0"/>
          <w:marRight w:val="0"/>
          <w:marTop w:val="0"/>
          <w:marBottom w:val="0"/>
          <w:divBdr>
            <w:top w:val="none" w:sz="0" w:space="0" w:color="auto"/>
            <w:left w:val="none" w:sz="0" w:space="0" w:color="auto"/>
            <w:bottom w:val="none" w:sz="0" w:space="0" w:color="auto"/>
            <w:right w:val="none" w:sz="0" w:space="0" w:color="auto"/>
          </w:divBdr>
        </w:div>
        <w:div w:id="370617521">
          <w:marLeft w:val="0"/>
          <w:marRight w:val="0"/>
          <w:marTop w:val="0"/>
          <w:marBottom w:val="0"/>
          <w:divBdr>
            <w:top w:val="none" w:sz="0" w:space="0" w:color="auto"/>
            <w:left w:val="none" w:sz="0" w:space="0" w:color="auto"/>
            <w:bottom w:val="none" w:sz="0" w:space="0" w:color="auto"/>
            <w:right w:val="none" w:sz="0" w:space="0" w:color="auto"/>
          </w:divBdr>
        </w:div>
        <w:div w:id="545531167">
          <w:marLeft w:val="0"/>
          <w:marRight w:val="0"/>
          <w:marTop w:val="0"/>
          <w:marBottom w:val="0"/>
          <w:divBdr>
            <w:top w:val="none" w:sz="0" w:space="0" w:color="auto"/>
            <w:left w:val="none" w:sz="0" w:space="0" w:color="auto"/>
            <w:bottom w:val="none" w:sz="0" w:space="0" w:color="auto"/>
            <w:right w:val="none" w:sz="0" w:space="0" w:color="auto"/>
          </w:divBdr>
        </w:div>
        <w:div w:id="680427341">
          <w:marLeft w:val="0"/>
          <w:marRight w:val="0"/>
          <w:marTop w:val="0"/>
          <w:marBottom w:val="0"/>
          <w:divBdr>
            <w:top w:val="none" w:sz="0" w:space="0" w:color="auto"/>
            <w:left w:val="none" w:sz="0" w:space="0" w:color="auto"/>
            <w:bottom w:val="none" w:sz="0" w:space="0" w:color="auto"/>
            <w:right w:val="none" w:sz="0" w:space="0" w:color="auto"/>
          </w:divBdr>
        </w:div>
      </w:divsChild>
    </w:div>
    <w:div w:id="1767310356">
      <w:marLeft w:val="0"/>
      <w:marRight w:val="0"/>
      <w:marTop w:val="0"/>
      <w:marBottom w:val="0"/>
      <w:divBdr>
        <w:top w:val="none" w:sz="0" w:space="0" w:color="auto"/>
        <w:left w:val="none" w:sz="0" w:space="0" w:color="auto"/>
        <w:bottom w:val="none" w:sz="0" w:space="0" w:color="auto"/>
        <w:right w:val="none" w:sz="0" w:space="0" w:color="auto"/>
      </w:divBdr>
    </w:div>
    <w:div w:id="1767388556">
      <w:marLeft w:val="0"/>
      <w:marRight w:val="0"/>
      <w:marTop w:val="0"/>
      <w:marBottom w:val="160"/>
      <w:divBdr>
        <w:top w:val="none" w:sz="0" w:space="0" w:color="auto"/>
        <w:left w:val="none" w:sz="0" w:space="0" w:color="auto"/>
        <w:bottom w:val="none" w:sz="0" w:space="0" w:color="auto"/>
        <w:right w:val="none" w:sz="0" w:space="0" w:color="auto"/>
      </w:divBdr>
    </w:div>
    <w:div w:id="1773089102">
      <w:marLeft w:val="0"/>
      <w:marRight w:val="0"/>
      <w:marTop w:val="200"/>
      <w:marBottom w:val="0"/>
      <w:divBdr>
        <w:top w:val="none" w:sz="0" w:space="0" w:color="auto"/>
        <w:left w:val="none" w:sz="0" w:space="0" w:color="auto"/>
        <w:bottom w:val="none" w:sz="0" w:space="0" w:color="auto"/>
        <w:right w:val="none" w:sz="0" w:space="0" w:color="auto"/>
      </w:divBdr>
    </w:div>
    <w:div w:id="1773865131">
      <w:marLeft w:val="0"/>
      <w:marRight w:val="0"/>
      <w:marTop w:val="0"/>
      <w:marBottom w:val="160"/>
      <w:divBdr>
        <w:top w:val="none" w:sz="0" w:space="0" w:color="auto"/>
        <w:left w:val="none" w:sz="0" w:space="0" w:color="auto"/>
        <w:bottom w:val="none" w:sz="0" w:space="0" w:color="auto"/>
        <w:right w:val="none" w:sz="0" w:space="0" w:color="auto"/>
      </w:divBdr>
    </w:div>
    <w:div w:id="1774596290">
      <w:marLeft w:val="0"/>
      <w:marRight w:val="0"/>
      <w:marTop w:val="0"/>
      <w:marBottom w:val="0"/>
      <w:divBdr>
        <w:top w:val="none" w:sz="0" w:space="0" w:color="auto"/>
        <w:left w:val="none" w:sz="0" w:space="0" w:color="auto"/>
        <w:bottom w:val="none" w:sz="0" w:space="0" w:color="auto"/>
        <w:right w:val="none" w:sz="0" w:space="0" w:color="auto"/>
      </w:divBdr>
      <w:divsChild>
        <w:div w:id="1556426421">
          <w:marLeft w:val="0"/>
          <w:marRight w:val="0"/>
          <w:marTop w:val="0"/>
          <w:marBottom w:val="0"/>
          <w:divBdr>
            <w:top w:val="none" w:sz="0" w:space="0" w:color="auto"/>
            <w:left w:val="none" w:sz="0" w:space="0" w:color="auto"/>
            <w:bottom w:val="none" w:sz="0" w:space="0" w:color="auto"/>
            <w:right w:val="none" w:sz="0" w:space="0" w:color="auto"/>
          </w:divBdr>
        </w:div>
      </w:divsChild>
    </w:div>
    <w:div w:id="1776637441">
      <w:marLeft w:val="0"/>
      <w:marRight w:val="0"/>
      <w:marTop w:val="200"/>
      <w:marBottom w:val="0"/>
      <w:divBdr>
        <w:top w:val="none" w:sz="0" w:space="0" w:color="auto"/>
        <w:left w:val="none" w:sz="0" w:space="0" w:color="auto"/>
        <w:bottom w:val="none" w:sz="0" w:space="0" w:color="auto"/>
        <w:right w:val="none" w:sz="0" w:space="0" w:color="auto"/>
      </w:divBdr>
    </w:div>
    <w:div w:id="1779636688">
      <w:marLeft w:val="0"/>
      <w:marRight w:val="0"/>
      <w:marTop w:val="0"/>
      <w:marBottom w:val="0"/>
      <w:divBdr>
        <w:top w:val="none" w:sz="0" w:space="0" w:color="auto"/>
        <w:left w:val="none" w:sz="0" w:space="0" w:color="auto"/>
        <w:bottom w:val="none" w:sz="0" w:space="0" w:color="auto"/>
        <w:right w:val="none" w:sz="0" w:space="0" w:color="auto"/>
      </w:divBdr>
      <w:divsChild>
        <w:div w:id="1956595059">
          <w:marLeft w:val="0"/>
          <w:marRight w:val="0"/>
          <w:marTop w:val="0"/>
          <w:marBottom w:val="0"/>
          <w:divBdr>
            <w:top w:val="none" w:sz="0" w:space="0" w:color="auto"/>
            <w:left w:val="none" w:sz="0" w:space="0" w:color="auto"/>
            <w:bottom w:val="none" w:sz="0" w:space="0" w:color="auto"/>
            <w:right w:val="none" w:sz="0" w:space="0" w:color="auto"/>
          </w:divBdr>
        </w:div>
      </w:divsChild>
    </w:div>
    <w:div w:id="1779717940">
      <w:marLeft w:val="0"/>
      <w:marRight w:val="0"/>
      <w:marTop w:val="100"/>
      <w:marBottom w:val="0"/>
      <w:divBdr>
        <w:top w:val="none" w:sz="0" w:space="0" w:color="auto"/>
        <w:left w:val="none" w:sz="0" w:space="0" w:color="auto"/>
        <w:bottom w:val="none" w:sz="0" w:space="0" w:color="auto"/>
        <w:right w:val="none" w:sz="0" w:space="0" w:color="auto"/>
      </w:divBdr>
    </w:div>
    <w:div w:id="1780955782">
      <w:marLeft w:val="0"/>
      <w:marRight w:val="0"/>
      <w:marTop w:val="0"/>
      <w:marBottom w:val="0"/>
      <w:divBdr>
        <w:top w:val="none" w:sz="0" w:space="0" w:color="auto"/>
        <w:left w:val="none" w:sz="0" w:space="0" w:color="auto"/>
        <w:bottom w:val="none" w:sz="0" w:space="0" w:color="auto"/>
        <w:right w:val="none" w:sz="0" w:space="0" w:color="auto"/>
      </w:divBdr>
    </w:div>
    <w:div w:id="1781802113">
      <w:marLeft w:val="0"/>
      <w:marRight w:val="0"/>
      <w:marTop w:val="0"/>
      <w:marBottom w:val="0"/>
      <w:divBdr>
        <w:top w:val="none" w:sz="0" w:space="0" w:color="auto"/>
        <w:left w:val="none" w:sz="0" w:space="0" w:color="auto"/>
        <w:bottom w:val="none" w:sz="0" w:space="0" w:color="auto"/>
        <w:right w:val="none" w:sz="0" w:space="0" w:color="auto"/>
      </w:divBdr>
      <w:divsChild>
        <w:div w:id="1205867758">
          <w:marLeft w:val="0"/>
          <w:marRight w:val="0"/>
          <w:marTop w:val="0"/>
          <w:marBottom w:val="0"/>
          <w:divBdr>
            <w:top w:val="none" w:sz="0" w:space="0" w:color="auto"/>
            <w:left w:val="none" w:sz="0" w:space="0" w:color="auto"/>
            <w:bottom w:val="none" w:sz="0" w:space="0" w:color="auto"/>
            <w:right w:val="none" w:sz="0" w:space="0" w:color="auto"/>
          </w:divBdr>
        </w:div>
      </w:divsChild>
    </w:div>
    <w:div w:id="1781804133">
      <w:marLeft w:val="0"/>
      <w:marRight w:val="0"/>
      <w:marTop w:val="0"/>
      <w:marBottom w:val="0"/>
      <w:divBdr>
        <w:top w:val="none" w:sz="0" w:space="0" w:color="auto"/>
        <w:left w:val="none" w:sz="0" w:space="0" w:color="auto"/>
        <w:bottom w:val="none" w:sz="0" w:space="0" w:color="auto"/>
        <w:right w:val="none" w:sz="0" w:space="0" w:color="auto"/>
      </w:divBdr>
    </w:div>
    <w:div w:id="1782728132">
      <w:marLeft w:val="0"/>
      <w:marRight w:val="0"/>
      <w:marTop w:val="100"/>
      <w:marBottom w:val="0"/>
      <w:divBdr>
        <w:top w:val="none" w:sz="0" w:space="0" w:color="auto"/>
        <w:left w:val="none" w:sz="0" w:space="0" w:color="auto"/>
        <w:bottom w:val="none" w:sz="0" w:space="0" w:color="auto"/>
        <w:right w:val="none" w:sz="0" w:space="0" w:color="auto"/>
      </w:divBdr>
    </w:div>
    <w:div w:id="1783185895">
      <w:marLeft w:val="0"/>
      <w:marRight w:val="0"/>
      <w:marTop w:val="0"/>
      <w:marBottom w:val="0"/>
      <w:divBdr>
        <w:top w:val="none" w:sz="0" w:space="0" w:color="auto"/>
        <w:left w:val="none" w:sz="0" w:space="0" w:color="auto"/>
        <w:bottom w:val="none" w:sz="0" w:space="0" w:color="auto"/>
        <w:right w:val="none" w:sz="0" w:space="0" w:color="auto"/>
      </w:divBdr>
    </w:div>
    <w:div w:id="1783962980">
      <w:marLeft w:val="0"/>
      <w:marRight w:val="0"/>
      <w:marTop w:val="0"/>
      <w:marBottom w:val="0"/>
      <w:divBdr>
        <w:top w:val="none" w:sz="0" w:space="0" w:color="auto"/>
        <w:left w:val="none" w:sz="0" w:space="0" w:color="auto"/>
        <w:bottom w:val="none" w:sz="0" w:space="0" w:color="auto"/>
        <w:right w:val="none" w:sz="0" w:space="0" w:color="auto"/>
      </w:divBdr>
      <w:divsChild>
        <w:div w:id="1256477925">
          <w:marLeft w:val="0"/>
          <w:marRight w:val="0"/>
          <w:marTop w:val="0"/>
          <w:marBottom w:val="0"/>
          <w:divBdr>
            <w:top w:val="none" w:sz="0" w:space="0" w:color="auto"/>
            <w:left w:val="none" w:sz="0" w:space="0" w:color="auto"/>
            <w:bottom w:val="none" w:sz="0" w:space="0" w:color="auto"/>
            <w:right w:val="none" w:sz="0" w:space="0" w:color="auto"/>
          </w:divBdr>
        </w:div>
      </w:divsChild>
    </w:div>
    <w:div w:id="1784615117">
      <w:marLeft w:val="0"/>
      <w:marRight w:val="0"/>
      <w:marTop w:val="0"/>
      <w:marBottom w:val="0"/>
      <w:divBdr>
        <w:top w:val="none" w:sz="0" w:space="0" w:color="auto"/>
        <w:left w:val="none" w:sz="0" w:space="0" w:color="auto"/>
        <w:bottom w:val="none" w:sz="0" w:space="0" w:color="auto"/>
        <w:right w:val="none" w:sz="0" w:space="0" w:color="auto"/>
      </w:divBdr>
    </w:div>
    <w:div w:id="1784957675">
      <w:marLeft w:val="0"/>
      <w:marRight w:val="0"/>
      <w:marTop w:val="200"/>
      <w:marBottom w:val="0"/>
      <w:divBdr>
        <w:top w:val="none" w:sz="0" w:space="0" w:color="auto"/>
        <w:left w:val="none" w:sz="0" w:space="0" w:color="auto"/>
        <w:bottom w:val="none" w:sz="0" w:space="0" w:color="auto"/>
        <w:right w:val="none" w:sz="0" w:space="0" w:color="auto"/>
      </w:divBdr>
    </w:div>
    <w:div w:id="1787501060">
      <w:marLeft w:val="0"/>
      <w:marRight w:val="0"/>
      <w:marTop w:val="0"/>
      <w:marBottom w:val="0"/>
      <w:divBdr>
        <w:top w:val="none" w:sz="0" w:space="0" w:color="auto"/>
        <w:left w:val="none" w:sz="0" w:space="0" w:color="auto"/>
        <w:bottom w:val="none" w:sz="0" w:space="0" w:color="auto"/>
        <w:right w:val="none" w:sz="0" w:space="0" w:color="auto"/>
      </w:divBdr>
    </w:div>
    <w:div w:id="1788045911">
      <w:marLeft w:val="0"/>
      <w:marRight w:val="0"/>
      <w:marTop w:val="100"/>
      <w:marBottom w:val="0"/>
      <w:divBdr>
        <w:top w:val="none" w:sz="0" w:space="0" w:color="auto"/>
        <w:left w:val="none" w:sz="0" w:space="0" w:color="auto"/>
        <w:bottom w:val="none" w:sz="0" w:space="0" w:color="auto"/>
        <w:right w:val="none" w:sz="0" w:space="0" w:color="auto"/>
      </w:divBdr>
    </w:div>
    <w:div w:id="1790706050">
      <w:marLeft w:val="0"/>
      <w:marRight w:val="0"/>
      <w:marTop w:val="0"/>
      <w:marBottom w:val="0"/>
      <w:divBdr>
        <w:top w:val="none" w:sz="0" w:space="0" w:color="auto"/>
        <w:left w:val="none" w:sz="0" w:space="0" w:color="auto"/>
        <w:bottom w:val="none" w:sz="0" w:space="0" w:color="auto"/>
        <w:right w:val="none" w:sz="0" w:space="0" w:color="auto"/>
      </w:divBdr>
    </w:div>
    <w:div w:id="1792552409">
      <w:marLeft w:val="0"/>
      <w:marRight w:val="0"/>
      <w:marTop w:val="0"/>
      <w:marBottom w:val="0"/>
      <w:divBdr>
        <w:top w:val="none" w:sz="0" w:space="0" w:color="auto"/>
        <w:left w:val="none" w:sz="0" w:space="0" w:color="auto"/>
        <w:bottom w:val="none" w:sz="0" w:space="0" w:color="auto"/>
        <w:right w:val="none" w:sz="0" w:space="0" w:color="auto"/>
      </w:divBdr>
      <w:divsChild>
        <w:div w:id="1279950171">
          <w:marLeft w:val="0"/>
          <w:marRight w:val="0"/>
          <w:marTop w:val="0"/>
          <w:marBottom w:val="0"/>
          <w:divBdr>
            <w:top w:val="none" w:sz="0" w:space="0" w:color="auto"/>
            <w:left w:val="none" w:sz="0" w:space="0" w:color="auto"/>
            <w:bottom w:val="none" w:sz="0" w:space="0" w:color="auto"/>
            <w:right w:val="none" w:sz="0" w:space="0" w:color="auto"/>
          </w:divBdr>
        </w:div>
        <w:div w:id="872108165">
          <w:marLeft w:val="0"/>
          <w:marRight w:val="0"/>
          <w:marTop w:val="0"/>
          <w:marBottom w:val="0"/>
          <w:divBdr>
            <w:top w:val="none" w:sz="0" w:space="0" w:color="auto"/>
            <w:left w:val="none" w:sz="0" w:space="0" w:color="auto"/>
            <w:bottom w:val="none" w:sz="0" w:space="0" w:color="auto"/>
            <w:right w:val="none" w:sz="0" w:space="0" w:color="auto"/>
          </w:divBdr>
        </w:div>
        <w:div w:id="622618291">
          <w:marLeft w:val="0"/>
          <w:marRight w:val="0"/>
          <w:marTop w:val="0"/>
          <w:marBottom w:val="0"/>
          <w:divBdr>
            <w:top w:val="none" w:sz="0" w:space="0" w:color="auto"/>
            <w:left w:val="none" w:sz="0" w:space="0" w:color="auto"/>
            <w:bottom w:val="none" w:sz="0" w:space="0" w:color="auto"/>
            <w:right w:val="none" w:sz="0" w:space="0" w:color="auto"/>
          </w:divBdr>
        </w:div>
        <w:div w:id="304093992">
          <w:marLeft w:val="0"/>
          <w:marRight w:val="0"/>
          <w:marTop w:val="0"/>
          <w:marBottom w:val="0"/>
          <w:divBdr>
            <w:top w:val="none" w:sz="0" w:space="0" w:color="auto"/>
            <w:left w:val="none" w:sz="0" w:space="0" w:color="auto"/>
            <w:bottom w:val="none" w:sz="0" w:space="0" w:color="auto"/>
            <w:right w:val="none" w:sz="0" w:space="0" w:color="auto"/>
          </w:divBdr>
        </w:div>
      </w:divsChild>
    </w:div>
    <w:div w:id="1792898353">
      <w:marLeft w:val="0"/>
      <w:marRight w:val="0"/>
      <w:marTop w:val="200"/>
      <w:marBottom w:val="0"/>
      <w:divBdr>
        <w:top w:val="none" w:sz="0" w:space="0" w:color="auto"/>
        <w:left w:val="none" w:sz="0" w:space="0" w:color="auto"/>
        <w:bottom w:val="none" w:sz="0" w:space="0" w:color="auto"/>
        <w:right w:val="none" w:sz="0" w:space="0" w:color="auto"/>
      </w:divBdr>
    </w:div>
    <w:div w:id="1794249160">
      <w:marLeft w:val="0"/>
      <w:marRight w:val="0"/>
      <w:marTop w:val="0"/>
      <w:marBottom w:val="0"/>
      <w:divBdr>
        <w:top w:val="none" w:sz="0" w:space="0" w:color="auto"/>
        <w:left w:val="none" w:sz="0" w:space="0" w:color="auto"/>
        <w:bottom w:val="none" w:sz="0" w:space="0" w:color="auto"/>
        <w:right w:val="none" w:sz="0" w:space="0" w:color="auto"/>
      </w:divBdr>
      <w:divsChild>
        <w:div w:id="1110517097">
          <w:marLeft w:val="0"/>
          <w:marRight w:val="0"/>
          <w:marTop w:val="0"/>
          <w:marBottom w:val="0"/>
          <w:divBdr>
            <w:top w:val="none" w:sz="0" w:space="0" w:color="auto"/>
            <w:left w:val="none" w:sz="0" w:space="0" w:color="auto"/>
            <w:bottom w:val="none" w:sz="0" w:space="0" w:color="auto"/>
            <w:right w:val="none" w:sz="0" w:space="0" w:color="auto"/>
          </w:divBdr>
        </w:div>
        <w:div w:id="1300114687">
          <w:marLeft w:val="0"/>
          <w:marRight w:val="0"/>
          <w:marTop w:val="0"/>
          <w:marBottom w:val="0"/>
          <w:divBdr>
            <w:top w:val="none" w:sz="0" w:space="0" w:color="auto"/>
            <w:left w:val="none" w:sz="0" w:space="0" w:color="auto"/>
            <w:bottom w:val="none" w:sz="0" w:space="0" w:color="auto"/>
            <w:right w:val="none" w:sz="0" w:space="0" w:color="auto"/>
          </w:divBdr>
        </w:div>
        <w:div w:id="1339384328">
          <w:marLeft w:val="0"/>
          <w:marRight w:val="0"/>
          <w:marTop w:val="0"/>
          <w:marBottom w:val="0"/>
          <w:divBdr>
            <w:top w:val="none" w:sz="0" w:space="0" w:color="auto"/>
            <w:left w:val="none" w:sz="0" w:space="0" w:color="auto"/>
            <w:bottom w:val="none" w:sz="0" w:space="0" w:color="auto"/>
            <w:right w:val="none" w:sz="0" w:space="0" w:color="auto"/>
          </w:divBdr>
        </w:div>
        <w:div w:id="1962685376">
          <w:marLeft w:val="0"/>
          <w:marRight w:val="0"/>
          <w:marTop w:val="0"/>
          <w:marBottom w:val="0"/>
          <w:divBdr>
            <w:top w:val="none" w:sz="0" w:space="0" w:color="auto"/>
            <w:left w:val="none" w:sz="0" w:space="0" w:color="auto"/>
            <w:bottom w:val="none" w:sz="0" w:space="0" w:color="auto"/>
            <w:right w:val="none" w:sz="0" w:space="0" w:color="auto"/>
          </w:divBdr>
        </w:div>
      </w:divsChild>
    </w:div>
    <w:div w:id="1795100155">
      <w:marLeft w:val="0"/>
      <w:marRight w:val="0"/>
      <w:marTop w:val="200"/>
      <w:marBottom w:val="0"/>
      <w:divBdr>
        <w:top w:val="none" w:sz="0" w:space="0" w:color="auto"/>
        <w:left w:val="none" w:sz="0" w:space="0" w:color="auto"/>
        <w:bottom w:val="none" w:sz="0" w:space="0" w:color="auto"/>
        <w:right w:val="none" w:sz="0" w:space="0" w:color="auto"/>
      </w:divBdr>
    </w:div>
    <w:div w:id="1799562688">
      <w:marLeft w:val="0"/>
      <w:marRight w:val="0"/>
      <w:marTop w:val="0"/>
      <w:marBottom w:val="0"/>
      <w:divBdr>
        <w:top w:val="none" w:sz="0" w:space="0" w:color="auto"/>
        <w:left w:val="none" w:sz="0" w:space="0" w:color="auto"/>
        <w:bottom w:val="none" w:sz="0" w:space="0" w:color="auto"/>
        <w:right w:val="none" w:sz="0" w:space="0" w:color="auto"/>
      </w:divBdr>
    </w:div>
    <w:div w:id="1802966071">
      <w:marLeft w:val="0"/>
      <w:marRight w:val="0"/>
      <w:marTop w:val="120"/>
      <w:marBottom w:val="0"/>
      <w:divBdr>
        <w:top w:val="none" w:sz="0" w:space="0" w:color="auto"/>
        <w:left w:val="none" w:sz="0" w:space="0" w:color="auto"/>
        <w:bottom w:val="none" w:sz="0" w:space="0" w:color="auto"/>
        <w:right w:val="none" w:sz="0" w:space="0" w:color="auto"/>
      </w:divBdr>
    </w:div>
    <w:div w:id="1803499502">
      <w:marLeft w:val="0"/>
      <w:marRight w:val="0"/>
      <w:marTop w:val="0"/>
      <w:marBottom w:val="0"/>
      <w:divBdr>
        <w:top w:val="none" w:sz="0" w:space="0" w:color="auto"/>
        <w:left w:val="none" w:sz="0" w:space="0" w:color="auto"/>
        <w:bottom w:val="none" w:sz="0" w:space="0" w:color="auto"/>
        <w:right w:val="none" w:sz="0" w:space="0" w:color="auto"/>
      </w:divBdr>
      <w:divsChild>
        <w:div w:id="396055380">
          <w:marLeft w:val="0"/>
          <w:marRight w:val="0"/>
          <w:marTop w:val="0"/>
          <w:marBottom w:val="0"/>
          <w:divBdr>
            <w:top w:val="none" w:sz="0" w:space="0" w:color="auto"/>
            <w:left w:val="none" w:sz="0" w:space="0" w:color="auto"/>
            <w:bottom w:val="none" w:sz="0" w:space="0" w:color="auto"/>
            <w:right w:val="none" w:sz="0" w:space="0" w:color="auto"/>
          </w:divBdr>
        </w:div>
      </w:divsChild>
    </w:div>
    <w:div w:id="1804034768">
      <w:marLeft w:val="0"/>
      <w:marRight w:val="0"/>
      <w:marTop w:val="225"/>
      <w:marBottom w:val="0"/>
      <w:divBdr>
        <w:top w:val="none" w:sz="0" w:space="0" w:color="auto"/>
        <w:left w:val="none" w:sz="0" w:space="0" w:color="auto"/>
        <w:bottom w:val="none" w:sz="0" w:space="0" w:color="auto"/>
        <w:right w:val="none" w:sz="0" w:space="0" w:color="auto"/>
      </w:divBdr>
      <w:divsChild>
        <w:div w:id="939263552">
          <w:marLeft w:val="0"/>
          <w:marRight w:val="0"/>
          <w:marTop w:val="0"/>
          <w:marBottom w:val="0"/>
          <w:divBdr>
            <w:top w:val="none" w:sz="0" w:space="0" w:color="auto"/>
            <w:left w:val="none" w:sz="0" w:space="0" w:color="auto"/>
            <w:bottom w:val="none" w:sz="0" w:space="0" w:color="auto"/>
            <w:right w:val="none" w:sz="0" w:space="0" w:color="auto"/>
          </w:divBdr>
        </w:div>
        <w:div w:id="1397121011">
          <w:marLeft w:val="0"/>
          <w:marRight w:val="0"/>
          <w:marTop w:val="0"/>
          <w:marBottom w:val="0"/>
          <w:divBdr>
            <w:top w:val="none" w:sz="0" w:space="0" w:color="auto"/>
            <w:left w:val="none" w:sz="0" w:space="0" w:color="auto"/>
            <w:bottom w:val="none" w:sz="0" w:space="0" w:color="auto"/>
            <w:right w:val="none" w:sz="0" w:space="0" w:color="auto"/>
          </w:divBdr>
        </w:div>
        <w:div w:id="443113293">
          <w:marLeft w:val="0"/>
          <w:marRight w:val="0"/>
          <w:marTop w:val="0"/>
          <w:marBottom w:val="0"/>
          <w:divBdr>
            <w:top w:val="none" w:sz="0" w:space="0" w:color="auto"/>
            <w:left w:val="none" w:sz="0" w:space="0" w:color="auto"/>
            <w:bottom w:val="none" w:sz="0" w:space="0" w:color="auto"/>
            <w:right w:val="none" w:sz="0" w:space="0" w:color="auto"/>
          </w:divBdr>
        </w:div>
        <w:div w:id="582028399">
          <w:marLeft w:val="0"/>
          <w:marRight w:val="0"/>
          <w:marTop w:val="0"/>
          <w:marBottom w:val="0"/>
          <w:divBdr>
            <w:top w:val="none" w:sz="0" w:space="0" w:color="auto"/>
            <w:left w:val="none" w:sz="0" w:space="0" w:color="auto"/>
            <w:bottom w:val="none" w:sz="0" w:space="0" w:color="auto"/>
            <w:right w:val="none" w:sz="0" w:space="0" w:color="auto"/>
          </w:divBdr>
        </w:div>
      </w:divsChild>
    </w:div>
    <w:div w:id="1804812248">
      <w:marLeft w:val="0"/>
      <w:marRight w:val="0"/>
      <w:marTop w:val="0"/>
      <w:marBottom w:val="0"/>
      <w:divBdr>
        <w:top w:val="none" w:sz="0" w:space="0" w:color="auto"/>
        <w:left w:val="none" w:sz="0" w:space="0" w:color="auto"/>
        <w:bottom w:val="none" w:sz="0" w:space="0" w:color="auto"/>
        <w:right w:val="none" w:sz="0" w:space="0" w:color="auto"/>
      </w:divBdr>
    </w:div>
    <w:div w:id="1806704124">
      <w:marLeft w:val="0"/>
      <w:marRight w:val="0"/>
      <w:marTop w:val="200"/>
      <w:marBottom w:val="0"/>
      <w:divBdr>
        <w:top w:val="none" w:sz="0" w:space="0" w:color="auto"/>
        <w:left w:val="none" w:sz="0" w:space="0" w:color="auto"/>
        <w:bottom w:val="none" w:sz="0" w:space="0" w:color="auto"/>
        <w:right w:val="none" w:sz="0" w:space="0" w:color="auto"/>
      </w:divBdr>
    </w:div>
    <w:div w:id="1806852763">
      <w:marLeft w:val="0"/>
      <w:marRight w:val="0"/>
      <w:marTop w:val="0"/>
      <w:marBottom w:val="0"/>
      <w:divBdr>
        <w:top w:val="none" w:sz="0" w:space="0" w:color="auto"/>
        <w:left w:val="none" w:sz="0" w:space="0" w:color="auto"/>
        <w:bottom w:val="none" w:sz="0" w:space="0" w:color="auto"/>
        <w:right w:val="none" w:sz="0" w:space="0" w:color="auto"/>
      </w:divBdr>
    </w:div>
    <w:div w:id="1808163071">
      <w:marLeft w:val="0"/>
      <w:marRight w:val="0"/>
      <w:marTop w:val="200"/>
      <w:marBottom w:val="0"/>
      <w:divBdr>
        <w:top w:val="none" w:sz="0" w:space="0" w:color="auto"/>
        <w:left w:val="none" w:sz="0" w:space="0" w:color="auto"/>
        <w:bottom w:val="none" w:sz="0" w:space="0" w:color="auto"/>
        <w:right w:val="none" w:sz="0" w:space="0" w:color="auto"/>
      </w:divBdr>
    </w:div>
    <w:div w:id="1810634637">
      <w:marLeft w:val="0"/>
      <w:marRight w:val="0"/>
      <w:marTop w:val="200"/>
      <w:marBottom w:val="0"/>
      <w:divBdr>
        <w:top w:val="none" w:sz="0" w:space="0" w:color="auto"/>
        <w:left w:val="none" w:sz="0" w:space="0" w:color="auto"/>
        <w:bottom w:val="none" w:sz="0" w:space="0" w:color="auto"/>
        <w:right w:val="none" w:sz="0" w:space="0" w:color="auto"/>
      </w:divBdr>
    </w:div>
    <w:div w:id="1810784409">
      <w:marLeft w:val="0"/>
      <w:marRight w:val="0"/>
      <w:marTop w:val="200"/>
      <w:marBottom w:val="0"/>
      <w:divBdr>
        <w:top w:val="none" w:sz="0" w:space="0" w:color="auto"/>
        <w:left w:val="none" w:sz="0" w:space="0" w:color="auto"/>
        <w:bottom w:val="none" w:sz="0" w:space="0" w:color="auto"/>
        <w:right w:val="none" w:sz="0" w:space="0" w:color="auto"/>
      </w:divBdr>
    </w:div>
    <w:div w:id="1811631988">
      <w:marLeft w:val="0"/>
      <w:marRight w:val="0"/>
      <w:marTop w:val="0"/>
      <w:marBottom w:val="0"/>
      <w:divBdr>
        <w:top w:val="none" w:sz="0" w:space="0" w:color="auto"/>
        <w:left w:val="none" w:sz="0" w:space="0" w:color="auto"/>
        <w:bottom w:val="none" w:sz="0" w:space="0" w:color="auto"/>
        <w:right w:val="none" w:sz="0" w:space="0" w:color="auto"/>
      </w:divBdr>
      <w:divsChild>
        <w:div w:id="1755663224">
          <w:marLeft w:val="0"/>
          <w:marRight w:val="0"/>
          <w:marTop w:val="0"/>
          <w:marBottom w:val="0"/>
          <w:divBdr>
            <w:top w:val="none" w:sz="0" w:space="0" w:color="auto"/>
            <w:left w:val="none" w:sz="0" w:space="0" w:color="auto"/>
            <w:bottom w:val="none" w:sz="0" w:space="0" w:color="auto"/>
            <w:right w:val="none" w:sz="0" w:space="0" w:color="auto"/>
          </w:divBdr>
        </w:div>
      </w:divsChild>
    </w:div>
    <w:div w:id="1817142282">
      <w:marLeft w:val="0"/>
      <w:marRight w:val="0"/>
      <w:marTop w:val="0"/>
      <w:marBottom w:val="0"/>
      <w:divBdr>
        <w:top w:val="none" w:sz="0" w:space="0" w:color="auto"/>
        <w:left w:val="none" w:sz="0" w:space="0" w:color="auto"/>
        <w:bottom w:val="none" w:sz="0" w:space="0" w:color="auto"/>
        <w:right w:val="none" w:sz="0" w:space="0" w:color="auto"/>
      </w:divBdr>
      <w:divsChild>
        <w:div w:id="1805540547">
          <w:marLeft w:val="0"/>
          <w:marRight w:val="0"/>
          <w:marTop w:val="0"/>
          <w:marBottom w:val="0"/>
          <w:divBdr>
            <w:top w:val="none" w:sz="0" w:space="0" w:color="auto"/>
            <w:left w:val="none" w:sz="0" w:space="0" w:color="auto"/>
            <w:bottom w:val="none" w:sz="0" w:space="0" w:color="auto"/>
            <w:right w:val="none" w:sz="0" w:space="0" w:color="auto"/>
          </w:divBdr>
        </w:div>
        <w:div w:id="1320187128">
          <w:marLeft w:val="0"/>
          <w:marRight w:val="0"/>
          <w:marTop w:val="0"/>
          <w:marBottom w:val="0"/>
          <w:divBdr>
            <w:top w:val="none" w:sz="0" w:space="0" w:color="auto"/>
            <w:left w:val="none" w:sz="0" w:space="0" w:color="auto"/>
            <w:bottom w:val="none" w:sz="0" w:space="0" w:color="auto"/>
            <w:right w:val="none" w:sz="0" w:space="0" w:color="auto"/>
          </w:divBdr>
        </w:div>
        <w:div w:id="2036693564">
          <w:marLeft w:val="0"/>
          <w:marRight w:val="0"/>
          <w:marTop w:val="0"/>
          <w:marBottom w:val="0"/>
          <w:divBdr>
            <w:top w:val="none" w:sz="0" w:space="0" w:color="auto"/>
            <w:left w:val="none" w:sz="0" w:space="0" w:color="auto"/>
            <w:bottom w:val="none" w:sz="0" w:space="0" w:color="auto"/>
            <w:right w:val="none" w:sz="0" w:space="0" w:color="auto"/>
          </w:divBdr>
        </w:div>
        <w:div w:id="2118285260">
          <w:marLeft w:val="0"/>
          <w:marRight w:val="0"/>
          <w:marTop w:val="0"/>
          <w:marBottom w:val="0"/>
          <w:divBdr>
            <w:top w:val="none" w:sz="0" w:space="0" w:color="auto"/>
            <w:left w:val="none" w:sz="0" w:space="0" w:color="auto"/>
            <w:bottom w:val="none" w:sz="0" w:space="0" w:color="auto"/>
            <w:right w:val="none" w:sz="0" w:space="0" w:color="auto"/>
          </w:divBdr>
        </w:div>
      </w:divsChild>
    </w:div>
    <w:div w:id="1820920579">
      <w:marLeft w:val="0"/>
      <w:marRight w:val="0"/>
      <w:marTop w:val="0"/>
      <w:marBottom w:val="0"/>
      <w:divBdr>
        <w:top w:val="none" w:sz="0" w:space="0" w:color="auto"/>
        <w:left w:val="none" w:sz="0" w:space="0" w:color="auto"/>
        <w:bottom w:val="none" w:sz="0" w:space="0" w:color="auto"/>
        <w:right w:val="none" w:sz="0" w:space="0" w:color="auto"/>
      </w:divBdr>
    </w:div>
    <w:div w:id="1825705081">
      <w:marLeft w:val="0"/>
      <w:marRight w:val="0"/>
      <w:marTop w:val="200"/>
      <w:marBottom w:val="0"/>
      <w:divBdr>
        <w:top w:val="none" w:sz="0" w:space="0" w:color="auto"/>
        <w:left w:val="none" w:sz="0" w:space="0" w:color="auto"/>
        <w:bottom w:val="none" w:sz="0" w:space="0" w:color="auto"/>
        <w:right w:val="none" w:sz="0" w:space="0" w:color="auto"/>
      </w:divBdr>
    </w:div>
    <w:div w:id="1825777087">
      <w:marLeft w:val="0"/>
      <w:marRight w:val="0"/>
      <w:marTop w:val="0"/>
      <w:marBottom w:val="0"/>
      <w:divBdr>
        <w:top w:val="none" w:sz="0" w:space="0" w:color="auto"/>
        <w:left w:val="none" w:sz="0" w:space="0" w:color="auto"/>
        <w:bottom w:val="none" w:sz="0" w:space="0" w:color="auto"/>
        <w:right w:val="none" w:sz="0" w:space="0" w:color="auto"/>
      </w:divBdr>
      <w:divsChild>
        <w:div w:id="1049837785">
          <w:marLeft w:val="0"/>
          <w:marRight w:val="0"/>
          <w:marTop w:val="0"/>
          <w:marBottom w:val="0"/>
          <w:divBdr>
            <w:top w:val="none" w:sz="0" w:space="0" w:color="auto"/>
            <w:left w:val="none" w:sz="0" w:space="0" w:color="auto"/>
            <w:bottom w:val="none" w:sz="0" w:space="0" w:color="auto"/>
            <w:right w:val="none" w:sz="0" w:space="0" w:color="auto"/>
          </w:divBdr>
        </w:div>
      </w:divsChild>
    </w:div>
    <w:div w:id="1832601212">
      <w:marLeft w:val="0"/>
      <w:marRight w:val="0"/>
      <w:marTop w:val="200"/>
      <w:marBottom w:val="0"/>
      <w:divBdr>
        <w:top w:val="none" w:sz="0" w:space="0" w:color="auto"/>
        <w:left w:val="none" w:sz="0" w:space="0" w:color="auto"/>
        <w:bottom w:val="none" w:sz="0" w:space="0" w:color="auto"/>
        <w:right w:val="none" w:sz="0" w:space="0" w:color="auto"/>
      </w:divBdr>
    </w:div>
    <w:div w:id="1833713339">
      <w:marLeft w:val="0"/>
      <w:marRight w:val="0"/>
      <w:marTop w:val="0"/>
      <w:marBottom w:val="0"/>
      <w:divBdr>
        <w:top w:val="none" w:sz="0" w:space="0" w:color="auto"/>
        <w:left w:val="none" w:sz="0" w:space="0" w:color="auto"/>
        <w:bottom w:val="none" w:sz="0" w:space="0" w:color="auto"/>
        <w:right w:val="none" w:sz="0" w:space="0" w:color="auto"/>
      </w:divBdr>
      <w:divsChild>
        <w:div w:id="371226285">
          <w:marLeft w:val="0"/>
          <w:marRight w:val="0"/>
          <w:marTop w:val="0"/>
          <w:marBottom w:val="0"/>
          <w:divBdr>
            <w:top w:val="none" w:sz="0" w:space="0" w:color="auto"/>
            <w:left w:val="none" w:sz="0" w:space="0" w:color="auto"/>
            <w:bottom w:val="none" w:sz="0" w:space="0" w:color="auto"/>
            <w:right w:val="none" w:sz="0" w:space="0" w:color="auto"/>
          </w:divBdr>
        </w:div>
      </w:divsChild>
    </w:div>
    <w:div w:id="1835679197">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1840273257">
      <w:marLeft w:val="0"/>
      <w:marRight w:val="0"/>
      <w:marTop w:val="0"/>
      <w:marBottom w:val="0"/>
      <w:divBdr>
        <w:top w:val="none" w:sz="0" w:space="0" w:color="auto"/>
        <w:left w:val="none" w:sz="0" w:space="0" w:color="auto"/>
        <w:bottom w:val="none" w:sz="0" w:space="0" w:color="auto"/>
        <w:right w:val="none" w:sz="0" w:space="0" w:color="auto"/>
      </w:divBdr>
    </w:div>
    <w:div w:id="1845168361">
      <w:marLeft w:val="0"/>
      <w:marRight w:val="0"/>
      <w:marTop w:val="200"/>
      <w:marBottom w:val="0"/>
      <w:divBdr>
        <w:top w:val="none" w:sz="0" w:space="0" w:color="auto"/>
        <w:left w:val="none" w:sz="0" w:space="0" w:color="auto"/>
        <w:bottom w:val="none" w:sz="0" w:space="0" w:color="auto"/>
        <w:right w:val="none" w:sz="0" w:space="0" w:color="auto"/>
      </w:divBdr>
    </w:div>
    <w:div w:id="1851139219">
      <w:marLeft w:val="0"/>
      <w:marRight w:val="0"/>
      <w:marTop w:val="0"/>
      <w:marBottom w:val="0"/>
      <w:divBdr>
        <w:top w:val="none" w:sz="0" w:space="0" w:color="auto"/>
        <w:left w:val="none" w:sz="0" w:space="0" w:color="auto"/>
        <w:bottom w:val="none" w:sz="0" w:space="0" w:color="auto"/>
        <w:right w:val="none" w:sz="0" w:space="0" w:color="auto"/>
      </w:divBdr>
    </w:div>
    <w:div w:id="1854804841">
      <w:marLeft w:val="0"/>
      <w:marRight w:val="0"/>
      <w:marTop w:val="200"/>
      <w:marBottom w:val="0"/>
      <w:divBdr>
        <w:top w:val="none" w:sz="0" w:space="0" w:color="auto"/>
        <w:left w:val="none" w:sz="0" w:space="0" w:color="auto"/>
        <w:bottom w:val="none" w:sz="0" w:space="0" w:color="auto"/>
        <w:right w:val="none" w:sz="0" w:space="0" w:color="auto"/>
      </w:divBdr>
    </w:div>
    <w:div w:id="1856843515">
      <w:marLeft w:val="0"/>
      <w:marRight w:val="0"/>
      <w:marTop w:val="0"/>
      <w:marBottom w:val="0"/>
      <w:divBdr>
        <w:top w:val="none" w:sz="0" w:space="0" w:color="auto"/>
        <w:left w:val="none" w:sz="0" w:space="0" w:color="auto"/>
        <w:bottom w:val="none" w:sz="0" w:space="0" w:color="auto"/>
        <w:right w:val="none" w:sz="0" w:space="0" w:color="auto"/>
      </w:divBdr>
      <w:divsChild>
        <w:div w:id="1264651741">
          <w:marLeft w:val="0"/>
          <w:marRight w:val="0"/>
          <w:marTop w:val="0"/>
          <w:marBottom w:val="0"/>
          <w:divBdr>
            <w:top w:val="none" w:sz="0" w:space="0" w:color="auto"/>
            <w:left w:val="none" w:sz="0" w:space="0" w:color="auto"/>
            <w:bottom w:val="none" w:sz="0" w:space="0" w:color="auto"/>
            <w:right w:val="none" w:sz="0" w:space="0" w:color="auto"/>
          </w:divBdr>
        </w:div>
      </w:divsChild>
    </w:div>
    <w:div w:id="1859731608">
      <w:marLeft w:val="0"/>
      <w:marRight w:val="0"/>
      <w:marTop w:val="200"/>
      <w:marBottom w:val="0"/>
      <w:divBdr>
        <w:top w:val="none" w:sz="0" w:space="0" w:color="auto"/>
        <w:left w:val="none" w:sz="0" w:space="0" w:color="auto"/>
        <w:bottom w:val="none" w:sz="0" w:space="0" w:color="auto"/>
        <w:right w:val="none" w:sz="0" w:space="0" w:color="auto"/>
      </w:divBdr>
    </w:div>
    <w:div w:id="1862039741">
      <w:marLeft w:val="0"/>
      <w:marRight w:val="0"/>
      <w:marTop w:val="0"/>
      <w:marBottom w:val="0"/>
      <w:divBdr>
        <w:top w:val="none" w:sz="0" w:space="0" w:color="auto"/>
        <w:left w:val="none" w:sz="0" w:space="0" w:color="auto"/>
        <w:bottom w:val="none" w:sz="0" w:space="0" w:color="auto"/>
        <w:right w:val="none" w:sz="0" w:space="0" w:color="auto"/>
      </w:divBdr>
      <w:divsChild>
        <w:div w:id="1708601764">
          <w:marLeft w:val="0"/>
          <w:marRight w:val="0"/>
          <w:marTop w:val="0"/>
          <w:marBottom w:val="0"/>
          <w:divBdr>
            <w:top w:val="none" w:sz="0" w:space="0" w:color="auto"/>
            <w:left w:val="none" w:sz="0" w:space="0" w:color="auto"/>
            <w:bottom w:val="none" w:sz="0" w:space="0" w:color="auto"/>
            <w:right w:val="none" w:sz="0" w:space="0" w:color="auto"/>
          </w:divBdr>
        </w:div>
      </w:divsChild>
    </w:div>
    <w:div w:id="1862434024">
      <w:marLeft w:val="0"/>
      <w:marRight w:val="0"/>
      <w:marTop w:val="100"/>
      <w:marBottom w:val="0"/>
      <w:divBdr>
        <w:top w:val="none" w:sz="0" w:space="0" w:color="auto"/>
        <w:left w:val="none" w:sz="0" w:space="0" w:color="auto"/>
        <w:bottom w:val="none" w:sz="0" w:space="0" w:color="auto"/>
        <w:right w:val="none" w:sz="0" w:space="0" w:color="auto"/>
      </w:divBdr>
    </w:div>
    <w:div w:id="1864049059">
      <w:marLeft w:val="0"/>
      <w:marRight w:val="0"/>
      <w:marTop w:val="0"/>
      <w:marBottom w:val="0"/>
      <w:divBdr>
        <w:top w:val="none" w:sz="0" w:space="0" w:color="auto"/>
        <w:left w:val="none" w:sz="0" w:space="0" w:color="auto"/>
        <w:bottom w:val="none" w:sz="0" w:space="0" w:color="auto"/>
        <w:right w:val="none" w:sz="0" w:space="0" w:color="auto"/>
      </w:divBdr>
    </w:div>
    <w:div w:id="1864782305">
      <w:marLeft w:val="0"/>
      <w:marRight w:val="0"/>
      <w:marTop w:val="200"/>
      <w:marBottom w:val="0"/>
      <w:divBdr>
        <w:top w:val="none" w:sz="0" w:space="0" w:color="auto"/>
        <w:left w:val="none" w:sz="0" w:space="0" w:color="auto"/>
        <w:bottom w:val="none" w:sz="0" w:space="0" w:color="auto"/>
        <w:right w:val="none" w:sz="0" w:space="0" w:color="auto"/>
      </w:divBdr>
    </w:div>
    <w:div w:id="1870600824">
      <w:marLeft w:val="0"/>
      <w:marRight w:val="0"/>
      <w:marTop w:val="0"/>
      <w:marBottom w:val="0"/>
      <w:divBdr>
        <w:top w:val="none" w:sz="0" w:space="0" w:color="auto"/>
        <w:left w:val="none" w:sz="0" w:space="0" w:color="auto"/>
        <w:bottom w:val="none" w:sz="0" w:space="0" w:color="auto"/>
        <w:right w:val="none" w:sz="0" w:space="0" w:color="auto"/>
      </w:divBdr>
      <w:divsChild>
        <w:div w:id="444690466">
          <w:marLeft w:val="0"/>
          <w:marRight w:val="0"/>
          <w:marTop w:val="0"/>
          <w:marBottom w:val="0"/>
          <w:divBdr>
            <w:top w:val="none" w:sz="0" w:space="0" w:color="auto"/>
            <w:left w:val="none" w:sz="0" w:space="0" w:color="auto"/>
            <w:bottom w:val="none" w:sz="0" w:space="0" w:color="auto"/>
            <w:right w:val="none" w:sz="0" w:space="0" w:color="auto"/>
          </w:divBdr>
        </w:div>
      </w:divsChild>
    </w:div>
    <w:div w:id="1870945727">
      <w:marLeft w:val="0"/>
      <w:marRight w:val="0"/>
      <w:marTop w:val="0"/>
      <w:marBottom w:val="0"/>
      <w:divBdr>
        <w:top w:val="none" w:sz="0" w:space="0" w:color="auto"/>
        <w:left w:val="none" w:sz="0" w:space="0" w:color="auto"/>
        <w:bottom w:val="none" w:sz="0" w:space="0" w:color="auto"/>
        <w:right w:val="none" w:sz="0" w:space="0" w:color="auto"/>
      </w:divBdr>
      <w:divsChild>
        <w:div w:id="78449457">
          <w:marLeft w:val="0"/>
          <w:marRight w:val="0"/>
          <w:marTop w:val="0"/>
          <w:marBottom w:val="0"/>
          <w:divBdr>
            <w:top w:val="none" w:sz="0" w:space="0" w:color="auto"/>
            <w:left w:val="none" w:sz="0" w:space="0" w:color="auto"/>
            <w:bottom w:val="none" w:sz="0" w:space="0" w:color="auto"/>
            <w:right w:val="none" w:sz="0" w:space="0" w:color="auto"/>
          </w:divBdr>
        </w:div>
      </w:divsChild>
    </w:div>
    <w:div w:id="1872066812">
      <w:marLeft w:val="0"/>
      <w:marRight w:val="0"/>
      <w:marTop w:val="0"/>
      <w:marBottom w:val="200"/>
      <w:divBdr>
        <w:top w:val="none" w:sz="0" w:space="0" w:color="auto"/>
        <w:left w:val="none" w:sz="0" w:space="0" w:color="auto"/>
        <w:bottom w:val="none" w:sz="0" w:space="0" w:color="auto"/>
        <w:right w:val="none" w:sz="0" w:space="0" w:color="auto"/>
      </w:divBdr>
    </w:div>
    <w:div w:id="1874725801">
      <w:marLeft w:val="0"/>
      <w:marRight w:val="0"/>
      <w:marTop w:val="0"/>
      <w:marBottom w:val="200"/>
      <w:divBdr>
        <w:top w:val="none" w:sz="0" w:space="0" w:color="auto"/>
        <w:left w:val="none" w:sz="0" w:space="0" w:color="auto"/>
        <w:bottom w:val="none" w:sz="0" w:space="0" w:color="auto"/>
        <w:right w:val="none" w:sz="0" w:space="0" w:color="auto"/>
      </w:divBdr>
    </w:div>
    <w:div w:id="1881045071">
      <w:marLeft w:val="0"/>
      <w:marRight w:val="0"/>
      <w:marTop w:val="200"/>
      <w:marBottom w:val="0"/>
      <w:divBdr>
        <w:top w:val="none" w:sz="0" w:space="0" w:color="auto"/>
        <w:left w:val="none" w:sz="0" w:space="0" w:color="auto"/>
        <w:bottom w:val="none" w:sz="0" w:space="0" w:color="auto"/>
        <w:right w:val="none" w:sz="0" w:space="0" w:color="auto"/>
      </w:divBdr>
    </w:div>
    <w:div w:id="1881046222">
      <w:marLeft w:val="0"/>
      <w:marRight w:val="0"/>
      <w:marTop w:val="0"/>
      <w:marBottom w:val="200"/>
      <w:divBdr>
        <w:top w:val="none" w:sz="0" w:space="0" w:color="auto"/>
        <w:left w:val="none" w:sz="0" w:space="0" w:color="auto"/>
        <w:bottom w:val="none" w:sz="0" w:space="0" w:color="auto"/>
        <w:right w:val="none" w:sz="0" w:space="0" w:color="auto"/>
      </w:divBdr>
    </w:div>
    <w:div w:id="1881085428">
      <w:marLeft w:val="0"/>
      <w:marRight w:val="0"/>
      <w:marTop w:val="0"/>
      <w:marBottom w:val="0"/>
      <w:divBdr>
        <w:top w:val="none" w:sz="0" w:space="0" w:color="auto"/>
        <w:left w:val="none" w:sz="0" w:space="0" w:color="auto"/>
        <w:bottom w:val="none" w:sz="0" w:space="0" w:color="auto"/>
        <w:right w:val="none" w:sz="0" w:space="0" w:color="auto"/>
      </w:divBdr>
      <w:divsChild>
        <w:div w:id="1175068353">
          <w:marLeft w:val="0"/>
          <w:marRight w:val="0"/>
          <w:marTop w:val="0"/>
          <w:marBottom w:val="0"/>
          <w:divBdr>
            <w:top w:val="none" w:sz="0" w:space="0" w:color="auto"/>
            <w:left w:val="none" w:sz="0" w:space="0" w:color="auto"/>
            <w:bottom w:val="none" w:sz="0" w:space="0" w:color="auto"/>
            <w:right w:val="none" w:sz="0" w:space="0" w:color="auto"/>
          </w:divBdr>
        </w:div>
      </w:divsChild>
    </w:div>
    <w:div w:id="1882522363">
      <w:marLeft w:val="0"/>
      <w:marRight w:val="0"/>
      <w:marTop w:val="60"/>
      <w:marBottom w:val="0"/>
      <w:divBdr>
        <w:top w:val="none" w:sz="0" w:space="0" w:color="auto"/>
        <w:left w:val="none" w:sz="0" w:space="0" w:color="auto"/>
        <w:bottom w:val="none" w:sz="0" w:space="0" w:color="auto"/>
        <w:right w:val="none" w:sz="0" w:space="0" w:color="auto"/>
      </w:divBdr>
    </w:div>
    <w:div w:id="1883907820">
      <w:marLeft w:val="0"/>
      <w:marRight w:val="0"/>
      <w:marTop w:val="0"/>
      <w:marBottom w:val="160"/>
      <w:divBdr>
        <w:top w:val="none" w:sz="0" w:space="0" w:color="auto"/>
        <w:left w:val="none" w:sz="0" w:space="0" w:color="auto"/>
        <w:bottom w:val="none" w:sz="0" w:space="0" w:color="auto"/>
        <w:right w:val="none" w:sz="0" w:space="0" w:color="auto"/>
      </w:divBdr>
    </w:div>
    <w:div w:id="1885361029">
      <w:marLeft w:val="0"/>
      <w:marRight w:val="0"/>
      <w:marTop w:val="200"/>
      <w:marBottom w:val="0"/>
      <w:divBdr>
        <w:top w:val="none" w:sz="0" w:space="0" w:color="auto"/>
        <w:left w:val="none" w:sz="0" w:space="0" w:color="auto"/>
        <w:bottom w:val="none" w:sz="0" w:space="0" w:color="auto"/>
        <w:right w:val="none" w:sz="0" w:space="0" w:color="auto"/>
      </w:divBdr>
    </w:div>
    <w:div w:id="1885485108">
      <w:marLeft w:val="0"/>
      <w:marRight w:val="0"/>
      <w:marTop w:val="200"/>
      <w:marBottom w:val="0"/>
      <w:divBdr>
        <w:top w:val="none" w:sz="0" w:space="0" w:color="auto"/>
        <w:left w:val="none" w:sz="0" w:space="0" w:color="auto"/>
        <w:bottom w:val="none" w:sz="0" w:space="0" w:color="auto"/>
        <w:right w:val="none" w:sz="0" w:space="0" w:color="auto"/>
      </w:divBdr>
    </w:div>
    <w:div w:id="1885672537">
      <w:marLeft w:val="0"/>
      <w:marRight w:val="0"/>
      <w:marTop w:val="200"/>
      <w:marBottom w:val="0"/>
      <w:divBdr>
        <w:top w:val="none" w:sz="0" w:space="0" w:color="auto"/>
        <w:left w:val="none" w:sz="0" w:space="0" w:color="auto"/>
        <w:bottom w:val="none" w:sz="0" w:space="0" w:color="auto"/>
        <w:right w:val="none" w:sz="0" w:space="0" w:color="auto"/>
      </w:divBdr>
    </w:div>
    <w:div w:id="1886142888">
      <w:marLeft w:val="0"/>
      <w:marRight w:val="0"/>
      <w:marTop w:val="0"/>
      <w:marBottom w:val="0"/>
      <w:divBdr>
        <w:top w:val="none" w:sz="0" w:space="0" w:color="auto"/>
        <w:left w:val="none" w:sz="0" w:space="0" w:color="auto"/>
        <w:bottom w:val="none" w:sz="0" w:space="0" w:color="auto"/>
        <w:right w:val="none" w:sz="0" w:space="0" w:color="auto"/>
      </w:divBdr>
    </w:div>
    <w:div w:id="1886525343">
      <w:marLeft w:val="0"/>
      <w:marRight w:val="0"/>
      <w:marTop w:val="200"/>
      <w:marBottom w:val="0"/>
      <w:divBdr>
        <w:top w:val="none" w:sz="0" w:space="0" w:color="auto"/>
        <w:left w:val="none" w:sz="0" w:space="0" w:color="auto"/>
        <w:bottom w:val="none" w:sz="0" w:space="0" w:color="auto"/>
        <w:right w:val="none" w:sz="0" w:space="0" w:color="auto"/>
      </w:divBdr>
    </w:div>
    <w:div w:id="1887794115">
      <w:marLeft w:val="0"/>
      <w:marRight w:val="0"/>
      <w:marTop w:val="100"/>
      <w:marBottom w:val="0"/>
      <w:divBdr>
        <w:top w:val="none" w:sz="0" w:space="0" w:color="auto"/>
        <w:left w:val="none" w:sz="0" w:space="0" w:color="auto"/>
        <w:bottom w:val="none" w:sz="0" w:space="0" w:color="auto"/>
        <w:right w:val="none" w:sz="0" w:space="0" w:color="auto"/>
      </w:divBdr>
    </w:div>
    <w:div w:id="1889368373">
      <w:marLeft w:val="0"/>
      <w:marRight w:val="0"/>
      <w:marTop w:val="0"/>
      <w:marBottom w:val="0"/>
      <w:divBdr>
        <w:top w:val="none" w:sz="0" w:space="0" w:color="auto"/>
        <w:left w:val="none" w:sz="0" w:space="0" w:color="auto"/>
        <w:bottom w:val="none" w:sz="0" w:space="0" w:color="auto"/>
        <w:right w:val="none" w:sz="0" w:space="0" w:color="auto"/>
      </w:divBdr>
    </w:div>
    <w:div w:id="1890024775">
      <w:marLeft w:val="0"/>
      <w:marRight w:val="0"/>
      <w:marTop w:val="0"/>
      <w:marBottom w:val="0"/>
      <w:divBdr>
        <w:top w:val="none" w:sz="0" w:space="0" w:color="auto"/>
        <w:left w:val="none" w:sz="0" w:space="0" w:color="auto"/>
        <w:bottom w:val="none" w:sz="0" w:space="0" w:color="auto"/>
        <w:right w:val="none" w:sz="0" w:space="0" w:color="auto"/>
      </w:divBdr>
    </w:div>
    <w:div w:id="1891577566">
      <w:marLeft w:val="0"/>
      <w:marRight w:val="0"/>
      <w:marTop w:val="200"/>
      <w:marBottom w:val="0"/>
      <w:divBdr>
        <w:top w:val="none" w:sz="0" w:space="0" w:color="auto"/>
        <w:left w:val="none" w:sz="0" w:space="0" w:color="auto"/>
        <w:bottom w:val="none" w:sz="0" w:space="0" w:color="auto"/>
        <w:right w:val="none" w:sz="0" w:space="0" w:color="auto"/>
      </w:divBdr>
    </w:div>
    <w:div w:id="1892185416">
      <w:marLeft w:val="0"/>
      <w:marRight w:val="0"/>
      <w:marTop w:val="0"/>
      <w:marBottom w:val="0"/>
      <w:divBdr>
        <w:top w:val="none" w:sz="0" w:space="0" w:color="auto"/>
        <w:left w:val="none" w:sz="0" w:space="0" w:color="auto"/>
        <w:bottom w:val="none" w:sz="0" w:space="0" w:color="auto"/>
        <w:right w:val="none" w:sz="0" w:space="0" w:color="auto"/>
      </w:divBdr>
      <w:divsChild>
        <w:div w:id="1543858530">
          <w:marLeft w:val="0"/>
          <w:marRight w:val="0"/>
          <w:marTop w:val="0"/>
          <w:marBottom w:val="0"/>
          <w:divBdr>
            <w:top w:val="none" w:sz="0" w:space="0" w:color="auto"/>
            <w:left w:val="none" w:sz="0" w:space="0" w:color="auto"/>
            <w:bottom w:val="none" w:sz="0" w:space="0" w:color="auto"/>
            <w:right w:val="none" w:sz="0" w:space="0" w:color="auto"/>
          </w:divBdr>
        </w:div>
      </w:divsChild>
    </w:div>
    <w:div w:id="1892963106">
      <w:marLeft w:val="0"/>
      <w:marRight w:val="0"/>
      <w:marTop w:val="0"/>
      <w:marBottom w:val="0"/>
      <w:divBdr>
        <w:top w:val="none" w:sz="0" w:space="0" w:color="auto"/>
        <w:left w:val="none" w:sz="0" w:space="0" w:color="auto"/>
        <w:bottom w:val="none" w:sz="0" w:space="0" w:color="auto"/>
        <w:right w:val="none" w:sz="0" w:space="0" w:color="auto"/>
      </w:divBdr>
      <w:divsChild>
        <w:div w:id="164982626">
          <w:marLeft w:val="0"/>
          <w:marRight w:val="0"/>
          <w:marTop w:val="0"/>
          <w:marBottom w:val="0"/>
          <w:divBdr>
            <w:top w:val="none" w:sz="0" w:space="0" w:color="auto"/>
            <w:left w:val="none" w:sz="0" w:space="0" w:color="auto"/>
            <w:bottom w:val="none" w:sz="0" w:space="0" w:color="auto"/>
            <w:right w:val="none" w:sz="0" w:space="0" w:color="auto"/>
          </w:divBdr>
        </w:div>
        <w:div w:id="447163922">
          <w:marLeft w:val="0"/>
          <w:marRight w:val="0"/>
          <w:marTop w:val="0"/>
          <w:marBottom w:val="0"/>
          <w:divBdr>
            <w:top w:val="none" w:sz="0" w:space="0" w:color="auto"/>
            <w:left w:val="none" w:sz="0" w:space="0" w:color="auto"/>
            <w:bottom w:val="none" w:sz="0" w:space="0" w:color="auto"/>
            <w:right w:val="none" w:sz="0" w:space="0" w:color="auto"/>
          </w:divBdr>
        </w:div>
        <w:div w:id="1961374134">
          <w:marLeft w:val="0"/>
          <w:marRight w:val="0"/>
          <w:marTop w:val="0"/>
          <w:marBottom w:val="0"/>
          <w:divBdr>
            <w:top w:val="none" w:sz="0" w:space="0" w:color="auto"/>
            <w:left w:val="none" w:sz="0" w:space="0" w:color="auto"/>
            <w:bottom w:val="none" w:sz="0" w:space="0" w:color="auto"/>
            <w:right w:val="none" w:sz="0" w:space="0" w:color="auto"/>
          </w:divBdr>
        </w:div>
        <w:div w:id="560675727">
          <w:marLeft w:val="0"/>
          <w:marRight w:val="0"/>
          <w:marTop w:val="0"/>
          <w:marBottom w:val="0"/>
          <w:divBdr>
            <w:top w:val="none" w:sz="0" w:space="0" w:color="auto"/>
            <w:left w:val="none" w:sz="0" w:space="0" w:color="auto"/>
            <w:bottom w:val="none" w:sz="0" w:space="0" w:color="auto"/>
            <w:right w:val="none" w:sz="0" w:space="0" w:color="auto"/>
          </w:divBdr>
        </w:div>
      </w:divsChild>
    </w:div>
    <w:div w:id="1893542595">
      <w:marLeft w:val="0"/>
      <w:marRight w:val="0"/>
      <w:marTop w:val="280"/>
      <w:marBottom w:val="0"/>
      <w:divBdr>
        <w:top w:val="none" w:sz="0" w:space="0" w:color="auto"/>
        <w:left w:val="none" w:sz="0" w:space="0" w:color="auto"/>
        <w:bottom w:val="none" w:sz="0" w:space="0" w:color="auto"/>
        <w:right w:val="none" w:sz="0" w:space="0" w:color="auto"/>
      </w:divBdr>
    </w:div>
    <w:div w:id="1896163437">
      <w:marLeft w:val="0"/>
      <w:marRight w:val="0"/>
      <w:marTop w:val="200"/>
      <w:marBottom w:val="0"/>
      <w:divBdr>
        <w:top w:val="none" w:sz="0" w:space="0" w:color="auto"/>
        <w:left w:val="none" w:sz="0" w:space="0" w:color="auto"/>
        <w:bottom w:val="none" w:sz="0" w:space="0" w:color="auto"/>
        <w:right w:val="none" w:sz="0" w:space="0" w:color="auto"/>
      </w:divBdr>
    </w:div>
    <w:div w:id="1897737444">
      <w:marLeft w:val="0"/>
      <w:marRight w:val="0"/>
      <w:marTop w:val="0"/>
      <w:marBottom w:val="160"/>
      <w:divBdr>
        <w:top w:val="none" w:sz="0" w:space="0" w:color="auto"/>
        <w:left w:val="none" w:sz="0" w:space="0" w:color="auto"/>
        <w:bottom w:val="none" w:sz="0" w:space="0" w:color="auto"/>
        <w:right w:val="none" w:sz="0" w:space="0" w:color="auto"/>
      </w:divBdr>
    </w:div>
    <w:div w:id="1898398361">
      <w:marLeft w:val="0"/>
      <w:marRight w:val="0"/>
      <w:marTop w:val="0"/>
      <w:marBottom w:val="200"/>
      <w:divBdr>
        <w:top w:val="none" w:sz="0" w:space="0" w:color="auto"/>
        <w:left w:val="none" w:sz="0" w:space="0" w:color="auto"/>
        <w:bottom w:val="none" w:sz="0" w:space="0" w:color="auto"/>
        <w:right w:val="none" w:sz="0" w:space="0" w:color="auto"/>
      </w:divBdr>
    </w:div>
    <w:div w:id="1901482618">
      <w:marLeft w:val="0"/>
      <w:marRight w:val="0"/>
      <w:marTop w:val="200"/>
      <w:marBottom w:val="0"/>
      <w:divBdr>
        <w:top w:val="none" w:sz="0" w:space="0" w:color="auto"/>
        <w:left w:val="none" w:sz="0" w:space="0" w:color="auto"/>
        <w:bottom w:val="none" w:sz="0" w:space="0" w:color="auto"/>
        <w:right w:val="none" w:sz="0" w:space="0" w:color="auto"/>
      </w:divBdr>
    </w:div>
    <w:div w:id="1903641252">
      <w:marLeft w:val="0"/>
      <w:marRight w:val="0"/>
      <w:marTop w:val="0"/>
      <w:marBottom w:val="0"/>
      <w:divBdr>
        <w:top w:val="none" w:sz="0" w:space="0" w:color="auto"/>
        <w:left w:val="none" w:sz="0" w:space="0" w:color="auto"/>
        <w:bottom w:val="none" w:sz="0" w:space="0" w:color="auto"/>
        <w:right w:val="none" w:sz="0" w:space="0" w:color="auto"/>
      </w:divBdr>
    </w:div>
    <w:div w:id="1903906386">
      <w:marLeft w:val="0"/>
      <w:marRight w:val="0"/>
      <w:marTop w:val="60"/>
      <w:marBottom w:val="0"/>
      <w:divBdr>
        <w:top w:val="none" w:sz="0" w:space="0" w:color="auto"/>
        <w:left w:val="none" w:sz="0" w:space="0" w:color="auto"/>
        <w:bottom w:val="none" w:sz="0" w:space="0" w:color="auto"/>
        <w:right w:val="none" w:sz="0" w:space="0" w:color="auto"/>
      </w:divBdr>
    </w:div>
    <w:div w:id="1905950389">
      <w:marLeft w:val="0"/>
      <w:marRight w:val="0"/>
      <w:marTop w:val="0"/>
      <w:marBottom w:val="0"/>
      <w:divBdr>
        <w:top w:val="none" w:sz="0" w:space="0" w:color="auto"/>
        <w:left w:val="none" w:sz="0" w:space="0" w:color="auto"/>
        <w:bottom w:val="none" w:sz="0" w:space="0" w:color="auto"/>
        <w:right w:val="none" w:sz="0" w:space="0" w:color="auto"/>
      </w:divBdr>
    </w:div>
    <w:div w:id="1909800137">
      <w:marLeft w:val="0"/>
      <w:marRight w:val="0"/>
      <w:marTop w:val="200"/>
      <w:marBottom w:val="0"/>
      <w:divBdr>
        <w:top w:val="none" w:sz="0" w:space="0" w:color="auto"/>
        <w:left w:val="none" w:sz="0" w:space="0" w:color="auto"/>
        <w:bottom w:val="none" w:sz="0" w:space="0" w:color="auto"/>
        <w:right w:val="none" w:sz="0" w:space="0" w:color="auto"/>
      </w:divBdr>
    </w:div>
    <w:div w:id="1910650310">
      <w:marLeft w:val="0"/>
      <w:marRight w:val="0"/>
      <w:marTop w:val="200"/>
      <w:marBottom w:val="0"/>
      <w:divBdr>
        <w:top w:val="none" w:sz="0" w:space="0" w:color="auto"/>
        <w:left w:val="none" w:sz="0" w:space="0" w:color="auto"/>
        <w:bottom w:val="none" w:sz="0" w:space="0" w:color="auto"/>
        <w:right w:val="none" w:sz="0" w:space="0" w:color="auto"/>
      </w:divBdr>
    </w:div>
    <w:div w:id="1917322063">
      <w:marLeft w:val="0"/>
      <w:marRight w:val="0"/>
      <w:marTop w:val="0"/>
      <w:marBottom w:val="0"/>
      <w:divBdr>
        <w:top w:val="none" w:sz="0" w:space="0" w:color="auto"/>
        <w:left w:val="none" w:sz="0" w:space="0" w:color="auto"/>
        <w:bottom w:val="none" w:sz="0" w:space="0" w:color="auto"/>
        <w:right w:val="none" w:sz="0" w:space="0" w:color="auto"/>
      </w:divBdr>
      <w:divsChild>
        <w:div w:id="1656227443">
          <w:marLeft w:val="0"/>
          <w:marRight w:val="0"/>
          <w:marTop w:val="0"/>
          <w:marBottom w:val="0"/>
          <w:divBdr>
            <w:top w:val="none" w:sz="0" w:space="0" w:color="auto"/>
            <w:left w:val="none" w:sz="0" w:space="0" w:color="auto"/>
            <w:bottom w:val="none" w:sz="0" w:space="0" w:color="auto"/>
            <w:right w:val="none" w:sz="0" w:space="0" w:color="auto"/>
          </w:divBdr>
        </w:div>
      </w:divsChild>
    </w:div>
    <w:div w:id="1918510578">
      <w:marLeft w:val="0"/>
      <w:marRight w:val="0"/>
      <w:marTop w:val="0"/>
      <w:marBottom w:val="0"/>
      <w:divBdr>
        <w:top w:val="none" w:sz="0" w:space="0" w:color="auto"/>
        <w:left w:val="none" w:sz="0" w:space="0" w:color="auto"/>
        <w:bottom w:val="none" w:sz="0" w:space="0" w:color="auto"/>
        <w:right w:val="none" w:sz="0" w:space="0" w:color="auto"/>
      </w:divBdr>
    </w:div>
    <w:div w:id="1919438091">
      <w:marLeft w:val="0"/>
      <w:marRight w:val="0"/>
      <w:marTop w:val="100"/>
      <w:marBottom w:val="0"/>
      <w:divBdr>
        <w:top w:val="none" w:sz="0" w:space="0" w:color="auto"/>
        <w:left w:val="none" w:sz="0" w:space="0" w:color="auto"/>
        <w:bottom w:val="none" w:sz="0" w:space="0" w:color="auto"/>
        <w:right w:val="none" w:sz="0" w:space="0" w:color="auto"/>
      </w:divBdr>
    </w:div>
    <w:div w:id="1919946379">
      <w:marLeft w:val="0"/>
      <w:marRight w:val="0"/>
      <w:marTop w:val="0"/>
      <w:marBottom w:val="0"/>
      <w:divBdr>
        <w:top w:val="none" w:sz="0" w:space="0" w:color="auto"/>
        <w:left w:val="none" w:sz="0" w:space="0" w:color="auto"/>
        <w:bottom w:val="none" w:sz="0" w:space="0" w:color="auto"/>
        <w:right w:val="none" w:sz="0" w:space="0" w:color="auto"/>
      </w:divBdr>
      <w:divsChild>
        <w:div w:id="1183711395">
          <w:marLeft w:val="0"/>
          <w:marRight w:val="0"/>
          <w:marTop w:val="0"/>
          <w:marBottom w:val="0"/>
          <w:divBdr>
            <w:top w:val="none" w:sz="0" w:space="0" w:color="auto"/>
            <w:left w:val="none" w:sz="0" w:space="0" w:color="auto"/>
            <w:bottom w:val="none" w:sz="0" w:space="0" w:color="auto"/>
            <w:right w:val="none" w:sz="0" w:space="0" w:color="auto"/>
          </w:divBdr>
        </w:div>
      </w:divsChild>
    </w:div>
    <w:div w:id="1927496646">
      <w:marLeft w:val="0"/>
      <w:marRight w:val="0"/>
      <w:marTop w:val="100"/>
      <w:marBottom w:val="0"/>
      <w:divBdr>
        <w:top w:val="none" w:sz="0" w:space="0" w:color="auto"/>
        <w:left w:val="none" w:sz="0" w:space="0" w:color="auto"/>
        <w:bottom w:val="none" w:sz="0" w:space="0" w:color="auto"/>
        <w:right w:val="none" w:sz="0" w:space="0" w:color="auto"/>
      </w:divBdr>
      <w:divsChild>
        <w:div w:id="652150277">
          <w:marLeft w:val="0"/>
          <w:marRight w:val="0"/>
          <w:marTop w:val="0"/>
          <w:marBottom w:val="240"/>
          <w:divBdr>
            <w:top w:val="none" w:sz="0" w:space="0" w:color="auto"/>
            <w:left w:val="none" w:sz="0" w:space="0" w:color="auto"/>
            <w:bottom w:val="none" w:sz="0" w:space="0" w:color="auto"/>
            <w:right w:val="none" w:sz="0" w:space="0" w:color="auto"/>
          </w:divBdr>
        </w:div>
      </w:divsChild>
    </w:div>
    <w:div w:id="1927759388">
      <w:marLeft w:val="0"/>
      <w:marRight w:val="0"/>
      <w:marTop w:val="0"/>
      <w:marBottom w:val="0"/>
      <w:divBdr>
        <w:top w:val="none" w:sz="0" w:space="0" w:color="auto"/>
        <w:left w:val="none" w:sz="0" w:space="0" w:color="auto"/>
        <w:bottom w:val="none" w:sz="0" w:space="0" w:color="auto"/>
        <w:right w:val="none" w:sz="0" w:space="0" w:color="auto"/>
      </w:divBdr>
    </w:div>
    <w:div w:id="1927962127">
      <w:marLeft w:val="0"/>
      <w:marRight w:val="0"/>
      <w:marTop w:val="0"/>
      <w:marBottom w:val="0"/>
      <w:divBdr>
        <w:top w:val="none" w:sz="0" w:space="0" w:color="auto"/>
        <w:left w:val="none" w:sz="0" w:space="0" w:color="auto"/>
        <w:bottom w:val="none" w:sz="0" w:space="0" w:color="auto"/>
        <w:right w:val="none" w:sz="0" w:space="0" w:color="auto"/>
      </w:divBdr>
      <w:divsChild>
        <w:div w:id="981614146">
          <w:marLeft w:val="0"/>
          <w:marRight w:val="0"/>
          <w:marTop w:val="0"/>
          <w:marBottom w:val="0"/>
          <w:divBdr>
            <w:top w:val="none" w:sz="0" w:space="0" w:color="auto"/>
            <w:left w:val="none" w:sz="0" w:space="0" w:color="auto"/>
            <w:bottom w:val="none" w:sz="0" w:space="0" w:color="auto"/>
            <w:right w:val="none" w:sz="0" w:space="0" w:color="auto"/>
          </w:divBdr>
        </w:div>
      </w:divsChild>
    </w:div>
    <w:div w:id="1937976576">
      <w:marLeft w:val="0"/>
      <w:marRight w:val="0"/>
      <w:marTop w:val="0"/>
      <w:marBottom w:val="0"/>
      <w:divBdr>
        <w:top w:val="none" w:sz="0" w:space="0" w:color="auto"/>
        <w:left w:val="none" w:sz="0" w:space="0" w:color="auto"/>
        <w:bottom w:val="none" w:sz="0" w:space="0" w:color="auto"/>
        <w:right w:val="none" w:sz="0" w:space="0" w:color="auto"/>
      </w:divBdr>
    </w:div>
    <w:div w:id="1940798950">
      <w:marLeft w:val="0"/>
      <w:marRight w:val="0"/>
      <w:marTop w:val="200"/>
      <w:marBottom w:val="0"/>
      <w:divBdr>
        <w:top w:val="none" w:sz="0" w:space="0" w:color="auto"/>
        <w:left w:val="none" w:sz="0" w:space="0" w:color="auto"/>
        <w:bottom w:val="none" w:sz="0" w:space="0" w:color="auto"/>
        <w:right w:val="none" w:sz="0" w:space="0" w:color="auto"/>
      </w:divBdr>
    </w:div>
    <w:div w:id="1941135125">
      <w:marLeft w:val="0"/>
      <w:marRight w:val="0"/>
      <w:marTop w:val="0"/>
      <w:marBottom w:val="0"/>
      <w:divBdr>
        <w:top w:val="none" w:sz="0" w:space="0" w:color="auto"/>
        <w:left w:val="none" w:sz="0" w:space="0" w:color="auto"/>
        <w:bottom w:val="none" w:sz="0" w:space="0" w:color="auto"/>
        <w:right w:val="none" w:sz="0" w:space="0" w:color="auto"/>
      </w:divBdr>
    </w:div>
    <w:div w:id="1941208906">
      <w:marLeft w:val="0"/>
      <w:marRight w:val="0"/>
      <w:marTop w:val="0"/>
      <w:marBottom w:val="0"/>
      <w:divBdr>
        <w:top w:val="none" w:sz="0" w:space="0" w:color="auto"/>
        <w:left w:val="none" w:sz="0" w:space="0" w:color="auto"/>
        <w:bottom w:val="none" w:sz="0" w:space="0" w:color="auto"/>
        <w:right w:val="none" w:sz="0" w:space="0" w:color="auto"/>
      </w:divBdr>
    </w:div>
    <w:div w:id="1942175570">
      <w:marLeft w:val="0"/>
      <w:marRight w:val="0"/>
      <w:marTop w:val="200"/>
      <w:marBottom w:val="0"/>
      <w:divBdr>
        <w:top w:val="none" w:sz="0" w:space="0" w:color="auto"/>
        <w:left w:val="none" w:sz="0" w:space="0" w:color="auto"/>
        <w:bottom w:val="none" w:sz="0" w:space="0" w:color="auto"/>
        <w:right w:val="none" w:sz="0" w:space="0" w:color="auto"/>
      </w:divBdr>
    </w:div>
    <w:div w:id="1942451592">
      <w:marLeft w:val="0"/>
      <w:marRight w:val="0"/>
      <w:marTop w:val="0"/>
      <w:marBottom w:val="200"/>
      <w:divBdr>
        <w:top w:val="none" w:sz="0" w:space="0" w:color="auto"/>
        <w:left w:val="none" w:sz="0" w:space="0" w:color="auto"/>
        <w:bottom w:val="none" w:sz="0" w:space="0" w:color="auto"/>
        <w:right w:val="none" w:sz="0" w:space="0" w:color="auto"/>
      </w:divBdr>
    </w:div>
    <w:div w:id="1945459833">
      <w:marLeft w:val="0"/>
      <w:marRight w:val="0"/>
      <w:marTop w:val="0"/>
      <w:marBottom w:val="200"/>
      <w:divBdr>
        <w:top w:val="none" w:sz="0" w:space="0" w:color="auto"/>
        <w:left w:val="none" w:sz="0" w:space="0" w:color="auto"/>
        <w:bottom w:val="none" w:sz="0" w:space="0" w:color="auto"/>
        <w:right w:val="none" w:sz="0" w:space="0" w:color="auto"/>
      </w:divBdr>
    </w:div>
    <w:div w:id="1946882752">
      <w:marLeft w:val="0"/>
      <w:marRight w:val="0"/>
      <w:marTop w:val="0"/>
      <w:marBottom w:val="0"/>
      <w:divBdr>
        <w:top w:val="none" w:sz="0" w:space="0" w:color="auto"/>
        <w:left w:val="none" w:sz="0" w:space="0" w:color="auto"/>
        <w:bottom w:val="none" w:sz="0" w:space="0" w:color="auto"/>
        <w:right w:val="none" w:sz="0" w:space="0" w:color="auto"/>
      </w:divBdr>
    </w:div>
    <w:div w:id="1947692870">
      <w:marLeft w:val="0"/>
      <w:marRight w:val="0"/>
      <w:marTop w:val="0"/>
      <w:marBottom w:val="0"/>
      <w:divBdr>
        <w:top w:val="none" w:sz="0" w:space="0" w:color="auto"/>
        <w:left w:val="none" w:sz="0" w:space="0" w:color="auto"/>
        <w:bottom w:val="none" w:sz="0" w:space="0" w:color="auto"/>
        <w:right w:val="none" w:sz="0" w:space="0" w:color="auto"/>
      </w:divBdr>
    </w:div>
    <w:div w:id="1950769036">
      <w:marLeft w:val="0"/>
      <w:marRight w:val="0"/>
      <w:marTop w:val="200"/>
      <w:marBottom w:val="0"/>
      <w:divBdr>
        <w:top w:val="none" w:sz="0" w:space="0" w:color="auto"/>
        <w:left w:val="none" w:sz="0" w:space="0" w:color="auto"/>
        <w:bottom w:val="none" w:sz="0" w:space="0" w:color="auto"/>
        <w:right w:val="none" w:sz="0" w:space="0" w:color="auto"/>
      </w:divBdr>
    </w:div>
    <w:div w:id="1956013248">
      <w:marLeft w:val="0"/>
      <w:marRight w:val="0"/>
      <w:marTop w:val="0"/>
      <w:marBottom w:val="0"/>
      <w:divBdr>
        <w:top w:val="none" w:sz="0" w:space="0" w:color="auto"/>
        <w:left w:val="none" w:sz="0" w:space="0" w:color="auto"/>
        <w:bottom w:val="none" w:sz="0" w:space="0" w:color="auto"/>
        <w:right w:val="none" w:sz="0" w:space="0" w:color="auto"/>
      </w:divBdr>
      <w:divsChild>
        <w:div w:id="665591673">
          <w:marLeft w:val="0"/>
          <w:marRight w:val="0"/>
          <w:marTop w:val="0"/>
          <w:marBottom w:val="0"/>
          <w:divBdr>
            <w:top w:val="none" w:sz="0" w:space="0" w:color="auto"/>
            <w:left w:val="none" w:sz="0" w:space="0" w:color="auto"/>
            <w:bottom w:val="none" w:sz="0" w:space="0" w:color="auto"/>
            <w:right w:val="none" w:sz="0" w:space="0" w:color="auto"/>
          </w:divBdr>
        </w:div>
      </w:divsChild>
    </w:div>
    <w:div w:id="1956476108">
      <w:marLeft w:val="0"/>
      <w:marRight w:val="0"/>
      <w:marTop w:val="0"/>
      <w:marBottom w:val="0"/>
      <w:divBdr>
        <w:top w:val="none" w:sz="0" w:space="0" w:color="auto"/>
        <w:left w:val="none" w:sz="0" w:space="0" w:color="auto"/>
        <w:bottom w:val="none" w:sz="0" w:space="0" w:color="auto"/>
        <w:right w:val="none" w:sz="0" w:space="0" w:color="auto"/>
      </w:divBdr>
      <w:divsChild>
        <w:div w:id="449711708">
          <w:marLeft w:val="0"/>
          <w:marRight w:val="0"/>
          <w:marTop w:val="0"/>
          <w:marBottom w:val="0"/>
          <w:divBdr>
            <w:top w:val="none" w:sz="0" w:space="0" w:color="auto"/>
            <w:left w:val="none" w:sz="0" w:space="0" w:color="auto"/>
            <w:bottom w:val="none" w:sz="0" w:space="0" w:color="auto"/>
            <w:right w:val="none" w:sz="0" w:space="0" w:color="auto"/>
          </w:divBdr>
        </w:div>
      </w:divsChild>
    </w:div>
    <w:div w:id="1956790177">
      <w:marLeft w:val="0"/>
      <w:marRight w:val="0"/>
      <w:marTop w:val="200"/>
      <w:marBottom w:val="0"/>
      <w:divBdr>
        <w:top w:val="none" w:sz="0" w:space="0" w:color="auto"/>
        <w:left w:val="none" w:sz="0" w:space="0" w:color="auto"/>
        <w:bottom w:val="none" w:sz="0" w:space="0" w:color="auto"/>
        <w:right w:val="none" w:sz="0" w:space="0" w:color="auto"/>
      </w:divBdr>
    </w:div>
    <w:div w:id="1957639536">
      <w:marLeft w:val="0"/>
      <w:marRight w:val="0"/>
      <w:marTop w:val="0"/>
      <w:marBottom w:val="0"/>
      <w:divBdr>
        <w:top w:val="none" w:sz="0" w:space="0" w:color="auto"/>
        <w:left w:val="none" w:sz="0" w:space="0" w:color="auto"/>
        <w:bottom w:val="none" w:sz="0" w:space="0" w:color="auto"/>
        <w:right w:val="none" w:sz="0" w:space="0" w:color="auto"/>
      </w:divBdr>
    </w:div>
    <w:div w:id="1963883198">
      <w:marLeft w:val="0"/>
      <w:marRight w:val="0"/>
      <w:marTop w:val="0"/>
      <w:marBottom w:val="0"/>
      <w:divBdr>
        <w:top w:val="none" w:sz="0" w:space="0" w:color="auto"/>
        <w:left w:val="none" w:sz="0" w:space="0" w:color="auto"/>
        <w:bottom w:val="none" w:sz="0" w:space="0" w:color="auto"/>
        <w:right w:val="none" w:sz="0" w:space="0" w:color="auto"/>
      </w:divBdr>
      <w:divsChild>
        <w:div w:id="972979622">
          <w:marLeft w:val="0"/>
          <w:marRight w:val="0"/>
          <w:marTop w:val="0"/>
          <w:marBottom w:val="0"/>
          <w:divBdr>
            <w:top w:val="none" w:sz="0" w:space="0" w:color="auto"/>
            <w:left w:val="none" w:sz="0" w:space="0" w:color="auto"/>
            <w:bottom w:val="none" w:sz="0" w:space="0" w:color="auto"/>
            <w:right w:val="none" w:sz="0" w:space="0" w:color="auto"/>
          </w:divBdr>
        </w:div>
      </w:divsChild>
    </w:div>
    <w:div w:id="1965118508">
      <w:marLeft w:val="0"/>
      <w:marRight w:val="0"/>
      <w:marTop w:val="100"/>
      <w:marBottom w:val="0"/>
      <w:divBdr>
        <w:top w:val="none" w:sz="0" w:space="0" w:color="auto"/>
        <w:left w:val="none" w:sz="0" w:space="0" w:color="auto"/>
        <w:bottom w:val="none" w:sz="0" w:space="0" w:color="auto"/>
        <w:right w:val="none" w:sz="0" w:space="0" w:color="auto"/>
      </w:divBdr>
    </w:div>
    <w:div w:id="1965572755">
      <w:marLeft w:val="0"/>
      <w:marRight w:val="0"/>
      <w:marTop w:val="0"/>
      <w:marBottom w:val="0"/>
      <w:divBdr>
        <w:top w:val="none" w:sz="0" w:space="0" w:color="auto"/>
        <w:left w:val="none" w:sz="0" w:space="0" w:color="auto"/>
        <w:bottom w:val="none" w:sz="0" w:space="0" w:color="auto"/>
        <w:right w:val="none" w:sz="0" w:space="0" w:color="auto"/>
      </w:divBdr>
    </w:div>
    <w:div w:id="1966541858">
      <w:marLeft w:val="0"/>
      <w:marRight w:val="0"/>
      <w:marTop w:val="0"/>
      <w:marBottom w:val="200"/>
      <w:divBdr>
        <w:top w:val="none" w:sz="0" w:space="0" w:color="auto"/>
        <w:left w:val="none" w:sz="0" w:space="0" w:color="auto"/>
        <w:bottom w:val="none" w:sz="0" w:space="0" w:color="auto"/>
        <w:right w:val="none" w:sz="0" w:space="0" w:color="auto"/>
      </w:divBdr>
    </w:div>
    <w:div w:id="1969778179">
      <w:marLeft w:val="0"/>
      <w:marRight w:val="0"/>
      <w:marTop w:val="200"/>
      <w:marBottom w:val="0"/>
      <w:divBdr>
        <w:top w:val="none" w:sz="0" w:space="0" w:color="auto"/>
        <w:left w:val="none" w:sz="0" w:space="0" w:color="auto"/>
        <w:bottom w:val="none" w:sz="0" w:space="0" w:color="auto"/>
        <w:right w:val="none" w:sz="0" w:space="0" w:color="auto"/>
      </w:divBdr>
    </w:div>
    <w:div w:id="1969781201">
      <w:marLeft w:val="0"/>
      <w:marRight w:val="0"/>
      <w:marTop w:val="0"/>
      <w:marBottom w:val="0"/>
      <w:divBdr>
        <w:top w:val="none" w:sz="0" w:space="0" w:color="auto"/>
        <w:left w:val="none" w:sz="0" w:space="0" w:color="auto"/>
        <w:bottom w:val="none" w:sz="0" w:space="0" w:color="auto"/>
        <w:right w:val="none" w:sz="0" w:space="0" w:color="auto"/>
      </w:divBdr>
    </w:div>
    <w:div w:id="1974285760">
      <w:marLeft w:val="0"/>
      <w:marRight w:val="0"/>
      <w:marTop w:val="0"/>
      <w:marBottom w:val="0"/>
      <w:divBdr>
        <w:top w:val="none" w:sz="0" w:space="0" w:color="auto"/>
        <w:left w:val="none" w:sz="0" w:space="0" w:color="auto"/>
        <w:bottom w:val="none" w:sz="0" w:space="0" w:color="auto"/>
        <w:right w:val="none" w:sz="0" w:space="0" w:color="auto"/>
      </w:divBdr>
    </w:div>
    <w:div w:id="1978871959">
      <w:marLeft w:val="0"/>
      <w:marRight w:val="0"/>
      <w:marTop w:val="0"/>
      <w:marBottom w:val="0"/>
      <w:divBdr>
        <w:top w:val="none" w:sz="0" w:space="0" w:color="auto"/>
        <w:left w:val="none" w:sz="0" w:space="0" w:color="auto"/>
        <w:bottom w:val="none" w:sz="0" w:space="0" w:color="auto"/>
        <w:right w:val="none" w:sz="0" w:space="0" w:color="auto"/>
      </w:divBdr>
    </w:div>
    <w:div w:id="1981568936">
      <w:marLeft w:val="0"/>
      <w:marRight w:val="0"/>
      <w:marTop w:val="0"/>
      <w:marBottom w:val="0"/>
      <w:divBdr>
        <w:top w:val="none" w:sz="0" w:space="0" w:color="auto"/>
        <w:left w:val="none" w:sz="0" w:space="0" w:color="auto"/>
        <w:bottom w:val="none" w:sz="0" w:space="0" w:color="auto"/>
        <w:right w:val="none" w:sz="0" w:space="0" w:color="auto"/>
      </w:divBdr>
    </w:div>
    <w:div w:id="1981690259">
      <w:marLeft w:val="0"/>
      <w:marRight w:val="0"/>
      <w:marTop w:val="0"/>
      <w:marBottom w:val="0"/>
      <w:divBdr>
        <w:top w:val="none" w:sz="0" w:space="0" w:color="auto"/>
        <w:left w:val="none" w:sz="0" w:space="0" w:color="auto"/>
        <w:bottom w:val="none" w:sz="0" w:space="0" w:color="auto"/>
        <w:right w:val="none" w:sz="0" w:space="0" w:color="auto"/>
      </w:divBdr>
    </w:div>
    <w:div w:id="1984237951">
      <w:marLeft w:val="0"/>
      <w:marRight w:val="0"/>
      <w:marTop w:val="200"/>
      <w:marBottom w:val="0"/>
      <w:divBdr>
        <w:top w:val="none" w:sz="0" w:space="0" w:color="auto"/>
        <w:left w:val="none" w:sz="0" w:space="0" w:color="auto"/>
        <w:bottom w:val="none" w:sz="0" w:space="0" w:color="auto"/>
        <w:right w:val="none" w:sz="0" w:space="0" w:color="auto"/>
      </w:divBdr>
    </w:div>
    <w:div w:id="1984462496">
      <w:marLeft w:val="0"/>
      <w:marRight w:val="0"/>
      <w:marTop w:val="0"/>
      <w:marBottom w:val="160"/>
      <w:divBdr>
        <w:top w:val="none" w:sz="0" w:space="0" w:color="auto"/>
        <w:left w:val="none" w:sz="0" w:space="0" w:color="auto"/>
        <w:bottom w:val="none" w:sz="0" w:space="0" w:color="auto"/>
        <w:right w:val="none" w:sz="0" w:space="0" w:color="auto"/>
      </w:divBdr>
    </w:div>
    <w:div w:id="1987513913">
      <w:marLeft w:val="0"/>
      <w:marRight w:val="0"/>
      <w:marTop w:val="0"/>
      <w:marBottom w:val="0"/>
      <w:divBdr>
        <w:top w:val="none" w:sz="0" w:space="0" w:color="auto"/>
        <w:left w:val="none" w:sz="0" w:space="0" w:color="auto"/>
        <w:bottom w:val="none" w:sz="0" w:space="0" w:color="auto"/>
        <w:right w:val="none" w:sz="0" w:space="0" w:color="auto"/>
      </w:divBdr>
    </w:div>
    <w:div w:id="1988776205">
      <w:marLeft w:val="0"/>
      <w:marRight w:val="0"/>
      <w:marTop w:val="0"/>
      <w:marBottom w:val="0"/>
      <w:divBdr>
        <w:top w:val="none" w:sz="0" w:space="0" w:color="auto"/>
        <w:left w:val="none" w:sz="0" w:space="0" w:color="auto"/>
        <w:bottom w:val="none" w:sz="0" w:space="0" w:color="auto"/>
        <w:right w:val="none" w:sz="0" w:space="0" w:color="auto"/>
      </w:divBdr>
    </w:div>
    <w:div w:id="1988897285">
      <w:marLeft w:val="0"/>
      <w:marRight w:val="0"/>
      <w:marTop w:val="0"/>
      <w:marBottom w:val="0"/>
      <w:divBdr>
        <w:top w:val="none" w:sz="0" w:space="0" w:color="auto"/>
        <w:left w:val="none" w:sz="0" w:space="0" w:color="auto"/>
        <w:bottom w:val="none" w:sz="0" w:space="0" w:color="auto"/>
        <w:right w:val="none" w:sz="0" w:space="0" w:color="auto"/>
      </w:divBdr>
      <w:divsChild>
        <w:div w:id="1598635549">
          <w:marLeft w:val="0"/>
          <w:marRight w:val="0"/>
          <w:marTop w:val="0"/>
          <w:marBottom w:val="0"/>
          <w:divBdr>
            <w:top w:val="none" w:sz="0" w:space="0" w:color="auto"/>
            <w:left w:val="none" w:sz="0" w:space="0" w:color="auto"/>
            <w:bottom w:val="none" w:sz="0" w:space="0" w:color="auto"/>
            <w:right w:val="none" w:sz="0" w:space="0" w:color="auto"/>
          </w:divBdr>
        </w:div>
      </w:divsChild>
    </w:div>
    <w:div w:id="1991594066">
      <w:marLeft w:val="0"/>
      <w:marRight w:val="0"/>
      <w:marTop w:val="0"/>
      <w:marBottom w:val="0"/>
      <w:divBdr>
        <w:top w:val="none" w:sz="0" w:space="0" w:color="auto"/>
        <w:left w:val="none" w:sz="0" w:space="0" w:color="auto"/>
        <w:bottom w:val="none" w:sz="0" w:space="0" w:color="auto"/>
        <w:right w:val="none" w:sz="0" w:space="0" w:color="auto"/>
      </w:divBdr>
      <w:divsChild>
        <w:div w:id="726606703">
          <w:marLeft w:val="0"/>
          <w:marRight w:val="0"/>
          <w:marTop w:val="0"/>
          <w:marBottom w:val="0"/>
          <w:divBdr>
            <w:top w:val="none" w:sz="0" w:space="0" w:color="auto"/>
            <w:left w:val="none" w:sz="0" w:space="0" w:color="auto"/>
            <w:bottom w:val="none" w:sz="0" w:space="0" w:color="auto"/>
            <w:right w:val="none" w:sz="0" w:space="0" w:color="auto"/>
          </w:divBdr>
        </w:div>
      </w:divsChild>
    </w:div>
    <w:div w:id="1993026245">
      <w:marLeft w:val="0"/>
      <w:marRight w:val="0"/>
      <w:marTop w:val="100"/>
      <w:marBottom w:val="0"/>
      <w:divBdr>
        <w:top w:val="none" w:sz="0" w:space="0" w:color="auto"/>
        <w:left w:val="none" w:sz="0" w:space="0" w:color="auto"/>
        <w:bottom w:val="none" w:sz="0" w:space="0" w:color="auto"/>
        <w:right w:val="none" w:sz="0" w:space="0" w:color="auto"/>
      </w:divBdr>
    </w:div>
    <w:div w:id="1993673664">
      <w:marLeft w:val="0"/>
      <w:marRight w:val="0"/>
      <w:marTop w:val="0"/>
      <w:marBottom w:val="0"/>
      <w:divBdr>
        <w:top w:val="none" w:sz="0" w:space="0" w:color="auto"/>
        <w:left w:val="none" w:sz="0" w:space="0" w:color="auto"/>
        <w:bottom w:val="none" w:sz="0" w:space="0" w:color="auto"/>
        <w:right w:val="none" w:sz="0" w:space="0" w:color="auto"/>
      </w:divBdr>
    </w:div>
    <w:div w:id="1997340676">
      <w:marLeft w:val="0"/>
      <w:marRight w:val="0"/>
      <w:marTop w:val="0"/>
      <w:marBottom w:val="0"/>
      <w:divBdr>
        <w:top w:val="none" w:sz="0" w:space="0" w:color="auto"/>
        <w:left w:val="none" w:sz="0" w:space="0" w:color="auto"/>
        <w:bottom w:val="none" w:sz="0" w:space="0" w:color="auto"/>
        <w:right w:val="none" w:sz="0" w:space="0" w:color="auto"/>
      </w:divBdr>
      <w:divsChild>
        <w:div w:id="984044580">
          <w:marLeft w:val="0"/>
          <w:marRight w:val="0"/>
          <w:marTop w:val="0"/>
          <w:marBottom w:val="0"/>
          <w:divBdr>
            <w:top w:val="none" w:sz="0" w:space="0" w:color="auto"/>
            <w:left w:val="none" w:sz="0" w:space="0" w:color="auto"/>
            <w:bottom w:val="none" w:sz="0" w:space="0" w:color="auto"/>
            <w:right w:val="none" w:sz="0" w:space="0" w:color="auto"/>
          </w:divBdr>
        </w:div>
      </w:divsChild>
    </w:div>
    <w:div w:id="2003314669">
      <w:marLeft w:val="0"/>
      <w:marRight w:val="0"/>
      <w:marTop w:val="0"/>
      <w:marBottom w:val="0"/>
      <w:divBdr>
        <w:top w:val="none" w:sz="0" w:space="0" w:color="auto"/>
        <w:left w:val="none" w:sz="0" w:space="0" w:color="auto"/>
        <w:bottom w:val="none" w:sz="0" w:space="0" w:color="auto"/>
        <w:right w:val="none" w:sz="0" w:space="0" w:color="auto"/>
      </w:divBdr>
    </w:div>
    <w:div w:id="2005426818">
      <w:marLeft w:val="0"/>
      <w:marRight w:val="0"/>
      <w:marTop w:val="0"/>
      <w:marBottom w:val="0"/>
      <w:divBdr>
        <w:top w:val="none" w:sz="0" w:space="0" w:color="auto"/>
        <w:left w:val="none" w:sz="0" w:space="0" w:color="auto"/>
        <w:bottom w:val="none" w:sz="0" w:space="0" w:color="auto"/>
        <w:right w:val="none" w:sz="0" w:space="0" w:color="auto"/>
      </w:divBdr>
      <w:divsChild>
        <w:div w:id="1904825750">
          <w:marLeft w:val="0"/>
          <w:marRight w:val="0"/>
          <w:marTop w:val="0"/>
          <w:marBottom w:val="0"/>
          <w:divBdr>
            <w:top w:val="none" w:sz="0" w:space="0" w:color="auto"/>
            <w:left w:val="none" w:sz="0" w:space="0" w:color="auto"/>
            <w:bottom w:val="none" w:sz="0" w:space="0" w:color="auto"/>
            <w:right w:val="none" w:sz="0" w:space="0" w:color="auto"/>
          </w:divBdr>
        </w:div>
        <w:div w:id="107238115">
          <w:marLeft w:val="0"/>
          <w:marRight w:val="0"/>
          <w:marTop w:val="0"/>
          <w:marBottom w:val="0"/>
          <w:divBdr>
            <w:top w:val="none" w:sz="0" w:space="0" w:color="auto"/>
            <w:left w:val="none" w:sz="0" w:space="0" w:color="auto"/>
            <w:bottom w:val="none" w:sz="0" w:space="0" w:color="auto"/>
            <w:right w:val="none" w:sz="0" w:space="0" w:color="auto"/>
          </w:divBdr>
        </w:div>
        <w:div w:id="1861696300">
          <w:marLeft w:val="0"/>
          <w:marRight w:val="0"/>
          <w:marTop w:val="0"/>
          <w:marBottom w:val="0"/>
          <w:divBdr>
            <w:top w:val="none" w:sz="0" w:space="0" w:color="auto"/>
            <w:left w:val="none" w:sz="0" w:space="0" w:color="auto"/>
            <w:bottom w:val="none" w:sz="0" w:space="0" w:color="auto"/>
            <w:right w:val="none" w:sz="0" w:space="0" w:color="auto"/>
          </w:divBdr>
        </w:div>
        <w:div w:id="810516235">
          <w:marLeft w:val="0"/>
          <w:marRight w:val="0"/>
          <w:marTop w:val="0"/>
          <w:marBottom w:val="0"/>
          <w:divBdr>
            <w:top w:val="none" w:sz="0" w:space="0" w:color="auto"/>
            <w:left w:val="none" w:sz="0" w:space="0" w:color="auto"/>
            <w:bottom w:val="none" w:sz="0" w:space="0" w:color="auto"/>
            <w:right w:val="none" w:sz="0" w:space="0" w:color="auto"/>
          </w:divBdr>
        </w:div>
      </w:divsChild>
    </w:div>
    <w:div w:id="2006862278">
      <w:marLeft w:val="0"/>
      <w:marRight w:val="0"/>
      <w:marTop w:val="200"/>
      <w:marBottom w:val="0"/>
      <w:divBdr>
        <w:top w:val="none" w:sz="0" w:space="0" w:color="auto"/>
        <w:left w:val="none" w:sz="0" w:space="0" w:color="auto"/>
        <w:bottom w:val="none" w:sz="0" w:space="0" w:color="auto"/>
        <w:right w:val="none" w:sz="0" w:space="0" w:color="auto"/>
      </w:divBdr>
    </w:div>
    <w:div w:id="2008701462">
      <w:marLeft w:val="0"/>
      <w:marRight w:val="0"/>
      <w:marTop w:val="0"/>
      <w:marBottom w:val="0"/>
      <w:divBdr>
        <w:top w:val="none" w:sz="0" w:space="0" w:color="auto"/>
        <w:left w:val="none" w:sz="0" w:space="0" w:color="auto"/>
        <w:bottom w:val="none" w:sz="0" w:space="0" w:color="auto"/>
        <w:right w:val="none" w:sz="0" w:space="0" w:color="auto"/>
      </w:divBdr>
    </w:div>
    <w:div w:id="2013560193">
      <w:marLeft w:val="0"/>
      <w:marRight w:val="0"/>
      <w:marTop w:val="200"/>
      <w:marBottom w:val="0"/>
      <w:divBdr>
        <w:top w:val="none" w:sz="0" w:space="0" w:color="auto"/>
        <w:left w:val="none" w:sz="0" w:space="0" w:color="auto"/>
        <w:bottom w:val="none" w:sz="0" w:space="0" w:color="auto"/>
        <w:right w:val="none" w:sz="0" w:space="0" w:color="auto"/>
      </w:divBdr>
    </w:div>
    <w:div w:id="2013756577">
      <w:marLeft w:val="0"/>
      <w:marRight w:val="0"/>
      <w:marTop w:val="200"/>
      <w:marBottom w:val="0"/>
      <w:divBdr>
        <w:top w:val="none" w:sz="0" w:space="0" w:color="auto"/>
        <w:left w:val="none" w:sz="0" w:space="0" w:color="auto"/>
        <w:bottom w:val="none" w:sz="0" w:space="0" w:color="auto"/>
        <w:right w:val="none" w:sz="0" w:space="0" w:color="auto"/>
      </w:divBdr>
    </w:div>
    <w:div w:id="2014910969">
      <w:marLeft w:val="0"/>
      <w:marRight w:val="0"/>
      <w:marTop w:val="0"/>
      <w:marBottom w:val="0"/>
      <w:divBdr>
        <w:top w:val="none" w:sz="0" w:space="0" w:color="auto"/>
        <w:left w:val="none" w:sz="0" w:space="0" w:color="auto"/>
        <w:bottom w:val="none" w:sz="0" w:space="0" w:color="auto"/>
        <w:right w:val="none" w:sz="0" w:space="0" w:color="auto"/>
      </w:divBdr>
    </w:div>
    <w:div w:id="2016490302">
      <w:marLeft w:val="0"/>
      <w:marRight w:val="0"/>
      <w:marTop w:val="200"/>
      <w:marBottom w:val="0"/>
      <w:divBdr>
        <w:top w:val="none" w:sz="0" w:space="0" w:color="auto"/>
        <w:left w:val="none" w:sz="0" w:space="0" w:color="auto"/>
        <w:bottom w:val="none" w:sz="0" w:space="0" w:color="auto"/>
        <w:right w:val="none" w:sz="0" w:space="0" w:color="auto"/>
      </w:divBdr>
    </w:div>
    <w:div w:id="2017268943">
      <w:marLeft w:val="0"/>
      <w:marRight w:val="0"/>
      <w:marTop w:val="200"/>
      <w:marBottom w:val="0"/>
      <w:divBdr>
        <w:top w:val="none" w:sz="0" w:space="0" w:color="auto"/>
        <w:left w:val="none" w:sz="0" w:space="0" w:color="auto"/>
        <w:bottom w:val="none" w:sz="0" w:space="0" w:color="auto"/>
        <w:right w:val="none" w:sz="0" w:space="0" w:color="auto"/>
      </w:divBdr>
    </w:div>
    <w:div w:id="2019307789">
      <w:marLeft w:val="0"/>
      <w:marRight w:val="0"/>
      <w:marTop w:val="0"/>
      <w:marBottom w:val="0"/>
      <w:divBdr>
        <w:top w:val="none" w:sz="0" w:space="0" w:color="auto"/>
        <w:left w:val="none" w:sz="0" w:space="0" w:color="auto"/>
        <w:bottom w:val="none" w:sz="0" w:space="0" w:color="auto"/>
        <w:right w:val="none" w:sz="0" w:space="0" w:color="auto"/>
      </w:divBdr>
    </w:div>
    <w:div w:id="2019842832">
      <w:marLeft w:val="0"/>
      <w:marRight w:val="0"/>
      <w:marTop w:val="100"/>
      <w:marBottom w:val="0"/>
      <w:divBdr>
        <w:top w:val="none" w:sz="0" w:space="0" w:color="auto"/>
        <w:left w:val="none" w:sz="0" w:space="0" w:color="auto"/>
        <w:bottom w:val="none" w:sz="0" w:space="0" w:color="auto"/>
        <w:right w:val="none" w:sz="0" w:space="0" w:color="auto"/>
      </w:divBdr>
    </w:div>
    <w:div w:id="2023778839">
      <w:marLeft w:val="0"/>
      <w:marRight w:val="0"/>
      <w:marTop w:val="200"/>
      <w:marBottom w:val="0"/>
      <w:divBdr>
        <w:top w:val="none" w:sz="0" w:space="0" w:color="auto"/>
        <w:left w:val="none" w:sz="0" w:space="0" w:color="auto"/>
        <w:bottom w:val="none" w:sz="0" w:space="0" w:color="auto"/>
        <w:right w:val="none" w:sz="0" w:space="0" w:color="auto"/>
      </w:divBdr>
    </w:div>
    <w:div w:id="2025011528">
      <w:marLeft w:val="0"/>
      <w:marRight w:val="0"/>
      <w:marTop w:val="200"/>
      <w:marBottom w:val="0"/>
      <w:divBdr>
        <w:top w:val="none" w:sz="0" w:space="0" w:color="auto"/>
        <w:left w:val="none" w:sz="0" w:space="0" w:color="auto"/>
        <w:bottom w:val="none" w:sz="0" w:space="0" w:color="auto"/>
        <w:right w:val="none" w:sz="0" w:space="0" w:color="auto"/>
      </w:divBdr>
    </w:div>
    <w:div w:id="2028015686">
      <w:marLeft w:val="0"/>
      <w:marRight w:val="0"/>
      <w:marTop w:val="0"/>
      <w:marBottom w:val="0"/>
      <w:divBdr>
        <w:top w:val="none" w:sz="0" w:space="0" w:color="auto"/>
        <w:left w:val="none" w:sz="0" w:space="0" w:color="auto"/>
        <w:bottom w:val="none" w:sz="0" w:space="0" w:color="auto"/>
        <w:right w:val="none" w:sz="0" w:space="0" w:color="auto"/>
      </w:divBdr>
      <w:divsChild>
        <w:div w:id="145165576">
          <w:marLeft w:val="0"/>
          <w:marRight w:val="0"/>
          <w:marTop w:val="0"/>
          <w:marBottom w:val="0"/>
          <w:divBdr>
            <w:top w:val="none" w:sz="0" w:space="0" w:color="auto"/>
            <w:left w:val="none" w:sz="0" w:space="0" w:color="auto"/>
            <w:bottom w:val="none" w:sz="0" w:space="0" w:color="auto"/>
            <w:right w:val="none" w:sz="0" w:space="0" w:color="auto"/>
          </w:divBdr>
        </w:div>
      </w:divsChild>
    </w:div>
    <w:div w:id="2029677092">
      <w:marLeft w:val="0"/>
      <w:marRight w:val="0"/>
      <w:marTop w:val="0"/>
      <w:marBottom w:val="0"/>
      <w:divBdr>
        <w:top w:val="none" w:sz="0" w:space="0" w:color="auto"/>
        <w:left w:val="none" w:sz="0" w:space="0" w:color="auto"/>
        <w:bottom w:val="none" w:sz="0" w:space="0" w:color="auto"/>
        <w:right w:val="none" w:sz="0" w:space="0" w:color="auto"/>
      </w:divBdr>
    </w:div>
    <w:div w:id="2035768941">
      <w:marLeft w:val="0"/>
      <w:marRight w:val="0"/>
      <w:marTop w:val="0"/>
      <w:marBottom w:val="0"/>
      <w:divBdr>
        <w:top w:val="none" w:sz="0" w:space="0" w:color="auto"/>
        <w:left w:val="none" w:sz="0" w:space="0" w:color="auto"/>
        <w:bottom w:val="none" w:sz="0" w:space="0" w:color="auto"/>
        <w:right w:val="none" w:sz="0" w:space="0" w:color="auto"/>
      </w:divBdr>
    </w:div>
    <w:div w:id="2036466072">
      <w:marLeft w:val="0"/>
      <w:marRight w:val="0"/>
      <w:marTop w:val="0"/>
      <w:marBottom w:val="0"/>
      <w:divBdr>
        <w:top w:val="none" w:sz="0" w:space="0" w:color="auto"/>
        <w:left w:val="none" w:sz="0" w:space="0" w:color="auto"/>
        <w:bottom w:val="none" w:sz="0" w:space="0" w:color="auto"/>
        <w:right w:val="none" w:sz="0" w:space="0" w:color="auto"/>
      </w:divBdr>
    </w:div>
    <w:div w:id="2038121297">
      <w:marLeft w:val="0"/>
      <w:marRight w:val="0"/>
      <w:marTop w:val="0"/>
      <w:marBottom w:val="0"/>
      <w:divBdr>
        <w:top w:val="none" w:sz="0" w:space="0" w:color="auto"/>
        <w:left w:val="none" w:sz="0" w:space="0" w:color="auto"/>
        <w:bottom w:val="none" w:sz="0" w:space="0" w:color="auto"/>
        <w:right w:val="none" w:sz="0" w:space="0" w:color="auto"/>
      </w:divBdr>
    </w:div>
    <w:div w:id="2038194111">
      <w:marLeft w:val="0"/>
      <w:marRight w:val="0"/>
      <w:marTop w:val="100"/>
      <w:marBottom w:val="60"/>
      <w:divBdr>
        <w:top w:val="none" w:sz="0" w:space="0" w:color="auto"/>
        <w:left w:val="none" w:sz="0" w:space="0" w:color="auto"/>
        <w:bottom w:val="none" w:sz="0" w:space="0" w:color="auto"/>
        <w:right w:val="none" w:sz="0" w:space="0" w:color="auto"/>
      </w:divBdr>
    </w:div>
    <w:div w:id="2038965204">
      <w:marLeft w:val="0"/>
      <w:marRight w:val="0"/>
      <w:marTop w:val="0"/>
      <w:marBottom w:val="0"/>
      <w:divBdr>
        <w:top w:val="none" w:sz="0" w:space="0" w:color="auto"/>
        <w:left w:val="none" w:sz="0" w:space="0" w:color="auto"/>
        <w:bottom w:val="none" w:sz="0" w:space="0" w:color="auto"/>
        <w:right w:val="none" w:sz="0" w:space="0" w:color="auto"/>
      </w:divBdr>
      <w:divsChild>
        <w:div w:id="1249536271">
          <w:marLeft w:val="0"/>
          <w:marRight w:val="0"/>
          <w:marTop w:val="0"/>
          <w:marBottom w:val="0"/>
          <w:divBdr>
            <w:top w:val="none" w:sz="0" w:space="0" w:color="auto"/>
            <w:left w:val="none" w:sz="0" w:space="0" w:color="auto"/>
            <w:bottom w:val="none" w:sz="0" w:space="0" w:color="auto"/>
            <w:right w:val="none" w:sz="0" w:space="0" w:color="auto"/>
          </w:divBdr>
        </w:div>
      </w:divsChild>
    </w:div>
    <w:div w:id="2040007908">
      <w:marLeft w:val="0"/>
      <w:marRight w:val="0"/>
      <w:marTop w:val="0"/>
      <w:marBottom w:val="0"/>
      <w:divBdr>
        <w:top w:val="none" w:sz="0" w:space="0" w:color="auto"/>
        <w:left w:val="none" w:sz="0" w:space="0" w:color="auto"/>
        <w:bottom w:val="none" w:sz="0" w:space="0" w:color="auto"/>
        <w:right w:val="none" w:sz="0" w:space="0" w:color="auto"/>
      </w:divBdr>
      <w:divsChild>
        <w:div w:id="1679968438">
          <w:marLeft w:val="0"/>
          <w:marRight w:val="0"/>
          <w:marTop w:val="0"/>
          <w:marBottom w:val="0"/>
          <w:divBdr>
            <w:top w:val="none" w:sz="0" w:space="0" w:color="auto"/>
            <w:left w:val="none" w:sz="0" w:space="0" w:color="auto"/>
            <w:bottom w:val="none" w:sz="0" w:space="0" w:color="auto"/>
            <w:right w:val="none" w:sz="0" w:space="0" w:color="auto"/>
          </w:divBdr>
        </w:div>
      </w:divsChild>
    </w:div>
    <w:div w:id="2043820557">
      <w:marLeft w:val="0"/>
      <w:marRight w:val="0"/>
      <w:marTop w:val="0"/>
      <w:marBottom w:val="160"/>
      <w:divBdr>
        <w:top w:val="none" w:sz="0" w:space="0" w:color="auto"/>
        <w:left w:val="none" w:sz="0" w:space="0" w:color="auto"/>
        <w:bottom w:val="none" w:sz="0" w:space="0" w:color="auto"/>
        <w:right w:val="none" w:sz="0" w:space="0" w:color="auto"/>
      </w:divBdr>
    </w:div>
    <w:div w:id="2044548689">
      <w:marLeft w:val="0"/>
      <w:marRight w:val="0"/>
      <w:marTop w:val="0"/>
      <w:marBottom w:val="0"/>
      <w:divBdr>
        <w:top w:val="none" w:sz="0" w:space="0" w:color="auto"/>
        <w:left w:val="none" w:sz="0" w:space="0" w:color="auto"/>
        <w:bottom w:val="none" w:sz="0" w:space="0" w:color="auto"/>
        <w:right w:val="none" w:sz="0" w:space="0" w:color="auto"/>
      </w:divBdr>
    </w:div>
    <w:div w:id="2045590247">
      <w:marLeft w:val="0"/>
      <w:marRight w:val="0"/>
      <w:marTop w:val="0"/>
      <w:marBottom w:val="0"/>
      <w:divBdr>
        <w:top w:val="none" w:sz="0" w:space="0" w:color="auto"/>
        <w:left w:val="none" w:sz="0" w:space="0" w:color="auto"/>
        <w:bottom w:val="none" w:sz="0" w:space="0" w:color="auto"/>
        <w:right w:val="none" w:sz="0" w:space="0" w:color="auto"/>
      </w:divBdr>
      <w:divsChild>
        <w:div w:id="401298464">
          <w:marLeft w:val="0"/>
          <w:marRight w:val="0"/>
          <w:marTop w:val="0"/>
          <w:marBottom w:val="0"/>
          <w:divBdr>
            <w:top w:val="none" w:sz="0" w:space="0" w:color="auto"/>
            <w:left w:val="none" w:sz="0" w:space="0" w:color="auto"/>
            <w:bottom w:val="none" w:sz="0" w:space="0" w:color="auto"/>
            <w:right w:val="none" w:sz="0" w:space="0" w:color="auto"/>
          </w:divBdr>
        </w:div>
        <w:div w:id="54859352">
          <w:marLeft w:val="0"/>
          <w:marRight w:val="0"/>
          <w:marTop w:val="0"/>
          <w:marBottom w:val="0"/>
          <w:divBdr>
            <w:top w:val="none" w:sz="0" w:space="0" w:color="auto"/>
            <w:left w:val="none" w:sz="0" w:space="0" w:color="auto"/>
            <w:bottom w:val="none" w:sz="0" w:space="0" w:color="auto"/>
            <w:right w:val="none" w:sz="0" w:space="0" w:color="auto"/>
          </w:divBdr>
        </w:div>
        <w:div w:id="1081096198">
          <w:marLeft w:val="0"/>
          <w:marRight w:val="0"/>
          <w:marTop w:val="0"/>
          <w:marBottom w:val="0"/>
          <w:divBdr>
            <w:top w:val="none" w:sz="0" w:space="0" w:color="auto"/>
            <w:left w:val="none" w:sz="0" w:space="0" w:color="auto"/>
            <w:bottom w:val="none" w:sz="0" w:space="0" w:color="auto"/>
            <w:right w:val="none" w:sz="0" w:space="0" w:color="auto"/>
          </w:divBdr>
        </w:div>
        <w:div w:id="1610775333">
          <w:marLeft w:val="0"/>
          <w:marRight w:val="0"/>
          <w:marTop w:val="0"/>
          <w:marBottom w:val="0"/>
          <w:divBdr>
            <w:top w:val="none" w:sz="0" w:space="0" w:color="auto"/>
            <w:left w:val="none" w:sz="0" w:space="0" w:color="auto"/>
            <w:bottom w:val="none" w:sz="0" w:space="0" w:color="auto"/>
            <w:right w:val="none" w:sz="0" w:space="0" w:color="auto"/>
          </w:divBdr>
        </w:div>
      </w:divsChild>
    </w:div>
    <w:div w:id="2049983646">
      <w:marLeft w:val="0"/>
      <w:marRight w:val="0"/>
      <w:marTop w:val="120"/>
      <w:marBottom w:val="0"/>
      <w:divBdr>
        <w:top w:val="none" w:sz="0" w:space="0" w:color="auto"/>
        <w:left w:val="none" w:sz="0" w:space="0" w:color="auto"/>
        <w:bottom w:val="none" w:sz="0" w:space="0" w:color="auto"/>
        <w:right w:val="none" w:sz="0" w:space="0" w:color="auto"/>
      </w:divBdr>
    </w:div>
    <w:div w:id="2050058639">
      <w:marLeft w:val="0"/>
      <w:marRight w:val="0"/>
      <w:marTop w:val="200"/>
      <w:marBottom w:val="0"/>
      <w:divBdr>
        <w:top w:val="none" w:sz="0" w:space="0" w:color="auto"/>
        <w:left w:val="none" w:sz="0" w:space="0" w:color="auto"/>
        <w:bottom w:val="none" w:sz="0" w:space="0" w:color="auto"/>
        <w:right w:val="none" w:sz="0" w:space="0" w:color="auto"/>
      </w:divBdr>
    </w:div>
    <w:div w:id="2050766119">
      <w:marLeft w:val="0"/>
      <w:marRight w:val="0"/>
      <w:marTop w:val="0"/>
      <w:marBottom w:val="0"/>
      <w:divBdr>
        <w:top w:val="none" w:sz="0" w:space="0" w:color="auto"/>
        <w:left w:val="none" w:sz="0" w:space="0" w:color="auto"/>
        <w:bottom w:val="none" w:sz="0" w:space="0" w:color="auto"/>
        <w:right w:val="none" w:sz="0" w:space="0" w:color="auto"/>
      </w:divBdr>
    </w:div>
    <w:div w:id="2052148784">
      <w:marLeft w:val="0"/>
      <w:marRight w:val="0"/>
      <w:marTop w:val="0"/>
      <w:marBottom w:val="200"/>
      <w:divBdr>
        <w:top w:val="none" w:sz="0" w:space="0" w:color="auto"/>
        <w:left w:val="none" w:sz="0" w:space="0" w:color="auto"/>
        <w:bottom w:val="none" w:sz="0" w:space="0" w:color="auto"/>
        <w:right w:val="none" w:sz="0" w:space="0" w:color="auto"/>
      </w:divBdr>
    </w:div>
    <w:div w:id="2052268110">
      <w:marLeft w:val="0"/>
      <w:marRight w:val="0"/>
      <w:marTop w:val="100"/>
      <w:marBottom w:val="0"/>
      <w:divBdr>
        <w:top w:val="none" w:sz="0" w:space="0" w:color="auto"/>
        <w:left w:val="none" w:sz="0" w:space="0" w:color="auto"/>
        <w:bottom w:val="none" w:sz="0" w:space="0" w:color="auto"/>
        <w:right w:val="none" w:sz="0" w:space="0" w:color="auto"/>
      </w:divBdr>
    </w:div>
    <w:div w:id="2055349347">
      <w:marLeft w:val="0"/>
      <w:marRight w:val="0"/>
      <w:marTop w:val="0"/>
      <w:marBottom w:val="0"/>
      <w:divBdr>
        <w:top w:val="none" w:sz="0" w:space="0" w:color="auto"/>
        <w:left w:val="none" w:sz="0" w:space="0" w:color="auto"/>
        <w:bottom w:val="none" w:sz="0" w:space="0" w:color="auto"/>
        <w:right w:val="none" w:sz="0" w:space="0" w:color="auto"/>
      </w:divBdr>
      <w:divsChild>
        <w:div w:id="1442989838">
          <w:marLeft w:val="0"/>
          <w:marRight w:val="0"/>
          <w:marTop w:val="0"/>
          <w:marBottom w:val="0"/>
          <w:divBdr>
            <w:top w:val="none" w:sz="0" w:space="0" w:color="auto"/>
            <w:left w:val="none" w:sz="0" w:space="0" w:color="auto"/>
            <w:bottom w:val="none" w:sz="0" w:space="0" w:color="auto"/>
            <w:right w:val="none" w:sz="0" w:space="0" w:color="auto"/>
          </w:divBdr>
        </w:div>
      </w:divsChild>
    </w:div>
    <w:div w:id="2063553474">
      <w:marLeft w:val="0"/>
      <w:marRight w:val="0"/>
      <w:marTop w:val="0"/>
      <w:marBottom w:val="200"/>
      <w:divBdr>
        <w:top w:val="none" w:sz="0" w:space="0" w:color="auto"/>
        <w:left w:val="none" w:sz="0" w:space="0" w:color="auto"/>
        <w:bottom w:val="none" w:sz="0" w:space="0" w:color="auto"/>
        <w:right w:val="none" w:sz="0" w:space="0" w:color="auto"/>
      </w:divBdr>
    </w:div>
    <w:div w:id="2063866198">
      <w:marLeft w:val="0"/>
      <w:marRight w:val="0"/>
      <w:marTop w:val="0"/>
      <w:marBottom w:val="0"/>
      <w:divBdr>
        <w:top w:val="none" w:sz="0" w:space="0" w:color="auto"/>
        <w:left w:val="none" w:sz="0" w:space="0" w:color="auto"/>
        <w:bottom w:val="none" w:sz="0" w:space="0" w:color="auto"/>
        <w:right w:val="none" w:sz="0" w:space="0" w:color="auto"/>
      </w:divBdr>
    </w:div>
    <w:div w:id="2064211402">
      <w:marLeft w:val="0"/>
      <w:marRight w:val="0"/>
      <w:marTop w:val="0"/>
      <w:marBottom w:val="0"/>
      <w:divBdr>
        <w:top w:val="none" w:sz="0" w:space="0" w:color="auto"/>
        <w:left w:val="none" w:sz="0" w:space="0" w:color="auto"/>
        <w:bottom w:val="none" w:sz="0" w:space="0" w:color="auto"/>
        <w:right w:val="none" w:sz="0" w:space="0" w:color="auto"/>
      </w:divBdr>
    </w:div>
    <w:div w:id="2067877751">
      <w:marLeft w:val="0"/>
      <w:marRight w:val="0"/>
      <w:marTop w:val="0"/>
      <w:marBottom w:val="200"/>
      <w:divBdr>
        <w:top w:val="none" w:sz="0" w:space="0" w:color="auto"/>
        <w:left w:val="none" w:sz="0" w:space="0" w:color="auto"/>
        <w:bottom w:val="none" w:sz="0" w:space="0" w:color="auto"/>
        <w:right w:val="none" w:sz="0" w:space="0" w:color="auto"/>
      </w:divBdr>
    </w:div>
    <w:div w:id="2069986259">
      <w:marLeft w:val="0"/>
      <w:marRight w:val="0"/>
      <w:marTop w:val="120"/>
      <w:marBottom w:val="0"/>
      <w:divBdr>
        <w:top w:val="none" w:sz="0" w:space="0" w:color="auto"/>
        <w:left w:val="none" w:sz="0" w:space="0" w:color="auto"/>
        <w:bottom w:val="none" w:sz="0" w:space="0" w:color="auto"/>
        <w:right w:val="none" w:sz="0" w:space="0" w:color="auto"/>
      </w:divBdr>
    </w:div>
    <w:div w:id="2074304234">
      <w:marLeft w:val="0"/>
      <w:marRight w:val="0"/>
      <w:marTop w:val="0"/>
      <w:marBottom w:val="0"/>
      <w:divBdr>
        <w:top w:val="none" w:sz="0" w:space="0" w:color="auto"/>
        <w:left w:val="none" w:sz="0" w:space="0" w:color="auto"/>
        <w:bottom w:val="none" w:sz="0" w:space="0" w:color="auto"/>
        <w:right w:val="none" w:sz="0" w:space="0" w:color="auto"/>
      </w:divBdr>
      <w:divsChild>
        <w:div w:id="1274089810">
          <w:marLeft w:val="0"/>
          <w:marRight w:val="0"/>
          <w:marTop w:val="0"/>
          <w:marBottom w:val="0"/>
          <w:divBdr>
            <w:top w:val="none" w:sz="0" w:space="0" w:color="auto"/>
            <w:left w:val="none" w:sz="0" w:space="0" w:color="auto"/>
            <w:bottom w:val="none" w:sz="0" w:space="0" w:color="auto"/>
            <w:right w:val="none" w:sz="0" w:space="0" w:color="auto"/>
          </w:divBdr>
        </w:div>
      </w:divsChild>
    </w:div>
    <w:div w:id="2078162734">
      <w:marLeft w:val="0"/>
      <w:marRight w:val="0"/>
      <w:marTop w:val="0"/>
      <w:marBottom w:val="0"/>
      <w:divBdr>
        <w:top w:val="none" w:sz="0" w:space="0" w:color="auto"/>
        <w:left w:val="none" w:sz="0" w:space="0" w:color="auto"/>
        <w:bottom w:val="none" w:sz="0" w:space="0" w:color="auto"/>
        <w:right w:val="none" w:sz="0" w:space="0" w:color="auto"/>
      </w:divBdr>
      <w:divsChild>
        <w:div w:id="276448170">
          <w:marLeft w:val="0"/>
          <w:marRight w:val="0"/>
          <w:marTop w:val="0"/>
          <w:marBottom w:val="0"/>
          <w:divBdr>
            <w:top w:val="none" w:sz="0" w:space="0" w:color="auto"/>
            <w:left w:val="none" w:sz="0" w:space="0" w:color="auto"/>
            <w:bottom w:val="none" w:sz="0" w:space="0" w:color="auto"/>
            <w:right w:val="none" w:sz="0" w:space="0" w:color="auto"/>
          </w:divBdr>
        </w:div>
      </w:divsChild>
    </w:div>
    <w:div w:id="2079328915">
      <w:marLeft w:val="0"/>
      <w:marRight w:val="0"/>
      <w:marTop w:val="100"/>
      <w:marBottom w:val="0"/>
      <w:divBdr>
        <w:top w:val="none" w:sz="0" w:space="0" w:color="auto"/>
        <w:left w:val="none" w:sz="0" w:space="0" w:color="auto"/>
        <w:bottom w:val="none" w:sz="0" w:space="0" w:color="auto"/>
        <w:right w:val="none" w:sz="0" w:space="0" w:color="auto"/>
      </w:divBdr>
    </w:div>
    <w:div w:id="2079478606">
      <w:marLeft w:val="0"/>
      <w:marRight w:val="0"/>
      <w:marTop w:val="200"/>
      <w:marBottom w:val="0"/>
      <w:divBdr>
        <w:top w:val="none" w:sz="0" w:space="0" w:color="auto"/>
        <w:left w:val="none" w:sz="0" w:space="0" w:color="auto"/>
        <w:bottom w:val="none" w:sz="0" w:space="0" w:color="auto"/>
        <w:right w:val="none" w:sz="0" w:space="0" w:color="auto"/>
      </w:divBdr>
    </w:div>
    <w:div w:id="2080007935">
      <w:marLeft w:val="0"/>
      <w:marRight w:val="0"/>
      <w:marTop w:val="100"/>
      <w:marBottom w:val="0"/>
      <w:divBdr>
        <w:top w:val="none" w:sz="0" w:space="0" w:color="auto"/>
        <w:left w:val="none" w:sz="0" w:space="0" w:color="auto"/>
        <w:bottom w:val="none" w:sz="0" w:space="0" w:color="auto"/>
        <w:right w:val="none" w:sz="0" w:space="0" w:color="auto"/>
      </w:divBdr>
    </w:div>
    <w:div w:id="2080250390">
      <w:marLeft w:val="0"/>
      <w:marRight w:val="0"/>
      <w:marTop w:val="0"/>
      <w:marBottom w:val="0"/>
      <w:divBdr>
        <w:top w:val="none" w:sz="0" w:space="0" w:color="auto"/>
        <w:left w:val="none" w:sz="0" w:space="0" w:color="auto"/>
        <w:bottom w:val="none" w:sz="0" w:space="0" w:color="auto"/>
        <w:right w:val="none" w:sz="0" w:space="0" w:color="auto"/>
      </w:divBdr>
      <w:divsChild>
        <w:div w:id="1248810002">
          <w:marLeft w:val="0"/>
          <w:marRight w:val="0"/>
          <w:marTop w:val="0"/>
          <w:marBottom w:val="0"/>
          <w:divBdr>
            <w:top w:val="none" w:sz="0" w:space="0" w:color="auto"/>
            <w:left w:val="none" w:sz="0" w:space="0" w:color="auto"/>
            <w:bottom w:val="none" w:sz="0" w:space="0" w:color="auto"/>
            <w:right w:val="none" w:sz="0" w:space="0" w:color="auto"/>
          </w:divBdr>
        </w:div>
        <w:div w:id="1316958417">
          <w:marLeft w:val="0"/>
          <w:marRight w:val="0"/>
          <w:marTop w:val="0"/>
          <w:marBottom w:val="0"/>
          <w:divBdr>
            <w:top w:val="none" w:sz="0" w:space="0" w:color="auto"/>
            <w:left w:val="none" w:sz="0" w:space="0" w:color="auto"/>
            <w:bottom w:val="none" w:sz="0" w:space="0" w:color="auto"/>
            <w:right w:val="none" w:sz="0" w:space="0" w:color="auto"/>
          </w:divBdr>
        </w:div>
        <w:div w:id="1301350781">
          <w:marLeft w:val="0"/>
          <w:marRight w:val="0"/>
          <w:marTop w:val="0"/>
          <w:marBottom w:val="0"/>
          <w:divBdr>
            <w:top w:val="none" w:sz="0" w:space="0" w:color="auto"/>
            <w:left w:val="none" w:sz="0" w:space="0" w:color="auto"/>
            <w:bottom w:val="none" w:sz="0" w:space="0" w:color="auto"/>
            <w:right w:val="none" w:sz="0" w:space="0" w:color="auto"/>
          </w:divBdr>
        </w:div>
        <w:div w:id="2138794515">
          <w:marLeft w:val="0"/>
          <w:marRight w:val="0"/>
          <w:marTop w:val="0"/>
          <w:marBottom w:val="0"/>
          <w:divBdr>
            <w:top w:val="none" w:sz="0" w:space="0" w:color="auto"/>
            <w:left w:val="none" w:sz="0" w:space="0" w:color="auto"/>
            <w:bottom w:val="none" w:sz="0" w:space="0" w:color="auto"/>
            <w:right w:val="none" w:sz="0" w:space="0" w:color="auto"/>
          </w:divBdr>
        </w:div>
      </w:divsChild>
    </w:div>
    <w:div w:id="2081562013">
      <w:marLeft w:val="0"/>
      <w:marRight w:val="0"/>
      <w:marTop w:val="0"/>
      <w:marBottom w:val="0"/>
      <w:divBdr>
        <w:top w:val="none" w:sz="0" w:space="0" w:color="auto"/>
        <w:left w:val="none" w:sz="0" w:space="0" w:color="auto"/>
        <w:bottom w:val="none" w:sz="0" w:space="0" w:color="auto"/>
        <w:right w:val="none" w:sz="0" w:space="0" w:color="auto"/>
      </w:divBdr>
      <w:divsChild>
        <w:div w:id="460071986">
          <w:marLeft w:val="0"/>
          <w:marRight w:val="0"/>
          <w:marTop w:val="0"/>
          <w:marBottom w:val="0"/>
          <w:divBdr>
            <w:top w:val="none" w:sz="0" w:space="0" w:color="auto"/>
            <w:left w:val="none" w:sz="0" w:space="0" w:color="auto"/>
            <w:bottom w:val="none" w:sz="0" w:space="0" w:color="auto"/>
            <w:right w:val="none" w:sz="0" w:space="0" w:color="auto"/>
          </w:divBdr>
        </w:div>
        <w:div w:id="828981192">
          <w:marLeft w:val="0"/>
          <w:marRight w:val="0"/>
          <w:marTop w:val="0"/>
          <w:marBottom w:val="0"/>
          <w:divBdr>
            <w:top w:val="none" w:sz="0" w:space="0" w:color="auto"/>
            <w:left w:val="none" w:sz="0" w:space="0" w:color="auto"/>
            <w:bottom w:val="none" w:sz="0" w:space="0" w:color="auto"/>
            <w:right w:val="none" w:sz="0" w:space="0" w:color="auto"/>
          </w:divBdr>
        </w:div>
        <w:div w:id="22832172">
          <w:marLeft w:val="0"/>
          <w:marRight w:val="0"/>
          <w:marTop w:val="0"/>
          <w:marBottom w:val="0"/>
          <w:divBdr>
            <w:top w:val="none" w:sz="0" w:space="0" w:color="auto"/>
            <w:left w:val="none" w:sz="0" w:space="0" w:color="auto"/>
            <w:bottom w:val="none" w:sz="0" w:space="0" w:color="auto"/>
            <w:right w:val="none" w:sz="0" w:space="0" w:color="auto"/>
          </w:divBdr>
        </w:div>
        <w:div w:id="528226642">
          <w:marLeft w:val="0"/>
          <w:marRight w:val="0"/>
          <w:marTop w:val="0"/>
          <w:marBottom w:val="0"/>
          <w:divBdr>
            <w:top w:val="none" w:sz="0" w:space="0" w:color="auto"/>
            <w:left w:val="none" w:sz="0" w:space="0" w:color="auto"/>
            <w:bottom w:val="none" w:sz="0" w:space="0" w:color="auto"/>
            <w:right w:val="none" w:sz="0" w:space="0" w:color="auto"/>
          </w:divBdr>
        </w:div>
      </w:divsChild>
    </w:div>
    <w:div w:id="2082288258">
      <w:marLeft w:val="0"/>
      <w:marRight w:val="0"/>
      <w:marTop w:val="0"/>
      <w:marBottom w:val="0"/>
      <w:divBdr>
        <w:top w:val="none" w:sz="0" w:space="0" w:color="auto"/>
        <w:left w:val="none" w:sz="0" w:space="0" w:color="auto"/>
        <w:bottom w:val="none" w:sz="0" w:space="0" w:color="auto"/>
        <w:right w:val="none" w:sz="0" w:space="0" w:color="auto"/>
      </w:divBdr>
      <w:divsChild>
        <w:div w:id="311107316">
          <w:marLeft w:val="0"/>
          <w:marRight w:val="0"/>
          <w:marTop w:val="0"/>
          <w:marBottom w:val="0"/>
          <w:divBdr>
            <w:top w:val="none" w:sz="0" w:space="0" w:color="auto"/>
            <w:left w:val="none" w:sz="0" w:space="0" w:color="auto"/>
            <w:bottom w:val="none" w:sz="0" w:space="0" w:color="auto"/>
            <w:right w:val="none" w:sz="0" w:space="0" w:color="auto"/>
          </w:divBdr>
        </w:div>
      </w:divsChild>
    </w:div>
    <w:div w:id="2083212770">
      <w:marLeft w:val="0"/>
      <w:marRight w:val="0"/>
      <w:marTop w:val="0"/>
      <w:marBottom w:val="0"/>
      <w:divBdr>
        <w:top w:val="none" w:sz="0" w:space="0" w:color="auto"/>
        <w:left w:val="none" w:sz="0" w:space="0" w:color="auto"/>
        <w:bottom w:val="none" w:sz="0" w:space="0" w:color="auto"/>
        <w:right w:val="none" w:sz="0" w:space="0" w:color="auto"/>
      </w:divBdr>
    </w:div>
    <w:div w:id="2088456491">
      <w:marLeft w:val="0"/>
      <w:marRight w:val="0"/>
      <w:marTop w:val="200"/>
      <w:marBottom w:val="0"/>
      <w:divBdr>
        <w:top w:val="none" w:sz="0" w:space="0" w:color="auto"/>
        <w:left w:val="none" w:sz="0" w:space="0" w:color="auto"/>
        <w:bottom w:val="none" w:sz="0" w:space="0" w:color="auto"/>
        <w:right w:val="none" w:sz="0" w:space="0" w:color="auto"/>
      </w:divBdr>
    </w:div>
    <w:div w:id="2092309438">
      <w:marLeft w:val="0"/>
      <w:marRight w:val="0"/>
      <w:marTop w:val="200"/>
      <w:marBottom w:val="0"/>
      <w:divBdr>
        <w:top w:val="none" w:sz="0" w:space="0" w:color="auto"/>
        <w:left w:val="none" w:sz="0" w:space="0" w:color="auto"/>
        <w:bottom w:val="none" w:sz="0" w:space="0" w:color="auto"/>
        <w:right w:val="none" w:sz="0" w:space="0" w:color="auto"/>
      </w:divBdr>
    </w:div>
    <w:div w:id="2095934177">
      <w:marLeft w:val="0"/>
      <w:marRight w:val="0"/>
      <w:marTop w:val="200"/>
      <w:marBottom w:val="0"/>
      <w:divBdr>
        <w:top w:val="none" w:sz="0" w:space="0" w:color="auto"/>
        <w:left w:val="none" w:sz="0" w:space="0" w:color="auto"/>
        <w:bottom w:val="none" w:sz="0" w:space="0" w:color="auto"/>
        <w:right w:val="none" w:sz="0" w:space="0" w:color="auto"/>
      </w:divBdr>
    </w:div>
    <w:div w:id="2096515083">
      <w:marLeft w:val="0"/>
      <w:marRight w:val="0"/>
      <w:marTop w:val="0"/>
      <w:marBottom w:val="0"/>
      <w:divBdr>
        <w:top w:val="none" w:sz="0" w:space="0" w:color="auto"/>
        <w:left w:val="none" w:sz="0" w:space="0" w:color="auto"/>
        <w:bottom w:val="none" w:sz="0" w:space="0" w:color="auto"/>
        <w:right w:val="none" w:sz="0" w:space="0" w:color="auto"/>
      </w:divBdr>
    </w:div>
    <w:div w:id="2097628718">
      <w:marLeft w:val="0"/>
      <w:marRight w:val="0"/>
      <w:marTop w:val="0"/>
      <w:marBottom w:val="0"/>
      <w:divBdr>
        <w:top w:val="none" w:sz="0" w:space="0" w:color="auto"/>
        <w:left w:val="none" w:sz="0" w:space="0" w:color="auto"/>
        <w:bottom w:val="none" w:sz="0" w:space="0" w:color="auto"/>
        <w:right w:val="none" w:sz="0" w:space="0" w:color="auto"/>
      </w:divBdr>
      <w:divsChild>
        <w:div w:id="1388529572">
          <w:marLeft w:val="0"/>
          <w:marRight w:val="0"/>
          <w:marTop w:val="0"/>
          <w:marBottom w:val="0"/>
          <w:divBdr>
            <w:top w:val="none" w:sz="0" w:space="0" w:color="auto"/>
            <w:left w:val="none" w:sz="0" w:space="0" w:color="auto"/>
            <w:bottom w:val="none" w:sz="0" w:space="0" w:color="auto"/>
            <w:right w:val="none" w:sz="0" w:space="0" w:color="auto"/>
          </w:divBdr>
        </w:div>
      </w:divsChild>
    </w:div>
    <w:div w:id="2101752108">
      <w:marLeft w:val="0"/>
      <w:marRight w:val="0"/>
      <w:marTop w:val="200"/>
      <w:marBottom w:val="0"/>
      <w:divBdr>
        <w:top w:val="none" w:sz="0" w:space="0" w:color="auto"/>
        <w:left w:val="none" w:sz="0" w:space="0" w:color="auto"/>
        <w:bottom w:val="none" w:sz="0" w:space="0" w:color="auto"/>
        <w:right w:val="none" w:sz="0" w:space="0" w:color="auto"/>
      </w:divBdr>
    </w:div>
    <w:div w:id="2102793941">
      <w:marLeft w:val="0"/>
      <w:marRight w:val="0"/>
      <w:marTop w:val="0"/>
      <w:marBottom w:val="0"/>
      <w:divBdr>
        <w:top w:val="none" w:sz="0" w:space="0" w:color="auto"/>
        <w:left w:val="none" w:sz="0" w:space="0" w:color="auto"/>
        <w:bottom w:val="none" w:sz="0" w:space="0" w:color="auto"/>
        <w:right w:val="none" w:sz="0" w:space="0" w:color="auto"/>
      </w:divBdr>
    </w:div>
    <w:div w:id="2104299661">
      <w:marLeft w:val="0"/>
      <w:marRight w:val="0"/>
      <w:marTop w:val="200"/>
      <w:marBottom w:val="0"/>
      <w:divBdr>
        <w:top w:val="none" w:sz="0" w:space="0" w:color="auto"/>
        <w:left w:val="none" w:sz="0" w:space="0" w:color="auto"/>
        <w:bottom w:val="none" w:sz="0" w:space="0" w:color="auto"/>
        <w:right w:val="none" w:sz="0" w:space="0" w:color="auto"/>
      </w:divBdr>
    </w:div>
    <w:div w:id="2104832579">
      <w:marLeft w:val="0"/>
      <w:marRight w:val="0"/>
      <w:marTop w:val="0"/>
      <w:marBottom w:val="200"/>
      <w:divBdr>
        <w:top w:val="none" w:sz="0" w:space="0" w:color="auto"/>
        <w:left w:val="none" w:sz="0" w:space="0" w:color="auto"/>
        <w:bottom w:val="none" w:sz="0" w:space="0" w:color="auto"/>
        <w:right w:val="none" w:sz="0" w:space="0" w:color="auto"/>
      </w:divBdr>
    </w:div>
    <w:div w:id="2105805350">
      <w:marLeft w:val="0"/>
      <w:marRight w:val="0"/>
      <w:marTop w:val="0"/>
      <w:marBottom w:val="0"/>
      <w:divBdr>
        <w:top w:val="none" w:sz="0" w:space="0" w:color="auto"/>
        <w:left w:val="none" w:sz="0" w:space="0" w:color="auto"/>
        <w:bottom w:val="none" w:sz="0" w:space="0" w:color="auto"/>
        <w:right w:val="none" w:sz="0" w:space="0" w:color="auto"/>
      </w:divBdr>
      <w:divsChild>
        <w:div w:id="872498801">
          <w:marLeft w:val="0"/>
          <w:marRight w:val="0"/>
          <w:marTop w:val="0"/>
          <w:marBottom w:val="0"/>
          <w:divBdr>
            <w:top w:val="none" w:sz="0" w:space="0" w:color="auto"/>
            <w:left w:val="none" w:sz="0" w:space="0" w:color="auto"/>
            <w:bottom w:val="none" w:sz="0" w:space="0" w:color="auto"/>
            <w:right w:val="none" w:sz="0" w:space="0" w:color="auto"/>
          </w:divBdr>
        </w:div>
        <w:div w:id="1779177376">
          <w:marLeft w:val="0"/>
          <w:marRight w:val="0"/>
          <w:marTop w:val="0"/>
          <w:marBottom w:val="0"/>
          <w:divBdr>
            <w:top w:val="none" w:sz="0" w:space="0" w:color="auto"/>
            <w:left w:val="none" w:sz="0" w:space="0" w:color="auto"/>
            <w:bottom w:val="none" w:sz="0" w:space="0" w:color="auto"/>
            <w:right w:val="none" w:sz="0" w:space="0" w:color="auto"/>
          </w:divBdr>
        </w:div>
        <w:div w:id="1585798076">
          <w:marLeft w:val="0"/>
          <w:marRight w:val="0"/>
          <w:marTop w:val="0"/>
          <w:marBottom w:val="0"/>
          <w:divBdr>
            <w:top w:val="none" w:sz="0" w:space="0" w:color="auto"/>
            <w:left w:val="none" w:sz="0" w:space="0" w:color="auto"/>
            <w:bottom w:val="none" w:sz="0" w:space="0" w:color="auto"/>
            <w:right w:val="none" w:sz="0" w:space="0" w:color="auto"/>
          </w:divBdr>
        </w:div>
        <w:div w:id="1281719912">
          <w:marLeft w:val="0"/>
          <w:marRight w:val="0"/>
          <w:marTop w:val="0"/>
          <w:marBottom w:val="0"/>
          <w:divBdr>
            <w:top w:val="none" w:sz="0" w:space="0" w:color="auto"/>
            <w:left w:val="none" w:sz="0" w:space="0" w:color="auto"/>
            <w:bottom w:val="none" w:sz="0" w:space="0" w:color="auto"/>
            <w:right w:val="none" w:sz="0" w:space="0" w:color="auto"/>
          </w:divBdr>
        </w:div>
      </w:divsChild>
    </w:div>
    <w:div w:id="2108193132">
      <w:marLeft w:val="0"/>
      <w:marRight w:val="0"/>
      <w:marTop w:val="0"/>
      <w:marBottom w:val="0"/>
      <w:divBdr>
        <w:top w:val="none" w:sz="0" w:space="0" w:color="auto"/>
        <w:left w:val="none" w:sz="0" w:space="0" w:color="auto"/>
        <w:bottom w:val="none" w:sz="0" w:space="0" w:color="auto"/>
        <w:right w:val="none" w:sz="0" w:space="0" w:color="auto"/>
      </w:divBdr>
      <w:divsChild>
        <w:div w:id="117333452">
          <w:marLeft w:val="0"/>
          <w:marRight w:val="0"/>
          <w:marTop w:val="0"/>
          <w:marBottom w:val="0"/>
          <w:divBdr>
            <w:top w:val="none" w:sz="0" w:space="0" w:color="auto"/>
            <w:left w:val="none" w:sz="0" w:space="0" w:color="auto"/>
            <w:bottom w:val="none" w:sz="0" w:space="0" w:color="auto"/>
            <w:right w:val="none" w:sz="0" w:space="0" w:color="auto"/>
          </w:divBdr>
        </w:div>
      </w:divsChild>
    </w:div>
    <w:div w:id="2109307640">
      <w:marLeft w:val="0"/>
      <w:marRight w:val="0"/>
      <w:marTop w:val="200"/>
      <w:marBottom w:val="0"/>
      <w:divBdr>
        <w:top w:val="none" w:sz="0" w:space="0" w:color="auto"/>
        <w:left w:val="none" w:sz="0" w:space="0" w:color="auto"/>
        <w:bottom w:val="none" w:sz="0" w:space="0" w:color="auto"/>
        <w:right w:val="none" w:sz="0" w:space="0" w:color="auto"/>
      </w:divBdr>
    </w:div>
    <w:div w:id="2111390600">
      <w:marLeft w:val="0"/>
      <w:marRight w:val="0"/>
      <w:marTop w:val="0"/>
      <w:marBottom w:val="200"/>
      <w:divBdr>
        <w:top w:val="none" w:sz="0" w:space="0" w:color="auto"/>
        <w:left w:val="none" w:sz="0" w:space="0" w:color="auto"/>
        <w:bottom w:val="none" w:sz="0" w:space="0" w:color="auto"/>
        <w:right w:val="none" w:sz="0" w:space="0" w:color="auto"/>
      </w:divBdr>
    </w:div>
    <w:div w:id="2111851380">
      <w:marLeft w:val="0"/>
      <w:marRight w:val="0"/>
      <w:marTop w:val="195"/>
      <w:marBottom w:val="0"/>
      <w:divBdr>
        <w:top w:val="none" w:sz="0" w:space="0" w:color="auto"/>
        <w:left w:val="none" w:sz="0" w:space="0" w:color="auto"/>
        <w:bottom w:val="none" w:sz="0" w:space="0" w:color="auto"/>
        <w:right w:val="none" w:sz="0" w:space="0" w:color="auto"/>
      </w:divBdr>
    </w:div>
    <w:div w:id="2112970079">
      <w:marLeft w:val="0"/>
      <w:marRight w:val="0"/>
      <w:marTop w:val="100"/>
      <w:marBottom w:val="0"/>
      <w:divBdr>
        <w:top w:val="none" w:sz="0" w:space="0" w:color="auto"/>
        <w:left w:val="none" w:sz="0" w:space="0" w:color="auto"/>
        <w:bottom w:val="none" w:sz="0" w:space="0" w:color="auto"/>
        <w:right w:val="none" w:sz="0" w:space="0" w:color="auto"/>
      </w:divBdr>
    </w:div>
    <w:div w:id="2113698265">
      <w:marLeft w:val="0"/>
      <w:marRight w:val="0"/>
      <w:marTop w:val="200"/>
      <w:marBottom w:val="0"/>
      <w:divBdr>
        <w:top w:val="none" w:sz="0" w:space="0" w:color="auto"/>
        <w:left w:val="none" w:sz="0" w:space="0" w:color="auto"/>
        <w:bottom w:val="none" w:sz="0" w:space="0" w:color="auto"/>
        <w:right w:val="none" w:sz="0" w:space="0" w:color="auto"/>
      </w:divBdr>
    </w:div>
    <w:div w:id="2114283795">
      <w:marLeft w:val="0"/>
      <w:marRight w:val="0"/>
      <w:marTop w:val="200"/>
      <w:marBottom w:val="0"/>
      <w:divBdr>
        <w:top w:val="none" w:sz="0" w:space="0" w:color="auto"/>
        <w:left w:val="none" w:sz="0" w:space="0" w:color="auto"/>
        <w:bottom w:val="none" w:sz="0" w:space="0" w:color="auto"/>
        <w:right w:val="none" w:sz="0" w:space="0" w:color="auto"/>
      </w:divBdr>
    </w:div>
    <w:div w:id="2118912023">
      <w:marLeft w:val="0"/>
      <w:marRight w:val="0"/>
      <w:marTop w:val="0"/>
      <w:marBottom w:val="0"/>
      <w:divBdr>
        <w:top w:val="none" w:sz="0" w:space="0" w:color="auto"/>
        <w:left w:val="none" w:sz="0" w:space="0" w:color="auto"/>
        <w:bottom w:val="none" w:sz="0" w:space="0" w:color="auto"/>
        <w:right w:val="none" w:sz="0" w:space="0" w:color="auto"/>
      </w:divBdr>
      <w:divsChild>
        <w:div w:id="176845235">
          <w:marLeft w:val="0"/>
          <w:marRight w:val="0"/>
          <w:marTop w:val="0"/>
          <w:marBottom w:val="0"/>
          <w:divBdr>
            <w:top w:val="none" w:sz="0" w:space="0" w:color="auto"/>
            <w:left w:val="none" w:sz="0" w:space="0" w:color="auto"/>
            <w:bottom w:val="none" w:sz="0" w:space="0" w:color="auto"/>
            <w:right w:val="none" w:sz="0" w:space="0" w:color="auto"/>
          </w:divBdr>
        </w:div>
      </w:divsChild>
    </w:div>
    <w:div w:id="2119641925">
      <w:marLeft w:val="0"/>
      <w:marRight w:val="0"/>
      <w:marTop w:val="0"/>
      <w:marBottom w:val="0"/>
      <w:divBdr>
        <w:top w:val="none" w:sz="0" w:space="0" w:color="auto"/>
        <w:left w:val="none" w:sz="0" w:space="0" w:color="auto"/>
        <w:bottom w:val="none" w:sz="0" w:space="0" w:color="auto"/>
        <w:right w:val="none" w:sz="0" w:space="0" w:color="auto"/>
      </w:divBdr>
      <w:divsChild>
        <w:div w:id="677661764">
          <w:marLeft w:val="0"/>
          <w:marRight w:val="0"/>
          <w:marTop w:val="0"/>
          <w:marBottom w:val="0"/>
          <w:divBdr>
            <w:top w:val="none" w:sz="0" w:space="0" w:color="auto"/>
            <w:left w:val="none" w:sz="0" w:space="0" w:color="auto"/>
            <w:bottom w:val="none" w:sz="0" w:space="0" w:color="auto"/>
            <w:right w:val="none" w:sz="0" w:space="0" w:color="auto"/>
          </w:divBdr>
        </w:div>
      </w:divsChild>
    </w:div>
    <w:div w:id="2122218618">
      <w:marLeft w:val="0"/>
      <w:marRight w:val="0"/>
      <w:marTop w:val="0"/>
      <w:marBottom w:val="0"/>
      <w:divBdr>
        <w:top w:val="none" w:sz="0" w:space="0" w:color="auto"/>
        <w:left w:val="none" w:sz="0" w:space="0" w:color="auto"/>
        <w:bottom w:val="none" w:sz="0" w:space="0" w:color="auto"/>
        <w:right w:val="none" w:sz="0" w:space="0" w:color="auto"/>
      </w:divBdr>
      <w:divsChild>
        <w:div w:id="391779536">
          <w:marLeft w:val="0"/>
          <w:marRight w:val="0"/>
          <w:marTop w:val="0"/>
          <w:marBottom w:val="0"/>
          <w:divBdr>
            <w:top w:val="none" w:sz="0" w:space="0" w:color="auto"/>
            <w:left w:val="none" w:sz="0" w:space="0" w:color="auto"/>
            <w:bottom w:val="none" w:sz="0" w:space="0" w:color="auto"/>
            <w:right w:val="none" w:sz="0" w:space="0" w:color="auto"/>
          </w:divBdr>
        </w:div>
      </w:divsChild>
    </w:div>
    <w:div w:id="2122677670">
      <w:marLeft w:val="0"/>
      <w:marRight w:val="0"/>
      <w:marTop w:val="0"/>
      <w:marBottom w:val="0"/>
      <w:divBdr>
        <w:top w:val="none" w:sz="0" w:space="0" w:color="auto"/>
        <w:left w:val="none" w:sz="0" w:space="0" w:color="auto"/>
        <w:bottom w:val="none" w:sz="0" w:space="0" w:color="auto"/>
        <w:right w:val="none" w:sz="0" w:space="0" w:color="auto"/>
      </w:divBdr>
    </w:div>
    <w:div w:id="2126148984">
      <w:marLeft w:val="0"/>
      <w:marRight w:val="0"/>
      <w:marTop w:val="200"/>
      <w:marBottom w:val="0"/>
      <w:divBdr>
        <w:top w:val="none" w:sz="0" w:space="0" w:color="auto"/>
        <w:left w:val="none" w:sz="0" w:space="0" w:color="auto"/>
        <w:bottom w:val="none" w:sz="0" w:space="0" w:color="auto"/>
        <w:right w:val="none" w:sz="0" w:space="0" w:color="auto"/>
      </w:divBdr>
    </w:div>
    <w:div w:id="2127195128">
      <w:marLeft w:val="0"/>
      <w:marRight w:val="0"/>
      <w:marTop w:val="100"/>
      <w:marBottom w:val="0"/>
      <w:divBdr>
        <w:top w:val="none" w:sz="0" w:space="0" w:color="auto"/>
        <w:left w:val="none" w:sz="0" w:space="0" w:color="auto"/>
        <w:bottom w:val="none" w:sz="0" w:space="0" w:color="auto"/>
        <w:right w:val="none" w:sz="0" w:space="0" w:color="auto"/>
      </w:divBdr>
    </w:div>
    <w:div w:id="2127578232">
      <w:marLeft w:val="0"/>
      <w:marRight w:val="0"/>
      <w:marTop w:val="0"/>
      <w:marBottom w:val="0"/>
      <w:divBdr>
        <w:top w:val="none" w:sz="0" w:space="0" w:color="auto"/>
        <w:left w:val="none" w:sz="0" w:space="0" w:color="auto"/>
        <w:bottom w:val="none" w:sz="0" w:space="0" w:color="auto"/>
        <w:right w:val="none" w:sz="0" w:space="0" w:color="auto"/>
      </w:divBdr>
      <w:divsChild>
        <w:div w:id="1167138748">
          <w:marLeft w:val="0"/>
          <w:marRight w:val="0"/>
          <w:marTop w:val="0"/>
          <w:marBottom w:val="0"/>
          <w:divBdr>
            <w:top w:val="none" w:sz="0" w:space="0" w:color="auto"/>
            <w:left w:val="none" w:sz="0" w:space="0" w:color="auto"/>
            <w:bottom w:val="none" w:sz="0" w:space="0" w:color="auto"/>
            <w:right w:val="none" w:sz="0" w:space="0" w:color="auto"/>
          </w:divBdr>
        </w:div>
      </w:divsChild>
    </w:div>
    <w:div w:id="2129738377">
      <w:marLeft w:val="0"/>
      <w:marRight w:val="0"/>
      <w:marTop w:val="0"/>
      <w:marBottom w:val="0"/>
      <w:divBdr>
        <w:top w:val="none" w:sz="0" w:space="0" w:color="auto"/>
        <w:left w:val="none" w:sz="0" w:space="0" w:color="auto"/>
        <w:bottom w:val="none" w:sz="0" w:space="0" w:color="auto"/>
        <w:right w:val="none" w:sz="0" w:space="0" w:color="auto"/>
      </w:divBdr>
      <w:divsChild>
        <w:div w:id="216549738">
          <w:marLeft w:val="0"/>
          <w:marRight w:val="0"/>
          <w:marTop w:val="0"/>
          <w:marBottom w:val="0"/>
          <w:divBdr>
            <w:top w:val="none" w:sz="0" w:space="0" w:color="auto"/>
            <w:left w:val="none" w:sz="0" w:space="0" w:color="auto"/>
            <w:bottom w:val="none" w:sz="0" w:space="0" w:color="auto"/>
            <w:right w:val="none" w:sz="0" w:space="0" w:color="auto"/>
          </w:divBdr>
        </w:div>
      </w:divsChild>
    </w:div>
    <w:div w:id="2131320620">
      <w:marLeft w:val="0"/>
      <w:marRight w:val="0"/>
      <w:marTop w:val="0"/>
      <w:marBottom w:val="0"/>
      <w:divBdr>
        <w:top w:val="none" w:sz="0" w:space="0" w:color="auto"/>
        <w:left w:val="none" w:sz="0" w:space="0" w:color="auto"/>
        <w:bottom w:val="none" w:sz="0" w:space="0" w:color="auto"/>
        <w:right w:val="none" w:sz="0" w:space="0" w:color="auto"/>
      </w:divBdr>
    </w:div>
    <w:div w:id="2131508381">
      <w:marLeft w:val="0"/>
      <w:marRight w:val="0"/>
      <w:marTop w:val="200"/>
      <w:marBottom w:val="0"/>
      <w:divBdr>
        <w:top w:val="none" w:sz="0" w:space="0" w:color="auto"/>
        <w:left w:val="none" w:sz="0" w:space="0" w:color="auto"/>
        <w:bottom w:val="none" w:sz="0" w:space="0" w:color="auto"/>
        <w:right w:val="none" w:sz="0" w:space="0" w:color="auto"/>
      </w:divBdr>
    </w:div>
    <w:div w:id="2131825787">
      <w:marLeft w:val="0"/>
      <w:marRight w:val="0"/>
      <w:marTop w:val="0"/>
      <w:marBottom w:val="160"/>
      <w:divBdr>
        <w:top w:val="none" w:sz="0" w:space="0" w:color="auto"/>
        <w:left w:val="none" w:sz="0" w:space="0" w:color="auto"/>
        <w:bottom w:val="none" w:sz="0" w:space="0" w:color="auto"/>
        <w:right w:val="none" w:sz="0" w:space="0" w:color="auto"/>
      </w:divBdr>
    </w:div>
    <w:div w:id="2132281810">
      <w:marLeft w:val="0"/>
      <w:marRight w:val="0"/>
      <w:marTop w:val="100"/>
      <w:marBottom w:val="0"/>
      <w:divBdr>
        <w:top w:val="none" w:sz="0" w:space="0" w:color="auto"/>
        <w:left w:val="none" w:sz="0" w:space="0" w:color="auto"/>
        <w:bottom w:val="none" w:sz="0" w:space="0" w:color="auto"/>
        <w:right w:val="none" w:sz="0" w:space="0" w:color="auto"/>
      </w:divBdr>
    </w:div>
    <w:div w:id="2133478658">
      <w:marLeft w:val="0"/>
      <w:marRight w:val="0"/>
      <w:marTop w:val="0"/>
      <w:marBottom w:val="0"/>
      <w:divBdr>
        <w:top w:val="none" w:sz="0" w:space="0" w:color="auto"/>
        <w:left w:val="none" w:sz="0" w:space="0" w:color="auto"/>
        <w:bottom w:val="none" w:sz="0" w:space="0" w:color="auto"/>
        <w:right w:val="none" w:sz="0" w:space="0" w:color="auto"/>
      </w:divBdr>
    </w:div>
    <w:div w:id="2135635954">
      <w:marLeft w:val="0"/>
      <w:marRight w:val="0"/>
      <w:marTop w:val="0"/>
      <w:marBottom w:val="0"/>
      <w:divBdr>
        <w:top w:val="none" w:sz="0" w:space="0" w:color="auto"/>
        <w:left w:val="none" w:sz="0" w:space="0" w:color="auto"/>
        <w:bottom w:val="none" w:sz="0" w:space="0" w:color="auto"/>
        <w:right w:val="none" w:sz="0" w:space="0" w:color="auto"/>
      </w:divBdr>
    </w:div>
    <w:div w:id="2139493940">
      <w:marLeft w:val="0"/>
      <w:marRight w:val="0"/>
      <w:marTop w:val="0"/>
      <w:marBottom w:val="0"/>
      <w:divBdr>
        <w:top w:val="none" w:sz="0" w:space="0" w:color="auto"/>
        <w:left w:val="none" w:sz="0" w:space="0" w:color="auto"/>
        <w:bottom w:val="none" w:sz="0" w:space="0" w:color="auto"/>
        <w:right w:val="none" w:sz="0" w:space="0" w:color="auto"/>
      </w:divBdr>
      <w:divsChild>
        <w:div w:id="1598319997">
          <w:marLeft w:val="0"/>
          <w:marRight w:val="0"/>
          <w:marTop w:val="0"/>
          <w:marBottom w:val="0"/>
          <w:divBdr>
            <w:top w:val="none" w:sz="0" w:space="0" w:color="auto"/>
            <w:left w:val="none" w:sz="0" w:space="0" w:color="auto"/>
            <w:bottom w:val="none" w:sz="0" w:space="0" w:color="auto"/>
            <w:right w:val="none" w:sz="0" w:space="0" w:color="auto"/>
          </w:divBdr>
        </w:div>
      </w:divsChild>
    </w:div>
    <w:div w:id="2143114249">
      <w:marLeft w:val="0"/>
      <w:marRight w:val="0"/>
      <w:marTop w:val="100"/>
      <w:marBottom w:val="0"/>
      <w:divBdr>
        <w:top w:val="none" w:sz="0" w:space="0" w:color="auto"/>
        <w:left w:val="none" w:sz="0" w:space="0" w:color="auto"/>
        <w:bottom w:val="none" w:sz="0" w:space="0" w:color="auto"/>
        <w:right w:val="none" w:sz="0" w:space="0" w:color="auto"/>
      </w:divBdr>
    </w:div>
    <w:div w:id="2144150090">
      <w:marLeft w:val="0"/>
      <w:marRight w:val="0"/>
      <w:marTop w:val="0"/>
      <w:marBottom w:val="0"/>
      <w:divBdr>
        <w:top w:val="none" w:sz="0" w:space="0" w:color="auto"/>
        <w:left w:val="none" w:sz="0" w:space="0" w:color="auto"/>
        <w:bottom w:val="none" w:sz="0" w:space="0" w:color="auto"/>
        <w:right w:val="none" w:sz="0" w:space="0" w:color="auto"/>
      </w:divBdr>
      <w:divsChild>
        <w:div w:id="275600590">
          <w:marLeft w:val="0"/>
          <w:marRight w:val="0"/>
          <w:marTop w:val="0"/>
          <w:marBottom w:val="0"/>
          <w:divBdr>
            <w:top w:val="none" w:sz="0" w:space="0" w:color="auto"/>
            <w:left w:val="none" w:sz="0" w:space="0" w:color="auto"/>
            <w:bottom w:val="none" w:sz="0" w:space="0" w:color="auto"/>
            <w:right w:val="none" w:sz="0" w:space="0" w:color="auto"/>
          </w:divBdr>
        </w:div>
      </w:divsChild>
    </w:div>
    <w:div w:id="2146703816">
      <w:marLeft w:val="0"/>
      <w:marRight w:val="0"/>
      <w:marTop w:val="2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0000884614/000119312521172483/d186296dex41.htm" TargetMode="External"/><Relationship Id="rId21" Type="http://schemas.openxmlformats.org/officeDocument/2006/relationships/hyperlink" Target="http://www.sec.gov/Archives/edgar/data/100548/000156459018031504/ugi-ex41_6.htm" TargetMode="External"/><Relationship Id="rId42" Type="http://schemas.openxmlformats.org/officeDocument/2006/relationships/hyperlink" Target="http://www.sec.gov/Archives/edgar/data/884614/000088461417000023/ugicorpq363017ex101.htm" TargetMode="External"/><Relationship Id="rId47" Type="http://schemas.openxmlformats.org/officeDocument/2006/relationships/hyperlink" Target="https://www.sec.gov/Archives/edgar/data/0000884614/000119312521028892/d12597dex44.htm" TargetMode="External"/><Relationship Id="rId63" Type="http://schemas.openxmlformats.org/officeDocument/2006/relationships/hyperlink" Target="https://www.sec.gov/Archives/edgar/data/884614/000088461420000052/ugiex1028cic-beardform.htm" TargetMode="External"/><Relationship Id="rId68" Type="http://schemas.openxmlformats.org/officeDocument/2006/relationships/hyperlink" Target="http://www.sec.gov/Archives/edgar/data/932628/000095012311009247/c10783exv10w1.htm" TargetMode="External"/><Relationship Id="rId84" Type="http://schemas.openxmlformats.org/officeDocument/2006/relationships/hyperlink" Target="https://www.sec.gov/Archives/edgar/data/100548/000119312519188747/d736386dex101.htm" TargetMode="External"/><Relationship Id="rId89" Type="http://schemas.openxmlformats.org/officeDocument/2006/relationships/hyperlink" Target="https://www.sec.gov/Archives/edgar/data/884614/000088461421000048/ex106conformedugi2021first.htm" TargetMode="External"/><Relationship Id="rId16" Type="http://schemas.openxmlformats.org/officeDocument/2006/relationships/hyperlink" Target="http://www.sec.gov/Archives/edgar/data/932628/000119312516804811/d262286dex41.htm" TargetMode="External"/><Relationship Id="rId107" Type="http://schemas.openxmlformats.org/officeDocument/2006/relationships/hyperlink" Target="a2022ugicorp10kex311.htm" TargetMode="External"/><Relationship Id="rId11" Type="http://schemas.openxmlformats.org/officeDocument/2006/relationships/hyperlink" Target="http://www.sec.gov/Archives/edgar/data/100548/000129993306006020/exhibit1.htm" TargetMode="External"/><Relationship Id="rId32" Type="http://schemas.openxmlformats.org/officeDocument/2006/relationships/hyperlink" Target="https://www.sec.gov/Archives/edgar/data/0000884614/000119312521172483/d186296dex41.htm" TargetMode="External"/><Relationship Id="rId37" Type="http://schemas.openxmlformats.org/officeDocument/2006/relationships/hyperlink" Target="https://www.sec.gov/Archives/edgar/data/0000884614/000119312521172483/d186296dex46.htm" TargetMode="External"/><Relationship Id="rId53" Type="http://schemas.openxmlformats.org/officeDocument/2006/relationships/hyperlink" Target="https://www.sec.gov/Archives/edgar/data/884614/000088461421000026/exhibit104-nonxemployeedir.htm" TargetMode="External"/><Relationship Id="rId58" Type="http://schemas.openxmlformats.org/officeDocument/2006/relationships/hyperlink" Target="https://www.sec.gov/Archives/edgar/data/884614/000088461421000048/ex102formofugiperformanceu.htm" TargetMode="External"/><Relationship Id="rId74" Type="http://schemas.openxmlformats.org/officeDocument/2006/relationships/hyperlink" Target="https://www.sec.gov/Archives/edgar/data/884614/000088461422000053/exhibit102.htm" TargetMode="External"/><Relationship Id="rId79" Type="http://schemas.openxmlformats.org/officeDocument/2006/relationships/hyperlink" Target="https://www.sec.gov/Archives/edgar/data/884614/000088461420000052/ugiex10xxamendmenttoga.htm" TargetMode="External"/><Relationship Id="rId102" Type="http://schemas.openxmlformats.org/officeDocument/2006/relationships/hyperlink" Target="ex1010ugicorporationtermsa.htm" TargetMode="External"/><Relationship Id="rId5" Type="http://schemas.openxmlformats.org/officeDocument/2006/relationships/image" Target="file:///E:\projects\LLMs\new_data_collection\data_new\htm\UGI%20CORP\ugi-20220930_g2.jpg" TargetMode="External"/><Relationship Id="rId90" Type="http://schemas.openxmlformats.org/officeDocument/2006/relationships/hyperlink" Target="https://www.sec.gov/Archives/edgar/data/884614/000088461422000051/exhibit101.htm" TargetMode="External"/><Relationship Id="rId95" Type="http://schemas.openxmlformats.org/officeDocument/2006/relationships/hyperlink" Target="a2022ugicorp10kex311.htm" TargetMode="External"/><Relationship Id="rId22" Type="http://schemas.openxmlformats.org/officeDocument/2006/relationships/hyperlink" Target="https://www.sec.gov/Archives/edgar/data/884614/000088461420000018/ex41npa.htm" TargetMode="External"/><Relationship Id="rId27" Type="http://schemas.openxmlformats.org/officeDocument/2006/relationships/hyperlink" Target="https://www.sec.gov/Archives/edgar/data/0000884614/000119312521172483/d186296dex41.htm" TargetMode="External"/><Relationship Id="rId43" Type="http://schemas.openxmlformats.org/officeDocument/2006/relationships/hyperlink" Target="http://www.sec.gov/Archives/edgar/data/884614/000088461416000067/a2016ugicorp10kex1030.htm" TargetMode="External"/><Relationship Id="rId48" Type="http://schemas.openxmlformats.org/officeDocument/2006/relationships/hyperlink" Target="ex1010ugicorporationtermsa.htm" TargetMode="External"/><Relationship Id="rId64" Type="http://schemas.openxmlformats.org/officeDocument/2006/relationships/hyperlink" Target="https://www.sec.gov/Archives/edgar/data/884614/000088461421000065/ex1031ndazagorski.htm" TargetMode="External"/><Relationship Id="rId69" Type="http://schemas.openxmlformats.org/officeDocument/2006/relationships/hyperlink" Target="http://www.sec.gov/Archives/edgar/data/884614/000088461417000029/a2017ugicorp10kex1038.htm" TargetMode="External"/><Relationship Id="rId80" Type="http://schemas.openxmlformats.org/officeDocument/2006/relationships/hyperlink" Target="https://www.sec.gov/Archives/edgar/data/884614/000088461420000052/ugiex1042gassupply.htm" TargetMode="External"/><Relationship Id="rId85" Type="http://schemas.openxmlformats.org/officeDocument/2006/relationships/hyperlink" Target="http://www.sec.gov/Archives/edgar/data/884614/000110465918063953/a18-36615_3ex4d2.htm" TargetMode="External"/><Relationship Id="rId12" Type="http://schemas.openxmlformats.org/officeDocument/2006/relationships/hyperlink" Target="http://www.sec.gov/Archives/edgar/data/100548/000010054813000013/exhibit41.htm" TargetMode="External"/><Relationship Id="rId17" Type="http://schemas.openxmlformats.org/officeDocument/2006/relationships/hyperlink" Target="http://www.sec.gov/Archives/edgar/data/932628/000119312517040517/d315984dex41.htm" TargetMode="External"/><Relationship Id="rId33" Type="http://schemas.openxmlformats.org/officeDocument/2006/relationships/hyperlink" Target="https://www.sec.gov/Archives/edgar/data/0000884614/000119312521172483/d186296dex41.htm" TargetMode="External"/><Relationship Id="rId38" Type="http://schemas.openxmlformats.org/officeDocument/2006/relationships/hyperlink" Target="https://www.sec.gov/Archives/edgar/data/884614/000088461421000065/exhibit422-descriptionofse.htm" TargetMode="External"/><Relationship Id="rId59" Type="http://schemas.openxmlformats.org/officeDocument/2006/relationships/hyperlink" Target="https://www.sec.gov/Archives/edgar/data/884614/000088461421000048/ex103formofugiannualrestri.htm" TargetMode="External"/><Relationship Id="rId103" Type="http://schemas.openxmlformats.org/officeDocument/2006/relationships/hyperlink" Target="ex1017incentiveawardplanno.htm" TargetMode="External"/><Relationship Id="rId108" Type="http://schemas.openxmlformats.org/officeDocument/2006/relationships/hyperlink" Target="a2022ugicorp10kex312.htm" TargetMode="External"/><Relationship Id="rId54" Type="http://schemas.openxmlformats.org/officeDocument/2006/relationships/hyperlink" Target="https://www.sec.gov/Archives/edgar/data/884614/000088461421000026/exhibit105-nonxemployeedir.htm" TargetMode="External"/><Relationship Id="rId70" Type="http://schemas.openxmlformats.org/officeDocument/2006/relationships/hyperlink" Target="http://www.sec.gov/Archives/edgar/data/884614/000156459018026267/ugi-ex101_6.htm" TargetMode="External"/><Relationship Id="rId75" Type="http://schemas.openxmlformats.org/officeDocument/2006/relationships/hyperlink" Target="http://www.sec.gov/Archives/edgar/data/884614/000088461417000029/a2017ugicorp10kex1039.htm" TargetMode="External"/><Relationship Id="rId91" Type="http://schemas.openxmlformats.org/officeDocument/2006/relationships/hyperlink" Target="https://www.sec.gov/Archives/edgar/data/884614/000088461422000053/exhibit101.htm" TargetMode="External"/><Relationship Id="rId96" Type="http://schemas.openxmlformats.org/officeDocument/2006/relationships/hyperlink" Target="a2022ugicorp10kex312.htm" TargetMode="External"/><Relationship Id="rId1" Type="http://schemas.openxmlformats.org/officeDocument/2006/relationships/styles" Target="styles.xml"/><Relationship Id="rId6" Type="http://schemas.openxmlformats.org/officeDocument/2006/relationships/hyperlink" Target="http://www.sec.gov/Archives/edgar/data/884614/000089322005001873/w11244exv3w1.txt" TargetMode="External"/><Relationship Id="rId15" Type="http://schemas.openxmlformats.org/officeDocument/2006/relationships/hyperlink" Target="http://www.sec.gov/Archives/edgar/data/932628/000119312516633096/d340712dex42.htm" TargetMode="External"/><Relationship Id="rId23" Type="http://schemas.openxmlformats.org/officeDocument/2006/relationships/hyperlink" Target="https://www.sec.gov/Archives/edgar/data/0000884614/000119312521155082/d95230dex41.htm" TargetMode="External"/><Relationship Id="rId28" Type="http://schemas.openxmlformats.org/officeDocument/2006/relationships/hyperlink" Target="https://www.sec.gov/Archives/edgar/data/0000884614/000119312521172483/d186296dex41.htm" TargetMode="External"/><Relationship Id="rId36" Type="http://schemas.openxmlformats.org/officeDocument/2006/relationships/hyperlink" Target="https://www.sec.gov/Archives/edgar/data/0000884614/000119312521172483/d186296dex45.htm" TargetMode="External"/><Relationship Id="rId49" Type="http://schemas.openxmlformats.org/officeDocument/2006/relationships/hyperlink" Target="https://www.sec.gov/Archives/edgar/data/884614/000088461421000056/exhibit101-executivesevera.htm" TargetMode="External"/><Relationship Id="rId57" Type="http://schemas.openxmlformats.org/officeDocument/2006/relationships/hyperlink" Target="https://www.sec.gov/Archives/edgar/data/884614/000088461421000048/ex101formofnqsoagmtforallu.htm" TargetMode="External"/><Relationship Id="rId106" Type="http://schemas.openxmlformats.org/officeDocument/2006/relationships/hyperlink" Target="a2022ugicorp10kex23.htm" TargetMode="External"/><Relationship Id="rId10" Type="http://schemas.openxmlformats.org/officeDocument/2006/relationships/hyperlink" Target="https://www.sec.gov/Archives/edgar/data/0000884614/000119312521172483/d186296dex32.htm" TargetMode="External"/><Relationship Id="rId31" Type="http://schemas.openxmlformats.org/officeDocument/2006/relationships/hyperlink" Target="https://www.sec.gov/Archives/edgar/data/0000884614/000119312521172483/d186296dex41.htm" TargetMode="External"/><Relationship Id="rId44" Type="http://schemas.openxmlformats.org/officeDocument/2006/relationships/hyperlink" Target="http://www.sec.gov/Archives/edgar/data/884614/000088461419000016/ugicorpex106.htm" TargetMode="External"/><Relationship Id="rId52" Type="http://schemas.openxmlformats.org/officeDocument/2006/relationships/hyperlink" Target="https://www.sec.gov/Archives/edgar/data/884614/000088461421000026/exhibit103-formof21usreas.htm" TargetMode="External"/><Relationship Id="rId60" Type="http://schemas.openxmlformats.org/officeDocument/2006/relationships/hyperlink" Target="http://www.sec.gov/Archives/edgar/data/884614/000088461418000028/ugicorpq36302018ex101.htm" TargetMode="External"/><Relationship Id="rId65" Type="http://schemas.openxmlformats.org/officeDocument/2006/relationships/hyperlink" Target="https://www.sec.gov/Archives/edgar/data/884614/000088461421000065/ex1032ciczagorski.htm" TargetMode="External"/><Relationship Id="rId73" Type="http://schemas.openxmlformats.org/officeDocument/2006/relationships/hyperlink" Target="https://www.sec.gov/Archives/edgar/data/884614/000119312521311261/d251656dex101.htm" TargetMode="External"/><Relationship Id="rId78" Type="http://schemas.openxmlformats.org/officeDocument/2006/relationships/hyperlink" Target="http://www.sec.gov/Archives/edgar/data/100548/000010054816000045/ex10192016ugiutilities10-k.htm" TargetMode="External"/><Relationship Id="rId81" Type="http://schemas.openxmlformats.org/officeDocument/2006/relationships/hyperlink" Target="https://www.sec.gov/Archives/edgar/data/884614/000088461421000065/ex1047gassupplyanddelivery.htm" TargetMode="External"/><Relationship Id="rId86" Type="http://schemas.openxmlformats.org/officeDocument/2006/relationships/hyperlink" Target="http://www.sec.gov/Archives/edgar/data/884614/000119312519220456/d764256dex101.htm" TargetMode="External"/><Relationship Id="rId94" Type="http://schemas.openxmlformats.org/officeDocument/2006/relationships/hyperlink" Target="a2022ugicorp10kex23.htm" TargetMode="External"/><Relationship Id="rId99" Type="http://schemas.openxmlformats.org/officeDocument/2006/relationships/hyperlink" Target="a2022ugicorp10kex32.htm" TargetMode="External"/><Relationship Id="rId101" Type="http://schemas.openxmlformats.org/officeDocument/2006/relationships/hyperlink" Target="a2022ugicorp10kex32.htm" TargetMode="External"/><Relationship Id="rId4" Type="http://schemas.openxmlformats.org/officeDocument/2006/relationships/image" Target="file:///E:\projects\LLMs\new_data_collection\data_new\htm\UGI%20CORP\ugi-20220930_g1.jpg" TargetMode="External"/><Relationship Id="rId9" Type="http://schemas.openxmlformats.org/officeDocument/2006/relationships/hyperlink" Target="https://www.sec.gov/Archives/edgar/data/0000884614/000119312521172483/d186296dex31.htm" TargetMode="External"/><Relationship Id="rId13" Type="http://schemas.openxmlformats.org/officeDocument/2006/relationships/hyperlink" Target="http://www.sec.gov/Archives/edgar/data/100548/000129993316002367/exhibit1.htm" TargetMode="External"/><Relationship Id="rId18" Type="http://schemas.openxmlformats.org/officeDocument/2006/relationships/hyperlink" Target="http://www.sec.gov/Archives/edgar/data/884614/000110465918063953/a18-36615_3ex4d1.htm" TargetMode="External"/><Relationship Id="rId39" Type="http://schemas.openxmlformats.org/officeDocument/2006/relationships/hyperlink" Target="http://www.sec.gov/Archives/edgar/data/884614/000088461416000067/a2016ugicorp10kex1025.htm" TargetMode="External"/><Relationship Id="rId109" Type="http://schemas.openxmlformats.org/officeDocument/2006/relationships/hyperlink" Target="a2022ugicorp10kex32.htm" TargetMode="External"/><Relationship Id="rId34" Type="http://schemas.openxmlformats.org/officeDocument/2006/relationships/hyperlink" Target="https://www.sec.gov/Archives/edgar/data/0000884614/000119312521172483/d186296dex41.htm" TargetMode="External"/><Relationship Id="rId50" Type="http://schemas.openxmlformats.org/officeDocument/2006/relationships/hyperlink" Target="https://www.sec.gov/Archives/edgar/data/884614/000088461421000026/exhibit101-formof21usoeas.htm" TargetMode="External"/><Relationship Id="rId55" Type="http://schemas.openxmlformats.org/officeDocument/2006/relationships/hyperlink" Target="ex1017incentiveawardplanno.htm" TargetMode="External"/><Relationship Id="rId76" Type="http://schemas.openxmlformats.org/officeDocument/2006/relationships/hyperlink" Target="https://www.sec.gov/Archives/edgar/data/884614/000088461419000059/a2019ugicorp10kex1040.htm" TargetMode="External"/><Relationship Id="rId97" Type="http://schemas.openxmlformats.org/officeDocument/2006/relationships/hyperlink" Target="a2022ugicorp10kex312.htm" TargetMode="External"/><Relationship Id="rId104" Type="http://schemas.openxmlformats.org/officeDocument/2006/relationships/hyperlink" Target="ex1018restrictedstockunita.htm" TargetMode="External"/><Relationship Id="rId7" Type="http://schemas.openxmlformats.org/officeDocument/2006/relationships/hyperlink" Target="http://www.sec.gov/Archives/edgar/data/884614/000129993314001194/exhibit1.htm" TargetMode="External"/><Relationship Id="rId71" Type="http://schemas.openxmlformats.org/officeDocument/2006/relationships/hyperlink" Target="http://www.sec.gov/Archives/edgar/data/884614/000088461419000042/exhibit101-2019rpa.htm" TargetMode="External"/><Relationship Id="rId92" Type="http://schemas.openxmlformats.org/officeDocument/2006/relationships/hyperlink" Target="https://www.sec.gov/Archives/edgar/data/884614/000088461421000065/a2021ugicorp10kex14.htm" TargetMode="External"/><Relationship Id="rId2" Type="http://schemas.openxmlformats.org/officeDocument/2006/relationships/settings" Target="settings.xml"/><Relationship Id="rId29" Type="http://schemas.openxmlformats.org/officeDocument/2006/relationships/hyperlink" Target="https://www.sec.gov/Archives/edgar/data/0000884614/000119312521172483/d186296dex41.htm" TargetMode="External"/><Relationship Id="rId24" Type="http://schemas.openxmlformats.org/officeDocument/2006/relationships/hyperlink" Target="https://www.sec.gov/Archives/edgar/data/884614/000088461422000035/uginpaexhibit.htm" TargetMode="External"/><Relationship Id="rId40" Type="http://schemas.openxmlformats.org/officeDocument/2006/relationships/hyperlink" Target="http://www.sec.gov/Archives/edgar/data/884614/000088461416000067/a2016ugicorp10kex1026.htm" TargetMode="External"/><Relationship Id="rId45" Type="http://schemas.openxmlformats.org/officeDocument/2006/relationships/hyperlink" Target="http://www.sec.gov/Archives/edgar/data/884614/000088461417000029/a2017ugicorp10kex1026.htm" TargetMode="External"/><Relationship Id="rId66" Type="http://schemas.openxmlformats.org/officeDocument/2006/relationships/hyperlink" Target="http://www.sec.gov/Archives/edgar/data/884614/000095012310107459/c06632exv10w37.htm" TargetMode="External"/><Relationship Id="rId87" Type="http://schemas.openxmlformats.org/officeDocument/2006/relationships/hyperlink" Target="https://www.sec.gov/Archives/edgar/data/884614/000088461420000015/ex101ugiescreditagree.htm" TargetMode="External"/><Relationship Id="rId110" Type="http://schemas.openxmlformats.org/officeDocument/2006/relationships/fontTable" Target="fontTable.xml"/><Relationship Id="rId61" Type="http://schemas.openxmlformats.org/officeDocument/2006/relationships/hyperlink" Target="https://www.sec.gov/Archives/edgar/data/884614/000088461421000048/ex104formofrpnda.htm" TargetMode="External"/><Relationship Id="rId82" Type="http://schemas.openxmlformats.org/officeDocument/2006/relationships/hyperlink" Target="https://www.sec.gov/Archives/edgar/data/100548/000129993317001116/exhibit1.htm" TargetMode="External"/><Relationship Id="rId19" Type="http://schemas.openxmlformats.org/officeDocument/2006/relationships/hyperlink" Target="https://www.sec.gov/Archives/edgar/data/884614/000088461421000072/exhibit41.htm" TargetMode="External"/><Relationship Id="rId14" Type="http://schemas.openxmlformats.org/officeDocument/2006/relationships/hyperlink" Target="http://www.sec.gov/Archives/edgar/data/932628/000119312516633096/d340712dex41.htm" TargetMode="External"/><Relationship Id="rId30" Type="http://schemas.openxmlformats.org/officeDocument/2006/relationships/hyperlink" Target="https://www.sec.gov/Archives/edgar/data/0000884614/000119312521172483/d186296dex41.htm" TargetMode="External"/><Relationship Id="rId35" Type="http://schemas.openxmlformats.org/officeDocument/2006/relationships/hyperlink" Target="https://www.sec.gov/Archives/edgar/data/0000884614/000119312521172483/d186296dex41.htm" TargetMode="External"/><Relationship Id="rId56" Type="http://schemas.openxmlformats.org/officeDocument/2006/relationships/hyperlink" Target="ex1018restrictedstockunita.htm" TargetMode="External"/><Relationship Id="rId77" Type="http://schemas.openxmlformats.org/officeDocument/2006/relationships/hyperlink" Target="https://www.sec.gov/Archives/edgar/data/884614/000088461419000059/a2019ugicorp10kex1041.htm" TargetMode="External"/><Relationship Id="rId100" Type="http://schemas.openxmlformats.org/officeDocument/2006/relationships/hyperlink" Target="a2022ugicorp10kex32.htm" TargetMode="External"/><Relationship Id="rId105" Type="http://schemas.openxmlformats.org/officeDocument/2006/relationships/hyperlink" Target="a2022ugicorp10kex21.htm" TargetMode="External"/><Relationship Id="rId8" Type="http://schemas.openxmlformats.org/officeDocument/2006/relationships/hyperlink" Target="http://www.sec.gov/Archives/edgar/data/884614/000129993317000782/exhibit1.htm" TargetMode="External"/><Relationship Id="rId51" Type="http://schemas.openxmlformats.org/officeDocument/2006/relationships/hyperlink" Target="https://www.sec.gov/Archives/edgar/data/884614/000088461421000026/exhibit102-formof21uspeas.htm" TargetMode="External"/><Relationship Id="rId72" Type="http://schemas.openxmlformats.org/officeDocument/2006/relationships/hyperlink" Target="https://www.sec.gov/Archives/edgar/data/884614/000119312520281049/d83991dex101.htm" TargetMode="External"/><Relationship Id="rId93" Type="http://schemas.openxmlformats.org/officeDocument/2006/relationships/hyperlink" Target="a2022ugicorp10kex21.htm" TargetMode="External"/><Relationship Id="rId98" Type="http://schemas.openxmlformats.org/officeDocument/2006/relationships/hyperlink" Target="a2022ugicorp10kex312.htm" TargetMode="External"/><Relationship Id="rId3" Type="http://schemas.openxmlformats.org/officeDocument/2006/relationships/webSettings" Target="webSettings.xml"/><Relationship Id="rId25" Type="http://schemas.openxmlformats.org/officeDocument/2006/relationships/hyperlink" Target="https://www.sec.gov/Archives/edgar/data/884614/000088461422000035/mountainnpaexhibit.htm" TargetMode="External"/><Relationship Id="rId46" Type="http://schemas.openxmlformats.org/officeDocument/2006/relationships/hyperlink" Target="http://www.sec.gov/Archives/edgar/data/884614/000088461419000016/ugicorpex107.htm" TargetMode="External"/><Relationship Id="rId67" Type="http://schemas.openxmlformats.org/officeDocument/2006/relationships/hyperlink" Target="http://www.sec.gov/Archives/edgar/data/932628/000093262815000023/apu201510kex1040.htm" TargetMode="External"/><Relationship Id="rId20" Type="http://schemas.openxmlformats.org/officeDocument/2006/relationships/hyperlink" Target="https://www.sec.gov/Archives/edgar/data/884614/000088461421000072/exhibit41.htm" TargetMode="External"/><Relationship Id="rId41" Type="http://schemas.openxmlformats.org/officeDocument/2006/relationships/hyperlink" Target="http://www.sec.gov/Archives/edgar/data/884614/000088461417000023/ugicorpq363017ex106.htm" TargetMode="External"/><Relationship Id="rId62" Type="http://schemas.openxmlformats.org/officeDocument/2006/relationships/hyperlink" Target="https://www.sec.gov/Archives/edgar/data/884614/000088461420000052/ugiex1027snda-beardfor.htm" TargetMode="External"/><Relationship Id="rId83" Type="http://schemas.openxmlformats.org/officeDocument/2006/relationships/hyperlink" Target="https://www.sec.gov/Archives/edgar/data/884614/000088461422000037/ex10.htm" TargetMode="External"/><Relationship Id="rId88" Type="http://schemas.openxmlformats.org/officeDocument/2006/relationships/hyperlink" Target="https://www.sec.gov/Archives/edgar/data/0000884614/000119312521155082/d95230dex101.htm" TargetMode="External"/><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103081</Words>
  <Characters>587568</Characters>
  <Application>Microsoft Office Word</Application>
  <DocSecurity>0</DocSecurity>
  <Lines>4896</Lines>
  <Paragraphs>1378</Paragraphs>
  <ScaleCrop>false</ScaleCrop>
  <Company/>
  <LinksUpToDate>false</LinksUpToDate>
  <CharactersWithSpaces>689271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ugi-20220930</dc:title>
  <dc:subject/>
  <dc:creator>Chongjian.Yue</dc:creator>
  <cp:keywords/>
  <dc:description/>
  <cp:lastModifiedBy>Yue Chongjian</cp:lastModifiedBy>
  <cp:revision>1</cp:revision>
  <dcterms:created xsi:type="dcterms:W3CDTF">2024-01-04T16:03:00Z</dcterms:created>
  <dcterms:modified xsi:type="dcterms:W3CDTF">2024-01-04T16:03:00Z</dcterms:modified>
</cp:coreProperties>
</file>